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color w:val="auto"/>
          <w:sz w:val="52"/>
          <w:highlight w:val="none"/>
        </w:rPr>
      </w:pPr>
      <w:r/>
      <w:bookmarkStart w:id="0" w:name="OLE_LINK57"/>
      <w:r/>
      <w:bookmarkStart w:id="1" w:name="OLE_LINK53"/>
      <w:r/>
      <w:bookmarkStart w:id="2" w:name="OLE_LINK59"/>
      <w:r/>
      <w:bookmarkStart w:id="3" w:name="OLE_LINK55"/>
      <w:r/>
      <w:bookmarkStart w:id="4" w:name="OLE_LINK62"/>
      <w:r/>
      <w:r/>
    </w:p>
    <w:p>
      <w:pPr>
        <w:jc w:val="center"/>
        <w:rPr>
          <w:rFonts w:hint="eastAsia" w:ascii="宋体" w:hAnsi="宋体"/>
          <w:b/>
          <w:bCs/>
          <w:color w:val="auto"/>
          <w:sz w:val="72"/>
          <w:szCs w:val="22"/>
          <w:highlight w:val="none"/>
        </w:rPr>
      </w:pPr>
      <w:r/>
      <w:bookmarkStart w:id="5" w:name="OLE_LINK42"/>
      <w:r>
        <w:rPr>
          <w:rFonts w:hint="eastAsia" w:ascii="宋体" w:hAnsi="宋体"/>
          <w:b/>
          <w:bCs/>
          <w:color w:val="auto"/>
          <w:sz w:val="72"/>
          <w:szCs w:val="22"/>
          <w:highlight w:val="none"/>
        </w:rPr>
        <w:t xml:space="preserve">宜 兴 市 政 府 采 购</w:t>
      </w:r>
      <w:bookmarkEnd w:id="5"/>
      <w:r/>
      <w:r/>
    </w:p>
    <w:p>
      <w:pPr>
        <w:jc w:val="center"/>
        <w:rPr>
          <w:rFonts w:hint="eastAsia" w:ascii="宋体" w:hAnsi="宋体"/>
          <w:b/>
          <w:bCs/>
          <w:color w:val="auto"/>
          <w:sz w:val="52"/>
          <w:highlight w:val="none"/>
        </w:rPr>
      </w:pPr>
      <w:r>
        <w:rPr>
          <w:rFonts w:hint="eastAsia" w:ascii="宋体" w:hAnsi="宋体"/>
          <w:b/>
          <w:bCs/>
          <w:color w:val="auto"/>
          <w:sz w:val="52"/>
          <w:highlight w:val="none"/>
        </w:rPr>
      </w:r>
      <w:r/>
    </w:p>
    <w:p>
      <w:pPr>
        <w:pStyle w:val="70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黑体" w:hAnsi="黑体" w:eastAsia="黑体"/>
          <w:b/>
          <w:bCs/>
          <w:color w:val="auto"/>
          <w:sz w:val="96"/>
          <w:szCs w:val="96"/>
          <w:highlight w:val="none"/>
        </w:rPr>
        <w:outlineLvl w:val="0"/>
      </w:pPr>
      <w:r/>
      <w:bookmarkStart w:id="6" w:name="_Toc2749"/>
      <w:r/>
      <w:bookmarkStart w:id="7" w:name="_Toc25225"/>
      <w:r/>
      <w:bookmarkStart w:id="8" w:name="_Toc9200"/>
      <w:r/>
      <w:bookmarkStart w:id="9" w:name="_Toc4080"/>
      <w:r>
        <w:rPr>
          <w:rFonts w:hint="eastAsia" w:ascii="黑体" w:hAnsi="黑体" w:eastAsia="黑体"/>
          <w:b/>
          <w:bCs/>
          <w:color w:val="auto"/>
          <w:sz w:val="96"/>
          <w:szCs w:val="96"/>
          <w:highlight w:val="none"/>
        </w:rPr>
        <w:t xml:space="preserve">招</w:t>
      </w:r>
      <w:bookmarkEnd w:id="6"/>
      <w:r/>
      <w:bookmarkEnd w:id="7"/>
      <w:r/>
      <w:bookmarkEnd w:id="8"/>
      <w:r/>
      <w:bookmarkEnd w:id="9"/>
      <w:r/>
      <w:r/>
    </w:p>
    <w:p>
      <w:pPr>
        <w:jc w:val="center"/>
        <w:rPr>
          <w:rFonts w:hint="eastAsia" w:ascii="黑体" w:hAnsi="黑体" w:eastAsia="黑体"/>
          <w:b/>
          <w:bCs/>
          <w:color w:val="auto"/>
          <w:sz w:val="96"/>
          <w:szCs w:val="96"/>
          <w:highlight w:val="none"/>
        </w:rPr>
        <w:outlineLvl w:val="0"/>
      </w:pPr>
      <w:r/>
      <w:bookmarkStart w:id="10" w:name="_Toc28220"/>
      <w:r/>
      <w:bookmarkStart w:id="11" w:name="_Toc1706"/>
      <w:r/>
      <w:bookmarkStart w:id="12" w:name="_Toc8744"/>
      <w:r/>
      <w:bookmarkStart w:id="13" w:name="_Toc12949"/>
      <w:r>
        <w:rPr>
          <w:rFonts w:hint="eastAsia" w:ascii="黑体" w:hAnsi="黑体" w:eastAsia="黑体"/>
          <w:b/>
          <w:bCs/>
          <w:color w:val="auto"/>
          <w:sz w:val="96"/>
          <w:szCs w:val="96"/>
          <w:highlight w:val="none"/>
        </w:rPr>
        <w:t xml:space="preserve">标</w:t>
      </w:r>
      <w:bookmarkEnd w:id="10"/>
      <w:r/>
      <w:bookmarkEnd w:id="11"/>
      <w:r/>
      <w:bookmarkEnd w:id="12"/>
      <w:r/>
      <w:bookmarkEnd w:id="13"/>
      <w:r/>
      <w:r/>
    </w:p>
    <w:p>
      <w:pPr>
        <w:jc w:val="center"/>
        <w:rPr>
          <w:rFonts w:hint="eastAsia" w:ascii="黑体" w:hAnsi="黑体" w:eastAsia="黑体"/>
          <w:b/>
          <w:bCs/>
          <w:color w:val="auto"/>
          <w:sz w:val="96"/>
          <w:szCs w:val="96"/>
          <w:highlight w:val="none"/>
        </w:rPr>
        <w:outlineLvl w:val="0"/>
      </w:pPr>
      <w:r/>
      <w:bookmarkStart w:id="14" w:name="_Toc15780"/>
      <w:r/>
      <w:bookmarkStart w:id="15" w:name="_Toc6934"/>
      <w:r/>
      <w:bookmarkStart w:id="16" w:name="_Toc26829"/>
      <w:r/>
      <w:bookmarkStart w:id="17" w:name="_Toc9509"/>
      <w:r>
        <w:rPr>
          <w:rFonts w:hint="eastAsia" w:ascii="黑体" w:hAnsi="黑体" w:eastAsia="黑体"/>
          <w:b/>
          <w:bCs/>
          <w:color w:val="auto"/>
          <w:sz w:val="96"/>
          <w:szCs w:val="96"/>
          <w:highlight w:val="none"/>
        </w:rPr>
        <w:t xml:space="preserve">文</w:t>
      </w:r>
      <w:bookmarkEnd w:id="14"/>
      <w:r/>
      <w:bookmarkEnd w:id="15"/>
      <w:r/>
      <w:bookmarkEnd w:id="16"/>
      <w:r/>
      <w:bookmarkEnd w:id="17"/>
      <w:r/>
      <w:r/>
    </w:p>
    <w:p>
      <w:pPr>
        <w:jc w:val="center"/>
        <w:rPr>
          <w:rFonts w:hint="eastAsia" w:ascii="黑体" w:hAnsi="黑体" w:eastAsia="黑体"/>
          <w:b/>
          <w:bCs/>
          <w:color w:val="auto"/>
          <w:sz w:val="96"/>
          <w:szCs w:val="96"/>
          <w:highlight w:val="none"/>
        </w:rPr>
        <w:outlineLvl w:val="0"/>
      </w:pPr>
      <w:r/>
      <w:bookmarkStart w:id="18" w:name="_Toc7134"/>
      <w:r/>
      <w:bookmarkStart w:id="19" w:name="_Toc19565"/>
      <w:r/>
      <w:bookmarkStart w:id="20" w:name="_Toc4151"/>
      <w:r/>
      <w:bookmarkStart w:id="21" w:name="_Toc16720"/>
      <w:r>
        <w:rPr>
          <w:rFonts w:hint="eastAsia" w:ascii="黑体" w:hAnsi="黑体" w:eastAsia="黑体"/>
          <w:b/>
          <w:bCs/>
          <w:color w:val="auto"/>
          <w:sz w:val="96"/>
          <w:szCs w:val="96"/>
          <w:highlight w:val="none"/>
        </w:rPr>
        <w:t xml:space="preserve">件</w:t>
      </w:r>
      <w:bookmarkEnd w:id="18"/>
      <w:r/>
      <w:bookmarkEnd w:id="19"/>
      <w:r/>
      <w:bookmarkEnd w:id="20"/>
      <w:r/>
      <w:bookmarkEnd w:id="21"/>
      <w:r/>
      <w:r/>
    </w:p>
    <w:p>
      <w:pPr>
        <w:jc w:val="center"/>
        <w:rPr>
          <w:rFonts w:hint="eastAsia" w:ascii="宋体" w:hAnsi="宋体"/>
          <w:b/>
          <w:bCs/>
          <w:color w:val="auto"/>
          <w:sz w:val="72"/>
          <w:szCs w:val="18"/>
          <w:highlight w:val="none"/>
        </w:rPr>
      </w:pPr>
      <w:r>
        <w:rPr>
          <w:rFonts w:hint="eastAsia" w:ascii="宋体" w:hAnsi="宋体"/>
          <w:b/>
          <w:bCs/>
          <w:color w:val="auto"/>
          <w:sz w:val="72"/>
          <w:szCs w:val="18"/>
          <w:highlight w:val="none"/>
        </w:rPr>
        <w:t xml:space="preserve">（</w:t>
      </w:r>
      <w:r>
        <w:rPr>
          <w:rFonts w:hint="eastAsia" w:ascii="宋体" w:hAnsi="宋体" w:eastAsia="宋体" w:cs="Times New Roman"/>
          <w:b/>
          <w:bCs/>
          <w:color w:val="auto"/>
          <w:sz w:val="72"/>
          <w:szCs w:val="18"/>
          <w:highlight w:val="none"/>
          <w:lang w:val="en-US" w:eastAsia="zh-CN" w:bidi="ar-SA"/>
        </w:rPr>
        <w:t xml:space="preserve">暗标</w:t>
      </w:r>
      <w:r>
        <w:rPr>
          <w:rFonts w:hint="eastAsia" w:ascii="宋体" w:hAnsi="宋体"/>
          <w:b/>
          <w:bCs/>
          <w:color w:val="auto"/>
          <w:sz w:val="72"/>
          <w:szCs w:val="18"/>
          <w:highlight w:val="none"/>
        </w:rPr>
        <w:t xml:space="preserve">）</w:t>
      </w:r>
      <w:r/>
    </w:p>
    <w:p>
      <w:pPr>
        <w:rPr>
          <w:rFonts w:hint="eastAsia"/>
          <w:color w:val="auto"/>
          <w:highlight w:val="none"/>
        </w:rPr>
      </w:pPr>
      <w:r>
        <w:rPr>
          <w:rFonts w:hint="eastAsia"/>
          <w:color w:val="auto"/>
          <w:highlight w:val="none"/>
        </w:rPr>
      </w:r>
      <w:r/>
    </w:p>
    <w:p>
      <w:pPr>
        <w:pStyle w:val="708"/>
        <w:rPr>
          <w:rFonts w:hint="eastAsia"/>
          <w:color w:val="auto"/>
          <w:highlight w:val="none"/>
        </w:rPr>
      </w:pPr>
      <w:r>
        <w:rPr>
          <w:rFonts w:hint="eastAsia"/>
          <w:color w:val="auto"/>
          <w:highlight w:val="none"/>
        </w:rPr>
      </w:r>
      <w:r/>
    </w:p>
    <w:p>
      <w:pPr>
        <w:rPr>
          <w:rFonts w:hint="eastAsia"/>
        </w:rPr>
      </w:pPr>
      <w:r>
        <w:rPr>
          <w:rFonts w:hint="eastAsia"/>
        </w:rPr>
      </w:r>
      <w:r/>
    </w:p>
    <w:p>
      <w:pPr>
        <w:rPr>
          <w:rFonts w:hint="eastAsia"/>
          <w:color w:val="auto"/>
          <w:highlight w:val="none"/>
        </w:rPr>
      </w:pPr>
      <w:r>
        <w:rPr>
          <w:rFonts w:hint="eastAsia"/>
          <w:color w:val="auto"/>
          <w:highlight w:val="none"/>
        </w:rPr>
      </w:r>
      <w:r/>
    </w:p>
    <w:p>
      <w:pPr>
        <w:pStyle w:val="722"/>
        <w:rPr>
          <w:rFonts w:hint="eastAsia"/>
          <w:color w:val="auto"/>
          <w:highlight w:val="none"/>
        </w:rPr>
      </w:pPr>
      <w:r>
        <w:rPr>
          <w:rFonts w:hint="eastAsia"/>
          <w:color w:val="auto"/>
          <w:highlight w:val="none"/>
        </w:rPr>
      </w:r>
      <w:r/>
    </w:p>
    <w:p>
      <w:pPr>
        <w:pStyle w:val="722"/>
        <w:rPr>
          <w:rFonts w:hint="eastAsia"/>
          <w:color w:val="auto"/>
          <w:highlight w:val="none"/>
        </w:rPr>
      </w:pPr>
      <w:r>
        <w:rPr>
          <w:rFonts w:hint="eastAsia"/>
          <w:color w:val="auto"/>
          <w:highlight w:val="none"/>
        </w:rPr>
      </w:r>
      <w:r/>
    </w:p>
    <w:p>
      <w:pPr>
        <w:jc w:val="center"/>
        <w:spacing w:line="360" w:lineRule="auto"/>
        <w:rPr>
          <w:rFonts w:hint="eastAsia" w:ascii="宋体" w:hAnsi="宋体" w:cs="宋体"/>
          <w:color w:val="auto"/>
          <w:sz w:val="32"/>
          <w:szCs w:val="32"/>
          <w:highlight w:val="none"/>
          <w:lang w:eastAsia="zh-CN"/>
        </w:rPr>
      </w:pPr>
      <w:r/>
      <w:bookmarkStart w:id="22" w:name="OLE_LINK60"/>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w:t>
      </w:r>
      <w:bookmarkEnd w:id="22"/>
      <w:r>
        <w:rPr>
          <w:rFonts w:hint="eastAsia" w:ascii="宋体" w:hAnsi="宋体" w:cs="宋体"/>
          <w:color w:val="auto"/>
          <w:sz w:val="32"/>
          <w:szCs w:val="32"/>
          <w:highlight w:val="none"/>
          <w:lang w:eastAsia="zh-CN"/>
        </w:rPr>
        <w:t xml:space="preserve">JSZC-320282-HHCG-G2026-0017</w:t>
      </w:r>
      <w:r/>
    </w:p>
    <w:p>
      <w:pPr>
        <w:jc w:val="center"/>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宜兴市教育局</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江南大学宜兴校区超高效液相在线固相萃取串联四极杆质谱分析系统采购</w:t>
      </w:r>
      <w:r/>
    </w:p>
    <w:p>
      <w:pPr>
        <w:jc w:val="center"/>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江苏恒鸿建设咨询有限公司</w:t>
      </w:r>
      <w:r/>
    </w:p>
    <w:p>
      <w:pPr>
        <w:jc w:val="center"/>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十</w:t>
      </w:r>
      <w:r>
        <w:rPr>
          <w:rFonts w:hint="eastAsia" w:ascii="宋体" w:hAnsi="宋体" w:cs="宋体"/>
          <w:color w:val="auto"/>
          <w:sz w:val="32"/>
          <w:szCs w:val="32"/>
          <w:highlight w:val="none"/>
        </w:rPr>
        <w:t xml:space="preserve">月</w:t>
      </w:r>
      <w:r/>
    </w:p>
    <w:p>
      <w:pPr>
        <w:spacing w:line="480" w:lineRule="auto"/>
        <w:rPr>
          <w:rStyle w:val="738"/>
          <w:rFonts w:eastAsia="黑体"/>
          <w:bCs/>
          <w:color w:val="auto"/>
          <w:sz w:val="28"/>
          <w:szCs w:val="28"/>
          <w:highlight w:val="none"/>
        </w:rPr>
      </w:pPr>
      <w:r>
        <w:rPr>
          <w:rFonts w:eastAsia="黑体"/>
          <w:bCs/>
          <w:color w:val="auto"/>
          <w:sz w:val="28"/>
          <w:szCs w:val="28"/>
          <w:highlight w:val="none"/>
        </w:rPr>
      </w:r>
      <w:r/>
    </w:p>
    <w:p>
      <w:pPr>
        <w:jc w:val="center"/>
        <w:rPr>
          <w:rStyle w:val="738"/>
          <w:rFonts w:hint="eastAsia" w:eastAsia="黑体"/>
          <w:bCs/>
          <w:color w:val="auto"/>
          <w:sz w:val="48"/>
          <w:highlight w:val="none"/>
        </w:rPr>
      </w:pPr>
      <w:r>
        <w:rPr>
          <w:rFonts w:hint="eastAsia" w:eastAsia="黑体"/>
          <w:bCs/>
          <w:color w:val="auto"/>
          <w:sz w:val="48"/>
          <w:highlight w:val="none"/>
        </w:rPr>
      </w:r>
      <w:r/>
    </w:p>
    <w:p>
      <w:pPr>
        <w:jc w:val="center"/>
        <w:rPr>
          <w:color w:val="auto"/>
          <w:sz w:val="32"/>
          <w:szCs w:val="32"/>
          <w:highlight w:val="none"/>
        </w:rPr>
      </w:pPr>
      <w:r>
        <w:rPr>
          <w:rStyle w:val="738"/>
          <w:rFonts w:hint="eastAsia" w:eastAsia="黑体"/>
          <w:bCs/>
          <w:color w:val="auto"/>
          <w:sz w:val="48"/>
          <w:highlight w:val="none"/>
        </w:rPr>
        <w:t xml:space="preserve">目  录</w:t>
      </w:r>
      <w:r>
        <w:rPr>
          <w:color w:val="auto"/>
          <w:sz w:val="32"/>
          <w:szCs w:val="32"/>
          <w:highlight w:val="none"/>
        </w:rPr>
        <w:fldChar w:fldCharType="begin"/>
      </w:r>
      <w:r>
        <w:rPr>
          <w:color w:val="auto"/>
          <w:sz w:val="32"/>
          <w:szCs w:val="32"/>
          <w:highlight w:val="none"/>
        </w:rPr>
        <w:instrText xml:space="preserve"> TOC \o "1-3" \h \z \u </w:instrText>
      </w:r>
      <w:r>
        <w:rPr>
          <w:color w:val="auto"/>
          <w:sz w:val="32"/>
          <w:szCs w:val="32"/>
          <w:highlight w:val="none"/>
        </w:rPr>
        <w:fldChar w:fldCharType="separate"/>
      </w:r>
      <w:r/>
    </w:p>
    <w:p>
      <w:pPr>
        <w:jc w:val="center"/>
        <w:rPr>
          <w:color w:val="auto"/>
          <w:highlight w:val="none"/>
        </w:rPr>
      </w:pPr>
      <w:r>
        <w:rPr>
          <w:b/>
          <w:bCs/>
          <w:color w:val="auto"/>
          <w:sz w:val="32"/>
          <w:szCs w:val="32"/>
          <w:highlight w:val="none"/>
          <w:lang w:val="zh-CN"/>
        </w:rPr>
        <w:fldChar w:fldCharType="end"/>
      </w:r>
      <w:r/>
    </w:p>
    <w:sdt>
      <w:sdtPr>
        <w15:appearance w15:val="boundingBox"/>
        <w15:color w:val="dbdbdb"/>
        <w:id w:val="147459409"/>
        <w:docPartObj>
          <w:docPartGallery w:val="Table of Contents"/>
          <w:docPartUnique w:val="true"/>
        </w:docPartObj>
        <w:rPr>
          <w:rFonts w:ascii="宋体" w:hAnsi="宋体"/>
          <w:color w:val="auto"/>
          <w:highlight w:val="none"/>
        </w:rPr>
      </w:sdtPr>
      <w:sdtContent>
        <w:p>
          <w:pPr>
            <w:jc w:val="center"/>
            <w:spacing w:line="360" w:lineRule="auto"/>
            <w:rPr>
              <w:color w:val="auto"/>
              <w:sz w:val="32"/>
              <w:szCs w:val="32"/>
              <w:highlight w:val="none"/>
            </w:rPr>
          </w:pPr>
          <w:r>
            <w:rPr>
              <w:rFonts w:ascii="黑体" w:hAnsi="黑体" w:eastAsia="黑体"/>
              <w:color w:val="auto"/>
              <w:sz w:val="32"/>
              <w:szCs w:val="32"/>
              <w:highlight w:val="none"/>
            </w:rPr>
            <w:fldChar w:fldCharType="begin"/>
          </w:r>
          <w:r>
            <w:rPr>
              <w:rFonts w:ascii="黑体" w:hAnsi="黑体" w:eastAsia="黑体"/>
              <w:color w:val="auto"/>
              <w:sz w:val="32"/>
              <w:szCs w:val="32"/>
              <w:highlight w:val="none"/>
            </w:rPr>
            <w:instrText xml:space="preserve">TOC \o "1-1" \h \u </w:instrText>
          </w:r>
          <w:r>
            <w:rPr>
              <w:rFonts w:ascii="黑体" w:hAnsi="黑体" w:eastAsia="黑体"/>
              <w:color w:val="auto"/>
              <w:sz w:val="32"/>
              <w:szCs w:val="32"/>
              <w:highlight w:val="none"/>
            </w:rPr>
            <w:fldChar w:fldCharType="separate"/>
          </w:r>
          <w:r/>
        </w:p>
        <w:p>
          <w:pPr>
            <w:pStyle w:val="903"/>
            <w:spacing w:line="360" w:lineRule="auto"/>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"_Toc26196" </w:instrText>
          </w:r>
          <w:r>
            <w:rPr>
              <w:color w:val="auto"/>
              <w:highlight w:val="none"/>
            </w:rPr>
            <w:fldChar w:fldCharType="separate"/>
          </w:r>
          <w:r>
            <w:rPr>
              <w:rFonts w:hint="eastAsia" w:ascii="黑体" w:hAnsi="黑体" w:eastAsia="黑体"/>
              <w:color w:val="auto"/>
              <w:sz w:val="32"/>
              <w:szCs w:val="32"/>
              <w:highlight w:val="none"/>
            </w:rPr>
            <w:t xml:space="preserve">第一章 投标邀请函</w:t>
          </w:r>
          <w:r>
            <w:rPr>
              <w:color w:val="auto"/>
              <w:sz w:val="32"/>
              <w:szCs w:val="32"/>
              <w:highlight w:val="none"/>
            </w:rPr>
            <w:tab/>
          </w:r>
          <w:r>
            <w:rPr>
              <w:rFonts w:hint="eastAsia"/>
              <w:color w:val="auto"/>
              <w:sz w:val="32"/>
              <w:szCs w:val="32"/>
              <w:highlight w:val="none"/>
              <w:lang w:val="en-US" w:eastAsia="zh-CN"/>
            </w:rPr>
            <w:t xml:space="preserve">2</w:t>
          </w:r>
          <w:r>
            <w:rPr>
              <w:color w:val="auto"/>
              <w:sz w:val="32"/>
              <w:szCs w:val="32"/>
              <w:highlight w:val="none"/>
            </w:rPr>
            <w:fldChar w:fldCharType="end"/>
          </w:r>
          <w:r/>
        </w:p>
        <w:p>
          <w:pPr>
            <w:pStyle w:val="903"/>
            <w:spacing w:line="360" w:lineRule="auto"/>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"_Toc12798" </w:instrText>
          </w:r>
          <w:r>
            <w:rPr>
              <w:color w:val="auto"/>
              <w:highlight w:val="none"/>
            </w:rPr>
            <w:fldChar w:fldCharType="separate"/>
          </w:r>
          <w:r>
            <w:rPr>
              <w:rFonts w:hint="eastAsia" w:ascii="黑体" w:hAnsi="黑体" w:eastAsia="黑体"/>
              <w:color w:val="auto"/>
              <w:sz w:val="32"/>
              <w:szCs w:val="32"/>
              <w:highlight w:val="none"/>
            </w:rPr>
            <w:t xml:space="preserve">第二章 投标人须知</w:t>
          </w:r>
          <w:r>
            <w:rPr>
              <w:color w:val="auto"/>
              <w:sz w:val="32"/>
              <w:szCs w:val="32"/>
              <w:highlight w:val="none"/>
            </w:rPr>
            <w:tab/>
          </w:r>
          <w:r>
            <w:rPr>
              <w:rFonts w:hint="eastAsia"/>
              <w:color w:val="auto"/>
              <w:sz w:val="32"/>
              <w:szCs w:val="32"/>
              <w:highlight w:val="none"/>
              <w:lang w:val="en-US" w:eastAsia="zh-CN"/>
            </w:rPr>
            <w:t xml:space="preserve">5</w:t>
          </w:r>
          <w:r>
            <w:rPr>
              <w:color w:val="auto"/>
              <w:sz w:val="32"/>
              <w:szCs w:val="32"/>
              <w:highlight w:val="none"/>
            </w:rPr>
            <w:fldChar w:fldCharType="end"/>
          </w:r>
          <w:r/>
        </w:p>
        <w:p>
          <w:pPr>
            <w:pStyle w:val="903"/>
            <w:spacing w:line="360" w:lineRule="auto"/>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"_Toc26890" </w:instrText>
          </w:r>
          <w:r>
            <w:rPr>
              <w:color w:val="auto"/>
              <w:highlight w:val="none"/>
            </w:rPr>
            <w:fldChar w:fldCharType="separate"/>
          </w:r>
          <w:r>
            <w:rPr>
              <w:rFonts w:hint="eastAsia" w:ascii="黑体" w:hAnsi="黑体" w:eastAsia="黑体"/>
              <w:color w:val="auto"/>
              <w:sz w:val="32"/>
              <w:szCs w:val="32"/>
              <w:highlight w:val="none"/>
            </w:rPr>
            <w:t xml:space="preserve">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_Toc26890 \h </w:instrText>
          </w:r>
          <w:r>
            <w:rPr>
              <w:color w:val="auto"/>
              <w:sz w:val="32"/>
              <w:szCs w:val="32"/>
              <w:highlight w:val="none"/>
            </w:rPr>
            <w:fldChar w:fldCharType="separate"/>
          </w:r>
          <w:r>
            <w:rPr>
              <w:color w:val="auto"/>
              <w:sz w:val="32"/>
              <w:szCs w:val="32"/>
              <w:highlight w:val="none"/>
            </w:rPr>
            <w:t xml:space="preserve">22</w:t>
          </w:r>
          <w:r>
            <w:rPr>
              <w:color w:val="auto"/>
              <w:sz w:val="32"/>
              <w:szCs w:val="32"/>
              <w:highlight w:val="none"/>
            </w:rPr>
            <w:fldChar w:fldCharType="end"/>
          </w:r>
          <w:r>
            <w:rPr>
              <w:color w:val="auto"/>
              <w:sz w:val="32"/>
              <w:szCs w:val="32"/>
              <w:highlight w:val="none"/>
            </w:rPr>
            <w:fldChar w:fldCharType="end"/>
          </w:r>
          <w:r/>
        </w:p>
        <w:p>
          <w:pPr>
            <w:pStyle w:val="903"/>
            <w:spacing w:line="360" w:lineRule="auto"/>
            <w:tabs>
              <w:tab w:val="right" w:pos="9639" w:leader="dot"/>
            </w:tabs>
            <w:rPr>
              <w:rFonts w:hint="default"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"_Toc25661" </w:instrText>
          </w:r>
          <w:r>
            <w:rPr>
              <w:color w:val="auto"/>
              <w:highlight w:val="none"/>
            </w:rPr>
            <w:fldChar w:fldCharType="separate"/>
          </w:r>
          <w:r>
            <w:rPr>
              <w:rFonts w:hint="eastAsia" w:ascii="黑体" w:hAnsi="黑体" w:eastAsia="黑体"/>
              <w:color w:val="auto"/>
              <w:sz w:val="32"/>
              <w:szCs w:val="32"/>
              <w:highlight w:val="none"/>
            </w:rPr>
            <w:t xml:space="preserve">第四章 评标方法和标准</w:t>
          </w:r>
          <w:r>
            <w:rPr>
              <w:color w:val="auto"/>
              <w:sz w:val="32"/>
              <w:szCs w:val="32"/>
              <w:highlight w:val="none"/>
            </w:rPr>
            <w:tab/>
          </w:r>
          <w:r>
            <w:rPr>
              <w:color w:val="auto"/>
              <w:sz w:val="32"/>
              <w:szCs w:val="32"/>
              <w:highlight w:val="none"/>
            </w:rPr>
            <w:fldChar w:fldCharType="end"/>
          </w:r>
          <w:r>
            <w:rPr>
              <w:rFonts w:hint="eastAsia"/>
              <w:color w:val="auto"/>
              <w:sz w:val="32"/>
              <w:szCs w:val="32"/>
              <w:highlight w:val="none"/>
              <w:lang w:val="en-US" w:eastAsia="zh-CN"/>
            </w:rPr>
            <w:t xml:space="preserve">27</w:t>
          </w:r>
          <w:r/>
        </w:p>
        <w:p>
          <w:pPr>
            <w:pStyle w:val="903"/>
            <w:spacing w:line="360" w:lineRule="auto"/>
            <w:tabs>
              <w:tab w:val="right" w:pos="9639" w:leader="dot"/>
            </w:tabs>
            <w:rPr>
              <w:rFonts w:hint="eastAsia"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"_Toc1619" </w:instrText>
          </w:r>
          <w:r>
            <w:rPr>
              <w:color w:val="auto"/>
              <w:highlight w:val="none"/>
            </w:rPr>
            <w:fldChar w:fldCharType="separate"/>
          </w:r>
          <w:r>
            <w:rPr>
              <w:rFonts w:hint="eastAsia" w:ascii="黑体" w:hAnsi="黑体" w:eastAsia="黑体"/>
              <w:color w:val="auto"/>
              <w:sz w:val="32"/>
              <w:szCs w:val="32"/>
              <w:highlight w:val="none"/>
            </w:rPr>
            <w:t xml:space="preserve">第五章 政府采购合同（格式）</w:t>
          </w:r>
          <w:r>
            <w:rPr>
              <w:color w:val="auto"/>
              <w:sz w:val="32"/>
              <w:szCs w:val="32"/>
              <w:highlight w:val="none"/>
            </w:rPr>
            <w:tab/>
          </w:r>
          <w:r>
            <w:rPr>
              <w:rFonts w:hint="eastAsia"/>
              <w:color w:val="auto"/>
              <w:sz w:val="32"/>
              <w:szCs w:val="32"/>
              <w:highlight w:val="none"/>
              <w:lang w:val="en-US" w:eastAsia="zh-CN"/>
            </w:rPr>
            <w:t xml:space="preserve">2</w:t>
          </w:r>
          <w:r>
            <w:rPr>
              <w:color w:val="auto"/>
              <w:sz w:val="32"/>
              <w:szCs w:val="32"/>
              <w:highlight w:val="none"/>
            </w:rPr>
            <w:fldChar w:fldCharType="end"/>
          </w:r>
          <w:r>
            <w:rPr>
              <w:rFonts w:hint="eastAsia"/>
              <w:color w:val="auto"/>
              <w:sz w:val="32"/>
              <w:szCs w:val="32"/>
              <w:highlight w:val="none"/>
              <w:lang w:val="en-US" w:eastAsia="zh-CN"/>
            </w:rPr>
            <w:t xml:space="preserve">9</w:t>
          </w:r>
          <w:r/>
        </w:p>
        <w:p>
          <w:pPr>
            <w:pStyle w:val="903"/>
            <w:spacing w:line="360" w:lineRule="auto"/>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"_Toc18162" </w:instrText>
          </w:r>
          <w:r>
            <w:rPr>
              <w:color w:val="auto"/>
              <w:highlight w:val="none"/>
            </w:rPr>
            <w:fldChar w:fldCharType="separate"/>
          </w:r>
          <w:r>
            <w:rPr>
              <w:rFonts w:hint="eastAsia" w:ascii="黑体" w:hAnsi="黑体" w:eastAsia="黑体"/>
              <w:color w:val="auto"/>
              <w:sz w:val="32"/>
              <w:szCs w:val="32"/>
              <w:highlight w:val="none"/>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_Toc18162 \h </w:instrText>
          </w:r>
          <w:r>
            <w:rPr>
              <w:color w:val="auto"/>
              <w:sz w:val="32"/>
              <w:szCs w:val="32"/>
              <w:highlight w:val="none"/>
            </w:rPr>
            <w:fldChar w:fldCharType="separate"/>
          </w:r>
          <w:r>
            <w:rPr>
              <w:color w:val="auto"/>
              <w:sz w:val="32"/>
              <w:szCs w:val="32"/>
              <w:highlight w:val="none"/>
            </w:rPr>
            <w:t xml:space="preserve">33</w:t>
          </w:r>
          <w:r>
            <w:rPr>
              <w:color w:val="auto"/>
              <w:sz w:val="32"/>
              <w:szCs w:val="32"/>
              <w:highlight w:val="none"/>
            </w:rPr>
            <w:fldChar w:fldCharType="end"/>
          </w:r>
          <w:r>
            <w:rPr>
              <w:color w:val="auto"/>
              <w:sz w:val="32"/>
              <w:szCs w:val="32"/>
              <w:highlight w:val="none"/>
            </w:rPr>
            <w:fldChar w:fldCharType="end"/>
          </w:r>
          <w:r/>
        </w:p>
        <w:p>
          <w:pPr>
            <w:pStyle w:val="903"/>
            <w:spacing w:line="360" w:lineRule="auto"/>
            <w:tabs>
              <w:tab w:val="right" w:pos="9639" w:leader="dot"/>
            </w:tabs>
            <w:rPr>
              <w:color w:val="auto"/>
              <w:sz w:val="32"/>
              <w:szCs w:val="32"/>
              <w:highlight w:val="none"/>
            </w:rPr>
          </w:pPr>
          <w:r>
            <w:rPr>
              <w:color w:val="auto"/>
              <w:sz w:val="32"/>
              <w:szCs w:val="32"/>
              <w:highlight w:val="none"/>
            </w:rPr>
          </w:r>
          <w:r/>
        </w:p>
        <w:p>
          <w:pPr>
            <w:jc w:val="center"/>
            <w:spacing w:line="360" w:lineRule="auto"/>
            <w:rPr>
              <w:rFonts w:hint="eastAsia" w:ascii="黑体" w:hAnsi="黑体" w:eastAsia="黑体"/>
              <w:color w:val="auto"/>
              <w:sz w:val="32"/>
              <w:szCs w:val="32"/>
              <w:highlight w:val="none"/>
            </w:rPr>
          </w:pPr>
          <w:r>
            <w:rPr>
              <w:rFonts w:ascii="黑体" w:hAnsi="黑体" w:eastAsia="黑体"/>
              <w:color w:val="auto"/>
              <w:sz w:val="32"/>
              <w:szCs w:val="32"/>
              <w:highlight w:val="none"/>
            </w:rPr>
            <w:fldChar w:fldCharType="end"/>
          </w:r>
          <w:r/>
        </w:p>
      </w:sdtContent>
    </w:sdt>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jc w:val="left"/>
        <w:rPr>
          <w:rFonts w:hint="eastAsia" w:ascii="黑体" w:hAnsi="黑体" w:eastAsia="黑体"/>
          <w:color w:val="auto"/>
          <w:sz w:val="28"/>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olor w:val="auto"/>
          <w:sz w:val="28"/>
          <w:highlight w:val="none"/>
        </w:rPr>
      </w:r>
      <w:r/>
    </w:p>
    <w:p>
      <w:pPr>
        <w:jc w:val="center"/>
        <w:tabs>
          <w:tab w:val="center" w:pos="4879" w:leader="none"/>
          <w:tab w:val="left" w:pos="8218" w:leader="none"/>
        </w:tabs>
        <w:rPr>
          <w:rFonts w:hint="eastAsia" w:ascii="黑体" w:hAnsi="黑体" w:eastAsia="黑体"/>
          <w:color w:val="auto"/>
          <w:sz w:val="28"/>
          <w:highlight w:val="none"/>
        </w:rPr>
        <w:outlineLvl w:val="0"/>
      </w:pPr>
      <w:r/>
      <w:bookmarkStart w:id="23" w:name="_Toc73607003"/>
      <w:r/>
      <w:bookmarkStart w:id="24" w:name="_Toc1304"/>
      <w:r/>
      <w:bookmarkStart w:id="25" w:name="_Toc7158"/>
      <w:r/>
      <w:bookmarkStart w:id="26" w:name="_Toc17526"/>
      <w:r/>
      <w:bookmarkStart w:id="27" w:name="_Toc26196"/>
      <w:r/>
      <w:bookmarkStart w:id="28" w:name="_Toc18564"/>
      <w:r/>
      <w:bookmarkStart w:id="29" w:name="_Toc2870"/>
      <w:r>
        <w:rPr>
          <w:rFonts w:hint="eastAsia" w:ascii="黑体" w:hAnsi="黑体" w:eastAsia="黑体"/>
          <w:color w:val="auto"/>
          <w:sz w:val="28"/>
          <w:highlight w:val="none"/>
        </w:rPr>
        <w:t xml:space="preserve">第一章 投标邀请函</w:t>
      </w:r>
      <w:bookmarkEnd w:id="23"/>
      <w:r/>
      <w:bookmarkEnd w:id="24"/>
      <w:r/>
      <w:bookmarkEnd w:id="25"/>
      <w:r/>
      <w:bookmarkEnd w:id="26"/>
      <w:r/>
      <w:bookmarkEnd w:id="27"/>
      <w:r/>
      <w:bookmarkEnd w:id="28"/>
      <w:r/>
      <w:bookmarkEnd w:id="29"/>
      <w:r/>
      <w:r/>
    </w:p>
    <w:p>
      <w:pPr>
        <w:pStyle w:val="708"/>
        <w:rPr>
          <w:color w:val="auto"/>
          <w:highlight w:val="none"/>
        </w:rPr>
      </w:pPr>
      <w:r>
        <w:rPr>
          <w:color w:val="auto"/>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宜兴市教育局</w:t>
      </w:r>
      <w:r>
        <w:rPr>
          <w:rFonts w:hint="eastAsia" w:ascii="宋体" w:hAnsi="宋体"/>
          <w:bCs/>
          <w:color w:val="auto"/>
          <w:sz w:val="24"/>
          <w:szCs w:val="24"/>
          <w:highlight w:val="none"/>
        </w:rPr>
        <w:t xml:space="preserve">对</w:t>
      </w:r>
      <w:r>
        <w:rPr>
          <w:rFonts w:hint="eastAsia" w:ascii="宋体" w:hAnsi="宋体"/>
          <w:bCs/>
          <w:color w:val="auto"/>
          <w:sz w:val="24"/>
          <w:szCs w:val="24"/>
          <w:highlight w:val="none"/>
          <w:lang w:eastAsia="zh-CN"/>
        </w:rPr>
        <w:t xml:space="preserve">江南大学宜兴校区超高效液相在线固相萃取串联四极杆质谱分析系统采购</w:t>
      </w:r>
      <w:r>
        <w:rPr>
          <w:rFonts w:hint="eastAsia" w:ascii="宋体" w:hAnsi="宋体"/>
          <w:color w:val="auto"/>
          <w:sz w:val="24"/>
          <w:szCs w:val="28"/>
          <w:highlight w:val="none"/>
        </w:rPr>
        <w:t xml:space="preserve">进行公开招标，</w:t>
      </w:r>
      <w:r>
        <w:rPr>
          <w:rFonts w:hint="eastAsia" w:ascii="宋体" w:hAnsi="宋体"/>
          <w:bCs/>
          <w:color w:val="auto"/>
          <w:sz w:val="24"/>
          <w:szCs w:val="24"/>
          <w:highlight w:val="none"/>
        </w:rPr>
        <w:t xml:space="preserve">欢迎你单位参加投标并提请注意下列附表中的相关事项。</w:t>
      </w:r>
      <w:r/>
    </w:p>
    <w:tbl>
      <w:tblPr>
        <w:tblStyle w:val="707"/>
        <w:tblW w:w="95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854"/>
        <w:gridCol w:w="1718"/>
        <w:gridCol w:w="6218"/>
      </w:tblGrid>
      <w:tr>
        <w:trPr>
          <w:jc w:val="center"/>
          <w:trHeight w:val="267"/>
        </w:trPr>
        <w:tc>
          <w:tcPr>
            <w:tcW w:w="730" w:type="dxa"/>
            <w:textDirection w:val="lrTb"/>
            <w:noWrap w:val="false"/>
          </w:tcPr>
          <w:p>
            <w:pPr>
              <w:jc w:val="center"/>
              <w:rPr>
                <w:rFonts w:hint="eastAsia" w:ascii="宋体" w:hAnsi="宋体"/>
                <w:bCs/>
                <w:color w:val="auto"/>
                <w:sz w:val="24"/>
                <w:szCs w:val="24"/>
                <w:highlight w:val="none"/>
              </w:rPr>
            </w:pPr>
            <w:r/>
            <w:bookmarkStart w:id="30" w:name="OLE_LINK37"/>
            <w:r/>
            <w:bookmarkStart w:id="31" w:name="_Toc29543"/>
            <w:r>
              <w:rPr>
                <w:rFonts w:hint="eastAsia" w:ascii="宋体" w:hAnsi="宋体"/>
                <w:bCs/>
                <w:color w:val="auto"/>
                <w:sz w:val="24"/>
                <w:szCs w:val="24"/>
                <w:highlight w:val="none"/>
              </w:rPr>
              <w:t xml:space="preserve">序号</w:t>
            </w:r>
            <w:r/>
          </w:p>
        </w:tc>
        <w:tc>
          <w:tcPr>
            <w:tcW w:w="854" w:type="dxa"/>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36" w:type="dxa"/>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内容</w:t>
            </w:r>
            <w:r/>
          </w:p>
        </w:tc>
      </w:tr>
      <w:tr>
        <w:trPr>
          <w:jc w:val="center"/>
          <w:trHeight w:val="2849"/>
        </w:trPr>
        <w:tc>
          <w:tcPr>
            <w:tcW w:w="730" w:type="dxa"/>
            <w:vAlign w:val="center"/>
            <w:textDirection w:val="lrTb"/>
            <w:noWrap w:val="false"/>
          </w:tcPr>
          <w:p>
            <w:pPr>
              <w:jc w:val="center"/>
              <w:rPr>
                <w:rFonts w:hint="eastAsia" w:ascii="宋体" w:hAnsi="宋体"/>
                <w:bCs/>
                <w:color w:val="auto"/>
                <w:sz w:val="24"/>
                <w:szCs w:val="24"/>
                <w:highlight w:val="none"/>
              </w:rPr>
            </w:pPr>
            <w:r>
              <w:rPr>
                <w:rFonts w:ascii="宋体" w:hAnsi="宋体"/>
                <w:bCs/>
                <w:color w:val="auto"/>
                <w:sz w:val="24"/>
                <w:szCs w:val="24"/>
                <w:highlight w:val="none"/>
              </w:rPr>
              <w:t xml:space="preserve">1</w:t>
            </w:r>
            <w:r/>
          </w:p>
        </w:tc>
        <w:tc>
          <w:tcPr>
            <w:tcW w:w="854"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目</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信</w:t>
            </w:r>
            <w:r/>
          </w:p>
          <w:p>
            <w:pPr>
              <w:jc w:val="center"/>
              <w:rPr>
                <w:rFonts w:hint="eastAsia" w:ascii="宋体" w:hAnsi="宋体"/>
                <w:bCs/>
                <w:color w:val="auto"/>
                <w:sz w:val="24"/>
                <w:szCs w:val="24"/>
                <w:highlight w:val="none"/>
              </w:rPr>
            </w:pPr>
            <w:r>
              <w:rPr>
                <w:rFonts w:hint="eastAsia" w:ascii="宋体" w:hAnsi="宋体"/>
                <w:b/>
                <w:color w:val="auto"/>
                <w:sz w:val="24"/>
                <w:szCs w:val="24"/>
                <w:highlight w:val="none"/>
                <w:lang w:val="zh-CN"/>
              </w:rPr>
              <w:t xml:space="preserve">息</w:t>
            </w:r>
            <w:bookmarkStart w:id="32" w:name="OLE_LINK108"/>
            <w:r/>
            <w:bookmarkEnd w:id="32"/>
            <w:r/>
            <w:r/>
          </w:p>
        </w:tc>
        <w:tc>
          <w:tcPr>
            <w:gridSpan w:val="2"/>
            <w:tcW w:w="7936" w:type="dxa"/>
            <w:textDirection w:val="lrTb"/>
            <w:noWrap w:val="false"/>
          </w:tcPr>
          <w:p>
            <w:pPr>
              <w:jc w:val="left"/>
              <w:rPr>
                <w:rFonts w:hint="eastAsia" w:ascii="宋体" w:hAnsi="宋体" w:eastAsia="宋体"/>
                <w:bCs/>
                <w:color w:val="auto"/>
                <w:sz w:val="24"/>
                <w:szCs w:val="24"/>
                <w:highlight w:val="none"/>
                <w:lang w:eastAsia="zh-CN"/>
              </w:rPr>
            </w:pPr>
            <w:r/>
            <w:bookmarkStart w:id="33" w:name="OLE_LINK192"/>
            <w:r>
              <w:rPr>
                <w:rFonts w:hint="eastAsia" w:ascii="宋体" w:hAnsi="宋体"/>
                <w:bCs/>
                <w:color w:val="auto"/>
                <w:sz w:val="24"/>
                <w:szCs w:val="24"/>
                <w:highlight w:val="none"/>
              </w:rPr>
              <w:t xml:space="preserve">1、项目名称：</w:t>
            </w:r>
            <w:r>
              <w:rPr>
                <w:rFonts w:hint="eastAsia" w:ascii="宋体" w:hAnsi="宋体"/>
                <w:bCs/>
                <w:color w:val="auto"/>
                <w:sz w:val="24"/>
                <w:szCs w:val="24"/>
                <w:highlight w:val="none"/>
                <w:lang w:eastAsia="zh-CN"/>
              </w:rPr>
              <w:t xml:space="preserve">江南大学宜兴校区超高效液相在线固相萃取串联四极杆质谱分析系统采购</w:t>
            </w:r>
            <w:r/>
          </w:p>
          <w:p>
            <w:pPr>
              <w:jc w:val="left"/>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：JSZC-320282-HHCG-G2026-0017</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eastAsia="zh-CN"/>
              </w:rPr>
              <w:t xml:space="preserve">项目类型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货物类</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4、核心产品：</w:t>
            </w:r>
            <w:r>
              <w:rPr>
                <w:rFonts w:hint="eastAsia" w:ascii="宋体" w:hAnsi="宋体" w:cs="宋体"/>
                <w:color w:val="auto"/>
                <w:sz w:val="24"/>
                <w:highlight w:val="none"/>
                <w:lang w:bidi="ar"/>
              </w:rPr>
              <w:t xml:space="preserve">超高效液相在线固相萃取串联四极杆质谱分析系统</w:t>
            </w:r>
            <w:r/>
          </w:p>
          <w:p>
            <w:pPr>
              <w:pStyle w:val="708"/>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、本项目标的所属行业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其他未列明行业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暗标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、评标方法：综合评分法</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bookmarkStart w:id="34" w:name="OLE_LINK4"/>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eastAsia="zh-CN"/>
              </w:rPr>
              <w:t xml:space="preserve">：</w:t>
            </w:r>
            <w:bookmarkStart w:id="35" w:name="OLE_LINK67"/>
            <w:r>
              <w:rPr>
                <w:rFonts w:hint="eastAsia" w:ascii="宋体" w:hAnsi="宋体"/>
                <w:bCs/>
                <w:color w:val="auto"/>
                <w:sz w:val="24"/>
                <w:szCs w:val="24"/>
                <w:highlight w:val="none"/>
                <w:lang w:val="en-US" w:eastAsia="zh-CN"/>
              </w:rPr>
              <w:t xml:space="preserve">5878952.00</w:t>
            </w:r>
            <w:r>
              <w:rPr>
                <w:rFonts w:hint="eastAsia" w:ascii="宋体" w:hAnsi="宋体"/>
                <w:bCs/>
                <w:color w:val="auto"/>
                <w:sz w:val="24"/>
                <w:szCs w:val="24"/>
                <w:highlight w:val="none"/>
              </w:rPr>
              <w:t xml:space="preserve">元</w:t>
            </w:r>
            <w:bookmarkEnd w:id="33"/>
            <w:r/>
            <w:bookmarkEnd w:id="35"/>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、最高限价：同预算金额</w:t>
            </w:r>
            <w:bookmarkEnd w:id="34"/>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、是否接受进口产品：接受</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集中考察或答疑：无</w:t>
            </w:r>
            <w:r/>
          </w:p>
        </w:tc>
      </w:tr>
      <w:tr>
        <w:trPr>
          <w:jc w:val="center"/>
          <w:trHeight w:val="3446"/>
        </w:trPr>
        <w:tc>
          <w:tcPr>
            <w:tcW w:w="730" w:type="dxa"/>
            <w:vAlign w:val="center"/>
            <w:textDirection w:val="lrTb"/>
            <w:noWrap w:val="false"/>
          </w:tcPr>
          <w:p>
            <w:pPr>
              <w:jc w:val="center"/>
              <w:rPr>
                <w:rFonts w:hint="eastAsia" w:ascii="宋体" w:hAnsi="宋体"/>
                <w:bCs/>
                <w:color w:val="auto"/>
                <w:sz w:val="24"/>
                <w:szCs w:val="24"/>
                <w:highlight w:val="none"/>
              </w:rPr>
            </w:pPr>
            <w:r/>
            <w:bookmarkStart w:id="36" w:name="OLE_LINK61"/>
            <w:r>
              <w:rPr>
                <w:rFonts w:ascii="宋体" w:hAnsi="宋体"/>
                <w:bCs/>
                <w:color w:val="auto"/>
                <w:sz w:val="24"/>
                <w:szCs w:val="24"/>
                <w:highlight w:val="none"/>
              </w:rPr>
              <w:t xml:space="preserve">2</w:t>
            </w:r>
            <w:r/>
          </w:p>
        </w:tc>
        <w:tc>
          <w:tcPr>
            <w:tcW w:w="854" w:type="dxa"/>
            <w:vAlign w:val="center"/>
            <w:textDirection w:val="lrTb"/>
            <w:noWrap w:val="false"/>
          </w:tcPr>
          <w:p>
            <w:pPr>
              <w:pStyle w:val="894"/>
              <w:jc w:val="center"/>
              <w:spacing w:line="276" w:lineRule="auto"/>
              <w:rPr>
                <w:b/>
                <w:bCs/>
                <w:color w:val="auto"/>
                <w:highlight w:val="none"/>
                <w:lang w:val="zh-CN"/>
              </w:rPr>
            </w:pPr>
            <w:r/>
            <w:bookmarkStart w:id="37" w:name="OLE_LINK208"/>
            <w:r>
              <w:rPr>
                <w:rFonts w:hint="eastAsia"/>
                <w:b/>
                <w:bCs/>
                <w:color w:val="auto"/>
                <w:highlight w:val="none"/>
                <w:lang w:val="zh-CN"/>
              </w:rPr>
              <w:t xml:space="preserve">资</w:t>
            </w:r>
            <w:r/>
          </w:p>
          <w:p>
            <w:pPr>
              <w:pStyle w:val="894"/>
              <w:jc w:val="center"/>
              <w:spacing w:line="276" w:lineRule="auto"/>
              <w:rPr>
                <w:b/>
                <w:bCs/>
                <w:color w:val="auto"/>
                <w:highlight w:val="none"/>
                <w:lang w:val="zh-CN"/>
              </w:rPr>
            </w:pPr>
            <w:r>
              <w:rPr>
                <w:rFonts w:hint="eastAsia"/>
                <w:b/>
                <w:bCs/>
                <w:color w:val="auto"/>
                <w:highlight w:val="none"/>
                <w:lang w:val="zh-CN"/>
              </w:rPr>
              <w:t xml:space="preserve">格</w:t>
            </w:r>
            <w:bookmarkEnd w:id="37"/>
            <w:r/>
            <w:r/>
          </w:p>
          <w:p>
            <w:pPr>
              <w:pStyle w:val="894"/>
              <w:jc w:val="center"/>
              <w:spacing w:line="276" w:lineRule="auto"/>
              <w:rPr>
                <w:b/>
                <w:bCs/>
                <w:color w:val="auto"/>
                <w:highlight w:val="none"/>
              </w:rPr>
            </w:pPr>
            <w:r>
              <w:rPr>
                <w:rFonts w:hint="eastAsia"/>
                <w:b/>
                <w:bCs/>
                <w:color w:val="auto"/>
                <w:highlight w:val="none"/>
              </w:rPr>
              <w:t xml:space="preserve">条</w:t>
            </w:r>
            <w:r/>
          </w:p>
          <w:p>
            <w:pPr>
              <w:pStyle w:val="894"/>
              <w:jc w:val="center"/>
              <w:spacing w:line="276" w:lineRule="auto"/>
              <w:rPr>
                <w:color w:val="auto"/>
                <w:highlight w:val="none"/>
              </w:rPr>
            </w:pPr>
            <w:r>
              <w:rPr>
                <w:rFonts w:hint="eastAsia"/>
                <w:b/>
                <w:bCs/>
                <w:color w:val="auto"/>
                <w:highlight w:val="none"/>
              </w:rPr>
              <w:t xml:space="preserve">件</w:t>
            </w:r>
            <w:r/>
          </w:p>
        </w:tc>
        <w:tc>
          <w:tcPr>
            <w:gridSpan w:val="2"/>
            <w:tcW w:w="7936" w:type="dxa"/>
            <w:textDirection w:val="lrTb"/>
            <w:noWrap w:val="false"/>
          </w:tcPr>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bookmarkStart w:id="38" w:name="OLE_LINK6"/>
            <w:r>
              <w:rPr>
                <w:rFonts w:hint="eastAsia" w:ascii="宋体" w:hAnsi="宋体" w:cs="宋体"/>
                <w:bCs/>
                <w:color w:val="auto"/>
                <w:sz w:val="24"/>
                <w:szCs w:val="24"/>
                <w:highlight w:val="none"/>
              </w:rPr>
              <w:t xml:space="preserve">满足《中华人民共和国政府采购法》第二十二条规定</w:t>
            </w:r>
            <w:bookmarkEnd w:id="38"/>
            <w:r>
              <w:rPr>
                <w:rFonts w:hint="eastAsia" w:ascii="宋体" w:hAnsi="宋体" w:cs="宋体"/>
                <w:bCs/>
                <w:color w:val="auto"/>
                <w:sz w:val="24"/>
                <w:szCs w:val="24"/>
                <w:highlight w:val="none"/>
              </w:rPr>
              <w:t xml:space="preserve">；</w:t>
            </w:r>
            <w:r/>
          </w:p>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p>
          <w:p>
            <w:pPr>
              <w:spacing w:line="320" w:lineRule="exact"/>
              <w:rPr>
                <w:rFonts w:hint="eastAsia" w:ascii="宋体" w:hAnsi="宋体" w:cs="宋体"/>
                <w:bCs/>
                <w:color w:val="auto"/>
                <w:sz w:val="24"/>
                <w:szCs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bCs/>
                <w:color w:val="auto"/>
                <w:sz w:val="24"/>
                <w:szCs w:val="24"/>
                <w:highlight w:val="none"/>
              </w:rPr>
              <w:t xml:space="preserve">落实政府采购政策需满足的资格要求：</w:t>
            </w:r>
            <w:bookmarkStart w:id="39" w:name="OLE_LINK11"/>
            <w:r>
              <w:rPr>
                <w:rFonts w:hint="eastAsia" w:ascii="宋体" w:hAnsi="宋体" w:cs="宋体"/>
                <w:bCs/>
                <w:color w:val="auto"/>
                <w:sz w:val="24"/>
                <w:szCs w:val="24"/>
                <w:highlight w:val="none"/>
              </w:rPr>
              <w:t xml:space="preserve">本项目非专门面向中小企业采购</w:t>
            </w:r>
            <w:bookmarkEnd w:id="39"/>
            <w:r>
              <w:rPr>
                <w:rFonts w:hint="eastAsia" w:ascii="宋体" w:hAnsi="宋体" w:cs="宋体"/>
                <w:bCs/>
                <w:color w:val="auto"/>
                <w:sz w:val="24"/>
                <w:szCs w:val="24"/>
                <w:highlight w:val="none"/>
              </w:rPr>
              <w:t xml:space="preserve">；</w:t>
            </w:r>
            <w:r/>
          </w:p>
          <w:p>
            <w:pPr>
              <w:spacing w:line="320" w:lineRule="exact"/>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、本项目不接受联合体，不接受中标后分包；</w:t>
            </w:r>
            <w:r/>
          </w:p>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特定资格要求：无；</w:t>
            </w:r>
            <w:r/>
          </w:p>
          <w:p>
            <w:pPr>
              <w:spacing w:line="320" w:lineRule="exact"/>
              <w:rPr>
                <w:rFonts w:hint="eastAsia" w:ascii="宋体" w:hAnsi="宋体" w:eastAsia="宋体" w:cs="宋体"/>
                <w:bCs/>
                <w:color w:val="auto"/>
                <w:sz w:val="24"/>
                <w:szCs w:val="24"/>
                <w:highlight w:val="none"/>
                <w:lang w:eastAsia="zh-CN"/>
              </w:rPr>
            </w:pPr>
            <w:r/>
            <w:bookmarkStart w:id="40" w:name="_Hlk152312011"/>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rPr>
                <w:rFonts w:hint="eastAsia" w:ascii="宋体" w:hAnsi="宋体" w:cs="宋体"/>
                <w:bCs/>
                <w:color w:val="auto"/>
                <w:sz w:val="24"/>
                <w:szCs w:val="24"/>
                <w:highlight w:val="none"/>
                <w:lang w:eastAsia="zh-CN"/>
              </w:rPr>
              <w:t xml:space="preserve">；</w:t>
            </w:r>
            <w:r/>
          </w:p>
          <w:p>
            <w:pPr>
              <w:rPr>
                <w:color w:val="auto"/>
                <w:highlight w:val="none"/>
                <w:lang w:val="zh-CN"/>
              </w:rPr>
            </w:pPr>
            <w:r>
              <w:rPr>
                <w:rFonts w:ascii="宋体" w:hAnsi="宋体" w:cs="宋体"/>
                <w:bCs/>
                <w:color w:val="auto"/>
                <w:sz w:val="24"/>
                <w:szCs w:val="24"/>
                <w:highlight w:val="none"/>
              </w:rPr>
              <w:t xml:space="preserve">7</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为本采购项目提供整体设计、规范编制或者项目管理、监理、检测等服务的供应商（投标人），不得再参加本采购项目的采购活动。</w:t>
            </w:r>
            <w:bookmarkEnd w:id="40"/>
            <w:r/>
            <w:r/>
          </w:p>
        </w:tc>
      </w:tr>
      <w:tr>
        <w:trPr>
          <w:jc w:val="center"/>
          <w:trHeight w:val="2620"/>
        </w:trPr>
        <w:tc>
          <w:tcPr>
            <w:tcW w:w="730" w:type="dxa"/>
            <w:vAlign w:val="center"/>
            <w:textDirection w:val="lrTb"/>
            <w:noWrap w:val="false"/>
          </w:tcPr>
          <w:p>
            <w:pPr>
              <w:ind w:firstLine="240"/>
              <w:jc w:val="center"/>
              <w:spacing w:line="240" w:lineRule="atLeast"/>
              <w:rPr>
                <w:color w:val="auto"/>
                <w:highlight w:val="none"/>
              </w:rPr>
            </w:pPr>
            <w:r>
              <w:rPr>
                <w:rFonts w:hint="eastAsia" w:ascii="宋体" w:hAnsi="宋体"/>
                <w:bCs/>
                <w:color w:val="auto"/>
                <w:sz w:val="24"/>
                <w:szCs w:val="24"/>
                <w:highlight w:val="none"/>
              </w:rPr>
              <w:t xml:space="preserve">3</w:t>
            </w:r>
            <w:r/>
          </w:p>
        </w:tc>
        <w:tc>
          <w:tcPr>
            <w:tcW w:w="854" w:type="dxa"/>
            <w:textDirection w:val="lrTb"/>
            <w:noWrap w:val="false"/>
          </w:tcPr>
          <w:p>
            <w:pPr>
              <w:jc w:val="center"/>
              <w:spacing w:line="240" w:lineRule="atLeast"/>
              <w:rPr>
                <w:rFonts w:ascii="宋体"/>
                <w:b/>
                <w:bCs/>
                <w:color w:val="auto"/>
                <w:sz w:val="24"/>
                <w:highlight w:val="none"/>
              </w:rPr>
            </w:pPr>
            <w:r>
              <w:rPr>
                <w:rFonts w:ascii="宋体"/>
                <w:b/>
                <w:bCs/>
                <w:color w:val="auto"/>
                <w:sz w:val="24"/>
                <w:highlight w:val="none"/>
              </w:rPr>
            </w:r>
            <w:r/>
          </w:p>
          <w:p>
            <w:pPr>
              <w:jc w:val="center"/>
              <w:spacing w:line="240" w:lineRule="atLeast"/>
              <w:rPr>
                <w:rFonts w:ascii="宋体"/>
                <w:b/>
                <w:bCs/>
                <w:color w:val="auto"/>
                <w:sz w:val="24"/>
                <w:highlight w:val="none"/>
              </w:rPr>
            </w:pPr>
            <w:r>
              <w:rPr>
                <w:rFonts w:ascii="宋体"/>
                <w:b/>
                <w:bCs/>
                <w:color w:val="auto"/>
                <w:sz w:val="24"/>
                <w:highlight w:val="none"/>
              </w:rPr>
            </w:r>
            <w:r/>
          </w:p>
          <w:p>
            <w:pPr>
              <w:jc w:val="center"/>
              <w:spacing w:line="240" w:lineRule="atLeast"/>
              <w:rPr>
                <w:rFonts w:ascii="宋体"/>
                <w:b/>
                <w:bCs/>
                <w:color w:val="auto"/>
                <w:sz w:val="24"/>
                <w:highlight w:val="none"/>
              </w:rPr>
            </w:pPr>
            <w:r>
              <w:rPr>
                <w:rFonts w:hint="eastAsia" w:ascii="宋体"/>
                <w:b/>
                <w:bCs/>
                <w:color w:val="auto"/>
                <w:sz w:val="24"/>
                <w:highlight w:val="none"/>
              </w:rPr>
              <w:t xml:space="preserve">招</w:t>
            </w:r>
            <w:r/>
          </w:p>
          <w:p>
            <w:pPr>
              <w:jc w:val="center"/>
              <w:spacing w:line="240" w:lineRule="atLeast"/>
              <w:rPr>
                <w:rFonts w:ascii="宋体"/>
                <w:b/>
                <w:bCs/>
                <w:color w:val="auto"/>
                <w:sz w:val="24"/>
                <w:highlight w:val="none"/>
              </w:rPr>
            </w:pPr>
            <w:r>
              <w:rPr>
                <w:rFonts w:hint="eastAsia" w:ascii="宋体"/>
                <w:b/>
                <w:bCs/>
                <w:color w:val="auto"/>
                <w:sz w:val="24"/>
                <w:highlight w:val="none"/>
              </w:rPr>
              <w:t xml:space="preserve">标</w:t>
            </w:r>
            <w:r/>
          </w:p>
          <w:p>
            <w:pPr>
              <w:jc w:val="center"/>
              <w:spacing w:line="240" w:lineRule="atLeast"/>
              <w:rPr>
                <w:rFonts w:ascii="宋体"/>
                <w:b/>
                <w:bCs/>
                <w:color w:val="auto"/>
                <w:sz w:val="24"/>
                <w:highlight w:val="none"/>
              </w:rPr>
            </w:pPr>
            <w:r>
              <w:rPr>
                <w:rFonts w:hint="eastAsia" w:ascii="宋体"/>
                <w:b/>
                <w:bCs/>
                <w:color w:val="auto"/>
                <w:sz w:val="24"/>
                <w:highlight w:val="none"/>
              </w:rPr>
              <w:t xml:space="preserve">文</w:t>
            </w:r>
            <w:r/>
          </w:p>
          <w:p>
            <w:pPr>
              <w:jc w:val="center"/>
              <w:spacing w:line="240" w:lineRule="atLeast"/>
              <w:rPr>
                <w:rFonts w:hint="eastAsia" w:ascii="宋体" w:hAnsi="宋体" w:cs="宋体"/>
                <w:bCs/>
                <w:color w:val="auto"/>
                <w:sz w:val="24"/>
                <w:szCs w:val="21"/>
                <w:highlight w:val="none"/>
              </w:rPr>
            </w:pPr>
            <w:r>
              <w:rPr>
                <w:rFonts w:hint="eastAsia" w:ascii="宋体"/>
                <w:b/>
                <w:bCs/>
                <w:color w:val="auto"/>
                <w:sz w:val="24"/>
                <w:highlight w:val="none"/>
              </w:rPr>
              <w:t xml:space="preserve">件</w:t>
            </w:r>
            <w:r/>
          </w:p>
        </w:tc>
        <w:tc>
          <w:tcPr>
            <w:gridSpan w:val="2"/>
            <w:tcW w:w="7936" w:type="dxa"/>
            <w:textDirection w:val="lrTb"/>
            <w:noWrap w:val="false"/>
          </w:tcPr>
          <w:p>
            <w:pPr>
              <w:numPr>
                <w:ilvl w:val="0"/>
                <w:numId w:val="0"/>
              </w:num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招标文件的获取：首次投标文件提交截止时间前，通过“江苏政府采购网”首页“苏采云”标签进入系统，应在“项目参与”中下载电子招标文件(后缀名为“.kedt”)；可在“江苏政府采购网”采购公告附件中下载word版招标文件。</w:t>
            </w:r>
            <w:r/>
          </w:p>
          <w:p>
            <w:pPr>
              <w:numPr>
                <w:ilvl w:val="0"/>
                <w:numId w:val="0"/>
              </w:num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“CA锁”的使用：供应商须办理有效的CA锁（即有效的CA数字证书及电子签章）才可参与全流程电子政府采购活动，省内各地区办理的“苏采云”系统下的CA锁全省通用。</w:t>
            </w:r>
            <w:r/>
          </w:p>
          <w:p>
            <w:pPr>
              <w:rPr>
                <w:rFonts w:hint="eastAsia"/>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CA锁办理方式、“苏采云”系统供应商操作手册及政府采购客户端工具详见江苏政府采购网“办事指南”中的资料下载专栏中的《江苏省政府采购管理交易系统（苏采云)供应商操作指南》。</w:t>
            </w:r>
            <w:bookmarkEnd w:id="36"/>
            <w:r/>
            <w:r/>
          </w:p>
        </w:tc>
      </w:tr>
      <w:tr>
        <w:trPr>
          <w:jc w:val="center"/>
          <w:trHeight w:val="765"/>
        </w:trPr>
        <w:tc>
          <w:tcPr>
            <w:tcW w:w="73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854" w:type="dxa"/>
            <w:vAlign w:val="center"/>
            <w:textDirection w:val="lrTb"/>
            <w:noWrap w:val="false"/>
          </w:tcPr>
          <w:p>
            <w:pPr>
              <w:jc w:val="center"/>
              <w:rPr>
                <w:rFonts w:hint="eastAsia"/>
                <w:b/>
                <w:bCs/>
                <w:color w:val="auto"/>
                <w:sz w:val="24"/>
                <w:szCs w:val="24"/>
                <w:highlight w:val="none"/>
                <w:lang w:eastAsia="zh-CN"/>
              </w:rPr>
            </w:pPr>
            <w:r>
              <w:rPr>
                <w:rFonts w:hint="eastAsia"/>
                <w:b/>
                <w:bCs/>
                <w:color w:val="auto"/>
                <w:sz w:val="24"/>
                <w:szCs w:val="24"/>
                <w:highlight w:val="none"/>
                <w:lang w:eastAsia="zh-CN"/>
              </w:rPr>
              <w:t xml:space="preserve">投</w:t>
            </w:r>
            <w:r/>
          </w:p>
          <w:p>
            <w:pPr>
              <w:jc w:val="center"/>
              <w:rPr>
                <w:rFonts w:hint="eastAsia"/>
                <w:b/>
                <w:bCs/>
                <w:color w:val="auto"/>
                <w:sz w:val="24"/>
                <w:szCs w:val="24"/>
                <w:highlight w:val="none"/>
              </w:rPr>
            </w:pPr>
            <w:r>
              <w:rPr>
                <w:rFonts w:hint="eastAsia"/>
                <w:b/>
                <w:bCs/>
                <w:color w:val="auto"/>
                <w:sz w:val="24"/>
                <w:szCs w:val="24"/>
                <w:highlight w:val="none"/>
              </w:rPr>
              <w:t xml:space="preserve">标</w:t>
            </w:r>
            <w:r/>
          </w:p>
          <w:p>
            <w:pPr>
              <w:jc w:val="center"/>
              <w:rPr>
                <w:rFonts w:hint="eastAsia"/>
                <w:b/>
                <w:bCs/>
                <w:color w:val="auto"/>
                <w:sz w:val="24"/>
                <w:szCs w:val="24"/>
                <w:highlight w:val="none"/>
              </w:rPr>
            </w:pPr>
            <w:r>
              <w:rPr>
                <w:rFonts w:hint="eastAsia"/>
                <w:b/>
                <w:bCs/>
                <w:color w:val="auto"/>
                <w:sz w:val="24"/>
                <w:szCs w:val="24"/>
                <w:highlight w:val="none"/>
              </w:rPr>
              <w:t xml:space="preserve">文</w:t>
            </w:r>
            <w:r/>
          </w:p>
          <w:p>
            <w:pPr>
              <w:jc w:val="center"/>
              <w:rPr>
                <w:rFonts w:hint="eastAsia" w:ascii="宋体" w:hAnsi="宋体"/>
                <w:bCs/>
                <w:color w:val="auto"/>
                <w:sz w:val="24"/>
                <w:szCs w:val="24"/>
                <w:highlight w:val="none"/>
              </w:rPr>
            </w:pPr>
            <w:r>
              <w:rPr>
                <w:rFonts w:hint="eastAsia"/>
                <w:b/>
                <w:bCs/>
                <w:color w:val="auto"/>
                <w:sz w:val="24"/>
                <w:szCs w:val="24"/>
                <w:highlight w:val="none"/>
              </w:rPr>
              <w:t xml:space="preserve">件</w:t>
            </w:r>
            <w:r/>
          </w:p>
        </w:tc>
        <w:tc>
          <w:tcPr>
            <w:gridSpan w:val="2"/>
            <w:tcW w:w="7936" w:type="dxa"/>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投标文件制作及提交：</w:t>
            </w:r>
            <w:bookmarkStart w:id="41" w:name="_Hlk127868380"/>
            <w:r>
              <w:rPr>
                <w:rFonts w:hint="eastAsia" w:ascii="宋体" w:hAnsi="宋体" w:eastAsia="宋体" w:cs="宋体"/>
                <w:sz w:val="24"/>
                <w:szCs w:val="24"/>
              </w:rPr>
              <w:t xml:space="preserve">将电子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导入政府采购客户端工具制作投标文件，导出加密的投标文件(后缀名为zip)，通过“苏采云”系统上传投标文件。</w:t>
            </w:r>
            <w:bookmarkEnd w:id="41"/>
            <w:r/>
            <w:r/>
          </w:p>
          <w:p>
            <w:pP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提交投标文件截止时间后的投标文件，恕不接受。</w:t>
            </w:r>
            <w:r/>
          </w:p>
          <w:p>
            <w:pPr>
              <w:pStyle w:val="708"/>
              <w:rPr>
                <w:rFonts w:hint="eastAsia"/>
              </w:rPr>
            </w:pPr>
            <w:r>
              <w:rPr>
                <w:rFonts w:hint="eastAsia" w:ascii="宋体" w:hAnsi="宋体" w:eastAsia="宋体" w:cs="宋体"/>
                <w:b/>
                <w:color w:val="auto"/>
                <w:sz w:val="24"/>
                <w:szCs w:val="24"/>
                <w:highlight w:val="none"/>
                <w:u w:val="single"/>
                <w:lang w:val="en-US" w:eastAsia="zh-CN"/>
              </w:rPr>
              <w:t xml:space="preserve">3、</w:t>
            </w:r>
            <w:r>
              <w:rPr>
                <w:rFonts w:hint="eastAsia" w:ascii="宋体" w:hAnsi="宋体" w:eastAsia="宋体" w:cs="宋体"/>
                <w:b/>
                <w:color w:val="auto"/>
                <w:sz w:val="24"/>
                <w:szCs w:val="24"/>
                <w:highlight w:val="none"/>
                <w:u w:val="single"/>
              </w:rPr>
              <w:t xml:space="preserve">特别注意：本项目采用暗标形式，投标人须按第</w:t>
            </w:r>
            <w:r>
              <w:rPr>
                <w:rFonts w:hint="eastAsia" w:ascii="宋体" w:hAnsi="宋体" w:eastAsia="宋体" w:cs="宋体"/>
                <w:b/>
                <w:color w:val="auto"/>
                <w:sz w:val="24"/>
                <w:szCs w:val="24"/>
                <w:highlight w:val="none"/>
                <w:u w:val="single"/>
                <w:lang w:val="en-US" w:eastAsia="zh-CN"/>
              </w:rPr>
              <w:t xml:space="preserve">四</w:t>
            </w:r>
            <w:r>
              <w:rPr>
                <w:rFonts w:hint="eastAsia" w:ascii="宋体" w:hAnsi="宋体" w:eastAsia="宋体" w:cs="宋体"/>
                <w:b/>
                <w:color w:val="auto"/>
                <w:sz w:val="24"/>
                <w:szCs w:val="24"/>
                <w:highlight w:val="none"/>
                <w:u w:val="single"/>
              </w:rPr>
              <w:t xml:space="preserve">章《评标方法和标准》的相关要求对商务部分和技术部分分别进行制作。其中技术部分属于暗标，投标人在制作技术部分相关内容时不得有体现投标人身份的内容，否则投标无效。</w:t>
            </w:r>
            <w:r/>
          </w:p>
        </w:tc>
      </w:tr>
      <w:tr>
        <w:trPr>
          <w:jc w:val="center"/>
          <w:trHeight w:val="853"/>
        </w:trPr>
        <w:tc>
          <w:tcPr>
            <w:tcW w:w="73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854" w:type="dxa"/>
            <w:vAlign w:val="center"/>
            <w:textDirection w:val="lrTb"/>
            <w:noWrap w:val="false"/>
          </w:tcPr>
          <w:p>
            <w:pPr>
              <w:pStyle w:val="894"/>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hint="eastAsia"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36" w:type="dxa"/>
            <w:vAlign w:val="center"/>
            <w:textDirection w:val="lrTb"/>
            <w:noWrap w:val="false"/>
          </w:tcPr>
          <w:p>
            <w:pPr>
              <w:jc w:val="left"/>
              <w:rPr>
                <w:rFonts w:hint="eastAsia" w:ascii="宋体" w:hAnsi="宋体" w:cs="宋体"/>
                <w:bCs/>
                <w:color w:val="auto"/>
                <w:sz w:val="24"/>
                <w:szCs w:val="21"/>
                <w:highlight w:val="none"/>
              </w:rPr>
            </w:pPr>
            <w:r>
              <w:rPr>
                <w:rFonts w:hint="eastAsia" w:ascii="宋体" w:hAnsi="宋体"/>
                <w:bCs/>
                <w:color w:val="auto"/>
                <w:sz w:val="24"/>
                <w:szCs w:val="24"/>
                <w:highlight w:val="none"/>
              </w:rPr>
              <w:t xml:space="preserve">本项目免收投标保证金。</w:t>
            </w:r>
            <w:r/>
          </w:p>
        </w:tc>
      </w:tr>
      <w:tr>
        <w:trPr>
          <w:jc w:val="center"/>
          <w:trHeight w:val="8531"/>
        </w:trPr>
        <w:tc>
          <w:tcPr>
            <w:tcW w:w="73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4"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36" w:type="dxa"/>
            <w:textDirection w:val="lrTb"/>
            <w:noWrap w:val="false"/>
          </w:tcPr>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r/>
          </w:p>
          <w:p>
            <w:pPr>
              <w:numPr>
                <w:ilvl w:val="0"/>
                <w:numId w:val="0"/>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lang w:val="en-US" w:eastAsia="zh-CN"/>
              </w:rPr>
              <w:t xml:space="preserve">1、</w:t>
            </w:r>
            <w:r>
              <w:rPr>
                <w:rFonts w:hint="eastAsia" w:ascii="宋体" w:hAnsi="宋体" w:cs="宋体"/>
                <w:bCs/>
                <w:color w:val="auto"/>
                <w:sz w:val="24"/>
                <w:szCs w:val="21"/>
                <w:highlight w:val="none"/>
              </w:rPr>
              <w:t xml:space="preserve">不见面开标注意事项：</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 xml:space="preserve">投标人解密限定在解密时间开始起30分钟内完成</w:t>
            </w:r>
            <w:r>
              <w:rPr>
                <w:rFonts w:hint="eastAsia" w:ascii="宋体" w:hAnsi="宋体" w:cs="宋体"/>
                <w:bCs/>
                <w:color w:val="auto"/>
                <w:sz w:val="24"/>
                <w:szCs w:val="21"/>
                <w:highlight w:val="none"/>
              </w:rPr>
              <w:t xml:space="preserve">，并在规定时间内确认报价，规定时</w:t>
            </w:r>
            <w:r>
              <w:rPr>
                <w:rFonts w:hint="eastAsia" w:ascii="宋体" w:hAnsi="宋体" w:cs="宋体"/>
                <w:bCs/>
                <w:color w:val="auto"/>
                <w:sz w:val="24"/>
                <w:szCs w:val="21"/>
                <w:highlight w:val="none"/>
              </w:rPr>
              <w:t xml:space="preserve">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w:t>
            </w:r>
            <w:r>
              <w:rPr>
                <w:rFonts w:hint="eastAsia" w:ascii="宋体" w:hAnsi="宋体" w:cs="宋体"/>
                <w:bCs/>
                <w:color w:val="auto"/>
                <w:sz w:val="24"/>
                <w:szCs w:val="21"/>
                <w:highlight w:val="none"/>
                <w:lang w:eastAsia="zh-CN"/>
              </w:rPr>
              <w:t xml:space="preserve">交易</w:t>
            </w:r>
            <w:r>
              <w:rPr>
                <w:rFonts w:hint="eastAsia" w:ascii="宋体" w:hAnsi="宋体" w:cs="宋体"/>
                <w:bCs/>
                <w:color w:val="auto"/>
                <w:sz w:val="24"/>
                <w:szCs w:val="21"/>
                <w:highlight w:val="none"/>
              </w:rPr>
              <w:t xml:space="preserve">过程中因投标人自身软硬件配备不齐全、发生故障、CA锁无法正常使用等问题而导致出现不稳定、中断、失效、超时等情况，其后果由投标人承担；</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w:t>
            </w:r>
            <w:r>
              <w:rPr>
                <w:rFonts w:hint="eastAsia" w:ascii="宋体" w:hAnsi="宋体" w:cs="宋体"/>
                <w:bCs/>
                <w:color w:val="auto"/>
                <w:sz w:val="24"/>
                <w:szCs w:val="21"/>
                <w:highlight w:val="none"/>
                <w:lang w:eastAsia="zh-CN"/>
              </w:rPr>
              <w:t xml:space="preserve">将被视为投标人</w:t>
            </w:r>
            <w:r>
              <w:rPr>
                <w:rFonts w:hint="eastAsia" w:ascii="宋体" w:hAnsi="宋体" w:cs="宋体"/>
                <w:bCs/>
                <w:color w:val="auto"/>
                <w:sz w:val="24"/>
                <w:szCs w:val="21"/>
                <w:highlight w:val="none"/>
              </w:rPr>
              <w:t xml:space="preserve">的授权委托人或法人代表。</w:t>
            </w:r>
            <w:r/>
          </w:p>
          <w:p>
            <w:pPr>
              <w:numPr>
                <w:ilvl w:val="0"/>
                <w:numId w:val="0"/>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lang w:val="en-US" w:eastAsia="zh-CN"/>
              </w:rPr>
              <w:t xml:space="preserve">2、</w:t>
            </w:r>
            <w:r>
              <w:rPr>
                <w:rFonts w:hint="eastAsia" w:ascii="宋体" w:hAnsi="宋体" w:cs="宋体"/>
                <w:bCs/>
                <w:color w:val="auto"/>
                <w:sz w:val="24"/>
                <w:szCs w:val="21"/>
                <w:highlight w:val="none"/>
              </w:rPr>
              <w:t xml:space="preserve">采购活动时间：</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提交投标文件截止（即投标截止）时间及开标时间：详见本项目招标公告</w:t>
            </w:r>
            <w:r/>
          </w:p>
          <w:p>
            <w:pPr>
              <w:ind w:firstLine="480"/>
              <w:rPr>
                <w:rFonts w:hint="eastAsia" w:ascii="宋体" w:hAnsi="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1300"/>
        </w:trPr>
        <w:tc>
          <w:tcPr>
            <w:tcW w:w="730" w:type="dxa"/>
            <w:vAlign w:val="center"/>
            <w:vMerge w:val="restart"/>
            <w:textDirection w:val="lrTb"/>
            <w:noWrap w:val="false"/>
          </w:tcPr>
          <w:p>
            <w:pPr>
              <w:jc w:val="center"/>
              <w:rPr>
                <w:rFonts w:hint="eastAsia" w:ascii="宋体" w:hAnsi="宋体"/>
                <w:bCs/>
                <w:color w:val="auto"/>
                <w:sz w:val="24"/>
                <w:szCs w:val="24"/>
                <w:highlight w:val="none"/>
              </w:rPr>
            </w:pPr>
            <w:r/>
            <w:bookmarkStart w:id="42" w:name="OLE_LINK84"/>
            <w:r>
              <w:rPr>
                <w:rFonts w:hint="eastAsia" w:ascii="宋体" w:hAnsi="宋体"/>
                <w:bCs/>
                <w:color w:val="auto"/>
                <w:sz w:val="24"/>
                <w:szCs w:val="24"/>
                <w:highlight w:val="none"/>
              </w:rPr>
              <w:t xml:space="preserve">7</w:t>
            </w:r>
            <w:r/>
          </w:p>
        </w:tc>
        <w:tc>
          <w:tcPr>
            <w:tcW w:w="854" w:type="dxa"/>
            <w:vAlign w:val="center"/>
            <w:vMerge w:val="restart"/>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联系方式</w:t>
            </w:r>
            <w:r/>
          </w:p>
        </w:tc>
        <w:tc>
          <w:tcPr>
            <w:tcW w:w="1718"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218" w:type="dxa"/>
            <w:vAlign w:val="center"/>
            <w:textDirection w:val="lrTb"/>
            <w:noWrap w:val="false"/>
          </w:tcPr>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项目负责人</w:t>
            </w:r>
            <w:r/>
          </w:p>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联系人：</w:t>
            </w:r>
            <w:r>
              <w:rPr>
                <w:rFonts w:hint="eastAsia" w:ascii="宋体" w:hAnsi="宋体"/>
                <w:bCs/>
                <w:color w:val="auto"/>
                <w:sz w:val="24"/>
                <w:szCs w:val="24"/>
                <w:highlight w:val="none"/>
                <w:lang w:val="en-US" w:eastAsia="zh-CN"/>
              </w:rPr>
              <w:t xml:space="preserve">吴</w:t>
            </w:r>
            <w:r>
              <w:rPr>
                <w:rFonts w:hint="eastAsia" w:ascii="宋体" w:hAnsi="宋体"/>
                <w:bCs/>
                <w:color w:val="auto"/>
                <w:sz w:val="24"/>
                <w:szCs w:val="24"/>
                <w:highlight w:val="none"/>
                <w:lang w:val="zh-CN"/>
              </w:rPr>
              <w:t xml:space="preserve">先生</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联系电话：</w:t>
            </w:r>
            <w:r>
              <w:rPr>
                <w:rFonts w:hint="eastAsia" w:ascii="宋体" w:hAnsi="宋体"/>
                <w:bCs/>
                <w:color w:val="auto"/>
                <w:sz w:val="24"/>
                <w:szCs w:val="24"/>
                <w:highlight w:val="none"/>
              </w:rPr>
              <w:t xml:space="preserve">0510-87973002</w:t>
            </w:r>
            <w:r/>
          </w:p>
          <w:p>
            <w:pP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联系地址：</w:t>
            </w:r>
            <w:r>
              <w:rPr>
                <w:rFonts w:hint="eastAsia" w:ascii="宋体" w:hAnsi="宋体" w:cs="宋体"/>
                <w:bCs/>
                <w:color w:val="auto"/>
                <w:sz w:val="24"/>
                <w:szCs w:val="24"/>
                <w:highlight w:val="none"/>
              </w:rPr>
              <w:t xml:space="preserve">宜兴市教育西路19号</w:t>
            </w:r>
            <w:r/>
          </w:p>
          <w:p>
            <w:pPr>
              <w:jc w:val="lef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邮政编码：21420</w:t>
            </w:r>
            <w:r>
              <w:rPr>
                <w:rFonts w:hint="eastAsia" w:ascii="宋体" w:hAnsi="宋体"/>
                <w:bCs/>
                <w:color w:val="auto"/>
                <w:sz w:val="24"/>
                <w:szCs w:val="24"/>
                <w:highlight w:val="none"/>
                <w:lang w:val="en-US" w:eastAsia="zh-CN"/>
              </w:rPr>
              <w:t xml:space="preserve">0</w:t>
            </w:r>
            <w:r/>
          </w:p>
        </w:tc>
      </w:tr>
      <w:tr>
        <w:trPr>
          <w:jc w:val="center"/>
          <w:trHeight w:val="1042"/>
        </w:trPr>
        <w:tc>
          <w:tcPr>
            <w:tcW w:w="730"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54" w:type="dxa"/>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18"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218" w:type="dxa"/>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刘</w:t>
            </w:r>
            <w:r>
              <w:rPr>
                <w:rFonts w:hint="eastAsia" w:ascii="宋体" w:hAnsi="宋体"/>
                <w:bCs/>
                <w:color w:val="auto"/>
                <w:sz w:val="24"/>
                <w:szCs w:val="24"/>
                <w:highlight w:val="none"/>
                <w:lang w:eastAsia="zh-CN"/>
              </w:rPr>
              <w:t xml:space="preserve">女士</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cs="宋体"/>
                <w:bCs/>
                <w:color w:val="auto"/>
                <w:sz w:val="24"/>
                <w:szCs w:val="24"/>
                <w:highlight w:val="none"/>
              </w:rPr>
              <w:t xml:space="preserve">0510-81717763</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联系地址：宜兴市紫竹东路105号</w:t>
            </w:r>
            <w:r/>
          </w:p>
          <w:p>
            <w:pPr>
              <w:jc w:val="lef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邮政编码：21420</w:t>
            </w:r>
            <w:r>
              <w:rPr>
                <w:rFonts w:hint="eastAsia" w:ascii="宋体" w:hAnsi="宋体"/>
                <w:bCs/>
                <w:color w:val="auto"/>
                <w:sz w:val="24"/>
                <w:szCs w:val="24"/>
                <w:highlight w:val="none"/>
                <w:lang w:val="en-US" w:eastAsia="zh-CN"/>
              </w:rPr>
              <w:t xml:space="preserve">0</w:t>
            </w:r>
            <w:r/>
          </w:p>
        </w:tc>
      </w:tr>
      <w:tr>
        <w:trPr>
          <w:jc w:val="center"/>
          <w:trHeight w:val="783"/>
        </w:trPr>
        <w:tc>
          <w:tcPr>
            <w:tcW w:w="730"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54" w:type="dxa"/>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18"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“苏采云”</w:t>
            </w:r>
            <w:r/>
          </w:p>
          <w:p>
            <w:pPr>
              <w:ind w:firstLine="24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218"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hint="eastAsia" w:ascii="宋体" w:hAnsi="宋体"/>
                <w:bCs/>
                <w:color w:val="auto"/>
                <w:sz w:val="24"/>
                <w:szCs w:val="24"/>
                <w:highlight w:val="none"/>
              </w:rPr>
              <w:t xml:space="preserve">供应商) 在“苏采云”系统操作过程中如遇问题，请致电“苏采云”客服</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联系电话：025-83633744、025-83633743</w:t>
            </w:r>
            <w:r/>
          </w:p>
        </w:tc>
      </w:tr>
      <w:tr>
        <w:trPr>
          <w:jc w:val="center"/>
          <w:trHeight w:val="533"/>
        </w:trPr>
        <w:tc>
          <w:tcPr>
            <w:tcW w:w="730"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54" w:type="dxa"/>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18"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218" w:type="dxa"/>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0"/>
            <w:r/>
            <w:bookmarkEnd w:id="42"/>
            <w:r/>
            <w:r/>
          </w:p>
        </w:tc>
      </w:tr>
    </w:tbl>
    <w:p>
      <w:pPr>
        <w:rPr>
          <w:rFonts w:hint="eastAsia" w:ascii="黑体" w:hAnsi="黑体" w:eastAsia="黑体"/>
          <w:color w:val="auto"/>
          <w:sz w:val="28"/>
          <w:highlight w:val="none"/>
        </w:rPr>
      </w:pPr>
      <w:r/>
      <w:bookmarkStart w:id="43" w:name="_Toc24238"/>
      <w:r/>
      <w:bookmarkStart w:id="44" w:name="_Toc10075"/>
      <w:r/>
      <w:bookmarkStart w:id="45" w:name="_Toc23157"/>
      <w:r/>
      <w:bookmarkStart w:id="46" w:name="_Toc4847"/>
      <w:r/>
      <w:bookmarkStart w:id="47" w:name="_Toc73607004"/>
      <w:r/>
      <w:bookmarkStart w:id="48" w:name="_Toc15501"/>
      <w:r/>
      <w:bookmarkStart w:id="49" w:name="OLE_LINK38"/>
      <w:r/>
      <w:bookmarkStart w:id="50" w:name="_Toc12798"/>
      <w:r>
        <w:rPr>
          <w:rFonts w:hint="eastAsia" w:ascii="黑体" w:hAnsi="黑体" w:eastAsia="黑体"/>
          <w:color w:val="auto"/>
          <w:sz w:val="28"/>
          <w:highlight w:val="none"/>
        </w:rPr>
        <w:br w:type="page" w:clear="all"/>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第二章 投标人须知</w:t>
      </w:r>
      <w:bookmarkEnd w:id="31"/>
      <w:r/>
      <w:bookmarkEnd w:id="43"/>
      <w:r/>
      <w:bookmarkEnd w:id="44"/>
      <w:r/>
      <w:bookmarkEnd w:id="45"/>
      <w:r/>
      <w:bookmarkEnd w:id="46"/>
      <w:r/>
      <w:bookmarkEnd w:id="47"/>
      <w:r/>
      <w:bookmarkEnd w:id="48"/>
      <w:r/>
      <w:bookmarkEnd w:id="49"/>
      <w:r/>
      <w:bookmarkEnd w:id="50"/>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1、适用法律</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2、定义</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 “投标人”</w:t>
      </w:r>
      <w:r>
        <w:rPr>
          <w:rFonts w:hint="eastAsia" w:ascii="宋体" w:hAnsi="宋体"/>
          <w:bCs/>
          <w:color w:val="auto"/>
          <w:sz w:val="24"/>
          <w:szCs w:val="24"/>
          <w:highlight w:val="none"/>
        </w:rPr>
        <w:t xml:space="preserve">是指参加投标竞争，并符合招标文件规定资格条件的法人、其他组织或者自然人</w:t>
      </w:r>
      <w:bookmarkStart w:id="51"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51"/>
      <w:r>
        <w:rPr>
          <w:rFonts w:hint="eastAsia" w:ascii="宋体" w:hAnsi="宋体"/>
          <w:bCs/>
          <w:color w:val="auto"/>
          <w:sz w:val="24"/>
          <w:szCs w:val="24"/>
          <w:highlight w:val="none"/>
        </w:rPr>
        <w:t xml:space="preserve">；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招标文件中的“法定代表人”是指投标人的营业执照中的“法定代表人”、“执行事务合伙人”、“经营者”、“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（仅适用于银行、保险、石油石化、电力、电信等特殊行业）</w:t>
      </w:r>
      <w:r>
        <w:rPr>
          <w:rFonts w:hint="eastAsia" w:ascii="宋体" w:hAnsi="宋体"/>
          <w:bCs/>
          <w:color w:val="auto"/>
          <w:sz w:val="24"/>
          <w:szCs w:val="24"/>
          <w:highlight w:val="none"/>
          <w:lang w:val="zh-CN"/>
        </w:rPr>
        <w:t xml:space="preserve">，若自然人投标即指自然人本人。</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 “投标人（电子签章）”是指投标人的电子公章，自然人投标即指自然人私章。</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 “产品”“货物”指本招标文件中所述产品（含配件）及相关服务。</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“响应”指提交投标文件并对招标文件提出的条件和要求进行实质性回应。</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“证明材料”指招标文件中要求提供的相关材料。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 “苏采云”平台（系统）。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hint="eastAsia" w:ascii="宋体" w:hAnsi="宋体"/>
          <w:bCs/>
          <w:color w:val="auto"/>
          <w:sz w:val="24"/>
          <w:szCs w:val="24"/>
          <w:highlight w:val="none"/>
          <w:lang w:val="zh-CN"/>
        </w:rPr>
      </w:pPr>
      <w:r/>
      <w:bookmarkStart w:id="52" w:name="_Hlk151624258"/>
      <w:r/>
      <w:bookmarkStart w:id="53" w:name="_Hlk151624234"/>
      <w:r>
        <w:rPr>
          <w:rFonts w:hint="eastAsia" w:ascii="宋体" w:hAnsi="宋体"/>
          <w:bCs/>
          <w:color w:val="auto"/>
          <w:sz w:val="24"/>
          <w:szCs w:val="24"/>
          <w:highlight w:val="none"/>
          <w:lang w:val="zh-CN"/>
        </w:rPr>
        <w:t xml:space="preserve">3、政府采购政策</w:t>
      </w:r>
      <w:r/>
    </w:p>
    <w:p>
      <w:pPr>
        <w:ind w:firstLine="480"/>
        <w:jc w:val="left"/>
        <w:spacing w:line="360" w:lineRule="auto"/>
        <w:rPr>
          <w:rFonts w:hint="eastAsia" w:ascii="宋体" w:hAnsi="宋体"/>
          <w:bCs/>
          <w:color w:val="auto"/>
          <w:sz w:val="24"/>
          <w:szCs w:val="24"/>
          <w:highlight w:val="none"/>
        </w:rPr>
      </w:pPr>
      <w:r/>
      <w:bookmarkStart w:id="54" w:name="_Hlk151625314"/>
      <w:r>
        <w:rPr>
          <w:rFonts w:hint="eastAsia" w:ascii="宋体" w:hAnsi="宋体"/>
          <w:bCs/>
          <w:color w:val="auto"/>
          <w:sz w:val="24"/>
          <w:szCs w:val="24"/>
          <w:highlight w:val="none"/>
        </w:rPr>
        <w:t xml:space="preserve">3.1 </w:t>
      </w:r>
      <w:r>
        <w:rPr>
          <w:rFonts w:hint="eastAsia" w:ascii="宋体" w:hAnsi="宋体" w:cs="宋体"/>
          <w:bCs/>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eastAsia="宋体" w:cs="宋体"/>
          <w:bCs/>
          <w:color w:val="auto"/>
          <w:sz w:val="24"/>
          <w:highlight w:val="none"/>
        </w:rPr>
      </w:pPr>
      <w:r/>
      <w:bookmarkStart w:id="55" w:name="OLE_LINK8"/>
      <w:r>
        <w:rPr>
          <w:rFonts w:hint="eastAsia" w:ascii="宋体" w:hAnsi="宋体"/>
          <w:bCs/>
          <w:color w:val="auto"/>
          <w:sz w:val="24"/>
          <w:szCs w:val="24"/>
          <w:highlight w:val="none"/>
        </w:rPr>
        <w:t xml:space="preserve">3.1</w:t>
      </w:r>
      <w:r>
        <w:rPr>
          <w:rFonts w:hint="eastAsia" w:ascii="宋体" w:hAnsi="宋体"/>
          <w:bCs/>
          <w:color w:val="auto"/>
          <w:sz w:val="24"/>
          <w:szCs w:val="24"/>
          <w:highlight w:val="none"/>
          <w:lang w:val="en-US" w:eastAsia="zh-CN"/>
        </w:rPr>
        <w:t xml:space="preserve">.</w:t>
      </w:r>
      <w:bookmarkEnd w:id="55"/>
      <w:r>
        <w:rPr>
          <w:rFonts w:hint="eastAsia" w:ascii="宋体" w:hAnsi="宋体"/>
          <w:bCs/>
          <w:color w:val="auto"/>
          <w:sz w:val="24"/>
          <w:szCs w:val="24"/>
          <w:highlight w:val="none"/>
          <w:lang w:val="en-US" w:eastAsia="zh-CN"/>
        </w:rPr>
        <w:t xml:space="preserve">1</w:t>
      </w:r>
      <w:r>
        <w:rPr>
          <w:rFonts w:hint="eastAsia" w:ascii="宋体" w:hAnsi="宋体" w:eastAsia="宋体" w:cs="宋体"/>
          <w:bCs/>
          <w:color w:val="auto"/>
          <w:sz w:val="24"/>
          <w:highlight w:val="none"/>
        </w:rPr>
        <w:t xml:space="preserve">本国产品标准</w:t>
      </w:r>
      <w:r/>
    </w:p>
    <w:p>
      <w:pPr>
        <w:ind w:firstLine="480"/>
        <w:jc w:val="left"/>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本国产品应当符合以下条件：</w:t>
      </w:r>
      <w:r/>
    </w:p>
    <w:p>
      <w:pPr>
        <w:ind w:firstLine="480"/>
        <w:jc w:val="left"/>
        <w:spacing w:line="360" w:lineRule="auto"/>
        <w:rPr>
          <w:rFonts w:hint="eastAsia"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t xml:space="preserve">①</w:t>
      </w:r>
      <w:r>
        <w:rPr>
          <w:rFonts w:hint="eastAsia" w:ascii="宋体" w:hAnsi="宋体" w:eastAsia="宋体" w:cs="宋体"/>
          <w:bCs/>
          <w:color w:val="auto"/>
          <w:sz w:val="24"/>
          <w:szCs w:val="22"/>
          <w:highlight w:val="none"/>
        </w:rPr>
        <w:t xml:space="preserve">在中国境内生产</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产品应当在中国境内生产，即在中华人民共和国关境内实现从原材料、组件到产品的属性改变。</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1.为确保产品在运输或者储存期间保持某种状态而进行的操作；</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2.为产品运输或者销售进行的包装或者展示；</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3.在产品或者其包装上粘贴或者印刷品牌、标志、标识以及其他用于区别的标记；</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4.简单的上漆、磨光和分装；</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5.其他不属于属性改变的情形。</w:t>
      </w:r>
      <w:r/>
    </w:p>
    <w:p>
      <w:pPr>
        <w:ind w:firstLine="480"/>
        <w:jc w:val="left"/>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szCs w:val="22"/>
          <w:highlight w:val="none"/>
        </w:rPr>
        <w:t xml:space="preserve">②</w:t>
      </w:r>
      <w:r>
        <w:rPr>
          <w:rFonts w:hint="eastAsia" w:ascii="宋体" w:hAnsi="宋体" w:eastAsia="宋体" w:cs="宋体"/>
          <w:bCs/>
          <w:color w:val="auto"/>
          <w:sz w:val="24"/>
          <w:szCs w:val="22"/>
          <w:highlight w:val="none"/>
        </w:rPr>
        <w:t xml:space="preserve">在</w:t>
      </w:r>
      <w:r>
        <w:rPr>
          <w:rFonts w:hint="eastAsia" w:ascii="宋体" w:hAnsi="宋体" w:eastAsia="宋体" w:cs="宋体"/>
          <w:bCs/>
          <w:color w:val="auto"/>
          <w:sz w:val="24"/>
          <w:highlight w:val="none"/>
        </w:rPr>
        <w:t xml:space="preserve">中国境内生产的组件成本占比达到规定比例</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产品在中国境内生产的组件成本占比应当达到规定比例，计算公式为：</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733675" cy="3905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r/>
                      </pic:nvPicPr>
                      <pic:blipFill>
                        <a:blip r:embed="rId11"/>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30.8pt;mso-wrap-distance-left:0.0pt;mso-wrap-distance-top:0.0pt;mso-wrap-distance-right:0.0pt;mso-wrap-distance-bottom:0.0pt;" stroked="f" strokeweight="0.75pt">
                <v:path textboxrect="0,0,0,0"/>
                <v:imagedata r:id="rId11" o:title=""/>
              </v:shape>
            </w:pict>
          </mc:Fallback>
        </mc:AlternateConten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szCs w:val="22"/>
          <w:highlight w:val="none"/>
        </w:rPr>
        <w:t xml:space="preserve">③</w:t>
      </w:r>
      <w:r>
        <w:rPr>
          <w:rFonts w:hint="eastAsia" w:ascii="宋体" w:hAnsi="宋体" w:eastAsia="宋体" w:cs="宋体"/>
          <w:bCs/>
          <w:color w:val="auto"/>
          <w:sz w:val="24"/>
          <w:szCs w:val="22"/>
          <w:highlight w:val="none"/>
        </w:rPr>
        <w:t xml:space="preserve">特定</w:t>
      </w:r>
      <w:r>
        <w:rPr>
          <w:rFonts w:hint="eastAsia" w:ascii="宋体" w:hAnsi="宋体" w:eastAsia="宋体" w:cs="宋体"/>
          <w:bCs/>
          <w:color w:val="auto"/>
          <w:sz w:val="24"/>
          <w:highlight w:val="none"/>
        </w:rPr>
        <w:t xml:space="preserve">产品的关键组件、关键工序符合相关要求</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bCs/>
          <w:color w:val="auto"/>
          <w:sz w:val="24"/>
          <w:szCs w:val="24"/>
          <w:highlight w:val="none"/>
        </w:rPr>
        <w:t xml:space="preserve">3.1</w:t>
      </w:r>
      <w:r>
        <w:rPr>
          <w:rFonts w:hint="eastAsia" w:ascii="宋体" w:hAnsi="宋体"/>
          <w:bCs/>
          <w:color w:val="auto"/>
          <w:sz w:val="24"/>
          <w:szCs w:val="24"/>
          <w:highlight w:val="none"/>
          <w:lang w:val="en-US" w:eastAsia="zh-CN"/>
        </w:rPr>
        <w:t xml:space="preserve">.2</w:t>
      </w:r>
      <w:r>
        <w:rPr>
          <w:rFonts w:hint="eastAsia" w:ascii="宋体" w:hAnsi="宋体" w:eastAsia="宋体" w:cs="宋体"/>
          <w:bCs/>
          <w:color w:val="auto"/>
          <w:sz w:val="24"/>
          <w:highlight w:val="none"/>
        </w:rPr>
        <w:t xml:space="preserve">本国产品标准的适用范围</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bCs/>
          <w:color w:val="auto"/>
          <w:sz w:val="24"/>
          <w:szCs w:val="24"/>
          <w:highlight w:val="none"/>
        </w:rPr>
        <w:t xml:space="preserve">3.1</w:t>
      </w:r>
      <w:r>
        <w:rPr>
          <w:rFonts w:hint="eastAsia" w:ascii="宋体" w:hAnsi="宋体"/>
          <w:bCs/>
          <w:color w:val="auto"/>
          <w:sz w:val="24"/>
          <w:szCs w:val="24"/>
          <w:highlight w:val="none"/>
          <w:lang w:val="en-US" w:eastAsia="zh-CN"/>
        </w:rPr>
        <w:t xml:space="preserve">.3</w:t>
      </w:r>
      <w:r>
        <w:rPr>
          <w:rFonts w:hint="eastAsia" w:ascii="宋体" w:hAnsi="宋体" w:eastAsia="宋体" w:cs="宋体"/>
          <w:bCs/>
          <w:color w:val="auto"/>
          <w:sz w:val="24"/>
          <w:highlight w:val="none"/>
        </w:rPr>
        <w:t xml:space="preserve">对本国产品的支持政策</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eastAsia="宋体" w:cs="宋体"/>
          <w:bCs/>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hint="eastAsia" w:ascii="宋体" w:hAnsi="宋体" w:cs="宋体"/>
          <w:bCs/>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bCs/>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bCs/>
          <w:color w:val="auto"/>
          <w:sz w:val="24"/>
          <w:highlight w:val="none"/>
        </w:rPr>
        <w:t xml:space="preserve">符合中小企业划分标准的个体工商户，在政府采购活动中视同中小企业。</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.2.2</w:t>
      </w:r>
      <w:r>
        <w:rPr>
          <w:rFonts w:hint="eastAsia" w:ascii="宋体" w:hAnsi="宋体" w:cs="宋体"/>
          <w:bCs/>
          <w:color w:val="auto"/>
          <w:sz w:val="24"/>
          <w:highlight w:val="none"/>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56" w:name="_Hlk161824916"/>
      <w:r>
        <w:rPr>
          <w:rFonts w:hint="eastAsia" w:ascii="宋体" w:hAnsi="宋体" w:cs="宋体"/>
          <w:bCs/>
          <w:color w:val="auto"/>
          <w:sz w:val="24"/>
          <w:highlight w:val="none"/>
        </w:rPr>
        <w:t xml:space="preserve">根据采购项目类型，若为货物类项目，只对货物的制造商是否为中小企业进行认定，不再对投标人提供的配套服务作出要求。</w:t>
      </w:r>
      <w:bookmarkEnd w:id="56"/>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对于专门面向中小企业采购的项目，只面向中小企业采购，且评审时不予报价扣除；对于非专门面向中小</w:t>
      </w:r>
      <w:r>
        <w:rPr>
          <w:rFonts w:hint="eastAsia" w:ascii="宋体" w:hAnsi="宋体"/>
          <w:bCs/>
          <w:color w:val="auto"/>
          <w:sz w:val="24"/>
          <w:szCs w:val="24"/>
          <w:highlight w:val="none"/>
          <w:lang w:eastAsia="zh-CN"/>
        </w:rPr>
        <w:t xml:space="preserve">企业</w:t>
      </w:r>
      <w:r>
        <w:rPr>
          <w:rFonts w:hint="eastAsia" w:ascii="宋体" w:hAnsi="宋体"/>
          <w:bCs/>
          <w:color w:val="auto"/>
          <w:sz w:val="24"/>
          <w:szCs w:val="24"/>
          <w:highlight w:val="none"/>
        </w:rPr>
        <w:t xml:space="preserve">采购的项目，对符合规定的小微企业报价给予10%（工程项目为5%）的扣除,用扣除后的价格参与评审。</w:t>
      </w:r>
      <w:r>
        <w:rPr>
          <w:rFonts w:hint="eastAsia" w:ascii="宋体" w:hAnsi="宋体" w:cs="宋体"/>
          <w:bCs/>
          <w:color w:val="auto"/>
          <w:sz w:val="24"/>
          <w:highlight w:val="none"/>
        </w:rPr>
        <w:t xml:space="preserve">接受大中型企业与小微企业组成联合体或者允许大中型企业向一家或者多家小微企业分包的政府采购货物项目，对于</w:t>
      </w:r>
      <w:bookmarkStart w:id="57" w:name="_Hlk101132181"/>
      <w:r>
        <w:rPr>
          <w:rFonts w:hint="eastAsia" w:ascii="宋体" w:hAnsi="宋体" w:cs="宋体"/>
          <w:bCs/>
          <w:color w:val="auto"/>
          <w:sz w:val="24"/>
          <w:highlight w:val="none"/>
        </w:rPr>
        <w:t xml:space="preserve">联合协议或者分包意向协议约定小微企业的合同份额占到合同总金额30%及以上的</w:t>
      </w:r>
      <w:bookmarkEnd w:id="57"/>
      <w:r>
        <w:rPr>
          <w:rFonts w:hint="eastAsia" w:ascii="宋体" w:hAnsi="宋体" w:cs="宋体"/>
          <w:bCs/>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cs="宋体"/>
          <w:bCs/>
          <w:color w:val="auto"/>
          <w:sz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cs="宋体"/>
          <w:bCs/>
          <w:color w:val="auto"/>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highlight w:val="none"/>
        </w:rPr>
        <w:t xml:space="preserve">投标人</w:t>
      </w:r>
      <w:r>
        <w:rPr>
          <w:rFonts w:hint="eastAsia" w:ascii="宋体" w:hAnsi="宋体"/>
          <w:bCs/>
          <w:color w:val="auto"/>
          <w:sz w:val="24"/>
          <w:szCs w:val="24"/>
          <w:highlight w:val="none"/>
        </w:rPr>
        <w:t xml:space="preserve">应按照中小企业声明格式准确完整填写相关内容，其中《中小企业声明函》</w:t>
      </w:r>
      <w:bookmarkStart w:id="58" w:name="_Hlk160697267"/>
      <w:r>
        <w:rPr>
          <w:rFonts w:hint="eastAsia" w:ascii="宋体" w:hAnsi="宋体"/>
          <w:bCs/>
          <w:color w:val="auto"/>
          <w:sz w:val="24"/>
          <w:szCs w:val="24"/>
          <w:highlight w:val="none"/>
        </w:rPr>
        <w:t xml:space="preserve">须按“项目技术要求和有关说明”中采购标的明细及所属行业等内容逐一进行填报，并明确相关企业类型（中型、小型或微型），否则中小企业声明函无效。</w:t>
      </w:r>
      <w:bookmarkEnd w:id="58"/>
      <w:r>
        <w:rPr>
          <w:rFonts w:hint="eastAsia" w:ascii="宋体" w:hAnsi="宋体"/>
          <w:bCs/>
          <w:color w:val="auto"/>
          <w:sz w:val="24"/>
          <w:szCs w:val="24"/>
          <w:highlight w:val="none"/>
        </w:rPr>
        <w:t xml:space="preserve">新成立企业时间认定以相关部门颁发证书的发证、登记日期为准。</w:t>
      </w:r>
      <w:r>
        <w:rPr>
          <w:rFonts w:hint="eastAsia" w:ascii="宋体" w:hAnsi="宋体" w:cs="宋体"/>
          <w:bCs/>
          <w:color w:val="auto"/>
          <w:sz w:val="24"/>
          <w:highlight w:val="none"/>
        </w:rPr>
        <w:t xml:space="preserve">声明内容不实的，属于提供虚假材料谋取中标、成交的，应依法承担法律责任。</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5</w:t>
      </w:r>
      <w:r>
        <w:rPr>
          <w:rFonts w:hint="eastAsia" w:ascii="宋体" w:hAnsi="宋体" w:cs="宋体"/>
          <w:bCs/>
          <w:color w:val="auto"/>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符合《关于政府采购支持监狱企业发展有关问题的通知》（财库〔201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.2.7</w:t>
      </w:r>
      <w:r>
        <w:rPr>
          <w:rFonts w:hint="eastAsia" w:ascii="宋体" w:hAnsi="宋体"/>
          <w:bCs/>
          <w:color w:val="auto"/>
          <w:sz w:val="24"/>
          <w:szCs w:val="24"/>
          <w:highlight w:val="none"/>
        </w:rPr>
        <w:t xml:space="preserve">对于专门面向中小企业的项目，投标人未提供有效的中小企业声明，资格审查不予通过；对于非专门面向中小企业的项目，投标人未提供有效的中小企业声明，不享受政府采购优惠政策，即不给予小微企业报价扣除；</w:t>
      </w:r>
      <w:bookmarkStart w:id="59" w:name="_Hlk159419640"/>
      <w:r>
        <w:rPr>
          <w:rFonts w:hint="eastAsia" w:ascii="宋体" w:hAnsi="宋体"/>
          <w:bCs/>
          <w:color w:val="auto"/>
          <w:sz w:val="24"/>
          <w:szCs w:val="24"/>
          <w:highlight w:val="none"/>
        </w:rPr>
        <w:t xml:space="preserve">若投标人提供的货物</w:t>
      </w:r>
      <w:bookmarkEnd w:id="59"/>
      <w:r>
        <w:rPr>
          <w:rFonts w:hint="eastAsia" w:ascii="宋体" w:hAnsi="宋体"/>
          <w:bCs/>
          <w:color w:val="auto"/>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3</w:t>
      </w:r>
      <w:r>
        <w:rPr>
          <w:rFonts w:hint="eastAsia" w:ascii="宋体" w:hAnsi="宋体"/>
          <w:bCs/>
          <w:color w:val="auto"/>
          <w:sz w:val="24"/>
          <w:szCs w:val="24"/>
          <w:highlight w:val="none"/>
          <w:lang w:val="zh-CN"/>
        </w:rPr>
        <w:t xml:space="preserve">强制采购节能产品、信息安全产品。政府强制采购节能产品是指列入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涉及</w:t>
      </w:r>
      <w:r>
        <w:rPr>
          <w:rFonts w:hint="eastAsia" w:ascii="宋体" w:hAnsi="宋体"/>
          <w:bCs/>
          <w:color w:val="auto"/>
          <w:sz w:val="24"/>
          <w:szCs w:val="24"/>
          <w:highlight w:val="none"/>
          <w:u w:val="single"/>
          <w:lang w:val="zh-CN"/>
        </w:rPr>
        <w:t xml:space="preserve">强制采购产品的，投标人须按照上述要求提供相关产品的证明材料，否则投标无效。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优先采购节能产品、环境标志产品。政府优先采购节能产品是指列入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公布的最新《节能产品政府采购品目清单》（具体品目未以“★”标注），且获得由</w:t>
      </w:r>
      <w:r>
        <w:rPr>
          <w:rFonts w:hint="eastAsia" w:ascii="宋体" w:hAnsi="宋体"/>
          <w:bCs/>
          <w:color w:val="auto"/>
          <w:sz w:val="24"/>
          <w:szCs w:val="24"/>
          <w:highlight w:val="none"/>
        </w:rPr>
        <w:t xml:space="preserve">国家确定的认证机构出具的、处于有效期之内的节能产品认证证书</w:t>
      </w:r>
      <w:r>
        <w:rPr>
          <w:rFonts w:hint="eastAsia" w:ascii="宋体" w:hAnsi="宋体"/>
          <w:bCs/>
          <w:color w:val="auto"/>
          <w:sz w:val="24"/>
          <w:szCs w:val="24"/>
          <w:highlight w:val="none"/>
          <w:lang w:val="zh-CN"/>
        </w:rPr>
        <w:t xml:space="preserve">的节能产品；环境标志产品是指列入</w:t>
      </w:r>
      <w:r>
        <w:rPr>
          <w:rFonts w:hint="eastAsia" w:ascii="宋体" w:hAnsi="宋体"/>
          <w:bCs/>
          <w:color w:val="auto"/>
          <w:sz w:val="24"/>
          <w:szCs w:val="24"/>
          <w:highlight w:val="none"/>
        </w:rPr>
        <w:t xml:space="preserve">财政部、生态环境部联合</w:t>
      </w:r>
      <w:r>
        <w:rPr>
          <w:rFonts w:hint="eastAsia" w:ascii="宋体" w:hAnsi="宋体"/>
          <w:bCs/>
          <w:color w:val="auto"/>
          <w:sz w:val="24"/>
          <w:szCs w:val="24"/>
          <w:highlight w:val="none"/>
          <w:lang w:val="zh-CN"/>
        </w:rPr>
        <w:t xml:space="preserve">公布的最新《环境标志产品政府采购品目清单》，且获得由</w:t>
      </w:r>
      <w:r>
        <w:rPr>
          <w:rFonts w:hint="eastAsia" w:ascii="宋体" w:hAnsi="宋体"/>
          <w:bCs/>
          <w:color w:val="auto"/>
          <w:sz w:val="24"/>
          <w:szCs w:val="24"/>
          <w:highlight w:val="none"/>
        </w:rPr>
        <w:t xml:space="preserve">国家确定的认证机构出具的、处于有效期之内的环境标志产品认证证书</w:t>
      </w:r>
      <w:r>
        <w:rPr>
          <w:rFonts w:hint="eastAsia" w:ascii="宋体" w:hAnsi="宋体"/>
          <w:bCs/>
          <w:color w:val="auto"/>
          <w:sz w:val="24"/>
          <w:szCs w:val="24"/>
          <w:highlight w:val="none"/>
          <w:lang w:val="zh-CN"/>
        </w:rPr>
        <w:t xml:space="preserve">的环境标志产品。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5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注：支持中小企业发展、强制采购、</w:t>
      </w:r>
      <w:r>
        <w:rPr>
          <w:rFonts w:hint="eastAsia" w:ascii="宋体" w:hAnsi="宋体"/>
          <w:bCs/>
          <w:color w:val="auto"/>
          <w:sz w:val="24"/>
          <w:szCs w:val="24"/>
          <w:highlight w:val="none"/>
          <w:lang w:val="zh-CN"/>
        </w:rPr>
        <w:t xml:space="preserve">优先采购及其他政府采购政策按相关文件规定执行。</w:t>
      </w:r>
      <w:bookmarkEnd w:id="53"/>
      <w:r/>
      <w:bookmarkEnd w:id="54"/>
      <w:r/>
      <w:r/>
    </w:p>
    <w:p>
      <w:pPr>
        <w:numPr>
          <w:ilvl w:val="0"/>
          <w:numId w:val="2"/>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投标费用</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4.1 投标人应自行承担所有与准备和参加投标有关的一切费用。</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4.2代理服务收费标准及金额：</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bookmarkStart w:id="60" w:name="OLE_LINK9"/>
      <w:r>
        <w:rPr>
          <w:rFonts w:hint="eastAsia" w:ascii="宋体" w:hAnsi="宋体" w:eastAsia="宋体" w:cs="Times New Roman"/>
          <w:b/>
          <w:bCs w:val="0"/>
          <w:color w:val="auto"/>
          <w:sz w:val="24"/>
          <w:szCs w:val="24"/>
          <w:highlight w:val="none"/>
          <w:lang w:val="en-US" w:eastAsia="zh-CN"/>
        </w:rPr>
        <w:t xml:space="preserve">本次采购代理费按差额定率分档累进法计算的70%收取，收费差额费率:中标金额在100万元(含)以下的为1.5%，中标金额在100万元(不含)至500万元(含)的为</w:t>
      </w:r>
      <w:r>
        <w:rPr>
          <w:rFonts w:hint="eastAsia" w:ascii="宋体" w:hAnsi="宋体" w:cs="Times New Roman"/>
          <w:b/>
          <w:bCs w:val="0"/>
          <w:color w:val="auto"/>
          <w:sz w:val="24"/>
          <w:szCs w:val="24"/>
          <w:highlight w:val="none"/>
          <w:lang w:val="en-US" w:eastAsia="zh-CN"/>
        </w:rPr>
        <w:t xml:space="preserve">1.1</w:t>
      </w:r>
      <w:r>
        <w:rPr>
          <w:rFonts w:hint="eastAsia" w:ascii="宋体" w:hAnsi="宋体" w:eastAsia="宋体" w:cs="Times New Roman"/>
          <w:b/>
          <w:bCs w:val="0"/>
          <w:color w:val="auto"/>
          <w:sz w:val="24"/>
          <w:szCs w:val="24"/>
          <w:highlight w:val="none"/>
          <w:lang w:val="en-US" w:eastAsia="zh-CN"/>
        </w:rPr>
        <w:t xml:space="preserve">%，中标金额在</w:t>
      </w:r>
      <w:r>
        <w:rPr>
          <w:rFonts w:hint="eastAsia" w:ascii="宋体" w:hAnsi="宋体" w:cs="Times New Roman"/>
          <w:b/>
          <w:bCs w:val="0"/>
          <w:color w:val="auto"/>
          <w:sz w:val="24"/>
          <w:szCs w:val="24"/>
          <w:highlight w:val="none"/>
          <w:lang w:val="en-US" w:eastAsia="zh-CN"/>
        </w:rPr>
        <w:t xml:space="preserve">5</w:t>
      </w:r>
      <w:r>
        <w:rPr>
          <w:rFonts w:hint="eastAsia" w:ascii="宋体" w:hAnsi="宋体" w:eastAsia="宋体" w:cs="Times New Roman"/>
          <w:b/>
          <w:bCs w:val="0"/>
          <w:color w:val="auto"/>
          <w:sz w:val="24"/>
          <w:szCs w:val="24"/>
          <w:highlight w:val="none"/>
          <w:lang w:val="en-US" w:eastAsia="zh-CN"/>
        </w:rPr>
        <w:t xml:space="preserve">00万元(不含)至</w:t>
      </w:r>
      <w:r>
        <w:rPr>
          <w:rFonts w:hint="eastAsia" w:ascii="宋体" w:hAnsi="宋体" w:cs="Times New Roman"/>
          <w:b/>
          <w:bCs w:val="0"/>
          <w:color w:val="auto"/>
          <w:sz w:val="24"/>
          <w:szCs w:val="24"/>
          <w:highlight w:val="none"/>
          <w:lang w:val="en-US" w:eastAsia="zh-CN"/>
        </w:rPr>
        <w:t xml:space="preserve">10</w:t>
      </w:r>
      <w:r>
        <w:rPr>
          <w:rFonts w:hint="eastAsia" w:ascii="宋体" w:hAnsi="宋体" w:eastAsia="宋体" w:cs="Times New Roman"/>
          <w:b/>
          <w:bCs w:val="0"/>
          <w:color w:val="auto"/>
          <w:sz w:val="24"/>
          <w:szCs w:val="24"/>
          <w:highlight w:val="none"/>
          <w:lang w:val="en-US" w:eastAsia="zh-CN"/>
        </w:rPr>
        <w:t xml:space="preserve">00万元(含)的为0.8%，由中标人支付，投标人必须将该部分费用考虑在报价内。</w:t>
      </w:r>
      <w:bookmarkEnd w:id="60"/>
      <w:r/>
      <w:r/>
    </w:p>
    <w:p>
      <w:pPr>
        <w:ind w:firstLine="480"/>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rPr>
        <w:t xml:space="preserve">保密要求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二、招标文件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招标文件的组成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61"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61"/>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6.2 招标文件包括本文件目录所列全部内容及其附件，如有缺漏，请立即与</w:t>
      </w:r>
      <w:bookmarkStart w:id="62" w:name="OLE_LINK253"/>
      <w:r>
        <w:rPr>
          <w:rFonts w:hint="eastAsia" w:ascii="宋体" w:hAnsi="宋体"/>
          <w:bCs/>
          <w:color w:val="auto"/>
          <w:sz w:val="24"/>
          <w:szCs w:val="24"/>
          <w:highlight w:val="none"/>
        </w:rPr>
        <w:t xml:space="preserve">采购人或者</w:t>
      </w:r>
      <w:bookmarkEnd w:id="62"/>
      <w:r>
        <w:rPr>
          <w:rFonts w:hint="eastAsia" w:ascii="宋体" w:hAnsi="宋体"/>
          <w:bCs/>
          <w:color w:val="auto"/>
          <w:sz w:val="24"/>
          <w:szCs w:val="24"/>
          <w:highlight w:val="none"/>
        </w:rPr>
        <w:t xml:space="preserve">代理机构联系解决。</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招标文件如与招标公告有不一致的地方，以招标文件为准；投标邀请函与投标人须知不一致的，以投标邀请函为准；</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招标文件的解释</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zh-CN"/>
        </w:rPr>
        <w:t xml:space="preserve">招标文件的澄清、修改</w:t>
      </w:r>
      <w:r/>
    </w:p>
    <w:p>
      <w:pPr>
        <w:ind w:firstLine="480"/>
        <w:jc w:val="left"/>
        <w:spacing w:line="360" w:lineRule="auto"/>
        <w:rPr>
          <w:rFonts w:ascii="宋体"/>
          <w:bCs/>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w:t>
      </w:r>
      <w:r>
        <w:rPr>
          <w:rFonts w:hint="eastAsia" w:ascii="宋体" w:hAnsi="宋体"/>
          <w:bCs/>
          <w:color w:val="auto"/>
          <w:sz w:val="24"/>
          <w:szCs w:val="24"/>
          <w:highlight w:val="none"/>
        </w:rPr>
        <w:t xml:space="preserve">日的，采购人或者采购代理机构有权决定是否顺延投标截止时间和开标时间，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 xml:space="preserve">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应下载最新发布的电子招标文件制作</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w:t>
      </w:r>
      <w:bookmarkStart w:id="63" w:name="_Hlk160612498"/>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投标人未及时关注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更正公告、未及时更新上传投标文件导致其提交的投标文件不符合要求的，造成的损失及风险由投标人自行承担。</w:t>
      </w:r>
      <w:bookmarkEnd w:id="63"/>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rPr>
          <w:rFonts w:hint="eastAsia" w:ascii="宋体" w:hAnsi="宋体"/>
          <w:b/>
          <w:color w:val="auto"/>
          <w:sz w:val="24"/>
          <w:szCs w:val="24"/>
          <w:highlight w:val="none"/>
          <w:lang w:val="zh-CN"/>
        </w:rPr>
        <w:t xml:space="preserve">招标文件的解释</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本文件和“第三章 项目技术要求和有关说明”和“</w:t>
      </w:r>
      <w:bookmarkStart w:id="64" w:name="OLE_LINK21"/>
      <w:r>
        <w:rPr>
          <w:rFonts w:hint="eastAsia" w:ascii="宋体" w:hAnsi="宋体"/>
          <w:bCs/>
          <w:color w:val="auto"/>
          <w:sz w:val="24"/>
          <w:szCs w:val="24"/>
          <w:highlight w:val="none"/>
        </w:rPr>
        <w:t xml:space="preserve">第四章 评标方法和标准</w:t>
      </w:r>
      <w:bookmarkEnd w:id="64"/>
      <w:r>
        <w:rPr>
          <w:rFonts w:hint="eastAsia" w:ascii="宋体" w:hAnsi="宋体"/>
          <w:bCs/>
          <w:color w:val="auto"/>
          <w:sz w:val="24"/>
          <w:szCs w:val="24"/>
          <w:highlight w:val="none"/>
        </w:rPr>
        <w:t xml:space="preserve">”由</w:t>
      </w:r>
      <w:bookmarkStart w:id="65" w:name="OLE_LINK13"/>
      <w:r>
        <w:rPr>
          <w:rFonts w:hint="eastAsia" w:ascii="宋体" w:hAnsi="宋体"/>
          <w:bCs/>
          <w:color w:val="auto"/>
          <w:sz w:val="24"/>
          <w:szCs w:val="24"/>
          <w:highlight w:val="none"/>
        </w:rPr>
        <w:t xml:space="preserve">采购人负责解释</w:t>
      </w:r>
      <w:bookmarkEnd w:id="65"/>
      <w:r>
        <w:rPr>
          <w:rFonts w:hint="eastAsia" w:ascii="宋体" w:hAnsi="宋体"/>
          <w:bCs/>
          <w:color w:val="auto"/>
          <w:sz w:val="24"/>
          <w:szCs w:val="24"/>
          <w:highlight w:val="none"/>
        </w:rPr>
        <w:t xml:space="preserve">，其他部分由采购人和采购代理机构负责解释。</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8、</w:t>
      </w:r>
      <w:r>
        <w:rPr>
          <w:rFonts w:hint="eastAsia" w:ascii="宋体" w:hAnsi="宋体"/>
          <w:b/>
          <w:color w:val="auto"/>
          <w:sz w:val="24"/>
          <w:szCs w:val="24"/>
          <w:highlight w:val="none"/>
          <w:lang w:val="zh-CN"/>
        </w:rPr>
        <w:t xml:space="preserve">招标文件的澄清、修改</w:t>
      </w:r>
      <w:r/>
    </w:p>
    <w:p>
      <w:pPr>
        <w:ind w:firstLine="480"/>
        <w:spacing w:line="360" w:lineRule="auto"/>
        <w:rPr>
          <w:rFonts w:ascii="宋体"/>
          <w:color w:val="auto"/>
          <w:sz w:val="24"/>
          <w:szCs w:val="21"/>
          <w:highlight w:val="none"/>
          <w:lang w:val="zh-CN"/>
        </w:rPr>
      </w:pPr>
      <w:r>
        <w:rPr>
          <w:rFonts w:hint="eastAsia" w:ascii="宋体" w:hAnsi="宋体"/>
          <w:bCs/>
          <w:color w:val="auto"/>
          <w:sz w:val="24"/>
          <w:szCs w:val="24"/>
          <w:highlight w:val="none"/>
        </w:rPr>
        <w:t xml:space="preserve">8.1 采购人或采购代理机构</w:t>
      </w:r>
      <w:r>
        <w:rPr>
          <w:rFonts w:hint="eastAsia" w:ascii="宋体" w:hAnsi="宋体"/>
          <w:bCs/>
          <w:color w:val="auto"/>
          <w:sz w:val="24"/>
          <w:szCs w:val="24"/>
          <w:highlight w:val="none"/>
          <w:lang w:val="zh-CN"/>
        </w:rPr>
        <w:t xml:space="preserve">对已发出的招标文件进行必要澄清或者修改的，将在投标截止时间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在原招标公告媒体发布更正公告。不足</w:t>
      </w:r>
      <w:r>
        <w:rPr>
          <w:rFonts w:hint="eastAsia" w:ascii="宋体" w:hAnsi="宋体"/>
          <w:bCs/>
          <w:color w:val="auto"/>
          <w:sz w:val="24"/>
          <w:szCs w:val="24"/>
          <w:highlight w:val="none"/>
        </w:rPr>
        <w:t xml:space="preserve">15日的，采购人或采购代理机构有权决定是否顺延投标截止时间和开标时间，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rPr>
        <w:t xml:space="preserve">8.2 </w:t>
      </w:r>
      <w:r>
        <w:rPr>
          <w:rFonts w:hint="eastAsia" w:ascii="宋体" w:hAnsi="宋体"/>
          <w:color w:val="auto"/>
          <w:sz w:val="24"/>
          <w:szCs w:val="21"/>
          <w:highlight w:val="none"/>
          <w:lang w:val="zh-CN"/>
        </w:rPr>
        <w:t xml:space="preserve">投标人应在投标截止时间前关注原采购信息发布媒体上有关本招标项目有无变更公告。如投标人未及时关注，由此造成的一切损失由投标人自行承担。</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三、投标文件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9、投标文件的组成：对应第六章投标文件（格式）。</w:t>
      </w:r>
      <w:r/>
    </w:p>
    <w:p>
      <w:pPr>
        <w:numPr>
          <w:ilvl w:val="0"/>
          <w:numId w:val="3"/>
        </w:numPr>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66" w:name="OLE_LINK20"/>
      <w:r/>
      <w:bookmarkStart w:id="67" w:name="OLE_LINK219"/>
      <w:r>
        <w:rPr>
          <w:rFonts w:hint="eastAsia" w:ascii="宋体" w:hAnsi="宋体"/>
          <w:bCs/>
          <w:color w:val="auto"/>
          <w:sz w:val="24"/>
          <w:szCs w:val="24"/>
          <w:highlight w:val="none"/>
        </w:rPr>
        <w:t xml:space="preserve">开标一览</w:t>
      </w:r>
      <w:r>
        <w:rPr>
          <w:rFonts w:hint="eastAsia" w:ascii="宋体" w:hAnsi="宋体"/>
          <w:bCs/>
          <w:color w:val="auto"/>
          <w:sz w:val="24"/>
          <w:szCs w:val="24"/>
          <w:highlight w:val="none"/>
          <w:lang w:val="zh-CN"/>
        </w:rPr>
        <w:t xml:space="preserve">表</w:t>
      </w:r>
      <w:r/>
    </w:p>
    <w:p>
      <w:pPr>
        <w:numPr>
          <w:ilvl w:val="0"/>
          <w:numId w:val="3"/>
        </w:numPr>
        <w:jc w:val="left"/>
        <w:spacing w:line="360" w:lineRule="auto"/>
        <w:tabs>
          <w:tab w:val="left" w:pos="0" w:leader="none"/>
          <w:tab w:val="left" w:pos="255" w:leader="none"/>
        </w:tabs>
        <w:rPr>
          <w:rFonts w:hint="eastAsia" w:ascii="宋体" w:hAnsi="宋体"/>
          <w:bCs/>
          <w:color w:val="auto"/>
          <w:sz w:val="24"/>
          <w:szCs w:val="24"/>
          <w:highlight w:val="none"/>
        </w:rPr>
      </w:pPr>
      <w:r/>
      <w:bookmarkStart w:id="68" w:name="_Hlk151555273"/>
      <w:r/>
      <w:bookmarkStart w:id="69" w:name="_Hlk151448723"/>
      <w:r>
        <w:rPr>
          <w:rFonts w:hint="eastAsia" w:ascii="宋体" w:hAnsi="宋体"/>
          <w:bCs/>
          <w:color w:val="auto"/>
          <w:sz w:val="24"/>
          <w:szCs w:val="24"/>
          <w:highlight w:val="none"/>
        </w:rPr>
        <w:t xml:space="preserve">资格</w:t>
      </w:r>
      <w:bookmarkEnd w:id="66"/>
      <w:r>
        <w:rPr>
          <w:rFonts w:hint="eastAsia" w:ascii="宋体" w:hAnsi="宋体"/>
          <w:bCs/>
          <w:color w:val="auto"/>
          <w:sz w:val="24"/>
          <w:szCs w:val="24"/>
          <w:highlight w:val="none"/>
        </w:rPr>
        <w:t xml:space="preserve">条件</w:t>
      </w:r>
      <w:bookmarkEnd w:id="68"/>
      <w:r/>
      <w:bookmarkStart w:id="70" w:name="_Hlk139968547"/>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w:t>
      </w:r>
      <w:r>
        <w:rPr>
          <w:rFonts w:hint="eastAsia" w:ascii="宋体" w:hAnsi="宋体"/>
          <w:b/>
          <w:bCs w:val="0"/>
          <w:color w:val="auto"/>
          <w:sz w:val="24"/>
          <w:szCs w:val="24"/>
          <w:highlight w:val="none"/>
          <w:lang w:val="zh-CN"/>
        </w:rPr>
        <w:t xml:space="preserve">资格声明函</w:t>
      </w:r>
      <w:r>
        <w:rPr>
          <w:rFonts w:hint="eastAsia" w:ascii="宋体" w:hAnsi="宋体"/>
          <w:bCs/>
          <w:color w:val="auto"/>
          <w:sz w:val="24"/>
          <w:szCs w:val="24"/>
          <w:highlight w:val="none"/>
          <w:lang w:val="zh-CN"/>
        </w:rPr>
        <w:t xml:space="preserve">：</w:t>
      </w:r>
      <w:bookmarkStart w:id="71" w:name="_Hlk151448601"/>
      <w:r>
        <w:rPr>
          <w:rFonts w:hint="eastAsia" w:ascii="宋体" w:hAnsi="宋体"/>
          <w:bCs/>
          <w:color w:val="auto"/>
          <w:sz w:val="24"/>
          <w:szCs w:val="24"/>
          <w:highlight w:val="none"/>
          <w:lang w:val="zh-CN"/>
        </w:rPr>
        <w:t xml:space="preserve">提供《关于资格的声明函》；</w:t>
      </w:r>
      <w:bookmarkEnd w:id="71"/>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w:t>
      </w:r>
      <w:r>
        <w:rPr>
          <w:rFonts w:hint="eastAsia" w:ascii="宋体" w:hAnsi="宋体"/>
          <w:b/>
          <w:bCs w:val="0"/>
          <w:color w:val="auto"/>
          <w:sz w:val="24"/>
          <w:szCs w:val="24"/>
          <w:highlight w:val="none"/>
          <w:lang w:val="zh-CN"/>
        </w:rPr>
        <w:t xml:space="preserve">被授权代表身份证明</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w:t>
      </w:r>
      <w:r>
        <w:rPr>
          <w:rFonts w:hint="eastAsia" w:ascii="宋体" w:hAnsi="宋体"/>
          <w:b/>
          <w:bCs w:val="0"/>
          <w:color w:val="auto"/>
          <w:sz w:val="24"/>
          <w:szCs w:val="24"/>
          <w:highlight w:val="none"/>
          <w:lang w:val="zh-CN"/>
        </w:rPr>
        <w:t xml:space="preserve">具有独立承担民事责任的能力</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w:t>
      </w:r>
      <w:r>
        <w:rPr>
          <w:rFonts w:hint="eastAsia" w:ascii="宋体" w:hAnsi="宋体"/>
          <w:b/>
          <w:bCs w:val="0"/>
          <w:color w:val="auto"/>
          <w:sz w:val="24"/>
          <w:szCs w:val="24"/>
          <w:highlight w:val="none"/>
          <w:lang w:val="zh-CN"/>
        </w:rPr>
        <w:t xml:space="preserve">具有良好的商业信誉和健全的财务会计制度</w:t>
      </w:r>
      <w:r>
        <w:rPr>
          <w:rFonts w:hint="eastAsia" w:ascii="宋体" w:hAnsi="宋体"/>
          <w:bCs/>
          <w:color w:val="auto"/>
          <w:sz w:val="24"/>
          <w:szCs w:val="24"/>
          <w:highlight w:val="none"/>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w:t>
      </w:r>
      <w:r>
        <w:rPr>
          <w:rFonts w:hint="eastAsia" w:ascii="宋体" w:hAnsi="宋体"/>
          <w:b/>
          <w:bCs w:val="0"/>
          <w:color w:val="auto"/>
          <w:sz w:val="24"/>
          <w:szCs w:val="24"/>
          <w:highlight w:val="none"/>
          <w:lang w:val="zh-CN"/>
        </w:rPr>
        <w:t xml:space="preserve">有依法缴纳税收的良好记录</w:t>
      </w:r>
      <w:r>
        <w:rPr>
          <w:rFonts w:hint="eastAsia" w:ascii="宋体" w:hAnsi="宋体"/>
          <w:bCs/>
          <w:color w:val="auto"/>
          <w:sz w:val="24"/>
          <w:szCs w:val="24"/>
          <w:highlight w:val="none"/>
          <w:lang w:val="zh-CN"/>
        </w:rPr>
        <w:t xml:space="preserve">：投标人依法缴纳近十二个月中任意一个月份税收的相关材料（提供相关主管部门证明或银行代扣证明）；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w:t>
      </w:r>
      <w:r>
        <w:rPr>
          <w:rFonts w:hint="eastAsia" w:ascii="宋体" w:hAnsi="宋体"/>
          <w:b/>
          <w:bCs w:val="0"/>
          <w:color w:val="auto"/>
          <w:sz w:val="24"/>
          <w:szCs w:val="24"/>
          <w:highlight w:val="none"/>
          <w:lang w:val="zh-CN"/>
        </w:rPr>
        <w:t xml:space="preserve">有依法缴纳社会保障资金的良好记录</w:t>
      </w:r>
      <w:r>
        <w:rPr>
          <w:rFonts w:hint="eastAsia" w:ascii="宋体" w:hAnsi="宋体"/>
          <w:bCs/>
          <w:color w:val="auto"/>
          <w:sz w:val="24"/>
          <w:szCs w:val="24"/>
          <w:highlight w:val="none"/>
          <w:lang w:val="zh-CN"/>
        </w:rPr>
        <w:t xml:space="preserve">：投标人依法缴纳近十二个月中任意一个月份社会保障资金的相关材料（提供相关主管部门证明或银行代扣证明）；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w:t>
      </w:r>
      <w:r>
        <w:rPr>
          <w:rFonts w:hint="eastAsia" w:ascii="宋体" w:hAnsi="宋体"/>
          <w:b/>
          <w:bCs w:val="0"/>
          <w:color w:val="auto"/>
          <w:sz w:val="24"/>
          <w:szCs w:val="24"/>
          <w:highlight w:val="none"/>
          <w:lang w:val="zh-CN"/>
        </w:rPr>
        <w:t xml:space="preserve">无不良信用记录</w:t>
      </w:r>
      <w:r>
        <w:rPr>
          <w:rFonts w:hint="eastAsia" w:ascii="宋体" w:hAnsi="宋体"/>
          <w:bCs/>
          <w:color w:val="auto"/>
          <w:sz w:val="24"/>
          <w:szCs w:val="24"/>
          <w:highlight w:val="none"/>
          <w:lang w:val="zh-CN"/>
        </w:rPr>
        <w:t xml:space="preserve">：</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若投标人企业信息已录入以上网站的，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w:t>
      </w:r>
      <w:bookmarkStart w:id="72" w:name="_Hlk139976635"/>
      <w:r>
        <w:rPr>
          <w:rFonts w:hint="eastAsia" w:ascii="宋体" w:hAnsi="宋体"/>
          <w:bCs/>
          <w:color w:val="auto"/>
          <w:sz w:val="24"/>
          <w:szCs w:val="24"/>
          <w:highlight w:val="none"/>
          <w:lang w:val="zh-CN"/>
        </w:rPr>
        <w:t xml:space="preserve">人提供的资格声明函中作出的无不良信用记录承诺为准</w:t>
      </w:r>
      <w:bookmarkEnd w:id="72"/>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w:t>
      </w:r>
      <w:bookmarkStart w:id="73" w:name="_Hlk151448642"/>
      <w:r>
        <w:rPr>
          <w:rFonts w:hint="eastAsia" w:ascii="宋体" w:hAnsi="宋体"/>
          <w:bCs/>
          <w:color w:val="auto"/>
          <w:sz w:val="24"/>
          <w:szCs w:val="24"/>
          <w:highlight w:val="none"/>
          <w:lang w:val="zh-CN"/>
        </w:rPr>
        <w:t xml:space="preserve">联合体：如采购人要求组成联合体或采购人允许组成联合体且投标人组成联合体的，应提供有效的联合体协议书，否则无需提供；</w:t>
      </w:r>
      <w:r/>
    </w:p>
    <w:p>
      <w:pPr>
        <w:ind w:firstLine="480"/>
        <w:jc w:val="left"/>
        <w:spacing w:line="360" w:lineRule="auto"/>
        <w:tabs>
          <w:tab w:val="left" w:pos="0" w:leader="none"/>
          <w:tab w:val="left" w:pos="255" w:leader="none"/>
        </w:tabs>
        <w:rPr>
          <w:rFonts w:hint="eastAsia" w:ascii="宋体" w:hAnsi="宋体" w:eastAsia="宋体" w:cs="宋体"/>
          <w:bCs/>
          <w:color w:val="auto"/>
          <w:sz w:val="24"/>
          <w:szCs w:val="24"/>
          <w:highlight w:val="none"/>
          <w:lang w:val="zh-CN"/>
        </w:rPr>
      </w:pPr>
      <w:r/>
      <w:bookmarkStart w:id="74" w:name="OLE_LINK43"/>
      <w:r>
        <w:rPr>
          <w:rFonts w:hint="eastAsia" w:ascii="宋体" w:hAnsi="宋体"/>
          <w:bCs/>
          <w:color w:val="auto"/>
          <w:sz w:val="24"/>
          <w:szCs w:val="24"/>
          <w:highlight w:val="none"/>
          <w:lang w:val="zh-CN"/>
        </w:rPr>
        <w:t xml:space="preserve">⑨</w:t>
      </w:r>
      <w:r>
        <w:rPr>
          <w:rFonts w:hint="eastAsia" w:ascii="宋体" w:hAnsi="宋体" w:eastAsia="宋体" w:cs="宋体"/>
          <w:bCs/>
          <w:color w:val="auto"/>
          <w:sz w:val="24"/>
          <w:szCs w:val="24"/>
          <w:highlight w:val="none"/>
          <w:lang w:val="zh-CN"/>
        </w:rPr>
        <w:t xml:space="preserve">分包：如采购人要求分包或采购人允许分包且投标人有分包意向的，应提供有效的分包情况说明，否则无需提供；</w:t>
      </w:r>
      <w:r/>
    </w:p>
    <w:p>
      <w:pPr>
        <w:ind w:firstLine="480"/>
        <w:jc w:val="left"/>
        <w:spacing w:line="360" w:lineRule="auto"/>
        <w:tabs>
          <w:tab w:val="left" w:pos="0" w:leader="none"/>
          <w:tab w:val="left" w:pos="25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⑩中小企业声明：如专门面向中小企业采购的，投标人应提供有效的《中小企业声明函》或《残疾人福利性单位声明函》或监狱企业的证明文件，否则此处无需提供；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⑪</w:t>
      </w:r>
      <w:r>
        <w:rPr>
          <w:rFonts w:hint="eastAsia" w:ascii="宋体" w:hAnsi="宋体" w:eastAsia="宋体" w:cs="宋体"/>
          <w:bCs/>
          <w:color w:val="auto"/>
          <w:sz w:val="24"/>
          <w:szCs w:val="24"/>
          <w:highlight w:val="none"/>
        </w:rPr>
        <w:t xml:space="preserve">特定资格要求</w:t>
      </w:r>
      <w:r>
        <w:rPr>
          <w:rFonts w:hint="eastAsia" w:ascii="宋体" w:hAnsi="宋体" w:eastAsia="宋体" w:cs="宋体"/>
          <w:bCs/>
          <w:color w:val="auto"/>
          <w:sz w:val="24"/>
          <w:szCs w:val="24"/>
          <w:highlight w:val="none"/>
          <w:lang w:val="zh-CN"/>
        </w:rPr>
        <w:t xml:space="preserve">：无。</w:t>
      </w:r>
      <w:bookmarkEnd w:id="73"/>
      <w:r/>
      <w:bookmarkEnd w:id="74"/>
      <w:r/>
      <w:r/>
    </w:p>
    <w:p>
      <w:pPr>
        <w:ind w:firstLine="480"/>
        <w:jc w:val="left"/>
        <w:spacing w:line="360" w:lineRule="auto"/>
        <w:tabs>
          <w:tab w:val="left" w:pos="0" w:leader="none"/>
          <w:tab w:val="left" w:pos="255" w:leader="none"/>
        </w:tabs>
        <w:rPr>
          <w:rFonts w:hint="eastAsia" w:ascii="宋体" w:hAnsi="宋体"/>
          <w:bCs/>
          <w:color w:val="auto"/>
          <w:sz w:val="24"/>
          <w:szCs w:val="24"/>
          <w:highlight w:val="none"/>
        </w:rPr>
      </w:pPr>
      <w:r/>
      <w:bookmarkStart w:id="75" w:name="OLE_LINK114"/>
      <w:r>
        <w:rPr>
          <w:rFonts w:hint="eastAsia" w:ascii="宋体" w:hAnsi="宋体" w:eastAsia="宋体" w:cs="宋体"/>
          <w:bCs/>
          <w:color w:val="auto"/>
          <w:sz w:val="24"/>
          <w:szCs w:val="24"/>
          <w:highlight w:val="none"/>
        </w:rPr>
        <w:t xml:space="preserve">注：投标人具备履行合同所必需的设备和专业技术能力在资格声明函中作出承诺；</w:t>
      </w:r>
      <w:bookmarkStart w:id="76" w:name="_Hlk160698807"/>
      <w:r>
        <w:rPr>
          <w:rFonts w:hint="eastAsia" w:ascii="宋体" w:hAnsi="宋体" w:eastAsia="宋体" w:cs="宋体"/>
          <w:bCs/>
          <w:color w:val="auto"/>
          <w:sz w:val="24"/>
          <w:szCs w:val="24"/>
          <w:highlight w:val="none"/>
          <w:lang w:val="zh-CN"/>
        </w:rPr>
        <w:t xml:space="preserve">资格</w:t>
      </w:r>
      <w:r>
        <w:rPr>
          <w:rFonts w:hint="eastAsia" w:ascii="宋体" w:hAnsi="宋体"/>
          <w:bCs/>
          <w:color w:val="auto"/>
          <w:sz w:val="24"/>
          <w:szCs w:val="24"/>
          <w:highlight w:val="none"/>
          <w:lang w:val="zh-CN"/>
        </w:rPr>
        <w:t xml:space="preserve">声明函中的较大数额罚款的认定按相关文件规定执行</w:t>
      </w:r>
      <w:r>
        <w:rPr>
          <w:rFonts w:hint="eastAsia" w:ascii="宋体" w:hAnsi="宋体"/>
          <w:bCs/>
          <w:color w:val="auto"/>
          <w:sz w:val="24"/>
          <w:szCs w:val="24"/>
          <w:highlight w:val="none"/>
        </w:rPr>
        <w:t xml:space="preserve">，</w:t>
      </w:r>
      <w:bookmarkEnd w:id="76"/>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以上近六个月、近十二个月是从提交投标文件截止日向前推算（不含投标文件提交截止当月）</w:t>
      </w:r>
      <w:r>
        <w:rPr>
          <w:rFonts w:hint="eastAsia" w:ascii="宋体" w:hAnsi="宋体"/>
          <w:bCs/>
          <w:color w:val="auto"/>
          <w:sz w:val="24"/>
          <w:szCs w:val="24"/>
          <w:highlight w:val="none"/>
        </w:rPr>
        <w:t xml:space="preserve">。</w:t>
      </w:r>
      <w:bookmarkEnd w:id="69"/>
      <w:r/>
      <w:bookmarkEnd w:id="70"/>
      <w:r/>
      <w:r/>
    </w:p>
    <w:p>
      <w:pPr>
        <w:numPr>
          <w:ilvl w:val="0"/>
          <w:numId w:val="3"/>
        </w:numPr>
        <w:jc w:val="left"/>
        <w:spacing w:line="360" w:lineRule="auto"/>
        <w:tabs>
          <w:tab w:val="left" w:pos="0" w:leader="none"/>
          <w:tab w:val="left" w:pos="255" w:leader="none"/>
        </w:tabs>
        <w:rPr>
          <w:rFonts w:hint="eastAsia" w:ascii="宋体" w:hAnsi="宋体"/>
          <w:bCs/>
          <w:color w:val="auto"/>
          <w:sz w:val="24"/>
          <w:szCs w:val="24"/>
          <w:highlight w:val="none"/>
        </w:rPr>
      </w:pPr>
      <w:r/>
      <w:bookmarkStart w:id="77" w:name="_Hlk151555369"/>
      <w:r>
        <w:rPr>
          <w:rFonts w:hint="eastAsia" w:ascii="宋体" w:hAnsi="宋体"/>
          <w:bCs/>
          <w:color w:val="auto"/>
          <w:sz w:val="24"/>
          <w:szCs w:val="24"/>
          <w:highlight w:val="none"/>
        </w:rPr>
        <w:t xml:space="preserve">符合条件</w:t>
      </w:r>
      <w:bookmarkEnd w:id="77"/>
      <w:r/>
      <w:r/>
    </w:p>
    <w:p>
      <w:pPr>
        <w:ind w:firstLine="480"/>
        <w:jc w:val="left"/>
        <w:spacing w:line="360" w:lineRule="auto"/>
        <w:rPr>
          <w:rFonts w:hint="eastAsia" w:ascii="宋体" w:hAnsi="宋体"/>
          <w:color w:val="auto"/>
          <w:sz w:val="24"/>
          <w:szCs w:val="21"/>
          <w:highlight w:val="none"/>
          <w:lang w:val="zh-CN"/>
        </w:rPr>
      </w:pPr>
      <w:r/>
      <w:bookmarkStart w:id="78" w:name="_Hlk131926018"/>
      <w:r>
        <w:rPr>
          <w:rFonts w:hint="eastAsia" w:ascii="宋体" w:hAnsi="宋体"/>
          <w:color w:val="auto"/>
          <w:sz w:val="24"/>
          <w:szCs w:val="21"/>
          <w:highlight w:val="none"/>
          <w:lang w:val="zh-CN"/>
        </w:rPr>
        <w:t xml:space="preserve">①投标函</w:t>
      </w:r>
      <w:bookmarkEnd w:id="78"/>
      <w:r/>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②明细报价表</w:t>
      </w:r>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③项目技术要求偏离表</w:t>
      </w:r>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④项目人员配置清单</w:t>
      </w:r>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⑤服务内容详细说明（格式自拟）</w:t>
      </w:r>
      <w:r/>
    </w:p>
    <w:p>
      <w:pPr>
        <w:numPr>
          <w:ilvl w:val="0"/>
          <w:numId w:val="3"/>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价格折扣文件</w:t>
      </w:r>
      <w:r/>
    </w:p>
    <w:p>
      <w:pPr>
        <w:numPr>
          <w:ilvl w:val="0"/>
          <w:numId w:val="3"/>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其他相关材料</w:t>
      </w:r>
      <w:bookmarkEnd w:id="75"/>
      <w:r/>
      <w:r/>
    </w:p>
    <w:p>
      <w:pPr>
        <w:ind w:firstLine="480"/>
        <w:jc w:val="left"/>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上述（2）和（3）内容投标人应按要求提供有效证明材料，否则投标无效，相关材料格式见投标文件（格式）。如上述证明文件遇年检、换证，则必须提供法定年检、换证单位出具的有效证明。如上述“（2）资格条件”第③、⑥、⑦项，依法免税或</w:t>
      </w:r>
      <w:bookmarkStart w:id="79" w:name="OLE_LINK19"/>
      <w:r>
        <w:rPr>
          <w:rFonts w:hint="eastAsia" w:ascii="宋体" w:hAnsi="宋体"/>
          <w:bCs/>
          <w:color w:val="auto"/>
          <w:sz w:val="24"/>
          <w:szCs w:val="24"/>
          <w:highlight w:val="none"/>
        </w:rPr>
        <w:t xml:space="preserve">不需要缴纳社会保障资金</w:t>
      </w:r>
      <w:bookmarkEnd w:id="79"/>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End w:id="67"/>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w:t>
      </w:r>
      <w:bookmarkStart w:id="80" w:name="_Toc23231"/>
      <w:r/>
      <w:bookmarkStart w:id="81" w:name="_Toc515647770"/>
      <w:r/>
      <w:bookmarkStart w:id="82" w:name="_Toc2248"/>
      <w:r/>
      <w:bookmarkStart w:id="83" w:name="_Toc520356155"/>
      <w:r/>
      <w:bookmarkStart w:id="84" w:name="_Toc19624"/>
      <w:r>
        <w:rPr>
          <w:rFonts w:hint="eastAsia" w:ascii="宋体" w:hAnsi="宋体"/>
          <w:bCs/>
          <w:color w:val="auto"/>
          <w:sz w:val="24"/>
          <w:szCs w:val="24"/>
          <w:highlight w:val="none"/>
        </w:rPr>
        <w:t xml:space="preserve">投标报价</w:t>
      </w:r>
      <w:bookmarkEnd w:id="80"/>
      <w:r/>
      <w:bookmarkEnd w:id="81"/>
      <w:r/>
      <w:bookmarkEnd w:id="82"/>
      <w:r/>
      <w:bookmarkEnd w:id="83"/>
      <w:r/>
      <w:bookmarkEnd w:id="84"/>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85" w:name="OLE_LINK204"/>
      <w:r>
        <w:rPr>
          <w:rFonts w:hint="eastAsia" w:ascii="宋体" w:hAnsi="宋体"/>
          <w:bCs/>
          <w:color w:val="auto"/>
          <w:sz w:val="24"/>
          <w:szCs w:val="24"/>
          <w:highlight w:val="none"/>
          <w:lang w:val="zh-CN"/>
        </w:rPr>
        <w:t xml:space="preserve">。</w:t>
      </w:r>
      <w:bookmarkEnd w:id="85"/>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bookmarkStart w:id="86" w:name="OLE_LINK262"/>
      <w:r>
        <w:rPr>
          <w:rFonts w:hint="eastAsia" w:ascii="宋体" w:hAnsi="宋体"/>
          <w:bCs/>
          <w:color w:val="auto"/>
          <w:sz w:val="24"/>
          <w:szCs w:val="24"/>
          <w:highlight w:val="none"/>
          <w:lang w:val="zh-CN"/>
        </w:rPr>
        <w:t xml:space="preserve">投标报价应包含</w:t>
      </w:r>
      <w:bookmarkStart w:id="87" w:name="OLE_LINK250"/>
      <w:r>
        <w:rPr>
          <w:rFonts w:hint="eastAsia" w:ascii="宋体" w:hAnsi="宋体"/>
          <w:bCs/>
          <w:color w:val="auto"/>
          <w:sz w:val="24"/>
          <w:szCs w:val="24"/>
          <w:highlight w:val="none"/>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，以及投标人认为需要的其他费用等</w:t>
      </w:r>
      <w:bookmarkEnd w:id="86"/>
      <w:r/>
      <w:bookmarkEnd w:id="87"/>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每种货物只能有一个投标报价。采购人不接受具有附加条件的报价。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11、投标文件的制作</w:t>
      </w:r>
      <w:r/>
    </w:p>
    <w:p>
      <w:pPr>
        <w:ind w:firstLine="480"/>
        <w:jc w:val="left"/>
        <w:spacing w:line="360" w:lineRule="auto"/>
        <w:rPr>
          <w:rFonts w:hint="eastAsia" w:ascii="宋体" w:hAnsi="宋体"/>
          <w:bCs/>
          <w:color w:val="auto"/>
          <w:sz w:val="24"/>
          <w:szCs w:val="24"/>
          <w:highlight w:val="none"/>
          <w:lang w:val="zh-CN"/>
        </w:rPr>
      </w:pPr>
      <w:r/>
      <w:bookmarkStart w:id="88" w:name="_Hlk131926068"/>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hint="eastAsia" w:ascii="宋体" w:hAnsi="宋体"/>
          <w:bCs/>
          <w:color w:val="auto"/>
          <w:sz w:val="24"/>
          <w:szCs w:val="24"/>
          <w:highlight w:val="none"/>
          <w:lang w:val="zh-CN"/>
        </w:rPr>
      </w:pPr>
      <w:r/>
      <w:bookmarkStart w:id="89"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rFonts w:hint="eastAsia" w:ascii="宋体" w:hAnsi="宋体"/>
          <w:bCs/>
          <w:color w:val="auto"/>
          <w:sz w:val="24"/>
          <w:szCs w:val="24"/>
          <w:highlight w:val="none"/>
          <w:lang w:val="zh-CN"/>
        </w:rPr>
      </w:pPr>
      <w:r/>
      <w:bookmarkStart w:id="90"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投标人提交的投标文件中加盖的电子公章，均视为经投标人法定代表人同意或授权。</w:t>
      </w:r>
      <w:bookmarkEnd w:id="89"/>
      <w:r/>
      <w:bookmarkEnd w:id="90"/>
      <w:r/>
      <w:r/>
    </w:p>
    <w:p>
      <w:pPr>
        <w:ind w:firstLine="482"/>
        <w:keepLines w:val="0"/>
        <w:keepNext w:val="0"/>
        <w:pageBreakBefore w:val="0"/>
        <w:spacing w:line="360" w:lineRule="auto"/>
        <w:widowControl w:val="off"/>
        <w:rPr>
          <w:rFonts w:hint="eastAsia" w:ascii="宋体" w:hAnsi="宋体" w:eastAsia="宋体" w:cs="Times New Roman"/>
          <w:b/>
          <w:color w:val="auto"/>
          <w:sz w:val="24"/>
          <w:highlight w:val="none"/>
          <w:u w:val="single"/>
        </w:rPr>
      </w:pPr>
      <w:r>
        <w:rPr>
          <w:rFonts w:hint="eastAsia" w:ascii="宋体" w:hAnsi="宋体"/>
          <w:b/>
          <w:bCs w:val="0"/>
          <w:color w:val="auto"/>
          <w:sz w:val="24"/>
          <w:szCs w:val="24"/>
          <w:highlight w:val="none"/>
          <w:lang w:val="zh-CN"/>
        </w:rPr>
        <w:t xml:space="preserve">1</w:t>
      </w:r>
      <w:r>
        <w:rPr>
          <w:rFonts w:ascii="宋体" w:hAnsi="宋体"/>
          <w:b/>
          <w:bCs w:val="0"/>
          <w:color w:val="auto"/>
          <w:sz w:val="24"/>
          <w:szCs w:val="24"/>
          <w:highlight w:val="none"/>
          <w:lang w:val="zh-CN"/>
        </w:rPr>
        <w:t xml:space="preserve">1.</w:t>
      </w:r>
      <w:r>
        <w:rPr>
          <w:rFonts w:hint="eastAsia" w:ascii="宋体" w:hAnsi="宋体"/>
          <w:b/>
          <w:bCs w:val="0"/>
          <w:color w:val="auto"/>
          <w:sz w:val="24"/>
          <w:szCs w:val="24"/>
          <w:highlight w:val="none"/>
          <w:lang w:val="en-US" w:eastAsia="zh-CN"/>
        </w:rPr>
        <w:t xml:space="preserve">6</w:t>
      </w:r>
      <w:r>
        <w:rPr>
          <w:rFonts w:hint="eastAsia" w:ascii="宋体" w:hAnsi="宋体" w:eastAsia="宋体" w:cs="Times New Roman"/>
          <w:b/>
          <w:color w:val="auto"/>
          <w:sz w:val="24"/>
          <w:highlight w:val="none"/>
          <w:u w:val="single"/>
        </w:rPr>
        <w:t xml:space="preserve">特别注意：本项目采用暗标形式，投标人须按第</w:t>
      </w:r>
      <w:r>
        <w:rPr>
          <w:rFonts w:hint="eastAsia" w:ascii="宋体" w:hAnsi="宋体" w:eastAsia="宋体" w:cs="Times New Roman"/>
          <w:b/>
          <w:color w:val="auto"/>
          <w:sz w:val="24"/>
          <w:highlight w:val="none"/>
          <w:u w:val="single"/>
          <w:lang w:val="en-US" w:eastAsia="zh-CN"/>
        </w:rPr>
        <w:t xml:space="preserve">四</w:t>
      </w:r>
      <w:r>
        <w:rPr>
          <w:rFonts w:hint="eastAsia" w:ascii="宋体" w:hAnsi="宋体" w:eastAsia="宋体" w:cs="Times New Roman"/>
          <w:b/>
          <w:color w:val="auto"/>
          <w:sz w:val="24"/>
          <w:highlight w:val="none"/>
          <w:u w:val="single"/>
        </w:rPr>
        <w:t xml:space="preserve">章《评标方法与标准》的相关要求对商务部分和技术部分分别进行制作。其中技术部分</w:t>
      </w:r>
      <w:r>
        <w:rPr>
          <w:rFonts w:hint="eastAsia" w:ascii="宋体" w:hAnsi="宋体" w:cs="Times New Roman"/>
          <w:b/>
          <w:color w:val="auto"/>
          <w:sz w:val="24"/>
          <w:highlight w:val="none"/>
          <w:u w:val="single"/>
          <w:lang w:val="en-US" w:eastAsia="zh-CN"/>
        </w:rPr>
        <w:t xml:space="preserve">的服务内容</w:t>
      </w:r>
      <w:r>
        <w:rPr>
          <w:rFonts w:hint="eastAsia" w:ascii="宋体" w:hAnsi="宋体" w:eastAsia="宋体" w:cs="Times New Roman"/>
          <w:b/>
          <w:color w:val="auto"/>
          <w:sz w:val="24"/>
          <w:highlight w:val="none"/>
          <w:u w:val="single"/>
        </w:rPr>
        <w:t xml:space="preserve">属于暗标，投标人在制作技术部分相关内容时不得有体现投标人身份的内容，否则投标无效。</w:t>
      </w:r>
      <w:r/>
    </w:p>
    <w:p>
      <w:pPr>
        <w:ind w:firstLine="482"/>
        <w:keepLines w:val="0"/>
        <w:keepNext w:val="0"/>
        <w:pageBreakBefore w:val="0"/>
        <w:spacing w:line="360" w:lineRule="auto"/>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360" w:lineRule="auto"/>
        <w:widowControl w:val="off"/>
        <w:rPr>
          <w:rFonts w:hint="eastAsia" w:ascii="宋体" w:hAnsi="宋体" w:eastAsia="宋体" w:cs="Times New Roman"/>
          <w:b/>
          <w:color w:val="auto"/>
          <w:sz w:val="24"/>
          <w:highlight w:val="none"/>
        </w:rPr>
      </w:pPr>
      <w:r>
        <w:rPr>
          <w:rFonts w:hint="eastAsia" w:ascii="宋体" w:hAnsi="宋体"/>
          <w:b/>
          <w:bCs w:val="0"/>
          <w:color w:val="auto"/>
          <w:sz w:val="24"/>
          <w:szCs w:val="24"/>
          <w:highlight w:val="none"/>
          <w:lang w:val="zh-CN"/>
        </w:rPr>
        <w:t xml:space="preserve">1</w:t>
      </w:r>
      <w:r>
        <w:rPr>
          <w:rFonts w:ascii="宋体" w:hAnsi="宋体"/>
          <w:b/>
          <w:bCs w:val="0"/>
          <w:color w:val="auto"/>
          <w:sz w:val="24"/>
          <w:szCs w:val="24"/>
          <w:highlight w:val="none"/>
          <w:lang w:val="zh-CN"/>
        </w:rPr>
        <w:t xml:space="preserve">1.</w:t>
      </w:r>
      <w:r>
        <w:rPr>
          <w:rFonts w:hint="eastAsia" w:ascii="宋体" w:hAnsi="宋体"/>
          <w:b/>
          <w:bCs w:val="0"/>
          <w:color w:val="auto"/>
          <w:sz w:val="24"/>
          <w:szCs w:val="24"/>
          <w:highlight w:val="none"/>
          <w:lang w:val="en-US" w:eastAsia="zh-CN"/>
        </w:rPr>
        <w:t xml:space="preserve">6</w:t>
      </w:r>
      <w:r>
        <w:rPr>
          <w:rFonts w:hint="eastAsia" w:ascii="宋体" w:hAnsi="宋体" w:eastAsia="宋体" w:cs="Times New Roman"/>
          <w:b/>
          <w:color w:val="auto"/>
          <w:sz w:val="24"/>
          <w:highlight w:val="none"/>
        </w:rPr>
        <w:t xml:space="preserve">.1技术部分不得出现能够体现投标人身份、名称的相关描述、材料、文件等内容；</w:t>
      </w:r>
      <w:r/>
    </w:p>
    <w:p>
      <w:pPr>
        <w:ind w:firstLine="482"/>
        <w:keepLines w:val="0"/>
        <w:keepNext w:val="0"/>
        <w:pageBreakBefore w:val="0"/>
        <w:spacing w:line="360" w:lineRule="auto"/>
        <w:widowControl w:val="off"/>
        <w:rPr>
          <w:rFonts w:hint="eastAsia" w:ascii="宋体" w:hAnsi="宋体" w:eastAsia="宋体" w:cs="Times New Roman"/>
          <w:b/>
          <w:color w:val="auto"/>
          <w:sz w:val="24"/>
          <w:highlight w:val="none"/>
        </w:rPr>
      </w:pPr>
      <w:r>
        <w:rPr>
          <w:rFonts w:hint="eastAsia" w:ascii="宋体" w:hAnsi="宋体"/>
          <w:b/>
          <w:bCs w:val="0"/>
          <w:color w:val="auto"/>
          <w:sz w:val="24"/>
          <w:szCs w:val="24"/>
          <w:highlight w:val="none"/>
          <w:lang w:val="zh-CN"/>
        </w:rPr>
        <w:t xml:space="preserve">1</w:t>
      </w:r>
      <w:r>
        <w:rPr>
          <w:rFonts w:ascii="宋体" w:hAnsi="宋体"/>
          <w:b/>
          <w:bCs w:val="0"/>
          <w:color w:val="auto"/>
          <w:sz w:val="24"/>
          <w:szCs w:val="24"/>
          <w:highlight w:val="none"/>
          <w:lang w:val="zh-CN"/>
        </w:rPr>
        <w:t xml:space="preserve">1.</w:t>
      </w:r>
      <w:r>
        <w:rPr>
          <w:rFonts w:hint="eastAsia" w:ascii="宋体" w:hAnsi="宋体"/>
          <w:b/>
          <w:bCs w:val="0"/>
          <w:color w:val="auto"/>
          <w:sz w:val="24"/>
          <w:szCs w:val="24"/>
          <w:highlight w:val="none"/>
          <w:lang w:val="en-US" w:eastAsia="zh-CN"/>
        </w:rPr>
        <w:t xml:space="preserve">6</w:t>
      </w:r>
      <w:r>
        <w:rPr>
          <w:rFonts w:hint="eastAsia" w:ascii="宋体" w:hAnsi="宋体" w:eastAsia="宋体" w:cs="Times New Roman"/>
          <w:b/>
          <w:color w:val="auto"/>
          <w:sz w:val="24"/>
          <w:highlight w:val="none"/>
        </w:rPr>
        <w:t xml:space="preserve">.2技术部分不得更改，不得在其中涂改、标注或做任何可以辨认投标人及所属人员身份的名称、印章、商标等标记；</w:t>
      </w:r>
      <w:r/>
    </w:p>
    <w:p>
      <w:pPr>
        <w:ind w:firstLine="482"/>
        <w:keepLines w:val="0"/>
        <w:keepNext w:val="0"/>
        <w:pageBreakBefore w:val="0"/>
        <w:spacing w:line="360" w:lineRule="auto"/>
        <w:widowControl w:val="off"/>
        <w:rPr>
          <w:rFonts w:hint="eastAsia" w:ascii="宋体" w:hAnsi="宋体" w:eastAsia="宋体" w:cs="Times New Roman"/>
          <w:b/>
          <w:color w:val="auto"/>
          <w:sz w:val="24"/>
          <w:highlight w:val="none"/>
        </w:rPr>
      </w:pPr>
      <w:r>
        <w:rPr>
          <w:rFonts w:hint="eastAsia" w:ascii="宋体" w:hAnsi="宋体"/>
          <w:b/>
          <w:bCs w:val="0"/>
          <w:color w:val="auto"/>
          <w:sz w:val="24"/>
          <w:szCs w:val="24"/>
          <w:highlight w:val="none"/>
          <w:lang w:val="zh-CN"/>
        </w:rPr>
        <w:t xml:space="preserve">1</w:t>
      </w:r>
      <w:r>
        <w:rPr>
          <w:rFonts w:ascii="宋体" w:hAnsi="宋体"/>
          <w:b/>
          <w:bCs w:val="0"/>
          <w:color w:val="auto"/>
          <w:sz w:val="24"/>
          <w:szCs w:val="24"/>
          <w:highlight w:val="none"/>
          <w:lang w:val="zh-CN"/>
        </w:rPr>
        <w:t xml:space="preserve">1.</w:t>
      </w:r>
      <w:r>
        <w:rPr>
          <w:rFonts w:hint="eastAsia" w:ascii="宋体" w:hAnsi="宋体"/>
          <w:b/>
          <w:bCs w:val="0"/>
          <w:color w:val="auto"/>
          <w:sz w:val="24"/>
          <w:szCs w:val="24"/>
          <w:highlight w:val="none"/>
          <w:lang w:val="en-US" w:eastAsia="zh-CN"/>
        </w:rPr>
        <w:t xml:space="preserve">6</w:t>
      </w:r>
      <w:r>
        <w:rPr>
          <w:rFonts w:hint="eastAsia" w:ascii="宋体" w:hAnsi="宋体" w:eastAsia="宋体" w:cs="Times New Roman"/>
          <w:b/>
          <w:color w:val="auto"/>
          <w:sz w:val="24"/>
          <w:highlight w:val="none"/>
        </w:rPr>
        <w:t xml:space="preserve">.3技术部分应当版面整洁、字迹清楚、不许批注或进行底纹、阴影、水印等特殊设置，不得采用任何不符合常规、有别于其他投标人的特殊做法；</w:t>
      </w:r>
      <w:r/>
    </w:p>
    <w:p>
      <w:pPr>
        <w:pStyle w:val="708"/>
        <w:ind w:firstLine="482"/>
        <w:spacing w:line="360" w:lineRule="auto"/>
      </w:pPr>
      <w:r>
        <w:rPr>
          <w:rFonts w:hint="eastAsia" w:ascii="宋体" w:hAnsi="宋体"/>
          <w:b/>
          <w:bCs w:val="0"/>
          <w:color w:val="auto"/>
          <w:sz w:val="24"/>
          <w:szCs w:val="24"/>
          <w:highlight w:val="none"/>
          <w:lang w:val="zh-CN"/>
        </w:rPr>
        <w:t xml:space="preserve">1</w:t>
      </w:r>
      <w:r>
        <w:rPr>
          <w:rFonts w:ascii="宋体" w:hAnsi="宋体"/>
          <w:b/>
          <w:bCs w:val="0"/>
          <w:color w:val="auto"/>
          <w:sz w:val="24"/>
          <w:szCs w:val="24"/>
          <w:highlight w:val="none"/>
          <w:lang w:val="zh-CN"/>
        </w:rPr>
        <w:t xml:space="preserve">1.</w:t>
      </w:r>
      <w:r>
        <w:rPr>
          <w:rFonts w:hint="eastAsia" w:ascii="宋体" w:hAnsi="宋体"/>
          <w:b/>
          <w:bCs w:val="0"/>
          <w:color w:val="auto"/>
          <w:sz w:val="24"/>
          <w:szCs w:val="24"/>
          <w:highlight w:val="none"/>
          <w:lang w:val="en-US" w:eastAsia="zh-CN"/>
        </w:rPr>
        <w:t xml:space="preserve">6</w:t>
      </w:r>
      <w:r>
        <w:rPr>
          <w:rFonts w:hint="eastAsia" w:ascii="宋体" w:hAnsi="宋体" w:eastAsia="宋体" w:cs="Times New Roman"/>
          <w:b/>
          <w:color w:val="auto"/>
          <w:sz w:val="24"/>
          <w:highlight w:val="none"/>
        </w:rPr>
        <w:t xml:space="preserve">.4不得有其他体现投标人身份的内容。</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bookmarkStart w:id="91" w:name="_Hlk131926146"/>
      <w:r>
        <w:rPr>
          <w:rFonts w:ascii="宋体" w:hAnsi="宋体"/>
          <w:bCs/>
          <w:color w:val="auto"/>
          <w:sz w:val="24"/>
          <w:szCs w:val="24"/>
          <w:highlight w:val="none"/>
        </w:rPr>
        <w:t xml:space="preserve">电子投标文件</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投标人应通过投标文件制作软件使用数字认证证书对投标文件进行合成、电子签章及加密打包，并</w:t>
      </w:r>
      <w:r>
        <w:rPr>
          <w:rFonts w:ascii="宋体" w:hAnsi="宋体"/>
          <w:bCs/>
          <w:color w:val="auto"/>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 xml:space="preserve">电子投标文件将作为本项目采购活动的电子档案保存，电子档案与纸档案具有同等效力。具体流程如下：</w:t>
      </w:r>
      <w:r>
        <w:rPr>
          <w:rFonts w:hint="eastAsia" w:ascii="宋体" w:hAnsi="宋体"/>
          <w:bCs/>
          <w:color w:val="auto"/>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12.2 截止时间以后传输的投标文件，“苏采云”平台将拒绝接收。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应充分考虑网络环境、网络带宽等风险因素。 </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12.3 提交完成后至解密前，</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不能对加密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文件时所使用的数字认证证书进行更新、续费，否则可能引起的投标文件解密失败等相关后果由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12.4 因不可抗力事件造成的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文件的损坏、丢失的，采购代理机构不承担责任。</w:t>
      </w:r>
      <w:r/>
    </w:p>
    <w:p>
      <w:pPr>
        <w:ind w:firstLine="480"/>
        <w:jc w:val="left"/>
        <w:spacing w:line="360" w:lineRule="auto"/>
        <w:rPr>
          <w:rFonts w:hint="eastAsia" w:ascii="宋体" w:hAnsi="宋体"/>
          <w:bCs/>
          <w:color w:val="auto"/>
          <w:sz w:val="24"/>
          <w:szCs w:val="24"/>
          <w:highlight w:val="none"/>
        </w:rPr>
      </w:pPr>
      <w:r/>
      <w:bookmarkStart w:id="92" w:name="OLE_LINK12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、投标文件的拒收：</w:t>
      </w:r>
      <w:bookmarkStart w:id="93" w:name="_Hlk151449127"/>
      <w:r/>
      <w:bookmarkStart w:id="94" w:name="_Hlk151562775"/>
      <w:r>
        <w:rPr>
          <w:rFonts w:hint="eastAsia" w:ascii="宋体" w:hAnsi="宋体"/>
          <w:bCs/>
          <w:color w:val="auto"/>
          <w:sz w:val="24"/>
          <w:szCs w:val="24"/>
          <w:highlight w:val="none"/>
        </w:rPr>
        <w:t xml:space="preserve">在招标文件要求的投标截止时间之后提交的投标文件和招标文件规定拒收情形的将被拒收</w:t>
      </w:r>
      <w:bookmarkEnd w:id="91"/>
      <w:r/>
      <w:bookmarkEnd w:id="93"/>
      <w:r/>
      <w:bookmarkStart w:id="95" w:name="_Hlk151449258"/>
      <w:r>
        <w:rPr>
          <w:rFonts w:hint="eastAsia" w:ascii="宋体" w:hAnsi="宋体"/>
          <w:bCs/>
          <w:color w:val="auto"/>
          <w:sz w:val="24"/>
          <w:szCs w:val="24"/>
          <w:highlight w:val="none"/>
        </w:rPr>
        <w:t xml:space="preserve">，否则资格审查不通过。</w:t>
      </w:r>
      <w:bookmarkEnd w:id="88"/>
      <w:r/>
      <w:bookmarkEnd w:id="92"/>
      <w:r/>
      <w:bookmarkEnd w:id="94"/>
      <w:r/>
      <w:bookmarkEnd w:id="95"/>
      <w:r/>
      <w:r/>
    </w:p>
    <w:p>
      <w:pPr>
        <w:ind w:firstLine="480"/>
        <w:jc w:val="left"/>
        <w:spacing w:line="360" w:lineRule="auto"/>
        <w:rPr>
          <w:rFonts w:hint="eastAsia" w:ascii="宋体" w:hAnsi="宋体"/>
          <w:bCs/>
          <w:color w:val="auto"/>
          <w:sz w:val="24"/>
          <w:szCs w:val="24"/>
          <w:highlight w:val="none"/>
        </w:rPr>
      </w:pPr>
      <w:r/>
      <w:bookmarkStart w:id="96" w:name="OLE_LINK9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、投标文件的真实性</w:t>
      </w:r>
      <w:r/>
    </w:p>
    <w:p>
      <w:pPr>
        <w:ind w:firstLine="480"/>
        <w:jc w:val="left"/>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.2 </w:t>
      </w:r>
      <w:bookmarkStart w:id="97" w:name="OLE_LINK227"/>
      <w:r>
        <w:rPr>
          <w:rFonts w:hint="eastAsia" w:ascii="宋体" w:hAnsi="宋体"/>
          <w:bCs/>
          <w:color w:val="auto"/>
          <w:sz w:val="24"/>
          <w:szCs w:val="28"/>
          <w:highlight w:val="none"/>
        </w:rPr>
        <w:t xml:space="preserve">如</w:t>
      </w:r>
      <w:bookmarkStart w:id="98" w:name="OLE_LINK45"/>
      <w:r>
        <w:rPr>
          <w:rFonts w:hint="eastAsia" w:ascii="宋体" w:hAnsi="宋体"/>
          <w:bCs/>
          <w:color w:val="auto"/>
          <w:sz w:val="24"/>
          <w:szCs w:val="28"/>
          <w:highlight w:val="none"/>
        </w:rPr>
        <w:t xml:space="preserve">采购人、</w:t>
      </w:r>
      <w:bookmarkEnd w:id="98"/>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96"/>
      <w:r/>
      <w:bookmarkEnd w:id="97"/>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投标文件的有效期为提交投标文件截止之日起的60天（含投标截止当日）。在特殊情况下，采购人、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16、投标文件的退还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投标截止时间后，采购人和采购代理机构对所有投标人的投标文件一律不予退还。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17、投标文件的</w:t>
      </w:r>
      <w:bookmarkStart w:id="99" w:name="OLE_LINK260"/>
      <w:r>
        <w:rPr>
          <w:rFonts w:hint="eastAsia" w:ascii="宋体" w:hAnsi="宋体"/>
          <w:bCs/>
          <w:color w:val="auto"/>
          <w:sz w:val="24"/>
          <w:szCs w:val="24"/>
          <w:highlight w:val="none"/>
        </w:rPr>
        <w:t xml:space="preserve">补充、修改或者撤回</w:t>
      </w:r>
      <w:bookmarkEnd w:id="99"/>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17.2 </w:t>
      </w:r>
      <w:bookmarkStart w:id="100" w:name="OLE_LINK228"/>
      <w:r>
        <w:rPr>
          <w:rFonts w:hint="eastAsia" w:ascii="宋体" w:hAnsi="宋体"/>
          <w:bCs/>
          <w:color w:val="auto"/>
          <w:sz w:val="24"/>
          <w:szCs w:val="24"/>
          <w:highlight w:val="none"/>
        </w:rPr>
        <w:t xml:space="preserve">在投标截止时间之后，</w:t>
      </w:r>
      <w:bookmarkStart w:id="101" w:name="_Hlk128404679"/>
      <w:r>
        <w:rPr>
          <w:rFonts w:hint="eastAsia" w:ascii="宋体" w:hAnsi="宋体"/>
          <w:bCs/>
          <w:color w:val="auto"/>
          <w:sz w:val="24"/>
          <w:szCs w:val="24"/>
          <w:highlight w:val="none"/>
        </w:rPr>
        <w:t xml:space="preserve">采购人、采购代理机构、评标委员会不接受</w:t>
      </w:r>
      <w:bookmarkEnd w:id="101"/>
      <w:r>
        <w:rPr>
          <w:rFonts w:hint="eastAsia" w:ascii="宋体" w:hAnsi="宋体"/>
          <w:bCs/>
          <w:color w:val="auto"/>
          <w:sz w:val="24"/>
          <w:szCs w:val="24"/>
          <w:highlight w:val="none"/>
        </w:rPr>
        <w:t xml:space="preserve">投标人主动对其投标文件做任何</w:t>
      </w:r>
      <w:bookmarkStart w:id="102" w:name="OLE_LINK54"/>
      <w:r>
        <w:rPr>
          <w:rFonts w:hint="eastAsia" w:ascii="宋体" w:hAnsi="宋体"/>
          <w:bCs/>
          <w:color w:val="auto"/>
          <w:sz w:val="24"/>
          <w:szCs w:val="24"/>
          <w:highlight w:val="none"/>
        </w:rPr>
        <w:t xml:space="preserve">补充、</w:t>
      </w:r>
      <w:bookmarkEnd w:id="102"/>
      <w:r>
        <w:rPr>
          <w:rFonts w:hint="eastAsia" w:ascii="宋体" w:hAnsi="宋体"/>
          <w:bCs/>
          <w:color w:val="auto"/>
          <w:sz w:val="24"/>
          <w:szCs w:val="24"/>
          <w:highlight w:val="none"/>
        </w:rPr>
        <w:t xml:space="preserve">修改</w:t>
      </w:r>
      <w:bookmarkEnd w:id="100"/>
      <w:r>
        <w:rPr>
          <w:rFonts w:hint="eastAsia" w:ascii="宋体" w:hAnsi="宋体"/>
          <w:bCs/>
          <w:color w:val="auto"/>
          <w:sz w:val="24"/>
          <w:szCs w:val="24"/>
          <w:highlight w:val="none"/>
        </w:rPr>
        <w:t xml:space="preserve">。</w:t>
      </w:r>
      <w:r/>
    </w:p>
    <w:p>
      <w:p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 xml:space="preserve">无效投标的确认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4"/>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投标文件未按招标文件规定签署或盖章的；</w:t>
      </w:r>
      <w:r/>
    </w:p>
    <w:p>
      <w:pPr>
        <w:numPr>
          <w:ilvl w:val="0"/>
          <w:numId w:val="4"/>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或未按招标文件规定的要求提供资格证明文件的；</w:t>
      </w:r>
      <w:r/>
    </w:p>
    <w:p>
      <w:pPr>
        <w:numPr>
          <w:ilvl w:val="0"/>
          <w:numId w:val="4"/>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4"/>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4"/>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超过招标文件中规定的预算金额或者最高限价的</w:t>
      </w:r>
      <w:r>
        <w:rPr>
          <w:rFonts w:hint="eastAsia" w:ascii="宋体" w:hAnsi="宋体" w:cs="宋体"/>
          <w:bCs/>
          <w:color w:val="auto"/>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4"/>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4"/>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属于招标文件“不得参加本次采购活动投标人”的；</w:t>
      </w:r>
      <w:r/>
    </w:p>
    <w:p>
      <w:pPr>
        <w:numPr>
          <w:ilvl w:val="0"/>
          <w:numId w:val="4"/>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5"/>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103" w:name="OLE_LINK137"/>
      <w:r>
        <w:rPr>
          <w:rFonts w:hint="eastAsia" w:ascii="宋体" w:hAnsi="宋体" w:cs="宋体"/>
          <w:bCs/>
          <w:color w:val="auto"/>
          <w:sz w:val="24"/>
          <w:szCs w:val="24"/>
          <w:highlight w:val="none"/>
          <w:lang w:val="zh-CN"/>
        </w:rPr>
        <w:t xml:space="preserve">（含虚假承诺）</w:t>
      </w:r>
      <w:bookmarkEnd w:id="103"/>
      <w:r>
        <w:rPr>
          <w:rFonts w:hint="eastAsia" w:ascii="宋体" w:hAnsi="宋体" w:cs="宋体"/>
          <w:bCs/>
          <w:color w:val="auto"/>
          <w:sz w:val="24"/>
          <w:szCs w:val="24"/>
          <w:highlight w:val="none"/>
          <w:lang w:val="zh-CN"/>
        </w:rPr>
        <w:t xml:space="preserve">的；</w:t>
      </w:r>
      <w:r/>
    </w:p>
    <w:p>
      <w:pPr>
        <w:numPr>
          <w:ilvl w:val="0"/>
          <w:numId w:val="4"/>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投标文件内容不全、自相矛盾或不符合法律法规规定或不符合招标文件中规定的实质性要求的；</w:t>
      </w:r>
      <w:r/>
    </w:p>
    <w:p>
      <w:pPr>
        <w:numPr>
          <w:ilvl w:val="0"/>
          <w:numId w:val="4"/>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numPr>
          <w:ilvl w:val="0"/>
          <w:numId w:val="6"/>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联合体投标、</w:t>
      </w:r>
      <w:r>
        <w:rPr>
          <w:rFonts w:hint="eastAsia" w:ascii="宋体" w:hAnsi="宋体" w:cs="宋体"/>
          <w:bCs/>
          <w:color w:val="auto"/>
          <w:sz w:val="24"/>
          <w:szCs w:val="24"/>
          <w:highlight w:val="none"/>
        </w:rPr>
        <w:t xml:space="preserve">中标后分包</w:t>
      </w:r>
      <w:r/>
    </w:p>
    <w:p>
      <w:pPr>
        <w:ind w:firstLine="480"/>
        <w:jc w:val="left"/>
        <w:spacing w:line="360" w:lineRule="auto"/>
        <w:rPr>
          <w:rFonts w:hint="eastAsia" w:ascii="宋体" w:hAnsi="宋体"/>
          <w:bCs/>
          <w:color w:val="auto"/>
          <w:sz w:val="24"/>
          <w:szCs w:val="24"/>
          <w:highlight w:val="none"/>
        </w:rPr>
      </w:pPr>
      <w:r/>
      <w:bookmarkStart w:id="104" w:name="_Hlk151449361"/>
      <w:r/>
      <w:bookmarkStart w:id="105" w:name="OLE_LINK96"/>
      <w:r>
        <w:rPr>
          <w:rFonts w:hint="eastAsia" w:ascii="宋体" w:hAnsi="宋体"/>
          <w:bCs/>
          <w:color w:val="auto"/>
          <w:sz w:val="24"/>
          <w:szCs w:val="24"/>
          <w:highlight w:val="none"/>
        </w:rPr>
        <w:t xml:space="preserve">19、</w:t>
      </w:r>
      <w:bookmarkStart w:id="106" w:name="_Hlk151562826"/>
      <w:r>
        <w:rPr>
          <w:rFonts w:hint="eastAsia" w:ascii="宋体" w:hAnsi="宋体"/>
          <w:bCs/>
          <w:color w:val="auto"/>
          <w:sz w:val="24"/>
          <w:szCs w:val="24"/>
          <w:highlight w:val="none"/>
        </w:rPr>
        <w:t xml:space="preserve">联合体、中标后分包（如有）</w:t>
      </w:r>
      <w:bookmarkEnd w:id="104"/>
      <w:r/>
      <w:bookmarkEnd w:id="106"/>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bookmarkEnd w:id="105"/>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107" w:name="OLE_LINK165"/>
      <w:r>
        <w:rPr>
          <w:rFonts w:hint="eastAsia" w:ascii="宋体" w:hAnsi="宋体"/>
          <w:bCs/>
          <w:color w:val="auto"/>
          <w:sz w:val="24"/>
          <w:szCs w:val="24"/>
          <w:highlight w:val="none"/>
          <w:lang w:val="zh-CN"/>
        </w:rPr>
        <w:t xml:space="preserve">投标人如为联合体的，联合体各方应按招标文件提供的格式签</w:t>
      </w:r>
      <w:bookmarkStart w:id="108" w:name="OLE_LINK199"/>
      <w:r>
        <w:rPr>
          <w:rFonts w:hint="eastAsia" w:ascii="宋体" w:hAnsi="宋体"/>
          <w:bCs/>
          <w:color w:val="auto"/>
          <w:sz w:val="24"/>
          <w:szCs w:val="24"/>
          <w:highlight w:val="none"/>
          <w:lang w:val="zh-CN"/>
        </w:rPr>
        <w:t xml:space="preserve">订联合体协议书</w:t>
      </w:r>
      <w:bookmarkEnd w:id="108"/>
      <w:r>
        <w:rPr>
          <w:rFonts w:hint="eastAsia" w:ascii="宋体" w:hAnsi="宋体"/>
          <w:bCs/>
          <w:color w:val="auto"/>
          <w:sz w:val="24"/>
          <w:szCs w:val="24"/>
          <w:highlight w:val="none"/>
          <w:lang w:val="zh-CN"/>
        </w:rPr>
        <w:t xml:space="preserve">，明确联合体主体单位（即牵头人）和各方的权利义务。</w:t>
      </w:r>
      <w:bookmarkEnd w:id="107"/>
      <w:r/>
      <w:bookmarkStart w:id="109" w:name="OLE_LINK127"/>
      <w:r/>
      <w:bookmarkStart w:id="110" w:name="OLE_LINK63"/>
      <w:r/>
      <w:bookmarkStart w:id="111"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109"/>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End w:id="110"/>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112"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111"/>
      <w:r/>
      <w:bookmarkEnd w:id="11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 xml:space="preserve">均</w:t>
      </w:r>
      <w:r>
        <w:rPr>
          <w:rFonts w:hint="eastAsia" w:ascii="宋体" w:hAnsi="宋体"/>
          <w:bCs/>
          <w:color w:val="auto"/>
          <w:sz w:val="24"/>
          <w:szCs w:val="24"/>
          <w:highlight w:val="none"/>
          <w:lang w:val="zh-CN"/>
        </w:rPr>
        <w:t xml:space="preserve">将被认定为无效投标。</w:t>
      </w:r>
      <w:r/>
    </w:p>
    <w:p>
      <w:pPr>
        <w:ind w:firstLine="480"/>
        <w:jc w:val="left"/>
        <w:spacing w:line="360" w:lineRule="auto"/>
        <w:rPr>
          <w:bCs/>
          <w:color w:val="auto"/>
          <w:highlight w:val="none"/>
        </w:rPr>
      </w:pPr>
      <w:r>
        <w:rPr>
          <w:rFonts w:ascii="宋体" w:hAnsi="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开标、资审、评标、定标、废标</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20、开标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20、开标</w:t>
      </w:r>
      <w:r/>
    </w:p>
    <w:p>
      <w:pPr>
        <w:ind w:firstLine="480"/>
        <w:jc w:val="left"/>
        <w:spacing w:line="360" w:lineRule="auto"/>
        <w:rPr>
          <w:rFonts w:hint="eastAsia" w:ascii="宋体" w:hAnsi="宋体"/>
          <w:bCs/>
          <w:color w:val="auto"/>
          <w:sz w:val="24"/>
          <w:szCs w:val="24"/>
          <w:highlight w:val="none"/>
          <w:lang w:val="zh-CN"/>
        </w:rPr>
      </w:pPr>
      <w:r/>
      <w:bookmarkStart w:id="113"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114" w:name="OLE_LINK276"/>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bookmarkEnd w:id="114"/>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20.2投标文件提交截止时间后，</w:t>
      </w:r>
      <w:bookmarkStart w:id="115" w:name="_Hlk151562848"/>
      <w:r>
        <w:rPr>
          <w:rFonts w:hint="eastAsia" w:ascii="宋体" w:hAnsi="宋体"/>
          <w:bCs/>
          <w:color w:val="auto"/>
          <w:sz w:val="24"/>
          <w:szCs w:val="24"/>
          <w:highlight w:val="none"/>
          <w:lang w:val="zh-CN"/>
        </w:rPr>
        <w:t xml:space="preserve">在“苏采云开标大厅”开标，相关注意事项详见投标邀请函。</w:t>
      </w:r>
      <w:bookmarkEnd w:id="115"/>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bookmarkStart w:id="116" w:name="_Hlk151562868"/>
      <w:r>
        <w:rPr>
          <w:rFonts w:hint="eastAsia" w:ascii="宋体" w:hAnsi="宋体"/>
          <w:bCs/>
          <w:color w:val="auto"/>
          <w:sz w:val="24"/>
          <w:szCs w:val="24"/>
          <w:highlight w:val="none"/>
          <w:lang w:val="zh-CN"/>
        </w:rPr>
        <w:t xml:space="preserve">开标</w:t>
      </w:r>
      <w:bookmarkStart w:id="117"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117"/>
      <w:r>
        <w:rPr>
          <w:rFonts w:hint="eastAsia" w:ascii="宋体" w:hAnsi="宋体"/>
          <w:bCs/>
          <w:color w:val="auto"/>
          <w:sz w:val="24"/>
          <w:szCs w:val="24"/>
          <w:highlight w:val="none"/>
          <w:lang w:val="zh-CN"/>
        </w:rPr>
        <w:t xml:space="preserve">投标人未参加开标的，视同认可开标结果。</w:t>
      </w:r>
      <w:bookmarkEnd w:id="116"/>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20.4 </w:t>
      </w:r>
      <w:bookmarkStart w:id="118" w:name="OLE_LINK131"/>
      <w:r/>
      <w:bookmarkStart w:id="119" w:name="OLE_LINK179"/>
      <w:r>
        <w:rPr>
          <w:rFonts w:hint="eastAsia" w:ascii="宋体" w:hAnsi="宋体"/>
          <w:bCs/>
          <w:color w:val="auto"/>
          <w:sz w:val="24"/>
          <w:szCs w:val="24"/>
          <w:highlight w:val="none"/>
        </w:rPr>
        <w:t xml:space="preserve">投标人对开标过程和开标记录有疑义，以及认为采购人、采购代理机构相关工作人员有需要回避的情形的，应当场提出询问或者回避申请。</w:t>
      </w:r>
      <w:bookmarkEnd w:id="118"/>
      <w:r/>
      <w:bookmarkStart w:id="120"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119"/>
      <w:r/>
      <w:bookmarkEnd w:id="120"/>
      <w:r>
        <w:rPr>
          <w:rFonts w:hint="eastAsia" w:ascii="宋体" w:hAnsi="宋体"/>
          <w:bCs/>
          <w:color w:val="auto"/>
          <w:sz w:val="24"/>
          <w:szCs w:val="24"/>
          <w:highlight w:val="none"/>
          <w:lang w:val="zh-CN"/>
        </w:rPr>
        <w:t xml:space="preserve">。</w:t>
      </w:r>
      <w:bookmarkEnd w:id="113"/>
      <w:r/>
      <w:r/>
    </w:p>
    <w:p>
      <w:pPr>
        <w:ind w:firstLine="480"/>
        <w:jc w:val="left"/>
        <w:spacing w:line="360" w:lineRule="auto"/>
        <w:rPr>
          <w:rFonts w:hint="eastAsia" w:ascii="宋体" w:hAnsi="宋体"/>
          <w:bCs/>
          <w:color w:val="auto"/>
          <w:sz w:val="24"/>
          <w:szCs w:val="24"/>
          <w:highlight w:val="none"/>
        </w:rPr>
      </w:pPr>
      <w:r/>
      <w:bookmarkStart w:id="121" w:name="OLE_LINK18"/>
      <w:r>
        <w:rPr>
          <w:rFonts w:hint="eastAsia" w:ascii="宋体" w:hAnsi="宋体"/>
          <w:bCs/>
          <w:color w:val="auto"/>
          <w:sz w:val="24"/>
          <w:szCs w:val="24"/>
          <w:highlight w:val="none"/>
        </w:rPr>
        <w:t xml:space="preserve">21、资格审查</w:t>
      </w:r>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21.1 开标结束后，</w:t>
      </w:r>
      <w:r>
        <w:rPr>
          <w:rFonts w:hint="eastAsia" w:ascii="宋体" w:hAnsi="宋体" w:cs="宋体"/>
          <w:bCs/>
          <w:color w:val="auto"/>
          <w:sz w:val="24"/>
          <w:szCs w:val="24"/>
          <w:highlight w:val="none"/>
        </w:rPr>
        <w:t xml:space="preserve">采购人依法对投标人的资格进行审查。</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合格投标人不足3家的，不得评标。</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21.2 资格审查包括两部分内容：</w:t>
      </w:r>
      <w:r/>
    </w:p>
    <w:p>
      <w:pPr>
        <w:ind w:firstLine="480"/>
        <w:jc w:val="left"/>
        <w:spacing w:line="360" w:lineRule="auto"/>
        <w:rPr>
          <w:rFonts w:hint="eastAsia" w:ascii="宋体" w:hAnsi="宋体" w:cs="宋体"/>
          <w:bCs/>
          <w:color w:val="auto"/>
          <w:sz w:val="24"/>
          <w:szCs w:val="24"/>
          <w:highlight w:val="none"/>
        </w:rPr>
      </w:pPr>
      <w:r/>
      <w:bookmarkStart w:id="122" w:name="OLE_LINK257"/>
      <w:r/>
      <w:bookmarkStart w:id="123" w:name="OLE_LINK261"/>
      <w:r>
        <w:rPr>
          <w:rFonts w:hint="eastAsia" w:ascii="宋体" w:hAnsi="宋体" w:cs="宋体"/>
          <w:bCs/>
          <w:color w:val="auto"/>
          <w:sz w:val="24"/>
          <w:szCs w:val="24"/>
          <w:highlight w:val="none"/>
        </w:rPr>
        <w:t xml:space="preserve">21.2.1 </w:t>
      </w:r>
      <w:bookmarkEnd w:id="122"/>
      <w:r/>
      <w:bookmarkStart w:id="124" w:name="_Hlk160110209"/>
      <w:r>
        <w:rPr>
          <w:rFonts w:hint="eastAsia" w:ascii="宋体" w:hAnsi="宋体" w:cs="宋体"/>
          <w:bCs/>
          <w:color w:val="auto"/>
          <w:sz w:val="24"/>
          <w:szCs w:val="24"/>
          <w:highlight w:val="none"/>
        </w:rPr>
        <w:t xml:space="preserve">按照本须知</w:t>
      </w:r>
      <w:r>
        <w:rPr>
          <w:rFonts w:hint="eastAsia" w:ascii="宋体" w:hAnsi="宋体" w:cs="宋体"/>
          <w:color w:val="auto"/>
          <w:sz w:val="24"/>
          <w:szCs w:val="24"/>
          <w:highlight w:val="none"/>
        </w:rPr>
        <w:t xml:space="preserve">“9、响应文件的组成”中“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w:t>
      </w:r>
      <w:r>
        <w:rPr>
          <w:rFonts w:hint="eastAsia" w:ascii="宋体" w:hAnsi="宋体" w:cs="宋体"/>
          <w:bCs/>
          <w:color w:val="auto"/>
          <w:sz w:val="24"/>
          <w:szCs w:val="24"/>
          <w:highlight w:val="none"/>
        </w:rPr>
        <w:t xml:space="preserve">对</w:t>
      </w:r>
      <w:r>
        <w:rPr>
          <w:rFonts w:hint="eastAsia" w:ascii="宋体" w:hAnsi="宋体" w:cs="宋体"/>
          <w:color w:val="auto"/>
          <w:sz w:val="24"/>
          <w:szCs w:val="24"/>
          <w:highlight w:val="none"/>
        </w:rPr>
        <w:t xml:space="preserve">投标文件中资格证明材料进行审查，不符合要求的，投标人</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124"/>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21.2.2 信用查询。</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 查询及记录方式：</w:t>
      </w:r>
      <w:bookmarkEnd w:id="123"/>
      <w:r/>
      <w:bookmarkStart w:id="125" w:name="_Hlk160085645"/>
      <w:r>
        <w:rPr>
          <w:rFonts w:hint="eastAsia" w:ascii="宋体" w:hAnsi="宋体" w:cs="宋体"/>
          <w:bCs/>
          <w:color w:val="auto"/>
          <w:sz w:val="24"/>
          <w:szCs w:val="24"/>
          <w:highlight w:val="none"/>
        </w:rPr>
        <w:t xml:space="preserve">评审当日，采购人将在以上网站查询并打印查询结果、签字、存档备查。投标人不良信用记录以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资格审查结果；投标人自行提供的与网站信息不一致的其他证明材料不作为资格审查依据；若在以上两个网站查询不到投标人企业信息的，以投标人提供的资格声明函为准。</w:t>
      </w:r>
      <w:bookmarkEnd w:id="125"/>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22、评标</w:t>
      </w:r>
      <w:bookmarkEnd w:id="121"/>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w:t>
      </w:r>
      <w:r/>
    </w:p>
    <w:p>
      <w:pPr>
        <w:ind w:firstLine="480"/>
        <w:spacing w:line="360" w:lineRule="auto"/>
        <w:rPr>
          <w:rFonts w:hint="eastAsia" w:ascii="宋体" w:hAnsi="宋体"/>
          <w:b/>
          <w:color w:val="auto"/>
          <w:sz w:val="24"/>
          <w:szCs w:val="24"/>
          <w:highlight w:val="none"/>
          <w:lang w:val="zh-CN"/>
        </w:rPr>
      </w:pPr>
      <w:r>
        <w:rPr>
          <w:rFonts w:hint="eastAsia" w:ascii="宋体" w:hAnsi="宋体"/>
          <w:bCs/>
          <w:color w:val="auto"/>
          <w:sz w:val="24"/>
          <w:szCs w:val="24"/>
          <w:highlight w:val="none"/>
        </w:rPr>
        <w:t xml:space="preserve">22.2 评标委员会对通过资格性审查的投标人的投标文件进行符合性审查，以确定其是否满足招标文件的实质性要求。</w:t>
      </w:r>
      <w:r>
        <w:rPr>
          <w:rFonts w:hint="eastAsia" w:ascii="宋体" w:hAnsi="宋体"/>
          <w:b/>
          <w:color w:val="auto"/>
          <w:sz w:val="24"/>
          <w:szCs w:val="24"/>
          <w:highlight w:val="none"/>
          <w:lang w:val="zh-CN"/>
        </w:rPr>
        <w:t xml:space="preserve">实质性要求是指本招标文件“第</w:t>
      </w:r>
      <w:r>
        <w:rPr>
          <w:rFonts w:hint="eastAsia" w:ascii="宋体" w:hAnsi="宋体"/>
          <w:b/>
          <w:color w:val="auto"/>
          <w:sz w:val="24"/>
          <w:szCs w:val="24"/>
          <w:highlight w:val="none"/>
        </w:rPr>
        <w:t xml:space="preserve">三</w:t>
      </w:r>
      <w:r>
        <w:rPr>
          <w:rFonts w:hint="eastAsia" w:ascii="宋体" w:hAnsi="宋体"/>
          <w:b/>
          <w:color w:val="auto"/>
          <w:sz w:val="24"/>
          <w:szCs w:val="24"/>
          <w:highlight w:val="none"/>
          <w:lang w:val="zh-CN"/>
        </w:rPr>
        <w:t xml:space="preserve">章 项目技术要求和有关说明”</w:t>
      </w:r>
      <w:r>
        <w:rPr>
          <w:rFonts w:hint="eastAsia" w:ascii="宋体" w:hAnsi="宋体"/>
          <w:b/>
          <w:color w:val="auto"/>
          <w:sz w:val="24"/>
          <w:szCs w:val="24"/>
          <w:highlight w:val="none"/>
        </w:rPr>
        <w:t xml:space="preserve">部分</w:t>
      </w:r>
      <w:r>
        <w:rPr>
          <w:rFonts w:hint="eastAsia" w:ascii="宋体" w:hAnsi="宋体"/>
          <w:b/>
          <w:color w:val="auto"/>
          <w:sz w:val="24"/>
          <w:szCs w:val="24"/>
          <w:highlight w:val="none"/>
          <w:lang w:val="zh-CN"/>
        </w:rPr>
        <w:t xml:space="preserve">及其他“必须”或“应（应当）”等文字说明的相关要求。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22.3</w:t>
      </w:r>
      <w:r>
        <w:rPr>
          <w:rFonts w:hint="eastAsia" w:ascii="宋体" w:hAnsi="宋体"/>
          <w:b/>
          <w:color w:val="auto"/>
          <w:sz w:val="24"/>
          <w:szCs w:val="24"/>
          <w:highlight w:val="none"/>
        </w:rPr>
        <w:t xml:space="preserve"> 澄清有关问题。</w:t>
      </w:r>
      <w:r>
        <w:rPr>
          <w:rFonts w:hint="eastAsia" w:ascii="宋体" w:hAnsi="宋体" w:cs="宋体"/>
          <w:color w:val="auto"/>
          <w:sz w:val="24"/>
          <w:szCs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评标委员会应当以书面形式要求投标人作出必要的澄清、说明或者补正</w:t>
      </w:r>
      <w:r>
        <w:rPr>
          <w:rFonts w:hint="eastAsia" w:ascii="宋体" w:hAnsi="宋体"/>
          <w:bCs/>
          <w:color w:val="auto"/>
          <w:sz w:val="24"/>
          <w:szCs w:val="24"/>
          <w:highlight w:val="none"/>
        </w:rPr>
        <w:t xml:space="preserve">。</w:t>
      </w:r>
      <w:bookmarkStart w:id="126" w:name="OLE_LINK26"/>
      <w:r>
        <w:rPr>
          <w:rFonts w:hint="eastAsia" w:ascii="宋体" w:hAnsi="宋体" w:cs="宋体"/>
          <w:color w:val="auto"/>
          <w:sz w:val="24"/>
          <w:szCs w:val="24"/>
          <w:highlight w:val="none"/>
        </w:rPr>
        <w:t xml:space="preserve">投标人的澄清、说明或者补正应当采用书面形式，并加盖公章，或者由法定代表人或其授权的代表签字</w:t>
      </w:r>
      <w:bookmarkEnd w:id="126"/>
      <w:r>
        <w:rPr>
          <w:rFonts w:hint="eastAsia" w:ascii="宋体" w:hAnsi="宋体" w:cs="宋体"/>
          <w:color w:val="auto"/>
          <w:sz w:val="24"/>
          <w:szCs w:val="24"/>
          <w:highlight w:val="none"/>
        </w:rPr>
        <w:t xml:space="preserve">。投标人的澄清、说明或者补正不得超出投标文件的范围或者改变投标文件的实质性内容。若</w:t>
      </w:r>
      <w:r>
        <w:rPr>
          <w:rFonts w:hint="eastAsia" w:ascii="宋体" w:hAnsi="宋体"/>
          <w:bCs/>
          <w:color w:val="auto"/>
          <w:sz w:val="24"/>
          <w:szCs w:val="24"/>
          <w:highlight w:val="none"/>
        </w:rPr>
        <w:t xml:space="preserve">对不同文字文本投标文件的解释发生异议的，以中文文本为准；正本与副本不一致的，以正本为准。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22.4 </w:t>
      </w:r>
      <w:r>
        <w:rPr>
          <w:rFonts w:hint="eastAsia" w:ascii="宋体" w:hAnsi="宋体"/>
          <w:b/>
          <w:color w:val="auto"/>
          <w:sz w:val="24"/>
          <w:szCs w:val="24"/>
          <w:highlight w:val="none"/>
        </w:rPr>
        <w:t xml:space="preserve">比</w:t>
      </w:r>
      <w:r>
        <w:rPr>
          <w:rFonts w:hint="eastAsia" w:ascii="宋体" w:hAnsi="宋体"/>
          <w:b/>
          <w:color w:val="auto"/>
          <w:sz w:val="24"/>
          <w:highlight w:val="none"/>
        </w:rPr>
        <w:t xml:space="preserve">较与评价</w:t>
      </w:r>
      <w:r>
        <w:rPr>
          <w:rFonts w:hint="eastAsia" w:ascii="宋体" w:hAnsi="宋体"/>
          <w:bCs/>
          <w:color w:val="auto"/>
          <w:sz w:val="24"/>
          <w:highlight w:val="none"/>
        </w:rPr>
        <w:t xml:space="preserve">。</w:t>
      </w:r>
      <w:r>
        <w:rPr>
          <w:rFonts w:hint="eastAsia" w:ascii="宋体" w:hAnsi="宋体" w:cs="宋体"/>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hint="eastAsia" w:ascii="宋体" w:hAnsi="宋体"/>
          <w:bCs/>
          <w:color w:val="auto"/>
          <w:sz w:val="24"/>
          <w:highlight w:val="none"/>
        </w:rPr>
      </w:pPr>
      <w:r/>
      <w:bookmarkStart w:id="127"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 </w:t>
      </w:r>
      <w:bookmarkEnd w:id="127"/>
      <w:r>
        <w:rPr>
          <w:rFonts w:hint="eastAsia" w:ascii="宋体" w:hAnsi="宋体"/>
          <w:b/>
          <w:color w:val="auto"/>
          <w:sz w:val="24"/>
          <w:highlight w:val="none"/>
        </w:rPr>
        <w:t xml:space="preserve">评标方法和标准</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w:t>
      </w:r>
      <w:r>
        <w:rPr>
          <w:rFonts w:hint="eastAsia" w:ascii="宋体"/>
          <w:bCs/>
          <w:color w:val="auto"/>
          <w:sz w:val="24"/>
          <w:szCs w:val="24"/>
          <w:highlight w:val="none"/>
        </w:rPr>
        <w:t xml:space="preserve">5.1 </w:t>
      </w:r>
      <w:r>
        <w:rPr>
          <w:rFonts w:hint="eastAsia" w:ascii="宋体" w:hAnsi="宋体"/>
          <w:bCs/>
          <w:color w:val="auto"/>
          <w:sz w:val="24"/>
          <w:highlight w:val="none"/>
        </w:rPr>
        <w:t xml:space="preserve">本次招标采用综合评分法，即投标文件满足招标文件全部实质性要求，且按照评审因素的量化指标评审得分最高的投标人为第一中标候选人。评标委员会</w:t>
      </w:r>
      <w:bookmarkStart w:id="128" w:name="OLE_LINK17"/>
      <w:r>
        <w:rPr>
          <w:rFonts w:hint="eastAsia" w:ascii="宋体" w:hAnsi="宋体"/>
          <w:bCs/>
          <w:color w:val="auto"/>
          <w:sz w:val="24"/>
          <w:highlight w:val="none"/>
        </w:rPr>
        <w:t xml:space="preserve">在</w:t>
      </w:r>
      <w:r>
        <w:rPr>
          <w:rFonts w:hint="eastAsia" w:ascii="宋体" w:hAnsi="宋体" w:cs="宋体"/>
          <w:bCs/>
          <w:color w:val="auto"/>
          <w:sz w:val="24"/>
          <w:szCs w:val="24"/>
          <w:highlight w:val="none"/>
        </w:rPr>
        <w:t xml:space="preserve">投标文件满足招标文件全部实质性要求</w:t>
      </w:r>
      <w:r>
        <w:rPr>
          <w:rFonts w:hint="eastAsia" w:ascii="宋体" w:hAnsi="宋体"/>
          <w:bCs/>
          <w:color w:val="auto"/>
          <w:sz w:val="24"/>
          <w:highlight w:val="none"/>
        </w:rPr>
        <w:t xml:space="preserve">的前提下</w:t>
      </w:r>
      <w:bookmarkEnd w:id="128"/>
      <w:r>
        <w:rPr>
          <w:rFonts w:hint="eastAsia" w:ascii="宋体" w:hAnsi="宋体"/>
          <w:bCs/>
          <w:color w:val="auto"/>
          <w:sz w:val="24"/>
          <w:szCs w:val="24"/>
          <w:highlight w:val="none"/>
          <w:lang w:val="zh-CN"/>
        </w:rPr>
        <w:t xml:space="preserve">，按照招标文件规定的</w:t>
      </w:r>
      <w:r>
        <w:rPr>
          <w:rFonts w:hint="eastAsia" w:ascii="宋体" w:hAnsi="宋体"/>
          <w:bCs/>
          <w:color w:val="auto"/>
          <w:sz w:val="24"/>
          <w:highlight w:val="none"/>
        </w:rPr>
        <w:t xml:space="preserve">评审因素的量化指标</w:t>
      </w:r>
      <w:r>
        <w:rPr>
          <w:rFonts w:hint="eastAsia" w:ascii="宋体" w:hAnsi="宋体"/>
          <w:bCs/>
          <w:color w:val="auto"/>
          <w:sz w:val="24"/>
          <w:szCs w:val="24"/>
          <w:highlight w:val="none"/>
          <w:lang w:val="zh-CN"/>
        </w:rPr>
        <w:t xml:space="preserve">分别评定各投标人的得分。</w:t>
      </w:r>
      <w:r>
        <w:rPr>
          <w:rFonts w:hint="eastAsia" w:ascii="宋体" w:hAnsi="宋体"/>
          <w:bCs/>
          <w:color w:val="auto"/>
          <w:sz w:val="24"/>
          <w:highlight w:val="none"/>
        </w:rPr>
        <w:t xml:space="preserve">各投</w:t>
      </w:r>
      <w:r>
        <w:rPr>
          <w:rFonts w:hint="eastAsia" w:ascii="宋体" w:hAnsi="宋体"/>
          <w:bCs/>
          <w:color w:val="auto"/>
          <w:sz w:val="24"/>
          <w:szCs w:val="24"/>
          <w:highlight w:val="none"/>
          <w:lang w:val="zh-CN"/>
        </w:rPr>
        <w:t xml:space="preserve">标人的最终得分为</w:t>
      </w:r>
      <w:r>
        <w:rPr>
          <w:rFonts w:hint="eastAsia" w:ascii="宋体" w:hAnsi="宋体"/>
          <w:bCs/>
          <w:color w:val="auto"/>
          <w:sz w:val="24"/>
          <w:szCs w:val="24"/>
          <w:highlight w:val="none"/>
        </w:rPr>
        <w:t xml:space="preserve">评标委员会所有成员</w:t>
      </w:r>
      <w:r>
        <w:rPr>
          <w:rFonts w:hint="eastAsia" w:ascii="宋体" w:hAnsi="宋体"/>
          <w:bCs/>
          <w:color w:val="auto"/>
          <w:sz w:val="24"/>
          <w:highlight w:val="none"/>
        </w:rPr>
        <w:t xml:space="preserve">评审后得分的算术平均值（四舍五入保留两位小数）</w:t>
      </w:r>
      <w:r>
        <w:rPr>
          <w:rFonts w:hint="eastAsia" w:ascii="宋体" w:hAnsi="宋体"/>
          <w:bCs/>
          <w:color w:val="auto"/>
          <w:sz w:val="24"/>
          <w:szCs w:val="24"/>
          <w:highlight w:val="none"/>
          <w:lang w:val="zh-CN"/>
        </w:rPr>
        <w:t xml:space="preserve">，按最终得分由高到低顺序排列，</w:t>
      </w:r>
      <w:bookmarkStart w:id="129" w:name="_Hlk128408333"/>
      <w:r>
        <w:rPr>
          <w:rFonts w:hint="eastAsia" w:ascii="宋体" w:hAnsi="宋体"/>
          <w:bCs/>
          <w:color w:val="auto"/>
          <w:sz w:val="24"/>
          <w:szCs w:val="24"/>
          <w:highlight w:val="none"/>
          <w:lang w:val="zh-CN"/>
        </w:rPr>
        <w:t xml:space="preserve">并作为中标候选人排序，</w:t>
      </w:r>
      <w:bookmarkStart w:id="130" w:name="_Hlk139985796"/>
      <w:r>
        <w:rPr>
          <w:rFonts w:hint="eastAsia"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130"/>
      <w:r>
        <w:rPr>
          <w:rFonts w:hint="eastAsia" w:ascii="宋体" w:hAnsi="宋体"/>
          <w:bCs/>
          <w:color w:val="auto"/>
          <w:sz w:val="24"/>
          <w:szCs w:val="24"/>
          <w:highlight w:val="none"/>
          <w:lang w:val="zh-CN"/>
        </w:rPr>
        <w:t xml:space="preserve">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相同，按</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报价由低到高顺序排列；若最终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且</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报价均相同的，</w:t>
      </w:r>
      <w:bookmarkEnd w:id="129"/>
      <w:r>
        <w:rPr>
          <w:rFonts w:hint="eastAsia" w:ascii="宋体" w:hAnsi="宋体"/>
          <w:bCs/>
          <w:color w:val="auto"/>
          <w:sz w:val="24"/>
          <w:highlight w:val="none"/>
        </w:rPr>
        <w:t xml:space="preserve">由采购人代表抽签确定排序。</w:t>
      </w:r>
      <w:r>
        <w:rPr>
          <w:rFonts w:hint="eastAsia" w:ascii="宋体" w:hAnsi="宋体"/>
          <w:bCs/>
          <w:color w:val="auto"/>
          <w:sz w:val="24"/>
          <w:szCs w:val="24"/>
          <w:highlight w:val="none"/>
        </w:rPr>
        <w:t xml:space="preserve">评分标准详见“第四章 评标方法和标准”。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w:t>
      </w:r>
      <w:bookmarkStart w:id="131" w:name="OLE_LINK201"/>
      <w:r>
        <w:rPr>
          <w:rFonts w:hint="eastAsia" w:ascii="宋体" w:hAnsi="宋体" w:cs="宋体"/>
          <w:bCs/>
          <w:color w:val="auto"/>
          <w:sz w:val="24"/>
          <w:szCs w:val="24"/>
          <w:highlight w:val="none"/>
        </w:rPr>
        <w:t xml:space="preserve">（</w:t>
      </w:r>
      <w:bookmarkStart w:id="132" w:name="OLE_LINK202"/>
      <w:r>
        <w:rPr>
          <w:rFonts w:hint="eastAsia" w:ascii="宋体" w:hAnsi="宋体" w:cs="宋体"/>
          <w:bCs/>
          <w:color w:val="auto"/>
          <w:sz w:val="24"/>
          <w:szCs w:val="24"/>
          <w:highlight w:val="none"/>
        </w:rPr>
        <w:t xml:space="preserve">22.5.2</w:t>
      </w:r>
      <w:bookmarkEnd w:id="132"/>
      <w:r>
        <w:rPr>
          <w:rFonts w:hint="eastAsia" w:ascii="宋体" w:hAnsi="宋体" w:cs="宋体"/>
          <w:bCs/>
          <w:color w:val="auto"/>
          <w:sz w:val="24"/>
          <w:szCs w:val="24"/>
          <w:highlight w:val="none"/>
        </w:rPr>
        <w:t xml:space="preserve">）</w:t>
      </w:r>
      <w:bookmarkEnd w:id="131"/>
      <w:r>
        <w:rPr>
          <w:rFonts w:hint="eastAsia" w:ascii="宋体" w:hAnsi="宋体" w:cs="宋体"/>
          <w:bCs/>
          <w:color w:val="auto"/>
          <w:sz w:val="24"/>
          <w:szCs w:val="24"/>
          <w:highlight w:val="none"/>
        </w:rPr>
        <w:t xml:space="preserve">和落实政府采购政策需进行的价格扣除外，不对投标人的投标价格进行任何调整，根据调整后的报价参与评审。</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22.5.2 </w:t>
      </w:r>
      <w:bookmarkStart w:id="133"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7"/>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7"/>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7"/>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7"/>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133"/>
      <w:r/>
      <w:bookmarkStart w:id="134" w:name="OLE_LINK135"/>
      <w:r/>
      <w:bookmarkEnd w:id="134"/>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color w:val="auto"/>
          <w:sz w:val="24"/>
          <w:szCs w:val="24"/>
          <w:highlight w:val="none"/>
        </w:rPr>
        <w:t xml:space="preserve">评标委员会根据全体评标成员签字的原始评标记录和评标结果编写评标报告。</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23、定标</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评审结束后，评审委员会直接确定成交供应商。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23.2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采购代理机构将向中标人发出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中标通知书，请中标人登录“苏采云” 系统及时下载中标通知书。因系统存储空间有限，自中标结果公告发布之日起30日后，“苏采云” 系统不再保证提供下载中标通知书服务。因未及时下载而造成的一切后果由中标人自行承担</w:t>
      </w:r>
      <w:r>
        <w:rPr>
          <w:rFonts w:hint="eastAsia" w:ascii="宋体" w:hAnsi="宋体"/>
          <w:bCs/>
          <w:color w:val="auto"/>
          <w:sz w:val="24"/>
          <w:szCs w:val="24"/>
          <w:highlight w:val="none"/>
          <w:lang w:val="zh-CN"/>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8"/>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8"/>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25、废标的确认</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9"/>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numPr>
          <w:ilvl w:val="0"/>
          <w:numId w:val="9"/>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9"/>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9"/>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0"/>
        </w:num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注：提供相同品牌产品的不同投标人参加同一合同项下投标的，按一家投标人计算。非单一产品采购项目，采购人在招标文件中载明核心产品，多家投标人提供的核心产品品牌相同的，按上述规定处理。</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26、投标保证金：本项目免收投标保证金。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中标人应于中标通知书发出之日起30日内，按照招标文件确定的事项与采购人签订政府采购合同；采购人应于政府采购合同签订之日起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中标人如逾期不办理相关手续、签订合同，财政部门将依据有关规定进行处理。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签订合同书及合同条款应以招标文件和中标人的投标文件为依据。</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 </w:t>
      </w:r>
      <w:bookmarkStart w:id="135" w:name="OLE_LINK5"/>
      <w:r>
        <w:rPr>
          <w:rFonts w:hint="eastAsia" w:ascii="宋体" w:hAnsi="宋体"/>
          <w:bCs/>
          <w:color w:val="auto"/>
          <w:sz w:val="24"/>
          <w:szCs w:val="24"/>
          <w:highlight w:val="none"/>
          <w:lang w:val="zh-CN"/>
        </w:rPr>
        <w:t xml:space="preserve">中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人，也可以重新开展政府采购活动。无正当理由拒绝签订合同的中标人，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36" w:name="OLE_LINK2"/>
      <w:r>
        <w:rPr>
          <w:rFonts w:hint="eastAsia" w:ascii="宋体" w:hAnsi="宋体"/>
          <w:bCs/>
          <w:color w:val="auto"/>
          <w:sz w:val="24"/>
          <w:szCs w:val="24"/>
          <w:highlight w:val="none"/>
          <w:lang w:val="zh-CN"/>
        </w:rPr>
        <w:t xml:space="preserve">。</w:t>
      </w:r>
      <w:bookmarkEnd w:id="135"/>
      <w:r/>
      <w:bookmarkEnd w:id="136"/>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中标人不得参加对该项目重新开展的采购活动。</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采购合同履行中，采购人需追加与合同标的相同货物的，在不改变合同其他条款的前提下，可以与中标人协商签订补充合同，但所有补充合同的采购金额不得超过原合同采购金额的百分之十。</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28、投标行为及投标产品：</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投标人提供的产品应是全新、未使用过的原装合格正品。投标人中标后，在供货期内如遇产品平滑（自然）升级，中标人应提供平滑升级商品不补差价（招标文件中有特殊要求的除外）。</w:t>
      </w:r>
      <w:r/>
    </w:p>
    <w:p>
      <w:pPr>
        <w:numPr>
          <w:ilvl w:val="0"/>
          <w:numId w:val="10"/>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招标文件中要求投标人出具的证书等相关材料，均应在有效期限内，即有效期限应覆盖投标文件评审当日。</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29、</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政府采购项目验收单。由采购人对中标人进行履约管理，并及时向中标人支付采购资金。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spacing w:line="360" w:lineRule="auto"/>
        <w:rPr>
          <w:rFonts w:hint="eastAsia" w:ascii="宋体" w:hAnsi="宋体"/>
          <w:bCs/>
          <w:color w:val="auto"/>
          <w:sz w:val="24"/>
          <w:szCs w:val="24"/>
          <w:highlight w:val="none"/>
        </w:rPr>
      </w:pPr>
      <w:r/>
      <w:bookmarkStart w:id="137" w:name="OLE_LINK100"/>
      <w:r/>
      <w:bookmarkStart w:id="138" w:name="_Toc23122"/>
      <w:r>
        <w:rPr>
          <w:rFonts w:hint="eastAsia" w:ascii="宋体" w:hAnsi="宋体"/>
          <w:bCs/>
          <w:color w:val="auto"/>
          <w:sz w:val="24"/>
          <w:szCs w:val="24"/>
          <w:highlight w:val="none"/>
        </w:rPr>
        <w:t xml:space="preserve">30、询问</w:t>
      </w:r>
      <w:bookmarkEnd w:id="137"/>
      <w:r/>
      <w:r/>
    </w:p>
    <w:p>
      <w:pPr>
        <w:ind w:firstLine="480"/>
        <w:jc w:val="left"/>
        <w:spacing w:line="360" w:lineRule="auto"/>
        <w:rPr>
          <w:rFonts w:hint="eastAsia" w:ascii="宋体" w:hAnsi="宋体"/>
          <w:bCs/>
          <w:color w:val="auto"/>
          <w:sz w:val="24"/>
          <w:szCs w:val="24"/>
          <w:highlight w:val="none"/>
        </w:rPr>
      </w:pPr>
      <w:r/>
      <w:bookmarkStart w:id="139" w:name="OLE_LINK142"/>
      <w:r>
        <w:rPr>
          <w:rFonts w:hint="eastAsia" w:ascii="宋体" w:hAnsi="宋体"/>
          <w:bCs/>
          <w:color w:val="auto"/>
          <w:sz w:val="24"/>
          <w:szCs w:val="24"/>
          <w:highlight w:val="none"/>
        </w:rPr>
        <w:t xml:space="preserve">30.1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31.1</w:t>
      </w:r>
      <w:bookmarkStart w:id="140"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40"/>
      <w:r>
        <w:rPr>
          <w:rFonts w:hint="eastAsia" w:ascii="宋体" w:hAnsi="宋体"/>
          <w:bCs/>
          <w:color w:val="auto"/>
          <w:sz w:val="24"/>
          <w:szCs w:val="24"/>
          <w:highlight w:val="none"/>
          <w:lang w:val="zh-CN"/>
        </w:rPr>
        <w:t xml:space="preserve">同一项目下的不同采购包，投标人只能对其参与的采购包提出质疑。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.2 </w:t>
      </w:r>
      <w:bookmarkStart w:id="141"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w:t>
      </w:r>
      <w:r>
        <w:rPr>
          <w:rFonts w:hint="eastAsia" w:ascii="宋体" w:hAnsi="宋体"/>
          <w:bCs/>
          <w:color w:val="auto"/>
          <w:sz w:val="24"/>
          <w:szCs w:val="24"/>
          <w:highlight w:val="none"/>
          <w:lang w:val="en-US" w:eastAsia="zh-CN"/>
        </w:rPr>
        <w:t xml:space="preserve">一次性</w:t>
      </w:r>
      <w:r>
        <w:rPr>
          <w:rFonts w:ascii="宋体" w:hAnsi="宋体"/>
          <w:bCs/>
          <w:color w:val="auto"/>
          <w:sz w:val="24"/>
          <w:szCs w:val="24"/>
          <w:highlight w:val="none"/>
          <w:lang w:val="zh-CN"/>
        </w:rPr>
        <w:t xml:space="preserve">向采购人提出质疑。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41"/>
      <w:r>
        <w:rPr>
          <w:rFonts w:ascii="宋体" w:hAnsi="宋体"/>
          <w:bCs/>
          <w:color w:val="auto"/>
          <w:sz w:val="24"/>
          <w:szCs w:val="24"/>
          <w:highlight w:val="none"/>
          <w:lang w:val="zh-CN"/>
        </w:rPr>
        <w:t xml:space="preserve"> </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.3 </w:t>
      </w:r>
      <w:bookmarkStart w:id="142"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4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32、投诉</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139"/>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向本招标文件第一章投标邀请函中的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ind w:firstLine="420"/>
        <w:spacing w:line="36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43" w:name="_Toc7249"/>
      <w:r/>
      <w:bookmarkStart w:id="144" w:name="_Toc26890"/>
      <w:r/>
      <w:bookmarkStart w:id="145" w:name="_Toc73607005"/>
      <w:r/>
      <w:bookmarkStart w:id="146" w:name="_Toc1234"/>
      <w:r/>
      <w:bookmarkStart w:id="147" w:name="_Toc20470"/>
      <w:r/>
      <w:bookmarkStart w:id="148" w:name="_Toc17686"/>
      <w:r/>
      <w:bookmarkStart w:id="149" w:name="_Toc4094"/>
      <w:r>
        <w:rPr>
          <w:rFonts w:hint="eastAsia" w:ascii="黑体" w:hAnsi="黑体" w:eastAsia="黑体"/>
          <w:color w:val="auto"/>
          <w:sz w:val="28"/>
          <w:highlight w:val="none"/>
        </w:rPr>
        <w:t xml:space="preserve">第三章 项目技术要求和有关说明</w:t>
      </w:r>
      <w:bookmarkEnd w:id="138"/>
      <w:r/>
      <w:bookmarkEnd w:id="143"/>
      <w:r/>
      <w:bookmarkEnd w:id="144"/>
      <w:r/>
      <w:bookmarkEnd w:id="145"/>
      <w:r/>
      <w:bookmarkEnd w:id="146"/>
      <w:r/>
      <w:bookmarkEnd w:id="147"/>
      <w:r/>
      <w:bookmarkEnd w:id="148"/>
      <w:r/>
      <w:bookmarkEnd w:id="149"/>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宜兴市教育局</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江南大学宜兴校区超高效液相在线固相萃取串联四极杆质谱分析系统采购，</w:t>
      </w:r>
      <w:r>
        <w:rPr>
          <w:rFonts w:hint="eastAsia" w:ascii="宋体" w:hAnsi="宋体"/>
          <w:color w:val="auto"/>
          <w:sz w:val="24"/>
          <w:szCs w:val="24"/>
          <w:highlight w:val="none"/>
        </w:rPr>
        <w:t xml:space="preserve">具体要求如下：</w:t>
      </w:r>
      <w:r/>
    </w:p>
    <w:p>
      <w:pPr>
        <w:numPr>
          <w:ilvl w:val="0"/>
          <w:numId w:val="0"/>
        </w:numPr>
        <w:spacing w:line="360" w:lineRule="auto"/>
        <w:rPr>
          <w:rFonts w:hint="eastAsia" w:ascii="宋体" w:hAnsi="宋体" w:cs="Times New Roman"/>
          <w:b/>
          <w:bCs w:val="0"/>
          <w:color w:val="auto"/>
          <w:sz w:val="24"/>
          <w:szCs w:val="22"/>
          <w:highlight w:val="none"/>
          <w:lang w:val="en-US" w:eastAsia="zh-CN"/>
        </w:rPr>
      </w:pPr>
      <w:r/>
      <w:bookmarkStart w:id="150" w:name="_Toc18011"/>
      <w:r/>
      <w:bookmarkStart w:id="151" w:name="_Toc27472"/>
      <w:r/>
      <w:bookmarkStart w:id="152" w:name="_Toc5576"/>
      <w:r/>
      <w:bookmarkStart w:id="153" w:name="_Toc487900374"/>
      <w:r/>
      <w:bookmarkStart w:id="154" w:name="_Toc526779129"/>
      <w:r/>
      <w:bookmarkStart w:id="155" w:name="_Toc2535"/>
      <w:r>
        <w:rPr>
          <w:rFonts w:hint="eastAsia" w:ascii="宋体" w:hAnsi="宋体" w:cs="Times New Roman"/>
          <w:b/>
          <w:bCs w:val="0"/>
          <w:color w:val="auto"/>
          <w:sz w:val="24"/>
          <w:szCs w:val="22"/>
          <w:highlight w:val="none"/>
          <w:lang w:val="en-US" w:eastAsia="zh-CN"/>
        </w:rPr>
        <w:t xml:space="preserve">一、项目概述</w:t>
      </w:r>
      <w:r/>
    </w:p>
    <w:p>
      <w:pPr>
        <w:numPr>
          <w:ilvl w:val="0"/>
          <w:numId w:val="0"/>
        </w:numPr>
        <w:ind w:firstLine="480"/>
        <w:spacing w:line="360" w:lineRule="auto"/>
        <w:rPr>
          <w:rFonts w:hint="eastAsia" w:ascii="宋体" w:hAnsi="宋体" w:cs="Times New Roman"/>
          <w:b w:val="0"/>
          <w:bCs/>
          <w:color w:val="auto"/>
          <w:sz w:val="24"/>
          <w:szCs w:val="22"/>
          <w:highlight w:val="none"/>
          <w:lang w:val="en-US" w:eastAsia="zh-CN"/>
        </w:rPr>
      </w:pPr>
      <w:r>
        <w:rPr>
          <w:rFonts w:hint="eastAsia" w:ascii="宋体" w:hAnsi="宋体" w:cs="Times New Roman"/>
          <w:b w:val="0"/>
          <w:bCs/>
          <w:color w:val="auto"/>
          <w:sz w:val="24"/>
          <w:szCs w:val="22"/>
          <w:highlight w:val="none"/>
          <w:lang w:val="en-US" w:eastAsia="zh-CN"/>
        </w:rPr>
        <w:t xml:space="preserve">采购高效液相在线固相萃取串联四极杆质谱分析系统1套，通过自动化在线样品前处理如固相萃取实现对环境样品的全自动、高效净化与富集，结合超高效液相色谱的快速分离能力与三重四极杆质谱的超高灵敏度和特异性检测，能够精准地对水体、土壤等复杂基质中痕量乃至超痕量的新型污染物进行定性和定量分析，提升检测效率和准确性，满足未来长期科研需求。通过公开招标采购1套符合参数的设备，控制预算不超587.8952万元，要求中标商负责运输安装、提供培训及壹年质保服务，项目自招标发布至交付预计60天，以提升实验效率、保障业务开展。</w:t>
      </w:r>
      <w:r/>
    </w:p>
    <w:p>
      <w:pPr>
        <w:numPr>
          <w:ilvl w:val="0"/>
          <w:numId w:val="0"/>
        </w:numPr>
        <w:spacing w:line="360" w:lineRule="auto"/>
        <w:rPr>
          <w:rFonts w:hint="eastAsia" w:ascii="宋体" w:hAnsi="宋体" w:cs="Times New Roman"/>
          <w:b/>
          <w:bCs w:val="0"/>
          <w:color w:val="auto"/>
          <w:sz w:val="24"/>
          <w:szCs w:val="22"/>
          <w:highlight w:val="none"/>
          <w:lang w:val="en-US" w:eastAsia="zh-CN"/>
        </w:rPr>
      </w:pPr>
      <w:r>
        <w:rPr>
          <w:rFonts w:hint="eastAsia" w:ascii="宋体" w:hAnsi="宋体" w:cs="Times New Roman"/>
          <w:b/>
          <w:bCs w:val="0"/>
          <w:color w:val="auto"/>
          <w:sz w:val="24"/>
          <w:szCs w:val="22"/>
          <w:highlight w:val="none"/>
          <w:lang w:val="en-US" w:eastAsia="zh-CN"/>
        </w:rPr>
        <w:t xml:space="preserve">二、技术要求</w:t>
      </w:r>
      <w:r/>
    </w:p>
    <w:p>
      <w:pPr>
        <w:numPr>
          <w:ilvl w:val="0"/>
          <w:numId w:val="0"/>
        </w:numPr>
        <w:ind w:firstLine="480"/>
        <w:spacing w:line="360" w:lineRule="auto"/>
        <w:rPr>
          <w:rFonts w:hint="eastAsia" w:ascii="宋体" w:hAnsi="宋体" w:cs="Times New Roman"/>
          <w:b w:val="0"/>
          <w:bCs/>
          <w:color w:val="auto"/>
          <w:sz w:val="24"/>
          <w:szCs w:val="22"/>
          <w:highlight w:val="none"/>
          <w:lang w:val="en-US" w:eastAsia="zh-CN"/>
        </w:rPr>
      </w:pPr>
      <w:r>
        <w:rPr>
          <w:rFonts w:hint="eastAsia" w:ascii="宋体" w:hAnsi="宋体" w:cs="Times New Roman"/>
          <w:b w:val="0"/>
          <w:bCs/>
          <w:color w:val="auto"/>
          <w:sz w:val="24"/>
          <w:szCs w:val="22"/>
          <w:highlight w:val="none"/>
          <w:lang w:val="en-US" w:eastAsia="zh-CN"/>
        </w:rPr>
        <w:t xml:space="preserve">1、本次采购的基本要求</w:t>
      </w:r>
      <w:r/>
    </w:p>
    <w:p>
      <w:pPr>
        <w:numPr>
          <w:ilvl w:val="0"/>
          <w:numId w:val="0"/>
        </w:numPr>
        <w:ind w:firstLine="480"/>
        <w:spacing w:line="360" w:lineRule="auto"/>
        <w:rPr>
          <w:rFonts w:hint="eastAsia" w:ascii="宋体" w:hAnsi="宋体" w:cs="Times New Roman"/>
          <w:b w:val="0"/>
          <w:bCs/>
          <w:color w:val="auto"/>
          <w:sz w:val="24"/>
          <w:szCs w:val="22"/>
          <w:highlight w:val="none"/>
          <w:lang w:val="en-US" w:eastAsia="zh-CN"/>
        </w:rPr>
      </w:pPr>
      <w:r>
        <w:rPr>
          <w:rFonts w:hint="eastAsia" w:ascii="宋体" w:hAnsi="宋体" w:cs="Times New Roman"/>
          <w:b w:val="0"/>
          <w:bCs/>
          <w:color w:val="auto"/>
          <w:sz w:val="24"/>
          <w:szCs w:val="22"/>
          <w:highlight w:val="none"/>
          <w:lang w:val="en-US" w:eastAsia="zh-CN"/>
        </w:rPr>
        <w:t xml:space="preserve">基于复杂环境样品中痕量有机污染物的高通量、精准定性与定量分析需求，拟采购超高效液相在线固相萃取串联四极杆质谱分析系统1套。通过在线固相萃取自动富集纯化样品，极大提升分析效率并降低检测限，再结合超高效液相的快速分离与串联四极杆质谱的高选择性、高灵敏度检测，能够实现对海量环境样本的快速、精准筛查与确证，有力支撑环境污染评估、生态毒理研究及环境行为归趋等领域的科研工作。</w:t>
      </w:r>
      <w:r/>
    </w:p>
    <w:p>
      <w:pPr>
        <w:numPr>
          <w:ilvl w:val="0"/>
          <w:numId w:val="11"/>
        </w:numPr>
        <w:ind w:firstLine="480"/>
        <w:spacing w:line="360" w:lineRule="auto"/>
        <w:rPr>
          <w:rFonts w:hint="eastAsia" w:ascii="宋体" w:hAnsi="宋体" w:cs="Times New Roman"/>
          <w:b w:val="0"/>
          <w:bCs/>
          <w:color w:val="auto"/>
          <w:sz w:val="24"/>
          <w:szCs w:val="22"/>
          <w:highlight w:val="none"/>
          <w:lang w:val="en-US" w:eastAsia="zh-CN"/>
        </w:rPr>
      </w:pPr>
      <w:r>
        <w:rPr>
          <w:rFonts w:hint="eastAsia" w:ascii="宋体" w:hAnsi="宋体" w:cs="Times New Roman"/>
          <w:b w:val="0"/>
          <w:bCs/>
          <w:color w:val="auto"/>
          <w:sz w:val="24"/>
          <w:szCs w:val="22"/>
          <w:highlight w:val="none"/>
          <w:lang w:val="en-US" w:eastAsia="zh-CN"/>
        </w:rPr>
        <w:t xml:space="preserve">本项目的要求及数量清单</w:t>
      </w:r>
      <w:r/>
    </w:p>
    <w:tbl>
      <w:tblPr>
        <w:tblStyle w:val="707"/>
        <w:tblW w:w="9459" w:type="dxa"/>
        <w:tblInd w:w="91" w:type="dxa"/>
        <w:tblLayout w:type="fixed"/>
        <w:tblCellMar>
          <w:left w:w="108" w:type="dxa"/>
          <w:top w:w="0" w:type="dxa"/>
          <w:right w:w="108" w:type="dxa"/>
          <w:bottom w:w="0" w:type="dxa"/>
        </w:tblCellMar>
        <w:tblLook w:val="04A0" w:firstRow="1" w:lastRow="0" w:firstColumn="1" w:lastColumn="0" w:noHBand="0" w:noVBand="1"/>
      </w:tblPr>
      <w:tblGrid>
        <w:gridCol w:w="720"/>
        <w:gridCol w:w="1119"/>
        <w:gridCol w:w="6120"/>
        <w:gridCol w:w="728"/>
        <w:gridCol w:w="772"/>
      </w:tblGrid>
      <w:tr>
        <w:trPr>
          <w:trHeight w:val="652"/>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参数要求</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数量</w:t>
            </w:r>
            <w:r/>
          </w:p>
        </w:tc>
      </w:tr>
      <w:tr>
        <w:trPr>
          <w:trHeight w:val="28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bookmarkStart w:id="156" w:name="OLE_LINK1"/>
            <w:r>
              <w:rPr>
                <w:rFonts w:hint="eastAsia" w:ascii="宋体" w:hAnsi="宋体" w:eastAsia="宋体" w:cs="宋体"/>
                <w:color w:val="auto"/>
                <w:sz w:val="24"/>
                <w:szCs w:val="24"/>
                <w:highlight w:val="none"/>
                <w:lang w:bidi="ar"/>
              </w:rPr>
              <w:t xml:space="preserve">超高效液相在线固相萃取串联四极杆质谱分析系统</w:t>
            </w:r>
            <w:bookmarkEnd w:id="156"/>
            <w:r/>
            <w:r/>
          </w:p>
        </w:tc>
        <w:tc>
          <w:tcPr>
            <w:shd w:val="clear" w:color="auto" w:fill="ffffff"/>
            <w:tcBorders>
              <w:top w:val="single" w:color="000000" w:sz="4" w:space="0"/>
              <w:left w:val="single" w:color="000000" w:sz="4" w:space="0"/>
              <w:bottom w:val="single" w:color="000000" w:sz="4" w:space="0"/>
              <w:right w:val="single" w:color="000000" w:sz="4" w:space="0"/>
            </w:tcBorders>
            <w:tcW w:w="61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1.基础配置和要求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1.1系统由三维自动化在线进样系统、超高效色谱溶剂管理器、柱管理器、串联四极杆质谱仪、真空系统、供气系统、仪器控制和数据管理系统七部分构成</w:t>
            </w:r>
            <w:r/>
          </w:p>
          <w:p>
            <w:pPr>
              <w:rPr>
                <w:rFonts w:hint="eastAsia" w:ascii="宋体" w:hAnsi="宋体" w:eastAsia="宋体" w:cs="宋体"/>
                <w:color w:val="auto"/>
                <w:sz w:val="24"/>
                <w:szCs w:val="24"/>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4"/>
                <w:szCs w:val="24"/>
                <w:highlight w:val="none"/>
              </w:rPr>
              <w:t xml:space="preserve">1.2液相色谱与串联四极杆质谱仪均为同一品牌厂家生产，保证联机技术的稳定性</w:t>
            </w:r>
            <w:r/>
          </w:p>
          <w:p>
            <w:pPr>
              <w:rPr>
                <w:rFonts w:hint="eastAsia" w:ascii="宋体" w:hAnsi="宋体" w:eastAsia="宋体" w:cs="宋体"/>
                <w:color w:val="auto"/>
                <w:sz w:val="24"/>
                <w:szCs w:val="24"/>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4"/>
                <w:szCs w:val="24"/>
                <w:highlight w:val="none"/>
              </w:rPr>
              <w:t xml:space="preserve">1.3可在在线固相萃取进样和自动液体直接进样之间快速切换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2.自动化三维在线进样系统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2.1在线固相萃取进样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2.1.1上样体积：1~5mL自由设置，可以重叠运行，提高样品通量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▲2.1.2三轴定位精度≤0.15mm</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2.1.3阀驱动模块：≥4组，软件智能控制，实现二维在线SPE技术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2.1.4同时具备15000psi超高压六通阀（≥3组）和6000psi六通阀，以适配HPLC或者UPLC系统，保证足够的流路切换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2.1.5可以同时装载两种不同规格的SPE柱，并联进样，提高样品的纯化和富集效率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 SPE柱可再生使用，前端可安装过滤装置，保证使用寿命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2.1.7直观的编辑界面，可快速的对在线SPE的阀切时间、流动相流速比例进行编辑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2.2自动液体直接进样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▲2.2.1样品位数：同时兼顾≥150位2ml样品瓶和≥56位20ml样品瓶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2.2.2进样体积：2.5ul~20ul可任意设置</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2.2.3进样方式：满环进样或进样针精准进样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2.2.4配备快速洗针工作站：可采用两种不同极性溶剂，对进样针内外壁快速冲洗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2.2.5软件上可实现进样量、进样前/后的停滞时间、进样针进样前/后洗针次数等值的设定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3.超高效二元溶剂管理器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▲3.1色谱泵：一体式独立柱塞串联泵，双独立数控马达直线驱动，双压力传感器反馈回路，无需阻尼器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3.2溶剂脱气：≥5通道</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3.3流速范围：≤2.000 ml/min，有效节省溶剂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3.4最大耐压：≥17000psi</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3.5梯度精度：≤0.15% RSD，不随反压变化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▲3.6梯度模式：≥10种梯度曲线，包含线性、步进、凹线、凸线四种类型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3.7梯度延迟体积：≤75μL</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3.8泵密封清洗：配备可设置的主动清洗系统，用于冲洗高压密封件的后部和柱塞杆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4.超高效四元溶剂管理器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▲4.1色谱泵：一体式独立柱塞串联泵，双独立数控马达直线驱动，双压力传感器反馈回路，无需阻尼器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4.2泵压力传感器反馈回路：≥2路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4.3溶剂脱气：≥5通道</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4.4流速范围：≤2.000 ml/min，有效节省溶剂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4.5最大耐压：≥15000 psi</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4.6梯度延迟体积：≤300μL</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▲4.7梯度模式：≥10种梯度曲线，包含线性、步进、凹线、凸线四种类型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4.8梯度精度：≤0.15% RSD，不随反压变化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4.9自动缓冲盐配置功能：可实现自动配置缓冲盐浓度和pH值梯度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4.10 pH值配置准确度：±0.1</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4.11内置缓冲盐配置体系数量：≥7</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4.12梯度种类：≥3种</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4.13可压缩性补偿：自动、持续</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4.14泵密封清洗：配备自动清洗系统，用于冲洗高压密封件的后部和柱塞杆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5.色谱柱管理器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5.1温度范围：4.0~90.0 ℃，增量0.1℃</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5.2切换阀：2个9通8位阀，自动柱切换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5.3温度准确度：± 0.5℃</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▲5.4色谱柱追踪：智能芯片技术，信息类型为≥16项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6.串联四极杆质谱</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6.1硬件指标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6.1.1离子源：ESI与APCI多功能源，ESI±、APCI±四通道同时检测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6.1.2待机和维护过程时，不消耗氮气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▲6.1.3脱溶剂气温度：≥640℃（提供软件设置截图）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6.1.4离子导入：双正交导入，避免样品污染</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6.1.5离子偏转：离子传输时≥3次，降低中性污染</w:t>
            </w:r>
            <w:r/>
          </w:p>
          <w:p>
            <w:pPr>
              <w:rPr>
                <w:rFonts w:hint="eastAsia" w:ascii="宋体" w:hAnsi="宋体" w:eastAsia="宋体" w:cs="宋体"/>
                <w:color w:val="auto"/>
                <w:sz w:val="24"/>
                <w:szCs w:val="24"/>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4"/>
                <w:szCs w:val="24"/>
                <w:highlight w:val="none"/>
              </w:rPr>
              <w:t xml:space="preserve">6.1.6离子接口：锥孔接口，无毛细管或离子传输管，避免热裂解、冷凝而导致的样品分解和毛细管堵塞（提供锥孔结构图）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▲6.1.7离子传输：同时具备偏轴与聚焦，主动排废，降低中性噪音，提高灵敏度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6.1.8质量分析器：串联四极杆，圆柱或双曲面金属钼，带前后过滤器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6.1.9碎裂池：兼顾离子线性加速及离子蓄积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6.1.10碰撞池传输：直线型碰撞池，降低碰撞池清洗频次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6.1.11碰撞气：氩气</w:t>
            </w:r>
            <w:r/>
          </w:p>
          <w:p>
            <w:pPr>
              <w:rPr>
                <w:rFonts w:hint="eastAsia" w:ascii="宋体" w:hAnsi="宋体" w:eastAsia="宋体" w:cs="宋体"/>
                <w:color w:val="auto"/>
                <w:sz w:val="24"/>
                <w:szCs w:val="24"/>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4"/>
                <w:szCs w:val="24"/>
                <w:highlight w:val="none"/>
              </w:rPr>
              <w:t xml:space="preserve">6.1.12检测器：光电倍增器，密封在真空玻璃内，离轴，长寿命，满足长期大量脏样品定量分析的数据可靠性和重复性。</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6.1.13扩展性：兼容扩展原厂质谱成像功能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6.2性能指标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6.2.1质量范围：低质量端≤2m/z，高质量端≥2000m/z</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▲6.2.2扫描速率：≥19500 Da/s，步进0.1Da</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6.2.3质量数稳定性：≤0.1amu/24小时</w:t>
            </w:r>
            <w:r/>
          </w:p>
          <w:p>
            <w:pPr>
              <w:rPr>
                <w:rFonts w:hint="eastAsia" w:ascii="宋体" w:hAnsi="宋体" w:eastAsia="宋体" w:cs="宋体"/>
                <w:color w:val="auto"/>
                <w:sz w:val="24"/>
                <w:szCs w:val="24"/>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4"/>
                <w:szCs w:val="24"/>
                <w:highlight w:val="none"/>
              </w:rPr>
              <w:t xml:space="preserve">6.2.4灵敏度：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ESI正离子灵敏度：1pg利血平柱上进样，m/z609-195，信噪比≥6,500,000:1</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ESI负离子灵敏度：1pg氯霉素柱上进样，m/z321-152，信噪比≥6,500,000:1</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▲6.2.5 MRM通道：一次进样可完成＞31000组MRM的同时分析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6.2.6最小驻留时间：≤1ms</w:t>
            </w:r>
            <w:r/>
          </w:p>
          <w:p>
            <w:pPr>
              <w:rPr>
                <w:rFonts w:hint="eastAsia" w:ascii="宋体" w:hAnsi="宋体" w:eastAsia="宋体" w:cs="宋体"/>
                <w:color w:val="auto"/>
                <w:sz w:val="24"/>
                <w:szCs w:val="24"/>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4"/>
                <w:szCs w:val="24"/>
                <w:highlight w:val="none"/>
              </w:rPr>
              <w:t xml:space="preserve">6.2.7极性切换时间：≤4ms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6.2.8ESI、APCI切换时间：≤20 ms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6.2.9扫描模式：全扫描、选择离子扫描、子离子扫描、母离子扫描、中性丢失扫描、MRM扫描、子离子全扫描等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6.2.10MRM和全扫描切换时间：≤3ms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6.2.11假阳性确证：一针进样同时得到MRM和子离子全扫描谱图，自动标准品二级全扫描谱图比对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7.质谱数据系统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7.1兼容Microsoft windows操作系统，所有液相单元和质谱由同一软件控制，可以实现数据采集，数据分析，液相和质谱同步控制，在线监测，定性定量分析、建立数据库等功能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7.2仪器参数的检测及校正功能，自动质量校正，自动样品调谐，自动SIR(选择离子扫描)和MRM (多选择反应监测)方法开发，UPLC-MS/MS系统检查—自动柱上性能检测，自动MRM设置，自动调谐参数（质谱分辨率、质谱校准、离子源优化）。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7.3一次性全自动生成包括离子对信息、碰撞能、离子导入电压等参数在内的SIR/MRM方法，提供可供查询的官方证明资料。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方法库：提供大于5000个化合物的方法，包括色谱方法及质谱方法，包含农药、环境污染物、毒物、生物毒素、药物及代谢物等。可采用多种检索方式如中英文名称、CAS号、分子量、分子式及群组等。使用户可以简单快速地获得分析所需的方法，终身免费更新服务。</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r>
    </w:tbl>
    <w:p>
      <w:pPr>
        <w:pStyle w:val="722"/>
        <w:numPr>
          <w:ilvl w:val="0"/>
          <w:numId w:val="0"/>
        </w:numPr>
        <w:ind w:firstLine="482"/>
        <w:spacing w:line="360" w:lineRule="auto"/>
        <w:rPr>
          <w:rFonts w:hint="eastAsia"/>
          <w:color w:val="auto"/>
          <w:highlight w:val="none"/>
          <w:lang w:val="en-US" w:eastAsia="zh-CN"/>
        </w:rPr>
      </w:pPr>
      <w:r>
        <w:rPr>
          <w:rFonts w:hint="eastAsia"/>
          <w:b/>
          <w:bCs/>
          <w:color w:val="auto"/>
          <w:sz w:val="24"/>
          <w:szCs w:val="22"/>
          <w:highlight w:val="none"/>
          <w:lang w:val="en-US" w:eastAsia="zh-CN"/>
        </w:rPr>
        <w:t xml:space="preserve">备注：为确保本项目的正常履约和相关设备满足采购需求，技术参数中标“</w:t>
      </w:r>
      <w:r>
        <w:rPr>
          <w:rFonts w:hint="eastAsia" w:ascii="宋体" w:hAnsi="宋体" w:cs="宋体"/>
          <w:color w:val="auto"/>
          <w:sz w:val="28"/>
          <w:szCs w:val="28"/>
          <w:highlight w:val="none"/>
          <w:lang w:eastAsia="zh-CN"/>
        </w:rPr>
        <w:t xml:space="preserve">◆</w:t>
      </w:r>
      <w:r>
        <w:rPr>
          <w:rFonts w:hint="eastAsia"/>
          <w:b/>
          <w:bCs/>
          <w:color w:val="auto"/>
          <w:sz w:val="24"/>
          <w:szCs w:val="22"/>
          <w:highlight w:val="none"/>
          <w:lang w:val="en-US" w:eastAsia="zh-CN"/>
        </w:rPr>
        <w:t xml:space="preserve">”“▲”要求提供的证明材料，在投标文件中提供扫描件，合同签订前，采购人将对相关证明材料原件进行核验。</w:t>
      </w:r>
      <w:r/>
    </w:p>
    <w:p>
      <w:pPr>
        <w:ind w:left="0" w:right="0" w:firstLine="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三、商务要求</w:t>
      </w:r>
      <w:r/>
    </w:p>
    <w:p>
      <w:pPr>
        <w:ind w:left="0" w:right="0" w:firstLine="48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1、服务要求：</w:t>
      </w:r>
      <w:r/>
    </w:p>
    <w:p>
      <w:pPr>
        <w:ind w:left="0" w:right="0" w:firstLine="480"/>
        <w:jc w:val="both"/>
        <w:spacing w:before="0"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（1）质保要求：</w:t>
      </w:r>
      <w:r>
        <w:rPr>
          <w:rFonts w:ascii="宋体" w:hAnsi="宋体" w:eastAsia="宋体" w:cs="宋体"/>
          <w:color w:val="auto"/>
          <w:sz w:val="24"/>
          <w:highlight w:val="none"/>
        </w:rPr>
        <w:t xml:space="preserve">设备免费保修</w:t>
      </w:r>
      <w:r>
        <w:rPr>
          <w:rFonts w:hint="eastAsia" w:ascii="宋体" w:hAnsi="宋体" w:eastAsia="宋体" w:cs="宋体"/>
          <w:color w:val="auto"/>
          <w:sz w:val="24"/>
          <w:highlight w:val="none"/>
        </w:rPr>
        <w:t xml:space="preserve">壹</w:t>
      </w:r>
      <w:r>
        <w:rPr>
          <w:rFonts w:ascii="宋体" w:hAnsi="宋体" w:eastAsia="宋体" w:cs="宋体"/>
          <w:color w:val="auto"/>
          <w:sz w:val="24"/>
          <w:highlight w:val="none"/>
        </w:rPr>
        <w:t xml:space="preserve">年（质保期）；保修期外乙方应对本设备终身负责维修</w:t>
      </w:r>
      <w:r>
        <w:rPr>
          <w:rFonts w:hint="eastAsia" w:ascii="宋体" w:hAnsi="宋体" w:cs="宋体"/>
          <w:color w:val="auto"/>
          <w:sz w:val="24"/>
          <w:highlight w:val="none"/>
          <w:lang w:eastAsia="zh-CN"/>
        </w:rPr>
        <w:t xml:space="preserve">。</w:t>
      </w:r>
      <w:r/>
    </w:p>
    <w:p>
      <w:pPr>
        <w:ind w:left="0" w:right="0" w:firstLine="48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（2）售后服务要求：</w:t>
      </w:r>
      <w:r/>
    </w:p>
    <w:p>
      <w:pPr>
        <w:ind w:left="0" w:right="0" w:firstLine="48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①乙方应确保设备保修期内开机率为95%，如设备故障停机率超过5%（一年按365天计算，每年18天，一天内故障停机1次计作故障停机一天），每超过一天，赔偿甲方采购该设备总金额的0.6%。</w:t>
      </w:r>
      <w:r/>
    </w:p>
    <w:p>
      <w:pPr>
        <w:ind w:left="0" w:right="0" w:firstLine="48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如设备发生故障，乙方应在接到设备使用方江南大学宜兴研究生院（以下简称使用方）报修电话后2小时内予以响应，24小时内到达，否则使用方可自行采取必要的措施，由此产生的风险和费用由乙方承担。如有特殊情况，乙方应立即电话通知使用方不能响应的原因，在获得使用方同意后，才可推迟响应时间。</w:t>
      </w:r>
      <w:r/>
    </w:p>
    <w:p>
      <w:pPr>
        <w:ind w:left="0" w:right="0" w:firstLine="48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③无论在保修期内还是保修期外，乙方必须上门维修。乙方工程师来使用方维修设备，必须事先与使用方取得联系；在维修过程中应有使用方工程师的共同参与。否则由此引起的一切责任由乙方负责。维修应当做好台账记录，双方签名确认。</w:t>
      </w:r>
      <w:r/>
    </w:p>
    <w:p>
      <w:pPr>
        <w:ind w:left="0" w:right="0" w:firstLine="48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④乙方免费提供全套技术资料（维修说明书包括详细电路</w:t>
      </w:r>
      <w:r>
        <w:rPr>
          <w:rFonts w:hint="eastAsia" w:ascii="宋体" w:hAnsi="宋体" w:cs="宋体"/>
          <w:color w:val="auto"/>
          <w:sz w:val="24"/>
          <w:highlight w:val="none"/>
          <w:lang w:val="en-US" w:eastAsia="zh-CN"/>
        </w:rPr>
        <w:t xml:space="preserve">图</w:t>
      </w:r>
      <w:r>
        <w:rPr>
          <w:rFonts w:hint="eastAsia" w:ascii="宋体" w:hAnsi="宋体" w:eastAsia="宋体" w:cs="宋体"/>
          <w:color w:val="auto"/>
          <w:sz w:val="24"/>
          <w:highlight w:val="none"/>
        </w:rPr>
        <w:t xml:space="preserve">、操作说明书及光盘），如技术资料不全，使用方有权申请不支付货款。</w:t>
      </w:r>
      <w:r/>
    </w:p>
    <w:p>
      <w:pPr>
        <w:ind w:left="0" w:right="0" w:firstLine="48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⑤乙方须无偿配合使用方因业务原因的设备搬迁，确保设备使用延续性。</w:t>
      </w:r>
      <w:r/>
    </w:p>
    <w:p>
      <w:pPr>
        <w:ind w:left="0" w:right="0" w:firstLine="48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⑥有驻场要求的设备，安装测试结束2个工作日内，乙方必须安排</w:t>
      </w:r>
      <w:r>
        <w:rPr>
          <w:rFonts w:hint="eastAsia" w:ascii="宋体" w:hAnsi="宋体" w:cs="宋体"/>
          <w:color w:val="auto"/>
          <w:sz w:val="24"/>
          <w:highlight w:val="none"/>
          <w:lang w:val="en-US" w:eastAsia="zh-CN"/>
        </w:rPr>
        <w:t xml:space="preserve">驻</w:t>
      </w:r>
      <w:r>
        <w:rPr>
          <w:rFonts w:hint="eastAsia" w:ascii="宋体" w:hAnsi="宋体" w:eastAsia="宋体" w:cs="宋体"/>
          <w:color w:val="auto"/>
          <w:sz w:val="24"/>
          <w:highlight w:val="none"/>
        </w:rPr>
        <w:t xml:space="preserve">场工程师到使用方开展工作，并不得随意更换工程师，乙方确实因工作需要更换工程师的，必须提前10个工作日向使用方提出申请、得到使用方同意后做好工程师交接，确保使用方工作延续性。</w:t>
      </w:r>
      <w:r/>
    </w:p>
    <w:p>
      <w:pPr>
        <w:ind w:left="0" w:right="0" w:firstLine="48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（3）技术培训要求：</w:t>
      </w:r>
      <w:r/>
    </w:p>
    <w:p>
      <w:pPr>
        <w:ind w:left="0" w:right="0" w:firstLine="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在设备安装过程中或安装结束后，乙方工程师或有关人员有义务对使用方工程师和操作人员进行现场维修、保养、操作培训，解答使用方人员提出的问题，确保设备正常操作运行后方可撤场。</w:t>
      </w:r>
      <w:r/>
    </w:p>
    <w:p>
      <w:pPr>
        <w:ind w:left="0" w:right="0" w:firstLine="48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2、交货地点：江南大学宜兴研究生院清源楼</w:t>
      </w:r>
      <w:r/>
    </w:p>
    <w:p>
      <w:pPr>
        <w:ind w:left="0" w:right="0" w:firstLine="48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交货期限：乙方应在本合同签订之日起60天之内将合同货物交付使用方，并运抵使用方指定交货地点。设备运输费等所有费用由乙方承担，设备交付使用方之前的全部风险（包括但不限于运输过程中发生意外导致的生命财产损失等）均由乙方承担。</w:t>
      </w:r>
      <w:r/>
    </w:p>
    <w:p>
      <w:pPr>
        <w:ind w:left="0" w:right="0" w:firstLine="480"/>
        <w:jc w:val="both"/>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验收标准：设备安装、调试结束，在使用方对设备试用后进行验收（时间由江南大学宜兴研究生院、乙方另行商定），乙方免费派工程师到达现场协助验收工作（应出具乙方委托书）。验收单应由使用方和乙方共同签字确认。</w:t>
      </w:r>
      <w:r/>
    </w:p>
    <w:p>
      <w:pPr>
        <w:ind w:left="0" w:right="0" w:firstLine="480"/>
        <w:jc w:val="both"/>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5、付款步骤：合同签订后，使用方向宜兴市公共建筑建设管理中心申请付总价的50%,收货并验收合格后，付总价的45%，一年后，付总价的5%。乙方每次收款前需开具增值税专用发票。</w:t>
      </w:r>
      <w:r/>
    </w:p>
    <w:p>
      <w:pPr>
        <w:rPr>
          <w:rFonts w:ascii="宋体" w:hAnsi="宋体" w:eastAsia="宋体" w:cs="宋体"/>
          <w:color w:val="auto"/>
          <w:sz w:val="24"/>
          <w:highlight w:val="none"/>
        </w:rPr>
      </w:pPr>
      <w:r>
        <w:rPr>
          <w:rFonts w:ascii="宋体" w:hAnsi="宋体" w:eastAsia="宋体" w:cs="宋体"/>
          <w:color w:val="auto"/>
          <w:sz w:val="24"/>
          <w:highlight w:val="none"/>
        </w:rPr>
        <w:br w:type="page" w:clear="all"/>
      </w:r>
      <w:r/>
    </w:p>
    <w:p>
      <w:pPr>
        <w:jc w:val="center"/>
        <w:spacing w:line="360" w:lineRule="auto"/>
        <w:rPr>
          <w:color w:val="auto"/>
          <w:highlight w:val="none"/>
        </w:rPr>
        <w:outlineLvl w:val="0"/>
      </w:pPr>
      <w:r/>
      <w:bookmarkStart w:id="157" w:name="_Toc25661"/>
      <w:r/>
      <w:bookmarkStart w:id="158" w:name="_Toc3556"/>
      <w:r/>
      <w:bookmarkStart w:id="159" w:name="_Toc2776"/>
      <w:r/>
      <w:bookmarkStart w:id="160" w:name="_Toc25766"/>
      <w:r>
        <w:rPr>
          <w:rFonts w:hint="eastAsia" w:ascii="黑体" w:hAnsi="黑体" w:eastAsia="黑体"/>
          <w:color w:val="auto"/>
          <w:sz w:val="28"/>
          <w:highlight w:val="none"/>
        </w:rPr>
        <w:t xml:space="preserve">第四章 评标方法和标准</w:t>
      </w:r>
      <w:bookmarkEnd w:id="150"/>
      <w:r/>
      <w:bookmarkEnd w:id="151"/>
      <w:r/>
      <w:bookmarkEnd w:id="157"/>
      <w:r/>
      <w:bookmarkEnd w:id="158"/>
      <w:r/>
      <w:bookmarkEnd w:id="159"/>
      <w:r/>
      <w:bookmarkEnd w:id="160"/>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一、评分项目（总分100分）</w:t>
      </w:r>
      <w:r/>
    </w:p>
    <w:tbl>
      <w:tblPr>
        <w:tblStyle w:val="707"/>
        <w:tblW w:w="84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12"/>
        <w:gridCol w:w="6010"/>
      </w:tblGrid>
      <w:tr>
        <w:trPr>
          <w:jc w:val="center"/>
          <w:trHeight w:val="620"/>
        </w:trPr>
        <w:tc>
          <w:tcPr>
            <w:tcW w:w="241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技术</w:t>
            </w:r>
            <w:r>
              <w:rPr>
                <w:rFonts w:hint="eastAsia" w:ascii="宋体" w:hAnsi="宋体"/>
                <w:color w:val="auto"/>
                <w:sz w:val="24"/>
                <w:szCs w:val="24"/>
                <w:highlight w:val="none"/>
              </w:rPr>
              <w:t xml:space="preserve">部分</w:t>
            </w:r>
            <w:r/>
          </w:p>
        </w:tc>
        <w:tc>
          <w:tcPr>
            <w:tcW w:w="6010"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61分</w:t>
            </w:r>
            <w:r/>
          </w:p>
        </w:tc>
      </w:tr>
      <w:tr>
        <w:trPr>
          <w:jc w:val="center"/>
          <w:trHeight w:val="620"/>
        </w:trPr>
        <w:tc>
          <w:tcPr>
            <w:tcW w:w="2412" w:type="dxa"/>
            <w:vAlign w:val="center"/>
            <w:textDirection w:val="lrTb"/>
            <w:noWrap w:val="false"/>
          </w:tcPr>
          <w:p>
            <w:pPr>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商务部分</w:t>
            </w:r>
            <w:r/>
          </w:p>
        </w:tc>
        <w:tc>
          <w:tcPr>
            <w:tcW w:w="6010" w:type="dxa"/>
            <w:vAlign w:val="center"/>
            <w:textDirection w:val="lrTb"/>
            <w:noWrap w:val="false"/>
          </w:tcPr>
          <w:p>
            <w:pPr>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4分</w:t>
            </w:r>
            <w:r/>
          </w:p>
        </w:tc>
      </w:tr>
      <w:tr>
        <w:trPr>
          <w:jc w:val="center"/>
          <w:trHeight w:val="629"/>
        </w:trPr>
        <w:tc>
          <w:tcPr>
            <w:tcW w:w="241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6010" w:type="dxa"/>
            <w:vAlign w:val="center"/>
            <w:textDirection w:val="lrTb"/>
            <w:noWrap w:val="false"/>
          </w:tcPr>
          <w:p>
            <w:pPr>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35</w:t>
            </w:r>
            <w:r>
              <w:rPr>
                <w:rFonts w:hint="eastAsia" w:ascii="宋体" w:hAnsi="宋体"/>
                <w:color w:val="auto"/>
                <w:sz w:val="24"/>
                <w:szCs w:val="24"/>
                <w:highlight w:val="none"/>
              </w:rPr>
              <w:t xml:space="preserve">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bookmarkStart w:id="161" w:name="OLE_LINK10"/>
      <w:r>
        <w:rPr>
          <w:rFonts w:hint="eastAsia" w:ascii="宋体" w:hAnsi="宋体"/>
          <w:color w:val="auto"/>
          <w:sz w:val="24"/>
          <w:szCs w:val="24"/>
          <w:highlight w:val="none"/>
        </w:rPr>
        <w:t xml:space="preserve">技术部分</w:t>
      </w:r>
      <w:bookmarkEnd w:id="161"/>
      <w:r>
        <w:rPr>
          <w:rFonts w:hint="eastAsia" w:ascii="宋体" w:hAnsi="宋体" w:eastAsia="宋体" w:cs="宋体"/>
          <w:b/>
          <w:sz w:val="24"/>
          <w:szCs w:val="24"/>
        </w:rPr>
        <w:t xml:space="preserve">（</w:t>
      </w:r>
      <w:r>
        <w:rPr>
          <w:rFonts w:hint="eastAsia" w:ascii="宋体" w:hAnsi="宋体" w:cs="宋体"/>
          <w:b/>
          <w:sz w:val="24"/>
          <w:szCs w:val="24"/>
          <w:lang w:val="en-US" w:eastAsia="zh-CN"/>
        </w:rPr>
        <w:t xml:space="preserve">服务内容</w:t>
      </w:r>
      <w:r>
        <w:rPr>
          <w:rFonts w:hint="eastAsia" w:ascii="宋体" w:hAnsi="宋体" w:eastAsia="宋体" w:cs="宋体"/>
          <w:b/>
          <w:sz w:val="24"/>
          <w:szCs w:val="24"/>
        </w:rPr>
        <w:t xml:space="preserve">不得有体现投标人身份的内容）</w:t>
      </w:r>
      <w:r/>
    </w:p>
    <w:tbl>
      <w:tblPr>
        <w:tblStyle w:val="707"/>
        <w:tblW w:w="106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656"/>
        <w:gridCol w:w="1050"/>
        <w:gridCol w:w="783"/>
        <w:gridCol w:w="6890"/>
      </w:tblGrid>
      <w:tr>
        <w:trPr>
          <w:jc w:val="center"/>
          <w:trHeight w:val="333"/>
        </w:trPr>
        <w:tc>
          <w:tcPr>
            <w:tcW w:w="12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评审内容</w:t>
            </w:r>
            <w:r/>
          </w:p>
        </w:tc>
        <w:tc>
          <w:tcPr>
            <w:tcW w:w="65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05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评审</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W w:w="78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689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评审细则</w:t>
            </w:r>
            <w:r/>
          </w:p>
        </w:tc>
      </w:tr>
      <w:tr>
        <w:trPr>
          <w:jc w:val="center"/>
          <w:trHeight w:val="1336"/>
        </w:trPr>
        <w:tc>
          <w:tcPr>
            <w:tcW w:w="1261" w:type="dxa"/>
            <w:vAlign w:val="center"/>
            <w:vMerge w:val="restar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技术部分</w:t>
            </w:r>
            <w:r/>
          </w:p>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（61分</w:t>
            </w:r>
            <w:r>
              <w:rPr>
                <w:rFonts w:hint="eastAsia" w:ascii="宋体" w:hAnsi="宋体" w:cs="宋体"/>
                <w:color w:val="auto"/>
                <w:sz w:val="24"/>
                <w:szCs w:val="24"/>
                <w:highlight w:val="none"/>
                <w:lang w:eastAsia="zh-CN"/>
              </w:rPr>
              <w:t xml:space="preserve">）</w:t>
            </w:r>
            <w:r/>
          </w:p>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65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5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技术内容</w:t>
            </w:r>
            <w:r/>
          </w:p>
        </w:tc>
        <w:tc>
          <w:tcPr>
            <w:tcW w:w="783"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35</w:t>
            </w:r>
            <w:r>
              <w:rPr>
                <w:rFonts w:hint="eastAsia" w:ascii="宋体" w:hAnsi="宋体" w:cs="宋体"/>
                <w:color w:val="auto"/>
                <w:sz w:val="24"/>
                <w:highlight w:val="none"/>
                <w:lang w:val="en-US" w:eastAsia="zh-CN"/>
              </w:rPr>
              <w:t xml:space="preserve">分</w:t>
            </w:r>
            <w:r/>
          </w:p>
        </w:tc>
        <w:tc>
          <w:tcPr>
            <w:tcW w:w="68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根据招标文件中的技术指标进行打分：</w:t>
            </w:r>
            <w:r/>
          </w:p>
          <w:p>
            <w:pPr>
              <w:jc w:val="left"/>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投标人</w:t>
            </w:r>
            <w:r>
              <w:rPr>
                <w:rFonts w:hint="eastAsia" w:ascii="宋体" w:hAnsi="宋体" w:eastAsia="宋体" w:cs="宋体"/>
                <w:color w:val="auto"/>
                <w:sz w:val="24"/>
                <w:szCs w:val="24"/>
                <w:highlight w:val="none"/>
              </w:rPr>
              <w:t xml:space="preserve">所投产品各项技术指标要求全部满足招标文件要求的，得</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打</w:t>
            </w:r>
            <w:r>
              <w:rPr>
                <w:rFonts w:hint="eastAsia" w:ascii="宋体" w:hAnsi="宋体" w:eastAsia="宋体" w:cs="宋体"/>
                <w:color w:val="auto"/>
                <w:sz w:val="24"/>
                <w:szCs w:val="24"/>
                <w:highlight w:val="none"/>
              </w:rPr>
              <w:t xml:space="preserve">“</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4"/>
                <w:szCs w:val="24"/>
                <w:highlight w:val="none"/>
              </w:rPr>
              <w:t xml:space="preserve">”的核心参数负偏离作无效投标；带“▲”的重要参数负偏离每项2分，扣完为止；其他指标正偏离不得分，负偏离每项扣1分，扣完为止。</w:t>
            </w:r>
            <w:r/>
          </w:p>
          <w:p>
            <w:pPr>
              <w:pStyle w:val="891"/>
              <w:ind w:left="0" w:firstLine="0"/>
              <w:rPr>
                <w:color w:val="auto"/>
                <w:highlight w:val="none"/>
              </w:rPr>
            </w:pPr>
            <w:r>
              <w:rPr>
                <w:rFonts w:hint="eastAsia" w:ascii="宋体" w:hAnsi="宋体" w:cs="宋体"/>
                <w:b/>
                <w:bCs/>
                <w:color w:val="auto"/>
                <w:sz w:val="24"/>
                <w:highlight w:val="none"/>
                <w:lang w:eastAsia="zh-CN"/>
              </w:rPr>
              <w:t xml:space="preserve">注：</w:t>
            </w:r>
            <w:r>
              <w:rPr>
                <w:rFonts w:hint="eastAsia" w:ascii="宋体" w:hAnsi="宋体" w:cs="宋体"/>
                <w:b/>
                <w:bCs/>
                <w:color w:val="auto"/>
                <w:sz w:val="24"/>
                <w:highlight w:val="none"/>
              </w:rPr>
              <w:t xml:space="preserve">投标人须按“第</w:t>
            </w:r>
            <w:r>
              <w:rPr>
                <w:rFonts w:hint="eastAsia"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章 项目技术要求和有关说明”要求</w:t>
            </w:r>
            <w:r>
              <w:rPr>
                <w:rFonts w:ascii="宋体" w:hAnsi="宋体" w:cs="宋体"/>
                <w:b/>
                <w:bCs/>
                <w:color w:val="auto"/>
                <w:sz w:val="24"/>
                <w:highlight w:val="none"/>
              </w:rPr>
              <w:t xml:space="preserve">提供</w:t>
            </w:r>
            <w:r>
              <w:rPr>
                <w:rFonts w:hint="eastAsia" w:hAnsi="宋体" w:cs="宋体"/>
                <w:b/>
                <w:bCs/>
                <w:color w:val="auto"/>
                <w:sz w:val="24"/>
                <w:highlight w:val="none"/>
                <w:lang w:eastAsia="zh-CN"/>
              </w:rPr>
              <w:t xml:space="preserve">能够满</w:t>
            </w:r>
            <w:r>
              <w:rPr>
                <w:rFonts w:hint="eastAsia" w:hAnsi="宋体" w:cs="宋体"/>
                <w:b/>
                <w:bCs/>
                <w:color w:val="auto"/>
                <w:sz w:val="24"/>
                <w:highlight w:val="none"/>
                <w:lang w:val="en-US" w:eastAsia="zh-CN"/>
              </w:rPr>
              <w:t xml:space="preserve">足“</w:t>
            </w:r>
            <w:r>
              <w:rPr>
                <w:rFonts w:hint="eastAsia" w:ascii="宋体" w:hAnsi="宋体" w:cs="宋体"/>
                <w:color w:val="auto"/>
                <w:sz w:val="28"/>
                <w:szCs w:val="28"/>
                <w:highlight w:val="none"/>
                <w:lang w:eastAsia="zh-CN"/>
              </w:rPr>
              <w:t xml:space="preserve">◆</w:t>
            </w:r>
            <w:r>
              <w:rPr>
                <w:rFonts w:hint="eastAsia" w:hAnsi="宋体" w:cs="宋体"/>
                <w:b/>
                <w:bCs/>
                <w:color w:val="auto"/>
                <w:sz w:val="24"/>
                <w:highlight w:val="none"/>
                <w:lang w:val="en-US" w:eastAsia="zh-CN"/>
              </w:rPr>
              <w:t xml:space="preserve">”、“▲”参数相关证明材料</w:t>
            </w:r>
            <w:r>
              <w:rPr>
                <w:rFonts w:hint="eastAsia" w:ascii="宋体" w:hAnsi="宋体" w:cs="宋体"/>
                <w:b/>
                <w:bCs/>
                <w:color w:val="auto"/>
                <w:sz w:val="24"/>
                <w:highlight w:val="none"/>
                <w:lang w:val="en-US" w:eastAsia="zh-CN"/>
              </w:rPr>
              <w:t xml:space="preserve">原件</w:t>
            </w:r>
            <w:r>
              <w:rPr>
                <w:rFonts w:hint="eastAsia" w:hAnsi="宋体" w:cs="宋体"/>
                <w:b/>
                <w:bCs/>
                <w:color w:val="auto"/>
                <w:sz w:val="24"/>
                <w:szCs w:val="24"/>
                <w:highlight w:val="none"/>
                <w:lang w:val="en-US" w:eastAsia="zh-CN"/>
              </w:rPr>
              <w:t xml:space="preserve">扫描件</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否则不得分</w:t>
            </w:r>
            <w:r>
              <w:rPr>
                <w:rFonts w:hint="eastAsia" w:ascii="宋体" w:hAnsi="宋体" w:cs="宋体"/>
                <w:b/>
                <w:bCs/>
                <w:color w:val="auto"/>
                <w:sz w:val="24"/>
                <w:szCs w:val="24"/>
                <w:highlight w:val="none"/>
              </w:rPr>
              <w:t xml:space="preserve">。</w:t>
            </w:r>
            <w:r/>
          </w:p>
        </w:tc>
      </w:tr>
      <w:tr>
        <w:trPr>
          <w:jc w:val="center"/>
          <w:trHeight w:val="661"/>
        </w:trPr>
        <w:tc>
          <w:tcPr>
            <w:tcW w:w="126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56" w:type="dxa"/>
            <w:vAlign w:val="center"/>
            <w:vMerge w:val="restart"/>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050" w:type="dxa"/>
            <w:vAlign w:val="center"/>
            <w:vMerge w:val="restart"/>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服务内容</w:t>
            </w:r>
            <w:r/>
          </w:p>
        </w:tc>
        <w:tc>
          <w:tcPr>
            <w:tcW w:w="78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分</w:t>
            </w:r>
            <w:r/>
          </w:p>
        </w:tc>
        <w:tc>
          <w:tcPr>
            <w:tcW w:w="6890" w:type="dxa"/>
            <w:vAlign w:val="center"/>
            <w:textDirection w:val="lrTb"/>
            <w:noWrap w:val="false"/>
          </w:tcPr>
          <w:p>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①实施组织方案及各项保障措施</w:t>
            </w:r>
            <w:r>
              <w:rPr>
                <w:rFonts w:hint="eastAsia" w:ascii="宋体" w:hAnsi="宋体" w:eastAsia="宋体" w:cs="宋体"/>
                <w:color w:val="auto"/>
                <w:sz w:val="24"/>
                <w:szCs w:val="24"/>
                <w:highlight w:val="none"/>
                <w:lang w:eastAsia="zh-CN"/>
              </w:rPr>
              <w:t xml:space="preserve">：</w:t>
            </w:r>
            <w:r/>
          </w:p>
          <w:p>
            <w:pPr>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根据投标人的总体方案、实施方案及项目保障措施（包括承诺的交货期长短、项目实施的组织计划、进度安排合理性及工期保证措施、设备运输及进场安装调试方案）等。提供以上各项方案完整并切实可行，优秀</w:t>
            </w:r>
            <w:r>
              <w:rPr>
                <w:rFonts w:hint="eastAsia" w:ascii="宋体" w:hAnsi="宋体" w:eastAsia="宋体" w:cs="宋体"/>
                <w:color w:val="auto"/>
                <w:sz w:val="24"/>
                <w:szCs w:val="24"/>
                <w:highlight w:val="none"/>
                <w:lang w:val="en-US" w:eastAsia="zh-CN"/>
              </w:rPr>
              <w:t xml:space="preserve">得6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好</w:t>
            </w:r>
            <w:r>
              <w:rPr>
                <w:rFonts w:hint="eastAsia"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一般1分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不提供则不得分</w:t>
            </w:r>
            <w:r>
              <w:rPr>
                <w:rFonts w:hint="eastAsia" w:ascii="宋体" w:hAnsi="宋体" w:eastAsia="宋体" w:cs="宋体"/>
                <w:color w:val="auto"/>
                <w:sz w:val="24"/>
                <w:szCs w:val="24"/>
                <w:highlight w:val="none"/>
              </w:rPr>
              <w:t xml:space="preserve">。</w:t>
            </w:r>
            <w:r/>
          </w:p>
        </w:tc>
      </w:tr>
      <w:tr>
        <w:trPr>
          <w:jc w:val="center"/>
          <w:trHeight w:val="661"/>
        </w:trPr>
        <w:tc>
          <w:tcPr>
            <w:tcW w:w="126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5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050" w:type="dxa"/>
            <w:vAlign w:val="center"/>
            <w:vMerge w:val="continue"/>
            <w:textDirection w:val="lrTb"/>
            <w:noWrap w:val="false"/>
          </w:tcPr>
          <w:p>
            <w:pPr>
              <w:jc w:val="center"/>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783"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6</w:t>
            </w:r>
            <w:r>
              <w:rPr>
                <w:rFonts w:hint="eastAsia" w:ascii="宋体" w:hAnsi="宋体"/>
                <w:b w:val="0"/>
                <w:bCs w:val="0"/>
                <w:color w:val="auto"/>
                <w:sz w:val="24"/>
                <w:szCs w:val="24"/>
                <w:highlight w:val="none"/>
              </w:rPr>
              <w:t xml:space="preserve">分</w:t>
            </w:r>
            <w:r/>
          </w:p>
        </w:tc>
        <w:tc>
          <w:tcPr>
            <w:tcW w:w="6890" w:type="dxa"/>
            <w:vAlign w:val="center"/>
            <w:textDirection w:val="lrTb"/>
            <w:noWrap w:val="false"/>
          </w:tcPr>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②质量保证措施：</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质量保证措施</w:t>
            </w:r>
            <w:r>
              <w:rPr>
                <w:rFonts w:hint="eastAsia" w:ascii="宋体" w:hAnsi="宋体" w:eastAsia="宋体" w:cs="宋体"/>
                <w:b w:val="0"/>
                <w:bCs w:val="0"/>
                <w:color w:val="auto"/>
                <w:sz w:val="24"/>
                <w:szCs w:val="24"/>
                <w:highlight w:val="none"/>
              </w:rPr>
              <w:t xml:space="preserve">全面、合理、有针对、</w:t>
            </w:r>
            <w:r>
              <w:rPr>
                <w:rFonts w:hint="eastAsia" w:ascii="宋体" w:hAnsi="宋体" w:eastAsia="宋体" w:cs="宋体"/>
                <w:b w:val="0"/>
                <w:bCs w:val="0"/>
                <w:color w:val="auto"/>
                <w:sz w:val="24"/>
                <w:szCs w:val="24"/>
                <w:highlight w:val="none"/>
                <w:lang w:eastAsia="zh-CN"/>
              </w:rPr>
              <w:t xml:space="preserve">科学</w:t>
            </w:r>
            <w:r>
              <w:rPr>
                <w:rFonts w:hint="eastAsia" w:ascii="宋体" w:hAnsi="宋体" w:eastAsia="宋体" w:cs="宋体"/>
                <w:b w:val="0"/>
                <w:bCs w:val="0"/>
                <w:color w:val="auto"/>
                <w:sz w:val="24"/>
                <w:szCs w:val="24"/>
                <w:highlight w:val="none"/>
              </w:rPr>
              <w:t xml:space="preserve">性强的得</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措施</w:t>
            </w:r>
            <w:r>
              <w:rPr>
                <w:rFonts w:hint="eastAsia" w:ascii="宋体" w:hAnsi="宋体" w:eastAsia="宋体" w:cs="宋体"/>
                <w:b w:val="0"/>
                <w:bCs w:val="0"/>
                <w:color w:val="auto"/>
                <w:sz w:val="24"/>
                <w:szCs w:val="24"/>
                <w:highlight w:val="none"/>
              </w:rPr>
              <w:t xml:space="preserve">较详实全面</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较合理、</w:t>
            </w:r>
            <w:r>
              <w:rPr>
                <w:rFonts w:hint="eastAsia" w:ascii="宋体" w:hAnsi="宋体" w:eastAsia="宋体" w:cs="宋体"/>
                <w:b w:val="0"/>
                <w:bCs w:val="0"/>
                <w:color w:val="auto"/>
                <w:sz w:val="24"/>
                <w:szCs w:val="24"/>
                <w:highlight w:val="none"/>
                <w:lang w:val="en-US" w:eastAsia="zh-CN"/>
              </w:rPr>
              <w:t xml:space="preserve">较</w:t>
            </w:r>
            <w:r>
              <w:rPr>
                <w:rFonts w:hint="eastAsia" w:ascii="宋体" w:hAnsi="宋体" w:eastAsia="宋体" w:cs="宋体"/>
                <w:b w:val="0"/>
                <w:bCs w:val="0"/>
                <w:color w:val="auto"/>
                <w:sz w:val="24"/>
                <w:szCs w:val="24"/>
                <w:highlight w:val="none"/>
              </w:rPr>
              <w:t xml:space="preserve">有针对、</w:t>
            </w:r>
            <w:r>
              <w:rPr>
                <w:rFonts w:hint="eastAsia" w:ascii="宋体" w:hAnsi="宋体" w:eastAsia="宋体" w:cs="宋体"/>
                <w:b w:val="0"/>
                <w:bCs w:val="0"/>
                <w:color w:val="auto"/>
                <w:sz w:val="24"/>
                <w:szCs w:val="24"/>
                <w:highlight w:val="none"/>
                <w:lang w:eastAsia="zh-CN"/>
              </w:rPr>
              <w:t xml:space="preserve">科学</w:t>
            </w:r>
            <w:r>
              <w:rPr>
                <w:rFonts w:hint="eastAsia" w:ascii="宋体" w:hAnsi="宋体" w:eastAsia="宋体" w:cs="宋体"/>
                <w:b w:val="0"/>
                <w:bCs w:val="0"/>
                <w:color w:val="auto"/>
                <w:sz w:val="24"/>
                <w:szCs w:val="24"/>
                <w:highlight w:val="none"/>
              </w:rPr>
              <w:t xml:space="preserve">性</w:t>
            </w:r>
            <w:r>
              <w:rPr>
                <w:rFonts w:hint="eastAsia" w:ascii="宋体" w:hAnsi="宋体" w:eastAsia="宋体" w:cs="宋体"/>
                <w:b w:val="0"/>
                <w:bCs w:val="0"/>
                <w:color w:val="auto"/>
                <w:sz w:val="24"/>
                <w:szCs w:val="24"/>
                <w:highlight w:val="none"/>
                <w:lang w:val="en-US" w:eastAsia="zh-CN"/>
              </w:rPr>
              <w:t xml:space="preserve">较</w:t>
            </w:r>
            <w:r>
              <w:rPr>
                <w:rFonts w:hint="eastAsia" w:ascii="宋体" w:hAnsi="宋体" w:eastAsia="宋体" w:cs="宋体"/>
                <w:b w:val="0"/>
                <w:bCs w:val="0"/>
                <w:color w:val="auto"/>
                <w:sz w:val="24"/>
                <w:szCs w:val="24"/>
                <w:highlight w:val="none"/>
              </w:rPr>
              <w:t xml:space="preserve">强的得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措施</w:t>
            </w:r>
            <w:r>
              <w:rPr>
                <w:rFonts w:hint="eastAsia" w:ascii="宋体" w:hAnsi="宋体" w:eastAsia="宋体" w:cs="宋体"/>
                <w:b w:val="0"/>
                <w:bCs w:val="0"/>
                <w:color w:val="auto"/>
                <w:sz w:val="24"/>
                <w:szCs w:val="24"/>
                <w:highlight w:val="none"/>
              </w:rPr>
              <w:t xml:space="preserve">全面</w:t>
            </w:r>
            <w:r>
              <w:rPr>
                <w:rFonts w:hint="eastAsia" w:ascii="宋体" w:hAnsi="宋体" w:eastAsia="宋体" w:cs="宋体"/>
                <w:b w:val="0"/>
                <w:bCs w:val="0"/>
                <w:color w:val="auto"/>
                <w:sz w:val="24"/>
                <w:szCs w:val="24"/>
                <w:highlight w:val="none"/>
                <w:lang w:val="en-US" w:eastAsia="zh-CN"/>
              </w:rPr>
              <w:t xml:space="preserve">性一般</w:t>
            </w:r>
            <w:r>
              <w:rPr>
                <w:rFonts w:hint="eastAsia" w:ascii="宋体" w:hAnsi="宋体" w:eastAsia="宋体" w:cs="宋体"/>
                <w:b w:val="0"/>
                <w:bCs w:val="0"/>
                <w:color w:val="auto"/>
                <w:sz w:val="24"/>
                <w:szCs w:val="24"/>
                <w:highlight w:val="none"/>
              </w:rPr>
              <w:t xml:space="preserve">、合理</w:t>
            </w:r>
            <w:r>
              <w:rPr>
                <w:rFonts w:hint="eastAsia" w:ascii="宋体" w:hAnsi="宋体" w:eastAsia="宋体" w:cs="宋体"/>
                <w:b w:val="0"/>
                <w:bCs w:val="0"/>
                <w:color w:val="auto"/>
                <w:sz w:val="24"/>
                <w:szCs w:val="24"/>
                <w:highlight w:val="none"/>
                <w:lang w:val="en-US" w:eastAsia="zh-CN"/>
              </w:rPr>
              <w:t xml:space="preserve">性一般</w:t>
            </w:r>
            <w:r>
              <w:rPr>
                <w:rFonts w:hint="eastAsia" w:ascii="宋体" w:hAnsi="宋体" w:eastAsia="宋体" w:cs="宋体"/>
                <w:b w:val="0"/>
                <w:bCs w:val="0"/>
                <w:color w:val="auto"/>
                <w:sz w:val="24"/>
                <w:szCs w:val="24"/>
                <w:highlight w:val="none"/>
              </w:rPr>
              <w:t xml:space="preserve">、针对</w:t>
            </w:r>
            <w:r>
              <w:rPr>
                <w:rFonts w:hint="eastAsia" w:ascii="宋体" w:hAnsi="宋体" w:eastAsia="宋体" w:cs="宋体"/>
                <w:b w:val="0"/>
                <w:bCs w:val="0"/>
                <w:color w:val="auto"/>
                <w:sz w:val="24"/>
                <w:szCs w:val="24"/>
                <w:highlight w:val="none"/>
                <w:lang w:val="en-US" w:eastAsia="zh-CN"/>
              </w:rPr>
              <w:t xml:space="preserve">性一般</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科学</w:t>
            </w:r>
            <w:r>
              <w:rPr>
                <w:rFonts w:hint="eastAsia" w:ascii="宋体" w:hAnsi="宋体" w:eastAsia="宋体" w:cs="宋体"/>
                <w:b w:val="0"/>
                <w:bCs w:val="0"/>
                <w:color w:val="auto"/>
                <w:sz w:val="24"/>
                <w:szCs w:val="24"/>
                <w:highlight w:val="none"/>
              </w:rPr>
              <w:t xml:space="preserve">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rPr>
              <w:t xml:space="preserve">的得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color w:val="auto"/>
                <w:sz w:val="24"/>
                <w:szCs w:val="24"/>
                <w:highlight w:val="none"/>
                <w:lang w:val="en-US" w:eastAsia="zh-CN" w:bidi="ar"/>
              </w:rPr>
              <w:t xml:space="preserve">不提供则不得分</w:t>
            </w:r>
            <w:r>
              <w:rPr>
                <w:rFonts w:hint="eastAsia" w:ascii="宋体" w:hAnsi="宋体" w:eastAsia="宋体" w:cs="宋体"/>
                <w:b w:val="0"/>
                <w:bCs w:val="0"/>
                <w:color w:val="auto"/>
                <w:sz w:val="24"/>
                <w:szCs w:val="24"/>
                <w:highlight w:val="none"/>
              </w:rPr>
              <w:t xml:space="preserve">。</w:t>
            </w:r>
            <w:r/>
          </w:p>
        </w:tc>
      </w:tr>
      <w:tr>
        <w:trPr>
          <w:jc w:val="center"/>
          <w:trHeight w:val="661"/>
        </w:trPr>
        <w:tc>
          <w:tcPr>
            <w:tcW w:w="126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5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050" w:type="dxa"/>
            <w:vAlign w:val="center"/>
            <w:vMerge w:val="continue"/>
            <w:textDirection w:val="lrTb"/>
            <w:noWrap w:val="false"/>
          </w:tcPr>
          <w:p>
            <w:pPr>
              <w:jc w:val="center"/>
              <w:rPr>
                <w:rFonts w:hint="default" w:ascii="宋体" w:hAnsi="宋体"/>
                <w:b w:val="0"/>
                <w:bCs w:val="0"/>
                <w:color w:val="auto"/>
                <w:sz w:val="24"/>
                <w:szCs w:val="24"/>
                <w:highlight w:val="none"/>
                <w:lang w:val="en-US" w:eastAsia="zh-CN"/>
              </w:rPr>
            </w:pPr>
            <w:r>
              <w:rPr>
                <w:rFonts w:hint="default" w:ascii="宋体" w:hAnsi="宋体"/>
                <w:b w:val="0"/>
                <w:bCs w:val="0"/>
                <w:color w:val="auto"/>
                <w:sz w:val="24"/>
                <w:szCs w:val="24"/>
                <w:highlight w:val="none"/>
                <w:lang w:val="en-US" w:eastAsia="zh-CN"/>
              </w:rPr>
            </w:r>
            <w:r/>
          </w:p>
        </w:tc>
        <w:tc>
          <w:tcPr>
            <w:tcW w:w="783" w:type="dxa"/>
            <w:vAlign w:val="center"/>
            <w:textDirection w:val="lrTb"/>
            <w:noWrap w:val="false"/>
          </w:tcPr>
          <w:p>
            <w:pPr>
              <w:jc w:val="center"/>
              <w:rPr>
                <w:rFonts w:hint="default"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6分</w:t>
            </w:r>
            <w:r/>
          </w:p>
        </w:tc>
        <w:tc>
          <w:tcPr>
            <w:tcW w:w="6890" w:type="dxa"/>
            <w:vAlign w:val="center"/>
            <w:textDirection w:val="lrTb"/>
            <w:noWrap w:val="false"/>
          </w:tcPr>
          <w:p>
            <w:pPr>
              <w:pStyle w:val="743"/>
              <w:ind w:firstLine="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③技术培训方案：</w:t>
            </w:r>
            <w:r/>
          </w:p>
          <w:p>
            <w:pPr>
              <w:pStyle w:val="74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针对本项目提出完整的技术培训服务方案与承诺细致程度，包括(培训计划安排）完善、详尽可行（性强）的得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比较完善、详尽可行的得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基本详尽可行的得1分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不提供则不得分</w:t>
            </w:r>
            <w:r>
              <w:rPr>
                <w:rFonts w:hint="eastAsia" w:ascii="宋体" w:hAnsi="宋体" w:eastAsia="宋体" w:cs="宋体"/>
                <w:color w:val="auto"/>
                <w:sz w:val="24"/>
                <w:szCs w:val="24"/>
                <w:highlight w:val="none"/>
              </w:rPr>
              <w:t xml:space="preserve">。</w:t>
            </w:r>
            <w:r/>
          </w:p>
        </w:tc>
      </w:tr>
      <w:tr>
        <w:trPr>
          <w:jc w:val="center"/>
          <w:trHeight w:val="661"/>
        </w:trPr>
        <w:tc>
          <w:tcPr>
            <w:tcW w:w="126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5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050" w:type="dxa"/>
            <w:vAlign w:val="center"/>
            <w:vMerge w:val="continue"/>
            <w:textDirection w:val="lrTb"/>
            <w:noWrap w:val="false"/>
          </w:tcPr>
          <w:p>
            <w:pPr>
              <w:jc w:val="center"/>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78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olor w:val="auto"/>
                <w:sz w:val="24"/>
                <w:szCs w:val="24"/>
                <w:highlight w:val="none"/>
                <w:lang w:val="en-US" w:eastAsia="zh-CN"/>
              </w:rPr>
              <w:t xml:space="preserve">分</w:t>
            </w:r>
            <w:r/>
          </w:p>
        </w:tc>
        <w:tc>
          <w:tcPr>
            <w:tcW w:w="6890" w:type="dxa"/>
            <w:vAlign w:val="center"/>
            <w:textDirection w:val="lrTb"/>
            <w:noWrap w:val="false"/>
          </w:tcPr>
          <w:p>
            <w:pPr>
              <w:pStyle w:val="74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④售后服务方案：</w:t>
            </w:r>
            <w:r/>
          </w:p>
          <w:p>
            <w:pPr>
              <w:pStyle w:val="74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根据产品故障报修的响应时间、处理速度、定期巡检以及技术支持、软件升级等服务承诺综合评分</w:t>
            </w:r>
            <w:r>
              <w:rPr>
                <w:rFonts w:hint="eastAsia" w:ascii="宋体" w:hAnsi="宋体" w:eastAsia="宋体" w:cs="宋体"/>
                <w:color w:val="auto"/>
                <w:sz w:val="24"/>
                <w:szCs w:val="24"/>
                <w:highlight w:val="none"/>
                <w:lang w:val="en-US" w:eastAsia="zh-CN"/>
              </w:rPr>
              <w:t xml:space="preserve">：方案完善合理的得6分；方案合理性、可操作性较为欠缺的得3分；</w:t>
            </w:r>
            <w:r>
              <w:rPr>
                <w:rFonts w:hint="eastAsia" w:ascii="宋体" w:hAnsi="宋体" w:eastAsia="宋体" w:cs="宋体"/>
                <w:color w:val="auto"/>
                <w:sz w:val="24"/>
                <w:szCs w:val="24"/>
                <w:highlight w:val="none"/>
              </w:rPr>
              <w:t xml:space="preserve">其余得1分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提供不得分。</w:t>
            </w:r>
            <w:r/>
          </w:p>
        </w:tc>
      </w:tr>
      <w:tr>
        <w:trPr>
          <w:jc w:val="center"/>
          <w:trHeight w:val="680"/>
        </w:trPr>
        <w:tc>
          <w:tcPr>
            <w:tcW w:w="126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5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050" w:type="dxa"/>
            <w:vAlign w:val="center"/>
            <w:vMerge w:val="continue"/>
            <w:textDirection w:val="lrTb"/>
            <w:noWrap w:val="false"/>
          </w:tcPr>
          <w:p>
            <w:pPr>
              <w:jc w:val="center"/>
              <w:spacing w:line="3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783"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2分</w:t>
            </w:r>
            <w:r/>
          </w:p>
        </w:tc>
        <w:tc>
          <w:tcPr>
            <w:tcW w:w="6890" w:type="dxa"/>
            <w:vAlign w:val="center"/>
            <w:textDirection w:val="lrTb"/>
            <w:noWrap w:val="false"/>
          </w:tcPr>
          <w:p>
            <w:pPr>
              <w:jc w:val="left"/>
              <w:spacing w:line="320" w:lineRule="exact"/>
              <w:widowControl/>
              <w:rPr>
                <w:rFonts w:hint="eastAsia" w:ascii="宋体" w:hAnsi="宋体" w:eastAsia="宋体" w:cs="宋体"/>
                <w:color w:val="auto"/>
                <w:sz w:val="24"/>
                <w:szCs w:val="24"/>
                <w:highlight w:val="none"/>
                <w:lang w:eastAsia="zh-CN"/>
              </w:rPr>
            </w:pPr>
            <w:r/>
            <w:bookmarkStart w:id="162" w:name="OLE_LINK14"/>
            <w:r>
              <w:rPr>
                <w:rFonts w:hint="eastAsia" w:ascii="宋体" w:hAnsi="宋体" w:eastAsia="宋体" w:cs="宋体"/>
                <w:color w:val="auto"/>
                <w:sz w:val="24"/>
                <w:szCs w:val="24"/>
                <w:highlight w:val="none"/>
              </w:rPr>
              <w:t xml:space="preserve">⑤收费情况</w:t>
            </w:r>
            <w:r>
              <w:rPr>
                <w:rFonts w:hint="eastAsia" w:ascii="宋体" w:hAnsi="宋体" w:eastAsia="宋体" w:cs="宋体"/>
                <w:color w:val="auto"/>
                <w:sz w:val="24"/>
                <w:szCs w:val="24"/>
                <w:highlight w:val="none"/>
                <w:lang w:eastAsia="zh-CN"/>
              </w:rPr>
              <w:t xml:space="preserve">：</w:t>
            </w:r>
            <w:r/>
          </w:p>
          <w:p>
            <w:pPr>
              <w:jc w:val="left"/>
              <w:spacing w:line="3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根据保修期结束后维修价格、配件及耗材价格等服务收费以及提供的优惠情况综合评分，无相关内容不得分，有相关内容按照下列标准评分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服务收费最优惠的，得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分；服务收费次优惠的，得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提供不得分。</w:t>
            </w:r>
            <w:bookmarkEnd w:id="162"/>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2、商务部分</w:t>
      </w:r>
      <w:r/>
    </w:p>
    <w:tbl>
      <w:tblPr>
        <w:tblStyle w:val="707"/>
        <w:tblW w:w="106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656"/>
        <w:gridCol w:w="1050"/>
        <w:gridCol w:w="783"/>
        <w:gridCol w:w="6890"/>
      </w:tblGrid>
      <w:tr>
        <w:trPr>
          <w:jc w:val="center"/>
          <w:trHeight w:val="90"/>
        </w:trPr>
        <w:tc>
          <w:tcPr>
            <w:tcW w:w="1261" w:type="dxa"/>
            <w:vAlign w:val="center"/>
            <w:vMerge w:val="restar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商务部分</w:t>
            </w:r>
            <w:r/>
          </w:p>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4分</w:t>
            </w:r>
            <w:r>
              <w:rPr>
                <w:rFonts w:hint="eastAsia" w:ascii="宋体" w:hAnsi="宋体" w:cs="宋体"/>
                <w:color w:val="auto"/>
                <w:sz w:val="24"/>
                <w:szCs w:val="24"/>
                <w:highlight w:val="none"/>
                <w:lang w:eastAsia="zh-CN"/>
              </w:rPr>
              <w:t xml:space="preserve">）</w:t>
            </w:r>
            <w:r/>
          </w:p>
        </w:tc>
        <w:tc>
          <w:tcPr>
            <w:tcW w:w="65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p>
        </w:tc>
        <w:tc>
          <w:tcPr>
            <w:tcW w:w="1050" w:type="dxa"/>
            <w:vAlign w:val="center"/>
            <w:textDirection w:val="lrTb"/>
            <w:noWrap w:val="false"/>
          </w:tcPr>
          <w:p>
            <w:pPr>
              <w:jc w:val="center"/>
              <w:spacing w:line="320" w:lineRule="exact"/>
              <w:widowControl/>
              <w:rPr>
                <w:rFonts w:hint="eastAsia" w:ascii="宋体" w:hAnsi="宋体" w:cs="宋体"/>
                <w:color w:val="auto"/>
                <w:sz w:val="24"/>
                <w:szCs w:val="24"/>
                <w:highlight w:val="none"/>
              </w:rPr>
            </w:pPr>
            <w:r>
              <w:rPr>
                <w:rFonts w:hint="eastAsia" w:ascii="宋体" w:hAnsi="宋体" w:eastAsia="宋体" w:cs="宋体"/>
                <w:color w:val="auto"/>
                <w:sz w:val="24"/>
                <w:highlight w:val="none"/>
              </w:rPr>
              <w:t xml:space="preserve">业绩及用户评价</w:t>
            </w:r>
            <w:r/>
          </w:p>
        </w:tc>
        <w:tc>
          <w:tcPr>
            <w:tcW w:w="783"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highlight w:val="none"/>
                <w:lang w:val="en-US" w:eastAsia="zh-CN" w:bidi="ar"/>
              </w:rPr>
              <w:t xml:space="preserve">2</w:t>
            </w:r>
            <w:r>
              <w:rPr>
                <w:rFonts w:hint="eastAsia" w:ascii="宋体" w:hAnsi="宋体" w:eastAsia="宋体" w:cs="宋体"/>
                <w:color w:val="auto"/>
                <w:sz w:val="24"/>
                <w:highlight w:val="none"/>
                <w:lang w:val="en-US" w:eastAsia="zh-CN" w:bidi="ar"/>
              </w:rPr>
              <w:t xml:space="preserve">分</w:t>
            </w:r>
            <w:r/>
          </w:p>
        </w:tc>
        <w:tc>
          <w:tcPr>
            <w:tcW w:w="689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根据2022年以来生产厂家销售同类设备的情况进行打分，每份销售合同得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分，最多得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分；提供业绩相对应的用户评价为好的报告，每提供一份得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分，最多得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分，不提供不得分。</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 xml:space="preserve">注：提供</w:t>
            </w:r>
            <w:r>
              <w:rPr>
                <w:rFonts w:hint="eastAsia" w:ascii="宋体" w:hAnsi="宋体" w:eastAsia="宋体" w:cs="宋体"/>
                <w:color w:val="auto"/>
                <w:sz w:val="24"/>
                <w:highlight w:val="none"/>
              </w:rPr>
              <w:t xml:space="preserve">评价报告</w:t>
            </w:r>
            <w:r>
              <w:rPr>
                <w:rFonts w:hint="eastAsia" w:ascii="宋体" w:hAnsi="宋体" w:eastAsia="宋体" w:cs="宋体"/>
                <w:color w:val="auto"/>
                <w:sz w:val="24"/>
                <w:highlight w:val="none"/>
                <w:lang w:val="en-US" w:eastAsia="zh-CN"/>
              </w:rPr>
              <w:t xml:space="preserve">原件扫描件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否则</w:t>
            </w:r>
            <w:r>
              <w:rPr>
                <w:rFonts w:hint="eastAsia" w:ascii="宋体" w:hAnsi="宋体" w:eastAsia="宋体" w:cs="宋体"/>
                <w:color w:val="auto"/>
                <w:sz w:val="24"/>
                <w:highlight w:val="none"/>
              </w:rPr>
              <w:t xml:space="preserve">不得分</w:t>
            </w:r>
            <w:r>
              <w:rPr>
                <w:rFonts w:hint="eastAsia" w:ascii="宋体" w:hAnsi="宋体" w:cs="宋体"/>
                <w:color w:val="auto"/>
                <w:sz w:val="24"/>
                <w:highlight w:val="none"/>
                <w:lang w:eastAsia="zh-CN"/>
              </w:rPr>
              <w:t xml:space="preserve">。</w:t>
            </w:r>
            <w:r/>
          </w:p>
        </w:tc>
      </w:tr>
      <w:tr>
        <w:trPr>
          <w:jc w:val="center"/>
          <w:trHeight w:val="898"/>
        </w:trPr>
        <w:tc>
          <w:tcPr>
            <w:tcW w:w="126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5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p>
        </w:tc>
        <w:tc>
          <w:tcPr>
            <w:tcW w:w="105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质保期</w:t>
            </w:r>
            <w:r/>
          </w:p>
        </w:tc>
        <w:tc>
          <w:tcPr>
            <w:tcW w:w="78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2分</w:t>
            </w:r>
            <w:r/>
          </w:p>
        </w:tc>
        <w:tc>
          <w:tcPr>
            <w:tcW w:w="6890" w:type="dxa"/>
            <w:vAlign w:val="center"/>
            <w:textDirection w:val="lrTb"/>
            <w:noWrap w:val="false"/>
          </w:tcPr>
          <w:p>
            <w:pPr>
              <w:jc w:val="left"/>
              <w:keepLines w:val="0"/>
              <w:keepNext w:val="0"/>
              <w:widowControl/>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满足招标文件</w:t>
            </w:r>
            <w:r>
              <w:rPr>
                <w:rFonts w:hint="eastAsia" w:ascii="宋体" w:hAnsi="宋体" w:cs="宋体"/>
                <w:color w:val="auto"/>
                <w:sz w:val="24"/>
                <w:highlight w:val="none"/>
                <w:lang w:val="en-US" w:eastAsia="zh-CN"/>
              </w:rPr>
              <w:t xml:space="preserve">对</w:t>
            </w:r>
            <w:r>
              <w:rPr>
                <w:rFonts w:hint="eastAsia" w:ascii="宋体" w:hAnsi="宋体" w:cs="宋体"/>
                <w:color w:val="auto"/>
                <w:sz w:val="24"/>
                <w:highlight w:val="none"/>
              </w:rPr>
              <w:t xml:space="preserve">质保</w:t>
            </w:r>
            <w:r>
              <w:rPr>
                <w:rFonts w:hint="eastAsia" w:ascii="宋体" w:hAnsi="宋体" w:cs="宋体"/>
                <w:color w:val="auto"/>
                <w:sz w:val="24"/>
                <w:highlight w:val="none"/>
                <w:lang w:val="en-US" w:eastAsia="zh-CN"/>
              </w:rPr>
              <w:t xml:space="preserve">期的基本要求</w:t>
            </w:r>
            <w:r>
              <w:rPr>
                <w:rFonts w:hint="eastAsia" w:ascii="宋体" w:hAnsi="宋体" w:cs="宋体"/>
                <w:color w:val="auto"/>
                <w:sz w:val="24"/>
                <w:highlight w:val="none"/>
              </w:rPr>
              <w:t xml:space="preserve">的基础上，每增加1年制造厂商年质保的加1分，最高加2分。</w:t>
            </w:r>
            <w:r/>
          </w:p>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cs="宋体"/>
                <w:color w:val="auto"/>
                <w:sz w:val="24"/>
                <w:highlight w:val="none"/>
                <w:lang w:val="en-US" w:eastAsia="zh-CN"/>
              </w:rPr>
              <w:t xml:space="preserve">注：</w:t>
            </w:r>
            <w:r>
              <w:rPr>
                <w:rFonts w:hint="eastAsia" w:ascii="宋体" w:hAnsi="宋体" w:cs="宋体"/>
                <w:color w:val="auto"/>
                <w:sz w:val="24"/>
                <w:highlight w:val="none"/>
              </w:rPr>
              <w:t xml:space="preserve">需提供制造厂商出具的质保承诺书</w:t>
            </w:r>
            <w:r>
              <w:rPr>
                <w:rFonts w:hint="eastAsia" w:ascii="宋体" w:hAnsi="宋体" w:cs="宋体"/>
                <w:color w:val="auto"/>
                <w:sz w:val="24"/>
                <w:highlight w:val="none"/>
                <w:lang w:val="en-US" w:eastAsia="zh-CN"/>
              </w:rPr>
              <w:t xml:space="preserve">原件扫描件，否则不得分</w:t>
            </w:r>
            <w:r>
              <w:rPr>
                <w:rFonts w:hint="eastAsia" w:ascii="宋体" w:hAnsi="宋体" w:cs="宋体"/>
                <w:color w:val="auto"/>
                <w:sz w:val="24"/>
                <w:highlight w:val="none"/>
              </w:rPr>
              <w:t xml:space="preserve">。</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、价格部分</w:t>
      </w:r>
      <w:r/>
    </w:p>
    <w:tbl>
      <w:tblPr>
        <w:tblStyle w:val="707"/>
        <w:tblW w:w="106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1712"/>
        <w:gridCol w:w="1101"/>
        <w:gridCol w:w="6853"/>
      </w:tblGrid>
      <w:tr>
        <w:trPr>
          <w:cantSplit/>
          <w:jc w:val="center"/>
          <w:trHeight w:val="312"/>
        </w:trPr>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71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110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230"/>
        </w:trPr>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71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right w:val="single" w:color="auto" w:sz="4" w:space="0"/>
            </w:tcBorders>
            <w:tcW w:w="1101"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3</w:t>
            </w:r>
            <w:bookmarkStart w:id="163" w:name="OLE_LINK41"/>
            <w:r>
              <w:rPr>
                <w:rFonts w:hint="eastAsia" w:ascii="宋体" w:hAnsi="宋体"/>
                <w:color w:val="auto"/>
                <w:sz w:val="24"/>
                <w:szCs w:val="24"/>
                <w:highlight w:val="none"/>
                <w:lang w:val="en-US" w:eastAsia="zh-CN"/>
              </w:rPr>
              <w:t xml:space="preserve">5分</w:t>
            </w:r>
            <w:bookmarkEnd w:id="163"/>
            <w:r/>
            <w:r/>
          </w:p>
        </w:tc>
        <w:tc>
          <w:tcPr>
            <w:tcBorders>
              <w:top w:val="single" w:color="auto" w:sz="4" w:space="0"/>
              <w:left w:val="single" w:color="auto" w:sz="4" w:space="0"/>
              <w:bottom w:val="single" w:color="auto" w:sz="4" w:space="0"/>
              <w:right w:val="single" w:color="auto" w:sz="4" w:space="0"/>
            </w:tcBorders>
            <w:tcW w:w="6853" w:type="dxa"/>
            <w:vAlign w:val="center"/>
            <w:textDirection w:val="lrTb"/>
            <w:noWrap w:val="false"/>
          </w:tcPr>
          <w:p>
            <w:pPr>
              <w:jc w:val="left"/>
              <w:rPr>
                <w:rFonts w:ascii="宋体" w:hAnsi="宋体"/>
                <w:color w:val="auto"/>
                <w:sz w:val="24"/>
                <w:szCs w:val="24"/>
                <w:highlight w:val="none"/>
              </w:rPr>
            </w:pPr>
            <w:r/>
            <w:bookmarkStart w:id="164" w:name="OLE_LINK7"/>
            <w:r>
              <w:rPr>
                <w:rFonts w:hint="eastAsia" w:ascii="宋体" w:hAnsi="宋体" w:eastAsia="宋体" w:cs="宋体"/>
                <w:color w:val="auto"/>
                <w:sz w:val="24"/>
                <w:szCs w:val="24"/>
                <w:highlight w:val="none"/>
              </w:rPr>
              <w:t xml:space="preserve">采用低价优先法计算，即满足</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文件要求且投标价格最低的报价为评标基准价，其价格分为满分。其他报价人的价格分统一按照下列公式计算：投标报价得分=（评标基准价/投标报价）×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分。（以四舍五入法，保留两位小数）</w:t>
            </w:r>
            <w:bookmarkEnd w:id="164"/>
            <w:r/>
            <w:r/>
          </w:p>
        </w:tc>
      </w:tr>
    </w:tbl>
    <w:p>
      <w:pPr>
        <w:ind w:firstLine="241"/>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b/>
          <w:bCs/>
          <w:color w:val="auto"/>
          <w:sz w:val="24"/>
          <w:szCs w:val="24"/>
          <w:highlight w:val="none"/>
        </w:rPr>
        <w:t xml:space="preserve">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3、</w:t>
      </w:r>
      <w:r>
        <w:rPr>
          <w:rFonts w:hint="eastAsia" w:ascii="宋体" w:hAnsi="宋体"/>
          <w:b w:val="0"/>
          <w:bCs w:val="0"/>
          <w:color w:val="auto"/>
          <w:sz w:val="24"/>
          <w:szCs w:val="24"/>
          <w:highlight w:val="none"/>
        </w:rPr>
        <w:t xml:space="preserve">采</w:t>
      </w:r>
      <w:r>
        <w:rPr>
          <w:rFonts w:hint="eastAsia" w:ascii="宋体" w:hAnsi="宋体"/>
          <w:color w:val="auto"/>
          <w:sz w:val="24"/>
          <w:szCs w:val="24"/>
          <w:highlight w:val="none"/>
        </w:rPr>
        <w:t xml:space="preserve">购评审中出现下列情形之一的，评审委员会将启动异常低价投标审查程序：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③投标（响应）报价低于采购项目最高限价45%的，即投标（响应）报价&lt;采购项目最高限价×45%；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④评审委员会基于专业判断，认为供应商报价过低，有可能影响产品质量或者不能诚信履约的其他情形。</w:t>
      </w:r>
      <w:r/>
    </w:p>
    <w:p>
      <w:pPr>
        <w:ind w:firstLine="480"/>
        <w:jc w:val="both"/>
        <w:spacing w:line="360" w:lineRule="auto"/>
        <w:rPr>
          <w:rFonts w:hint="eastAsia" w:ascii="宋体" w:hAnsi="宋体"/>
          <w:color w:val="auto"/>
          <w:sz w:val="24"/>
          <w:szCs w:val="24"/>
          <w:highlight w:val="none"/>
        </w:rPr>
      </w:pPr>
      <w:r>
        <w:rPr>
          <w:rFonts w:hint="eastAsia" w:ascii="宋体" w:hAnsi="宋体" w:cs="宋体"/>
          <w:bCs/>
          <w:color w:val="auto"/>
          <w:sz w:val="24"/>
          <w:szCs w:val="24"/>
          <w:highlight w:val="none"/>
          <w:lang w:val="en-US" w:eastAsia="zh-CN"/>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auto"/>
          <w:sz w:val="24"/>
          <w:szCs w:val="24"/>
          <w:highlight w:val="none"/>
        </w:rPr>
        <w:br w:type="page" w:clear="all"/>
      </w:r>
      <w:bookmarkStart w:id="165" w:name="_Toc29764"/>
      <w:r/>
      <w:bookmarkStart w:id="166" w:name="_Toc73607020"/>
      <w:r/>
      <w:bookmarkStart w:id="167" w:name="_Toc7152"/>
      <w:r/>
      <w:bookmarkStart w:id="168" w:name="_Toc9363"/>
      <w:r/>
      <w:bookmarkEnd w:id="152"/>
      <w:r/>
      <w:bookmarkEnd w:id="153"/>
      <w:r/>
      <w:bookmarkEnd w:id="154"/>
      <w:r/>
      <w:bookmarkEnd w:id="155"/>
      <w:r/>
      <w:bookmarkEnd w:id="165"/>
      <w:r/>
      <w:bookmarkEnd w:id="166"/>
      <w:r/>
      <w:bookmarkEnd w:id="167"/>
      <w:r/>
      <w:bookmarkEnd w:id="168"/>
      <w:r/>
      <w:r/>
    </w:p>
    <w:p>
      <w:pPr>
        <w:jc w:val="center"/>
        <w:rPr>
          <w:rFonts w:hint="eastAsia" w:ascii="宋体" w:hAnsi="宋体" w:eastAsia="宋体" w:cs="宋体"/>
          <w:color w:val="auto"/>
          <w:sz w:val="24"/>
          <w:szCs w:val="24"/>
          <w:highlight w:val="none"/>
        </w:rPr>
        <w:outlineLvl w:val="0"/>
      </w:pPr>
      <w:r>
        <w:rPr>
          <w:rFonts w:hint="eastAsia" w:ascii="黑体" w:hAnsi="黑体" w:eastAsia="黑体"/>
          <w:color w:val="auto"/>
          <w:sz w:val="28"/>
          <w:szCs w:val="22"/>
          <w:highlight w:val="none"/>
        </w:rPr>
        <w:t xml:space="preserve">第五章  采购合同（格式）</w:t>
      </w:r>
      <w:r/>
    </w:p>
    <w:p>
      <w:pPr>
        <w:pStyle w:val="896"/>
        <w:ind w:firstLine="0"/>
        <w:jc w:val="righ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（宜兴市教育局）（</w:t>
      </w:r>
      <w:r>
        <w:rPr>
          <w:rFonts w:hint="eastAsia" w:ascii="宋体" w:hAnsi="宋体" w:eastAsia="宋体" w:cs="宋体"/>
          <w:b/>
          <w:color w:val="auto"/>
          <w:sz w:val="24"/>
          <w:szCs w:val="24"/>
          <w:highlight w:val="none"/>
          <w:u w:val="single"/>
          <w:lang w:eastAsia="zh-CN"/>
        </w:rPr>
        <w:t xml:space="preserve">江南大学宜兴校区超高效液相在线固相萃取串联四极杆质谱分析系统采购</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rPr>
        <w:t xml:space="preserve">采购合同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甲方（采购人）：宜兴市教育局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根据项目采购的内容，仪器设备使用方为江南大学宜兴校区</w:t>
      </w:r>
      <w:r>
        <w:rPr>
          <w:rFonts w:hint="eastAsia" w:ascii="宋体" w:hAnsi="宋体" w:eastAsia="宋体" w:cs="宋体"/>
          <w:color w:val="auto"/>
          <w:sz w:val="24"/>
          <w:szCs w:val="24"/>
          <w:highlight w:val="none"/>
          <w:u w:val="single"/>
        </w:rPr>
        <w:t xml:space="preserve"> （学院）     </w:t>
      </w:r>
      <w:r>
        <w:rPr>
          <w:rFonts w:hint="eastAsia" w:ascii="宋体" w:hAnsi="宋体" w:eastAsia="宋体" w:cs="宋体"/>
          <w:color w:val="auto"/>
          <w:sz w:val="24"/>
          <w:szCs w:val="24"/>
          <w:highlight w:val="none"/>
        </w:rPr>
        <w:t xml:space="preserve">，本合同条款如下：</w:t>
      </w:r>
      <w:r/>
    </w:p>
    <w:p>
      <w:pPr>
        <w:numPr>
          <w:ilvl w:val="0"/>
          <w:numId w:val="12"/>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仪器设备名称、品牌、规格型号、数量、单价及成交价格  </w:t>
      </w:r>
      <w:r/>
    </w:p>
    <w:tbl>
      <w:tblPr>
        <w:tblStyle w:val="707"/>
        <w:tblW w:w="91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9"/>
        <w:gridCol w:w="1184"/>
        <w:gridCol w:w="1552"/>
        <w:gridCol w:w="729"/>
        <w:gridCol w:w="710"/>
        <w:gridCol w:w="1512"/>
        <w:gridCol w:w="1347"/>
      </w:tblGrid>
      <w:tr>
        <w:trPr>
          <w:jc w:val="center"/>
          <w:trHeight w:val="607"/>
        </w:trPr>
        <w:tc>
          <w:tcPr>
            <w:tcW w:w="2089"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仪器设备名称</w:t>
            </w:r>
            <w:r/>
          </w:p>
        </w:tc>
        <w:tc>
          <w:tcPr>
            <w:tcW w:w="1184"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552"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729"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710"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512"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W w:w="1347"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jc w:val="center"/>
          <w:trHeight w:val="567"/>
        </w:trPr>
        <w:tc>
          <w:tcPr>
            <w:tcW w:w="2089"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4"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10"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2"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089"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4"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10"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2"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gridSpan w:val="7"/>
            <w:tcW w:w="9123" w:type="dxa"/>
            <w:vAlign w:val="center"/>
            <w:textDirection w:val="lrTb"/>
            <w:noWrap w:val="false"/>
          </w:tcPr>
          <w:p>
            <w:pPr>
              <w:ind w:lef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       </w:t>
            </w:r>
            <w:r/>
          </w:p>
        </w:tc>
      </w:tr>
    </w:tbl>
    <w:p>
      <w:pPr>
        <w:numPr>
          <w:ilvl w:val="0"/>
          <w:numId w:val="12"/>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设备详细配置清单见附件。</w:t>
      </w:r>
      <w:r/>
    </w:p>
    <w:p>
      <w:pPr>
        <w:numPr>
          <w:ilvl w:val="0"/>
          <w:numId w:val="12"/>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付款方式：</w:t>
      </w:r>
      <w:r/>
    </w:p>
    <w:p>
      <w:pPr>
        <w:ind w:firstLine="484"/>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合同签订后，使用方向宜兴市公共建筑建设管理中心申请付总价的50%,收货并验收合格后，付总价的45%，一年后，付总价的5%。乙方每次收款前需开具增值税专用发票。</w:t>
      </w:r>
      <w:r>
        <w:rPr>
          <w:rFonts w:hint="eastAsia" w:ascii="宋体" w:hAnsi="宋体" w:eastAsia="宋体" w:cs="宋体"/>
          <w:color w:val="auto"/>
          <w:sz w:val="24"/>
          <w:szCs w:val="24"/>
          <w:highlight w:val="none"/>
        </w:rPr>
        <w:t xml:space="preserve">2.设备验收支付时，由使用方出具验收、使用合格通知单，说明设备验收、使用情况，由于设备自身原因导致使用方未能正常使用设备，甲方及使用方有权拒绝支付设备款项。</w:t>
      </w:r>
      <w:r/>
    </w:p>
    <w:p>
      <w:pPr>
        <w:ind w:firstLine="484"/>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.使用方发起付款通知后，由于宜兴市公共建筑建设管理中心财务付款审批流程造成的付款延迟甲方不需承担相应责任。</w:t>
      </w:r>
      <w:r/>
    </w:p>
    <w:p>
      <w:pPr>
        <w:ind w:firstLine="484"/>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.乙方应确保提供的收款账户有效，财务运行合法合规。</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乙方收款账户信息如下：</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 司 名 称：</w:t>
      </w:r>
      <w:r>
        <w:rPr>
          <w:rFonts w:hint="eastAsia" w:ascii="宋体" w:hAnsi="宋体" w:cs="宋体"/>
          <w:color w:val="auto"/>
          <w:sz w:val="24"/>
          <w:szCs w:val="24"/>
          <w:highlight w:val="none"/>
          <w:lang w:val="en-US" w:eastAsia="zh-CN"/>
        </w:rPr>
        <w:t xml:space="preserve">xx</w:t>
      </w:r>
      <w:r>
        <w:rPr>
          <w:rFonts w:hint="eastAsia" w:ascii="宋体" w:hAnsi="宋体" w:eastAsia="宋体" w:cs="宋体"/>
          <w:color w:val="auto"/>
          <w:sz w:val="24"/>
          <w:szCs w:val="24"/>
          <w:highlight w:val="none"/>
        </w:rPr>
        <w:t xml:space="preserve">公司</w:t>
      </w:r>
      <w:r/>
    </w:p>
    <w:p>
      <w:pPr>
        <w:ind w:firstLine="484"/>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纳税人识别号：</w:t>
      </w:r>
      <w:r>
        <w:rPr>
          <w:rFonts w:hint="eastAsia" w:ascii="宋体" w:hAnsi="宋体" w:cs="宋体"/>
          <w:color w:val="auto"/>
          <w:sz w:val="24"/>
          <w:szCs w:val="24"/>
          <w:highlight w:val="none"/>
          <w:lang w:val="en-US" w:eastAsia="zh-CN"/>
        </w:rPr>
        <w:t xml:space="preserve">xxx</w:t>
      </w:r>
      <w:r/>
    </w:p>
    <w:p>
      <w:pPr>
        <w:ind w:firstLine="48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xxx</w:t>
      </w:r>
      <w:r/>
    </w:p>
    <w:p>
      <w:pPr>
        <w:ind w:firstLine="48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xxx</w:t>
      </w:r>
      <w:r/>
    </w:p>
    <w:p>
      <w:pPr>
        <w:ind w:firstLine="48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开户行：</w:t>
      </w:r>
      <w:r>
        <w:rPr>
          <w:rFonts w:hint="eastAsia" w:ascii="宋体" w:hAnsi="宋体" w:cs="宋体"/>
          <w:color w:val="auto"/>
          <w:sz w:val="24"/>
          <w:szCs w:val="24"/>
          <w:highlight w:val="none"/>
          <w:lang w:val="en-US" w:eastAsia="zh-CN"/>
        </w:rPr>
        <w:t xml:space="preserve">xxx</w:t>
      </w:r>
      <w:r/>
    </w:p>
    <w:p>
      <w:pPr>
        <w:ind w:firstLine="48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账 号：</w:t>
      </w:r>
      <w:r>
        <w:rPr>
          <w:rFonts w:hint="eastAsia" w:ascii="宋体" w:hAnsi="宋体" w:cs="宋体"/>
          <w:color w:val="auto"/>
          <w:sz w:val="24"/>
          <w:szCs w:val="24"/>
          <w:highlight w:val="none"/>
          <w:lang w:val="en-US" w:eastAsia="zh-CN"/>
        </w:rPr>
        <w:t xml:space="preserve">xxx</w:t>
      </w:r>
      <w:r/>
    </w:p>
    <w:p>
      <w:pPr>
        <w:numPr>
          <w:ilvl w:val="0"/>
          <w:numId w:val="12"/>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乙方应在本合同签订之日起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天之内将合同货物交付使用方，并运抵使用方指定交货地点。设备运输费等所有费用由乙方承担，设备交付使用方之前的全部风险（包括但不限于运输过程中发生意外导致的生命财产损失等）均由乙方承担。</w:t>
      </w:r>
      <w:r/>
    </w:p>
    <w:p>
      <w:pPr>
        <w:numPr>
          <w:ilvl w:val="0"/>
          <w:numId w:val="12"/>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交货地点、合同履行地</w:t>
      </w:r>
      <w:r/>
    </w:p>
    <w:p>
      <w:pPr>
        <w:ind w:firstLine="36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交货地点为：江南大学宜兴校区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学院（部门）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室，收货人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numPr>
          <w:ilvl w:val="0"/>
          <w:numId w:val="12"/>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质保期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年（质保期）；保修期外乙方应对本设备终身负责维修。</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资质、质量要求及技术标准</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1.乙方交付的仪器设备与合同要求不相符时，使用方有权拒收货物、拒绝发起付款通知，由此引起的一切责任由乙方负责。</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2.由于乙方产品质量等问题造成甲方、使用方及关联损失由乙方负全责。</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3.乙方提供设备参数必须符合使用方所需设备参数要求，使用方验收过程中发现参数低配可予以退货处理，由此所产生的全部费用由乙方承担。  </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保证向使用方提供的设备满足国家标准或相关行业标准。根据国家规定，如需要提供3C认证证书和标记的设备及有关配置，必须提供上述证书和标记。乙方提供设备由于自身原因导致1年内发生重大不良事件（包括但不限于主要部件发生2次及以上报损、人身或财产损害等），乙方须对设备召回进行更换，并提出整改方案，经甲方、使用方确认同意后实施。</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5.乙方保证所供设备及配件必须是原厂全新，并严格保持原包装。否则使用方将退回货物，造成的一切损失由乙方负全部责任。</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6.乙方所供设备如验收不合格，根据使用方的要求，乙方必须无条件更换或无条件接受使用方退货，由此引起的一切损失由乙方承担。</w:t>
      </w:r>
      <w:r/>
    </w:p>
    <w:p>
      <w:pPr>
        <w:numPr>
          <w:ilvl w:val="0"/>
          <w:numId w:val="12"/>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设备到货、安装和验收要求</w:t>
      </w:r>
      <w:r/>
    </w:p>
    <w:p>
      <w:pPr>
        <w:ind w:firstLine="484"/>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1.乙方按照双方约定时间交付设备，除不可抗力因素外，如乙方未按约定时间交付，须承担甲方违约金。违约金按每迟延交付货物一日的应交付而未交付货物价格的</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计算，最高限额为本合同总价的5</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提前一周书面通知使用方设备的具体到货时间，以便使用方安排好接收工作。设备到货后，使用方及时通知乙方，乙方接到通知后3个工作日内到达现场，负责设备的免费安装和调试。设备安装时，乙方必须事先与使用方联系并共同参与，否则引起的一切责任由乙方承担。</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乙方提供货物质量和安装存在问题和缺陷导致任何人身、财产损害的，乙方应负责承担由此产生的责任，与甲方、使用方无关。如不可避免地造成甲方、使用方损失的，甲方、使用方有权向乙方追偿（该等损失包括但不限于损害赔偿金、甲方、使用方为解决纠纷支付的律师费、诉讼费、差旅费等合理费用）。</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4.如乙方提供的设备设有维修软件密码，乙方应保证无条件地为使用方永久免费打开，如果乙方封锁密码，承担每件设备每日1万元损失。</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5.设备安装、调试结束，并在使用方对设备试用后进行验收（时间由使用方、乙双方另行商定），乙方免费派工程师到达现场协助验收工作（应出具乙方委托书）。验收单应由使用方和乙方共同签字确认。</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6.保修期自使用方验收合格之日算起，保修期外的保修乙方只收配件费，免收人工费。</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7.如该设备需接入使用部门信息系统，涉及所有接口费用全部由乙方承担。</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8.乙方终身免费为使用方提供该设备软件升级和服务。</w:t>
      </w:r>
      <w:r/>
    </w:p>
    <w:p>
      <w:pPr>
        <w:ind w:firstLine="48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9.乙方保证为所供设备免费提供与使用方相关信息管理系统连接服务。</w:t>
      </w:r>
      <w:r/>
    </w:p>
    <w:p>
      <w:pPr>
        <w:numPr>
          <w:ilvl w:val="0"/>
          <w:numId w:val="12"/>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售后服务要求</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1.乙方应确保设备保修期内开机率为95%，如设备故障停机率超过5%（一年按365天计算，每年18天，一天内故障停机1次计作故障停机一天），每超过一天，赔偿甲方采购该设备总金额的0.6%。</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设备发生故障，乙方应在接到使用方报修电话后2小时内予以响应，24小时内到达，否则使用方可自行采取必要的措施，由此产生的风险和费用由乙方承担。如有特殊情况，乙方应立即电话通知使用方不能响应的原因，在获得使用方同意后，才可推迟响应时间。</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在保修期内还是保修期外，乙方必须上门维修。乙方工程师来使用方处维修设备，必须事先与使用方取得联系；在维修过程中应有使用方工程师的共同参与。否则由此引起的一切责任由乙方负责。维修应当做好台账记录，双方签名确认。</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4.乙方免费提供全套技术资料（维修说明书包括详细电路围、操作说明书及光盘），如技术资料不全，使用方有权申请不支付货款。</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5.乙方须无偿配合使用方因业务原因的设备搬迁，确保设备使用延续性。</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驻场要求的设备，安装测试结束2个工作日内，乙方必须安排主场工程师到使用方单位开展工作，并不得随意更换工程师，乙方确实因工作需要更换工程师的，必须提前10个工作日向使用方提出申请、得到使用方同意后做好工程师交接，确保使用方工作延续性。</w:t>
      </w:r>
      <w:r/>
    </w:p>
    <w:p>
      <w:pPr>
        <w:numPr>
          <w:ilvl w:val="0"/>
          <w:numId w:val="12"/>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技术培训</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在设备安装过程中或安装结束后，乙方工程师或有关人员有义务对使用方工程师和操作人员进行现场维修、保养、操作培训，解答使用方人员提出的问题，确保设备正常操作运行后方可撤场。</w:t>
      </w:r>
      <w:r/>
    </w:p>
    <w:p>
      <w:pPr>
        <w:numPr>
          <w:ilvl w:val="0"/>
          <w:numId w:val="12"/>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   </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乙方所供设备如不符合合同约定的，除承担甲方相应损失外，还应承担违约责任，违约责任的标准为：按供货总额的20％承担。</w:t>
      </w:r>
      <w:r/>
    </w:p>
    <w:p>
      <w:pPr>
        <w:numPr>
          <w:ilvl w:val="0"/>
          <w:numId w:val="12"/>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适用法律和争议解决</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1.本协议适用中华人民共和国法律。</w:t>
      </w:r>
      <w:r/>
    </w:p>
    <w:p>
      <w:pPr>
        <w:ind w:firstLine="48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2．任何与本协议相关的争议应首先由双方友好协商解决。如协商不成，</w:t>
      </w:r>
      <w:r>
        <w:rPr>
          <w:rFonts w:hint="eastAsia" w:ascii="宋体" w:hAnsi="宋体" w:eastAsia="宋体" w:cs="宋体"/>
          <w:color w:val="auto"/>
          <w:sz w:val="24"/>
          <w:szCs w:val="24"/>
          <w:highlight w:val="none"/>
          <w:lang w:val="en-US" w:eastAsia="zh-CN"/>
        </w:rPr>
        <w:t xml:space="preserve">均提交无锡仲裁委员会按其现行仲裁规则仲裁，裁决终局对双方有约束力。</w:t>
      </w:r>
      <w:r/>
    </w:p>
    <w:p>
      <w:pPr>
        <w:numPr>
          <w:ilvl w:val="0"/>
          <w:numId w:val="12"/>
        </w:numPr>
        <w:ind w:left="0" w:firstLine="567"/>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合同生效</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本合同经甲乙二方签字或盖章后生效。本合同一式五份，甲方执二份，乙方执二份，使用方一份。</w:t>
      </w:r>
      <w:r/>
    </w:p>
    <w:p>
      <w:pPr>
        <w:ind w:firstLine="484"/>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707"/>
        <w:tblW w:w="6487" w:type="dxa"/>
        <w:tblInd w:w="0" w:type="dxa"/>
        <w:tblLayout w:type="fixed"/>
        <w:tblCellMar>
          <w:left w:w="108" w:type="dxa"/>
          <w:top w:w="0" w:type="dxa"/>
          <w:right w:w="108" w:type="dxa"/>
          <w:bottom w:w="0" w:type="dxa"/>
        </w:tblCellMar>
        <w:tblLook w:val="04A0" w:firstRow="1" w:lastRow="0" w:firstColumn="1" w:lastColumn="0" w:noHBand="0" w:noVBand="1"/>
      </w:tblPr>
      <w:tblGrid>
        <w:gridCol w:w="4644"/>
        <w:gridCol w:w="1843"/>
      </w:tblGrid>
      <w:tr>
        <w:trPr>
          <w:trHeight w:val="567"/>
        </w:trPr>
        <w:tc>
          <w:tcPr>
            <w:tcW w:w="4644" w:type="dxa"/>
            <w:textDirection w:val="lrTb"/>
            <w:noWrap w:val="false"/>
          </w:tcPr>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w:t>
            </w:r>
            <w:r/>
          </w:p>
        </w:tc>
        <w:tc>
          <w:tcPr>
            <w:tcW w:w="1843" w:type="dxa"/>
            <w:textDirection w:val="lrTb"/>
            <w:noWrap w:val="false"/>
          </w:tcPr>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乙方代表： </w:t>
            </w:r>
            <w:r/>
          </w:p>
        </w:tc>
      </w:tr>
      <w:tr>
        <w:trPr>
          <w:trHeight w:val="567"/>
        </w:trPr>
        <w:tc>
          <w:tcPr>
            <w:tcW w:w="4644" w:type="dxa"/>
            <w:textDirection w:val="lrTb"/>
            <w:noWrap w:val="false"/>
          </w:tcPr>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843" w:type="dxa"/>
            <w:textDirection w:val="lrTb"/>
            <w:noWrap w:val="false"/>
          </w:tcPr>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w:t>
            </w:r>
            <w:r/>
          </w:p>
        </w:tc>
      </w:tr>
      <w:tr>
        <w:trPr>
          <w:trHeight w:val="567"/>
        </w:trPr>
        <w:tc>
          <w:tcPr>
            <w:tcW w:w="4644" w:type="dxa"/>
            <w:textDirection w:val="lrTb"/>
            <w:noWrap w:val="false"/>
          </w:tcPr>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p>
        </w:tc>
        <w:tc>
          <w:tcPr>
            <w:tcW w:w="1843" w:type="dxa"/>
            <w:textDirection w:val="lrTb"/>
            <w:noWrap w:val="false"/>
          </w:tcPr>
          <w:p>
            <w:pPr>
              <w:spacing w:after="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p>
        </w:tc>
      </w:tr>
    </w:tbl>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2"/>
        <w:numPr>
          <w:ilvl w:val="0"/>
          <w:numId w:val="0"/>
        </w:numPr>
        <w:jc w:val="both"/>
        <w:widowControl w:val="off"/>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2"/>
        <w:numPr>
          <w:ilvl w:val="0"/>
          <w:numId w:val="0"/>
        </w:numPr>
        <w:jc w:val="both"/>
        <w:widowControl w:val="off"/>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2"/>
        <w:numPr>
          <w:ilvl w:val="0"/>
          <w:numId w:val="0"/>
        </w:numPr>
        <w:jc w:val="both"/>
        <w:widowControl w:val="off"/>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2"/>
        <w:numPr>
          <w:ilvl w:val="0"/>
          <w:numId w:val="0"/>
        </w:numPr>
        <w:jc w:val="both"/>
        <w:widowControl w:val="off"/>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2"/>
        <w:numPr>
          <w:ilvl w:val="0"/>
          <w:numId w:val="0"/>
        </w:numPr>
        <w:jc w:val="both"/>
        <w:widowControl w:val="off"/>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2"/>
        <w:numPr>
          <w:ilvl w:val="0"/>
          <w:numId w:val="0"/>
        </w:numPr>
        <w:jc w:val="both"/>
        <w:widowControl w:val="off"/>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2"/>
        <w:numPr>
          <w:ilvl w:val="0"/>
          <w:numId w:val="0"/>
        </w:numPr>
        <w:jc w:val="both"/>
        <w:widowControl w:val="off"/>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2"/>
        <w:numPr>
          <w:ilvl w:val="0"/>
          <w:numId w:val="0"/>
        </w:numPr>
        <w:jc w:val="both"/>
        <w:widowControl w:val="off"/>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2"/>
        <w:numPr>
          <w:ilvl w:val="0"/>
          <w:numId w:val="0"/>
        </w:numPr>
        <w:jc w:val="both"/>
        <w:widowControl w:val="off"/>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2"/>
        <w:numPr>
          <w:ilvl w:val="0"/>
          <w:numId w:val="0"/>
        </w:numPr>
        <w:jc w:val="both"/>
        <w:widowControl w:val="off"/>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2"/>
        <w:numPr>
          <w:ilvl w:val="0"/>
          <w:numId w:val="0"/>
        </w:numPr>
        <w:jc w:val="both"/>
        <w:widowControl w:val="off"/>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2"/>
        <w:numPr>
          <w:ilvl w:val="0"/>
          <w:numId w:val="0"/>
        </w:numPr>
        <w:jc w:val="both"/>
        <w:widowControl w:val="off"/>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bookmarkStart w:id="169" w:name="_Toc18162"/>
      <w:r/>
      <w:bookmarkStart w:id="170" w:name="_Toc3743"/>
      <w:r/>
      <w:bookmarkStart w:id="171" w:name="_Toc73607021"/>
      <w:r/>
      <w:bookmarkStart w:id="172" w:name="_Toc27444"/>
      <w:r/>
      <w:bookmarkStart w:id="173" w:name="_Toc10311"/>
      <w:r/>
      <w:bookmarkStart w:id="174" w:name="_Toc27766"/>
      <w:r/>
      <w:bookmarkStart w:id="175" w:name="_Toc2507"/>
      <w:r/>
      <w:bookmarkStart w:id="176" w:name="_Toc17373"/>
      <w:r/>
      <w:bookmarkStart w:id="177" w:name="_Toc24602"/>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第六章 投标文件（格式）</w:t>
      </w:r>
      <w:bookmarkEnd w:id="169"/>
      <w:r/>
      <w:bookmarkEnd w:id="170"/>
      <w:r/>
      <w:bookmarkEnd w:id="171"/>
      <w:r/>
      <w:bookmarkEnd w:id="172"/>
      <w:r/>
      <w:bookmarkEnd w:id="173"/>
      <w:r/>
      <w:bookmarkEnd w:id="174"/>
      <w:r/>
      <w:bookmarkEnd w:id="175"/>
      <w:r/>
      <w:bookmarkEnd w:id="176"/>
      <w:r/>
      <w:r/>
    </w:p>
    <w:p>
      <w:pPr>
        <w:rPr>
          <w:rFonts w:ascii="黑体" w:eastAsia="黑体"/>
          <w:b/>
          <w:color w:val="auto"/>
          <w:sz w:val="120"/>
          <w:szCs w:val="120"/>
          <w:highlight w:val="none"/>
        </w:rPr>
      </w:pPr>
      <w:r>
        <w:rPr>
          <w:rFonts w:ascii="黑体" w:eastAsia="黑体"/>
          <w:b/>
          <w:color w:val="auto"/>
          <w:sz w:val="120"/>
          <w:szCs w:val="120"/>
          <w:highlight w:val="none"/>
        </w:rPr>
      </w:r>
      <w:r/>
    </w:p>
    <w:p>
      <w:pPr>
        <w:jc w:val="center"/>
        <w:rPr>
          <w:rFonts w:hint="eastAsia" w:ascii="宋体" w:hAnsi="宋体"/>
          <w:b/>
          <w:color w:val="auto"/>
          <w:sz w:val="120"/>
          <w:szCs w:val="120"/>
          <w:highlight w:val="none"/>
        </w:rPr>
        <w:outlineLvl w:val="0"/>
      </w:pPr>
      <w:r/>
      <w:bookmarkStart w:id="178" w:name="_Toc13508"/>
      <w:r/>
      <w:bookmarkStart w:id="179" w:name="_Toc9100"/>
      <w:r/>
      <w:bookmarkStart w:id="180" w:name="_Toc26936"/>
      <w:r/>
      <w:bookmarkStart w:id="181" w:name="_Toc10913"/>
      <w:r/>
      <w:bookmarkStart w:id="182" w:name="_Toc11369"/>
      <w:r/>
      <w:bookmarkStart w:id="183" w:name="_Toc29240"/>
      <w:r>
        <w:rPr>
          <w:rFonts w:hint="eastAsia" w:ascii="宋体" w:hAnsi="宋体"/>
          <w:b/>
          <w:color w:val="auto"/>
          <w:sz w:val="120"/>
          <w:szCs w:val="120"/>
          <w:highlight w:val="none"/>
        </w:rPr>
        <w:t xml:space="preserve">投</w:t>
      </w:r>
      <w:bookmarkEnd w:id="178"/>
      <w:r/>
      <w:bookmarkEnd w:id="179"/>
      <w:r/>
      <w:bookmarkEnd w:id="180"/>
      <w:r/>
      <w:bookmarkEnd w:id="181"/>
      <w:r/>
      <w:bookmarkEnd w:id="182"/>
      <w:r/>
      <w:r/>
    </w:p>
    <w:p>
      <w:pPr>
        <w:jc w:val="center"/>
        <w:rPr>
          <w:rFonts w:hint="eastAsia" w:ascii="宋体" w:hAnsi="宋体"/>
          <w:b/>
          <w:color w:val="auto"/>
          <w:sz w:val="120"/>
          <w:szCs w:val="120"/>
          <w:highlight w:val="none"/>
        </w:rPr>
        <w:outlineLvl w:val="0"/>
      </w:pPr>
      <w:r/>
      <w:bookmarkStart w:id="184" w:name="_Toc15351"/>
      <w:r/>
      <w:bookmarkStart w:id="185" w:name="_Toc91"/>
      <w:r/>
      <w:bookmarkStart w:id="186" w:name="_Toc12402"/>
      <w:r/>
      <w:bookmarkStart w:id="187" w:name="_Toc25464"/>
      <w:r/>
      <w:bookmarkStart w:id="188" w:name="_Toc31335"/>
      <w:r>
        <w:rPr>
          <w:rFonts w:hint="eastAsia" w:ascii="宋体" w:hAnsi="宋体"/>
          <w:b/>
          <w:color w:val="auto"/>
          <w:sz w:val="120"/>
          <w:szCs w:val="120"/>
          <w:highlight w:val="none"/>
        </w:rPr>
        <w:t xml:space="preserve">标</w:t>
      </w:r>
      <w:bookmarkEnd w:id="184"/>
      <w:r/>
      <w:bookmarkEnd w:id="185"/>
      <w:r/>
      <w:bookmarkEnd w:id="186"/>
      <w:r/>
      <w:bookmarkEnd w:id="187"/>
      <w:r/>
      <w:bookmarkEnd w:id="188"/>
      <w:r/>
      <w:r/>
    </w:p>
    <w:p>
      <w:pPr>
        <w:jc w:val="center"/>
        <w:rPr>
          <w:rFonts w:hint="eastAsia" w:ascii="宋体" w:hAnsi="宋体"/>
          <w:b/>
          <w:color w:val="auto"/>
          <w:sz w:val="120"/>
          <w:szCs w:val="120"/>
          <w:highlight w:val="none"/>
        </w:rPr>
        <w:outlineLvl w:val="0"/>
      </w:pPr>
      <w:r/>
      <w:bookmarkStart w:id="189" w:name="_Toc10352"/>
      <w:r/>
      <w:bookmarkStart w:id="190" w:name="_Toc13098"/>
      <w:r/>
      <w:bookmarkStart w:id="191" w:name="_Toc25129"/>
      <w:r/>
      <w:bookmarkStart w:id="192" w:name="_Toc17873"/>
      <w:r/>
      <w:bookmarkStart w:id="193" w:name="_Toc26762"/>
      <w:r>
        <w:rPr>
          <w:rFonts w:hint="eastAsia" w:ascii="宋体" w:hAnsi="宋体"/>
          <w:b/>
          <w:color w:val="auto"/>
          <w:sz w:val="120"/>
          <w:szCs w:val="120"/>
          <w:highlight w:val="none"/>
        </w:rPr>
        <w:t xml:space="preserve">文</w:t>
      </w:r>
      <w:bookmarkEnd w:id="189"/>
      <w:r/>
      <w:bookmarkEnd w:id="190"/>
      <w:r/>
      <w:bookmarkEnd w:id="191"/>
      <w:r/>
      <w:bookmarkEnd w:id="192"/>
      <w:r/>
      <w:bookmarkEnd w:id="193"/>
      <w:r/>
      <w:r/>
    </w:p>
    <w:p>
      <w:pPr>
        <w:jc w:val="center"/>
        <w:rPr>
          <w:rFonts w:hint="eastAsia" w:ascii="宋体" w:hAnsi="宋体"/>
          <w:b/>
          <w:color w:val="auto"/>
          <w:sz w:val="32"/>
          <w:szCs w:val="32"/>
          <w:highlight w:val="none"/>
        </w:rPr>
        <w:outlineLvl w:val="0"/>
      </w:pPr>
      <w:r/>
      <w:bookmarkStart w:id="194" w:name="_Toc1579"/>
      <w:r/>
      <w:bookmarkStart w:id="195" w:name="_Toc7012"/>
      <w:r/>
      <w:bookmarkStart w:id="196" w:name="_Toc6064"/>
      <w:r/>
      <w:bookmarkStart w:id="197" w:name="_Toc20923"/>
      <w:r/>
      <w:bookmarkStart w:id="198" w:name="_Toc28894"/>
      <w:r>
        <w:rPr>
          <w:rFonts w:hint="eastAsia" w:ascii="宋体" w:hAnsi="宋体"/>
          <w:b/>
          <w:color w:val="auto"/>
          <w:sz w:val="120"/>
          <w:szCs w:val="120"/>
          <w:highlight w:val="none"/>
        </w:rPr>
        <w:t xml:space="preserve">件</w:t>
      </w:r>
      <w:bookmarkEnd w:id="183"/>
      <w:r/>
      <w:bookmarkEnd w:id="194"/>
      <w:r/>
      <w:bookmarkEnd w:id="195"/>
      <w:r/>
      <w:bookmarkEnd w:id="196"/>
      <w:r/>
      <w:bookmarkEnd w:id="197"/>
      <w:r/>
      <w:bookmarkEnd w:id="198"/>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08"/>
        <w:rPr>
          <w:rFonts w:hint="eastAsia"/>
          <w:color w:val="auto"/>
          <w:highlight w:val="none"/>
        </w:rPr>
      </w:pPr>
      <w:r>
        <w:rPr>
          <w:rFonts w:hint="eastAsia"/>
          <w:color w:val="auto"/>
          <w:highlight w:val="none"/>
        </w:rPr>
      </w:r>
      <w:r/>
    </w:p>
    <w:p>
      <w:pPr>
        <w:ind w:left="2737" w:hanging="654"/>
        <w:spacing w:line="360" w:lineRule="auto"/>
        <w:rPr>
          <w:rFonts w:hint="default" w:ascii="宋体" w:hAnsi="宋体" w:eastAsia="宋体"/>
          <w:b/>
          <w:color w:val="auto"/>
          <w:sz w:val="30"/>
          <w:szCs w:val="30"/>
          <w:highlight w:val="none"/>
          <w:u w:val="none"/>
          <w:lang w:val="en-US" w:eastAsia="zh-CN"/>
        </w:rPr>
        <w:outlineLvl w:val="0"/>
      </w:pPr>
      <w:r/>
      <w:bookmarkStart w:id="199" w:name="_Toc2400"/>
      <w:r/>
      <w:bookmarkStart w:id="200" w:name="_Toc24175"/>
      <w:r/>
      <w:bookmarkStart w:id="201" w:name="_Toc6682"/>
      <w:r/>
      <w:bookmarkStart w:id="202" w:name="_Toc5377"/>
      <w:r/>
      <w:bookmarkStart w:id="203" w:name="_Toc6321"/>
      <w:r/>
      <w:bookmarkStart w:id="204" w:name="_Toc14433"/>
      <w:r>
        <w:rPr>
          <w:rFonts w:hint="eastAsia" w:ascii="宋体" w:hAnsi="宋体"/>
          <w:b/>
          <w:color w:val="auto"/>
          <w:sz w:val="30"/>
          <w:szCs w:val="30"/>
          <w:highlight w:val="none"/>
          <w:u w:val="none"/>
        </w:rPr>
        <w:t xml:space="preserve">项目编号：</w:t>
      </w:r>
      <w:bookmarkEnd w:id="199"/>
      <w:r/>
      <w:bookmarkEnd w:id="200"/>
      <w:r/>
      <w:bookmarkEnd w:id="201"/>
      <w:r/>
      <w:bookmarkEnd w:id="202"/>
      <w:r/>
      <w:bookmarkEnd w:id="203"/>
      <w:r/>
      <w:bookmarkEnd w:id="204"/>
      <w:r/>
      <w:bookmarkStart w:id="205" w:name="_Toc8993"/>
      <w:r/>
      <w:bookmarkStart w:id="206" w:name="_Toc6376"/>
      <w:r/>
      <w:bookmarkStart w:id="207" w:name="_Toc10397"/>
      <w:r/>
      <w:bookmarkStart w:id="208" w:name="_Toc26239"/>
      <w:r/>
      <w:bookmarkStart w:id="209" w:name="_Toc10010"/>
      <w:r/>
      <w:bookmarkStart w:id="210" w:name="_Toc10747"/>
      <w:r>
        <w:rPr>
          <w:rFonts w:hint="eastAsia" w:ascii="宋体" w:hAnsi="宋体"/>
          <w:b/>
          <w:color w:val="auto"/>
          <w:sz w:val="30"/>
          <w:szCs w:val="30"/>
          <w:highlight w:val="none"/>
          <w:u w:val="none"/>
          <w:lang w:val="en-US" w:eastAsia="zh-CN"/>
        </w:rPr>
        <w:t xml:space="preserve">                                  </w:t>
      </w:r>
      <w:r/>
    </w:p>
    <w:p>
      <w:pPr>
        <w:ind w:left="2737" w:hanging="654"/>
        <w:spacing w:line="360" w:lineRule="auto"/>
        <w:rPr>
          <w:rFonts w:hint="default" w:ascii="宋体" w:hAnsi="宋体" w:eastAsia="宋体"/>
          <w:b/>
          <w:color w:val="auto"/>
          <w:sz w:val="30"/>
          <w:szCs w:val="30"/>
          <w:highlight w:val="none"/>
          <w:u w:val="none"/>
          <w:lang w:val="en-US" w:eastAsia="zh-CN"/>
        </w:rPr>
        <w:outlineLvl w:val="0"/>
      </w:pPr>
      <w:r>
        <w:rPr>
          <w:rFonts w:hint="eastAsia" w:ascii="宋体" w:hAnsi="宋体"/>
          <w:b/>
          <w:color w:val="auto"/>
          <w:sz w:val="30"/>
          <w:szCs w:val="30"/>
          <w:highlight w:val="none"/>
          <w:u w:val="none"/>
        </w:rPr>
        <w:t xml:space="preserve">项目名称：</w:t>
      </w:r>
      <w:bookmarkEnd w:id="205"/>
      <w:r/>
      <w:bookmarkEnd w:id="206"/>
      <w:r/>
      <w:bookmarkEnd w:id="207"/>
      <w:r/>
      <w:bookmarkEnd w:id="208"/>
      <w:r/>
      <w:bookmarkEnd w:id="209"/>
      <w:r/>
      <w:bookmarkEnd w:id="210"/>
      <w:r/>
      <w:bookmarkStart w:id="211" w:name="_Toc24371"/>
      <w:r/>
      <w:bookmarkStart w:id="212" w:name="_Toc20457"/>
      <w:r/>
      <w:bookmarkStart w:id="213" w:name="_Toc26283"/>
      <w:r/>
      <w:bookmarkStart w:id="214" w:name="_Toc24102"/>
      <w:r/>
      <w:bookmarkStart w:id="215" w:name="_Toc8670"/>
      <w:r/>
      <w:bookmarkStart w:id="216" w:name="_Toc21416"/>
      <w:r/>
      <w:bookmarkStart w:id="217" w:name="_Toc28337"/>
      <w:r>
        <w:rPr>
          <w:rFonts w:hint="eastAsia" w:ascii="宋体" w:hAnsi="宋体"/>
          <w:b/>
          <w:color w:val="auto"/>
          <w:sz w:val="30"/>
          <w:szCs w:val="30"/>
          <w:highlight w:val="none"/>
          <w:u w:val="none"/>
          <w:lang w:val="en-US" w:eastAsia="zh-CN"/>
        </w:rPr>
        <w:t xml:space="preserve">                                  </w:t>
      </w:r>
      <w:r/>
    </w:p>
    <w:p>
      <w:pPr>
        <w:pStyle w:val="708"/>
        <w:rPr>
          <w:rFonts w:hint="eastAsia"/>
          <w:color w:val="auto"/>
          <w:highlight w:val="none"/>
          <w:u w:val="none"/>
        </w:rPr>
      </w:pPr>
      <w:r>
        <w:rPr>
          <w:rFonts w:hint="eastAsia"/>
          <w:color w:val="auto"/>
          <w:highlight w:val="none"/>
          <w:u w:val="none"/>
        </w:rPr>
      </w:r>
      <w:r/>
    </w:p>
    <w:p>
      <w:pPr>
        <w:ind w:firstLine="1807"/>
        <w:spacing w:line="360" w:lineRule="auto"/>
        <w:rPr>
          <w:rFonts w:hint="eastAsia" w:ascii="宋体" w:hAnsi="宋体"/>
          <w:b/>
          <w:color w:val="auto"/>
          <w:sz w:val="30"/>
          <w:szCs w:val="30"/>
          <w:highlight w:val="none"/>
        </w:rPr>
        <w:outlineLvl w:val="0"/>
      </w:pPr>
      <w:r>
        <w:rPr>
          <w:rFonts w:hint="eastAsia" w:ascii="宋体" w:hAnsi="宋体"/>
          <w:b/>
          <w:color w:val="auto"/>
          <w:sz w:val="30"/>
          <w:szCs w:val="30"/>
          <w:highlight w:val="none"/>
        </w:rPr>
        <w:t xml:space="preserve">投标人（电子签章）：</w:t>
      </w:r>
      <w:bookmarkEnd w:id="211"/>
      <w:r/>
      <w:bookmarkEnd w:id="212"/>
      <w:r/>
      <w:bookmarkEnd w:id="213"/>
      <w:r/>
      <w:bookmarkEnd w:id="214"/>
      <w:r/>
      <w:bookmarkEnd w:id="215"/>
      <w:r/>
      <w:bookmarkEnd w:id="216"/>
      <w:r/>
      <w:bookmarkEnd w:id="217"/>
      <w:r/>
      <w:r/>
    </w:p>
    <w:p>
      <w:pPr>
        <w:rPr>
          <w:rFonts w:ascii="楷体_GB2312" w:eastAsia="楷体_GB2312"/>
          <w:b/>
          <w:color w:val="auto"/>
          <w:sz w:val="32"/>
          <w:szCs w:val="32"/>
          <w:highlight w:val="none"/>
        </w:rPr>
      </w:pPr>
      <w:r>
        <w:rPr>
          <w:rFonts w:ascii="楷体_GB2312" w:eastAsia="楷体_GB2312"/>
          <w:b/>
          <w:color w:val="auto"/>
          <w:sz w:val="32"/>
          <w:szCs w:val="32"/>
          <w:highlight w:val="none"/>
        </w:rPr>
      </w:r>
      <w:r/>
    </w:p>
    <w:p>
      <w:pPr>
        <w:ind w:firstLine="2891"/>
        <w:rPr>
          <w:rFonts w:hint="eastAsia" w:ascii="宋体" w:hAnsi="宋体"/>
          <w:b/>
          <w:color w:val="auto"/>
          <w:sz w:val="32"/>
          <w:szCs w:val="32"/>
          <w:highlight w:val="none"/>
        </w:rPr>
        <w:outlineLvl w:val="0"/>
      </w:pPr>
      <w:r/>
      <w:bookmarkStart w:id="218" w:name="_Toc1550"/>
      <w:r/>
      <w:bookmarkStart w:id="219" w:name="_Toc31884"/>
      <w:r/>
      <w:bookmarkStart w:id="220" w:name="_Toc9079"/>
      <w:r/>
      <w:bookmarkStart w:id="221" w:name="_Toc7521"/>
      <w:r/>
      <w:bookmarkStart w:id="222" w:name="_Toc88"/>
      <w:r>
        <w:rPr>
          <w:rFonts w:hint="eastAsia" w:ascii="宋体" w:hAnsi="宋体"/>
          <w:b/>
          <w:color w:val="auto"/>
          <w:sz w:val="32"/>
          <w:szCs w:val="32"/>
          <w:highlight w:val="none"/>
        </w:rPr>
        <w:t xml:space="preserve">二〇二</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年   月   日</w:t>
      </w:r>
      <w:bookmarkEnd w:id="218"/>
      <w:r/>
      <w:bookmarkEnd w:id="219"/>
      <w:r/>
      <w:bookmarkEnd w:id="220"/>
      <w:r/>
      <w:bookmarkEnd w:id="221"/>
      <w:r/>
      <w:bookmarkEnd w:id="222"/>
      <w:r/>
      <w:r/>
    </w:p>
    <w:p>
      <w:pPr>
        <w:rPr>
          <w:rFonts w:hint="eastAsia"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End w:id="177"/>
      <w:r>
        <w:rPr>
          <w:rFonts w:hint="eastAsia" w:ascii="黑体" w:hAnsi="宋体" w:eastAsia="黑体"/>
          <w:bCs/>
          <w:color w:val="auto"/>
          <w:sz w:val="28"/>
          <w:szCs w:val="28"/>
          <w:highlight w:val="none"/>
        </w:rPr>
        <w:t xml:space="preserve">（一）开标一览表：</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left"/>
        <w:rPr>
          <w:rFonts w:hint="eastAsia"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hint="eastAsia" w:ascii="宋体" w:hAnsi="宋体" w:cs="宋体"/>
          <w:color w:val="auto"/>
          <w:sz w:val="24"/>
          <w:szCs w:val="24"/>
          <w:highlight w:val="none"/>
        </w:rPr>
      </w:pPr>
      <w:r/>
      <w:bookmarkStart w:id="223" w:name="_Toc32423"/>
      <w:r/>
      <w:bookmarkEnd w:id="223"/>
      <w:r/>
      <w:bookmarkStart w:id="224" w:name="_Toc4946"/>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hint="eastAsia" w:ascii="宋体" w:hAnsi="宋体"/>
          <w:bCs/>
          <w:color w:val="auto"/>
          <w:sz w:val="24"/>
          <w:szCs w:val="24"/>
          <w:highlight w:val="none"/>
        </w:rPr>
      </w:pPr>
      <w:r/>
      <w:bookmarkStart w:id="225" w:name="_Hlk151563492"/>
      <w:r>
        <w:rPr>
          <w:rFonts w:hint="eastAsia" w:ascii="宋体" w:hAnsi="宋体"/>
          <w:bCs/>
          <w:color w:val="auto"/>
          <w:sz w:val="24"/>
          <w:szCs w:val="24"/>
          <w:highlight w:val="none"/>
        </w:rPr>
        <w:t xml:space="preserve">投标人全称</w:t>
      </w:r>
      <w:r>
        <w:rPr>
          <w:rFonts w:ascii="宋体" w:hAnsi="宋体"/>
          <w:bCs/>
          <w:color w:val="auto"/>
          <w:sz w:val="24"/>
          <w:highlight w:val="none"/>
          <w:lang w:val="zh-CN"/>
        </w:rPr>
        <w:t xml:space="preserve">（电子签章）</w:t>
      </w:r>
      <w:r>
        <w:rPr>
          <w:rFonts w:hint="eastAsia" w:ascii="宋体" w:hAnsi="宋体"/>
          <w:bCs/>
          <w:color w:val="auto"/>
          <w:sz w:val="24"/>
          <w:szCs w:val="24"/>
          <w:highlight w:val="none"/>
        </w:rPr>
        <w:t xml:space="preserve">： </w:t>
      </w:r>
      <w:r/>
    </w:p>
    <w:p>
      <w:pPr>
        <w:ind w:firstLine="480"/>
        <w:jc w:val="left"/>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bookmarkEnd w:id="225"/>
      <w:r/>
      <w:r/>
    </w:p>
    <w:p>
      <w:pPr>
        <w:ind w:left="1"/>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bl>
      <w:tblPr>
        <w:tblStyle w:val="707"/>
        <w:tblW w:w="9600"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022"/>
        <w:gridCol w:w="4638"/>
      </w:tblGrid>
      <w:tr>
        <w:trPr>
          <w:cantSplit/>
          <w:trHeight w:val="567"/>
        </w:trPr>
        <w:tc>
          <w:tcPr>
            <w:tcW w:w="1940"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标题</w:t>
            </w:r>
            <w:r/>
          </w:p>
        </w:tc>
        <w:tc>
          <w:tcPr>
            <w:tcW w:w="3022"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  (小写)</w:t>
            </w:r>
            <w:r/>
          </w:p>
        </w:tc>
        <w:tc>
          <w:tcPr>
            <w:tcW w:w="4638"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内容（大写）</w:t>
            </w:r>
            <w:r/>
          </w:p>
        </w:tc>
      </w:tr>
      <w:tr>
        <w:trPr>
          <w:cantSplit/>
          <w:trHeight w:val="1630"/>
        </w:trPr>
        <w:tc>
          <w:tcPr>
            <w:tcW w:w="1940" w:type="dxa"/>
            <w:vAlign w:val="center"/>
            <w:textDirection w:val="lrTb"/>
            <w:noWrap w:val="false"/>
          </w:tcPr>
          <w:p>
            <w:pPr>
              <w:pStyle w:val="894"/>
              <w:jc w:val="center"/>
              <w:spacing w:line="400" w:lineRule="exact"/>
              <w:rPr>
                <w:rFonts w:hint="eastAsia" w:hAnsi="宋体"/>
                <w:bCs/>
                <w:color w:val="auto"/>
                <w:szCs w:val="24"/>
                <w:highlight w:val="none"/>
              </w:rPr>
            </w:pPr>
            <w:r>
              <w:rPr>
                <w:rFonts w:hint="eastAsia" w:hAnsi="宋体"/>
                <w:bCs/>
                <w:color w:val="auto"/>
                <w:szCs w:val="24"/>
                <w:highlight w:val="none"/>
              </w:rPr>
              <w:t xml:space="preserve">报价</w:t>
            </w:r>
            <w:r/>
          </w:p>
        </w:tc>
        <w:tc>
          <w:tcPr>
            <w:tcW w:w="3022" w:type="dxa"/>
            <w:vAlign w:val="center"/>
            <w:textDirection w:val="lrTb"/>
            <w:noWrap w:val="false"/>
          </w:tcPr>
          <w:p>
            <w:pPr>
              <w:pStyle w:val="894"/>
              <w:ind w:firstLine="56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 xml:space="preserve">元</w:t>
            </w:r>
            <w:r/>
          </w:p>
        </w:tc>
        <w:tc>
          <w:tcPr>
            <w:tcW w:w="4638" w:type="dxa"/>
            <w:vAlign w:val="center"/>
            <w:textDirection w:val="lrTb"/>
            <w:noWrap w:val="false"/>
          </w:tcPr>
          <w:p>
            <w:pPr>
              <w:pStyle w:val="894"/>
              <w:ind w:firstLine="112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 xml:space="preserve">元</w:t>
            </w:r>
            <w:r/>
          </w:p>
        </w:tc>
      </w:tr>
    </w:tbl>
    <w:p>
      <w:pPr>
        <w:ind w:left="1"/>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1"/>
        <w:jc w:val="righ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ind w:left="1"/>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right"/>
        <w:spacing w:before="100" w:after="10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bookmarkEnd w:id="224"/>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21"/>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黑体" w:hAnsi="宋体" w:eastAsia="黑体"/>
          <w:bCs/>
          <w:color w:val="auto"/>
          <w:sz w:val="28"/>
          <w:szCs w:val="28"/>
          <w:highlight w:val="none"/>
        </w:rPr>
      </w:pPr>
      <w:r>
        <w:rPr>
          <w:rFonts w:ascii="宋体" w:hAnsi="宋体"/>
          <w:color w:val="auto"/>
          <w:sz w:val="24"/>
          <w:szCs w:val="24"/>
          <w:highlight w:val="none"/>
        </w:rPr>
        <w:br w:type="page" w:clear="all"/>
      </w:r>
      <w:r>
        <w:rPr>
          <w:rFonts w:hint="eastAsia" w:ascii="黑体" w:hAnsi="宋体" w:eastAsia="黑体"/>
          <w:bCs/>
          <w:color w:val="auto"/>
          <w:sz w:val="28"/>
          <w:szCs w:val="28"/>
          <w:highlight w:val="none"/>
        </w:rPr>
        <w:t xml:space="preserve">（二）资格条件</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1、关于资格的声明函（格式）：</w:t>
      </w:r>
      <w:r/>
    </w:p>
    <w:p>
      <w:pPr>
        <w:jc w:val="center"/>
        <w:spacing w:before="156" w:after="156"/>
        <w:rPr>
          <w:rFonts w:ascii="黑体" w:eastAsia="黑体"/>
          <w:bCs/>
          <w:color w:val="auto"/>
          <w:sz w:val="32"/>
          <w:highlight w:val="none"/>
        </w:rPr>
      </w:pPr>
      <w:r/>
      <w:bookmarkStart w:id="226" w:name="报价方关于资格的声明函（格式）"/>
      <w:r/>
      <w:bookmarkEnd w:id="226"/>
      <w:r/>
      <w:bookmarkStart w:id="227" w:name="_Toc24943"/>
      <w:r>
        <w:rPr>
          <w:rFonts w:hint="eastAsia" w:ascii="黑体" w:eastAsia="黑体"/>
          <w:bCs/>
          <w:color w:val="auto"/>
          <w:sz w:val="28"/>
          <w:szCs w:val="28"/>
          <w:highlight w:val="none"/>
        </w:rPr>
        <w:t xml:space="preserve">关于资格的声明函</w:t>
      </w:r>
      <w:bookmarkEnd w:id="227"/>
      <w:r/>
      <w:r/>
    </w:p>
    <w:p>
      <w:pPr>
        <w:jc w:val="center"/>
        <w:spacing w:line="480" w:lineRule="auto"/>
        <w:rPr>
          <w:rFonts w:ascii="宋体"/>
          <w:bCs/>
          <w:color w:val="auto"/>
          <w:sz w:val="24"/>
          <w:szCs w:val="24"/>
          <w:highlight w:val="none"/>
        </w:rPr>
      </w:pPr>
      <w:r/>
      <w:bookmarkStart w:id="228"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宜兴市教育局</w:t>
      </w:r>
      <w:r>
        <w:rPr>
          <w:rFonts w:hint="eastAsia" w:ascii="宋体" w:hAnsi="宋体"/>
          <w:bCs/>
          <w:color w:val="auto"/>
          <w:sz w:val="24"/>
          <w:szCs w:val="24"/>
          <w:highlight w:val="none"/>
        </w:rPr>
        <w:t xml:space="preserve">：</w:t>
      </w:r>
      <w:bookmarkEnd w:id="228"/>
      <w:r/>
      <w:r/>
    </w:p>
    <w:p>
      <w:pPr>
        <w:ind w:firstLine="480"/>
        <w:jc w:val="left"/>
        <w:spacing w:line="480" w:lineRule="auto"/>
        <w:rPr>
          <w:rFonts w:ascii="宋体"/>
          <w:bCs/>
          <w:color w:val="auto"/>
          <w:sz w:val="24"/>
          <w:szCs w:val="24"/>
          <w:highlight w:val="none"/>
        </w:rPr>
      </w:pPr>
      <w:r/>
      <w:bookmarkStart w:id="229" w:name="OLE_LINK243"/>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eastAsia="zh-CN"/>
        </w:rPr>
        <w:t xml:space="preserve">JSZC-320282-HHCG-G2026-0017</w:t>
      </w:r>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230" w:name="OLE_LINK242"/>
      <w:r>
        <w:rPr>
          <w:rFonts w:hint="eastAsia" w:ascii="宋体" w:hAnsi="宋体" w:cs="宋体"/>
          <w:color w:val="auto"/>
          <w:sz w:val="24"/>
          <w:szCs w:val="24"/>
          <w:highlight w:val="none"/>
          <w:lang w:bidi="ar"/>
        </w:rPr>
        <w:t xml:space="preserve">有效期限</w:t>
      </w:r>
      <w:bookmarkEnd w:id="230"/>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未被列入失信名单或重大税收违法案件当事人名单；</w:t>
      </w:r>
      <w:r>
        <w:rPr>
          <w:rFonts w:hint="eastAsia" w:ascii="宋体" w:hAnsi="宋体"/>
          <w:bCs/>
          <w:color w:val="auto"/>
          <w:sz w:val="24"/>
          <w:szCs w:val="24"/>
          <w:highlight w:val="none"/>
        </w:rPr>
        <w:t xml:space="preserve">且具备履行合同所必需的设备和专业技术能力。</w:t>
      </w:r>
      <w:bookmarkEnd w:id="229"/>
      <w:r>
        <w:rPr>
          <w:rFonts w:hint="eastAsia" w:ascii="宋体" w:hAnsi="宋体"/>
          <w:bCs/>
          <w:color w:val="auto"/>
          <w:sz w:val="24"/>
          <w:szCs w:val="24"/>
          <w:highlight w:val="none"/>
        </w:rPr>
        <w:t xml:space="preserve">我公司（单位）愿针对本次项目进行投标，</w:t>
      </w:r>
      <w:r>
        <w:rPr>
          <w:rFonts w:hint="eastAsia" w:ascii="宋体" w:hAnsi="宋体"/>
          <w:color w:val="auto"/>
          <w:sz w:val="24"/>
          <w:szCs w:val="24"/>
          <w:highlight w:val="none"/>
        </w:rPr>
        <w:t xml:space="preserve">所提供的货物均为原厂全新合格品，</w:t>
      </w:r>
      <w:r>
        <w:rPr>
          <w:rFonts w:hint="eastAsia" w:ascii="宋体" w:hAnsi="宋体"/>
          <w:bCs/>
          <w:color w:val="auto"/>
          <w:sz w:val="24"/>
          <w:szCs w:val="24"/>
          <w:highlight w:val="none"/>
        </w:rPr>
        <w:t xml:space="preserve">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hint="eastAsia" w:ascii="宋体" w:hAnsi="宋体"/>
          <w:bCs/>
          <w:color w:val="auto"/>
          <w:sz w:val="24"/>
          <w:szCs w:val="24"/>
          <w:highlight w:val="none"/>
        </w:rPr>
      </w:pPr>
      <w:r>
        <w:rPr>
          <w:rFonts w:ascii="宋体" w:hAnsi="宋体"/>
          <w:bCs/>
          <w:color w:val="auto"/>
          <w:sz w:val="24"/>
          <w:szCs w:val="24"/>
          <w:highlight w:val="none"/>
        </w:rPr>
        <w:t xml:space="preserve">                                     </w:t>
      </w:r>
      <w:bookmarkStart w:id="231" w:name="OLE_LINK81"/>
      <w:r/>
      <w:r/>
    </w:p>
    <w:p>
      <w:pPr>
        <w:jc w:val="left"/>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投标人（电子签章）：</w:t>
      </w:r>
      <w:bookmarkEnd w:id="231"/>
      <w:r/>
      <w:r/>
    </w:p>
    <w:p>
      <w:pPr>
        <w:jc w:val="left"/>
        <w:spacing w:line="360" w:lineRule="auto"/>
        <w:rPr>
          <w:rFonts w:ascii="黑体" w:eastAsia="黑体"/>
          <w:bCs/>
          <w:color w:val="auto"/>
          <w:sz w:val="28"/>
          <w:szCs w:val="28"/>
          <w:highlight w:val="none"/>
        </w:rPr>
      </w:pPr>
      <w:r/>
      <w:bookmarkStart w:id="232" w:name="OLE_LINK36"/>
      <w:r/>
      <w:bookmarkStart w:id="233" w:name="OLE_LINK152"/>
      <w:r/>
      <w:bookmarkEnd w:id="232"/>
      <w:r/>
      <w:bookmarkEnd w:id="233"/>
      <w:r/>
      <w:r/>
    </w:p>
    <w:p>
      <w:pPr>
        <w:jc w:val="left"/>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rPr>
          <w:rFonts w:hint="eastAsia"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val="en-US" w:eastAsia="zh-CN"/>
        </w:rPr>
        <w:t xml:space="preserve">  </w:t>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（格式）：</w:t>
      </w:r>
      <w:r>
        <w:rPr>
          <w:rFonts w:hint="eastAsia" w:ascii="宋体" w:hAnsi="宋体"/>
          <w:color w:val="auto"/>
          <w:sz w:val="24"/>
          <w:szCs w:val="28"/>
          <w:highlight w:val="none"/>
        </w:rPr>
        <w:t xml:space="preserve"> </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hint="eastAsia" w:ascii="宋体" w:hAnsi="宋体"/>
          <w:color w:val="auto"/>
          <w:sz w:val="24"/>
          <w:szCs w:val="21"/>
          <w:highlight w:val="none"/>
          <w:lang w:val="zh-CN"/>
        </w:rPr>
      </w:pPr>
      <w:r/>
      <w:bookmarkStart w:id="234" w:name="OLE_LINK186"/>
      <w:r>
        <w:rPr>
          <w:rFonts w:hint="eastAsia" w:ascii="宋体" w:hAnsi="宋体"/>
          <w:bCs/>
          <w:color w:val="auto"/>
          <w:sz w:val="24"/>
          <w:highlight w:val="none"/>
          <w:lang w:val="zh-CN"/>
        </w:rPr>
        <w:t xml:space="preserve">宜兴市教育局、</w:t>
      </w:r>
      <w:bookmarkEnd w:id="234"/>
      <w:r>
        <w:rPr>
          <w:rFonts w:hint="eastAsia" w:ascii="宋体" w:hAnsi="宋体"/>
          <w:bCs/>
          <w:color w:val="auto"/>
          <w:sz w:val="24"/>
          <w:highlight w:val="none"/>
          <w:lang w:val="zh-CN"/>
        </w:rPr>
        <w:t xml:space="preserve">江苏恒鸿建设咨询有限公司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235"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235"/>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JSZC-320282-HHCG-G2026-0017</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的投标</w:t>
      </w:r>
      <w:bookmarkStart w:id="236" w:name="_Hlk144474232"/>
      <w:r/>
      <w:bookmarkStart w:id="237" w:name="_Hlk135833699"/>
      <w:r/>
      <w:bookmarkStart w:id="238"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color w:val="auto"/>
          <w:sz w:val="24"/>
          <w:szCs w:val="24"/>
          <w:highlight w:val="none"/>
        </w:rPr>
      </w:pPr>
      <w:r>
        <w:rPr>
          <w:color w:val="auto"/>
          <w:sz w:val="24"/>
          <w:szCs w:val="24"/>
          <w:highlight w:val="none"/>
        </w:rPr>
      </w:r>
      <w:r/>
    </w:p>
    <w:p>
      <w:pPr>
        <w:jc w:val="right"/>
        <w:rPr>
          <w:color w:val="auto"/>
          <w:sz w:val="24"/>
          <w:szCs w:val="24"/>
          <w:highlight w:val="none"/>
        </w:rPr>
      </w:pPr>
      <w:r>
        <w:rPr>
          <w:color w:val="auto"/>
          <w:sz w:val="24"/>
          <w:szCs w:val="24"/>
          <w:highlight w:val="none"/>
        </w:rPr>
        <w:br w:type="page" w:clear="all"/>
      </w:r>
      <w:bookmarkEnd w:id="236"/>
      <w:r/>
      <w:bookmarkEnd w:id="237"/>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lang w:val="en-US" w:eastAsia="zh-CN"/>
        </w:rPr>
        <w:t xml:space="preserve">3</w:t>
      </w:r>
      <w:r>
        <w:rPr>
          <w:rFonts w:hint="eastAsia" w:ascii="黑体" w:hAnsi="宋体" w:eastAsia="黑体"/>
          <w:bCs/>
          <w:color w:val="auto"/>
          <w:sz w:val="24"/>
          <w:szCs w:val="24"/>
          <w:highlight w:val="none"/>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rPr>
        <w:t xml:space="preserve">、具有良好的商业信誉和健全的财务会计制度：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lang w:val="en-US" w:eastAsia="zh-CN"/>
        </w:rPr>
        <w:t xml:space="preserve">5</w:t>
      </w:r>
      <w:r>
        <w:rPr>
          <w:rFonts w:hint="eastAsia" w:ascii="黑体" w:hAnsi="宋体" w:eastAsia="黑体"/>
          <w:bCs/>
          <w:color w:val="auto"/>
          <w:sz w:val="24"/>
          <w:szCs w:val="24"/>
          <w:highlight w:val="none"/>
        </w:rPr>
        <w:t xml:space="preserve">、有依法缴纳税收的良好记录：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lang w:val="en-US" w:eastAsia="zh-CN"/>
        </w:rPr>
        <w:t xml:space="preserve">6</w:t>
      </w:r>
      <w:r>
        <w:rPr>
          <w:rFonts w:hint="eastAsia" w:ascii="黑体" w:hAnsi="宋体" w:eastAsia="黑体"/>
          <w:bCs/>
          <w:color w:val="auto"/>
          <w:sz w:val="24"/>
          <w:szCs w:val="24"/>
          <w:highlight w:val="none"/>
        </w:rPr>
        <w:t xml:space="preserve">、有依法缴纳社会保障资金的良好记录：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lang w:val="en-US" w:eastAsia="zh-CN"/>
        </w:rPr>
        <w:t xml:space="preserve">7</w:t>
      </w:r>
      <w:r>
        <w:rPr>
          <w:rFonts w:hint="eastAsia" w:ascii="黑体" w:hAnsi="宋体" w:eastAsia="黑体"/>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bookmarkStart w:id="277" w:name="_GoBack"/>
      <w:r/>
      <w:bookmarkEnd w:id="277"/>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黑体" w:hAnsi="宋体" w:eastAsia="黑体"/>
          <w:bCs/>
          <w:color w:val="auto"/>
          <w:sz w:val="24"/>
          <w:szCs w:val="24"/>
          <w:highlight w:val="none"/>
        </w:rPr>
      </w:pPr>
      <w:r>
        <w:rPr>
          <w:rFonts w:ascii="宋体" w:hAnsi="宋体"/>
          <w:color w:val="auto"/>
          <w:sz w:val="24"/>
          <w:szCs w:val="21"/>
          <w:highlight w:val="none"/>
          <w:lang w:val="zh-CN"/>
        </w:rPr>
        <w:br w:type="page" w:clear="all"/>
      </w: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239" w:name="OLE_LINK83"/>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自愿组成联合体，共同参加本项目（项目编号：JSZC-320282-HHCG-G2026-0017）的投标。现就联合体投标事宜订立如下协议：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3"/>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hint="eastAsia"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lang w:val="zh-CN"/>
        </w:rPr>
      </w:pPr>
      <w:r/>
      <w:bookmarkStart w:id="240" w:name="_Hlk151451066"/>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bookmarkEnd w:id="240"/>
      <w:r/>
      <w:r/>
    </w:p>
    <w:p>
      <w:pPr>
        <w:ind w:firstLine="6240"/>
        <w:jc w:val="left"/>
        <w:rPr>
          <w:rFonts w:hint="eastAsia" w:ascii="宋体" w:hAnsi="宋体"/>
          <w:bCs/>
          <w:color w:val="auto"/>
          <w:sz w:val="24"/>
          <w:highlight w:val="none"/>
        </w:rPr>
      </w:pPr>
      <w:r>
        <w:rPr>
          <w:rFonts w:hint="eastAsia" w:ascii="宋体" w:hAnsi="宋体"/>
          <w:bCs/>
          <w:color w:val="auto"/>
          <w:sz w:val="24"/>
          <w:highlight w:val="none"/>
        </w:rPr>
      </w:r>
      <w:r/>
    </w:p>
    <w:p>
      <w:pPr>
        <w:ind w:firstLine="480"/>
        <w:rPr>
          <w:rFonts w:hint="eastAsia" w:ascii="黑体" w:hAnsi="宋体" w:eastAsia="黑体"/>
          <w:bCs/>
          <w:color w:val="auto"/>
          <w:sz w:val="24"/>
          <w:szCs w:val="24"/>
          <w:highlight w:val="none"/>
        </w:rPr>
      </w:pPr>
      <w:r>
        <w:rPr>
          <w:rFonts w:ascii="宋体" w:hAnsi="宋体"/>
          <w:color w:val="auto"/>
          <w:sz w:val="24"/>
          <w:szCs w:val="21"/>
          <w:highlight w:val="none"/>
        </w:rPr>
        <w:br w:type="page" w:clear="all"/>
      </w: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w:t>
      </w:r>
      <w:bookmarkStart w:id="241" w:name="OLE_LINK82"/>
      <w:r>
        <w:rPr>
          <w:rFonts w:hint="eastAsia" w:ascii="黑体" w:hAnsi="宋体" w:eastAsia="黑体"/>
          <w:bCs/>
          <w:color w:val="auto"/>
          <w:sz w:val="24"/>
          <w:szCs w:val="24"/>
          <w:highlight w:val="none"/>
        </w:rPr>
        <w:t xml:space="preserve">分包情况说明</w:t>
      </w:r>
      <w:bookmarkEnd w:id="241"/>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238"/>
      <w:r/>
      <w:bookmarkEnd w:id="239"/>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宜兴市教育局</w:t>
      </w:r>
      <w:r>
        <w:rPr>
          <w:rFonts w:hint="eastAsia" w:ascii="宋体" w:hAnsi="宋体"/>
          <w:bCs/>
          <w:color w:val="auto"/>
          <w:sz w:val="24"/>
          <w:szCs w:val="24"/>
          <w:highlight w:val="none"/>
        </w:rPr>
        <w:t xml:space="preserve">：</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bookmarkStart w:id="242" w:name="_Hlk152583725"/>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bookmarkEnd w:id="242"/>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243" w:name="OLE_LINK203"/>
      <w:r/>
      <w:bookmarkEnd w:id="243"/>
      <w:r/>
      <w:r/>
    </w:p>
    <w:p>
      <w:pPr>
        <w:ind w:left="420" w:firstLine="480"/>
        <w:jc w:val="center"/>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bookmarkStart w:id="244" w:name="_Hlk151451099"/>
      <w:r>
        <w:rPr>
          <w:rFonts w:hint="eastAsia" w:ascii="宋体" w:hAnsi="宋体"/>
          <w:bCs/>
          <w:color w:val="auto"/>
          <w:sz w:val="24"/>
          <w:szCs w:val="24"/>
          <w:highlight w:val="none"/>
        </w:rPr>
        <w:t xml:space="preserve">注：如采购人要求分包或采购人允许分包且投标人有分包意向的，应提供有效的分包情况说明，否则无需提供。</w:t>
      </w:r>
      <w:bookmarkEnd w:id="244"/>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spacing w:line="360" w:lineRule="auto"/>
        <w:tabs>
          <w:tab w:val="left" w:pos="255" w:leader="none"/>
        </w:tabs>
        <w:rPr>
          <w:rFonts w:hint="eastAsia" w:ascii="黑体" w:hAnsi="宋体" w:eastAsia="黑体"/>
          <w:bCs/>
          <w:color w:val="auto"/>
          <w:sz w:val="24"/>
          <w:szCs w:val="24"/>
          <w:highlight w:val="none"/>
        </w:rPr>
      </w:pPr>
      <w:r>
        <w:rPr>
          <w:rFonts w:ascii="宋体" w:hAnsi="宋体"/>
          <w:color w:val="auto"/>
          <w:sz w:val="24"/>
          <w:szCs w:val="21"/>
          <w:highlight w:val="none"/>
          <w:lang w:val="zh-CN"/>
        </w:rPr>
        <w:br w:type="page" w:clear="all"/>
      </w:r>
      <w:bookmarkStart w:id="245" w:name="_Hlk151563619"/>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r/>
    </w:p>
    <w:p>
      <w:pPr>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bookmarkStart w:id="246" w:name="_Hlk151458964"/>
      <w:r/>
      <w:bookmarkStart w:id="247" w:name="_Hlk151451145"/>
      <w:r>
        <w:rPr>
          <w:rFonts w:hint="eastAsia" w:ascii="宋体" w:hAnsi="宋体"/>
          <w:bCs/>
          <w:color w:val="auto"/>
          <w:sz w:val="24"/>
          <w:szCs w:val="24"/>
          <w:highlight w:val="none"/>
        </w:rPr>
        <w:t xml:space="preserve">注：如专门面向中小企业采购的，投标人应提供有效的《中小企业声明函》（格式见附件1），或《残疾人福利性单位声明函》（格式见附件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46"/>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hint="eastAsia" w:ascii="黑体" w:hAnsi="宋体" w:eastAsia="黑体"/>
          <w:bCs/>
          <w:color w:val="auto"/>
          <w:sz w:val="24"/>
          <w:szCs w:val="24"/>
          <w:highlight w:val="none"/>
        </w:rPr>
      </w:pPr>
      <w:r/>
      <w:bookmarkStart w:id="248" w:name="_Hlk151458994"/>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247"/>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08"/>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08"/>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08"/>
        <w:rPr>
          <w:rFonts w:hint="eastAsia"/>
          <w:color w:val="auto"/>
          <w:highlight w:val="none"/>
        </w:rPr>
      </w:pPr>
      <w:r>
        <w:rPr>
          <w:rFonts w:hint="eastAsia"/>
          <w:color w:val="auto"/>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bookmarkEnd w:id="248"/>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bookmarkEnd w:id="245"/>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spacing w:line="360" w:lineRule="auto"/>
        <w:tabs>
          <w:tab w:val="left" w:pos="0" w:leader="none"/>
          <w:tab w:val="left" w:pos="255" w:leader="none"/>
        </w:tabs>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rPr>
        <w:t xml:space="preserve">（三）符合条件</w:t>
      </w:r>
      <w:r/>
    </w:p>
    <w:p>
      <w:pPr>
        <w:spacing w:line="360" w:lineRule="auto"/>
        <w:tabs>
          <w:tab w:val="left" w:pos="0" w:leader="none"/>
          <w:tab w:val="left" w:pos="255" w:leader="none"/>
        </w:tabs>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致宜兴市教育局、江苏恒鸿建设咨询有限公司：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（项目编号：JSZC-320282-HHCG-G2026-0017）</w:t>
      </w:r>
      <w:r>
        <w:rPr>
          <w:rFonts w:hint="eastAsia" w:ascii="宋体" w:hAnsi="宋体"/>
          <w:bCs/>
          <w:color w:val="auto"/>
          <w:sz w:val="24"/>
          <w:highlight w:val="none"/>
          <w:lang w:val="zh-CN"/>
        </w:rPr>
        <w:t xml:space="preserve">招标文件，经仔细阅读和研究，我方决定参加投标。</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我方愿意按照招标文件的一切要求，提供投标</w:t>
      </w:r>
      <w:bookmarkStart w:id="249" w:name="_Hlk160091632"/>
      <w:r>
        <w:rPr>
          <w:rFonts w:hint="eastAsia" w:ascii="宋体" w:hAnsi="宋体"/>
          <w:bCs/>
          <w:color w:val="auto"/>
          <w:sz w:val="24"/>
          <w:highlight w:val="none"/>
          <w:lang w:val="zh-CN"/>
        </w:rPr>
        <w:t xml:space="preserve">产品</w:t>
      </w:r>
      <w:bookmarkEnd w:id="249"/>
      <w:r>
        <w:rPr>
          <w:rFonts w:hint="eastAsia" w:ascii="宋体" w:hAnsi="宋体"/>
          <w:bCs/>
          <w:color w:val="auto"/>
          <w:sz w:val="24"/>
          <w:highlight w:val="none"/>
          <w:lang w:val="zh-CN"/>
        </w:rPr>
        <w:t xml:space="preserve">，投标总价详见《开标一览表》。</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250" w:name="_Hlk160091917"/>
      <w:r>
        <w:rPr>
          <w:rFonts w:hint="eastAsia" w:ascii="宋体" w:hAnsi="宋体"/>
          <w:bCs/>
          <w:color w:val="auto"/>
          <w:sz w:val="24"/>
          <w:highlight w:val="none"/>
          <w:lang w:val="zh-CN"/>
        </w:rPr>
        <w:t xml:space="preserve">产品的技术参数</w:t>
      </w:r>
      <w:bookmarkEnd w:id="250"/>
      <w:r>
        <w:rPr>
          <w:rFonts w:hint="eastAsia" w:ascii="宋体" w:hAnsi="宋体"/>
          <w:bCs/>
          <w:color w:val="auto"/>
          <w:sz w:val="24"/>
          <w:highlight w:val="none"/>
          <w:lang w:val="zh-CN"/>
        </w:rPr>
        <w:t xml:space="preserve">，详见《</w:t>
      </w:r>
      <w:bookmarkStart w:id="251" w:name="_Hlk160091504"/>
      <w:r>
        <w:rPr>
          <w:rFonts w:hint="eastAsia" w:ascii="宋体" w:hAnsi="宋体"/>
          <w:bCs/>
          <w:color w:val="auto"/>
          <w:sz w:val="24"/>
          <w:highlight w:val="none"/>
          <w:lang w:val="zh-CN"/>
        </w:rPr>
        <w:t xml:space="preserve">项目技术要求偏离表</w:t>
      </w:r>
      <w:bookmarkEnd w:id="251"/>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707"/>
        <w:tblW w:w="93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707"/>
        <w:tblW w:w="93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投标人（电子签章）：</w:t>
      </w:r>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、明细报价表（格式）：</w:t>
      </w:r>
      <w:r/>
    </w:p>
    <w:p>
      <w:pPr>
        <w:jc w:val="center"/>
        <w:rPr>
          <w:rFonts w:hint="eastAsia" w:ascii="黑体" w:hAnsi="黑体" w:eastAsia="黑体"/>
          <w:color w:val="auto"/>
          <w:sz w:val="28"/>
          <w:szCs w:val="28"/>
          <w:highlight w:val="none"/>
        </w:rPr>
      </w:pPr>
      <w:r/>
      <w:bookmarkStart w:id="252" w:name="OLE_LINK3"/>
      <w:r>
        <w:rPr>
          <w:rFonts w:hint="eastAsia" w:ascii="黑体" w:hAnsi="黑体" w:eastAsia="黑体"/>
          <w:color w:val="auto"/>
          <w:sz w:val="28"/>
          <w:szCs w:val="28"/>
          <w:highlight w:val="none"/>
        </w:rPr>
        <w:t xml:space="preserve">明细报价表</w:t>
      </w:r>
      <w:bookmarkEnd w:id="252"/>
      <w:r/>
      <w:r/>
    </w:p>
    <w:p>
      <w:pPr>
        <w:spacing w:after="156"/>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江南大学宜兴校区超高效液相在线固相萃取串联四极杆质谱分析系统采购</w:t>
      </w:r>
      <w:r/>
    </w:p>
    <w:p>
      <w:pPr>
        <w:spacing w:after="156"/>
        <w:rPr>
          <w:rFonts w:hint="eastAsia" w:ascii="宋体" w:hAnsi="宋体"/>
          <w:bCs/>
          <w:color w:val="auto"/>
          <w:sz w:val="24"/>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JSZC-320282-HHCG-G2026-0017</w:t>
      </w:r>
      <w:r>
        <w:rPr>
          <w:rFonts w:hint="eastAsia" w:ascii="宋体" w:hAnsi="宋体"/>
          <w:color w:val="auto"/>
          <w:sz w:val="24"/>
          <w:szCs w:val="24"/>
          <w:highlight w:val="none"/>
        </w:rPr>
        <w:t xml:space="preserve">                                   </w:t>
      </w:r>
      <w:bookmarkStart w:id="253" w:name="_Toc14859"/>
      <w:r>
        <w:rPr>
          <w:rFonts w:hint="eastAsia" w:ascii="宋体" w:hAnsi="宋体"/>
          <w:bCs/>
          <w:color w:val="auto"/>
          <w:sz w:val="24"/>
          <w:highlight w:val="none"/>
        </w:rPr>
        <w:t xml:space="preserve">                           </w:t>
      </w:r>
      <w:r/>
    </w:p>
    <w:tbl>
      <w:tblPr>
        <w:tblStyle w:val="707"/>
        <w:tblW w:w="97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序号</w:t>
            </w:r>
            <w:r/>
          </w:p>
        </w:tc>
        <w:tc>
          <w:tcPr>
            <w:tcW w:w="1258"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货物名称</w:t>
            </w:r>
            <w:r/>
          </w:p>
        </w:tc>
        <w:tc>
          <w:tcPr>
            <w:tcW w:w="145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品牌型号</w:t>
            </w:r>
            <w:r/>
          </w:p>
        </w:tc>
        <w:tc>
          <w:tcPr>
            <w:gridSpan w:val="2"/>
            <w:tcW w:w="1714"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生产厂家</w:t>
            </w:r>
            <w:r/>
          </w:p>
        </w:tc>
        <w:tc>
          <w:tcPr>
            <w:tcW w:w="7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质保期</w:t>
            </w:r>
            <w:r/>
          </w:p>
        </w:tc>
        <w:tc>
          <w:tcPr>
            <w:gridSpan w:val="2"/>
            <w:tcW w:w="705"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854"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单价</w:t>
            </w:r>
            <w:r/>
          </w:p>
          <w:p>
            <w:pPr>
              <w:jc w:val="center"/>
              <w:spacing w:before="5"/>
              <w:rPr>
                <w:color w:val="auto"/>
                <w:sz w:val="18"/>
                <w:szCs w:val="18"/>
                <w:highlight w:val="none"/>
              </w:rPr>
            </w:pPr>
            <w:r>
              <w:rPr>
                <w:rFonts w:hint="eastAsia" w:ascii="宋体" w:hAnsi="宋体"/>
                <w:color w:val="auto"/>
                <w:sz w:val="18"/>
                <w:szCs w:val="18"/>
                <w:highlight w:val="none"/>
              </w:rPr>
              <w:t xml:space="preserve">(元)</w:t>
            </w:r>
            <w:r/>
          </w:p>
        </w:tc>
        <w:tc>
          <w:tcPr>
            <w:tcW w:w="1134"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合计报价</w:t>
            </w:r>
            <w:r/>
          </w:p>
          <w:p>
            <w:pPr>
              <w:jc w:val="center"/>
              <w:spacing w:before="5"/>
              <w:rPr>
                <w:color w:val="auto"/>
                <w:sz w:val="18"/>
                <w:szCs w:val="18"/>
                <w:highlight w:val="none"/>
              </w:rPr>
            </w:pPr>
            <w:r>
              <w:rPr>
                <w:rFonts w:hint="eastAsia" w:ascii="宋体" w:hAnsi="宋体"/>
                <w:color w:val="auto"/>
                <w:sz w:val="18"/>
                <w:szCs w:val="18"/>
                <w:highlight w:val="none"/>
              </w:rPr>
              <w:t xml:space="preserve">(元)</w:t>
            </w:r>
            <w:r/>
          </w:p>
        </w:tc>
        <w:tc>
          <w:tcPr>
            <w:tcW w:w="1194"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产品</w:t>
            </w:r>
            <w:r/>
          </w:p>
          <w:p>
            <w:pPr>
              <w:jc w:val="center"/>
              <w:spacing w:before="5"/>
              <w:rPr>
                <w:color w:val="auto"/>
                <w:sz w:val="18"/>
                <w:highlight w:val="none"/>
              </w:rPr>
            </w:pPr>
            <w:r>
              <w:rPr>
                <w:rFonts w:hint="eastAsia"/>
                <w:color w:val="auto"/>
                <w:sz w:val="18"/>
                <w:highlight w:val="none"/>
              </w:rPr>
              <w:t xml:space="preserve">类别</w:t>
            </w:r>
            <w:r/>
          </w:p>
        </w:tc>
      </w:tr>
      <w:tr>
        <w:trPr>
          <w:gridAfter w:val="1"/>
          <w:jc w:val="center"/>
          <w:trHeight w:val="330"/>
        </w:trPr>
        <w:tc>
          <w:tcPr>
            <w:tcW w:w="652"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1</w:t>
            </w:r>
            <w:r/>
          </w:p>
        </w:tc>
        <w:tc>
          <w:tcPr>
            <w:tcW w:w="1258" w:type="dxa"/>
            <w:vAlign w:val="center"/>
            <w:textDirection w:val="lrTb"/>
            <w:noWrap w:val="false"/>
          </w:tcPr>
          <w:p>
            <w:pPr>
              <w:pStyle w:val="906"/>
              <w:jc w:val="center"/>
              <w:spacing w:line="240" w:lineRule="atLeast"/>
              <w:rPr>
                <w:rFonts w:ascii="Calibri" w:hAnsi="Calibri"/>
                <w:color w:val="auto"/>
                <w:sz w:val="18"/>
                <w:highlight w:val="none"/>
              </w:rPr>
            </w:pPr>
            <w:r>
              <w:rPr>
                <w:rFonts w:ascii="Calibri" w:hAnsi="Calibri"/>
                <w:color w:val="auto"/>
                <w:sz w:val="18"/>
                <w:highlight w:val="none"/>
              </w:rPr>
            </w:r>
            <w:r/>
          </w:p>
        </w:tc>
        <w:tc>
          <w:tcPr>
            <w:tcW w:w="1450"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1714" w:type="dxa"/>
            <w:vAlign w:val="center"/>
            <w:textDirection w:val="lrTb"/>
            <w:noWrap w:val="false"/>
          </w:tcPr>
          <w:p>
            <w:pPr>
              <w:jc w:val="center"/>
              <w:spacing w:before="5"/>
              <w:rPr>
                <w:color w:val="auto"/>
                <w:sz w:val="18"/>
                <w:highlight w:val="none"/>
              </w:rPr>
            </w:pPr>
            <w:r>
              <w:rPr>
                <w:color w:val="auto"/>
                <w:sz w:val="18"/>
                <w:highlight w:val="none"/>
              </w:rPr>
            </w:r>
            <w:r/>
          </w:p>
        </w:tc>
        <w:tc>
          <w:tcPr>
            <w:tcW w:w="799"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705" w:type="dxa"/>
            <w:vAlign w:val="center"/>
            <w:textDirection w:val="lrTb"/>
            <w:noWrap w:val="false"/>
          </w:tcPr>
          <w:p>
            <w:pPr>
              <w:jc w:val="center"/>
              <w:spacing w:before="5"/>
              <w:rPr>
                <w:color w:val="auto"/>
                <w:sz w:val="18"/>
                <w:highlight w:val="none"/>
              </w:rPr>
            </w:pPr>
            <w:r>
              <w:rPr>
                <w:color w:val="auto"/>
                <w:sz w:val="18"/>
                <w:highlight w:val="none"/>
              </w:rPr>
            </w:r>
            <w:r/>
          </w:p>
        </w:tc>
        <w:tc>
          <w:tcPr>
            <w:tcW w:w="854" w:type="dxa"/>
            <w:vAlign w:val="center"/>
            <w:textDirection w:val="lrTb"/>
            <w:noWrap w:val="false"/>
          </w:tcPr>
          <w:p>
            <w:pPr>
              <w:jc w:val="center"/>
              <w:spacing w:before="5"/>
              <w:rPr>
                <w:color w:val="auto"/>
                <w:sz w:val="18"/>
                <w:highlight w:val="none"/>
              </w:rPr>
            </w:pPr>
            <w:r>
              <w:rPr>
                <w:color w:val="auto"/>
                <w:sz w:val="18"/>
                <w:highlight w:val="none"/>
              </w:rPr>
            </w:r>
            <w:r/>
          </w:p>
        </w:tc>
        <w:tc>
          <w:tcPr>
            <w:tcW w:w="1134" w:type="dxa"/>
            <w:vAlign w:val="center"/>
            <w:textDirection w:val="lrTb"/>
            <w:noWrap w:val="false"/>
          </w:tcPr>
          <w:p>
            <w:pPr>
              <w:jc w:val="center"/>
              <w:spacing w:before="5"/>
              <w:rPr>
                <w:color w:val="auto"/>
                <w:sz w:val="18"/>
                <w:highlight w:val="none"/>
              </w:rPr>
            </w:pPr>
            <w:r>
              <w:rPr>
                <w:color w:val="auto"/>
                <w:sz w:val="18"/>
                <w:highlight w:val="none"/>
              </w:rPr>
            </w:r>
            <w:r/>
          </w:p>
        </w:tc>
        <w:tc>
          <w:tcPr>
            <w:tcW w:w="1194" w:type="dxa"/>
            <w:vAlign w:val="center"/>
            <w:textDirection w:val="lrTb"/>
            <w:noWrap w:val="false"/>
          </w:tcPr>
          <w:p>
            <w:pPr>
              <w:jc w:val="center"/>
              <w:spacing w:before="5"/>
              <w:rPr>
                <w:color w:val="auto"/>
                <w:sz w:val="18"/>
                <w:highlight w:val="none"/>
              </w:rPr>
            </w:pPr>
            <w:r>
              <w:rPr>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2</w:t>
            </w:r>
            <w:r/>
          </w:p>
        </w:tc>
        <w:tc>
          <w:tcPr>
            <w:tcW w:w="1258" w:type="dxa"/>
            <w:vAlign w:val="center"/>
            <w:textDirection w:val="lrTb"/>
            <w:noWrap w:val="false"/>
          </w:tcPr>
          <w:p>
            <w:pPr>
              <w:pStyle w:val="906"/>
              <w:jc w:val="center"/>
              <w:spacing w:line="240" w:lineRule="atLeast"/>
              <w:rPr>
                <w:rFonts w:ascii="Calibri" w:hAnsi="Calibri"/>
                <w:color w:val="auto"/>
                <w:sz w:val="18"/>
                <w:highlight w:val="none"/>
              </w:rPr>
            </w:pPr>
            <w:r>
              <w:rPr>
                <w:rFonts w:ascii="Calibri" w:hAnsi="Calibri"/>
                <w:color w:val="auto"/>
                <w:sz w:val="18"/>
                <w:highlight w:val="none"/>
              </w:rPr>
            </w:r>
            <w:r/>
          </w:p>
        </w:tc>
        <w:tc>
          <w:tcPr>
            <w:tcW w:w="1450"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1714" w:type="dxa"/>
            <w:vAlign w:val="center"/>
            <w:textDirection w:val="lrTb"/>
            <w:noWrap w:val="false"/>
          </w:tcPr>
          <w:p>
            <w:pPr>
              <w:jc w:val="center"/>
              <w:spacing w:before="5"/>
              <w:rPr>
                <w:color w:val="auto"/>
                <w:sz w:val="18"/>
                <w:highlight w:val="none"/>
              </w:rPr>
            </w:pPr>
            <w:r>
              <w:rPr>
                <w:color w:val="auto"/>
                <w:sz w:val="18"/>
                <w:highlight w:val="none"/>
              </w:rPr>
            </w:r>
            <w:r/>
          </w:p>
        </w:tc>
        <w:tc>
          <w:tcPr>
            <w:tcW w:w="799"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705" w:type="dxa"/>
            <w:vAlign w:val="center"/>
            <w:textDirection w:val="lrTb"/>
            <w:noWrap w:val="false"/>
          </w:tcPr>
          <w:p>
            <w:pPr>
              <w:jc w:val="center"/>
              <w:spacing w:before="5"/>
              <w:rPr>
                <w:color w:val="auto"/>
                <w:sz w:val="18"/>
                <w:highlight w:val="none"/>
              </w:rPr>
            </w:pPr>
            <w:r>
              <w:rPr>
                <w:color w:val="auto"/>
                <w:sz w:val="18"/>
                <w:highlight w:val="none"/>
              </w:rPr>
            </w:r>
            <w:r/>
          </w:p>
        </w:tc>
        <w:tc>
          <w:tcPr>
            <w:tcW w:w="854" w:type="dxa"/>
            <w:vAlign w:val="center"/>
            <w:textDirection w:val="lrTb"/>
            <w:noWrap w:val="false"/>
          </w:tcPr>
          <w:p>
            <w:pPr>
              <w:jc w:val="center"/>
              <w:spacing w:before="5"/>
              <w:rPr>
                <w:color w:val="auto"/>
                <w:sz w:val="18"/>
                <w:highlight w:val="none"/>
              </w:rPr>
            </w:pPr>
            <w:r>
              <w:rPr>
                <w:color w:val="auto"/>
                <w:sz w:val="18"/>
                <w:highlight w:val="none"/>
              </w:rPr>
            </w:r>
            <w:r/>
          </w:p>
        </w:tc>
        <w:tc>
          <w:tcPr>
            <w:tcW w:w="1134" w:type="dxa"/>
            <w:vAlign w:val="center"/>
            <w:textDirection w:val="lrTb"/>
            <w:noWrap w:val="false"/>
          </w:tcPr>
          <w:p>
            <w:pPr>
              <w:jc w:val="center"/>
              <w:spacing w:before="5"/>
              <w:rPr>
                <w:color w:val="auto"/>
                <w:sz w:val="18"/>
                <w:highlight w:val="none"/>
              </w:rPr>
            </w:pPr>
            <w:r>
              <w:rPr>
                <w:color w:val="auto"/>
                <w:sz w:val="18"/>
                <w:highlight w:val="none"/>
              </w:rPr>
            </w:r>
            <w:r/>
          </w:p>
        </w:tc>
        <w:tc>
          <w:tcPr>
            <w:tcW w:w="1194" w:type="dxa"/>
            <w:vAlign w:val="center"/>
            <w:textDirection w:val="lrTb"/>
            <w:noWrap w:val="false"/>
          </w:tcPr>
          <w:p>
            <w:pPr>
              <w:jc w:val="center"/>
              <w:spacing w:before="5"/>
              <w:rPr>
                <w:color w:val="auto"/>
                <w:sz w:val="18"/>
                <w:highlight w:val="none"/>
              </w:rPr>
            </w:pPr>
            <w:r>
              <w:rPr>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w:t>
            </w:r>
            <w:r/>
          </w:p>
        </w:tc>
        <w:tc>
          <w:tcPr>
            <w:tcW w:w="1258" w:type="dxa"/>
            <w:vAlign w:val="center"/>
            <w:textDirection w:val="lrTb"/>
            <w:noWrap w:val="false"/>
          </w:tcPr>
          <w:p>
            <w:pPr>
              <w:pStyle w:val="906"/>
              <w:jc w:val="center"/>
              <w:spacing w:line="240" w:lineRule="atLeast"/>
              <w:rPr>
                <w:rFonts w:ascii="Calibri" w:hAnsi="Calibri"/>
                <w:color w:val="auto"/>
                <w:sz w:val="18"/>
                <w:highlight w:val="none"/>
              </w:rPr>
            </w:pPr>
            <w:r>
              <w:rPr>
                <w:rFonts w:ascii="Calibri" w:hAnsi="Calibri"/>
                <w:color w:val="auto"/>
                <w:sz w:val="18"/>
                <w:highlight w:val="none"/>
              </w:rPr>
            </w:r>
            <w:r/>
          </w:p>
        </w:tc>
        <w:tc>
          <w:tcPr>
            <w:tcW w:w="1450"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1714" w:type="dxa"/>
            <w:vAlign w:val="center"/>
            <w:textDirection w:val="lrTb"/>
            <w:noWrap w:val="false"/>
          </w:tcPr>
          <w:p>
            <w:pPr>
              <w:jc w:val="center"/>
              <w:spacing w:before="5"/>
              <w:rPr>
                <w:color w:val="auto"/>
                <w:sz w:val="18"/>
                <w:highlight w:val="none"/>
              </w:rPr>
            </w:pPr>
            <w:r>
              <w:rPr>
                <w:color w:val="auto"/>
                <w:sz w:val="18"/>
                <w:highlight w:val="none"/>
              </w:rPr>
            </w:r>
            <w:r/>
          </w:p>
        </w:tc>
        <w:tc>
          <w:tcPr>
            <w:tcW w:w="799"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705" w:type="dxa"/>
            <w:vAlign w:val="center"/>
            <w:textDirection w:val="lrTb"/>
            <w:noWrap w:val="false"/>
          </w:tcPr>
          <w:p>
            <w:pPr>
              <w:jc w:val="center"/>
              <w:spacing w:before="5"/>
              <w:rPr>
                <w:color w:val="auto"/>
                <w:sz w:val="18"/>
                <w:highlight w:val="none"/>
              </w:rPr>
            </w:pPr>
            <w:r>
              <w:rPr>
                <w:color w:val="auto"/>
                <w:sz w:val="18"/>
                <w:highlight w:val="none"/>
              </w:rPr>
            </w:r>
            <w:r/>
          </w:p>
        </w:tc>
        <w:tc>
          <w:tcPr>
            <w:tcW w:w="854" w:type="dxa"/>
            <w:vAlign w:val="center"/>
            <w:textDirection w:val="lrTb"/>
            <w:noWrap w:val="false"/>
          </w:tcPr>
          <w:p>
            <w:pPr>
              <w:jc w:val="center"/>
              <w:spacing w:before="5"/>
              <w:rPr>
                <w:color w:val="auto"/>
                <w:sz w:val="18"/>
                <w:highlight w:val="none"/>
              </w:rPr>
            </w:pPr>
            <w:r>
              <w:rPr>
                <w:color w:val="auto"/>
                <w:sz w:val="18"/>
                <w:highlight w:val="none"/>
              </w:rPr>
            </w:r>
            <w:r/>
          </w:p>
        </w:tc>
        <w:tc>
          <w:tcPr>
            <w:tcW w:w="1134" w:type="dxa"/>
            <w:vAlign w:val="center"/>
            <w:textDirection w:val="lrTb"/>
            <w:noWrap w:val="false"/>
          </w:tcPr>
          <w:p>
            <w:pPr>
              <w:jc w:val="center"/>
              <w:spacing w:before="5"/>
              <w:rPr>
                <w:color w:val="auto"/>
                <w:sz w:val="18"/>
                <w:highlight w:val="none"/>
              </w:rPr>
            </w:pPr>
            <w:r>
              <w:rPr>
                <w:color w:val="auto"/>
                <w:sz w:val="18"/>
                <w:highlight w:val="none"/>
              </w:rPr>
            </w:r>
            <w:r/>
          </w:p>
        </w:tc>
        <w:tc>
          <w:tcPr>
            <w:tcW w:w="1194" w:type="dxa"/>
            <w:vAlign w:val="center"/>
            <w:textDirection w:val="lrTb"/>
            <w:noWrap w:val="false"/>
          </w:tcPr>
          <w:p>
            <w:pPr>
              <w:jc w:val="center"/>
              <w:spacing w:before="5"/>
              <w:rPr>
                <w:color w:val="auto"/>
                <w:sz w:val="18"/>
                <w:highlight w:val="none"/>
              </w:rPr>
            </w:pPr>
            <w:r>
              <w:rPr>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color w:val="auto"/>
                <w:sz w:val="18"/>
                <w:highlight w:val="none"/>
              </w:rPr>
            </w:pPr>
            <w:r>
              <w:rPr>
                <w:color w:val="auto"/>
                <w:sz w:val="18"/>
                <w:highlight w:val="none"/>
              </w:rPr>
            </w:r>
            <w:r/>
          </w:p>
        </w:tc>
        <w:tc>
          <w:tcPr>
            <w:tcW w:w="1258" w:type="dxa"/>
            <w:vAlign w:val="center"/>
            <w:textDirection w:val="lrTb"/>
            <w:noWrap w:val="false"/>
          </w:tcPr>
          <w:p>
            <w:pPr>
              <w:pStyle w:val="906"/>
              <w:jc w:val="center"/>
              <w:spacing w:line="240" w:lineRule="atLeast"/>
              <w:rPr>
                <w:rFonts w:ascii="Calibri" w:hAnsi="Calibri"/>
                <w:color w:val="auto"/>
                <w:sz w:val="18"/>
                <w:highlight w:val="none"/>
              </w:rPr>
            </w:pPr>
            <w:r>
              <w:rPr>
                <w:rFonts w:ascii="Calibri" w:hAnsi="Calibri"/>
                <w:color w:val="auto"/>
                <w:sz w:val="18"/>
                <w:highlight w:val="none"/>
              </w:rPr>
            </w:r>
            <w:r/>
          </w:p>
        </w:tc>
        <w:tc>
          <w:tcPr>
            <w:tcW w:w="1450"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1714" w:type="dxa"/>
            <w:vAlign w:val="center"/>
            <w:textDirection w:val="lrTb"/>
            <w:noWrap w:val="false"/>
          </w:tcPr>
          <w:p>
            <w:pPr>
              <w:jc w:val="center"/>
              <w:spacing w:before="5"/>
              <w:rPr>
                <w:color w:val="auto"/>
                <w:sz w:val="18"/>
                <w:highlight w:val="none"/>
              </w:rPr>
            </w:pPr>
            <w:r>
              <w:rPr>
                <w:color w:val="auto"/>
                <w:sz w:val="18"/>
                <w:highlight w:val="none"/>
              </w:rPr>
            </w:r>
            <w:r/>
          </w:p>
        </w:tc>
        <w:tc>
          <w:tcPr>
            <w:tcW w:w="799"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705" w:type="dxa"/>
            <w:vAlign w:val="center"/>
            <w:textDirection w:val="lrTb"/>
            <w:noWrap w:val="false"/>
          </w:tcPr>
          <w:p>
            <w:pPr>
              <w:jc w:val="center"/>
              <w:spacing w:before="5"/>
              <w:rPr>
                <w:color w:val="auto"/>
                <w:sz w:val="18"/>
                <w:highlight w:val="none"/>
              </w:rPr>
            </w:pPr>
            <w:r>
              <w:rPr>
                <w:color w:val="auto"/>
                <w:sz w:val="18"/>
                <w:highlight w:val="none"/>
              </w:rPr>
            </w:r>
            <w:r/>
          </w:p>
        </w:tc>
        <w:tc>
          <w:tcPr>
            <w:tcW w:w="854" w:type="dxa"/>
            <w:vAlign w:val="center"/>
            <w:textDirection w:val="lrTb"/>
            <w:noWrap w:val="false"/>
          </w:tcPr>
          <w:p>
            <w:pPr>
              <w:jc w:val="center"/>
              <w:spacing w:before="5"/>
              <w:rPr>
                <w:color w:val="auto"/>
                <w:sz w:val="18"/>
                <w:highlight w:val="none"/>
              </w:rPr>
            </w:pPr>
            <w:r>
              <w:rPr>
                <w:color w:val="auto"/>
                <w:sz w:val="18"/>
                <w:highlight w:val="none"/>
              </w:rPr>
            </w:r>
            <w:r/>
          </w:p>
        </w:tc>
        <w:tc>
          <w:tcPr>
            <w:tcW w:w="1134" w:type="dxa"/>
            <w:vAlign w:val="center"/>
            <w:textDirection w:val="lrTb"/>
            <w:noWrap w:val="false"/>
          </w:tcPr>
          <w:p>
            <w:pPr>
              <w:jc w:val="center"/>
              <w:spacing w:before="5"/>
              <w:rPr>
                <w:color w:val="auto"/>
                <w:sz w:val="18"/>
                <w:highlight w:val="none"/>
              </w:rPr>
            </w:pPr>
            <w:r>
              <w:rPr>
                <w:color w:val="auto"/>
                <w:sz w:val="18"/>
                <w:highlight w:val="none"/>
              </w:rPr>
            </w:r>
            <w:r/>
          </w:p>
        </w:tc>
        <w:tc>
          <w:tcPr>
            <w:tcW w:w="1194" w:type="dxa"/>
            <w:vAlign w:val="center"/>
            <w:textDirection w:val="lrTb"/>
            <w:noWrap w:val="false"/>
          </w:tcPr>
          <w:p>
            <w:pPr>
              <w:jc w:val="center"/>
              <w:spacing w:before="5"/>
              <w:rPr>
                <w:color w:val="auto"/>
                <w:sz w:val="18"/>
                <w:highlight w:val="none"/>
              </w:rPr>
            </w:pPr>
            <w:r>
              <w:rPr>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color w:val="auto"/>
                <w:sz w:val="18"/>
                <w:highlight w:val="none"/>
              </w:rPr>
            </w:pPr>
            <w:r>
              <w:rPr>
                <w:color w:val="auto"/>
                <w:sz w:val="18"/>
                <w:highlight w:val="none"/>
              </w:rPr>
            </w:r>
            <w:r/>
          </w:p>
        </w:tc>
        <w:tc>
          <w:tcPr>
            <w:tcW w:w="1258" w:type="dxa"/>
            <w:vAlign w:val="center"/>
            <w:textDirection w:val="lrTb"/>
            <w:noWrap w:val="false"/>
          </w:tcPr>
          <w:p>
            <w:pPr>
              <w:pStyle w:val="906"/>
              <w:jc w:val="center"/>
              <w:spacing w:line="240" w:lineRule="atLeast"/>
              <w:rPr>
                <w:rFonts w:ascii="Calibri" w:hAnsi="Calibri"/>
                <w:color w:val="auto"/>
                <w:sz w:val="18"/>
                <w:highlight w:val="none"/>
              </w:rPr>
            </w:pPr>
            <w:r>
              <w:rPr>
                <w:rFonts w:ascii="Calibri" w:hAnsi="Calibri"/>
                <w:color w:val="auto"/>
                <w:sz w:val="18"/>
                <w:highlight w:val="none"/>
              </w:rPr>
            </w:r>
            <w:r/>
          </w:p>
        </w:tc>
        <w:tc>
          <w:tcPr>
            <w:tcW w:w="1450"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1714" w:type="dxa"/>
            <w:vAlign w:val="center"/>
            <w:textDirection w:val="lrTb"/>
            <w:noWrap w:val="false"/>
          </w:tcPr>
          <w:p>
            <w:pPr>
              <w:jc w:val="center"/>
              <w:spacing w:before="5"/>
              <w:rPr>
                <w:color w:val="auto"/>
                <w:sz w:val="18"/>
                <w:highlight w:val="none"/>
              </w:rPr>
            </w:pPr>
            <w:r>
              <w:rPr>
                <w:color w:val="auto"/>
                <w:sz w:val="18"/>
                <w:highlight w:val="none"/>
              </w:rPr>
            </w:r>
            <w:r/>
          </w:p>
        </w:tc>
        <w:tc>
          <w:tcPr>
            <w:tcW w:w="799"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705" w:type="dxa"/>
            <w:vAlign w:val="center"/>
            <w:textDirection w:val="lrTb"/>
            <w:noWrap w:val="false"/>
          </w:tcPr>
          <w:p>
            <w:pPr>
              <w:jc w:val="center"/>
              <w:spacing w:before="5"/>
              <w:rPr>
                <w:color w:val="auto"/>
                <w:sz w:val="18"/>
                <w:highlight w:val="none"/>
              </w:rPr>
            </w:pPr>
            <w:r>
              <w:rPr>
                <w:color w:val="auto"/>
                <w:sz w:val="18"/>
                <w:highlight w:val="none"/>
              </w:rPr>
            </w:r>
            <w:r/>
          </w:p>
        </w:tc>
        <w:tc>
          <w:tcPr>
            <w:tcW w:w="854" w:type="dxa"/>
            <w:vAlign w:val="center"/>
            <w:textDirection w:val="lrTb"/>
            <w:noWrap w:val="false"/>
          </w:tcPr>
          <w:p>
            <w:pPr>
              <w:jc w:val="center"/>
              <w:spacing w:before="5"/>
              <w:rPr>
                <w:color w:val="auto"/>
                <w:sz w:val="18"/>
                <w:highlight w:val="none"/>
              </w:rPr>
            </w:pPr>
            <w:r>
              <w:rPr>
                <w:color w:val="auto"/>
                <w:sz w:val="18"/>
                <w:highlight w:val="none"/>
              </w:rPr>
            </w:r>
            <w:r/>
          </w:p>
        </w:tc>
        <w:tc>
          <w:tcPr>
            <w:tcW w:w="1134" w:type="dxa"/>
            <w:vAlign w:val="center"/>
            <w:textDirection w:val="lrTb"/>
            <w:noWrap w:val="false"/>
          </w:tcPr>
          <w:p>
            <w:pPr>
              <w:jc w:val="center"/>
              <w:spacing w:before="5"/>
              <w:rPr>
                <w:color w:val="auto"/>
                <w:sz w:val="18"/>
                <w:highlight w:val="none"/>
              </w:rPr>
            </w:pPr>
            <w:r>
              <w:rPr>
                <w:color w:val="auto"/>
                <w:sz w:val="18"/>
                <w:highlight w:val="none"/>
              </w:rPr>
            </w:r>
            <w:r/>
          </w:p>
        </w:tc>
        <w:tc>
          <w:tcPr>
            <w:tcW w:w="1194" w:type="dxa"/>
            <w:vAlign w:val="center"/>
            <w:textDirection w:val="lrTb"/>
            <w:noWrap w:val="false"/>
          </w:tcPr>
          <w:p>
            <w:pPr>
              <w:jc w:val="center"/>
              <w:spacing w:before="5"/>
              <w:rPr>
                <w:color w:val="auto"/>
                <w:sz w:val="18"/>
                <w:highlight w:val="none"/>
              </w:rPr>
            </w:pPr>
            <w:r>
              <w:rPr>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color w:val="auto"/>
                <w:sz w:val="18"/>
                <w:highlight w:val="none"/>
              </w:rPr>
            </w:pPr>
            <w:r>
              <w:rPr>
                <w:color w:val="auto"/>
                <w:sz w:val="18"/>
                <w:highlight w:val="none"/>
              </w:rPr>
            </w:r>
            <w:r/>
          </w:p>
        </w:tc>
        <w:tc>
          <w:tcPr>
            <w:tcW w:w="1258" w:type="dxa"/>
            <w:vAlign w:val="center"/>
            <w:textDirection w:val="lrTb"/>
            <w:noWrap w:val="false"/>
          </w:tcPr>
          <w:p>
            <w:pPr>
              <w:pStyle w:val="906"/>
              <w:jc w:val="center"/>
              <w:spacing w:line="240" w:lineRule="atLeast"/>
              <w:rPr>
                <w:rFonts w:ascii="Calibri" w:hAnsi="Calibri"/>
                <w:color w:val="auto"/>
                <w:sz w:val="18"/>
                <w:highlight w:val="none"/>
              </w:rPr>
            </w:pPr>
            <w:r>
              <w:rPr>
                <w:rFonts w:ascii="Calibri" w:hAnsi="Calibri"/>
                <w:color w:val="auto"/>
                <w:sz w:val="18"/>
                <w:highlight w:val="none"/>
              </w:rPr>
            </w:r>
            <w:r/>
          </w:p>
        </w:tc>
        <w:tc>
          <w:tcPr>
            <w:tcW w:w="1450"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1714" w:type="dxa"/>
            <w:vAlign w:val="center"/>
            <w:textDirection w:val="lrTb"/>
            <w:noWrap w:val="false"/>
          </w:tcPr>
          <w:p>
            <w:pPr>
              <w:jc w:val="center"/>
              <w:spacing w:before="5"/>
              <w:rPr>
                <w:color w:val="auto"/>
                <w:sz w:val="18"/>
                <w:highlight w:val="none"/>
              </w:rPr>
            </w:pPr>
            <w:r>
              <w:rPr>
                <w:color w:val="auto"/>
                <w:sz w:val="18"/>
                <w:highlight w:val="none"/>
              </w:rPr>
            </w:r>
            <w:r/>
          </w:p>
        </w:tc>
        <w:tc>
          <w:tcPr>
            <w:tcW w:w="799" w:type="dxa"/>
            <w:vAlign w:val="center"/>
            <w:textDirection w:val="lrTb"/>
            <w:noWrap w:val="false"/>
          </w:tcPr>
          <w:p>
            <w:pPr>
              <w:jc w:val="center"/>
              <w:spacing w:before="5"/>
              <w:rPr>
                <w:color w:val="auto"/>
                <w:sz w:val="18"/>
                <w:highlight w:val="none"/>
              </w:rPr>
            </w:pPr>
            <w:r>
              <w:rPr>
                <w:color w:val="auto"/>
                <w:sz w:val="18"/>
                <w:highlight w:val="none"/>
              </w:rPr>
            </w:r>
            <w:r/>
          </w:p>
        </w:tc>
        <w:tc>
          <w:tcPr>
            <w:gridSpan w:val="2"/>
            <w:tcW w:w="705" w:type="dxa"/>
            <w:vAlign w:val="center"/>
            <w:textDirection w:val="lrTb"/>
            <w:noWrap w:val="false"/>
          </w:tcPr>
          <w:p>
            <w:pPr>
              <w:jc w:val="center"/>
              <w:spacing w:before="5"/>
              <w:rPr>
                <w:color w:val="auto"/>
                <w:sz w:val="18"/>
                <w:highlight w:val="none"/>
              </w:rPr>
            </w:pPr>
            <w:r>
              <w:rPr>
                <w:color w:val="auto"/>
                <w:sz w:val="18"/>
                <w:highlight w:val="none"/>
              </w:rPr>
            </w:r>
            <w:r/>
          </w:p>
        </w:tc>
        <w:tc>
          <w:tcPr>
            <w:tcW w:w="854" w:type="dxa"/>
            <w:vAlign w:val="center"/>
            <w:textDirection w:val="lrTb"/>
            <w:noWrap w:val="false"/>
          </w:tcPr>
          <w:p>
            <w:pPr>
              <w:jc w:val="center"/>
              <w:spacing w:before="5"/>
              <w:rPr>
                <w:color w:val="auto"/>
                <w:sz w:val="18"/>
                <w:highlight w:val="none"/>
              </w:rPr>
            </w:pPr>
            <w:r>
              <w:rPr>
                <w:color w:val="auto"/>
                <w:sz w:val="18"/>
                <w:highlight w:val="none"/>
              </w:rPr>
            </w:r>
            <w:r/>
          </w:p>
        </w:tc>
        <w:tc>
          <w:tcPr>
            <w:tcW w:w="1134" w:type="dxa"/>
            <w:vAlign w:val="center"/>
            <w:textDirection w:val="lrTb"/>
            <w:noWrap w:val="false"/>
          </w:tcPr>
          <w:p>
            <w:pPr>
              <w:jc w:val="center"/>
              <w:spacing w:before="5"/>
              <w:rPr>
                <w:color w:val="auto"/>
                <w:sz w:val="18"/>
                <w:highlight w:val="none"/>
              </w:rPr>
            </w:pPr>
            <w:r>
              <w:rPr>
                <w:color w:val="auto"/>
                <w:sz w:val="18"/>
                <w:highlight w:val="none"/>
              </w:rPr>
            </w:r>
            <w:r/>
          </w:p>
        </w:tc>
        <w:tc>
          <w:tcPr>
            <w:tcW w:w="1194" w:type="dxa"/>
            <w:vAlign w:val="center"/>
            <w:textDirection w:val="lrTb"/>
            <w:noWrap w:val="false"/>
          </w:tcPr>
          <w:p>
            <w:pPr>
              <w:jc w:val="center"/>
              <w:spacing w:before="5"/>
              <w:rPr>
                <w:color w:val="auto"/>
                <w:sz w:val="18"/>
                <w:highlight w:val="none"/>
              </w:rPr>
            </w:pPr>
            <w:r>
              <w:rPr>
                <w:color w:val="auto"/>
                <w:sz w:val="18"/>
                <w:highlight w:val="none"/>
              </w:rPr>
            </w:r>
            <w:r/>
          </w:p>
        </w:tc>
      </w:tr>
      <w:tr>
        <w:trPr>
          <w:jc w:val="center"/>
          <w:trHeight w:val="625"/>
        </w:trPr>
        <w:tc>
          <w:tcPr>
            <w:gridSpan w:val="2"/>
            <w:tcW w:w="1910" w:type="dxa"/>
            <w:vAlign w:val="center"/>
            <w:textDirection w:val="lrTb"/>
            <w:noWrap w:val="false"/>
          </w:tcPr>
          <w:p>
            <w:pPr>
              <w:jc w:val="center"/>
              <w:spacing w:before="5"/>
              <w:rPr>
                <w:color w:val="auto"/>
                <w:sz w:val="24"/>
                <w:szCs w:val="24"/>
                <w:highlight w:val="none"/>
              </w:rPr>
            </w:pPr>
            <w:r>
              <w:rPr>
                <w:rFonts w:hint="eastAsia"/>
                <w:b/>
                <w:bCs/>
                <w:color w:val="auto"/>
                <w:sz w:val="24"/>
                <w:szCs w:val="24"/>
                <w:highlight w:val="none"/>
              </w:rPr>
              <w:t xml:space="preserve">合计总价</w:t>
            </w:r>
            <w:r>
              <w:rPr>
                <w:rFonts w:hint="eastAsia" w:ascii="宋体" w:hAnsi="宋体"/>
                <w:b/>
                <w:bCs/>
                <w:color w:val="auto"/>
                <w:szCs w:val="21"/>
                <w:highlight w:val="none"/>
              </w:rPr>
              <w:t xml:space="preserve">(元)</w:t>
            </w:r>
            <w:r/>
          </w:p>
        </w:tc>
        <w:tc>
          <w:tcPr>
            <w:gridSpan w:val="10"/>
            <w:tcW w:w="7861" w:type="dxa"/>
            <w:vAlign w:val="center"/>
            <w:textDirection w:val="lrTb"/>
            <w:noWrap w:val="false"/>
          </w:tcPr>
          <w:p>
            <w:pPr>
              <w:jc w:val="center"/>
              <w:spacing w:before="5"/>
              <w:rPr>
                <w:color w:val="auto"/>
                <w:sz w:val="18"/>
                <w:highlight w:val="none"/>
              </w:rPr>
            </w:pPr>
            <w:r>
              <w:rPr>
                <w:color w:val="auto"/>
                <w:sz w:val="18"/>
                <w:highlight w:val="none"/>
              </w:rPr>
            </w:r>
            <w:r/>
          </w:p>
        </w:tc>
      </w:tr>
      <w:tr>
        <w:trPr>
          <w:jc w:val="center"/>
          <w:trHeight w:val="670"/>
        </w:trPr>
        <w:tc>
          <w:tcPr>
            <w:gridSpan w:val="2"/>
            <w:tcW w:w="1910" w:type="dxa"/>
            <w:vAlign w:val="center"/>
            <w:textDirection w:val="lrTb"/>
            <w:noWrap w:val="false"/>
          </w:tcPr>
          <w:p>
            <w:pPr>
              <w:jc w:val="center"/>
              <w:rPr>
                <w:rFonts w:ascii="宋体"/>
                <w:b/>
                <w:bCs/>
                <w:color w:val="auto"/>
                <w:sz w:val="24"/>
                <w:highlight w:val="none"/>
              </w:rPr>
            </w:pPr>
            <w:r>
              <w:rPr>
                <w:rFonts w:hint="eastAsia" w:ascii="宋体"/>
                <w:b/>
                <w:bCs/>
                <w:color w:val="auto"/>
                <w:sz w:val="24"/>
                <w:szCs w:val="22"/>
                <w:highlight w:val="none"/>
              </w:rPr>
              <w:t xml:space="preserve">核心产品</w:t>
            </w:r>
            <w:r/>
          </w:p>
        </w:tc>
        <w:tc>
          <w:tcPr>
            <w:gridSpan w:val="2"/>
            <w:tcW w:w="2759" w:type="dxa"/>
            <w:vAlign w:val="center"/>
            <w:textDirection w:val="lrTb"/>
            <w:noWrap w:val="false"/>
          </w:tcPr>
          <w:p>
            <w:pPr>
              <w:jc w:val="left"/>
              <w:rPr>
                <w:rFonts w:ascii="宋体"/>
                <w:b/>
                <w:bCs/>
                <w:color w:val="auto"/>
                <w:sz w:val="24"/>
                <w:highlight w:val="none"/>
              </w:rPr>
            </w:pPr>
            <w:r>
              <w:rPr>
                <w:rFonts w:ascii="宋体"/>
                <w:b/>
                <w:bCs/>
                <w:color w:val="auto"/>
                <w:sz w:val="24"/>
                <w:highlight w:val="none"/>
              </w:rPr>
            </w:r>
            <w:r/>
          </w:p>
        </w:tc>
        <w:tc>
          <w:tcPr>
            <w:gridSpan w:val="3"/>
            <w:tcW w:w="1485" w:type="dxa"/>
            <w:vAlign w:val="center"/>
            <w:textDirection w:val="lrTb"/>
            <w:noWrap w:val="false"/>
          </w:tcPr>
          <w:p>
            <w:pPr>
              <w:rPr>
                <w:rFonts w:ascii="宋体"/>
                <w:b/>
                <w:bCs/>
                <w:color w:val="auto"/>
                <w:sz w:val="24"/>
                <w:szCs w:val="22"/>
                <w:highlight w:val="none"/>
              </w:rPr>
            </w:pPr>
            <w:r>
              <w:rPr>
                <w:rFonts w:hint="eastAsia" w:ascii="宋体"/>
                <w:b/>
                <w:bCs/>
                <w:color w:val="auto"/>
                <w:sz w:val="24"/>
                <w:szCs w:val="22"/>
                <w:highlight w:val="none"/>
              </w:rPr>
              <w:t xml:space="preserve">序号：</w:t>
            </w:r>
            <w:r/>
          </w:p>
        </w:tc>
        <w:tc>
          <w:tcPr>
            <w:gridSpan w:val="5"/>
            <w:tcW w:w="3617" w:type="dxa"/>
            <w:vAlign w:val="center"/>
            <w:textDirection w:val="lrTb"/>
            <w:noWrap w:val="false"/>
          </w:tcPr>
          <w:p>
            <w:pPr>
              <w:rPr>
                <w:rFonts w:ascii="宋体"/>
                <w:b/>
                <w:bCs/>
                <w:color w:val="auto"/>
                <w:sz w:val="24"/>
                <w:szCs w:val="22"/>
                <w:highlight w:val="none"/>
              </w:rPr>
            </w:pPr>
            <w:r>
              <w:rPr>
                <w:rFonts w:hint="eastAsia" w:ascii="宋体"/>
                <w:b/>
                <w:bCs/>
                <w:color w:val="auto"/>
                <w:sz w:val="24"/>
                <w:szCs w:val="22"/>
                <w:highlight w:val="none"/>
              </w:rPr>
              <w:t xml:space="preserve">品牌：</w:t>
            </w:r>
            <w:r/>
          </w:p>
        </w:tc>
      </w:tr>
      <w:tr>
        <w:trPr>
          <w:jc w:val="center"/>
          <w:trHeight w:val="670"/>
        </w:trPr>
        <w:tc>
          <w:tcPr>
            <w:gridSpan w:val="2"/>
            <w:tcW w:w="1910" w:type="dxa"/>
            <w:vAlign w:val="center"/>
            <w:textDirection w:val="lrTb"/>
            <w:noWrap w:val="false"/>
          </w:tcPr>
          <w:p>
            <w:pPr>
              <w:jc w:val="center"/>
              <w:rPr>
                <w:rFonts w:ascii="宋体"/>
                <w:b/>
                <w:bCs/>
                <w:color w:val="auto"/>
                <w:sz w:val="24"/>
                <w:highlight w:val="none"/>
              </w:rPr>
            </w:pPr>
            <w:r>
              <w:rPr>
                <w:rFonts w:hint="eastAsia" w:ascii="宋体"/>
                <w:b/>
                <w:bCs/>
                <w:color w:val="auto"/>
                <w:sz w:val="24"/>
                <w:highlight w:val="none"/>
              </w:rPr>
              <w:t xml:space="preserve">完工期</w:t>
            </w:r>
            <w:r/>
          </w:p>
        </w:tc>
        <w:tc>
          <w:tcPr>
            <w:gridSpan w:val="10"/>
            <w:tcW w:w="7861" w:type="dxa"/>
            <w:vAlign w:val="center"/>
            <w:textDirection w:val="lrTb"/>
            <w:noWrap w:val="false"/>
          </w:tcPr>
          <w:p>
            <w:pPr>
              <w:jc w:val="left"/>
              <w:rPr>
                <w:rFonts w:ascii="宋体"/>
                <w:b/>
                <w:bCs/>
                <w:color w:val="auto"/>
                <w:sz w:val="24"/>
                <w:highlight w:val="none"/>
              </w:rPr>
            </w:pPr>
            <w:r>
              <w:rPr>
                <w:rFonts w:hint="eastAsia" w:ascii="宋体"/>
                <w:b/>
                <w:bCs/>
                <w:color w:val="auto"/>
                <w:sz w:val="24"/>
                <w:highlight w:val="none"/>
              </w:rPr>
              <w:t xml:space="preserve">合同签订后___________日内到货并安装调试完成。</w:t>
            </w:r>
            <w:r/>
          </w:p>
        </w:tc>
      </w:tr>
      <w:tr>
        <w:trPr>
          <w:jc w:val="center"/>
          <w:trHeight w:val="1368"/>
        </w:trPr>
        <w:tc>
          <w:tcPr>
            <w:gridSpan w:val="2"/>
            <w:tcW w:w="1910" w:type="dxa"/>
            <w:vAlign w:val="center"/>
            <w:textDirection w:val="lrTb"/>
            <w:noWrap w:val="false"/>
          </w:tcPr>
          <w:p>
            <w:pPr>
              <w:jc w:val="center"/>
              <w:rPr>
                <w:rFonts w:ascii="宋体"/>
                <w:b/>
                <w:bCs/>
                <w:color w:val="auto"/>
                <w:sz w:val="24"/>
                <w:highlight w:val="none"/>
              </w:rPr>
            </w:pPr>
            <w:r>
              <w:rPr>
                <w:rFonts w:hint="eastAsia" w:ascii="宋体"/>
                <w:b/>
                <w:bCs/>
                <w:color w:val="auto"/>
                <w:sz w:val="24"/>
                <w:highlight w:val="none"/>
              </w:rPr>
              <w:t xml:space="preserve">项目整体质保期</w:t>
            </w:r>
            <w:r/>
          </w:p>
        </w:tc>
        <w:tc>
          <w:tcPr>
            <w:gridSpan w:val="10"/>
            <w:tcW w:w="7861" w:type="dxa"/>
            <w:vAlign w:val="center"/>
            <w:textDirection w:val="lrTb"/>
            <w:noWrap w:val="false"/>
          </w:tcPr>
          <w:p>
            <w:pPr>
              <w:jc w:val="left"/>
              <w:rPr>
                <w:rFonts w:ascii="宋体"/>
                <w:b/>
                <w:bCs/>
                <w:color w:val="auto"/>
                <w:sz w:val="24"/>
                <w:highlight w:val="none"/>
              </w:rPr>
            </w:pPr>
            <w:r>
              <w:rPr>
                <w:rFonts w:ascii="宋体"/>
                <w:b/>
                <w:bCs/>
                <w:color w:val="auto"/>
                <w:sz w:val="24"/>
                <w:highlight w:val="none"/>
              </w:rPr>
            </w:r>
            <w:r/>
          </w:p>
        </w:tc>
      </w:tr>
      <w:tr>
        <w:trPr>
          <w:cantSplit/>
          <w:jc w:val="center"/>
          <w:trHeight w:val="2124"/>
        </w:trPr>
        <w:tc>
          <w:tcPr>
            <w:tcW w:w="652" w:type="dxa"/>
            <w:vAlign w:val="center"/>
            <w:vMerge w:val="restart"/>
            <w:textDirection w:val="lrTb"/>
            <w:noWrap w:val="false"/>
          </w:tcPr>
          <w:p>
            <w:pPr>
              <w:pStyle w:val="907"/>
              <w:ind w:firstLine="1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服</w:t>
            </w:r>
            <w:r/>
          </w:p>
          <w:p>
            <w:pPr>
              <w:pStyle w:val="907"/>
              <w:ind w:firstLine="1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务</w:t>
            </w:r>
            <w:r/>
          </w:p>
          <w:p>
            <w:pPr>
              <w:pStyle w:val="907"/>
              <w:ind w:firstLine="1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承</w:t>
            </w:r>
            <w:r/>
          </w:p>
          <w:p>
            <w:pPr>
              <w:jc w:val="center"/>
              <w:spacing w:before="5"/>
              <w:rPr>
                <w:color w:val="auto"/>
                <w:sz w:val="18"/>
                <w:highlight w:val="none"/>
              </w:rPr>
            </w:pPr>
            <w:r>
              <w:rPr>
                <w:rFonts w:hint="eastAsia" w:ascii="宋体" w:hAnsi="宋体"/>
                <w:b/>
                <w:bCs/>
                <w:color w:val="auto"/>
                <w:sz w:val="24"/>
                <w:szCs w:val="24"/>
                <w:highlight w:val="none"/>
              </w:rPr>
              <w:t xml:space="preserve">诺</w:t>
            </w:r>
            <w:r/>
          </w:p>
        </w:tc>
        <w:tc>
          <w:tcPr>
            <w:gridSpan w:val="11"/>
            <w:tcW w:w="9119" w:type="dxa"/>
            <w:vAlign w:val="center"/>
            <w:textDirection w:val="lrTb"/>
            <w:noWrap w:val="false"/>
          </w:tcPr>
          <w:p>
            <w:pPr>
              <w:jc w:val="left"/>
              <w:tabs>
                <w:tab w:val="left" w:pos="210" w:leader="none"/>
              </w:tabs>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976"/>
        </w:trPr>
        <w:tc>
          <w:tcPr>
            <w:tcW w:w="652" w:type="dxa"/>
            <w:vAlign w:val="center"/>
            <w:vMerge w:val="continue"/>
            <w:textDirection w:val="lrTb"/>
            <w:noWrap w:val="false"/>
          </w:tcPr>
          <w:p>
            <w:pPr>
              <w:jc w:val="center"/>
              <w:spacing w:before="5"/>
              <w:rPr>
                <w:color w:val="auto"/>
                <w:sz w:val="18"/>
                <w:highlight w:val="none"/>
              </w:rPr>
            </w:pPr>
            <w:r>
              <w:rPr>
                <w:color w:val="auto"/>
                <w:sz w:val="18"/>
                <w:highlight w:val="none"/>
              </w:rPr>
            </w:r>
            <w:r/>
          </w:p>
        </w:tc>
        <w:tc>
          <w:tcPr>
            <w:gridSpan w:val="11"/>
            <w:tcW w:w="9119" w:type="dxa"/>
            <w:vAlign w:val="center"/>
            <w:textDirection w:val="lrTb"/>
            <w:noWrap w:val="false"/>
          </w:tcPr>
          <w:p>
            <w:pPr>
              <w:jc w:val="left"/>
              <w:tabs>
                <w:tab w:val="left" w:pos="2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质量</w:t>
            </w:r>
            <w:r>
              <w:rPr>
                <w:rFonts w:ascii="宋体" w:hAnsi="宋体"/>
                <w:bCs/>
                <w:color w:val="auto"/>
                <w:sz w:val="24"/>
                <w:szCs w:val="24"/>
                <w:highlight w:val="none"/>
              </w:rPr>
              <w:t xml:space="preserve"> 2.</w:t>
            </w:r>
            <w:r>
              <w:rPr>
                <w:rFonts w:hint="eastAsia" w:ascii="宋体" w:hAnsi="宋体"/>
                <w:bCs/>
                <w:color w:val="auto"/>
                <w:sz w:val="24"/>
                <w:szCs w:val="24"/>
                <w:highlight w:val="none"/>
              </w:rPr>
              <w:t xml:space="preserve">安装3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三包</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包修、包退、包换)4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其他承诺</w:t>
            </w:r>
            <w:r/>
          </w:p>
          <w:p>
            <w:pPr>
              <w:jc w:val="left"/>
              <w:spacing w:before="5"/>
              <w:rPr>
                <w:color w:val="auto"/>
                <w:sz w:val="18"/>
                <w:highlight w:val="none"/>
              </w:rPr>
            </w:pPr>
            <w:r>
              <w:rPr>
                <w:rFonts w:hint="eastAsia" w:ascii="宋体" w:hAnsi="宋体"/>
                <w:bCs/>
                <w:color w:val="auto"/>
                <w:sz w:val="24"/>
                <w:szCs w:val="24"/>
                <w:highlight w:val="none"/>
              </w:rPr>
              <w:t xml:space="preserve">（以上是主要承诺，供投标人参考，投标人应在满足招标文件要求的基础上，根据自己单位的情况作出具体承诺）</w:t>
            </w:r>
            <w:r/>
          </w:p>
        </w:tc>
      </w:tr>
    </w:tbl>
    <w:p>
      <w:pPr>
        <w:ind w:left="5460" w:hanging="5460"/>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bookmarkEnd w:id="253"/>
      <w:r/>
      <w:bookmarkStart w:id="254" w:name="OLE_LINK149"/>
      <w:r>
        <w:rPr>
          <w:rFonts w:hint="eastAsia" w:ascii="宋体" w:hAnsi="宋体"/>
          <w:bCs/>
          <w:color w:val="auto"/>
          <w:sz w:val="24"/>
          <w:highlight w:val="none"/>
        </w:rPr>
        <w:t xml:space="preserve">                      投标人（电子签章）：</w:t>
      </w:r>
      <w:bookmarkEnd w:id="254"/>
      <w:r/>
      <w:r/>
    </w:p>
    <w:p>
      <w:pPr>
        <w:spacing w:line="360" w:lineRule="auto"/>
        <w:rPr>
          <w:rFonts w:hint="eastAsia" w:ascii="宋体" w:hAnsi="宋体"/>
          <w:bCs/>
          <w:color w:val="auto"/>
          <w:szCs w:val="21"/>
          <w:highlight w:val="none"/>
        </w:rPr>
      </w:pPr>
      <w:r/>
      <w:bookmarkStart w:id="255" w:name="_Hlk151710206"/>
      <w:r/>
      <w:bookmarkStart w:id="256" w:name="_Hlk151708861"/>
      <w:r/>
      <w:bookmarkStart w:id="257" w:name="_Hlk151708883"/>
      <w:r>
        <w:rPr>
          <w:rFonts w:hint="eastAsia" w:ascii="宋体" w:hAnsi="宋体"/>
          <w:bCs/>
          <w:color w:val="auto"/>
          <w:szCs w:val="21"/>
          <w:highlight w:val="none"/>
        </w:rPr>
        <w:t xml:space="preserve">注： </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258" w:name="_Hlk160007193"/>
      <w:r>
        <w:rPr>
          <w:rFonts w:hint="eastAsia" w:ascii="宋体" w:hAnsi="宋体"/>
          <w:bCs/>
          <w:color w:val="auto"/>
          <w:szCs w:val="21"/>
          <w:highlight w:val="none"/>
        </w:rPr>
        <w:t xml:space="preserve">上述单价为综合单价，包含提供货物的一切费用；如本表单价计算的结果与总价不一致，以单价为准修正总价。</w:t>
      </w:r>
      <w:bookmarkEnd w:id="258"/>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核心产品：请投标人在上表中详细填写核心产品所在明细报价表中的序号及品牌，对核心产品提供相同品牌产品且通过资格审查、符合性审查的不同投标人参加同一合同项下投标的，按一家投标人计算，评审后得分最高的同品牌投标人获得中标人推荐资格。评审得分相同的，由采购人代表采用随机抽取方式确定一个投标人获得中标人推荐资格，其他同品牌投标人不作为中标候选人。</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政府采购优惠政策：若符合本项目政府采购优惠政策的，投标人应在“产品类别”一栏中填入小微企业产品、残疾人福利性单位产品或监狱企业产品，价格扣除比例（如有）详见“投标人须知”；若不符合本项目政府采购优惠政策的，无需填写“产品类别”。</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（4）若享受本项目政府采购相关优惠政策的，投标人必须按照本章“（四）报价折扣文件”要求提供相关证明材料，以提供的有效证明材料为准，否则不享受相关优惠。</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（5）若本项目含有政府采购强制采购产品的，投标人必须按照本章“（四）报价折扣文件”提供</w:t>
      </w:r>
      <w:bookmarkStart w:id="259" w:name="_Hlk163827407"/>
      <w:r>
        <w:rPr>
          <w:rFonts w:hint="eastAsia" w:ascii="宋体" w:hAnsi="宋体"/>
          <w:bCs/>
          <w:color w:val="auto"/>
          <w:szCs w:val="21"/>
          <w:highlight w:val="none"/>
        </w:rPr>
        <w:t xml:space="preserve">有效</w:t>
      </w:r>
      <w:bookmarkEnd w:id="259"/>
      <w:r>
        <w:rPr>
          <w:rFonts w:hint="eastAsia" w:ascii="宋体" w:hAnsi="宋体"/>
          <w:bCs/>
          <w:color w:val="auto"/>
          <w:szCs w:val="21"/>
          <w:highlight w:val="none"/>
        </w:rPr>
        <w:t xml:space="preserve">证明材料，否则投标无效，详见投标人须知相关要求。</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本项目根据《政府采购促进中小企业发展管理办法》《国务院办公厅关于在政府采购中实施本国产品标准及相关政策的通知》(国办发(2025)34号)等相关规定，对符合条件的中小企业(含小微企业)和本国产品给予价格扣除优惠。两项政策可叠加享受。本项目部分产品已获准采购进口产品。提供进口产品的，该部分产品不享受中小企业价格扣除。</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(8)表格不够可自行延长。</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hint="eastAsia" w:ascii="黑体" w:hAnsi="宋体" w:eastAsia="黑体"/>
          <w:bCs/>
          <w:color w:val="auto"/>
          <w:sz w:val="24"/>
          <w:szCs w:val="24"/>
          <w:highlight w:val="none"/>
          <w:lang w:val="zh-CN"/>
        </w:rPr>
      </w:pPr>
      <w:r>
        <w:rPr>
          <w:rFonts w:ascii="宋体" w:hAnsi="宋体"/>
          <w:bCs/>
          <w:color w:val="auto"/>
          <w:szCs w:val="21"/>
          <w:highlight w:val="none"/>
        </w:rPr>
        <w:br w:type="page" w:clear="all"/>
      </w:r>
      <w:bookmarkEnd w:id="255"/>
      <w:r/>
      <w:bookmarkEnd w:id="256"/>
      <w:r/>
      <w:bookmarkEnd w:id="257"/>
      <w:r>
        <w:rPr>
          <w:rFonts w:hint="eastAsia" w:ascii="宋体" w:hAnsi="宋体"/>
          <w:bCs/>
          <w:color w:val="auto"/>
          <w:szCs w:val="21"/>
          <w:highlight w:val="none"/>
          <w:lang w:val="en-US" w:eastAsia="zh-CN"/>
        </w:rPr>
        <w:t xml:space="preserve">  </w:t>
      </w: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260" w:name="_Hlk160091427"/>
      <w:r>
        <w:rPr>
          <w:rFonts w:hint="eastAsia" w:ascii="黑体" w:hAnsi="黑体" w:eastAsia="黑体"/>
          <w:color w:val="auto"/>
          <w:sz w:val="28"/>
          <w:szCs w:val="21"/>
          <w:highlight w:val="none"/>
          <w:lang w:val="zh-CN"/>
        </w:rPr>
        <w:t xml:space="preserve">项目技术要求偏离表</w:t>
      </w:r>
      <w:bookmarkEnd w:id="260"/>
      <w:r/>
      <w:r/>
    </w:p>
    <w:p>
      <w:pPr>
        <w:ind w:firstLine="240"/>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江南大学宜兴校区超高效液相在线固相萃取串联四极杆质谱分析系统采购</w:t>
      </w:r>
      <w:r>
        <w:rPr>
          <w:rFonts w:hint="eastAsia" w:ascii="宋体" w:hAnsi="宋体"/>
          <w:color w:val="auto"/>
          <w:sz w:val="24"/>
          <w:szCs w:val="24"/>
          <w:highlight w:val="none"/>
        </w:rPr>
        <w:t xml:space="preserve">                                     </w:t>
      </w:r>
      <w:r/>
    </w:p>
    <w:p>
      <w:pPr>
        <w:ind w:firstLine="240"/>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JSZC-320282-HHCG-G2026-0017</w:t>
      </w:r>
      <w:r>
        <w:rPr>
          <w:rFonts w:hint="eastAsia" w:ascii="宋体" w:hAnsi="宋体"/>
          <w:color w:val="auto"/>
          <w:sz w:val="24"/>
          <w:szCs w:val="24"/>
          <w:highlight w:val="none"/>
        </w:rPr>
        <w:t xml:space="preserve"> </w:t>
      </w:r>
      <w:r/>
    </w:p>
    <w:tbl>
      <w:tblPr>
        <w:tblStyle w:val="707"/>
        <w:tblW w:w="94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p>
    <w:p>
      <w:pPr>
        <w:ind w:left="420"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ind w:left="420"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80"/>
        <w:jc w:val="both"/>
        <w:spacing w:line="360" w:lineRule="auto"/>
        <w:rPr>
          <w:rFonts w:ascii="宋体" w:hAnsi="宋体"/>
          <w:bCs/>
          <w:color w:val="auto"/>
          <w:szCs w:val="21"/>
          <w:highlight w:val="none"/>
        </w:rPr>
      </w:pPr>
      <w:r>
        <w:rPr>
          <w:rFonts w:ascii="宋体" w:hAnsi="宋体"/>
          <w:bCs/>
          <w:color w:val="auto"/>
          <w:szCs w:val="21"/>
          <w:highlight w:val="none"/>
        </w:rPr>
      </w:r>
      <w:r/>
    </w:p>
    <w:p>
      <w:pPr>
        <w:ind w:firstLine="480"/>
        <w:jc w:val="both"/>
        <w:spacing w:line="360" w:lineRule="auto"/>
        <w:rPr>
          <w:rFonts w:ascii="宋体" w:hAnsi="宋体"/>
          <w:bCs/>
          <w:color w:val="auto"/>
          <w:szCs w:val="21"/>
          <w:highlight w:val="none"/>
        </w:rPr>
      </w:pPr>
      <w:r>
        <w:rPr>
          <w:rFonts w:ascii="宋体" w:hAnsi="宋体"/>
          <w:bCs/>
          <w:color w:val="auto"/>
          <w:szCs w:val="21"/>
          <w:highlight w:val="none"/>
        </w:rPr>
      </w:r>
      <w:r/>
    </w:p>
    <w:p>
      <w:pPr>
        <w:pStyle w:val="708"/>
        <w:rPr>
          <w:rFonts w:ascii="宋体" w:hAnsi="宋体"/>
          <w:bCs/>
          <w:color w:val="auto"/>
          <w:szCs w:val="21"/>
          <w:highlight w:val="none"/>
        </w:rPr>
      </w:pPr>
      <w:r>
        <w:rPr>
          <w:rFonts w:ascii="宋体" w:hAnsi="宋体"/>
          <w:bCs/>
          <w:color w:val="auto"/>
          <w:szCs w:val="21"/>
          <w:highlight w:val="none"/>
        </w:rPr>
      </w:r>
      <w:r/>
    </w:p>
    <w:p>
      <w:pPr>
        <w:pStyle w:val="708"/>
        <w:rPr>
          <w:rFonts w:ascii="宋体" w:hAnsi="宋体"/>
          <w:bCs/>
          <w:color w:val="auto"/>
          <w:szCs w:val="21"/>
          <w:highlight w:val="none"/>
        </w:rPr>
      </w:pPr>
      <w:r>
        <w:rPr>
          <w:rFonts w:ascii="宋体" w:hAnsi="宋体"/>
          <w:bCs/>
          <w:color w:val="auto"/>
          <w:szCs w:val="21"/>
          <w:highlight w:val="none"/>
        </w:rPr>
      </w:r>
      <w:r/>
    </w:p>
    <w:p>
      <w:pPr>
        <w:pStyle w:val="708"/>
        <w:rPr>
          <w:rFonts w:ascii="宋体" w:hAnsi="宋体"/>
          <w:bCs/>
          <w:color w:val="auto"/>
          <w:szCs w:val="21"/>
          <w:highlight w:val="none"/>
        </w:rPr>
      </w:pPr>
      <w:r>
        <w:rPr>
          <w:rFonts w:ascii="宋体" w:hAnsi="宋体"/>
          <w:bCs/>
          <w:color w:val="auto"/>
          <w:szCs w:val="21"/>
          <w:highlight w:val="none"/>
        </w:rPr>
      </w:r>
      <w:r/>
    </w:p>
    <w:p>
      <w:pPr>
        <w:pStyle w:val="708"/>
        <w:rPr>
          <w:rFonts w:ascii="宋体" w:hAnsi="宋体"/>
          <w:bCs/>
          <w:color w:val="auto"/>
          <w:szCs w:val="21"/>
          <w:highlight w:val="none"/>
        </w:rPr>
      </w:pPr>
      <w:r>
        <w:rPr>
          <w:rFonts w:ascii="宋体" w:hAnsi="宋体"/>
          <w:bCs/>
          <w:color w:val="auto"/>
          <w:szCs w:val="21"/>
          <w:highlight w:val="none"/>
        </w:rPr>
      </w:r>
      <w:r/>
    </w:p>
    <w:p>
      <w:pPr>
        <w:pStyle w:val="708"/>
        <w:rPr>
          <w:rFonts w:ascii="宋体" w:hAnsi="宋体"/>
          <w:bCs/>
          <w:color w:val="auto"/>
          <w:szCs w:val="21"/>
          <w:highlight w:val="none"/>
        </w:rPr>
      </w:pPr>
      <w:r>
        <w:rPr>
          <w:rFonts w:ascii="宋体" w:hAnsi="宋体"/>
          <w:bCs/>
          <w:color w:val="auto"/>
          <w:szCs w:val="21"/>
          <w:highlight w:val="none"/>
        </w:rPr>
      </w:r>
      <w:r/>
    </w:p>
    <w:p>
      <w:pPr>
        <w:ind w:firstLine="480"/>
        <w:jc w:val="both"/>
        <w:spacing w:line="360" w:lineRule="auto"/>
        <w:rPr>
          <w:rFonts w:ascii="宋体" w:hAnsi="宋体"/>
          <w:bCs/>
          <w:color w:val="auto"/>
          <w:szCs w:val="21"/>
          <w:highlight w:val="none"/>
        </w:rPr>
      </w:pPr>
      <w:r>
        <w:rPr>
          <w:rFonts w:ascii="宋体" w:hAnsi="宋体"/>
          <w:bCs/>
          <w:color w:val="auto"/>
          <w:szCs w:val="21"/>
          <w:highlight w:val="none"/>
        </w:rPr>
      </w:r>
      <w:r/>
    </w:p>
    <w:p>
      <w:pPr>
        <w:ind w:firstLine="480"/>
        <w:jc w:val="left"/>
        <w:rPr>
          <w:rFonts w:hint="eastAsia" w:ascii="宋体" w:hAnsi="宋体"/>
          <w:bCs/>
          <w:color w:val="auto"/>
          <w:sz w:val="24"/>
          <w:szCs w:val="24"/>
          <w:highlight w:val="none"/>
          <w:lang w:val="zh-CN"/>
        </w:rPr>
      </w:pPr>
      <w:r>
        <w:rPr>
          <w:rFonts w:ascii="黑体" w:hAnsi="宋体" w:eastAsia="黑体"/>
          <w:bCs/>
          <w:color w:val="auto"/>
          <w:sz w:val="24"/>
          <w:szCs w:val="24"/>
          <w:highlight w:val="none"/>
        </w:rPr>
        <w:t xml:space="preserve">4</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项目人员配置清单（格式）：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江南大学宜兴校区超高效液相在线固相萃取串联四极杆质谱分析系统采购</w:t>
      </w:r>
      <w:r>
        <w:rPr>
          <w:rFonts w:hint="eastAsia" w:ascii="宋体" w:hAnsi="宋体" w:eastAsia="宋体" w:cs="宋体"/>
          <w:color w:val="auto"/>
          <w:sz w:val="24"/>
          <w:szCs w:val="24"/>
          <w:highlight w:val="none"/>
        </w:rPr>
        <w:t xml:space="preserve">  </w:t>
      </w:r>
      <w:r/>
    </w:p>
    <w:p>
      <w:pPr>
        <w:pStyle w:val="7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JSZC-320282-HHCG-G2026-0017</w:t>
      </w:r>
      <w:r/>
    </w:p>
    <w:p>
      <w:pPr>
        <w:pStyle w:val="708"/>
        <w:rPr>
          <w:rFonts w:hint="eastAsia"/>
          <w:color w:val="auto"/>
          <w:highlight w:val="none"/>
        </w:rPr>
      </w:pPr>
      <w:r>
        <w:rPr>
          <w:rFonts w:hint="eastAsia"/>
          <w:color w:val="auto"/>
          <w:highlight w:val="none"/>
        </w:rPr>
      </w:r>
      <w:r/>
    </w:p>
    <w:tbl>
      <w:tblPr>
        <w:tblStyle w:val="707"/>
        <w:tblW w:w="96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704"/>
        <w:gridCol w:w="128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spacing w:line="360" w:lineRule="auto"/>
        <w:rPr>
          <w:rFonts w:ascii="宋体" w:hAnsi="宋体"/>
          <w:color w:val="auto"/>
          <w:highlight w:val="none"/>
        </w:rPr>
      </w:pPr>
      <w:r>
        <w:rPr>
          <w:rFonts w:hint="eastAsia" w:ascii="宋体" w:hAnsi="宋体"/>
          <w:color w:val="auto"/>
          <w:highlight w:val="none"/>
        </w:rPr>
        <w:t xml:space="preserve">注： </w:t>
      </w:r>
      <w:r/>
    </w:p>
    <w:p>
      <w:pPr>
        <w:ind w:firstLine="420"/>
        <w:spacing w:line="360" w:lineRule="auto"/>
        <w:rPr>
          <w:rFonts w:hint="eastAsia"/>
          <w:color w:val="auto"/>
          <w:highlight w:val="none"/>
        </w:rPr>
      </w:pPr>
      <w:r>
        <w:rPr>
          <w:rFonts w:hint="eastAsia" w:ascii="宋体" w:hAnsi="宋体"/>
          <w:color w:val="auto"/>
          <w:highlight w:val="none"/>
        </w:rPr>
        <w:t xml:space="preserve">1.表格不够可自行延长。</w:t>
      </w:r>
      <w:r/>
    </w:p>
    <w:p>
      <w:pPr>
        <w:ind w:firstLine="420"/>
        <w:spacing w:line="360" w:lineRule="auto"/>
        <w:rPr>
          <w:rFonts w:hint="eastAsia"/>
          <w:color w:val="auto"/>
          <w:highlight w:val="none"/>
        </w:rPr>
      </w:pPr>
      <w:r>
        <w:rPr>
          <w:rFonts w:hint="eastAsia" w:ascii="宋体" w:hAnsi="宋体"/>
          <w:color w:val="auto"/>
          <w:highlight w:val="none"/>
        </w:rPr>
        <w:t xml:space="preserve">2.</w:t>
      </w:r>
      <w:bookmarkStart w:id="261" w:name="_Hlk164083408"/>
      <w:r>
        <w:rPr>
          <w:rFonts w:hint="eastAsia" w:ascii="宋体" w:hAnsi="宋体"/>
          <w:color w:val="auto"/>
          <w:highlight w:val="none"/>
        </w:rPr>
        <w:t xml:space="preserve">应按</w:t>
      </w:r>
      <w:r>
        <w:rPr>
          <w:rFonts w:hint="eastAsia" w:ascii="宋体" w:hAnsi="宋体"/>
          <w:color w:val="auto"/>
          <w:highlight w:val="none"/>
          <w:lang w:val="en-US" w:eastAsia="zh-CN"/>
        </w:rPr>
        <w:t xml:space="preserve">招标</w:t>
      </w:r>
      <w:r>
        <w:rPr>
          <w:rFonts w:hint="eastAsia" w:ascii="宋体" w:hAnsi="宋体"/>
          <w:color w:val="auto"/>
          <w:highlight w:val="none"/>
        </w:rPr>
        <w:t xml:space="preserve">文件要求配备项目人员及提供相关证明材料，以满足项目的</w:t>
      </w:r>
      <w:bookmarkEnd w:id="261"/>
      <w:r>
        <w:rPr>
          <w:rFonts w:hint="eastAsia" w:ascii="宋体" w:hAnsi="宋体"/>
          <w:color w:val="auto"/>
          <w:highlight w:val="none"/>
        </w:rPr>
        <w:t xml:space="preserve">基准要求，否则报价无效。</w:t>
      </w:r>
      <w:r/>
    </w:p>
    <w:p>
      <w:pPr>
        <w:ind w:firstLine="420"/>
        <w:spacing w:line="360" w:lineRule="auto"/>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after="156"/>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80"/>
        <w:spacing w:after="156"/>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6960"/>
        <w:spacing w:after="156"/>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spacing w:after="156"/>
        <w:rPr>
          <w:rFonts w:ascii="黑体" w:hAnsi="宋体" w:eastAsia="黑体"/>
          <w:bCs/>
          <w:color w:val="auto"/>
          <w:sz w:val="24"/>
          <w:szCs w:val="24"/>
          <w:highlight w:val="none"/>
          <w:lang w:val="zh-CN"/>
        </w:rPr>
      </w:pPr>
      <w:r>
        <w:rPr>
          <w:rFonts w:ascii="黑体" w:hAnsi="宋体" w:eastAsia="黑体"/>
          <w:bCs/>
          <w:color w:val="auto"/>
          <w:sz w:val="24"/>
          <w:szCs w:val="24"/>
          <w:highlight w:val="none"/>
          <w:lang w:val="zh-CN"/>
        </w:rPr>
      </w:r>
      <w:r/>
    </w:p>
    <w:p>
      <w:pPr>
        <w:ind w:firstLine="480"/>
        <w:spacing w:after="156"/>
        <w:rPr>
          <w:rFonts w:ascii="黑体" w:hAnsi="宋体" w:eastAsia="黑体"/>
          <w:bCs/>
          <w:color w:val="auto"/>
          <w:sz w:val="24"/>
          <w:szCs w:val="24"/>
          <w:highlight w:val="none"/>
          <w:lang w:val="zh-CN"/>
        </w:rPr>
      </w:pPr>
      <w:r>
        <w:rPr>
          <w:rFonts w:ascii="黑体" w:hAnsi="宋体" w:eastAsia="黑体"/>
          <w:bCs/>
          <w:color w:val="auto"/>
          <w:sz w:val="24"/>
          <w:szCs w:val="24"/>
          <w:highlight w:val="none"/>
          <w:lang w:val="zh-CN"/>
        </w:rPr>
      </w:r>
      <w:r/>
    </w:p>
    <w:p>
      <w:pPr>
        <w:ind w:firstLine="480"/>
        <w:spacing w:after="156"/>
        <w:rPr>
          <w:rFonts w:ascii="黑体" w:hAnsi="宋体" w:eastAsia="黑体"/>
          <w:bCs/>
          <w:color w:val="auto"/>
          <w:sz w:val="24"/>
          <w:szCs w:val="24"/>
          <w:highlight w:val="none"/>
          <w:lang w:val="zh-CN"/>
        </w:rPr>
      </w:pPr>
      <w:r>
        <w:rPr>
          <w:rFonts w:ascii="黑体" w:hAnsi="宋体" w:eastAsia="黑体"/>
          <w:bCs/>
          <w:color w:val="auto"/>
          <w:sz w:val="24"/>
          <w:szCs w:val="24"/>
          <w:highlight w:val="none"/>
          <w:lang w:val="zh-CN"/>
        </w:rPr>
      </w:r>
      <w:r/>
    </w:p>
    <w:p>
      <w:pPr>
        <w:pStyle w:val="708"/>
        <w:rPr>
          <w:color w:val="auto"/>
          <w:highlight w:val="none"/>
          <w:lang w:val="zh-CN"/>
        </w:rPr>
      </w:pPr>
      <w:r>
        <w:rPr>
          <w:color w:val="auto"/>
          <w:highlight w:val="none"/>
          <w:lang w:val="zh-CN"/>
        </w:rPr>
      </w:r>
      <w:r/>
    </w:p>
    <w:p>
      <w:pPr>
        <w:ind w:firstLine="240"/>
        <w:spacing w:after="156" w:line="360" w:lineRule="auto"/>
        <w:rPr>
          <w:rFonts w:hint="eastAsia" w:ascii="黑体" w:hAnsi="宋体" w:eastAsia="黑体"/>
          <w:bCs/>
          <w:color w:val="auto"/>
          <w:sz w:val="24"/>
          <w:szCs w:val="24"/>
          <w:highlight w:val="none"/>
          <w:lang w:val="zh-CN"/>
        </w:rPr>
      </w:pPr>
      <w:r>
        <w:rPr>
          <w:rFonts w:ascii="黑体" w:hAnsi="宋体" w:eastAsia="黑体"/>
          <w:bCs/>
          <w:color w:val="auto"/>
          <w:sz w:val="24"/>
          <w:szCs w:val="24"/>
          <w:highlight w:val="none"/>
          <w:lang w:val="zh-CN"/>
        </w:rPr>
        <w:t xml:space="preserve">5</w:t>
      </w:r>
      <w:r>
        <w:rPr>
          <w:rFonts w:hint="eastAsia" w:ascii="黑体" w:hAnsi="宋体" w:eastAsia="黑体"/>
          <w:bCs/>
          <w:color w:val="auto"/>
          <w:sz w:val="24"/>
          <w:szCs w:val="24"/>
          <w:highlight w:val="none"/>
          <w:lang w:val="zh-CN"/>
        </w:rPr>
        <w:t xml:space="preserve">、服务内容详细说明（格式自拟）：</w:t>
      </w:r>
      <w:r/>
    </w:p>
    <w:p>
      <w:pPr>
        <w:ind w:firstLine="240"/>
        <w:jc w:val="left"/>
        <w:spacing w:after="156"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供应商根据“第三章 项目技术要求和有关说明”提出的技术、服务、人员等实质性要求，提供项目实施详细说明及相关证明材料。</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中要求进行承诺的，应当进行承诺。</w:t>
      </w:r>
      <w:r/>
    </w:p>
    <w:p>
      <w:pPr>
        <w:ind w:firstLine="480"/>
        <w:jc w:val="both"/>
        <w:spacing w:line="360" w:lineRule="auto"/>
        <w:rPr>
          <w:rFonts w:ascii="宋体" w:hAnsi="宋体"/>
          <w:bCs/>
          <w:color w:val="auto"/>
          <w:szCs w:val="21"/>
          <w:highlight w:val="none"/>
        </w:rPr>
      </w:pPr>
      <w:r>
        <w:rPr>
          <w:rFonts w:ascii="宋体" w:hAnsi="宋体"/>
          <w:bCs/>
          <w:color w:val="auto"/>
          <w:szCs w:val="21"/>
          <w:highlight w:val="none"/>
        </w:rPr>
      </w:r>
      <w:r/>
    </w:p>
    <w:p>
      <w:pPr>
        <w:jc w:val="both"/>
        <w:spacing w:line="360" w:lineRule="auto"/>
        <w:rPr>
          <w:rFonts w:hint="eastAsia" w:ascii="黑体" w:hAnsi="宋体" w:eastAsia="黑体"/>
          <w:bCs/>
          <w:color w:val="auto"/>
          <w:sz w:val="28"/>
          <w:szCs w:val="28"/>
          <w:highlight w:val="none"/>
        </w:rPr>
      </w:pPr>
      <w:r/>
      <w:bookmarkStart w:id="262" w:name="_Hlk151456575"/>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both"/>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w:t>
      </w:r>
      <w:bookmarkStart w:id="263" w:name="OLE_LINK173"/>
      <w:r>
        <w:rPr>
          <w:rFonts w:hint="eastAsia" w:ascii="黑体" w:hAnsi="宋体" w:eastAsia="黑体"/>
          <w:bCs/>
          <w:color w:val="auto"/>
          <w:sz w:val="28"/>
          <w:szCs w:val="28"/>
          <w:highlight w:val="none"/>
        </w:rPr>
        <w:t xml:space="preserve">价格折扣文件</w:t>
      </w:r>
      <w:r/>
    </w:p>
    <w:p>
      <w:pPr>
        <w:jc w:val="center"/>
        <w:spacing w:after="156"/>
        <w:rPr>
          <w:rFonts w:hint="eastAsia" w:ascii="黑体" w:hAnsi="宋体" w:eastAsia="黑体"/>
          <w:bCs/>
          <w:color w:val="auto"/>
          <w:sz w:val="24"/>
          <w:szCs w:val="24"/>
          <w:highlight w:val="none"/>
        </w:rPr>
      </w:pPr>
      <w:r/>
      <w:bookmarkStart w:id="264" w:name="_Hlk151451525"/>
      <w:r>
        <w:rPr>
          <w:rFonts w:hint="eastAsia" w:ascii="黑体" w:hAnsi="宋体" w:eastAsia="黑体"/>
          <w:bCs/>
          <w:color w:val="auto"/>
          <w:sz w:val="28"/>
          <w:szCs w:val="28"/>
          <w:highlight w:val="none"/>
        </w:rPr>
        <w:t xml:space="preserve">企业报价折扣证明</w:t>
      </w:r>
      <w:bookmarkEnd w:id="262"/>
      <w:r/>
      <w:r/>
    </w:p>
    <w:tbl>
      <w:tblPr>
        <w:tblStyle w:val="707"/>
        <w:tblW w:w="96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682"/>
        <w:gridCol w:w="2495"/>
        <w:gridCol w:w="4703"/>
      </w:tblGrid>
      <w:tr>
        <w:trPr>
          <w:jc w:val="center"/>
          <w:trHeight w:val="653"/>
        </w:trPr>
        <w:tc>
          <w:tcPr>
            <w:tcW w:w="81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68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企业（产品）性质</w:t>
            </w:r>
            <w:r/>
          </w:p>
        </w:tc>
        <w:tc>
          <w:tcPr>
            <w:tcW w:w="24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r>
      <w:tr>
        <w:trPr>
          <w:jc w:val="center"/>
          <w:trHeight w:val="976"/>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1</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节能</w:t>
            </w:r>
            <w:r/>
          </w:p>
        </w:tc>
        <w:tc>
          <w:tcPr>
            <w:tcW w:w="24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强制采购节能产品</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2</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信息安全</w:t>
            </w:r>
            <w:r/>
          </w:p>
        </w:tc>
        <w:tc>
          <w:tcPr>
            <w:tcW w:w="24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强制采购</w:t>
            </w:r>
            <w:r>
              <w:rPr>
                <w:rFonts w:hint="eastAsia" w:ascii="宋体" w:hAnsi="宋体" w:cs="宋体"/>
                <w:color w:val="auto"/>
                <w:szCs w:val="21"/>
                <w:highlight w:val="none"/>
                <w:lang w:val="zh-CN"/>
              </w:rPr>
              <w:t xml:space="preserve">信息安全产品</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由具备资格的机构安全认证合格或者安全检测符合要求的证明材料</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color w:val="auto"/>
                <w:szCs w:val="21"/>
                <w:highlight w:val="none"/>
              </w:rPr>
              <w:t xml:space="preserve">3</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小微型</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企业产品</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货物由小微企业制造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bookmarkStart w:id="265" w:name="OLE_LINK72"/>
            <w:r>
              <w:rPr>
                <w:rFonts w:hint="eastAsia" w:ascii="宋体" w:hAnsi="宋体" w:cs="宋体"/>
                <w:bCs/>
                <w:color w:val="auto"/>
                <w:szCs w:val="21"/>
                <w:highlight w:val="none"/>
              </w:rPr>
              <w:t xml:space="preserve">《中小企业声明函》</w:t>
            </w:r>
            <w:bookmarkEnd w:id="265"/>
            <w:r/>
            <w:bookmarkStart w:id="266" w:name="OLE_LINK65"/>
            <w:r>
              <w:rPr>
                <w:rFonts w:hint="eastAsia" w:ascii="宋体" w:hAnsi="宋体" w:cs="宋体"/>
                <w:bCs/>
                <w:color w:val="auto"/>
                <w:szCs w:val="21"/>
                <w:highlight w:val="none"/>
              </w:rPr>
              <w:t xml:space="preserve">（格式见附件1）</w:t>
            </w:r>
            <w:bookmarkEnd w:id="266"/>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4</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货物由残疾人福利性单位制造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bookmarkStart w:id="267" w:name="OLE_LINK73"/>
            <w:r>
              <w:rPr>
                <w:rFonts w:hint="eastAsia" w:ascii="宋体" w:hAnsi="宋体" w:cs="宋体"/>
                <w:bCs/>
                <w:color w:val="auto"/>
                <w:szCs w:val="21"/>
                <w:highlight w:val="none"/>
              </w:rPr>
              <w:t xml:space="preserve">《残疾人福利性单位声明函》</w:t>
            </w:r>
            <w:bookmarkEnd w:id="267"/>
            <w:r>
              <w:rPr>
                <w:rFonts w:hint="eastAsia" w:ascii="宋体" w:hAnsi="宋体" w:cs="宋体"/>
                <w:bCs/>
                <w:color w:val="auto"/>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5</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货物由监狱企业制造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pStyle w:val="910"/>
        <w:rPr>
          <w:rFonts w:ascii="宋体" w:hAnsi="宋体"/>
          <w:color w:val="auto"/>
          <w:sz w:val="24"/>
          <w:szCs w:val="21"/>
          <w:highlight w:val="none"/>
          <w:lang w:val="zh-CN"/>
        </w:rPr>
      </w:pPr>
      <w:r>
        <w:rPr>
          <w:rFonts w:ascii="宋体" w:hAnsi="宋体"/>
          <w:color w:val="auto"/>
          <w:sz w:val="24"/>
          <w:szCs w:val="21"/>
          <w:highlight w:val="none"/>
          <w:lang w:val="zh-CN"/>
        </w:rPr>
      </w:r>
      <w:r/>
    </w:p>
    <w:p>
      <w:pPr>
        <w:jc w:val="center"/>
        <w:spacing w:before="156" w:line="360" w:lineRule="auto"/>
        <w:rPr>
          <w:color w:val="auto"/>
          <w:sz w:val="24"/>
          <w:szCs w:val="24"/>
          <w:highlight w:val="none"/>
        </w:rPr>
      </w:pPr>
      <w:r>
        <w:rPr>
          <w:rFonts w:hint="eastAsia"/>
          <w:color w:val="auto"/>
          <w:sz w:val="24"/>
          <w:szCs w:val="24"/>
          <w:highlight w:val="none"/>
          <w:lang w:val="en-US" w:eastAsia="zh-CN"/>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jc w:val="left"/>
        <w:spacing w:line="240" w:lineRule="atLeas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）相关证明材料请附在本表之后，若不享受政府采购政策优惠，附件</w:t>
      </w:r>
      <w:r>
        <w:rPr>
          <w:rFonts w:hint="eastAsia" w:ascii="宋体" w:hAnsi="宋体" w:cs="宋体"/>
          <w:b/>
          <w:bCs/>
          <w:color w:val="auto"/>
          <w:szCs w:val="21"/>
          <w:highlight w:val="none"/>
        </w:rPr>
        <w:t xml:space="preserve">1-附件</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可自行删除</w:t>
      </w:r>
      <w:r>
        <w:rPr>
          <w:rFonts w:hint="eastAsia" w:ascii="宋体" w:hAnsi="宋体" w:cs="宋体"/>
          <w:b/>
          <w:bCs/>
          <w:color w:val="auto"/>
          <w:szCs w:val="21"/>
          <w:highlight w:val="none"/>
          <w:lang w:val="zh-CN"/>
        </w:rPr>
        <w:t xml:space="preserve">；</w:t>
      </w:r>
      <w:r/>
    </w:p>
    <w:p>
      <w:pPr>
        <w:ind w:firstLine="480"/>
        <w:jc w:val="left"/>
        <w:spacing w:line="360" w:lineRule="auto"/>
        <w:rPr>
          <w:rFonts w:hint="eastAsia" w:ascii="黑体" w:hAnsi="宋体" w:eastAsia="黑体"/>
          <w:bCs/>
          <w:color w:val="auto"/>
          <w:sz w:val="24"/>
          <w:szCs w:val="24"/>
          <w:highlight w:val="none"/>
        </w:rPr>
      </w:pPr>
      <w:r>
        <w:rPr>
          <w:rFonts w:hint="eastAsia" w:ascii="宋体" w:hAnsi="宋体" w:cs="宋体"/>
          <w:b/>
          <w:bCs/>
          <w:color w:val="auto"/>
          <w:szCs w:val="21"/>
          <w:highlight w:val="none"/>
        </w:rPr>
        <w:t xml:space="preserve">（2）中标</w:t>
      </w:r>
      <w:r>
        <w:rPr>
          <w:rFonts w:hint="eastAsia" w:ascii="宋体" w:hAnsi="宋体" w:cs="宋体"/>
          <w:b/>
          <w:bCs/>
          <w:color w:val="auto"/>
          <w:szCs w:val="21"/>
          <w:highlight w:val="none"/>
          <w:lang w:val="zh-CN"/>
        </w:rPr>
        <w:t xml:space="preserve">供应商《中小企业声明函》、《残疾人福利性单位声明函》，采购人将随中标公告一并公示。</w:t>
      </w:r>
      <w:r/>
    </w:p>
    <w:p>
      <w:pPr>
        <w:ind w:firstLine="480"/>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264"/>
      <w:r/>
      <w:r/>
    </w:p>
    <w:p>
      <w:pPr>
        <w:ind w:firstLine="480"/>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pacing w:line="360" w:lineRule="auto"/>
        <w:rPr>
          <w:rFonts w:hint="eastAsia" w:ascii="黑体" w:hAnsi="宋体" w:eastAsia="黑体"/>
          <w:bCs/>
          <w:color w:val="auto"/>
          <w:sz w:val="24"/>
          <w:szCs w:val="24"/>
          <w:highlight w:val="none"/>
          <w:lang w:eastAsia="zh-CN"/>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附件1：中小企业声明函（格式）</w:t>
      </w:r>
      <w:r>
        <w:rPr>
          <w:rFonts w:hint="eastAsia" w:ascii="黑体" w:hAnsi="宋体" w:eastAsia="黑体"/>
          <w:bCs/>
          <w:color w:val="auto"/>
          <w:sz w:val="24"/>
          <w:szCs w:val="24"/>
          <w:highlight w:val="none"/>
          <w:lang w:eastAsia="zh-CN"/>
        </w:rPr>
        <w:t xml:space="preserve">：</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bookmarkStart w:id="268" w:name="OLE_LINK25"/>
      <w:r/>
      <w:bookmarkStart w:id="269" w:name="OLE_LINK35"/>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spacing w:line="580" w:lineRule="exact"/>
        <w:rPr>
          <w:rFonts w:hint="eastAsia" w:ascii="宋体" w:hAnsi="宋体"/>
          <w:bCs/>
          <w:color w:val="auto"/>
          <w:sz w:val="24"/>
          <w:szCs w:val="24"/>
          <w:highlight w:val="none"/>
        </w:rPr>
      </w:pPr>
      <w:r/>
      <w:bookmarkStart w:id="270" w:name="_Hlk131844526"/>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（单位名称）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（项目名称）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（中型企业、小型企业、微型企业）；</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（中型企业、小型企业、微型企业）；</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908"/>
        <w:ind w:right="420" w:firstLine="645"/>
        <w:spacing w:line="302" w:lineRule="auto"/>
        <w:rPr>
          <w:rFonts w:hint="eastAsia"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bookmarkEnd w:id="270"/>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hint="eastAsia" w:ascii="宋体" w:hAnsi="宋体"/>
          <w:bCs/>
          <w:color w:val="auto"/>
          <w:szCs w:val="21"/>
          <w:highlight w:val="none"/>
        </w:rPr>
      </w:pPr>
      <w:r/>
      <w:bookmarkStart w:id="271" w:name="_Hlk131935698"/>
      <w:r>
        <w:rPr>
          <w:rFonts w:hint="eastAsia" w:ascii="宋体" w:hAnsi="宋体"/>
          <w:bCs/>
          <w:color w:val="auto"/>
          <w:szCs w:val="21"/>
          <w:highlight w:val="none"/>
        </w:rPr>
        <w:t xml:space="preserve">（1）投标人应准确完整填写相关内容，详见投标人须知相关要求。</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268"/>
      <w:r/>
      <w:bookmarkEnd w:id="269"/>
      <w:r/>
      <w:bookmarkEnd w:id="271"/>
      <w:r/>
      <w:r/>
    </w:p>
    <w:p>
      <w:pPr>
        <w:jc w:val="left"/>
        <w:spacing w:line="360" w:lineRule="auto"/>
        <w:rPr>
          <w:rFonts w:hint="eastAsia" w:ascii="黑体" w:hAnsi="宋体" w:eastAsia="黑体"/>
          <w:bCs/>
          <w:color w:val="auto"/>
          <w:sz w:val="24"/>
          <w:szCs w:val="24"/>
          <w:highlight w:val="none"/>
        </w:rPr>
      </w:pPr>
      <w:r/>
      <w:bookmarkStart w:id="272" w:name="OLE_LINK150"/>
      <w:r>
        <w:rPr>
          <w:rFonts w:ascii="宋体" w:hAnsi="宋体"/>
          <w:color w:val="auto"/>
          <w:sz w:val="24"/>
          <w:szCs w:val="21"/>
          <w:highlight w:val="none"/>
        </w:rPr>
        <w:br w:type="page" w:clear="all"/>
      </w:r>
      <w:bookmarkStart w:id="273" w:name="OLE_LINK205"/>
      <w:r>
        <w:rPr>
          <w:rFonts w:hint="eastAsia" w:ascii="宋体" w:hAnsi="宋体"/>
          <w:color w:val="auto"/>
          <w:sz w:val="24"/>
          <w:szCs w:val="21"/>
          <w:highlight w:val="none"/>
          <w:lang w:val="en-US" w:eastAsia="zh-CN"/>
        </w:rPr>
        <w:t xml:space="preserve">    </w:t>
      </w:r>
      <w:r>
        <w:rPr>
          <w:rFonts w:hint="eastAsia" w:ascii="黑体" w:hAnsi="宋体" w:eastAsia="黑体"/>
          <w:bCs/>
          <w:color w:val="auto"/>
          <w:sz w:val="24"/>
          <w:szCs w:val="24"/>
          <w:highlight w:val="none"/>
        </w:rPr>
        <w:t xml:space="preserve">附件2：残疾人福利性单位声明函（格式）：</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rPr>
          <w:rFonts w:ascii="黑体" w:eastAsia="黑体"/>
          <w:bCs/>
          <w:color w:val="auto"/>
          <w:sz w:val="28"/>
          <w:szCs w:val="28"/>
          <w:highlight w:val="none"/>
        </w:rPr>
      </w:pPr>
      <w:r/>
      <w:bookmarkStart w:id="274" w:name="OLE_LINK64"/>
      <w:r/>
      <w:bookmarkStart w:id="275" w:name="OLE_LINK33"/>
      <w:r>
        <w:rPr>
          <w:rFonts w:hint="eastAsia" w:ascii="黑体" w:eastAsia="黑体"/>
          <w:bCs/>
          <w:color w:val="auto"/>
          <w:sz w:val="28"/>
          <w:szCs w:val="28"/>
          <w:highlight w:val="none"/>
        </w:rPr>
        <w:t xml:space="preserve">残疾人福利性单位</w:t>
      </w:r>
      <w:bookmarkEnd w:id="274"/>
      <w:r>
        <w:rPr>
          <w:rFonts w:hint="eastAsia" w:ascii="黑体" w:eastAsia="黑体"/>
          <w:bCs/>
          <w:color w:val="auto"/>
          <w:sz w:val="28"/>
          <w:szCs w:val="28"/>
          <w:highlight w:val="none"/>
        </w:rPr>
        <w:t xml:space="preserve">声明函</w:t>
      </w:r>
      <w:bookmarkEnd w:id="273"/>
      <w:r/>
      <w:bookmarkEnd w:id="275"/>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bookmarkEnd w:id="272"/>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numPr>
          <w:ilvl w:val="0"/>
          <w:numId w:val="0"/>
        </w:numPr>
        <w:spacing w:after="156" w:line="360" w:lineRule="auto"/>
        <w:rPr>
          <w:rFonts w:hint="eastAsia" w:ascii="黑体" w:hAnsi="宋体" w:eastAsia="黑体"/>
          <w:bCs/>
          <w:color w:val="auto"/>
          <w:sz w:val="28"/>
          <w:szCs w:val="28"/>
          <w:highlight w:val="none"/>
        </w:rPr>
      </w:pPr>
      <w:r>
        <w:rPr>
          <w:rFonts w:ascii="宋体" w:hAnsi="宋体"/>
          <w:bCs/>
          <w:color w:val="auto"/>
          <w:sz w:val="24"/>
          <w:highlight w:val="none"/>
        </w:rPr>
        <w:br w:type="page" w:clear="all"/>
      </w:r>
      <w:bookmarkStart w:id="276" w:name="_Hlk151456734"/>
      <w:r>
        <w:rPr>
          <w:rFonts w:hint="eastAsia" w:ascii="黑体" w:hAnsi="黑体" w:eastAsia="黑体" w:cs="黑体"/>
          <w:bCs/>
          <w:color w:val="auto"/>
          <w:sz w:val="28"/>
          <w:szCs w:val="28"/>
          <w:highlight w:val="none"/>
          <w:lang w:eastAsia="zh-CN"/>
        </w:rPr>
        <w:t xml:space="preserve">（五）</w:t>
      </w:r>
      <w:r>
        <w:rPr>
          <w:rFonts w:hint="eastAsia" w:ascii="黑体" w:hAnsi="黑体" w:eastAsia="黑体" w:cs="黑体"/>
          <w:bCs/>
          <w:color w:val="auto"/>
          <w:sz w:val="28"/>
          <w:szCs w:val="28"/>
          <w:highlight w:val="none"/>
        </w:rPr>
        <w:t xml:space="preserve">其他相关材料</w:t>
      </w:r>
      <w:r/>
    </w:p>
    <w:p>
      <w:pPr>
        <w:numPr>
          <w:ilvl w:val="0"/>
          <w:numId w:val="0"/>
        </w:numPr>
        <w:ind w:firstLine="720"/>
        <w:spacing w:after="156" w:line="360" w:lineRule="auto"/>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bookmarkEnd w:id="263"/>
      <w:r/>
      <w:bookmarkEnd w:id="276"/>
      <w:r/>
      <w:r/>
    </w:p>
    <w:p>
      <w:pPr>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bookmarkEnd w:id="0"/>
      <w:r/>
      <w:bookmarkEnd w:id="1"/>
      <w:r/>
      <w:bookmarkEnd w:id="2"/>
      <w:r/>
      <w:bookmarkEnd w:id="3"/>
      <w:r/>
      <w:bookmarkEnd w:id="4"/>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sectPr>
      <w:footerReference w:type="default" r:id="rId9"/>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Segoe UI Symbol">
    <w:panose1 w:val="020B0502040204020203"/>
  </w:font>
  <w:font w:name="Cambria">
    <w:panose1 w:val="0204050305040603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307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7650" cy="13144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- 16 -</w:t>
                          </w:r>
                          <w:r>
                            <w:rPr>
                              <w:rFonts w:hint="eastAsia"/>
                              <w:sz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- 16 -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4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2"/>
  </w:num>
  <w:num w:numId="4">
    <w:abstractNumId w:val="10"/>
  </w:num>
  <w:num w:numId="5">
    <w:abstractNumId w:val="1"/>
  </w:num>
  <w:num w:numId="6">
    <w:abstractNumId w:val="0"/>
  </w:num>
  <w:num w:numId="7">
    <w:abstractNumId w:val="6"/>
  </w:num>
  <w:num w:numId="8">
    <w:abstractNumId w:val="8"/>
  </w:num>
  <w:num w:numId="9">
    <w:abstractNumId w:val="13"/>
  </w:num>
  <w:num w:numId="10">
    <w:abstractNumId w:val="5"/>
  </w:num>
  <w:num w:numId="11">
    <w:abstractNumId w:val="11"/>
  </w:num>
  <w:num w:numId="12">
    <w:abstractNumId w:val="12"/>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uiPriority w:val="0"/>
    <w:qFormat/>
    <w:pPr>
      <w:jc w:val="both"/>
      <w:widowControl w:val="off"/>
    </w:pPr>
    <w:rPr>
      <w:rFonts w:hint="default" w:ascii="Times New Roman" w:hAnsi="Times New Roman" w:eastAsia="宋体" w:cs="Times New Roman"/>
      <w:sz w:val="21"/>
      <w:lang w:val="en-US" w:eastAsia="zh-CN" w:bidi="ar-SA"/>
    </w:rPr>
  </w:style>
  <w:style w:type="paragraph" w:styleId="697">
    <w:name w:val="Heading 1"/>
    <w:basedOn w:val="696"/>
    <w:next w:val="696"/>
    <w:link w:val="892"/>
    <w:uiPriority w:val="0"/>
    <w:qFormat/>
    <w:pPr>
      <w:keepLines/>
      <w:keepNext/>
      <w:spacing w:before="340" w:after="330" w:line="576" w:lineRule="auto"/>
      <w:outlineLvl w:val="0"/>
    </w:pPr>
    <w:rPr>
      <w:b/>
      <w:sz w:val="44"/>
    </w:rPr>
  </w:style>
  <w:style w:type="paragraph" w:styleId="698">
    <w:name w:val="Heading 2"/>
    <w:basedOn w:val="696"/>
    <w:next w:val="696"/>
    <w:uiPriority w:val="0"/>
    <w:qFormat/>
    <w:pPr>
      <w:keepLines/>
      <w:keepNext/>
      <w:spacing w:before="260" w:after="260" w:line="413" w:lineRule="auto"/>
      <w:outlineLvl w:val="1"/>
    </w:pPr>
    <w:rPr>
      <w:rFonts w:ascii="Arial" w:hAnsi="Arial" w:eastAsia="黑体"/>
      <w:b/>
      <w:sz w:val="32"/>
    </w:rPr>
  </w:style>
  <w:style w:type="paragraph" w:styleId="699">
    <w:name w:val="Heading 3"/>
    <w:basedOn w:val="696"/>
    <w:next w:val="696"/>
    <w:uiPriority w:val="0"/>
    <w:qFormat/>
    <w:pPr>
      <w:keepLines/>
      <w:keepNext/>
      <w:spacing w:before="260" w:after="260" w:line="413" w:lineRule="auto"/>
      <w:outlineLvl w:val="2"/>
    </w:pPr>
    <w:rPr>
      <w:b/>
      <w:sz w:val="32"/>
    </w:rPr>
  </w:style>
  <w:style w:type="paragraph" w:styleId="700">
    <w:name w:val="Heading 4"/>
    <w:basedOn w:val="696"/>
    <w:next w:val="696"/>
    <w:uiPriority w:val="0"/>
    <w:qFormat/>
    <w:pPr>
      <w:keepLines/>
      <w:keepNext/>
      <w:spacing w:before="280" w:after="290" w:line="372" w:lineRule="auto"/>
      <w:outlineLvl w:val="3"/>
    </w:pPr>
    <w:rPr>
      <w:rFonts w:ascii="Arial" w:hAnsi="Arial" w:eastAsia="黑体"/>
      <w:b/>
      <w:sz w:val="28"/>
    </w:rPr>
  </w:style>
  <w:style w:type="paragraph" w:styleId="701">
    <w:name w:val="Heading 5"/>
    <w:basedOn w:val="696"/>
    <w:next w:val="696"/>
    <w:uiPriority w:val="0"/>
    <w:qFormat/>
    <w:pPr>
      <w:keepLines/>
      <w:keepNext/>
      <w:spacing w:before="280" w:after="290" w:line="372" w:lineRule="auto"/>
      <w:outlineLvl w:val="4"/>
    </w:pPr>
    <w:rPr>
      <w:b/>
      <w:sz w:val="28"/>
    </w:rPr>
  </w:style>
  <w:style w:type="paragraph" w:styleId="702">
    <w:name w:val="Heading 6"/>
    <w:basedOn w:val="696"/>
    <w:next w:val="696"/>
    <w:uiPriority w:val="0"/>
    <w:qFormat/>
    <w:pPr>
      <w:keepLines/>
      <w:keepNext/>
      <w:spacing w:before="240" w:after="64" w:line="317" w:lineRule="auto"/>
      <w:outlineLvl w:val="5"/>
    </w:pPr>
    <w:rPr>
      <w:rFonts w:ascii="Arial" w:hAnsi="Arial" w:eastAsia="黑体"/>
      <w:b/>
      <w:sz w:val="24"/>
    </w:rPr>
  </w:style>
  <w:style w:type="paragraph" w:styleId="703">
    <w:name w:val="Heading 7"/>
    <w:basedOn w:val="696"/>
    <w:next w:val="696"/>
    <w:uiPriority w:val="0"/>
    <w:qFormat/>
    <w:pPr>
      <w:keepLines/>
      <w:keepNext/>
      <w:spacing w:before="240" w:after="64" w:line="317" w:lineRule="auto"/>
      <w:outlineLvl w:val="6"/>
    </w:pPr>
    <w:rPr>
      <w:b/>
      <w:sz w:val="24"/>
    </w:rPr>
  </w:style>
  <w:style w:type="paragraph" w:styleId="704">
    <w:name w:val="Heading 8"/>
    <w:basedOn w:val="696"/>
    <w:next w:val="696"/>
    <w:uiPriority w:val="0"/>
    <w:qFormat/>
    <w:pPr>
      <w:keepLines/>
      <w:keepNext/>
      <w:spacing w:before="240" w:after="64" w:line="317" w:lineRule="auto"/>
      <w:outlineLvl w:val="7"/>
    </w:pPr>
    <w:rPr>
      <w:rFonts w:ascii="Arial" w:hAnsi="Arial" w:eastAsia="黑体"/>
      <w:sz w:val="24"/>
    </w:rPr>
  </w:style>
  <w:style w:type="paragraph" w:styleId="705">
    <w:name w:val="Heading 9"/>
    <w:basedOn w:val="696"/>
    <w:next w:val="696"/>
    <w:uiPriority w:val="0"/>
    <w:qFormat/>
    <w:pPr>
      <w:keepLines/>
      <w:keepNext/>
      <w:spacing w:before="240" w:after="64" w:line="317" w:lineRule="auto"/>
      <w:outlineLvl w:val="8"/>
    </w:pPr>
    <w:rPr>
      <w:rFonts w:ascii="Arial" w:hAnsi="Arial" w:eastAsia="黑体"/>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Layout w:type="fixed"/>
      <w:tblCellMar>
        <w:left w:w="108" w:type="dxa"/>
        <w:top w:w="0" w:type="dxa"/>
        <w:right w:w="108" w:type="dxa"/>
        <w:bottom w:w="0" w:type="dxa"/>
      </w:tblCellMar>
    </w:tblPr>
  </w:style>
  <w:style w:type="paragraph" w:styleId="708">
    <w:name w:val="Body Text"/>
    <w:basedOn w:val="696"/>
    <w:next w:val="696"/>
    <w:uiPriority w:val="0"/>
    <w:qFormat/>
    <w:rPr>
      <w:sz w:val="20"/>
    </w:rPr>
  </w:style>
  <w:style w:type="paragraph" w:styleId="709">
    <w:name w:val="toc 7"/>
    <w:basedOn w:val="696"/>
    <w:next w:val="696"/>
    <w:uiPriority w:val="39"/>
    <w:unhideWhenUsed/>
    <w:qFormat/>
    <w:pPr>
      <w:ind w:left="1701" w:right="0" w:firstLine="0"/>
      <w:spacing w:after="57"/>
    </w:pPr>
  </w:style>
  <w:style w:type="paragraph" w:styleId="710">
    <w:name w:val="Body Text First Indent"/>
    <w:basedOn w:val="708"/>
    <w:uiPriority w:val="0"/>
    <w:unhideWhenUsed/>
    <w:qFormat/>
    <w:pPr>
      <w:ind w:firstLine="420"/>
    </w:p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6"/>
    <w:uiPriority w:val="0"/>
    <w:qFormat/>
    <w:pPr>
      <w:jc w:val="left"/>
    </w:pPr>
  </w:style>
  <w:style w:type="paragraph" w:styleId="713">
    <w:name w:val="Body Text Indent"/>
    <w:basedOn w:val="696"/>
    <w:uiPriority w:val="99"/>
    <w:semiHidden/>
    <w:unhideWhenUsed/>
    <w:qFormat/>
    <w:pPr>
      <w:ind w:left="420"/>
      <w:spacing w:after="120"/>
    </w:pPr>
  </w:style>
  <w:style w:type="paragraph" w:styleId="714">
    <w:name w:val="List 2"/>
    <w:basedOn w:val="696"/>
    <w:next w:val="715"/>
    <w:uiPriority w:val="0"/>
    <w:qFormat/>
    <w:pPr>
      <w:ind w:left="100" w:hanging="200"/>
    </w:pPr>
  </w:style>
  <w:style w:type="paragraph" w:styleId="715">
    <w:name w:val="Plain Text"/>
    <w:basedOn w:val="696"/>
    <w:uiPriority w:val="0"/>
    <w:qFormat/>
    <w:rPr>
      <w:rFonts w:ascii="宋体" w:hAnsi="Courier New"/>
    </w:rPr>
  </w:style>
  <w:style w:type="paragraph" w:styleId="716">
    <w:name w:val="toc 5"/>
    <w:basedOn w:val="696"/>
    <w:next w:val="696"/>
    <w:uiPriority w:val="39"/>
    <w:unhideWhenUsed/>
    <w:qFormat/>
    <w:pPr>
      <w:ind w:left="1134" w:right="0" w:firstLine="0"/>
      <w:spacing w:after="57"/>
    </w:pPr>
  </w:style>
  <w:style w:type="paragraph" w:styleId="717">
    <w:name w:val="toc 3"/>
    <w:basedOn w:val="696"/>
    <w:next w:val="696"/>
    <w:uiPriority w:val="39"/>
    <w:unhideWhenUsed/>
    <w:qFormat/>
    <w:pPr>
      <w:ind w:left="440"/>
      <w:jc w:val="left"/>
      <w:spacing w:after="100" w:line="276" w:lineRule="auto"/>
      <w:widowControl/>
    </w:pPr>
    <w:rPr>
      <w:rFonts w:ascii="Calibri" w:hAnsi="Calibri"/>
      <w:sz w:val="22"/>
      <w:szCs w:val="22"/>
    </w:rPr>
  </w:style>
  <w:style w:type="paragraph" w:styleId="718">
    <w:name w:val="toc 8"/>
    <w:basedOn w:val="696"/>
    <w:next w:val="696"/>
    <w:uiPriority w:val="39"/>
    <w:unhideWhenUsed/>
    <w:qFormat/>
    <w:pPr>
      <w:ind w:left="1984" w:right="0" w:firstLine="0"/>
      <w:spacing w:after="57"/>
    </w:pPr>
  </w:style>
  <w:style w:type="paragraph" w:styleId="719">
    <w:name w:val="endnote text"/>
    <w:basedOn w:val="696"/>
    <w:link w:val="889"/>
    <w:uiPriority w:val="99"/>
    <w:semiHidden/>
    <w:unhideWhenUsed/>
    <w:qFormat/>
    <w:pPr>
      <w:spacing w:after="0" w:line="240" w:lineRule="auto"/>
    </w:pPr>
    <w:rPr>
      <w:sz w:val="20"/>
    </w:rPr>
  </w:style>
  <w:style w:type="paragraph" w:styleId="720">
    <w:name w:val="Balloon Text"/>
    <w:basedOn w:val="696"/>
    <w:uiPriority w:val="0"/>
    <w:semiHidden/>
    <w:qFormat/>
    <w:rPr>
      <w:sz w:val="18"/>
      <w:szCs w:val="18"/>
    </w:rPr>
  </w:style>
  <w:style w:type="paragraph" w:styleId="721">
    <w:name w:val="Footer"/>
    <w:basedOn w:val="696"/>
    <w:uiPriority w:val="0"/>
    <w:qFormat/>
    <w:pPr>
      <w:jc w:val="left"/>
      <w:tabs>
        <w:tab w:val="center" w:pos="4153" w:leader="none"/>
        <w:tab w:val="right" w:pos="8306" w:leader="none"/>
      </w:tabs>
    </w:pPr>
    <w:rPr>
      <w:sz w:val="18"/>
    </w:rPr>
  </w:style>
  <w:style w:type="paragraph" w:styleId="722">
    <w:name w:val="Body Text First Indent 2"/>
    <w:basedOn w:val="713"/>
    <w:uiPriority w:val="0"/>
    <w:qFormat/>
    <w:pPr>
      <w:ind w:firstLine="420"/>
    </w:pPr>
  </w:style>
  <w:style w:type="paragraph" w:styleId="723">
    <w:name w:val="Header"/>
    <w:basedOn w:val="69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4">
    <w:name w:val="toc 1"/>
    <w:basedOn w:val="696"/>
    <w:next w:val="696"/>
    <w:uiPriority w:val="39"/>
    <w:qFormat/>
  </w:style>
  <w:style w:type="paragraph" w:styleId="725">
    <w:name w:val="toc 4"/>
    <w:basedOn w:val="696"/>
    <w:next w:val="696"/>
    <w:uiPriority w:val="39"/>
    <w:unhideWhenUsed/>
    <w:qFormat/>
    <w:pPr>
      <w:ind w:left="850" w:right="0" w:firstLine="0"/>
      <w:spacing w:after="57"/>
    </w:pPr>
  </w:style>
  <w:style w:type="paragraph" w:styleId="726">
    <w:name w:val="Subtitle"/>
    <w:basedOn w:val="696"/>
    <w:next w:val="696"/>
    <w:link w:val="755"/>
    <w:uiPriority w:val="11"/>
    <w:qFormat/>
    <w:pPr>
      <w:spacing w:before="200" w:after="200"/>
    </w:pPr>
    <w:rPr>
      <w:sz w:val="24"/>
      <w:szCs w:val="24"/>
    </w:rPr>
  </w:style>
  <w:style w:type="paragraph" w:styleId="727">
    <w:name w:val="footnote text"/>
    <w:basedOn w:val="696"/>
    <w:link w:val="888"/>
    <w:uiPriority w:val="99"/>
    <w:semiHidden/>
    <w:unhideWhenUsed/>
    <w:qFormat/>
    <w:pPr>
      <w:spacing w:after="40" w:line="240" w:lineRule="auto"/>
    </w:pPr>
    <w:rPr>
      <w:sz w:val="18"/>
    </w:rPr>
  </w:style>
  <w:style w:type="paragraph" w:styleId="728">
    <w:name w:val="toc 6"/>
    <w:basedOn w:val="696"/>
    <w:next w:val="696"/>
    <w:uiPriority w:val="39"/>
    <w:unhideWhenUsed/>
    <w:qFormat/>
    <w:pPr>
      <w:ind w:left="1417" w:right="0" w:firstLine="0"/>
      <w:spacing w:after="57"/>
    </w:pPr>
  </w:style>
  <w:style w:type="paragraph" w:styleId="729">
    <w:name w:val="Body Text Indent 3"/>
    <w:basedOn w:val="696"/>
    <w:uiPriority w:val="0"/>
    <w:qFormat/>
    <w:pPr>
      <w:ind w:left="420"/>
      <w:jc w:val="left"/>
      <w:spacing w:after="120"/>
      <w:widowControl/>
    </w:pPr>
    <w:rPr>
      <w:sz w:val="16"/>
      <w:szCs w:val="16"/>
    </w:rPr>
  </w:style>
  <w:style w:type="paragraph" w:styleId="730">
    <w:name w:val="table of figures"/>
    <w:basedOn w:val="696"/>
    <w:next w:val="696"/>
    <w:uiPriority w:val="99"/>
    <w:unhideWhenUsed/>
    <w:qFormat/>
    <w:pPr>
      <w:spacing w:after="0" w:afterAutospacing="0"/>
    </w:pPr>
  </w:style>
  <w:style w:type="paragraph" w:styleId="731">
    <w:name w:val="toc 2"/>
    <w:basedOn w:val="696"/>
    <w:next w:val="696"/>
    <w:uiPriority w:val="39"/>
    <w:qFormat/>
    <w:pPr>
      <w:ind w:left="420"/>
    </w:pPr>
  </w:style>
  <w:style w:type="paragraph" w:styleId="732">
    <w:name w:val="toc 9"/>
    <w:basedOn w:val="696"/>
    <w:next w:val="696"/>
    <w:uiPriority w:val="39"/>
    <w:unhideWhenUsed/>
    <w:qFormat/>
    <w:pPr>
      <w:ind w:left="2268" w:right="0" w:firstLine="0"/>
      <w:spacing w:after="57"/>
    </w:pPr>
  </w:style>
  <w:style w:type="paragraph" w:styleId="733">
    <w:name w:val="Body Text 2"/>
    <w:basedOn w:val="696"/>
    <w:uiPriority w:val="0"/>
    <w:qFormat/>
    <w:pPr>
      <w:spacing w:after="120" w:line="480" w:lineRule="auto"/>
    </w:pPr>
    <w:rPr>
      <w:sz w:val="20"/>
    </w:rPr>
  </w:style>
  <w:style w:type="paragraph" w:styleId="734">
    <w:name w:val="Normal (Web)"/>
    <w:basedOn w:val="696"/>
    <w:uiPriority w:val="99"/>
    <w:qFormat/>
    <w:pPr>
      <w:jc w:val="left"/>
      <w:spacing w:before="100" w:beforeAutospacing="1" w:after="100" w:afterAutospacing="1"/>
    </w:pPr>
    <w:rPr>
      <w:sz w:val="24"/>
      <w:szCs w:val="24"/>
    </w:rPr>
  </w:style>
  <w:style w:type="paragraph" w:styleId="735">
    <w:name w:val="Title"/>
    <w:basedOn w:val="696"/>
    <w:next w:val="696"/>
    <w:link w:val="754"/>
    <w:uiPriority w:val="10"/>
    <w:qFormat/>
    <w:pPr>
      <w:contextualSpacing/>
      <w:spacing w:before="300" w:after="200"/>
    </w:pPr>
    <w:rPr>
      <w:sz w:val="48"/>
      <w:szCs w:val="48"/>
    </w:rPr>
  </w:style>
  <w:style w:type="character" w:styleId="736">
    <w:name w:val="endnote reference"/>
    <w:basedOn w:val="706"/>
    <w:uiPriority w:val="99"/>
    <w:semiHidden/>
    <w:unhideWhenUsed/>
    <w:qFormat/>
    <w:rPr>
      <w:vertAlign w:val="superscript"/>
    </w:rPr>
  </w:style>
  <w:style w:type="character" w:styleId="737">
    <w:name w:val="page number"/>
    <w:uiPriority w:val="0"/>
    <w:qFormat/>
  </w:style>
  <w:style w:type="character" w:styleId="738">
    <w:name w:val="FollowedHyperlink"/>
    <w:uiPriority w:val="0"/>
    <w:qFormat/>
    <w:rPr>
      <w:color w:val="auto"/>
      <w:u w:val="none"/>
    </w:rPr>
  </w:style>
  <w:style w:type="character" w:styleId="739">
    <w:name w:val="Hyperlink"/>
    <w:uiPriority w:val="99"/>
    <w:unhideWhenUsed/>
    <w:qFormat/>
    <w:rPr>
      <w:color w:val="0000ff"/>
      <w:u w:val="single"/>
    </w:rPr>
  </w:style>
  <w:style w:type="character" w:styleId="740">
    <w:name w:val="footnote reference"/>
    <w:basedOn w:val="706"/>
    <w:uiPriority w:val="99"/>
    <w:unhideWhenUsed/>
    <w:qFormat/>
    <w:rPr>
      <w:vertAlign w:val="superscript"/>
    </w:rPr>
  </w:style>
  <w:style w:type="table" w:styleId="741">
    <w:name w:val="Table Grid"/>
    <w:basedOn w:val="7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42" w:customStyle="1">
    <w:name w:val="列表项目符号 21"/>
    <w:basedOn w:val="696"/>
    <w:uiPriority w:val="0"/>
    <w:qFormat/>
    <w:pPr>
      <w:numPr>
        <w:ilvl w:val="0"/>
        <w:numId w:val="1"/>
      </w:numPr>
    </w:pPr>
  </w:style>
  <w:style w:type="paragraph" w:styleId="743" w:customStyle="1">
    <w:name w:val="首行缩进"/>
    <w:basedOn w:val="696"/>
    <w:uiPriority w:val="0"/>
    <w:qFormat/>
    <w:pPr>
      <w:ind w:firstLine="480"/>
    </w:pPr>
    <w:rPr>
      <w:lang w:val="zh-CN"/>
    </w:rPr>
  </w:style>
  <w:style w:type="character" w:styleId="744" w:customStyle="1">
    <w:name w:val="Heading 1 Char"/>
    <w:basedOn w:val="706"/>
    <w:uiPriority w:val="9"/>
    <w:qFormat/>
    <w:rPr>
      <w:rFonts w:ascii="Arial" w:hAnsi="Arial" w:eastAsia="Arial" w:cs="Arial"/>
      <w:sz w:val="40"/>
      <w:szCs w:val="40"/>
    </w:rPr>
  </w:style>
  <w:style w:type="character" w:styleId="745" w:customStyle="1">
    <w:name w:val="Heading 2 Char"/>
    <w:basedOn w:val="706"/>
    <w:uiPriority w:val="9"/>
    <w:qFormat/>
    <w:rPr>
      <w:rFonts w:ascii="Arial" w:hAnsi="Arial" w:eastAsia="Arial" w:cs="Arial"/>
      <w:sz w:val="34"/>
    </w:rPr>
  </w:style>
  <w:style w:type="character" w:styleId="746" w:customStyle="1">
    <w:name w:val="Heading 3 Char"/>
    <w:basedOn w:val="706"/>
    <w:uiPriority w:val="9"/>
    <w:qFormat/>
    <w:rPr>
      <w:rFonts w:ascii="Arial" w:hAnsi="Arial" w:eastAsia="Arial" w:cs="Arial"/>
      <w:sz w:val="30"/>
      <w:szCs w:val="30"/>
    </w:rPr>
  </w:style>
  <w:style w:type="character" w:styleId="747" w:customStyle="1">
    <w:name w:val="Heading 4 Char"/>
    <w:basedOn w:val="706"/>
    <w:uiPriority w:val="9"/>
    <w:qFormat/>
    <w:rPr>
      <w:rFonts w:ascii="Arial" w:hAnsi="Arial" w:eastAsia="Arial" w:cs="Arial"/>
      <w:b/>
      <w:bCs/>
      <w:sz w:val="26"/>
      <w:szCs w:val="26"/>
    </w:rPr>
  </w:style>
  <w:style w:type="character" w:styleId="748" w:customStyle="1">
    <w:name w:val="Heading 5 Char"/>
    <w:basedOn w:val="706"/>
    <w:uiPriority w:val="9"/>
    <w:qFormat/>
    <w:rPr>
      <w:rFonts w:ascii="Arial" w:hAnsi="Arial" w:eastAsia="Arial" w:cs="Arial"/>
      <w:b/>
      <w:bCs/>
      <w:sz w:val="24"/>
      <w:szCs w:val="24"/>
    </w:rPr>
  </w:style>
  <w:style w:type="character" w:styleId="749" w:customStyle="1">
    <w:name w:val="Heading 6 Char"/>
    <w:basedOn w:val="706"/>
    <w:uiPriority w:val="9"/>
    <w:qFormat/>
    <w:rPr>
      <w:rFonts w:ascii="Arial" w:hAnsi="Arial" w:eastAsia="Arial" w:cs="Arial"/>
      <w:b/>
      <w:bCs/>
      <w:sz w:val="22"/>
      <w:szCs w:val="22"/>
    </w:rPr>
  </w:style>
  <w:style w:type="character" w:styleId="750" w:customStyle="1">
    <w:name w:val="Heading 7 Char"/>
    <w:basedOn w:val="706"/>
    <w:uiPriority w:val="9"/>
    <w:qFormat/>
    <w:rPr>
      <w:rFonts w:ascii="Arial" w:hAnsi="Arial" w:eastAsia="Arial" w:cs="Arial"/>
      <w:b/>
      <w:bCs/>
      <w:i/>
      <w:iCs/>
      <w:sz w:val="22"/>
      <w:szCs w:val="22"/>
    </w:rPr>
  </w:style>
  <w:style w:type="character" w:styleId="751" w:customStyle="1">
    <w:name w:val="Heading 8 Char"/>
    <w:basedOn w:val="706"/>
    <w:uiPriority w:val="9"/>
    <w:qFormat/>
    <w:rPr>
      <w:rFonts w:ascii="Arial" w:hAnsi="Arial" w:eastAsia="Arial" w:cs="Arial"/>
      <w:i/>
      <w:iCs/>
      <w:sz w:val="22"/>
      <w:szCs w:val="22"/>
    </w:rPr>
  </w:style>
  <w:style w:type="character" w:styleId="752" w:customStyle="1">
    <w:name w:val="Heading 9 Char"/>
    <w:basedOn w:val="706"/>
    <w:uiPriority w:val="9"/>
    <w:qFormat/>
    <w:rPr>
      <w:rFonts w:ascii="Arial" w:hAnsi="Arial" w:eastAsia="Arial" w:cs="Arial"/>
      <w:i/>
      <w:iCs/>
      <w:sz w:val="21"/>
      <w:szCs w:val="21"/>
    </w:r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basedOn w:val="706"/>
    <w:link w:val="735"/>
    <w:uiPriority w:val="10"/>
    <w:qFormat/>
    <w:rPr>
      <w:sz w:val="48"/>
      <w:szCs w:val="48"/>
    </w:rPr>
  </w:style>
  <w:style w:type="character" w:styleId="755" w:customStyle="1">
    <w:name w:val="Subtitle Char"/>
    <w:basedOn w:val="706"/>
    <w:link w:val="726"/>
    <w:uiPriority w:val="11"/>
    <w:qFormat/>
    <w:rPr>
      <w:sz w:val="24"/>
      <w:szCs w:val="24"/>
    </w:rPr>
  </w:style>
  <w:style w:type="paragraph" w:styleId="756">
    <w:name w:val="Quote"/>
    <w:basedOn w:val="696"/>
    <w:next w:val="696"/>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696"/>
    <w:next w:val="696"/>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basedOn w:val="706"/>
    <w:uiPriority w:val="99"/>
    <w:qFormat/>
  </w:style>
  <w:style w:type="character" w:styleId="761" w:customStyle="1">
    <w:name w:val="Footer Char"/>
    <w:basedOn w:val="706"/>
    <w:uiPriority w:val="99"/>
    <w:qFormat/>
  </w:style>
  <w:style w:type="character" w:styleId="762" w:customStyle="1">
    <w:name w:val="Caption Char"/>
    <w:uiPriority w:val="99"/>
    <w:qFormat/>
  </w:style>
  <w:style w:type="table" w:styleId="763" w:customStyle="1">
    <w:name w:val="Table Grid Light"/>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4"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basedOn w:val="7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7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7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7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7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7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basedOn w:val="7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basedOn w:val="7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basedOn w:val="7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basedOn w:val="7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basedOn w:val="7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basedOn w:val="7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basedOn w:val="7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basedOn w:val="7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basedOn w:val="7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basedOn w:val="7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basedOn w:val="7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basedOn w:val="7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basedOn w:val="70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basedOn w:val="70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basedOn w:val="70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basedOn w:val="70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basedOn w:val="70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basedOn w:val="70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basedOn w:val="70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basedOn w:val="7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basedOn w:val="70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basedOn w:val="7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basedOn w:val="70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basedOn w:val="70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basedOn w:val="70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basedOn w:val="70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basedOn w:val="70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basedOn w:val="70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basedOn w:val="70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basedOn w:val="70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basedOn w:val="70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basedOn w:val="70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basedOn w:val="70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basedOn w:val="70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basedOn w:val="70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basedOn w:val="70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basedOn w:val="70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basedOn w:val="70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basedOn w:val="70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basedOn w:val="70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basedOn w:val="70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basedOn w:val="70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basedOn w:val="70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basedOn w:val="7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basedOn w:val="70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basedOn w:val="7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basedOn w:val="70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basedOn w:val="70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basedOn w:val="70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basedOn w:val="70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basedOn w:val="70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basedOn w:val="70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basedOn w:val="70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basedOn w:val="70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basedOn w:val="70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basedOn w:val="70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basedOn w:val="70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basedOn w:val="70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basedOn w:val="70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basedOn w:val="70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basedOn w:val="707"/>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basedOn w:val="707"/>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basedOn w:val="707"/>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basedOn w:val="707"/>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basedOn w:val="707"/>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basedOn w:val="707"/>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basedOn w:val="70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basedOn w:val="707"/>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basedOn w:val="707"/>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basedOn w:val="707"/>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basedOn w:val="707"/>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basedOn w:val="707"/>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basedOn w:val="707"/>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basedOn w:val="7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basedOn w:val="70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basedOn w:val="70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basedOn w:val="70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basedOn w:val="70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basedOn w:val="70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basedOn w:val="70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basedOn w:val="7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basedOn w:val="7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basedOn w:val="7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basedOn w:val="7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basedOn w:val="7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basedOn w:val="7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basedOn w:val="7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27"/>
    <w:uiPriority w:val="99"/>
    <w:qFormat/>
    <w:rPr>
      <w:sz w:val="18"/>
    </w:rPr>
  </w:style>
  <w:style w:type="character" w:styleId="889" w:customStyle="1">
    <w:name w:val="Endnote Text Char"/>
    <w:link w:val="719"/>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段"/>
    <w:next w:val="696"/>
    <w:uiPriority w:val="0"/>
    <w:qFormat/>
    <w:pPr>
      <w:ind w:firstLine="200"/>
      <w:jc w:val="both"/>
    </w:pPr>
    <w:rPr>
      <w:rFonts w:hint="default" w:ascii="宋体" w:hAnsi="Times New Roman" w:eastAsia="宋体" w:cs="Times New Roman"/>
      <w:sz w:val="21"/>
      <w:szCs w:val="22"/>
      <w:lang w:val="en-US" w:eastAsia="zh-CN" w:bidi="ar-SA"/>
    </w:rPr>
  </w:style>
  <w:style w:type="character" w:styleId="892" w:customStyle="1">
    <w:name w:val="标题 1 字符"/>
    <w:link w:val="697"/>
    <w:uiPriority w:val="0"/>
    <w:qFormat/>
    <w:rPr>
      <w:b/>
      <w:sz w:val="44"/>
    </w:rPr>
  </w:style>
  <w:style w:type="paragraph" w:styleId="893" w:customStyle="1">
    <w:name w:val="索引 11"/>
    <w:basedOn w:val="696"/>
    <w:next w:val="696"/>
    <w:uiPriority w:val="0"/>
    <w:qFormat/>
    <w:pPr>
      <w:spacing w:line="360" w:lineRule="auto"/>
    </w:pPr>
    <w:rPr>
      <w:rFonts w:ascii="仿宋_GB2312" w:eastAsia="仿宋_GB2312"/>
      <w:sz w:val="24"/>
    </w:rPr>
  </w:style>
  <w:style w:type="paragraph" w:styleId="894" w:customStyle="1">
    <w:name w:val="普通文字"/>
    <w:basedOn w:val="696"/>
    <w:next w:val="696"/>
    <w:uiPriority w:val="0"/>
    <w:qFormat/>
    <w:rPr>
      <w:rFonts w:ascii="宋体"/>
      <w:sz w:val="24"/>
    </w:rPr>
  </w:style>
  <w:style w:type="paragraph" w:styleId="895" w:customStyle="1">
    <w:name w:val="纯文本1"/>
    <w:basedOn w:val="696"/>
    <w:uiPriority w:val="0"/>
    <w:qFormat/>
    <w:rPr>
      <w:rFonts w:ascii="宋体" w:hAnsi="Courier New"/>
      <w:szCs w:val="22"/>
    </w:rPr>
  </w:style>
  <w:style w:type="paragraph" w:styleId="896" w:customStyle="1">
    <w:name w:val="正文缩进1"/>
    <w:basedOn w:val="696"/>
    <w:uiPriority w:val="0"/>
    <w:qFormat/>
    <w:pPr>
      <w:ind w:firstLine="420"/>
      <w:jc w:val="left"/>
    </w:pPr>
    <w:rPr>
      <w:rFonts w:ascii="宋体" w:hAnsi="Calibri"/>
      <w:sz w:val="24"/>
      <w:szCs w:val="22"/>
    </w:rPr>
  </w:style>
  <w:style w:type="paragraph" w:styleId="897">
    <w:name w:val="List Paragraph"/>
    <w:basedOn w:val="696"/>
    <w:uiPriority w:val="34"/>
    <w:qFormat/>
    <w:pPr>
      <w:ind w:firstLine="420"/>
    </w:pPr>
  </w:style>
  <w:style w:type="paragraph" w:styleId="898" w:customStyle="1">
    <w:name w:val="Default Paragraph Font Para Char"/>
    <w:basedOn w:val="696"/>
    <w:uiPriority w:val="0"/>
    <w:qFormat/>
    <w:pPr>
      <w:jc w:val="left"/>
      <w:spacing w:after="160" w:line="240" w:lineRule="exact"/>
      <w:widowControl/>
    </w:pPr>
  </w:style>
  <w:style w:type="paragraph" w:styleId="899" w:customStyle="1">
    <w:name w:val="TOC 标题1"/>
    <w:basedOn w:val="697"/>
    <w:next w:val="696"/>
    <w:uiPriority w:val="39"/>
    <w:semiHidden/>
    <w:unhideWhenUsed/>
    <w:qFormat/>
    <w:pPr>
      <w:jc w:val="left"/>
      <w:spacing w:before="480" w:after="0" w:line="276" w:lineRule="auto"/>
      <w:widowControl/>
      <w:outlineLvl w:val="9"/>
    </w:pPr>
    <w:rPr>
      <w:rFonts w:ascii="Cambria" w:hAnsi="Cambria"/>
      <w:bCs/>
      <w:color w:val="365f91"/>
      <w:sz w:val="28"/>
      <w:szCs w:val="28"/>
    </w:rPr>
  </w:style>
  <w:style w:type="character" w:styleId="900" w:customStyle="1">
    <w:name w:val="font41"/>
    <w:basedOn w:val="706"/>
    <w:uiPriority w:val="0"/>
    <w:qFormat/>
    <w:rPr>
      <w:rFonts w:hint="eastAsia" w:ascii="宋体" w:hAnsi="宋体" w:eastAsia="宋体" w:cs="宋体"/>
      <w:color w:val="000000"/>
      <w:sz w:val="22"/>
      <w:szCs w:val="22"/>
      <w:u w:val="none"/>
    </w:rPr>
  </w:style>
  <w:style w:type="character" w:styleId="901" w:customStyle="1">
    <w:name w:val="font31"/>
    <w:basedOn w:val="706"/>
    <w:uiPriority w:val="0"/>
    <w:qFormat/>
    <w:rPr>
      <w:rFonts w:ascii="Calibri" w:hAnsi="Calibri" w:cs="Calibri"/>
      <w:color w:val="000000"/>
      <w:sz w:val="22"/>
      <w:szCs w:val="22"/>
      <w:u w:val="none"/>
    </w:rPr>
  </w:style>
  <w:style w:type="character" w:styleId="902" w:customStyle="1">
    <w:name w:val="font51"/>
    <w:basedOn w:val="706"/>
    <w:uiPriority w:val="0"/>
    <w:qFormat/>
    <w:rPr>
      <w:rFonts w:ascii="Segoe UI Symbol" w:hAnsi="Segoe UI Symbol" w:eastAsia="Segoe UI Symbol" w:cs="Segoe UI Symbol"/>
      <w:color w:val="000000"/>
      <w:sz w:val="22"/>
      <w:szCs w:val="22"/>
      <w:u w:val="none"/>
    </w:rPr>
  </w:style>
  <w:style w:type="paragraph" w:styleId="903" w:customStyle="1">
    <w:name w:val="WPSOffice手动目录 1"/>
    <w:uiPriority w:val="0"/>
    <w:qFormat/>
    <w:rPr>
      <w:rFonts w:hint="default" w:ascii="Times New Roman" w:hAnsi="Times New Roman" w:eastAsia="宋体" w:cs="Times New Roman"/>
      <w:lang w:val="en-US" w:eastAsia="zh-CN" w:bidi="ar-SA"/>
    </w:rPr>
  </w:style>
  <w:style w:type="paragraph" w:styleId="904" w:customStyle="1">
    <w:name w:val="Default"/>
    <w:next w:val="905"/>
    <w:uiPriority w:val="0"/>
    <w:qFormat/>
    <w:pPr>
      <w:widowControl w:val="off"/>
    </w:pPr>
    <w:rPr>
      <w:rFonts w:hint="default" w:ascii="宋体" w:hAnsi="Times New Roman" w:eastAsia="宋体" w:cs="宋体"/>
      <w:color w:val="000000"/>
      <w:sz w:val="24"/>
      <w:szCs w:val="24"/>
      <w:lang w:val="en-US" w:eastAsia="zh-CN" w:bidi="ar-SA"/>
    </w:rPr>
  </w:style>
  <w:style w:type="paragraph" w:styleId="905" w:customStyle="1">
    <w:name w:val="Char Char10 Char Char Char Char"/>
    <w:basedOn w:val="696"/>
    <w:next w:val="696"/>
    <w:uiPriority w:val="0"/>
    <w:qFormat/>
  </w:style>
  <w:style w:type="paragraph" w:styleId="906" w:customStyle="1">
    <w:name w:val="纯文本11"/>
    <w:basedOn w:val="696"/>
    <w:uiPriority w:val="0"/>
    <w:qFormat/>
    <w:rPr>
      <w:rFonts w:ascii="宋体" w:hAnsi="Courier New"/>
    </w:rPr>
  </w:style>
  <w:style w:type="paragraph" w:styleId="907" w:customStyle="1">
    <w:name w:val="正文文本 21"/>
    <w:basedOn w:val="696"/>
    <w:uiPriority w:val="0"/>
    <w:qFormat/>
    <w:pPr>
      <w:spacing w:after="120" w:line="480" w:lineRule="auto"/>
    </w:pPr>
    <w:rPr>
      <w:sz w:val="20"/>
    </w:rPr>
  </w:style>
  <w:style w:type="paragraph" w:styleId="908" w:customStyle="1">
    <w:name w:val="正文文本1"/>
    <w:basedOn w:val="696"/>
    <w:uiPriority w:val="0"/>
    <w:qFormat/>
    <w:rPr>
      <w:sz w:val="20"/>
    </w:rPr>
  </w:style>
  <w:style w:type="paragraph" w:styleId="909" w:customStyle="1">
    <w:name w:val="列表段落1"/>
    <w:basedOn w:val="696"/>
    <w:uiPriority w:val="34"/>
    <w:qFormat/>
    <w:pPr>
      <w:ind w:firstLine="420"/>
      <w:jc w:val="both"/>
      <w:spacing w:after="0"/>
      <w:widowControl w:val="off"/>
    </w:pPr>
    <w:rPr>
      <w:rFonts w:ascii="Times New Roman" w:hAnsi="Times New Roman" w:eastAsia="宋体" w:cs="Times New Roman"/>
      <w:sz w:val="21"/>
      <w:szCs w:val="24"/>
    </w:rPr>
  </w:style>
  <w:style w:type="paragraph" w:styleId="910" w:customStyle="1">
    <w:name w:val="正文文本首行缩进"/>
    <w:basedOn w:val="908"/>
    <w:uiPriority w:val="0"/>
    <w:qFormat/>
    <w:pPr>
      <w:ind w:firstLine="420"/>
      <w:spacing w:after="120"/>
      <w:tabs>
        <w:tab w:val="left" w:pos="2020" w:leader="none"/>
        <w:tab w:val="center" w:pos="4535" w:leader="none"/>
      </w:tabs>
    </w:pPr>
    <w:rPr>
      <w:sz w:val="21"/>
    </w:rPr>
  </w:style>
  <w:style w:type="paragraph" w:styleId="911" w:customStyle="1">
    <w:name w:val="无间隔1"/>
    <w:uiPriority w:val="1"/>
    <w:qFormat/>
    <w:pPr>
      <w:jc w:val="both"/>
      <w:widowControl w:val="off"/>
    </w:pPr>
    <w:rPr>
      <w:rFonts w:ascii="Times New Roman" w:hAnsi="Times New Roman" w:eastAsia="宋体" w:cs="Times New Roman"/>
      <w:sz w:val="21"/>
      <w:szCs w:val="22"/>
      <w:lang w:val="en-US" w:eastAsia="zh-CN" w:bidi="ar-SA"/>
    </w:rPr>
  </w:style>
  <w:style w:type="numbering" w:styleId="9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徐东</cp:lastModifiedBy>
  <cp:revision>89</cp:revision>
  <dcterms:created xsi:type="dcterms:W3CDTF">2021-10-27T04:57:00Z</dcterms:created>
  <dcterms:modified xsi:type="dcterms:W3CDTF">2026-10-20T06:40:24Z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2D460152985D4E01B26158D4A142588B_13</vt:lpwstr>
  </property>
  <property fmtid="{D5CDD505-2E9C-101B-9397-08002B2CF9AE}" pid="4" name="KSOTemplateDocerSaveRecord">
    <vt:lpwstr>eyJoZGlkIjoiOGUyMWUzMzUwNjMxOTJhY2ZmZjk0NzAzZmZmMTBiMjkiLCJ1c2VySWQiOiI3MzgyNjI1NTMifQ==</vt:lpwstr>
  </property>
</Properties>
</file>