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320"/>
        <w:jc w:val="left"/>
        <w:rPr>
          <w:rFonts w:ascii="宋体" w:hAnsi="宋体" w:cs="宋体"/>
          <w:color w:val="000000"/>
          <w:sz w:val="28"/>
          <w:szCs w:val="28"/>
        </w:rPr>
      </w:pPr>
      <w:r>
        <w:rPr>
          <w:rFonts w:hint="eastAsia" w:ascii="宋体" w:hAnsi="宋体" w:cs="宋体"/>
          <w:color w:val="000000"/>
          <w:sz w:val="28"/>
          <w:szCs w:val="28"/>
        </w:rPr>
        <w:t xml:space="preserve">     </w:t>
      </w:r>
      <w:r/>
    </w:p>
    <w:p>
      <w:pPr>
        <w:pStyle w:val="930"/>
        <w:rPr>
          <w:rFonts w:ascii="宋体" w:hAnsi="宋体" w:cs="宋体"/>
          <w:color w:val="000000"/>
          <w:sz w:val="28"/>
          <w:szCs w:val="28"/>
        </w:rPr>
      </w:pPr>
      <w:r>
        <w:rPr>
          <w:rFonts w:ascii="宋体" w:hAnsi="宋体" w:cs="宋体"/>
          <w:color w:val="000000"/>
          <w:sz w:val="28"/>
          <w:szCs w:val="28"/>
        </w:rPr>
      </w:r>
      <w:r/>
    </w:p>
    <w:p>
      <w:pPr>
        <w:pStyle w:val="921"/>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921"/>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p>
    <w:p>
      <w:pPr>
        <w:pStyle w:val="921"/>
        <w:ind w:firstLine="2108"/>
        <w:rPr>
          <w:rFonts w:ascii="宋体" w:hAnsi="宋体" w:cs="宋体"/>
          <w:b/>
          <w:bCs/>
          <w:color w:val="000000"/>
          <w:sz w:val="28"/>
          <w:szCs w:val="28"/>
        </w:rPr>
      </w:pPr>
      <w:r>
        <w:rPr>
          <w:rFonts w:ascii="宋体" w:hAnsi="宋体" w:cs="宋体"/>
          <w:b/>
          <w:bCs/>
          <w:color w:val="000000"/>
          <w:sz w:val="28"/>
          <w:szCs w:val="28"/>
        </w:rPr>
      </w:r>
      <w:r/>
    </w:p>
    <w:p>
      <w:pPr>
        <w:pStyle w:val="921"/>
        <w:ind w:firstLine="2108"/>
        <w:rPr>
          <w:rFonts w:ascii="宋体" w:hAnsi="宋体" w:cs="宋体"/>
          <w:b/>
          <w:bCs/>
          <w:color w:val="000000"/>
          <w:sz w:val="28"/>
          <w:szCs w:val="28"/>
        </w:rPr>
      </w:pPr>
      <w:r>
        <w:rPr>
          <w:rFonts w:ascii="宋体" w:hAnsi="宋体" w:cs="宋体"/>
          <w:b/>
          <w:bCs/>
          <w:color w:val="000000"/>
          <w:sz w:val="28"/>
          <w:szCs w:val="28"/>
        </w:rPr>
      </w:r>
      <w:r/>
    </w:p>
    <w:p>
      <w:pPr>
        <w:pStyle w:val="930"/>
        <w:rPr>
          <w:rFonts w:ascii="宋体" w:hAnsi="宋体" w:cs="宋体"/>
          <w:color w:val="000000"/>
          <w:sz w:val="28"/>
          <w:szCs w:val="28"/>
        </w:rPr>
      </w:pPr>
      <w:r>
        <w:rPr>
          <w:rFonts w:ascii="宋体" w:hAnsi="宋体" w:cs="宋体"/>
          <w:color w:val="000000"/>
          <w:sz w:val="28"/>
          <w:szCs w:val="28"/>
        </w:rPr>
      </w:r>
      <w:r/>
    </w:p>
    <w:p>
      <w:pPr>
        <w:pStyle w:val="1049"/>
        <w:rPr>
          <w:rFonts w:ascii="宋体" w:hAnsi="宋体" w:cs="宋体"/>
          <w:sz w:val="28"/>
          <w:szCs w:val="28"/>
        </w:rPr>
      </w:pPr>
      <w:r>
        <w:rPr>
          <w:rFonts w:ascii="宋体" w:hAnsi="宋体" w:cs="宋体"/>
          <w:sz w:val="28"/>
          <w:szCs w:val="28"/>
        </w:rPr>
      </w:r>
      <w:r/>
    </w:p>
    <w:p>
      <w:pPr>
        <w:pStyle w:val="1049"/>
        <w:rPr>
          <w:rFonts w:ascii="宋体" w:hAnsi="宋体" w:cs="宋体"/>
          <w:sz w:val="28"/>
          <w:szCs w:val="28"/>
        </w:rPr>
      </w:pPr>
      <w:r>
        <w:rPr>
          <w:rFonts w:ascii="宋体" w:hAnsi="宋体" w:cs="宋体"/>
          <w:sz w:val="28"/>
          <w:szCs w:val="28"/>
        </w:rPr>
      </w:r>
      <w:r/>
    </w:p>
    <w:p>
      <w:pPr>
        <w:pStyle w:val="921"/>
        <w:rPr>
          <w:rFonts w:ascii="宋体" w:hAnsi="宋体" w:cs="宋体"/>
          <w:color w:val="000000"/>
          <w:sz w:val="28"/>
          <w:szCs w:val="28"/>
        </w:rPr>
      </w:pPr>
      <w:r>
        <w:rPr>
          <w:rFonts w:ascii="宋体" w:hAnsi="宋体" w:cs="宋体"/>
          <w:color w:val="000000"/>
          <w:sz w:val="28"/>
          <w:szCs w:val="28"/>
        </w:rPr>
      </w:r>
      <w:r/>
    </w:p>
    <w:p>
      <w:pPr>
        <w:pStyle w:val="921"/>
        <w:ind w:firstLine="2108"/>
        <w:rPr>
          <w:rFonts w:ascii="宋体" w:hAnsi="宋体" w:cs="宋体"/>
          <w:b/>
          <w:bCs/>
          <w:color w:val="000000"/>
          <w:sz w:val="28"/>
          <w:szCs w:val="28"/>
        </w:rPr>
      </w:pPr>
      <w:r>
        <w:rPr>
          <w:rFonts w:ascii="宋体" w:hAnsi="宋体" w:cs="宋体"/>
          <w:b/>
          <w:bCs/>
          <w:color w:val="000000"/>
          <w:sz w:val="28"/>
          <w:szCs w:val="28"/>
        </w:rPr>
      </w:r>
      <w:r/>
    </w:p>
    <w:p>
      <w:pPr>
        <w:pStyle w:val="92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项目名称：新沂市2026年秋粮重大病虫害防控和玉米重大病虫生物防治</w:t>
      </w:r>
      <w:r/>
    </w:p>
    <w:p>
      <w:pPr>
        <w:jc w:val="both"/>
        <w:spacing w:line="360" w:lineRule="auto"/>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w:t>
      </w:r>
      <w:r>
        <w:rPr>
          <w:rFonts w:hint="eastAsia" w:ascii="宋体" w:hAnsi="宋体" w:cs="宋体"/>
          <w:b/>
          <w:bCs/>
          <w:color w:val="000000"/>
          <w:sz w:val="32"/>
          <w:szCs w:val="32"/>
          <w:lang w:eastAsia="zh-CN"/>
        </w:rPr>
        <w:t xml:space="preserve">JSZC-320381-XNGL-G2026-0005</w:t>
      </w:r>
      <w:r/>
    </w:p>
    <w:p>
      <w:pPr>
        <w:pStyle w:val="92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 购 人：新沂市农业农村局</w:t>
      </w:r>
      <w:r/>
    </w:p>
    <w:p>
      <w:pPr>
        <w:pStyle w:val="92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采购代理机构：江苏新诺项目管理有限公司</w:t>
      </w:r>
      <w:r/>
    </w:p>
    <w:p>
      <w:pPr>
        <w:pStyle w:val="973"/>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w:t>
      </w:r>
      <w:r>
        <w:rPr>
          <w:rFonts w:hint="eastAsia" w:ascii="宋体" w:hAnsi="宋体" w:cs="宋体"/>
          <w:b/>
          <w:bCs/>
          <w:color w:val="000000"/>
          <w:sz w:val="32"/>
          <w:szCs w:val="32"/>
          <w:lang w:val="en-US" w:eastAsia="zh-CN"/>
        </w:rPr>
        <w:t xml:space="preserve">十</w:t>
      </w:r>
      <w:r>
        <w:rPr>
          <w:rFonts w:hint="eastAsia" w:ascii="宋体" w:hAnsi="宋体" w:cs="宋体"/>
          <w:b/>
          <w:bCs/>
          <w:color w:val="000000"/>
          <w:sz w:val="32"/>
          <w:szCs w:val="32"/>
        </w:rPr>
        <w:t xml:space="preserve">月</w:t>
      </w:r>
      <w:r/>
    </w:p>
    <w:p>
      <w:pPr>
        <w:pStyle w:val="921"/>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973"/>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p>
    <w:p>
      <w:pPr>
        <w:pStyle w:val="921"/>
        <w:jc w:val="center"/>
        <w:spacing w:line="520" w:lineRule="exact"/>
        <w:rPr>
          <w:rFonts w:ascii="宋体" w:hAnsi="宋体" w:cs="宋体"/>
          <w:b/>
          <w:color w:val="000000"/>
          <w:sz w:val="28"/>
          <w:szCs w:val="28"/>
        </w:rPr>
      </w:pPr>
      <w:r/>
      <w:bookmarkStart w:id="0" w:name="_Toc522790130"/>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1035"/>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fldChar w:fldCharType="begin"/>
      </w:r>
      <w:r>
        <w:instrText xml:space="preserve"> HYPERLINK \l "_Toc24120"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"_Toc22286"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"_Toc17318"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"_Toc9989"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5</w:t>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"_Toc13862"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_Toc13862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"_Toc32499"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_Toc32499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"_Toc7211" </w:instrText>
      </w:r>
      <w: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_Toc7211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21"/>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hint="eastAsia" w:ascii="宋体" w:hAnsi="宋体" w:cs="宋体"/>
          <w:b/>
          <w:color w:val="000000"/>
          <w:sz w:val="28"/>
          <w:szCs w:val="28"/>
        </w:rPr>
        <w:t xml:space="preserve">新沂市2026年秋粮重大病虫害防控和玉米重大病虫生物防治项目</w:t>
      </w:r>
      <w:r/>
    </w:p>
    <w:p>
      <w:pPr>
        <w:pStyle w:val="921"/>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96"/>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 江苏新诺项目管理有限公司受新沂市农业农村局委托，对“新沂市2026年秋粮重大病虫害防控和玉米重大病虫生物防治”项目进行公开招标采购，现邀请符合相关条件的供应商投标。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(一)项目名称：新沂市2026年秋粮重大病虫害防控和玉米重大病虫生物防治</w:t>
      </w:r>
      <w:r/>
    </w:p>
    <w:p>
      <w:pPr>
        <w:pStyle w:val="921"/>
        <w:ind w:firstLine="560"/>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(二)项目编号：</w:t>
      </w:r>
      <w:r>
        <w:rPr>
          <w:rFonts w:hint="eastAsia" w:ascii="Segoe UI" w:hAnsi="Segoe UI" w:cs="Segoe UI"/>
          <w:szCs w:val="21"/>
          <w:shd w:val="clear" w:color="auto" w:fill="ffffff"/>
          <w:lang w:eastAsia="zh-CN"/>
        </w:rPr>
        <w:t xml:space="preserve">JSZC-320381-XNGL-G2026-0005</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（一）时间（时间期限）、地点、方式：详见本项目公开招标公告。</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（1）登录http://jszfcg.jsczt.cn/，或进入徐州政府采购网--业务工作--用户登录，点击“苏采云”进入系统。</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4.采购代理机构将数据电文形式的招标文件加载至电子招标投标交易平台，供潜在投标人下载或者查阅。</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5.招标文件售价：免费。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w:t>
      </w:r>
      <w:bookmarkStart w:id="2" w:name="OLE_LINK1"/>
      <w:r>
        <w:rPr>
          <w:rFonts w:hint="eastAsia" w:ascii="宋体" w:hAnsi="宋体" w:cs="宋体"/>
          <w:color w:val="000000"/>
          <w:sz w:val="24"/>
        </w:rPr>
        <w:t xml:space="preserve">2026年</w:t>
      </w:r>
      <w:r>
        <w:rPr>
          <w:rFonts w:hint="eastAsia" w:ascii="宋体" w:hAnsi="宋体" w:cs="宋体"/>
          <w:color w:val="000000"/>
          <w:sz w:val="24"/>
          <w:lang w:val="en-US" w:eastAsia="zh-CN"/>
        </w:rPr>
        <w:t xml:space="preserve">11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04</w:t>
      </w:r>
      <w:r>
        <w:rPr>
          <w:rFonts w:hint="eastAsia" w:ascii="宋体" w:hAnsi="宋体" w:cs="宋体"/>
          <w:color w:val="000000"/>
          <w:sz w:val="24"/>
        </w:rPr>
        <w:t xml:space="preserve">日</w:t>
      </w:r>
      <w:bookmarkEnd w:id="2"/>
      <w:r>
        <w:rPr>
          <w:rFonts w:hint="eastAsia" w:ascii="宋体" w:hAnsi="宋体" w:cs="宋体"/>
          <w:color w:val="000000"/>
          <w:sz w:val="24"/>
        </w:rPr>
        <w:t xml:space="preserve">北京时间9:30</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（二）开标时间：2026年</w:t>
      </w:r>
      <w:r>
        <w:rPr>
          <w:rFonts w:hint="eastAsia" w:ascii="宋体" w:hAnsi="宋体" w:cs="宋体"/>
          <w:color w:val="000000"/>
          <w:sz w:val="24"/>
          <w:lang w:val="en-US" w:eastAsia="zh-CN"/>
        </w:rPr>
        <w:t xml:space="preserve">11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04</w:t>
      </w:r>
      <w:r>
        <w:rPr>
          <w:rFonts w:hint="eastAsia" w:ascii="宋体" w:hAnsi="宋体" w:cs="宋体"/>
          <w:color w:val="000000"/>
          <w:sz w:val="24"/>
        </w:rPr>
        <w:t xml:space="preserve">日北京时间9:30</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（一）名称：新沂市农业农村局。</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（二）地址：新沂市新东路101号。</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（三）联系方法：18252191289</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（四）采购项目联系人：程大勇 </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（一）名称：江苏新诺项目管理有限公司。</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（二）地址：新沂市北沟街道黄山路10号F栋215室。</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（三）联系方法：19962760676</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（四）采购项目联系人：唐贝贝；</w:t>
      </w:r>
      <w:r/>
    </w:p>
    <w:p>
      <w:pPr>
        <w:pStyle w:val="921"/>
        <w:ind w:firstLine="560"/>
        <w:spacing w:line="36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pStyle w:val="996"/>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921"/>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921"/>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921"/>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p>
    <w:p>
      <w:pPr>
        <w:pStyle w:val="921"/>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921"/>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p>
    <w:p>
      <w:pPr>
        <w:pStyle w:val="921"/>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p>
    <w:p>
      <w:pPr>
        <w:pStyle w:val="921"/>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921"/>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92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（十八）投标文件的密封、盖章要求：</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2.开标由采购代理机构主持，邀请投标人参加。</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p>
    <w:p>
      <w:pPr>
        <w:pStyle w:val="921"/>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921"/>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921"/>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非单一产品采购项目，多家投标人提供的核心产品品牌相同的，按前两款规定处理。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  （一）评审中出现下列情形之一的，评审（评标）委员会应当启动异常低价投标（响应）审查程序：</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3.投标（响应）报价低于采购项目最高限价</w:t>
      </w:r>
      <w:r>
        <w:rPr>
          <w:rFonts w:hint="eastAsia" w:ascii="宋体" w:hAnsi="宋体" w:cs="宋体"/>
          <w:color w:val="000000"/>
          <w:sz w:val="24"/>
          <w:lang w:val="en-US" w:eastAsia="zh-CN"/>
        </w:rPr>
        <w:t xml:space="preserve">单价</w:t>
      </w:r>
      <w:r>
        <w:rPr>
          <w:rFonts w:hint="eastAsia" w:ascii="宋体" w:hAnsi="宋体" w:cs="宋体"/>
          <w:color w:val="000000"/>
          <w:sz w:val="24"/>
        </w:rPr>
        <w:t xml:space="preserve">（未设定最高限价的采购项目，</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以采购项目预算金额作为最高限价）45%的，即投标（响应）报价&lt;采购项目最高限价</w:t>
      </w:r>
      <w:r>
        <w:rPr>
          <w:rFonts w:hint="eastAsia" w:ascii="宋体" w:hAnsi="宋体" w:cs="宋体"/>
          <w:color w:val="000000"/>
          <w:sz w:val="24"/>
          <w:lang w:val="en-US" w:eastAsia="zh-CN"/>
        </w:rPr>
        <w:t xml:space="preserve">单价</w:t>
      </w:r>
      <w:r>
        <w:rPr>
          <w:rFonts w:hint="eastAsia" w:ascii="宋体" w:hAnsi="宋体" w:cs="宋体"/>
          <w:color w:val="000000"/>
          <w:sz w:val="24"/>
        </w:rPr>
        <w:t xml:space="preserve">×45%；</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相关法律法规对供应商报价有规定的，从其规定。</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21"/>
        <w:ind w:firstLine="560"/>
        <w:jc w:val="left"/>
        <w:spacing w:line="520" w:lineRule="exact"/>
        <w:widowControl/>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21"/>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pStyle w:val="921"/>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（三十八）履约保证金：本项目无需缴纳履约保证金。</w:t>
      </w:r>
      <w:r/>
    </w:p>
    <w:p>
      <w:pPr>
        <w:pStyle w:val="921"/>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921"/>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921"/>
        <w:ind w:firstLine="602"/>
        <w:jc w:val="center"/>
        <w:spacing w:line="360" w:lineRule="exact"/>
        <w:rPr>
          <w:rFonts w:ascii="宋体" w:hAnsi="宋体" w:cs="宋体"/>
          <w:b/>
          <w:color w:val="000000"/>
          <w:sz w:val="24"/>
        </w:rPr>
      </w:pPr>
      <w:r>
        <w:rPr>
          <w:rFonts w:ascii="宋体" w:hAnsi="宋体" w:cs="宋体"/>
          <w:b/>
          <w:color w:val="000000"/>
          <w:sz w:val="24"/>
        </w:rPr>
      </w:r>
      <w:r/>
    </w:p>
    <w:p>
      <w:pPr>
        <w:pStyle w:val="921"/>
        <w:rPr>
          <w:rFonts w:ascii="宋体" w:hAnsi="宋体" w:cs="宋体"/>
          <w:color w:val="000000"/>
          <w:sz w:val="24"/>
        </w:rPr>
      </w:pPr>
      <w:r/>
      <w:bookmarkStart w:id="3" w:name="_Toc522790132"/>
      <w:r/>
      <w:bookmarkStart w:id="4" w:name="_Toc17318"/>
      <w:r>
        <w:rPr>
          <w:rFonts w:hint="eastAsia" w:ascii="宋体" w:hAnsi="宋体" w:cs="宋体"/>
          <w:color w:val="000000"/>
          <w:sz w:val="24"/>
        </w:rPr>
        <w:br w:type="page" w:clear="all"/>
      </w:r>
      <w:r/>
    </w:p>
    <w:p>
      <w:pPr>
        <w:pStyle w:val="996"/>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3"/>
      <w:r/>
      <w:bookmarkEnd w:id="4"/>
      <w:r/>
      <w:r/>
    </w:p>
    <w:p>
      <w:pPr>
        <w:pStyle w:val="1026"/>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921"/>
        <w:spacing w:line="240" w:lineRule="exact"/>
        <w:rPr>
          <w:rFonts w:ascii="宋体" w:hAnsi="宋体" w:cs="宋体"/>
          <w:color w:val="000000"/>
          <w:sz w:val="24"/>
        </w:rPr>
      </w:pPr>
      <w:r>
        <w:rPr>
          <w:rFonts w:ascii="宋体" w:hAnsi="宋体" w:cs="宋体"/>
          <w:color w:val="000000"/>
          <w:sz w:val="24"/>
        </w:rPr>
      </w:r>
      <w:r/>
    </w:p>
    <w:tbl>
      <w:tblPr>
        <w:tblStyle w:val="854"/>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textDirection w:val="lrTb"/>
            <w:noWrap w:val="false"/>
          </w:tcPr>
          <w:p>
            <w:pPr>
              <w:pStyle w:val="921"/>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条款项号</w:t>
            </w:r>
            <w:r/>
          </w:p>
        </w:tc>
        <w:tc>
          <w:tcPr>
            <w:tcW w:w="8771" w:type="dxa"/>
            <w:textDirection w:val="lrTb"/>
            <w:noWrap w:val="false"/>
          </w:tcPr>
          <w:p>
            <w:pPr>
              <w:pStyle w:val="921"/>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内    容</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一</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总则</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(一)</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本项目采购人：新沂市农业农村局</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采购人确定的采购项目属性：货物</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(五)</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本项目采购代理机构：江苏新诺项目管理有限公司</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(六)</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投标人的资格条件：</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一、符合《中华人民共和国政府采购法》第二十二条的规定；</w:t>
            </w:r>
            <w:r/>
          </w:p>
          <w:p>
            <w:pPr>
              <w:pStyle w:val="921"/>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二、</w:t>
            </w:r>
            <w:r>
              <w:rPr>
                <w:rFonts w:hint="eastAsia" w:ascii="仿宋" w:hAnsi="仿宋" w:eastAsia="仿宋" w:cs="仿宋"/>
                <w:color w:val="000000"/>
                <w:sz w:val="24"/>
              </w:rPr>
              <w:t xml:space="preserve">落实政府采购政策需满足的资格要求：</w:t>
            </w:r>
            <w:r>
              <w:rPr>
                <w:rFonts w:hint="eastAsia" w:ascii="仿宋" w:hAnsi="仿宋" w:eastAsia="仿宋" w:cs="仿宋"/>
                <w:b/>
                <w:bCs/>
                <w:color w:val="000000"/>
                <w:sz w:val="24"/>
              </w:rPr>
              <w:t xml:space="preserve">此项目是属于专门面向中小微企业采购的项目。</w:t>
            </w:r>
            <w:r/>
          </w:p>
          <w:p>
            <w:pPr>
              <w:pStyle w:val="921"/>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同时明确相关事项如下：</w:t>
            </w:r>
            <w:r/>
          </w:p>
          <w:p>
            <w:pPr>
              <w:pStyle w:val="921"/>
              <w:spacing w:line="520" w:lineRule="exact"/>
              <w:rPr>
                <w:rFonts w:ascii="仿宋" w:hAnsi="仿宋" w:eastAsia="仿宋" w:cs="仿宋"/>
                <w:color w:val="000000"/>
                <w:sz w:val="24"/>
              </w:rPr>
            </w:pPr>
            <w:r>
              <w:rPr>
                <w:rFonts w:hint="eastAsia" w:ascii="仿宋" w:hAnsi="仿宋" w:eastAsia="仿宋" w:cs="仿宋"/>
                <w:bCs/>
                <w:color w:val="000000"/>
                <w:sz w:val="24"/>
              </w:rPr>
              <w:t xml:space="preserve">一、本项目不接受联合体参与采</w:t>
            </w:r>
            <w:r>
              <w:rPr>
                <w:rFonts w:hint="eastAsia" w:ascii="仿宋" w:hAnsi="仿宋" w:eastAsia="仿宋" w:cs="仿宋"/>
                <w:color w:val="000000"/>
                <w:sz w:val="24"/>
              </w:rPr>
              <w:t xml:space="preserve">购活动，中标后不得转包或者分包。</w:t>
            </w:r>
            <w:r/>
          </w:p>
          <w:p>
            <w:pPr>
              <w:pStyle w:val="921"/>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p>
          <w:p>
            <w:pPr>
              <w:pStyle w:val="921"/>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p>
          <w:p>
            <w:pPr>
              <w:pStyle w:val="921"/>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四、查询及使用供应商信用记录：</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(一)由采购人查询信用信息。</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(二)查询渠道包括：</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1.“信用中国”网（</w:t>
            </w:r>
            <w:r>
              <w:fldChar w:fldCharType="begin"/>
            </w:r>
            <w:r>
              <w:instrText xml:space="preserve"> HYPERLINK "http://www.creditchina.gov.cn/" </w:instrText>
            </w:r>
            <w: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2.中国政府采购网（</w:t>
            </w:r>
            <w:r>
              <w:fldChar w:fldCharType="begin"/>
            </w:r>
            <w:r>
              <w:instrText xml:space="preserve"> HYPERLINK "http://www.ccgp.gov.cn/" </w:instrText>
            </w:r>
            <w: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3.“诚信江苏”网（www.jiangsu.gov.cn/jsxy/index.htm）</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或“信用江苏”网（http://credit.jiangsu.gov.cn/）；</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4.“信用中国（江苏徐州）”网</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 </w:t>
            </w:r>
            <w:r>
              <w:fldChar w:fldCharType="begin"/>
            </w:r>
            <w:r>
              <w:instrText xml:space="preserve"> HYPERLINK "http://www.xuzhoucredit.gov.cn/" </w:instrText>
            </w:r>
            <w:r>
              <w:fldChar w:fldCharType="separate"/>
            </w:r>
            <w:r>
              <w:rPr>
                <w:rFonts w:hint="eastAsia" w:ascii="仿宋" w:hAnsi="仿宋" w:eastAsia="仿宋" w:cs="仿宋"/>
                <w:color w:val="000000"/>
                <w:sz w:val="24"/>
              </w:rPr>
              <w:t xml:space="preserve">http://www.xuzhoucredit.gov.cn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(三)截止时点（查询环节）：开标后资格审查结束前。</w:t>
            </w:r>
            <w:r/>
          </w:p>
          <w:p>
            <w:pPr>
              <w:pStyle w:val="921"/>
              <w:ind w:left="98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(五)信用信息的使用规则：</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(七)</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中标单位应在领取成交通知书前，一次性向采购代理机构足额支付招标代理服务费。此项费用含在投标报价中，投标人编制投标文件时考虑到投标报价中，采购人不再另行支付。</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二</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招标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bCs/>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(九)2</w:t>
            </w:r>
            <w:r/>
          </w:p>
        </w:tc>
        <w:tc>
          <w:tcPr>
            <w:tcW w:w="8771" w:type="dxa"/>
            <w:textDirection w:val="lrTb"/>
            <w:noWrap w:val="false"/>
          </w:tcPr>
          <w:p>
            <w:pPr>
              <w:pStyle w:val="921"/>
              <w:spacing w:line="520" w:lineRule="exact"/>
              <w:tabs>
                <w:tab w:val="left" w:pos="5760" w:leader="none"/>
              </w:tabs>
              <w:rPr>
                <w:rFonts w:ascii="仿宋" w:hAnsi="仿宋" w:eastAsia="仿宋" w:cs="仿宋"/>
                <w:color w:val="000000"/>
                <w:sz w:val="24"/>
              </w:rPr>
            </w:pPr>
            <w:r>
              <w:rPr>
                <w:rFonts w:hint="eastAsia" w:ascii="仿宋" w:hAnsi="仿宋" w:eastAsia="仿宋" w:cs="仿宋"/>
                <w:color w:val="000000"/>
                <w:sz w:val="24"/>
              </w:rPr>
              <w:t xml:space="preserve">不安排现场考察。</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(九)3</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不安排开标前答疑会。</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三</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w:t>
            </w:r>
            <w:r/>
          </w:p>
        </w:tc>
      </w:tr>
      <w:tr>
        <w:trPr>
          <w:trHeight w:val="482"/>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(十一)</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投标文件的语言为中文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w:t>
            </w:r>
            <w:r/>
          </w:p>
        </w:tc>
        <w:tc>
          <w:tcPr>
            <w:tcW w:w="8771" w:type="dxa"/>
            <w:textDirection w:val="lrTb"/>
            <w:noWrap w:val="false"/>
          </w:tcPr>
          <w:p>
            <w:pPr>
              <w:pStyle w:val="921"/>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仿宋"/>
                <w:bCs/>
                <w:color w:val="000000"/>
                <w:sz w:val="24"/>
              </w:rPr>
              <w:t xml:space="preserve">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1"/>
              <w:jc w:val="left"/>
              <w:spacing w:line="520" w:lineRule="exact"/>
              <w:rPr>
                <w:rFonts w:ascii="仿宋" w:hAnsi="仿宋" w:eastAsia="仿宋" w:cs="仿宋"/>
                <w:bCs/>
                <w:color w:val="000000"/>
                <w:sz w:val="24"/>
              </w:rPr>
            </w:pPr>
            <w:r>
              <w:rPr>
                <w:rFonts w:hint="eastAsia" w:ascii="仿宋" w:hAnsi="仿宋" w:eastAsia="仿宋" w:cs="仿宋"/>
                <w:b/>
                <w:bCs/>
                <w:color w:val="000000"/>
                <w:sz w:val="24"/>
              </w:rPr>
              <w:t xml:space="preserve">特别说明：政府采购客户端工具需要导出加密的投标文件（后缀名为zip）。投标文件不得超过350M！</w:t>
            </w:r>
            <w:r/>
          </w:p>
        </w:tc>
      </w:tr>
      <w:tr>
        <w:trPr>
          <w:trHeight w:val="90"/>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(十二)1</w:t>
            </w:r>
            <w:r/>
          </w:p>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(十二)2</w:t>
            </w:r>
            <w:r/>
          </w:p>
        </w:tc>
        <w:tc>
          <w:tcPr>
            <w:tcW w:w="8771" w:type="dxa"/>
            <w:textDirection w:val="lrTb"/>
            <w:noWrap w:val="false"/>
          </w:tcPr>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线上投标文件编制要求：</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请按照以下要求（包括但不限于以下要求）制作：</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一、基本目录</w:t>
            </w:r>
            <w:r/>
          </w:p>
          <w:p>
            <w:pPr>
              <w:pStyle w:val="921"/>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1.《开标一览表》（加盖电子签章，政府采购客户端工具输入报价自动生成）；</w:t>
            </w:r>
            <w:r/>
          </w:p>
          <w:p>
            <w:pPr>
              <w:pStyle w:val="921"/>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2.《承诺书》（加盖电子签章，格式见招标文件第七章《投标文件相关格式》）；</w:t>
            </w:r>
            <w:r/>
          </w:p>
          <w:p>
            <w:pPr>
              <w:pStyle w:val="921"/>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3.《授权委托书》（加盖电子签章，格式见招标文件第七章《投标文件相关格式》）；</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二、资格条件（1-</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必须提供，否则投标无效）</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w:t>
            </w:r>
            <w:bookmarkStart w:id="5" w:name="OLE_LINK58"/>
            <w:r>
              <w:rPr>
                <w:rFonts w:hint="eastAsia" w:ascii="仿宋" w:hAnsi="仿宋" w:eastAsia="仿宋" w:cs="仿宋"/>
                <w:b/>
                <w:bCs/>
                <w:color w:val="000000"/>
                <w:sz w:val="24"/>
              </w:rPr>
              <w:t xml:space="preserve">具有独立承担民事责任的能力，提供投标人合法有效的法人的营业执照(或事业单位法人证书)或其他组织应提供合法证明文件的原件扫描件(加盖电子签章)。</w:t>
            </w:r>
            <w:bookmarkEnd w:id="5"/>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（2）财务状况报告（即提供投标人的本项目开标时间（不含开标当月）前6个月内任何时间的资产负债表、利润表各一份或</w:t>
            </w:r>
            <w:r>
              <w:rPr>
                <w:rFonts w:hint="eastAsia" w:ascii="仿宋" w:hAnsi="仿宋" w:eastAsia="仿宋" w:cs="仿宋"/>
                <w:b/>
                <w:color w:val="000000"/>
                <w:sz w:val="24"/>
              </w:rPr>
              <w:t xml:space="preserve">合法有效的经第三方机构审计的上年度的年度财务审计报告（应包括审计报告正文、资产负债表、现金流量表、利润表）</w:t>
            </w:r>
            <w:r>
              <w:rPr>
                <w:rFonts w:hint="eastAsia" w:ascii="仿宋" w:hAnsi="仿宋" w:eastAsia="仿宋" w:cs="仿宋"/>
                <w:b/>
                <w:bCs/>
                <w:color w:val="000000"/>
                <w:sz w:val="24"/>
              </w:rPr>
              <w:t xml:space="preserve">；</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6" w:name="_Toc515551102"/>
            <w:r>
              <w:rPr>
                <w:rFonts w:hint="eastAsia" w:ascii="仿宋" w:hAnsi="仿宋" w:eastAsia="仿宋" w:cs="仿宋"/>
                <w:b/>
                <w:bCs/>
                <w:color w:val="000000"/>
                <w:sz w:val="24"/>
              </w:rPr>
              <w:t xml:space="preserve">具备履行合同所必需的设备和专业技术能力的书面声明</w:t>
            </w:r>
            <w:bookmarkEnd w:id="6"/>
            <w:r>
              <w:rPr>
                <w:rFonts w:hint="eastAsia" w:ascii="仿宋" w:hAnsi="仿宋" w:eastAsia="仿宋" w:cs="仿宋"/>
                <w:b/>
                <w:bCs/>
                <w:color w:val="000000"/>
                <w:sz w:val="24"/>
              </w:rPr>
              <w:t xml:space="preserve">》。加盖电子签章，格式见招标文件第七章《投标文件相关格式》。）</w:t>
            </w:r>
            <w:r/>
          </w:p>
          <w:p>
            <w:pPr>
              <w:pStyle w:val="921"/>
              <w:spacing w:line="360" w:lineRule="auto"/>
              <w:rPr>
                <w:rFonts w:hint="eastAsia"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（5）投标人参加政府采购活动前3年内在经营活动中没有重大违法记录的书面声明(加盖电子签章，格式见《招标文件》附件)；</w:t>
            </w:r>
            <w:r/>
          </w:p>
          <w:p>
            <w:pPr>
              <w:pStyle w:val="921"/>
              <w:spacing w:line="360" w:lineRule="auto"/>
              <w:rPr>
                <w:rFonts w:hint="eastAsia"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特定资格要求：</w:t>
            </w:r>
            <w:r>
              <w:rPr>
                <w:rFonts w:hint="eastAsia" w:ascii="仿宋" w:hAnsi="仿宋" w:eastAsia="仿宋" w:cs="仿宋"/>
                <w:b/>
                <w:bCs/>
                <w:color w:val="000000"/>
                <w:sz w:val="24"/>
              </w:rPr>
              <w:t xml:space="preserve">供应商为生产厂家的，须提供所投产品的①农药生产许可证或生产批准证的原件扫描件、②农药登记证的原件扫描件、③产品标准证的原件扫描件。</w:t>
            </w:r>
            <w:r/>
          </w:p>
          <w:p>
            <w:pPr>
              <w:pStyle w:val="921"/>
              <w:spacing w:line="360" w:lineRule="auto"/>
              <w:rPr>
                <w:rFonts w:hint="eastAsia"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供应商为经销商的，须提供①农药经营许可证的原件扫描件，②所投产品的农药生产许可证或生产批准证的原件扫描件、③农药登记证的原件扫描件、④产品标准证的原件扫描件。</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三、符合条件（必须提供，否则投标无效）</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（一）报价</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1.《分项价格表》（加盖电子签章，格式见招标文件第七章《投标文件相关格式》。）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（二）商务资信</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1.《投标函》（加盖电子签章，格式见招标文件第七章《投标文件相关格式》。）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2.《授权委托书》（加盖电子签章，格式见招标文件第七章《投标文件相关格式》）；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（三）技术响应</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1.《偏离表》（加盖电子签章，格式见招标文件第七章《投标文件相关格式》。）</w:t>
            </w:r>
            <w:r/>
          </w:p>
          <w:p>
            <w:pPr>
              <w:pStyle w:val="921"/>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四、综合评审评分项</w:t>
            </w:r>
            <w:r/>
          </w:p>
          <w:p>
            <w:pPr>
              <w:pStyle w:val="921"/>
              <w:spacing w:line="360" w:lineRule="auto"/>
              <w:rPr>
                <w:rFonts w:ascii="仿宋" w:hAnsi="仿宋" w:eastAsia="仿宋" w:cs="仿宋"/>
                <w:sz w:val="24"/>
              </w:rPr>
            </w:pPr>
            <w:r>
              <w:rPr>
                <w:rFonts w:hint="eastAsia" w:ascii="仿宋" w:hAnsi="仿宋" w:eastAsia="仿宋" w:cs="仿宋"/>
                <w:sz w:val="24"/>
              </w:rPr>
              <w:t xml:space="preserve">1.类似业绩（要求见招标文件第四章《评分标准》中《评分细则》</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2.设备、工艺流程，包装标识、使用说明书。（要求见招标文件第四章《评分标准》中《评分细则》）</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3.质量控制措施（要求见招标文件第四章《评分标准》中《评分细则》）</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4.应急方案（要求见招标文件第四章《评分标准》中《评分细则》）</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5.招标文件中要求提交的和投标人认为需要提供的其它说明和资料</w:t>
            </w:r>
            <w:r>
              <w:rPr>
                <w:rFonts w:hint="eastAsia" w:ascii="仿宋" w:hAnsi="仿宋" w:eastAsia="仿宋" w:cs="仿宋"/>
                <w:color w:val="000000"/>
                <w:sz w:val="24"/>
              </w:rPr>
              <w:t xml:space="preserve">。</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五、其他部分</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1、价格折扣文件格式：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投标人《中小企业声明函》（加盖电子签章，格式见招标文件第七章《投标文件相关格式》）（</w:t>
            </w:r>
            <w:r>
              <w:rPr>
                <w:rFonts w:hint="eastAsia" w:ascii="仿宋" w:hAnsi="仿宋" w:eastAsia="仿宋" w:cs="仿宋"/>
                <w:b/>
                <w:bCs/>
                <w:color w:val="000000"/>
                <w:sz w:val="24"/>
              </w:rPr>
              <w:t xml:space="preserve">请填写完整</w:t>
            </w:r>
            <w:r>
              <w:rPr>
                <w:rFonts w:hint="eastAsia" w:ascii="仿宋" w:hAnsi="仿宋" w:eastAsia="仿宋" w:cs="仿宋"/>
                <w:color w:val="000000"/>
                <w:sz w:val="24"/>
              </w:rPr>
              <w:t xml:space="preserve">）。查询渠道参考工业和信息化部发布的中小企业规模自测小程序。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注：</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1.投标人应对以上文件的合法性、真实性负责。</w:t>
            </w:r>
            <w:r/>
          </w:p>
          <w:p>
            <w:pPr>
              <w:pStyle w:val="921"/>
              <w:spacing w:line="360" w:lineRule="auto"/>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(十三)2</w:t>
            </w:r>
            <w:r/>
          </w:p>
        </w:tc>
        <w:tc>
          <w:tcPr>
            <w:tcW w:w="8771" w:type="dxa"/>
            <w:textDirection w:val="lrTb"/>
            <w:noWrap w:val="false"/>
          </w:tcPr>
          <w:p>
            <w:pPr>
              <w:pStyle w:val="921"/>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商务条件见：</w:t>
            </w:r>
            <w:r/>
          </w:p>
          <w:p>
            <w:pPr>
              <w:pStyle w:val="921"/>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一、本文件第四章《评标标准》中《评分细则》。</w:t>
            </w:r>
            <w:r/>
          </w:p>
          <w:p>
            <w:pPr>
              <w:pStyle w:val="921"/>
              <w:spacing w:line="520" w:lineRule="exact"/>
              <w:rPr>
                <w:rFonts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(十三)3</w:t>
            </w:r>
            <w:r/>
          </w:p>
        </w:tc>
        <w:tc>
          <w:tcPr>
            <w:tcW w:w="8771" w:type="dxa"/>
            <w:textDirection w:val="lrTb"/>
            <w:noWrap w:val="false"/>
          </w:tcPr>
          <w:p>
            <w:pPr>
              <w:pStyle w:val="921"/>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交货和提供服务的时间：见本文件第五章《拟签订的合同文本》及或本文件第六章《采购需求》。</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(十四)3</w:t>
            </w:r>
            <w:r/>
          </w:p>
        </w:tc>
        <w:tc>
          <w:tcPr>
            <w:tcW w:w="8771" w:type="dxa"/>
            <w:textDirection w:val="lrTb"/>
            <w:noWrap w:val="false"/>
          </w:tcPr>
          <w:p>
            <w:pPr>
              <w:ind w:firstLine="482"/>
              <w:spacing w:line="540" w:lineRule="exact"/>
              <w:widowControl w:val="off"/>
              <w:rPr>
                <w:rFonts w:ascii="仿宋" w:hAnsi="仿宋" w:eastAsia="仿宋" w:cs="仿宋"/>
                <w:b/>
                <w:bCs/>
                <w:color w:val="000000"/>
                <w:sz w:val="24"/>
                <w:szCs w:val="22"/>
              </w:rPr>
            </w:pPr>
            <w:r>
              <w:rPr>
                <w:rFonts w:hint="eastAsia" w:ascii="仿宋" w:hAnsi="仿宋" w:eastAsia="仿宋" w:cs="仿宋"/>
                <w:b/>
                <w:bCs/>
                <w:color w:val="000000"/>
                <w:sz w:val="24"/>
                <w:szCs w:val="22"/>
              </w:rPr>
              <w:t xml:space="preserve">采购项目预算金额</w:t>
            </w:r>
            <w:r>
              <w:rPr>
                <w:rFonts w:hint="eastAsia" w:ascii="仿宋" w:hAnsi="仿宋" w:eastAsia="仿宋" w:cs="仿宋"/>
                <w:b/>
                <w:bCs/>
                <w:color w:val="000000"/>
                <w:sz w:val="24"/>
                <w:u w:val="single"/>
              </w:rPr>
              <w:t xml:space="preserve">260.00万</w:t>
            </w:r>
            <w:r>
              <w:rPr>
                <w:rFonts w:hint="eastAsia" w:ascii="仿宋" w:hAnsi="仿宋" w:eastAsia="仿宋" w:cs="仿宋"/>
                <w:b/>
                <w:bCs/>
                <w:color w:val="000000"/>
                <w:sz w:val="24"/>
              </w:rPr>
              <w:t xml:space="preserve">元。</w:t>
            </w:r>
            <w:r>
              <w:rPr>
                <w:rFonts w:hint="eastAsia" w:ascii="仿宋" w:hAnsi="仿宋" w:eastAsia="仿宋" w:cs="仿宋"/>
                <w:b/>
                <w:bCs/>
                <w:color w:val="000000"/>
                <w:sz w:val="24"/>
                <w:szCs w:val="22"/>
              </w:rPr>
              <w:t xml:space="preserve">（采购包1：150.00万元；采购包2：110.00万元）</w:t>
            </w:r>
            <w:r/>
          </w:p>
          <w:p>
            <w:pPr>
              <w:ind w:firstLine="482"/>
              <w:spacing w:line="360" w:lineRule="auto"/>
              <w:rPr>
                <w:rFonts w:ascii="仿宋" w:hAnsi="仿宋" w:eastAsia="仿宋" w:cs="仿宋"/>
                <w:color w:val="000000"/>
                <w:sz w:val="24"/>
                <w:szCs w:val="24"/>
              </w:rPr>
            </w:pPr>
            <w:r>
              <w:rPr>
                <w:rFonts w:hint="eastAsia" w:ascii="仿宋" w:hAnsi="仿宋" w:eastAsia="仿宋" w:cs="仿宋"/>
                <w:b/>
                <w:bCs/>
                <w:sz w:val="24"/>
                <w:highlight w:val="yellow"/>
              </w:rPr>
              <w:t xml:space="preserve">本次采购不设具体数量，最终成交数量以不超过</w:t>
            </w:r>
            <w:bookmarkStart w:id="7" w:name="OLE_LINK49"/>
            <w:r/>
            <w:bookmarkStart w:id="8" w:name="OLE_LINK47"/>
            <w:r>
              <w:rPr>
                <w:rFonts w:hint="eastAsia" w:ascii="仿宋" w:hAnsi="仿宋" w:eastAsia="仿宋" w:cs="仿宋"/>
                <w:b/>
                <w:bCs/>
                <w:sz w:val="24"/>
                <w:highlight w:val="yellow"/>
              </w:rPr>
              <w:t xml:space="preserve">最高限价和采购预算金额</w:t>
            </w:r>
            <w:bookmarkEnd w:id="7"/>
            <w:r/>
            <w:bookmarkEnd w:id="8"/>
            <w:r>
              <w:rPr>
                <w:rFonts w:hint="eastAsia" w:ascii="仿宋" w:hAnsi="仿宋" w:eastAsia="仿宋" w:cs="仿宋"/>
                <w:b/>
                <w:bCs/>
                <w:sz w:val="24"/>
                <w:highlight w:val="yellow"/>
              </w:rPr>
              <w:t xml:space="preserve">的最大整数计算，投标报价以各个产品的单价之和最低为优先原则。</w:t>
            </w:r>
            <w:r/>
          </w:p>
          <w:p>
            <w:pPr>
              <w:ind w:firstLine="482"/>
              <w:spacing w:line="360" w:lineRule="auto"/>
              <w:widowControl w:val="off"/>
              <w:rPr>
                <w:rFonts w:ascii="仿宋" w:hAnsi="仿宋" w:eastAsia="仿宋" w:cs="仿宋"/>
                <w:color w:val="000000"/>
                <w:sz w:val="24"/>
              </w:rPr>
            </w:pPr>
            <w:r>
              <w:rPr>
                <w:rFonts w:hint="eastAsia" w:ascii="仿宋" w:hAnsi="仿宋" w:eastAsia="仿宋" w:cs="仿宋"/>
                <w:color w:val="000000"/>
                <w:sz w:val="24"/>
                <w:szCs w:val="24"/>
              </w:rPr>
              <w:t xml:space="preserve">报价包括产品价、税金、运费、检验、保险、分发、售后服务、供应商的利润、社会代理机构代理费（因代理费金额需通过中介超市网上竞价产生，采购人在制定实施方案时未单独列代理费）等全部费用。供应商应充分了解该项目的总体情况、各类市场风险以及影响投标报价的其他要素风险。采购人不再支付报价以外的任何费用。</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(十五)</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以人民币报价。</w:t>
            </w:r>
            <w:r/>
          </w:p>
        </w:tc>
      </w:tr>
      <w:tr>
        <w:trPr/>
        <w:tc>
          <w:tcPr>
            <w:tcW w:w="1637" w:type="dxa"/>
            <w:textDirection w:val="lrTb"/>
            <w:noWrap w:val="false"/>
          </w:tcPr>
          <w:p>
            <w:pPr>
              <w:pStyle w:val="921"/>
              <w:jc w:val="cente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（十七）1（1）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要求：</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特别说明：通过“苏采云”系统提交政府采购客户端工具导出加密的投标文件（后缀名为zip）。投标文件不得超过350M！</w:t>
            </w:r>
            <w:r/>
          </w:p>
          <w:p>
            <w:pPr>
              <w:pStyle w:val="921"/>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说明：供应商投标文件从政府采购客户端工具制作通过“苏采云”系统提交，未提供线上投标文件的，投标无效。 </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(十八)</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投标文件的密封、签署、盖章要求：</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一、投标文件的密封（加密）要求：</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说明：</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未进行线上投标并解密(因“苏采云”系统导致解密失败的除外)的，所导致的一切后果均由投标人承担。</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(十九)</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投标文件开始接收时间：2026年1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04</w:t>
            </w:r>
            <w:r>
              <w:rPr>
                <w:rFonts w:hint="eastAsia" w:ascii="仿宋" w:hAnsi="仿宋" w:eastAsia="仿宋" w:cs="仿宋"/>
                <w:b/>
                <w:bCs/>
                <w:color w:val="000000"/>
                <w:sz w:val="24"/>
              </w:rPr>
              <w:t xml:space="preserve">日 9时30分（北京时间）前。</w:t>
            </w:r>
            <w:r/>
          </w:p>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投标文件接收截止时间：2026年1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04</w:t>
            </w:r>
            <w:r>
              <w:rPr>
                <w:rFonts w:hint="eastAsia" w:ascii="仿宋" w:hAnsi="仿宋" w:eastAsia="仿宋" w:cs="仿宋"/>
                <w:b/>
                <w:bCs/>
                <w:color w:val="000000"/>
                <w:sz w:val="24"/>
              </w:rPr>
              <w:t xml:space="preserve">日 9时30分（北京时间）。</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投标文件的接收地点：投标人应当通过“苏采云”系统提交数据电文形式的投标文件（即电子投标），“苏采云”系统自动接收。</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四</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开标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开标时间及地点：</w:t>
            </w:r>
            <w:r/>
          </w:p>
          <w:p>
            <w:pPr>
              <w:pStyle w:val="921"/>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1.开标时间：</w:t>
            </w:r>
            <w:r>
              <w:rPr>
                <w:rFonts w:hint="eastAsia" w:ascii="仿宋" w:hAnsi="仿宋" w:eastAsia="仿宋" w:cs="仿宋"/>
                <w:b/>
                <w:bCs/>
                <w:color w:val="000000"/>
                <w:sz w:val="24"/>
              </w:rPr>
              <w:t xml:space="preserve">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04</w:t>
            </w:r>
            <w:r>
              <w:rPr>
                <w:rFonts w:hint="eastAsia" w:ascii="仿宋" w:hAnsi="仿宋" w:eastAsia="仿宋" w:cs="仿宋"/>
                <w:b/>
                <w:bCs/>
                <w:color w:val="000000"/>
                <w:sz w:val="24"/>
              </w:rPr>
              <w:t xml:space="preserve">日9:30（北京时间）</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2.开标地点：</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“苏采云”系统（网址： http://jszfcg.jsczt.cn/）“开标大厅”或进入徐州政府采购网（网址：http://czj.xz.gov.cn/Home/HomeIndex）--业务工作--用户登录，点击“苏采云”进入系统“开标大厅”。</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(二十五)3</w:t>
            </w:r>
            <w:r/>
          </w:p>
        </w:tc>
        <w:tc>
          <w:tcPr>
            <w:tcW w:w="8771" w:type="dxa"/>
            <w:textDirection w:val="lrTb"/>
            <w:noWrap w:val="false"/>
          </w:tcPr>
          <w:p>
            <w:pPr>
              <w:pStyle w:val="884"/>
              <w:spacing w:line="440" w:lineRule="exact"/>
              <w:widowControl/>
              <w:rPr>
                <w:rFonts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所有投标人解密结束后或解密时间结束后，“苏采云”系统生成开标记录并向社会公众公布，但依法应当保密的除外。</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五</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评标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(二十七)</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(二十八)1</w:t>
            </w:r>
            <w:r/>
          </w:p>
          <w:p>
            <w:pPr>
              <w:pStyle w:val="921"/>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一、推荐中标候选投标人名单。中标候选投标人数量应当根据采购需要确定，但必须按顺序排列中标候选供应商。</w:t>
            </w:r>
            <w:r/>
          </w:p>
          <w:p>
            <w:pPr>
              <w:pStyle w:val="921"/>
              <w:spacing w:line="52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二、采用综合评分法的，按评审后得分由高到低顺序排列。得分相同的，按投标报价由低到高顺序排列。得分且投标报价相同的，按投标报价之外的四项得分之和由高到低顺序排列。</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三、采购人应当自收到评标报告之日起５个工作日内，在评标报告确定的中标候选人名单中按得分最高顺序确定一名中标人。</w:t>
            </w:r>
            <w:r/>
          </w:p>
          <w:p>
            <w:pPr>
              <w:pStyle w:val="921"/>
              <w:spacing w:line="520" w:lineRule="exact"/>
              <w:rPr>
                <w:rFonts w:eastAsia="仿宋"/>
              </w:rPr>
            </w:pPr>
            <w:r>
              <w:rPr>
                <w:rFonts w:hint="eastAsia" w:ascii="仿宋" w:hAnsi="仿宋" w:eastAsia="仿宋" w:cs="仿宋"/>
                <w:color w:val="000000"/>
                <w:sz w:val="24"/>
              </w:rPr>
              <w:t xml:space="preserve">四、符合条件的投标人可以投其中任一采购包也可同时投多个采购包，但每个投标人只允许中标其中一个采购包。本项目从采购包1至采购包2依次开标、评标，前一采购包中标后可以参与后续采购包的评标，但不能再次中标，后续排名的投标人按上述原则依次推荐为其他采购包的第一成交候选人，直至各采购包都推荐出第一成交候选人。</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（二十九）4</w:t>
            </w:r>
            <w:r/>
          </w:p>
        </w:tc>
        <w:tc>
          <w:tcPr>
            <w:tcW w:w="8771" w:type="dxa"/>
            <w:textDirection w:val="lrTb"/>
            <w:noWrap w:val="false"/>
          </w:tcPr>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1.评标中需要投标人对投标文件澄清或者说明的，应当通过“苏采云”系统交换数据电文。在评标期间，请投标人保持在线。</w:t>
            </w:r>
            <w:r/>
          </w:p>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七</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政府采购合同</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(三十七)1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采购人与中标、中标人应当在中标、成交通知书发出之日起30日内，按照采购文件确定的事项签订政府采购合同。</w:t>
            </w:r>
            <w:r/>
          </w:p>
        </w:tc>
      </w:tr>
      <w:tr>
        <w:trPr/>
        <w:tc>
          <w:tcPr>
            <w:tcW w:w="1637"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（三十八）</w:t>
            </w:r>
            <w:r/>
          </w:p>
        </w:tc>
        <w:tc>
          <w:tcPr>
            <w:tcW w:w="8771" w:type="dxa"/>
            <w:textDirection w:val="lrTb"/>
            <w:noWrap w:val="false"/>
          </w:tcPr>
          <w:p>
            <w:pPr>
              <w:pStyle w:val="921"/>
              <w:spacing w:line="360" w:lineRule="auto"/>
              <w:rPr>
                <w:rFonts w:ascii="仿宋" w:hAnsi="仿宋" w:eastAsia="仿宋" w:cs="仿宋"/>
                <w:color w:val="000000"/>
                <w:sz w:val="24"/>
              </w:rPr>
            </w:pPr>
            <w:r>
              <w:rPr>
                <w:rFonts w:hint="eastAsia" w:ascii="仿宋" w:hAnsi="仿宋" w:eastAsia="仿宋" w:cs="仿宋"/>
                <w:color w:val="000000"/>
                <w:sz w:val="24"/>
              </w:rPr>
              <w:t xml:space="preserve">履约保证金：本项目无需缴纳履约保证金。</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(四十一)</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质疑接收人：唐贝贝   联系电话：19962760676</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办公地址：新沂市北沟街道黄山路10号F栋215室。</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bCs/>
                <w:color w:val="000000"/>
                <w:sz w:val="24"/>
              </w:rPr>
              <w:t xml:space="preserve">附加说明</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w:t>
            </w:r>
            <w:r/>
          </w:p>
        </w:tc>
      </w:tr>
    </w:tbl>
    <w:p>
      <w:pPr>
        <w:pStyle w:val="921"/>
        <w:jc w:val="center"/>
        <w:spacing w:line="0" w:lineRule="atLeast"/>
        <w:widowControl/>
        <w:rPr>
          <w:rStyle w:val="997"/>
          <w:rFonts w:ascii="宋体" w:hAnsi="宋体" w:eastAsia="宋体" w:cs="宋体"/>
          <w:color w:val="000000"/>
          <w:sz w:val="24"/>
          <w:szCs w:val="24"/>
        </w:rPr>
      </w:pPr>
      <w:r/>
      <w:bookmarkStart w:id="9" w:name="_Toc522790133"/>
      <w:r>
        <w:rPr>
          <w:rFonts w:hint="eastAsia" w:ascii="宋体" w:hAnsi="宋体" w:cs="宋体"/>
          <w:color w:val="000000"/>
          <w:sz w:val="24"/>
        </w:rPr>
        <w:br w:type="page" w:clear="all"/>
      </w:r>
      <w:bookmarkEnd w:id="9"/>
      <w:r/>
      <w:bookmarkStart w:id="10" w:name="_Toc522790134"/>
      <w:r>
        <w:rPr>
          <w:rFonts w:hint="eastAsia" w:ascii="宋体" w:hAnsi="宋体" w:cs="宋体"/>
          <w:color w:val="000000"/>
          <w:sz w:val="28"/>
          <w:szCs w:val="28"/>
        </w:rPr>
        <w:t xml:space="preserve">  </w:t>
      </w:r>
      <w:r>
        <w:rPr>
          <w:rStyle w:val="997"/>
          <w:rFonts w:hint="eastAsia" w:ascii="宋体" w:hAnsi="宋体" w:eastAsia="宋体" w:cs="宋体"/>
          <w:color w:val="000000"/>
          <w:sz w:val="28"/>
          <w:szCs w:val="28"/>
        </w:rPr>
        <w:t xml:space="preserve">第四章  评标标准</w:t>
      </w:r>
      <w:r/>
    </w:p>
    <w:tbl>
      <w:tblPr>
        <w:tblStyle w:val="882"/>
        <w:tblW w:w="9040"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7699"/>
      </w:tblGrid>
      <w:tr>
        <w:trPr>
          <w:jc w:val="center"/>
          <w:trHeight w:val="485"/>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b/>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评审项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left="108" w:right="91"/>
              <w:jc w:val="center"/>
              <w:spacing w:before="200" w:after="2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评审标准</w:t>
            </w:r>
            <w:r/>
          </w:p>
        </w:tc>
      </w:tr>
      <w:tr>
        <w:trPr>
          <w:jc w:val="center"/>
          <w:trHeight w:val="1678"/>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投标报价</w:t>
            </w:r>
            <w:r/>
          </w:p>
          <w:p>
            <w:pPr>
              <w:jc w:val="both"/>
              <w:rPr>
                <w:rFonts w:ascii="仿宋" w:hAnsi="仿宋" w:eastAsia="仿宋" w:cs="仿宋"/>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（60分）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1、价格分采用低价优先法计算，即通过资格性和初步评审且投标价格（单价）最低的投标报价为评标基准价，其价格得分为满分</w:t>
            </w:r>
            <w:r>
              <w:rPr>
                <w:rFonts w:hint="eastAsia" w:ascii="仿宋" w:hAnsi="仿宋" w:eastAsia="仿宋" w:cs="仿宋"/>
                <w:sz w:val="24"/>
                <w:lang w:val="en-US" w:eastAsia="zh-CN"/>
              </w:rPr>
              <w:t xml:space="preserve">6</w:t>
            </w:r>
            <w:r>
              <w:rPr>
                <w:rFonts w:hint="eastAsia" w:ascii="仿宋" w:hAnsi="仿宋" w:eastAsia="仿宋" w:cs="仿宋"/>
                <w:sz w:val="24"/>
              </w:rPr>
              <w:t xml:space="preserve">0分。 </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2、其他投标人的价格分统一按照下列公式计算：</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投标报价得分=(评标基准价／投标报价)×60</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注：价格分计算保留小数点后二位。</w:t>
            </w:r>
            <w:r/>
          </w:p>
        </w:tc>
      </w:tr>
      <w:tr>
        <w:trPr>
          <w:jc w:val="center"/>
          <w:trHeight w:val="1502"/>
        </w:trPr>
        <w:tc>
          <w:tcPr>
            <w:tcBorders>
              <w:top w:val="single" w:color="000000" w:sz="4" w:space="0"/>
              <w:left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类似业绩（4分）</w:t>
            </w:r>
            <w:r/>
          </w:p>
          <w:p>
            <w:pPr>
              <w:jc w:val="center"/>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投标人自2023年1月1日（含）至本项目投标截止之日，合同内容为与本次投标产品类似的销售业绩合同，每份得2分,最高得4分。（投标人为合同乙方，以合同签订时间为准）。</w:t>
            </w:r>
            <w:r/>
          </w:p>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注：提供合同的原件扫描件加盖电子签章。</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设备、工艺流程，包装标识、使用说明书（12）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投标人提供证明资料包含（但不限于）①所投产品生产商具备的主要设备清单、②工艺流程、③包装标识、④使用说明书等内容；要求资料完整、有效、针对性强。</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77"/>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质量控制措施（12分）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质量控制措施包含（但不限于）①原材料的选择、②生产过程的控制、③质量的检测、④生产工艺技术、⑤仓库储存等相关内容；要求内容完整、合理、可行性强。</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77"/>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应急方案（12分）</w:t>
            </w:r>
            <w:r/>
          </w:p>
          <w:p>
            <w:pPr>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ind w:firstLine="482"/>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1039"/>
        <w:jc w:val="center"/>
        <w:rPr>
          <w:rFonts w:hAnsi="宋体" w:eastAsia="宋体" w:cs="宋体"/>
          <w:color w:val="000000"/>
          <w:sz w:val="24"/>
          <w:szCs w:val="24"/>
        </w:rPr>
      </w:pPr>
      <w:r>
        <w:rPr>
          <w:rFonts w:hAnsi="宋体" w:eastAsia="宋体" w:cs="宋体"/>
          <w:color w:val="000000"/>
          <w:sz w:val="24"/>
          <w:szCs w:val="24"/>
        </w:rPr>
      </w:r>
      <w:r/>
    </w:p>
    <w:p>
      <w:pPr>
        <w:pStyle w:val="921"/>
        <w:ind w:firstLine="281"/>
        <w:spacing w:line="360" w:lineRule="auto"/>
        <w:rPr>
          <w:rFonts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r/>
    </w:p>
    <w:p>
      <w:pPr>
        <w:pStyle w:val="921"/>
        <w:jc w:val="center"/>
        <w:spacing w:line="360" w:lineRule="auto"/>
        <w:rPr>
          <w:rFonts w:ascii="宋体" w:hAnsi="宋体" w:cs="宋体"/>
          <w:b/>
          <w:bCs/>
          <w:color w:val="000000"/>
          <w:sz w:val="28"/>
          <w:szCs w:val="28"/>
        </w:rPr>
      </w:pPr>
      <w:r/>
      <w:bookmarkStart w:id="11" w:name="_Toc13862"/>
      <w:r>
        <w:rPr>
          <w:rFonts w:hint="eastAsia" w:ascii="宋体" w:hAnsi="宋体" w:cs="宋体"/>
          <w:color w:val="000000"/>
          <w:sz w:val="28"/>
          <w:szCs w:val="28"/>
        </w:rPr>
        <w:br w:type="page" w:clear="all"/>
      </w:r>
      <w:bookmarkEnd w:id="10"/>
      <w:r/>
      <w:bookmarkEnd w:id="11"/>
      <w:r/>
      <w:bookmarkStart w:id="12" w:name="_Toc522790135"/>
      <w:r/>
      <w:bookmarkStart w:id="13" w:name="_Toc32499"/>
      <w:r/>
      <w:bookmarkStart w:id="14" w:name="_Toc7211"/>
      <w:r/>
      <w:bookmarkStart w:id="15" w:name="_Toc522790136"/>
      <w:r>
        <w:rPr>
          <w:rFonts w:hint="eastAsia" w:ascii="宋体" w:hAnsi="宋体" w:cs="宋体"/>
          <w:b/>
          <w:bCs/>
          <w:color w:val="000000"/>
          <w:sz w:val="28"/>
          <w:szCs w:val="28"/>
        </w:rPr>
        <w:t xml:space="preserve">第五章  拟签订的合同文本</w:t>
      </w:r>
      <w:r/>
    </w:p>
    <w:p>
      <w:pPr>
        <w:pStyle w:val="929"/>
        <w:spacing w:before="210" w:after="120"/>
        <w:rPr>
          <w:rFonts w:ascii="宋体" w:hAnsi="宋体" w:eastAsia="宋体" w:cs="宋体"/>
          <w:sz w:val="24"/>
        </w:rPr>
      </w:pPr>
      <w:r>
        <w:rPr>
          <w:rFonts w:hint="eastAsia" w:ascii="宋体" w:hAnsi="宋体" w:eastAsia="宋体" w:cs="宋体"/>
          <w:sz w:val="24"/>
        </w:rPr>
        <w:t xml:space="preserve">项目名称：新沂市2026年秋粮重大病虫害防控和玉米重大病虫生物防治</w:t>
      </w:r>
      <w:r/>
    </w:p>
    <w:p>
      <w:pPr>
        <w:pStyle w:val="929"/>
        <w:spacing w:before="210" w:after="120"/>
        <w:rPr>
          <w:rFonts w:hint="eastAsia" w:ascii="宋体" w:hAnsi="宋体" w:eastAsia="宋体" w:cs="宋体"/>
          <w:b/>
          <w:sz w:val="72"/>
          <w:szCs w:val="72"/>
          <w:lang w:eastAsia="zh-CN" w:bidi="en-US"/>
        </w:rPr>
      </w:pPr>
      <w:r>
        <w:rPr>
          <w:rFonts w:hint="eastAsia" w:ascii="宋体" w:hAnsi="宋体" w:eastAsia="宋体" w:cs="宋体"/>
          <w:sz w:val="24"/>
        </w:rPr>
        <w:t xml:space="preserve">项目编号：</w:t>
      </w:r>
      <w:r>
        <w:rPr>
          <w:rFonts w:hint="eastAsia" w:ascii="Segoe UI" w:hAnsi="Segoe UI" w:eastAsia="宋体" w:cs="Segoe UI"/>
          <w:szCs w:val="21"/>
          <w:shd w:val="clear" w:color="auto" w:fill="ffffff"/>
          <w:lang w:eastAsia="zh-CN"/>
        </w:rPr>
        <w:t xml:space="preserve">JSZC-320381-XNGL-G2026-0005</w:t>
      </w:r>
      <w:r/>
    </w:p>
    <w:p>
      <w:pPr>
        <w:pStyle w:val="929"/>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929"/>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929"/>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p>
    <w:p>
      <w:pPr>
        <w:pStyle w:val="929"/>
        <w:spacing w:before="210" w:after="120"/>
        <w:rPr>
          <w:rFonts w:ascii="宋体" w:hAnsi="宋体" w:eastAsia="宋体" w:cs="宋体"/>
          <w:sz w:val="22"/>
        </w:rPr>
      </w:pPr>
      <w:r>
        <w:rPr>
          <w:rFonts w:hint="eastAsia" w:ascii="宋体" w:hAnsi="宋体" w:eastAsia="宋体" w:cs="宋体"/>
          <w:sz w:val="22"/>
        </w:rPr>
        <w:t xml:space="preserve"> </w:t>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4"/>
        </w:rPr>
      </w:pPr>
      <w:r>
        <w:rPr>
          <w:rFonts w:hint="eastAsia" w:ascii="宋体" w:hAnsi="宋体" w:eastAsia="宋体" w:cs="宋体"/>
          <w:sz w:val="22"/>
        </w:rPr>
        <w:t xml:space="preserve"> </w:t>
      </w:r>
      <w:r/>
    </w:p>
    <w:p>
      <w:pPr>
        <w:pStyle w:val="929"/>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采  购  人：新沂市农业农村局</w:t>
      </w:r>
      <w:r/>
    </w:p>
    <w:p>
      <w:pPr>
        <w:pStyle w:val="929"/>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p>
    <w:p>
      <w:pPr>
        <w:pStyle w:val="929"/>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p>
    <w:p>
      <w:pPr>
        <w:pStyle w:val="929"/>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p>
    <w:p>
      <w:pPr>
        <w:pStyle w:val="929"/>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cs="宋体"/>
          <w:sz w:val="30"/>
          <w:szCs w:val="30"/>
        </w:rPr>
      </w:pPr>
      <w:r>
        <w:rPr>
          <w:rFonts w:hint="eastAsia" w:ascii="宋体" w:hAnsi="宋体" w:cs="宋体"/>
          <w:color w:val="000000"/>
          <w:sz w:val="24"/>
        </w:rPr>
        <w:br w:type="page" w:clear="all"/>
      </w: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ind w:firstLine="960"/>
        <w:spacing w:line="360" w:lineRule="auto"/>
        <w:rPr>
          <w:rFonts w:ascii="宋体" w:hAnsi="宋体" w:cs="宋体"/>
          <w:sz w:val="24"/>
        </w:rPr>
      </w:pPr>
      <w:r>
        <w:rPr>
          <w:rFonts w:hint="eastAsia" w:ascii="宋体" w:hAnsi="宋体" w:cs="宋体"/>
          <w:sz w:val="24"/>
        </w:rPr>
        <w:t xml:space="preserve">第一条    定义</w:t>
      </w:r>
      <w:r/>
    </w:p>
    <w:p>
      <w:pPr>
        <w:ind w:firstLine="960"/>
        <w:spacing w:line="360" w:lineRule="auto"/>
        <w:rPr>
          <w:rFonts w:ascii="宋体" w:hAnsi="宋体" w:cs="宋体"/>
          <w:sz w:val="24"/>
        </w:rPr>
      </w:pPr>
      <w:r>
        <w:rPr>
          <w:rFonts w:hint="eastAsia" w:ascii="宋体" w:hAnsi="宋体" w:cs="宋体"/>
          <w:sz w:val="24"/>
        </w:rPr>
        <w:t xml:space="preserve">第二条    合同范围</w:t>
      </w:r>
      <w:r/>
    </w:p>
    <w:p>
      <w:pPr>
        <w:ind w:firstLine="960"/>
        <w:spacing w:line="360" w:lineRule="auto"/>
        <w:rPr>
          <w:rFonts w:ascii="宋体" w:hAnsi="宋体" w:cs="宋体"/>
          <w:sz w:val="24"/>
        </w:rPr>
      </w:pPr>
      <w:r>
        <w:rPr>
          <w:rFonts w:hint="eastAsia" w:ascii="宋体" w:hAnsi="宋体" w:cs="宋体"/>
          <w:sz w:val="24"/>
        </w:rPr>
        <w:t xml:space="preserve">第三条    价格</w:t>
      </w:r>
      <w:r/>
    </w:p>
    <w:p>
      <w:pPr>
        <w:ind w:firstLine="960"/>
        <w:spacing w:line="360" w:lineRule="auto"/>
        <w:rPr>
          <w:rFonts w:ascii="宋体" w:hAnsi="宋体" w:cs="宋体"/>
          <w:sz w:val="24"/>
        </w:rPr>
      </w:pPr>
      <w:r>
        <w:rPr>
          <w:rFonts w:hint="eastAsia" w:ascii="宋体" w:hAnsi="宋体" w:cs="宋体"/>
          <w:sz w:val="24"/>
        </w:rPr>
        <w:t xml:space="preserve">第四条    支付</w:t>
      </w:r>
      <w:r/>
    </w:p>
    <w:p>
      <w:pPr>
        <w:ind w:firstLine="960"/>
        <w:spacing w:line="360" w:lineRule="auto"/>
        <w:rPr>
          <w:rFonts w:ascii="宋体" w:hAnsi="宋体" w:cs="宋体"/>
          <w:sz w:val="24"/>
        </w:rPr>
      </w:pPr>
      <w:r>
        <w:rPr>
          <w:rFonts w:hint="eastAsia" w:ascii="宋体" w:hAnsi="宋体" w:cs="宋体"/>
          <w:sz w:val="24"/>
        </w:rPr>
        <w:t xml:space="preserve">第五条    交货</w:t>
      </w:r>
      <w:r/>
    </w:p>
    <w:p>
      <w:pPr>
        <w:ind w:firstLine="960"/>
        <w:spacing w:line="360" w:lineRule="auto"/>
        <w:rPr>
          <w:rFonts w:ascii="宋体" w:hAnsi="宋体" w:cs="宋体"/>
          <w:sz w:val="24"/>
        </w:rPr>
      </w:pPr>
      <w:r>
        <w:rPr>
          <w:rFonts w:hint="eastAsia" w:ascii="宋体" w:hAnsi="宋体" w:cs="宋体"/>
          <w:sz w:val="24"/>
        </w:rPr>
        <w:t xml:space="preserve">第六条    包装和标记</w:t>
      </w:r>
      <w:r/>
    </w:p>
    <w:p>
      <w:pPr>
        <w:ind w:firstLine="960"/>
        <w:spacing w:line="360" w:lineRule="auto"/>
        <w:rPr>
          <w:rFonts w:ascii="宋体" w:hAnsi="宋体" w:cs="宋体"/>
          <w:sz w:val="24"/>
        </w:rPr>
      </w:pPr>
      <w:r>
        <w:rPr>
          <w:rFonts w:hint="eastAsia" w:ascii="宋体" w:hAnsi="宋体" w:cs="宋体"/>
          <w:sz w:val="24"/>
        </w:rPr>
        <w:t xml:space="preserve">第七条    技术资料</w:t>
      </w:r>
      <w:r/>
    </w:p>
    <w:p>
      <w:pPr>
        <w:ind w:firstLine="960"/>
        <w:spacing w:line="360" w:lineRule="auto"/>
        <w:rPr>
          <w:rFonts w:ascii="宋体" w:hAnsi="宋体" w:cs="宋体"/>
          <w:sz w:val="24"/>
        </w:rPr>
      </w:pPr>
      <w:r>
        <w:rPr>
          <w:rFonts w:hint="eastAsia" w:ascii="宋体" w:hAnsi="宋体" w:cs="宋体"/>
          <w:sz w:val="24"/>
        </w:rPr>
        <w:t xml:space="preserve">第八条    安装</w:t>
      </w:r>
      <w:r/>
    </w:p>
    <w:p>
      <w:pPr>
        <w:ind w:firstLine="960"/>
        <w:spacing w:line="360" w:lineRule="auto"/>
        <w:rPr>
          <w:rFonts w:ascii="宋体" w:hAnsi="宋体" w:cs="宋体"/>
          <w:sz w:val="24"/>
        </w:rPr>
      </w:pPr>
      <w:r>
        <w:rPr>
          <w:rFonts w:hint="eastAsia" w:ascii="宋体" w:hAnsi="宋体" w:cs="宋体"/>
          <w:sz w:val="24"/>
        </w:rPr>
        <w:t xml:space="preserve">第九条    验收</w:t>
      </w:r>
      <w:r/>
    </w:p>
    <w:p>
      <w:pPr>
        <w:ind w:firstLine="960"/>
        <w:spacing w:line="360" w:lineRule="auto"/>
        <w:rPr>
          <w:rFonts w:ascii="宋体" w:hAnsi="宋体" w:cs="宋体"/>
          <w:sz w:val="24"/>
        </w:rPr>
      </w:pPr>
      <w:r>
        <w:rPr>
          <w:rFonts w:hint="eastAsia" w:ascii="宋体" w:hAnsi="宋体" w:cs="宋体"/>
          <w:sz w:val="24"/>
        </w:rPr>
        <w:t xml:space="preserve">第十条    售后服务和技术培训</w:t>
      </w:r>
      <w:r/>
    </w:p>
    <w:p>
      <w:pPr>
        <w:ind w:firstLine="960"/>
        <w:spacing w:line="360" w:lineRule="auto"/>
        <w:rPr>
          <w:rFonts w:ascii="宋体" w:hAnsi="宋体" w:cs="宋体"/>
          <w:sz w:val="24"/>
        </w:rPr>
      </w:pPr>
      <w:r>
        <w:rPr>
          <w:rFonts w:hint="eastAsia" w:ascii="宋体" w:hAnsi="宋体" w:cs="宋体"/>
          <w:sz w:val="24"/>
        </w:rPr>
        <w:t xml:space="preserve">第十一条  索赔</w:t>
      </w:r>
      <w:r/>
    </w:p>
    <w:p>
      <w:pPr>
        <w:ind w:firstLine="960"/>
        <w:spacing w:line="360" w:lineRule="auto"/>
        <w:rPr>
          <w:rFonts w:ascii="宋体" w:hAnsi="宋体" w:cs="宋体"/>
          <w:sz w:val="24"/>
        </w:rPr>
      </w:pPr>
      <w:r>
        <w:rPr>
          <w:rFonts w:hint="eastAsia" w:ascii="宋体" w:hAnsi="宋体" w:cs="宋体"/>
          <w:sz w:val="24"/>
        </w:rPr>
        <w:t xml:space="preserve">第十二条  不可抗力</w:t>
      </w:r>
      <w:r/>
    </w:p>
    <w:p>
      <w:pPr>
        <w:ind w:firstLine="960"/>
        <w:spacing w:line="360" w:lineRule="auto"/>
        <w:rPr>
          <w:rFonts w:ascii="宋体" w:hAnsi="宋体" w:cs="宋体"/>
          <w:sz w:val="24"/>
        </w:rPr>
      </w:pPr>
      <w:r>
        <w:rPr>
          <w:rFonts w:hint="eastAsia" w:ascii="宋体" w:hAnsi="宋体" w:cs="宋体"/>
          <w:sz w:val="24"/>
        </w:rPr>
        <w:t xml:space="preserve">第十三条  合同的终止</w:t>
      </w:r>
      <w:r/>
    </w:p>
    <w:p>
      <w:pPr>
        <w:ind w:firstLine="960"/>
        <w:spacing w:line="360" w:lineRule="auto"/>
        <w:rPr>
          <w:rFonts w:ascii="宋体" w:hAnsi="宋体" w:cs="宋体"/>
          <w:sz w:val="24"/>
        </w:rPr>
      </w:pPr>
      <w:r>
        <w:rPr>
          <w:rFonts w:hint="eastAsia" w:ascii="宋体" w:hAnsi="宋体" w:cs="宋体"/>
          <w:sz w:val="24"/>
        </w:rPr>
        <w:t xml:space="preserve">第十四条  争议的解决</w:t>
      </w:r>
      <w:r/>
    </w:p>
    <w:p>
      <w:pPr>
        <w:ind w:firstLine="960"/>
        <w:spacing w:line="360" w:lineRule="auto"/>
        <w:rPr>
          <w:rFonts w:ascii="宋体" w:hAnsi="宋体" w:cs="宋体"/>
          <w:sz w:val="24"/>
        </w:rPr>
      </w:pPr>
      <w:r>
        <w:rPr>
          <w:rFonts w:hint="eastAsia" w:ascii="宋体" w:hAnsi="宋体" w:cs="宋体"/>
          <w:sz w:val="24"/>
        </w:rPr>
        <w:t xml:space="preserve">第十五条  适用法律</w:t>
      </w:r>
      <w:r/>
    </w:p>
    <w:p>
      <w:pPr>
        <w:ind w:firstLine="960"/>
        <w:spacing w:line="360" w:lineRule="auto"/>
        <w:rPr>
          <w:rFonts w:ascii="宋体" w:hAnsi="宋体" w:cs="宋体"/>
          <w:sz w:val="24"/>
        </w:rPr>
      </w:pPr>
      <w:r>
        <w:rPr>
          <w:rFonts w:hint="eastAsia" w:ascii="宋体" w:hAnsi="宋体" w:cs="宋体"/>
          <w:sz w:val="24"/>
        </w:rPr>
        <w:t xml:space="preserve">第十六条  权利保证</w:t>
      </w:r>
      <w:r/>
    </w:p>
    <w:p>
      <w:pPr>
        <w:ind w:firstLine="960"/>
        <w:spacing w:line="360" w:lineRule="auto"/>
        <w:rPr>
          <w:rFonts w:ascii="宋体" w:hAnsi="宋体" w:cs="宋体"/>
          <w:sz w:val="24"/>
        </w:rPr>
      </w:pPr>
      <w:r>
        <w:rPr>
          <w:rFonts w:hint="eastAsia" w:ascii="宋体" w:hAnsi="宋体" w:cs="宋体"/>
          <w:sz w:val="24"/>
        </w:rPr>
        <w:t xml:space="preserve">第十七条  保密</w:t>
      </w:r>
      <w:r/>
    </w:p>
    <w:p>
      <w:pPr>
        <w:ind w:firstLine="960"/>
        <w:spacing w:line="360" w:lineRule="auto"/>
        <w:rPr>
          <w:rFonts w:ascii="宋体" w:hAnsi="宋体" w:cs="宋体"/>
          <w:sz w:val="24"/>
        </w:rPr>
      </w:pPr>
      <w:r>
        <w:rPr>
          <w:rFonts w:hint="eastAsia" w:ascii="宋体" w:hAnsi="宋体" w:cs="宋体"/>
          <w:sz w:val="24"/>
        </w:rPr>
        <w:t xml:space="preserve">第十八条  合同生效及其他</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30"/>
          <w:szCs w:val="30"/>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jc w:val="center"/>
        <w:spacing w:line="480" w:lineRule="auto"/>
        <w:rPr>
          <w:rFonts w:ascii="宋体" w:hAnsi="宋体" w:cs="宋体"/>
          <w:sz w:val="30"/>
          <w:szCs w:val="30"/>
        </w:rPr>
      </w:pP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第一条  定义</w:t>
      </w:r>
      <w:r/>
    </w:p>
    <w:p>
      <w:pPr>
        <w:ind w:firstLine="480"/>
        <w:spacing w:line="312" w:lineRule="auto"/>
        <w:rPr>
          <w:rFonts w:ascii="宋体" w:hAnsi="宋体" w:cs="宋体"/>
          <w:sz w:val="24"/>
        </w:rPr>
      </w:pPr>
      <w:r>
        <w:rPr>
          <w:rFonts w:hint="eastAsia" w:ascii="宋体" w:hAnsi="宋体" w:cs="宋体"/>
          <w:sz w:val="24"/>
        </w:rPr>
        <w:t xml:space="preserve">除本合同上下文中另有规定外，下列各词语定义如下： </w:t>
      </w:r>
      <w:r/>
    </w:p>
    <w:p>
      <w:pPr>
        <w:ind w:firstLine="480"/>
        <w:spacing w:line="312" w:lineRule="auto"/>
        <w:rPr>
          <w:rFonts w:ascii="宋体" w:hAnsi="宋体" w:cs="宋体"/>
          <w:sz w:val="24"/>
        </w:rPr>
      </w:pPr>
      <w:r>
        <w:rPr>
          <w:rFonts w:hint="eastAsia" w:ascii="宋体" w:hAnsi="宋体" w:cs="宋体"/>
          <w:sz w:val="24"/>
        </w:rPr>
        <w:t xml:space="preserve">1.1“买方”见《合同专用条款》。</w:t>
      </w:r>
      <w:r/>
    </w:p>
    <w:p>
      <w:pPr>
        <w:ind w:firstLine="480"/>
        <w:spacing w:line="312" w:lineRule="auto"/>
        <w:rPr>
          <w:rFonts w:ascii="宋体" w:hAnsi="宋体" w:cs="宋体"/>
          <w:sz w:val="24"/>
        </w:rPr>
      </w:pPr>
      <w:r>
        <w:rPr>
          <w:rFonts w:hint="eastAsia" w:ascii="宋体" w:hAnsi="宋体" w:cs="宋体"/>
          <w:sz w:val="24"/>
        </w:rPr>
        <w:t xml:space="preserve">1.2“卖方”见《合同专用条款》。</w:t>
      </w:r>
      <w:r/>
    </w:p>
    <w:p>
      <w:pPr>
        <w:ind w:firstLine="480"/>
        <w:spacing w:line="312" w:lineRule="auto"/>
        <w:rPr>
          <w:rFonts w:ascii="宋体" w:hAnsi="宋体" w:cs="宋体"/>
          <w:sz w:val="24"/>
        </w:rPr>
      </w:pPr>
      <w:r>
        <w:rPr>
          <w:rFonts w:hint="eastAsia" w:ascii="宋体" w:hAnsi="宋体" w:cs="宋体"/>
          <w:sz w:val="24"/>
        </w:rPr>
        <w:t xml:space="preserve">1.3“工作现场”见《合同专用条款》。</w:t>
      </w:r>
      <w:r/>
    </w:p>
    <w:p>
      <w:pPr>
        <w:ind w:firstLine="480"/>
        <w:spacing w:line="312" w:lineRule="auto"/>
        <w:rPr>
          <w:rFonts w:ascii="宋体" w:hAnsi="宋体" w:cs="宋体"/>
          <w:sz w:val="24"/>
        </w:rPr>
      </w:pPr>
      <w:r>
        <w:rPr>
          <w:rFonts w:hint="eastAsia" w:ascii="宋体" w:hAnsi="宋体" w:cs="宋体"/>
          <w:sz w:val="24"/>
        </w:rPr>
        <w:t xml:space="preserve">1.4“合同标的”见合同附件4。</w:t>
      </w:r>
      <w:r/>
    </w:p>
    <w:p>
      <w:pPr>
        <w:ind w:firstLine="480"/>
        <w:spacing w:line="312" w:lineRule="auto"/>
        <w:rPr>
          <w:rFonts w:ascii="宋体" w:hAnsi="宋体" w:cs="宋体"/>
          <w:sz w:val="24"/>
        </w:rPr>
      </w:pPr>
      <w:r>
        <w:rPr>
          <w:rFonts w:hint="eastAsia" w:ascii="宋体" w:hAnsi="宋体" w:cs="宋体"/>
          <w:sz w:val="24"/>
        </w:rPr>
        <w:t xml:space="preserve">1.5“技术资料”是指与合同标的的交付、验收以及有关的技术指标、规格和文件。</w:t>
      </w:r>
      <w:r/>
    </w:p>
    <w:p>
      <w:pPr>
        <w:ind w:firstLine="480"/>
        <w:spacing w:line="312" w:lineRule="auto"/>
        <w:rPr>
          <w:rFonts w:ascii="宋体" w:hAnsi="宋体" w:cs="宋体"/>
          <w:sz w:val="24"/>
        </w:rPr>
      </w:pPr>
      <w:r>
        <w:rPr>
          <w:rFonts w:hint="eastAsia" w:ascii="宋体" w:hAnsi="宋体" w:cs="宋体"/>
          <w:sz w:val="24"/>
        </w:rPr>
        <w:t xml:space="preserve">1.6“技术培训”是指在合同标的的交付、验收、以及其他方面卖方给予买方的培训。</w:t>
      </w:r>
      <w:r/>
    </w:p>
    <w:p>
      <w:pPr>
        <w:ind w:firstLine="480"/>
        <w:spacing w:line="312" w:lineRule="auto"/>
        <w:rPr>
          <w:rFonts w:ascii="宋体" w:hAnsi="宋体" w:cs="宋体"/>
          <w:sz w:val="24"/>
        </w:rPr>
      </w:pPr>
      <w:r>
        <w:rPr>
          <w:rFonts w:hint="eastAsia" w:ascii="宋体" w:hAnsi="宋体" w:cs="宋体"/>
          <w:sz w:val="24"/>
        </w:rPr>
        <w:t xml:space="preserve">1.7“安装”是指有关合同标的、备件和材料的安装工作。</w:t>
      </w:r>
      <w:r/>
    </w:p>
    <w:p>
      <w:pPr>
        <w:ind w:firstLine="480"/>
        <w:spacing w:line="312" w:lineRule="auto"/>
        <w:rPr>
          <w:rFonts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spacing w:line="312" w:lineRule="auto"/>
        <w:rPr>
          <w:rFonts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12" w:lineRule="auto"/>
        <w:rPr>
          <w:rFonts w:ascii="宋体" w:hAnsi="宋体" w:cs="宋体"/>
          <w:sz w:val="24"/>
        </w:rPr>
      </w:pPr>
      <w:r>
        <w:rPr>
          <w:rFonts w:hint="eastAsia" w:ascii="宋体" w:hAnsi="宋体" w:cs="宋体"/>
          <w:sz w:val="24"/>
        </w:rPr>
        <w:t xml:space="preserve">1.10“合同货币”见《合同专用条款》。</w:t>
      </w:r>
      <w:r/>
    </w:p>
    <w:p>
      <w:pPr>
        <w:ind w:firstLine="480"/>
        <w:spacing w:line="312" w:lineRule="auto"/>
        <w:rPr>
          <w:rFonts w:ascii="宋体" w:hAnsi="宋体" w:cs="宋体"/>
          <w:sz w:val="24"/>
        </w:rPr>
      </w:pPr>
      <w:r>
        <w:rPr>
          <w:rFonts w:hint="eastAsia" w:ascii="宋体" w:hAnsi="宋体" w:cs="宋体"/>
          <w:sz w:val="24"/>
        </w:rPr>
        <w:t xml:space="preserve">1.11“合同价格”见合同附件4。</w:t>
      </w:r>
      <w:r/>
    </w:p>
    <w:p>
      <w:pPr>
        <w:ind w:firstLine="480"/>
        <w:spacing w:line="312" w:lineRule="auto"/>
        <w:rPr>
          <w:rFonts w:ascii="宋体" w:hAnsi="宋体" w:cs="宋体"/>
          <w:sz w:val="24"/>
        </w:rPr>
      </w:pPr>
      <w:r>
        <w:rPr>
          <w:rFonts w:hint="eastAsia" w:ascii="宋体" w:hAnsi="宋体" w:cs="宋体"/>
          <w:sz w:val="24"/>
        </w:rPr>
        <w:t xml:space="preserve">1.12“合同生效日”见《合同协议书》（合同附件1）第5 条。</w:t>
      </w:r>
      <w:r/>
    </w:p>
    <w:p>
      <w:pPr>
        <w:ind w:firstLine="480"/>
        <w:spacing w:line="312" w:lineRule="auto"/>
        <w:rPr>
          <w:rFonts w:ascii="宋体" w:hAnsi="宋体" w:cs="宋体"/>
          <w:sz w:val="24"/>
        </w:rPr>
      </w:pPr>
      <w:r>
        <w:rPr>
          <w:rFonts w:hint="eastAsia" w:ascii="宋体" w:hAnsi="宋体" w:cs="宋体"/>
          <w:sz w:val="24"/>
        </w:rPr>
        <w:t xml:space="preserve">1.13“日”是指日历天数。</w:t>
      </w:r>
      <w:r/>
    </w:p>
    <w:p>
      <w:pPr>
        <w:ind w:firstLine="480"/>
        <w:spacing w:line="312" w:lineRule="auto"/>
        <w:rPr>
          <w:rFonts w:ascii="宋体" w:hAnsi="宋体" w:cs="宋体"/>
          <w:sz w:val="24"/>
        </w:rPr>
      </w:pPr>
      <w:r>
        <w:rPr>
          <w:rFonts w:hint="eastAsia" w:ascii="宋体" w:hAnsi="宋体" w:cs="宋体"/>
          <w:sz w:val="24"/>
        </w:rPr>
        <w:t xml:space="preserve">1.14“月”是指日历月数。</w:t>
      </w:r>
      <w:r/>
    </w:p>
    <w:p>
      <w:pPr>
        <w:ind w:firstLine="480"/>
        <w:spacing w:line="312" w:lineRule="auto"/>
        <w:rPr>
          <w:rFonts w:ascii="宋体" w:hAnsi="宋体" w:cs="宋体"/>
          <w:sz w:val="24"/>
        </w:rPr>
      </w:pPr>
      <w:r>
        <w:rPr>
          <w:rFonts w:hint="eastAsia" w:ascii="宋体" w:hAnsi="宋体" w:cs="宋体"/>
          <w:sz w:val="24"/>
        </w:rPr>
        <w:t xml:space="preserve">1.15“采购需求” 见合同附件6。</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第二条 合同范围</w:t>
      </w:r>
      <w:r/>
    </w:p>
    <w:p>
      <w:pPr>
        <w:ind w:firstLine="480"/>
        <w:spacing w:line="312" w:lineRule="auto"/>
        <w:rPr>
          <w:rFonts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spacing w:line="312" w:lineRule="auto"/>
        <w:rPr>
          <w:rFonts w:ascii="宋体" w:hAnsi="宋体" w:cs="宋体"/>
          <w:sz w:val="24"/>
        </w:rPr>
      </w:pPr>
      <w:r>
        <w:rPr>
          <w:rFonts w:hint="eastAsia" w:ascii="宋体" w:hAnsi="宋体" w:cs="宋体"/>
          <w:sz w:val="24"/>
        </w:rPr>
        <w:t xml:space="preserve">2.2数量：见招标文件第六章《采购需求》中“三、数量要求”。</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第三条 价格</w:t>
      </w:r>
      <w:r/>
    </w:p>
    <w:p>
      <w:pPr>
        <w:ind w:firstLine="480"/>
        <w:spacing w:line="312" w:lineRule="auto"/>
        <w:rPr>
          <w:rFonts w:ascii="宋体" w:hAnsi="宋体" w:cs="宋体"/>
          <w:sz w:val="24"/>
        </w:rPr>
      </w:pPr>
      <w:r>
        <w:rPr>
          <w:rFonts w:hint="eastAsia" w:ascii="宋体" w:hAnsi="宋体" w:cs="宋体"/>
          <w:sz w:val="24"/>
        </w:rPr>
        <w:t xml:space="preserve">3.1 合同总价见《合同专用条款》。</w:t>
      </w:r>
      <w:r/>
    </w:p>
    <w:p>
      <w:pPr>
        <w:ind w:firstLine="480"/>
        <w:spacing w:line="312" w:lineRule="auto"/>
        <w:rPr>
          <w:rFonts w:ascii="宋体" w:hAnsi="宋体" w:cs="宋体"/>
          <w:sz w:val="24"/>
        </w:rPr>
      </w:pPr>
      <w:r>
        <w:rPr>
          <w:rFonts w:hint="eastAsia" w:ascii="宋体" w:hAnsi="宋体" w:cs="宋体"/>
          <w:sz w:val="24"/>
        </w:rPr>
        <w:t xml:space="preserve">3.2 合同总价是固定价格。</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第四条 支付（采购资金的支付方式、时间、条件）</w:t>
      </w:r>
      <w:r/>
    </w:p>
    <w:p>
      <w:pPr>
        <w:ind w:firstLine="480"/>
        <w:spacing w:line="312" w:lineRule="auto"/>
        <w:rPr>
          <w:rFonts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第五条 交货（货物、服务提供的时间、地点、方式）</w:t>
      </w:r>
      <w:r/>
    </w:p>
    <w:p>
      <w:pPr>
        <w:ind w:firstLine="480"/>
        <w:spacing w:line="312" w:lineRule="auto"/>
        <w:rPr>
          <w:rFonts w:ascii="宋体" w:hAnsi="宋体" w:cs="宋体"/>
          <w:sz w:val="24"/>
        </w:rPr>
      </w:pPr>
      <w:r>
        <w:rPr>
          <w:rFonts w:hint="eastAsia" w:ascii="宋体" w:hAnsi="宋体" w:cs="宋体"/>
          <w:sz w:val="24"/>
        </w:rPr>
        <w:t xml:space="preserve">5.1交货期限、批次和交货条件见《合同专用条款》。</w:t>
      </w:r>
      <w:r/>
    </w:p>
    <w:p>
      <w:pPr>
        <w:ind w:firstLine="480"/>
        <w:spacing w:line="312" w:lineRule="auto"/>
        <w:rPr>
          <w:rFonts w:ascii="宋体" w:hAnsi="宋体" w:cs="宋体"/>
          <w:strike/>
          <w:sz w:val="24"/>
        </w:rPr>
      </w:pPr>
      <w:r>
        <w:rPr>
          <w:rFonts w:hint="eastAsia" w:ascii="宋体" w:hAnsi="宋体" w:cs="宋体"/>
          <w:sz w:val="24"/>
        </w:rPr>
        <w:t xml:space="preserve">5.2交货地点见《合同专用条款》。</w:t>
      </w:r>
      <w:r/>
    </w:p>
    <w:p>
      <w:pPr>
        <w:ind w:firstLine="480"/>
        <w:spacing w:line="312" w:lineRule="auto"/>
        <w:rPr>
          <w:rFonts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spacing w:line="312" w:lineRule="auto"/>
        <w:rPr>
          <w:rFonts w:ascii="宋体" w:hAnsi="宋体" w:cs="宋体"/>
          <w:sz w:val="24"/>
        </w:rPr>
      </w:pPr>
      <w:r>
        <w:rPr>
          <w:rFonts w:hint="eastAsia" w:ascii="宋体" w:hAnsi="宋体" w:cs="宋体"/>
          <w:sz w:val="24"/>
        </w:rPr>
        <w:t xml:space="preserve">5.4卖方应按下列规定交付合同标的：</w:t>
      </w:r>
      <w:r/>
    </w:p>
    <w:p>
      <w:pPr>
        <w:ind w:firstLine="480"/>
        <w:spacing w:line="312" w:lineRule="auto"/>
        <w:rPr>
          <w:rFonts w:ascii="宋体" w:hAnsi="宋体" w:cs="宋体"/>
          <w:sz w:val="24"/>
        </w:rPr>
      </w:pPr>
      <w:r>
        <w:rPr>
          <w:rFonts w:hint="eastAsia" w:ascii="宋体" w:hAnsi="宋体" w:cs="宋体"/>
          <w:sz w:val="24"/>
        </w:rPr>
        <w:t xml:space="preserve">5.4.1卖方负责将合同标的送至《合同专用条款》规定的交货地点。</w:t>
      </w:r>
      <w:r/>
    </w:p>
    <w:p>
      <w:pPr>
        <w:ind w:firstLine="480"/>
        <w:spacing w:line="312" w:lineRule="auto"/>
        <w:rPr>
          <w:rFonts w:ascii="宋体" w:hAnsi="宋体" w:cs="宋体"/>
          <w:sz w:val="24"/>
        </w:rPr>
      </w:pPr>
      <w:r>
        <w:rPr>
          <w:rFonts w:hint="eastAsia" w:ascii="宋体" w:hAnsi="宋体" w:cs="宋体"/>
          <w:sz w:val="24"/>
        </w:rPr>
        <w:t xml:space="preserve">5.4.2买方出具的收据日期是合同标的的实际交货日期。</w:t>
      </w:r>
      <w:r/>
    </w:p>
    <w:p>
      <w:pPr>
        <w:ind w:firstLine="480"/>
        <w:spacing w:line="312" w:lineRule="auto"/>
        <w:rPr>
          <w:rFonts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第六条 包装与标记</w:t>
      </w:r>
      <w:r/>
    </w:p>
    <w:p>
      <w:pPr>
        <w:ind w:firstLine="480"/>
        <w:spacing w:line="312" w:lineRule="auto"/>
        <w:rPr>
          <w:rFonts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spacing w:line="312" w:lineRule="auto"/>
        <w:rPr>
          <w:rFonts w:ascii="宋体" w:hAnsi="宋体" w:cs="宋体"/>
          <w:sz w:val="24"/>
        </w:rPr>
      </w:pPr>
      <w:r>
        <w:rPr>
          <w:rFonts w:hint="eastAsia" w:ascii="宋体" w:hAnsi="宋体" w:cs="宋体"/>
          <w:sz w:val="24"/>
        </w:rPr>
        <w:t xml:space="preserve">6.2在合同标的的每件包装中都应附有下列单据： </w:t>
      </w:r>
      <w:r/>
    </w:p>
    <w:p>
      <w:pPr>
        <w:ind w:firstLine="480"/>
        <w:spacing w:line="312" w:lineRule="auto"/>
        <w:rPr>
          <w:rFonts w:ascii="宋体" w:hAnsi="宋体" w:cs="宋体"/>
          <w:strike/>
          <w:sz w:val="24"/>
        </w:rPr>
      </w:pPr>
      <w:r>
        <w:rPr>
          <w:rFonts w:hint="eastAsia" w:ascii="宋体" w:hAnsi="宋体" w:cs="宋体"/>
          <w:sz w:val="24"/>
        </w:rPr>
        <w:t xml:space="preserve">A. 装箱明细单； </w:t>
      </w:r>
      <w:r/>
    </w:p>
    <w:p>
      <w:pPr>
        <w:ind w:firstLine="480"/>
        <w:spacing w:line="312" w:lineRule="auto"/>
        <w:rPr>
          <w:rFonts w:ascii="宋体" w:hAnsi="宋体" w:cs="宋体"/>
          <w:strike/>
          <w:sz w:val="24"/>
        </w:rPr>
      </w:pPr>
      <w:r>
        <w:rPr>
          <w:rFonts w:hint="eastAsia" w:ascii="宋体" w:hAnsi="宋体" w:cs="宋体"/>
          <w:sz w:val="24"/>
        </w:rPr>
        <w:t xml:space="preserve">B. 质量合格证； </w:t>
      </w:r>
      <w:r/>
    </w:p>
    <w:p>
      <w:pPr>
        <w:ind w:firstLine="480"/>
        <w:spacing w:line="312" w:lineRule="auto"/>
        <w:rPr>
          <w:rFonts w:ascii="宋体" w:hAnsi="宋体" w:cs="宋体"/>
          <w:strike/>
          <w:sz w:val="24"/>
        </w:rPr>
      </w:pPr>
      <w:r>
        <w:rPr>
          <w:rFonts w:hint="eastAsia" w:ascii="宋体" w:hAnsi="宋体" w:cs="宋体"/>
          <w:sz w:val="24"/>
        </w:rPr>
        <w:t xml:space="preserve">C. 技术资料。</w:t>
      </w:r>
      <w:r/>
    </w:p>
    <w:p>
      <w:pPr>
        <w:ind w:firstLine="480"/>
        <w:spacing w:line="312" w:lineRule="auto"/>
        <w:rPr>
          <w:rFonts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第七条 技术资料</w:t>
      </w:r>
      <w:r/>
    </w:p>
    <w:p>
      <w:pPr>
        <w:ind w:firstLine="480"/>
        <w:spacing w:line="312" w:lineRule="auto"/>
        <w:rPr>
          <w:rFonts w:ascii="宋体" w:hAnsi="宋体" w:cs="宋体"/>
          <w:sz w:val="24"/>
        </w:rPr>
      </w:pPr>
      <w:r>
        <w:rPr>
          <w:rFonts w:hint="eastAsia" w:ascii="宋体" w:hAnsi="宋体" w:cs="宋体"/>
          <w:sz w:val="24"/>
        </w:rPr>
        <w:t xml:space="preserve">7.1 技术资料交付的期限和方式见《合同专用条款》。</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第八条 安装</w:t>
      </w:r>
      <w:r/>
    </w:p>
    <w:p>
      <w:pPr>
        <w:ind w:firstLine="480"/>
        <w:spacing w:line="312" w:lineRule="auto"/>
        <w:rPr>
          <w:rFonts w:ascii="宋体" w:hAnsi="宋体" w:cs="宋体"/>
          <w:sz w:val="24"/>
        </w:rPr>
      </w:pPr>
      <w:r>
        <w:rPr>
          <w:rFonts w:hint="eastAsia" w:ascii="宋体" w:hAnsi="宋体" w:cs="宋体"/>
          <w:sz w:val="24"/>
        </w:rPr>
        <w:t xml:space="preserve">8.1 合同标的的安装期限见《合同专用条款》。</w:t>
      </w:r>
      <w:r/>
    </w:p>
    <w:p>
      <w:pPr>
        <w:ind w:firstLine="480"/>
        <w:spacing w:line="312" w:lineRule="auto"/>
        <w:rPr>
          <w:rFonts w:ascii="宋体" w:hAnsi="宋体" w:cs="宋体"/>
          <w:sz w:val="24"/>
        </w:rPr>
      </w:pPr>
      <w:r>
        <w:rPr>
          <w:rFonts w:hint="eastAsia" w:ascii="宋体" w:hAnsi="宋体" w:cs="宋体"/>
          <w:sz w:val="24"/>
        </w:rPr>
        <w:t xml:space="preserve">8.2 项目实施方案见合同附件7。</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第九条 验收</w:t>
      </w:r>
      <w:r/>
    </w:p>
    <w:p>
      <w:pPr>
        <w:ind w:firstLine="480"/>
        <w:spacing w:line="312" w:lineRule="auto"/>
        <w:rPr>
          <w:rFonts w:ascii="宋体" w:hAnsi="宋体" w:cs="宋体"/>
          <w:sz w:val="24"/>
        </w:rPr>
      </w:pPr>
      <w:r>
        <w:rPr>
          <w:rFonts w:hint="eastAsia" w:ascii="宋体" w:hAnsi="宋体" w:cs="宋体"/>
          <w:sz w:val="24"/>
        </w:rPr>
        <w:t xml:space="preserve">9.1合同标的的验收见《合同专用条款》。</w:t>
      </w:r>
      <w:r/>
    </w:p>
    <w:p>
      <w:pPr>
        <w:ind w:firstLine="480"/>
        <w:spacing w:line="312" w:lineRule="auto"/>
        <w:rPr>
          <w:rFonts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540"/>
        <w:spacing w:line="312" w:lineRule="auto"/>
        <w:rPr>
          <w:rFonts w:ascii="宋体" w:hAnsi="宋体" w:cs="宋体"/>
          <w:sz w:val="24"/>
        </w:rPr>
      </w:pPr>
      <w:r>
        <w:rPr>
          <w:rFonts w:hint="eastAsia" w:ascii="宋体" w:hAnsi="宋体" w:cs="宋体"/>
          <w:sz w:val="24"/>
        </w:rPr>
        <w:t xml:space="preserve">9.3验收标准（验收要求、验收标准和程序）：见合同附件5。</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第十条 售后服务和技术培训</w:t>
      </w:r>
      <w:r/>
    </w:p>
    <w:p>
      <w:pPr>
        <w:ind w:firstLine="480"/>
        <w:spacing w:line="312" w:lineRule="auto"/>
        <w:rPr>
          <w:rFonts w:ascii="宋体" w:hAnsi="宋体" w:cs="宋体"/>
          <w:sz w:val="24"/>
        </w:rPr>
      </w:pPr>
      <w:r>
        <w:rPr>
          <w:rFonts w:hint="eastAsia" w:ascii="宋体" w:hAnsi="宋体" w:cs="宋体"/>
          <w:sz w:val="24"/>
        </w:rPr>
        <w:t xml:space="preserve">10.1售后服务和技术培训见合同附件3。</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第十一条 索赔</w:t>
      </w:r>
      <w:r/>
    </w:p>
    <w:p>
      <w:pPr>
        <w:ind w:firstLine="480"/>
        <w:spacing w:line="312" w:lineRule="auto"/>
        <w:rPr>
          <w:rFonts w:ascii="宋体" w:hAnsi="宋体" w:cs="宋体"/>
          <w:sz w:val="24"/>
        </w:rPr>
      </w:pPr>
      <w:r>
        <w:rPr>
          <w:rFonts w:hint="eastAsia" w:ascii="宋体" w:hAnsi="宋体" w:cs="宋体"/>
          <w:sz w:val="24"/>
        </w:rPr>
        <w:t xml:space="preserve">11.1如果合同标的在验收中卖方未能履行其在本合同项下承担的义务，买方有权向卖方提出索赔并寻求《合同专用条款》中规定的救济方式，救济方式包括：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sz w:val="24"/>
        </w:rPr>
      </w:pPr>
      <w:r>
        <w:rPr>
          <w:rFonts w:hint="eastAsia" w:ascii="宋体" w:hAnsi="宋体" w:cs="宋体"/>
          <w:sz w:val="24"/>
        </w:rPr>
        <w:t xml:space="preserve">A. 卖方替换不符合合同规定的合同标的。</w:t>
      </w:r>
      <w:r/>
    </w:p>
    <w:p>
      <w:pPr>
        <w:ind w:firstLine="480"/>
        <w:spacing w:line="312" w:lineRule="auto"/>
        <w:rPr>
          <w:rFonts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spacing w:line="312" w:lineRule="auto"/>
        <w:rPr>
          <w:rFonts w:ascii="宋体" w:hAnsi="宋体" w:cs="宋体"/>
          <w:sz w:val="24"/>
        </w:rPr>
      </w:pPr>
      <w:r>
        <w:rPr>
          <w:rFonts w:hint="eastAsia" w:ascii="宋体" w:hAnsi="宋体" w:cs="宋体"/>
          <w:sz w:val="24"/>
        </w:rPr>
        <w:t xml:space="preserve">C. 拒收合同标的。</w:t>
      </w:r>
      <w:r/>
    </w:p>
    <w:p>
      <w:pPr>
        <w:ind w:firstLine="480"/>
        <w:spacing w:line="312" w:lineRule="auto"/>
        <w:rPr>
          <w:rFonts w:ascii="宋体" w:hAnsi="宋体" w:cs="宋体"/>
          <w:sz w:val="24"/>
        </w:rPr>
      </w:pPr>
      <w:r>
        <w:rPr>
          <w:rFonts w:hint="eastAsia" w:ascii="宋体" w:hAnsi="宋体" w:cs="宋体"/>
          <w:sz w:val="24"/>
        </w:rPr>
        <w:t xml:space="preserve">D. 赔偿由卖方违约引起的其他损失。</w:t>
      </w:r>
      <w:r/>
    </w:p>
    <w:p>
      <w:pPr>
        <w:ind w:firstLine="480"/>
        <w:spacing w:line="312" w:lineRule="auto"/>
        <w:rPr>
          <w:rFonts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第十二条 不可抗力</w:t>
      </w:r>
      <w:r/>
    </w:p>
    <w:p>
      <w:pPr>
        <w:ind w:firstLine="480"/>
        <w:spacing w:line="312" w:lineRule="auto"/>
        <w:rPr>
          <w:rFonts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第十三条 合同的终止</w:t>
      </w:r>
      <w:r/>
    </w:p>
    <w:p>
      <w:pPr>
        <w:ind w:firstLine="480"/>
        <w:spacing w:line="312" w:lineRule="auto"/>
        <w:rPr>
          <w:rFonts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spacing w:line="312" w:lineRule="auto"/>
        <w:rPr>
          <w:rFonts w:ascii="宋体" w:hAnsi="宋体" w:cs="宋体"/>
          <w:sz w:val="24"/>
        </w:rPr>
      </w:pPr>
      <w:r>
        <w:rPr>
          <w:rFonts w:hint="eastAsia" w:ascii="宋体" w:hAnsi="宋体" w:cs="宋体"/>
          <w:sz w:val="24"/>
        </w:rPr>
        <w:t xml:space="preserve">B. 合同标的未能达到合同附件2 规定的技术性能； </w:t>
      </w:r>
      <w:r/>
    </w:p>
    <w:p>
      <w:pPr>
        <w:ind w:firstLine="480"/>
        <w:spacing w:line="312" w:lineRule="auto"/>
        <w:rPr>
          <w:rFonts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480"/>
        <w:spacing w:line="312" w:lineRule="auto"/>
        <w:rPr>
          <w:rFonts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7"/>
        <w:spacing w:line="312" w:lineRule="auto"/>
        <w:rPr>
          <w:rFonts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spacing w:line="312" w:lineRule="auto"/>
        <w:rPr>
          <w:rFonts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480"/>
        <w:spacing w:line="312" w:lineRule="auto"/>
        <w:rPr>
          <w:rFonts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第十四条 争议的解决</w:t>
      </w:r>
      <w:r/>
    </w:p>
    <w:p>
      <w:pPr>
        <w:ind w:firstLine="480"/>
        <w:spacing w:line="312" w:lineRule="auto"/>
        <w:rPr>
          <w:rFonts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第十五条 适用法律</w:t>
      </w:r>
      <w:r/>
    </w:p>
    <w:p>
      <w:pPr>
        <w:ind w:firstLine="480"/>
        <w:spacing w:line="312" w:lineRule="auto"/>
        <w:rPr>
          <w:rFonts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第十六条  权利保证</w:t>
      </w:r>
      <w:r/>
    </w:p>
    <w:p>
      <w:pPr>
        <w:ind w:firstLine="480"/>
        <w:spacing w:line="312" w:lineRule="auto"/>
        <w:rPr>
          <w:rFonts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第十七条  保密 </w:t>
      </w:r>
      <w:r/>
    </w:p>
    <w:p>
      <w:pPr>
        <w:ind w:firstLine="480"/>
        <w:spacing w:line="312" w:lineRule="auto"/>
        <w:rPr>
          <w:rFonts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spacing w:line="312" w:lineRule="auto"/>
        <w:rPr>
          <w:rFonts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line="312" w:lineRule="auto"/>
        <w:rPr>
          <w:rFonts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第十八条 合同生效及其他</w:t>
      </w:r>
      <w:r/>
    </w:p>
    <w:p>
      <w:pPr>
        <w:ind w:firstLine="480"/>
        <w:spacing w:line="312" w:lineRule="auto"/>
        <w:rPr>
          <w:rFonts w:ascii="宋体" w:hAnsi="宋体" w:cs="宋体"/>
          <w:sz w:val="24"/>
        </w:rPr>
      </w:pPr>
      <w:r>
        <w:rPr>
          <w:rFonts w:hint="eastAsia" w:ascii="宋体" w:hAnsi="宋体" w:cs="宋体"/>
          <w:sz w:val="24"/>
        </w:rPr>
        <w:t xml:space="preserve">18.1 本合同在合同协议书（合同附件1）规定的条件全部满足后生效。</w:t>
      </w:r>
      <w:r/>
    </w:p>
    <w:p>
      <w:pPr>
        <w:ind w:firstLine="480"/>
        <w:spacing w:line="312" w:lineRule="auto"/>
        <w:rPr>
          <w:rFonts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宋体" w:hAnsi="宋体" w:cs="宋体"/>
          <w:sz w:val="24"/>
        </w:rPr>
      </w:pPr>
      <w:r>
        <w:rPr>
          <w:rFonts w:hint="eastAsia" w:ascii="宋体" w:hAnsi="宋体" w:cs="宋体"/>
          <w:sz w:val="24"/>
        </w:rPr>
        <w:t xml:space="preserve">18.3 合同双方各自承担与本合同有关的应负税费。</w:t>
      </w:r>
      <w:r/>
    </w:p>
    <w:p>
      <w:pPr>
        <w:ind w:firstLine="480"/>
        <w:spacing w:line="312" w:lineRule="auto"/>
        <w:rPr>
          <w:rFonts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480"/>
        <w:spacing w:line="312" w:lineRule="auto"/>
        <w:rPr>
          <w:rFonts w:ascii="宋体" w:hAnsi="宋体" w:cs="宋体"/>
          <w:sz w:val="24"/>
        </w:rPr>
      </w:pPr>
      <w:r>
        <w:rPr>
          <w:rFonts w:hint="eastAsia" w:ascii="宋体" w:hAnsi="宋体" w:cs="宋体"/>
          <w:sz w:val="24"/>
        </w:rPr>
        <w:t xml:space="preserve">18.5对本合同的任何补充、增添或修改以书面方式进行。</w:t>
      </w:r>
      <w:r/>
    </w:p>
    <w:p>
      <w:pPr>
        <w:ind w:firstLine="480"/>
        <w:spacing w:line="312" w:lineRule="auto"/>
        <w:rPr>
          <w:rFonts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spacing w:line="312" w:lineRule="auto"/>
        <w:rPr>
          <w:rFonts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spacing w:line="312" w:lineRule="auto"/>
        <w:rPr>
          <w:rFonts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12" w:lineRule="auto"/>
        <w:rPr>
          <w:rFonts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rPr>
          <w:rFonts w:ascii="宋体" w:hAnsi="宋体" w:cs="宋体"/>
          <w:sz w:val="30"/>
          <w:szCs w:val="30"/>
        </w:rPr>
      </w:pPr>
      <w:r>
        <w:rPr>
          <w:rFonts w:ascii="宋体" w:hAnsi="宋体" w:cs="宋体"/>
          <w:sz w:val="30"/>
          <w:szCs w:val="30"/>
        </w:rPr>
      </w:r>
      <w:r/>
    </w:p>
    <w:p>
      <w:pPr>
        <w:ind w:firstLine="600"/>
        <w:jc w:val="center"/>
        <w:rPr>
          <w:rFonts w:ascii="宋体" w:hAnsi="宋体" w:cs="宋体"/>
          <w:sz w:val="30"/>
          <w:szCs w:val="30"/>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ind w:firstLine="601"/>
        <w:jc w:val="center"/>
        <w:spacing w:line="480" w:lineRule="auto"/>
        <w:rPr>
          <w:rFonts w:ascii="宋体" w:hAnsi="宋体" w:cs="宋体"/>
          <w:sz w:val="24"/>
        </w:rPr>
      </w:pPr>
      <w:r>
        <w:rPr>
          <w:rFonts w:hint="eastAsia" w:ascii="宋体" w:hAnsi="宋体" w:cs="宋体"/>
          <w:sz w:val="30"/>
          <w:szCs w:val="30"/>
        </w:rPr>
        <w:t xml:space="preserve">合同专用条款</w:t>
      </w:r>
      <w:r/>
    </w:p>
    <w:p>
      <w:pPr>
        <w:ind w:firstLine="480"/>
        <w:spacing w:line="360" w:lineRule="auto"/>
        <w:rPr>
          <w:rFonts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line="360" w:lineRule="auto"/>
        <w:rPr>
          <w:rFonts w:ascii="宋体" w:hAnsi="宋体" w:cs="宋体"/>
          <w:b/>
          <w:bCs/>
          <w:sz w:val="24"/>
        </w:rPr>
      </w:pPr>
      <w:r>
        <w:rPr>
          <w:rFonts w:hint="eastAsia" w:ascii="宋体" w:hAnsi="宋体" w:cs="宋体"/>
          <w:b/>
          <w:bCs/>
          <w:sz w:val="24"/>
        </w:rPr>
        <w:t xml:space="preserve">第一条 定义</w:t>
      </w:r>
      <w:r/>
    </w:p>
    <w:p>
      <w:pPr>
        <w:ind w:firstLine="540"/>
        <w:spacing w:line="360" w:lineRule="auto"/>
        <w:rPr>
          <w:rFonts w:ascii="宋体" w:hAnsi="宋体" w:cs="宋体"/>
          <w:sz w:val="24"/>
        </w:rPr>
      </w:pPr>
      <w:r>
        <w:rPr>
          <w:rFonts w:hint="eastAsia" w:ascii="宋体" w:hAnsi="宋体" w:cs="宋体"/>
          <w:sz w:val="24"/>
        </w:rPr>
        <w:t xml:space="preserve">1.1 “买方”为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1.10 “合同货币”即</w:t>
      </w:r>
      <w:r>
        <w:rPr>
          <w:rFonts w:hint="eastAsia" w:ascii="宋体" w:hAnsi="宋体" w:cs="宋体"/>
          <w:sz w:val="24"/>
          <w:u w:val="single"/>
        </w:rPr>
        <w:t xml:space="preserve">人民币</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第二条 合同范围</w:t>
      </w:r>
      <w:r/>
    </w:p>
    <w:p>
      <w:pPr>
        <w:ind w:firstLine="540"/>
        <w:spacing w:line="360" w:lineRule="auto"/>
        <w:rPr>
          <w:rFonts w:ascii="宋体" w:hAnsi="宋体" w:cs="宋体"/>
          <w:sz w:val="24"/>
        </w:rPr>
      </w:pPr>
      <w:r>
        <w:rPr>
          <w:rFonts w:hint="eastAsia" w:ascii="宋体" w:hAnsi="宋体" w:cs="宋体"/>
          <w:sz w:val="24"/>
        </w:rPr>
        <w:t xml:space="preserve">2.3买方同意从卖方购买、卖方同意向买方出售的合同标的是</w:t>
      </w:r>
      <w:r>
        <w:rPr>
          <w:rFonts w:hint="eastAsia" w:ascii="宋体" w:hAnsi="宋体" w:cs="宋体"/>
          <w:sz w:val="24"/>
          <w:u w:val="single"/>
        </w:rPr>
        <w:t xml:space="preserve">       </w:t>
      </w:r>
      <w:r>
        <w:rPr>
          <w:rFonts w:hint="eastAsia" w:ascii="宋体" w:hAnsi="宋体" w:cs="宋体"/>
          <w:sz w:val="24"/>
        </w:rPr>
        <w:t xml:space="preserve">。详见合同附件。</w:t>
      </w:r>
      <w:r/>
    </w:p>
    <w:p>
      <w:pPr>
        <w:ind w:firstLine="540"/>
        <w:spacing w:line="360" w:lineRule="auto"/>
        <w:rPr>
          <w:rFonts w:ascii="宋体" w:hAnsi="宋体" w:cs="宋体"/>
          <w:b/>
          <w:bCs/>
          <w:sz w:val="24"/>
        </w:rPr>
      </w:pPr>
      <w:r>
        <w:rPr>
          <w:rFonts w:hint="eastAsia" w:ascii="宋体" w:hAnsi="宋体" w:cs="宋体"/>
          <w:b/>
          <w:bCs/>
          <w:sz w:val="24"/>
        </w:rPr>
        <w:t xml:space="preserve">第三条 价格</w:t>
      </w:r>
      <w:r/>
    </w:p>
    <w:p>
      <w:pPr>
        <w:ind w:firstLine="540"/>
        <w:spacing w:line="360" w:lineRule="auto"/>
        <w:rPr>
          <w:rFonts w:ascii="宋体" w:hAnsi="宋体" w:cs="宋体"/>
          <w:sz w:val="24"/>
        </w:rPr>
      </w:pPr>
      <w:r>
        <w:rPr>
          <w:rFonts w:hint="eastAsia" w:ascii="宋体" w:hAnsi="宋体" w:cs="宋体"/>
          <w:sz w:val="24"/>
        </w:rPr>
        <w:t xml:space="preserve">3.1合同总价为￥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结算价=合同单价*实际采购数量。</w:t>
      </w:r>
      <w:r/>
    </w:p>
    <w:p>
      <w:pPr>
        <w:ind w:firstLine="540"/>
        <w:spacing w:line="360" w:lineRule="auto"/>
        <w:rPr>
          <w:rFonts w:ascii="宋体" w:hAnsi="宋体" w:cs="宋体"/>
          <w:sz w:val="24"/>
        </w:rPr>
      </w:pPr>
      <w:r>
        <w:rPr>
          <w:rFonts w:hint="eastAsia" w:ascii="宋体" w:hAnsi="宋体" w:cs="宋体"/>
          <w:sz w:val="24"/>
        </w:rPr>
        <w:t xml:space="preserve">3.2本合同为固定单价合同，项目实施过程中不增加任何费用，本合同总价中包含国家法律法规对设备、材料的检验、检测费用。</w:t>
      </w:r>
      <w:r>
        <w:rPr>
          <w:rFonts w:hint="eastAsia" w:ascii="宋体" w:hAnsi="宋体" w:cs="宋体"/>
          <w:b/>
          <w:bCs/>
          <w:sz w:val="24"/>
        </w:rPr>
        <w:t xml:space="preserve">最终以实际采购的数量进行结算。</w:t>
      </w:r>
      <w:r/>
    </w:p>
    <w:p>
      <w:pPr>
        <w:ind w:firstLine="540"/>
        <w:spacing w:line="360" w:lineRule="auto"/>
        <w:rPr>
          <w:rFonts w:ascii="宋体" w:hAnsi="宋体" w:cs="宋体"/>
          <w:sz w:val="24"/>
        </w:rPr>
      </w:pPr>
      <w:r>
        <w:rPr>
          <w:rFonts w:hint="eastAsia" w:ascii="宋体" w:hAnsi="宋体" w:cs="宋体"/>
          <w:sz w:val="24"/>
        </w:rPr>
        <w:t xml:space="preserve">3.3 本合同价格为包括但不限于产品价、税金、运费、检验、保险、分发、售后服务、投标人的利润等一切有可能产生或增加的费用。</w:t>
      </w:r>
      <w:r/>
    </w:p>
    <w:p>
      <w:pPr>
        <w:ind w:firstLine="540"/>
        <w:spacing w:line="360" w:lineRule="auto"/>
        <w:rPr>
          <w:rFonts w:ascii="宋体" w:hAnsi="宋体" w:cs="宋体"/>
          <w:b/>
          <w:bCs/>
          <w:sz w:val="24"/>
        </w:rPr>
      </w:pPr>
      <w:r>
        <w:rPr>
          <w:rFonts w:hint="eastAsia" w:ascii="宋体" w:hAnsi="宋体" w:cs="宋体"/>
          <w:b/>
          <w:bCs/>
          <w:sz w:val="24"/>
        </w:rPr>
        <w:t xml:space="preserve">第四条 支付（采购资金的支付方式、时间、条件）</w:t>
      </w:r>
      <w:r/>
    </w:p>
    <w:p>
      <w:pPr>
        <w:ind w:firstLine="540"/>
        <w:spacing w:line="360" w:lineRule="auto"/>
        <w:rPr>
          <w:rFonts w:ascii="宋体" w:hAnsi="宋体" w:cs="宋体"/>
          <w:sz w:val="24"/>
        </w:rPr>
      </w:pPr>
      <w:r>
        <w:rPr>
          <w:rFonts w:hint="eastAsia" w:ascii="宋体" w:hAnsi="宋体" w:cs="宋体"/>
          <w:sz w:val="24"/>
        </w:rPr>
        <w:t xml:space="preserve">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w:t>
      </w:r>
      <w:r/>
    </w:p>
    <w:p>
      <w:pPr>
        <w:ind w:firstLine="540"/>
        <w:spacing w:line="360" w:lineRule="auto"/>
        <w:rPr>
          <w:rFonts w:ascii="宋体" w:hAnsi="宋体" w:cs="宋体"/>
          <w:sz w:val="24"/>
        </w:rPr>
      </w:pPr>
      <w:r>
        <w:rPr>
          <w:rFonts w:hint="eastAsia" w:ascii="宋体" w:hAnsi="宋体" w:cs="宋体"/>
          <w:b/>
          <w:bCs/>
          <w:sz w:val="24"/>
        </w:rPr>
        <w:t xml:space="preserve">付款方式：交货验收合格后，财政资金拨付后支付100%</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卖方需提交的支付文件包括：</w:t>
      </w:r>
      <w:r/>
    </w:p>
    <w:p>
      <w:pPr>
        <w:ind w:firstLine="540"/>
        <w:spacing w:line="360" w:lineRule="auto"/>
        <w:rPr>
          <w:rFonts w:ascii="宋体" w:hAnsi="宋体" w:cs="宋体"/>
          <w:sz w:val="24"/>
        </w:rPr>
      </w:pPr>
      <w:r>
        <w:rPr>
          <w:rFonts w:hint="eastAsia" w:ascii="宋体" w:hAnsi="宋体" w:cs="宋体"/>
          <w:sz w:val="24"/>
        </w:rPr>
        <w:t xml:space="preserve">1、正式税务发票。</w:t>
      </w:r>
      <w:r/>
    </w:p>
    <w:p>
      <w:pPr>
        <w:ind w:firstLine="540"/>
        <w:spacing w:line="360" w:lineRule="auto"/>
        <w:rPr>
          <w:rFonts w:ascii="宋体" w:hAnsi="宋体" w:cs="宋体"/>
          <w:sz w:val="24"/>
        </w:rPr>
      </w:pPr>
      <w:r>
        <w:rPr>
          <w:rFonts w:hint="eastAsia" w:ascii="宋体" w:hAnsi="宋体" w:cs="宋体"/>
          <w:sz w:val="24"/>
        </w:rPr>
        <w:t xml:space="preserve">4.3  合同约定的卖方账户：</w:t>
      </w:r>
      <w:r/>
    </w:p>
    <w:p>
      <w:pPr>
        <w:ind w:firstLine="540"/>
        <w:spacing w:line="360" w:lineRule="auto"/>
        <w:rPr>
          <w:rFonts w:ascii="宋体" w:hAnsi="宋体" w:cs="宋体"/>
          <w:sz w:val="24"/>
        </w:rPr>
      </w:pPr>
      <w:r>
        <w:rPr>
          <w:rFonts w:hint="eastAsia" w:ascii="宋体" w:hAnsi="宋体" w:cs="宋体"/>
          <w:sz w:val="24"/>
        </w:rPr>
        <w:t xml:space="preserve">开户名称：</w:t>
      </w:r>
      <w:r/>
    </w:p>
    <w:p>
      <w:pPr>
        <w:ind w:firstLine="480"/>
        <w:spacing w:line="360" w:lineRule="auto"/>
        <w:rPr>
          <w:rFonts w:ascii="宋体" w:hAnsi="宋体" w:cs="宋体"/>
          <w:sz w:val="24"/>
        </w:rPr>
      </w:pPr>
      <w:r>
        <w:rPr>
          <w:rFonts w:hint="eastAsia" w:ascii="宋体" w:hAnsi="宋体" w:cs="宋体"/>
          <w:sz w:val="24"/>
        </w:rPr>
        <w:t xml:space="preserve">开户银行：</w:t>
      </w:r>
      <w:r/>
    </w:p>
    <w:p>
      <w:pPr>
        <w:ind w:firstLine="480"/>
        <w:spacing w:line="360" w:lineRule="auto"/>
        <w:rPr>
          <w:rFonts w:ascii="宋体" w:hAnsi="宋体" w:cs="宋体"/>
          <w:sz w:val="24"/>
        </w:rPr>
      </w:pPr>
      <w:r>
        <w:rPr>
          <w:rFonts w:hint="eastAsia" w:ascii="宋体" w:hAnsi="宋体" w:cs="宋体"/>
          <w:sz w:val="24"/>
        </w:rPr>
        <w:t xml:space="preserve">银行帐号：</w:t>
      </w:r>
      <w:r/>
    </w:p>
    <w:p>
      <w:pPr>
        <w:ind w:firstLine="480"/>
        <w:spacing w:line="360" w:lineRule="auto"/>
        <w:rPr>
          <w:rFonts w:ascii="宋体" w:hAnsi="宋体" w:cs="宋体"/>
          <w:b/>
          <w:bCs/>
          <w:sz w:val="24"/>
        </w:rPr>
      </w:pPr>
      <w:r>
        <w:rPr>
          <w:rFonts w:hint="eastAsia" w:ascii="宋体" w:hAnsi="宋体" w:cs="宋体"/>
          <w:b/>
          <w:bCs/>
          <w:sz w:val="24"/>
        </w:rPr>
        <w:t xml:space="preserve">第五条 交货（货物、服务提供的时间、地点、方式）</w:t>
      </w:r>
      <w:r/>
    </w:p>
    <w:p>
      <w:pPr>
        <w:ind w:firstLine="542"/>
        <w:spacing w:line="360" w:lineRule="auto"/>
        <w:rPr>
          <w:rFonts w:ascii="宋体" w:hAnsi="宋体" w:cs="宋体"/>
          <w:b/>
          <w:bCs/>
          <w:sz w:val="24"/>
        </w:rPr>
      </w:pPr>
      <w:r>
        <w:rPr>
          <w:rFonts w:hint="eastAsia" w:ascii="宋体" w:hAnsi="宋体" w:cs="宋体"/>
          <w:b/>
          <w:bCs/>
          <w:sz w:val="24"/>
        </w:rPr>
        <w:t xml:space="preserve">5.1卖方应于合同生效日后，</w:t>
      </w:r>
      <w:r>
        <w:rPr>
          <w:rFonts w:hint="eastAsia" w:ascii="宋体" w:hAnsi="宋体" w:cs="宋体"/>
          <w:b/>
          <w:bCs/>
          <w:sz w:val="24"/>
          <w:u w:val="single"/>
        </w:rPr>
        <w:t xml:space="preserve">  </w:t>
      </w:r>
      <w:r>
        <w:rPr>
          <w:rFonts w:hint="eastAsia" w:ascii="宋体" w:hAnsi="宋体" w:cs="宋体"/>
          <w:b/>
          <w:bCs/>
          <w:sz w:val="24"/>
        </w:rPr>
        <w:t xml:space="preserve">日内将合同标的全部交付并分发完毕。</w:t>
      </w:r>
      <w:r/>
    </w:p>
    <w:p>
      <w:pPr>
        <w:ind w:firstLine="540"/>
        <w:spacing w:line="360" w:lineRule="auto"/>
        <w:rPr>
          <w:rFonts w:ascii="宋体" w:hAnsi="宋体" w:cs="宋体"/>
          <w:sz w:val="24"/>
        </w:rPr>
      </w:pPr>
      <w:r>
        <w:rPr>
          <w:rFonts w:hint="eastAsia" w:ascii="宋体" w:hAnsi="宋体" w:cs="宋体"/>
          <w:sz w:val="24"/>
        </w:rPr>
        <w:t xml:space="preserve">5.2 交货地点为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5.3卖方应在不迟于每批合同标的备妥待运前</w:t>
      </w:r>
      <w:r>
        <w:rPr>
          <w:rFonts w:hint="eastAsia" w:ascii="宋体" w:hAnsi="宋体" w:cs="宋体"/>
          <w:sz w:val="24"/>
          <w:u w:val="single"/>
        </w:rPr>
        <w:t xml:space="preserve">  1 </w:t>
      </w:r>
      <w:r>
        <w:rPr>
          <w:rFonts w:hint="eastAsia" w:ascii="宋体" w:hAnsi="宋体" w:cs="宋体"/>
          <w:sz w:val="24"/>
        </w:rPr>
        <w:t xml:space="preserve">日通知买方。</w:t>
      </w:r>
      <w:r/>
    </w:p>
    <w:p>
      <w:pPr>
        <w:ind w:firstLine="540"/>
        <w:spacing w:line="360" w:lineRule="auto"/>
        <w:rPr>
          <w:rFonts w:ascii="宋体" w:hAnsi="宋体" w:cs="宋体"/>
          <w:sz w:val="24"/>
        </w:rPr>
      </w:pPr>
      <w:r>
        <w:rPr>
          <w:rFonts w:hint="eastAsia" w:ascii="宋体" w:hAnsi="宋体" w:cs="宋体"/>
          <w:sz w:val="24"/>
        </w:rPr>
        <w:t xml:space="preserve">5.4如果卖方未能按照合同规定的交货期限交货，卖方应按每天迟交合同标的金额的百分之</w:t>
      </w:r>
      <w:r>
        <w:rPr>
          <w:rFonts w:hint="eastAsia" w:ascii="宋体" w:hAnsi="宋体" w:cs="宋体"/>
          <w:sz w:val="24"/>
          <w:u w:val="single"/>
        </w:rPr>
        <w:t xml:space="preserve">五</w:t>
      </w:r>
      <w:r>
        <w:rPr>
          <w:rFonts w:hint="eastAsia" w:ascii="宋体" w:hAnsi="宋体" w:cs="宋体"/>
          <w:sz w:val="24"/>
        </w:rPr>
        <w:t xml:space="preserve"> (</w:t>
      </w:r>
      <w:r>
        <w:rPr>
          <w:rFonts w:hint="eastAsia" w:ascii="宋体" w:hAnsi="宋体" w:cs="宋体"/>
          <w:sz w:val="24"/>
          <w:u w:val="single"/>
        </w:rPr>
        <w:t xml:space="preserve">5</w:t>
      </w:r>
      <w:r>
        <w:rPr>
          <w:rFonts w:hint="eastAsia" w:ascii="宋体" w:hAnsi="宋体" w:cs="宋体"/>
          <w:sz w:val="24"/>
        </w:rPr>
        <w:t xml:space="preserve">%)的比率支付违约金。违约金的总金额不超过合同总价的百分之</w:t>
      </w:r>
      <w:r>
        <w:rPr>
          <w:rFonts w:hint="eastAsia" w:ascii="宋体" w:hAnsi="宋体" w:cs="宋体"/>
          <w:sz w:val="24"/>
          <w:u w:val="single"/>
        </w:rPr>
        <w:t xml:space="preserve">三十</w:t>
      </w:r>
      <w:r>
        <w:rPr>
          <w:rFonts w:hint="eastAsia" w:ascii="宋体" w:hAnsi="宋体" w:cs="宋体"/>
          <w:sz w:val="24"/>
        </w:rPr>
        <w:t xml:space="preserve">(</w:t>
      </w:r>
      <w:r>
        <w:rPr>
          <w:rFonts w:hint="eastAsia" w:ascii="宋体" w:hAnsi="宋体" w:cs="宋体"/>
          <w:sz w:val="24"/>
          <w:u w:val="single"/>
        </w:rPr>
        <w:t xml:space="preserve">30</w:t>
      </w:r>
      <w:r>
        <w:rPr>
          <w:rFonts w:hint="eastAsia" w:ascii="宋体" w:hAnsi="宋体" w:cs="宋体"/>
          <w:sz w:val="24"/>
        </w:rPr>
        <w:t xml:space="preserve">%) ，违约金的支付不能免除卖方继续交付相关合同标的的义务。</w:t>
      </w:r>
      <w:r/>
    </w:p>
    <w:p>
      <w:pPr>
        <w:ind w:firstLine="540"/>
        <w:spacing w:line="360" w:lineRule="auto"/>
        <w:rPr>
          <w:rFonts w:ascii="宋体" w:hAnsi="宋体" w:cs="宋体"/>
          <w:sz w:val="24"/>
        </w:rPr>
      </w:pPr>
      <w:r>
        <w:rPr>
          <w:rFonts w:hint="eastAsia" w:ascii="宋体" w:hAnsi="宋体" w:cs="宋体"/>
          <w:sz w:val="24"/>
        </w:rPr>
        <w:t xml:space="preserve">如果卖方在合同规定的交货期限后</w:t>
      </w:r>
      <w:r>
        <w:rPr>
          <w:rFonts w:hint="eastAsia" w:ascii="宋体" w:hAnsi="宋体" w:cs="宋体"/>
          <w:sz w:val="24"/>
          <w:u w:val="single"/>
        </w:rPr>
        <w:t xml:space="preserve">十</w:t>
      </w:r>
      <w:r>
        <w:rPr>
          <w:rFonts w:hint="eastAsia" w:ascii="宋体" w:hAnsi="宋体" w:cs="宋体"/>
          <w:sz w:val="24"/>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b/>
          <w:bCs/>
          <w:sz w:val="24"/>
        </w:rPr>
      </w:pPr>
      <w:r>
        <w:rPr>
          <w:rFonts w:hint="eastAsia" w:ascii="宋体" w:hAnsi="宋体" w:cs="宋体"/>
          <w:b/>
          <w:bCs/>
          <w:sz w:val="24"/>
        </w:rPr>
        <w:t xml:space="preserve">第六条 包装与标记</w:t>
      </w:r>
      <w:r/>
    </w:p>
    <w:p>
      <w:pPr>
        <w:ind w:firstLine="540"/>
        <w:spacing w:line="360" w:lineRule="auto"/>
        <w:rPr>
          <w:rFonts w:ascii="宋体" w:hAnsi="宋体" w:cs="宋体"/>
          <w:sz w:val="24"/>
        </w:rPr>
      </w:pPr>
      <w:r>
        <w:rPr>
          <w:rFonts w:hint="eastAsia" w:ascii="宋体" w:hAnsi="宋体" w:cs="宋体"/>
          <w:sz w:val="24"/>
        </w:rPr>
        <w:t xml:space="preserve">6.1 商品（合同标的）包装具体要求：见《关于印发《商品包装政府采购需求标准（试行）》、《快递包装政府采购需求标准（试行）》的通知》（财办库〔2020〕123号）中《商品包装政府采购需求标准（试行）》。</w:t>
      </w:r>
      <w:r/>
    </w:p>
    <w:p>
      <w:pPr>
        <w:ind w:firstLine="540"/>
        <w:spacing w:line="360" w:lineRule="auto"/>
        <w:rPr>
          <w:rFonts w:ascii="宋体" w:hAnsi="宋体" w:cs="宋体"/>
          <w:sz w:val="24"/>
        </w:rPr>
      </w:pPr>
      <w:r>
        <w:rPr>
          <w:rFonts w:hint="eastAsia" w:ascii="宋体" w:hAnsi="宋体" w:cs="宋体"/>
          <w:sz w:val="24"/>
        </w:rPr>
        <w:t xml:space="preserve">6.2 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cs="宋体"/>
          <w:b/>
          <w:bCs/>
          <w:sz w:val="24"/>
        </w:rPr>
      </w:pPr>
      <w:r>
        <w:rPr>
          <w:rFonts w:hint="eastAsia" w:ascii="宋体" w:hAnsi="宋体" w:cs="宋体"/>
          <w:b/>
          <w:bCs/>
          <w:sz w:val="24"/>
        </w:rPr>
        <w:t xml:space="preserve">第七条 技术资料</w:t>
      </w:r>
      <w:r/>
    </w:p>
    <w:p>
      <w:pPr>
        <w:ind w:firstLine="540"/>
        <w:spacing w:line="360" w:lineRule="auto"/>
        <w:rPr>
          <w:rFonts w:ascii="宋体" w:hAnsi="宋体" w:cs="宋体"/>
          <w:sz w:val="24"/>
        </w:rPr>
      </w:pPr>
      <w:r>
        <w:rPr>
          <w:rFonts w:hint="eastAsia" w:ascii="宋体" w:hAnsi="宋体" w:cs="宋体"/>
          <w:sz w:val="24"/>
        </w:rPr>
        <w:t xml:space="preserve">7.1 技术资料随合同标的同时交付给买方。</w:t>
      </w:r>
      <w:r/>
    </w:p>
    <w:p>
      <w:pPr>
        <w:ind w:firstLine="540"/>
        <w:spacing w:line="360" w:lineRule="auto"/>
        <w:rPr>
          <w:rFonts w:ascii="宋体" w:hAnsi="宋体" w:cs="宋体"/>
          <w:b/>
          <w:bCs/>
          <w:sz w:val="24"/>
        </w:rPr>
      </w:pPr>
      <w:r>
        <w:rPr>
          <w:rFonts w:hint="eastAsia" w:ascii="宋体" w:hAnsi="宋体" w:cs="宋体"/>
          <w:b/>
          <w:bCs/>
          <w:sz w:val="24"/>
        </w:rPr>
        <w:t xml:space="preserve">第八条 安装：本项目不需要安装。</w:t>
      </w:r>
      <w:r/>
    </w:p>
    <w:p>
      <w:pPr>
        <w:ind w:firstLine="540"/>
        <w:spacing w:line="360" w:lineRule="auto"/>
        <w:rPr>
          <w:rFonts w:ascii="宋体" w:hAnsi="宋体" w:cs="宋体"/>
          <w:b/>
          <w:bCs/>
          <w:sz w:val="24"/>
        </w:rPr>
      </w:pPr>
      <w:r>
        <w:rPr>
          <w:rFonts w:hint="eastAsia" w:ascii="宋体" w:hAnsi="宋体" w:cs="宋体"/>
          <w:b/>
          <w:bCs/>
          <w:sz w:val="24"/>
        </w:rPr>
        <w:t xml:space="preserve">第九条 验收</w:t>
      </w:r>
      <w:r/>
    </w:p>
    <w:p>
      <w:pPr>
        <w:ind w:firstLine="540"/>
        <w:spacing w:line="360" w:lineRule="auto"/>
        <w:rPr>
          <w:rFonts w:ascii="宋体" w:hAnsi="宋体" w:cs="宋体"/>
          <w:sz w:val="24"/>
        </w:rPr>
      </w:pPr>
      <w:r>
        <w:rPr>
          <w:rFonts w:hint="eastAsia" w:ascii="宋体" w:hAnsi="宋体" w:cs="宋体"/>
          <w:sz w:val="24"/>
        </w:rPr>
        <w:t xml:space="preserve">9.1 合同标的的验收应在卖方授权代表的参与下进行。合同标的全部交付后，卖方可向买方书面提出验收要求，买方在接到书面要求后</w:t>
      </w:r>
      <w:r>
        <w:rPr>
          <w:rFonts w:hint="eastAsia" w:ascii="宋体" w:hAnsi="宋体" w:cs="宋体"/>
          <w:sz w:val="24"/>
          <w:u w:val="single"/>
        </w:rPr>
        <w:t xml:space="preserve"> 3 </w:t>
      </w:r>
      <w:r>
        <w:rPr>
          <w:rFonts w:hint="eastAsia" w:ascii="宋体" w:hAnsi="宋体" w:cs="宋体"/>
          <w:sz w:val="24"/>
        </w:rPr>
        <w:t xml:space="preserve">日进行验收。如果验收因卖方原因发生迟延等情况下发生额外费用，买方有权就因迟延发生的损害和损失和任何额外费用请求赔偿。</w:t>
      </w:r>
      <w:r/>
    </w:p>
    <w:p>
      <w:pPr>
        <w:ind w:firstLine="540"/>
        <w:spacing w:line="360" w:lineRule="auto"/>
        <w:rPr>
          <w:rFonts w:ascii="宋体" w:hAnsi="宋体" w:cs="宋体"/>
          <w:sz w:val="24"/>
        </w:rPr>
      </w:pPr>
      <w:r>
        <w:rPr>
          <w:rFonts w:hint="eastAsia" w:ascii="宋体" w:hAnsi="宋体" w:cs="宋体"/>
          <w:sz w:val="24"/>
        </w:rPr>
        <w:t xml:space="preserve">9.2由买方进行验收；经买方验收不合格的，卖方在接到买方通知后三日内整改，并保证再次验收合格。</w:t>
      </w:r>
      <w:r>
        <w:rPr>
          <w:rFonts w:hint="eastAsia" w:ascii="宋体" w:hAnsi="宋体" w:cs="宋体"/>
          <w:b/>
          <w:bCs/>
          <w:sz w:val="24"/>
        </w:rPr>
        <w:t xml:space="preserve">如已超过</w:t>
      </w:r>
      <w:r>
        <w:rPr>
          <w:rFonts w:hint="eastAsia" w:ascii="宋体" w:hAnsi="宋体" w:cs="宋体"/>
          <w:b/>
          <w:bCs/>
          <w:sz w:val="24"/>
          <w:u w:val="single"/>
        </w:rPr>
        <w:t xml:space="preserve"> 1 </w:t>
      </w:r>
      <w:r>
        <w:rPr>
          <w:rFonts w:hint="eastAsia" w:ascii="宋体" w:hAnsi="宋体" w:cs="宋体"/>
          <w:b/>
          <w:bCs/>
          <w:sz w:val="24"/>
        </w:rPr>
        <w:t xml:space="preserve">天交货期限，</w:t>
      </w:r>
      <w:r>
        <w:rPr>
          <w:rFonts w:hint="eastAsia" w:ascii="宋体" w:hAnsi="宋体" w:cs="宋体"/>
          <w:sz w:val="24"/>
        </w:rPr>
        <w:t xml:space="preserve">卖方每天应按合同标的金额的百分之五 (5%)的比率支付违约金。</w:t>
      </w:r>
      <w:r/>
    </w:p>
    <w:p>
      <w:pPr>
        <w:ind w:firstLine="540"/>
        <w:spacing w:line="360" w:lineRule="auto"/>
        <w:rPr>
          <w:rFonts w:ascii="宋体" w:hAnsi="宋体" w:cs="宋体"/>
          <w:b/>
          <w:bCs/>
          <w:sz w:val="24"/>
        </w:rPr>
      </w:pPr>
      <w:r>
        <w:rPr>
          <w:rFonts w:hint="eastAsia" w:ascii="宋体" w:hAnsi="宋体" w:cs="宋体"/>
          <w:b/>
          <w:bCs/>
          <w:sz w:val="24"/>
        </w:rPr>
        <w:t xml:space="preserve">第十条 索赔</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A. 卖方替换不符合合同规定的合同标的。</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 按质量低劣的程度、买方受损害的程度及损失的数额对合同标的进行降价。</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C. 拒收合同标的。</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D. 赔偿由卖方违约引起的其他损失。</w:t>
      </w:r>
      <w:r/>
    </w:p>
    <w:p>
      <w:pPr>
        <w:ind w:firstLine="5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40"/>
        <w:spacing w:line="360" w:lineRule="auto"/>
        <w:rPr>
          <w:rFonts w:ascii="宋体" w:hAnsi="宋体" w:cs="宋体"/>
          <w:b/>
          <w:bCs/>
          <w:sz w:val="24"/>
        </w:rPr>
      </w:pPr>
      <w:r>
        <w:rPr>
          <w:rFonts w:hint="eastAsia" w:ascii="宋体" w:hAnsi="宋体" w:cs="宋体"/>
          <w:b/>
          <w:bCs/>
          <w:sz w:val="24"/>
        </w:rPr>
        <w:t xml:space="preserve">第十一条 不可抗力</w:t>
      </w:r>
      <w:r/>
    </w:p>
    <w:p>
      <w:pPr>
        <w:ind w:firstLine="540"/>
        <w:spacing w:line="360" w:lineRule="auto"/>
        <w:rPr>
          <w:rFonts w:ascii="宋体" w:hAnsi="宋体" w:cs="宋体"/>
          <w:sz w:val="24"/>
        </w:rPr>
      </w:pPr>
      <w:r>
        <w:rPr>
          <w:rFonts w:hint="eastAsia" w:ascii="宋体" w:hAnsi="宋体" w:cs="宋体"/>
          <w:sz w:val="24"/>
        </w:rPr>
        <w:t xml:space="preserve">11.1 如果不可抗力事件的影响持续超过20日，合同任何一方均有权发出书面通知终止合同。</w:t>
      </w:r>
      <w:r/>
    </w:p>
    <w:p>
      <w:pPr>
        <w:ind w:firstLine="540"/>
        <w:spacing w:line="360" w:lineRule="auto"/>
        <w:rPr>
          <w:rFonts w:ascii="宋体" w:hAnsi="宋体" w:cs="宋体"/>
          <w:b/>
          <w:bCs/>
          <w:sz w:val="24"/>
        </w:rPr>
      </w:pPr>
      <w:r>
        <w:rPr>
          <w:rFonts w:hint="eastAsia" w:ascii="宋体" w:hAnsi="宋体" w:cs="宋体"/>
          <w:b/>
          <w:bCs/>
          <w:sz w:val="24"/>
        </w:rPr>
        <w:t xml:space="preserve">第十二条 合同的终止</w:t>
      </w:r>
      <w:r/>
    </w:p>
    <w:p>
      <w:pPr>
        <w:ind w:firstLine="540"/>
        <w:spacing w:line="360" w:lineRule="auto"/>
        <w:rPr>
          <w:rFonts w:ascii="宋体" w:hAnsi="宋体" w:cs="宋体"/>
          <w:sz w:val="24"/>
        </w:rPr>
      </w:pPr>
      <w:r>
        <w:rPr>
          <w:rFonts w:hint="eastAsia" w:ascii="宋体" w:hAnsi="宋体" w:cs="宋体"/>
          <w:sz w:val="24"/>
        </w:rPr>
        <w:t xml:space="preserve">12.1如果卖方有下述违约行为，买方可以全部或部分地终止合同：</w:t>
      </w:r>
      <w:r/>
    </w:p>
    <w:p>
      <w:pPr>
        <w:ind w:firstLine="540"/>
        <w:spacing w:line="360" w:lineRule="auto"/>
        <w:rPr>
          <w:rFonts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w:t>
      </w:r>
      <w:r>
        <w:rPr>
          <w:rFonts w:hint="eastAsia" w:ascii="宋体" w:hAnsi="宋体" w:cs="宋体"/>
          <w:sz w:val="24"/>
        </w:rPr>
        <w:t xml:space="preserve">日内仍未能交付合同标的和技术资料；或者卖方未能履行合同项下任何其它义务，并且在收到买方违约通知后</w:t>
      </w:r>
      <w:r>
        <w:rPr>
          <w:rFonts w:hint="eastAsia" w:ascii="宋体" w:hAnsi="宋体" w:cs="宋体"/>
          <w:sz w:val="24"/>
          <w:u w:val="single"/>
        </w:rPr>
        <w:t xml:space="preserve">1</w:t>
      </w:r>
      <w:r>
        <w:rPr>
          <w:rFonts w:hint="eastAsia" w:ascii="宋体" w:hAnsi="宋体" w:cs="宋体"/>
          <w:sz w:val="24"/>
        </w:rPr>
        <w:t xml:space="preserve">日内仍未能对其违约行为作出补救。</w:t>
      </w:r>
      <w:r/>
    </w:p>
    <w:p>
      <w:pPr>
        <w:ind w:firstLine="540"/>
        <w:spacing w:line="360" w:lineRule="auto"/>
        <w:rPr>
          <w:rFonts w:ascii="宋体" w:hAnsi="宋体" w:cs="宋体"/>
          <w:sz w:val="24"/>
        </w:rPr>
      </w:pPr>
      <w:r>
        <w:rPr>
          <w:rFonts w:hint="eastAsia" w:ascii="宋体" w:hAnsi="宋体" w:cs="宋体"/>
          <w:sz w:val="24"/>
        </w:rPr>
        <w:t xml:space="preserve">12.2 在买方全部或部分终止合同的情况下，买方可以以适当的条件取得与未按合同规定交付的标的、文件和服务，卖方应承担买方由此发生的额外费用。但是，卖方仍应继续履行合同义务中没有终止的部分。</w:t>
      </w:r>
      <w:r/>
    </w:p>
    <w:p>
      <w:pPr>
        <w:ind w:firstLine="540"/>
        <w:spacing w:line="360" w:lineRule="auto"/>
        <w:rPr>
          <w:rFonts w:ascii="宋体" w:hAnsi="宋体" w:cs="宋体"/>
          <w:b/>
          <w:bCs/>
          <w:sz w:val="24"/>
        </w:rPr>
      </w:pPr>
      <w:r>
        <w:rPr>
          <w:rFonts w:hint="eastAsia" w:ascii="宋体" w:hAnsi="宋体" w:cs="宋体"/>
          <w:b/>
          <w:bCs/>
          <w:sz w:val="24"/>
        </w:rPr>
        <w:t xml:space="preserve">第十三条 争议的解决</w:t>
      </w:r>
      <w:r/>
    </w:p>
    <w:p>
      <w:pPr>
        <w:ind w:firstLine="540"/>
        <w:spacing w:line="360" w:lineRule="auto"/>
        <w:rPr>
          <w:rFonts w:ascii="宋体" w:hAnsi="宋体" w:cs="宋体"/>
          <w:sz w:val="24"/>
        </w:rPr>
      </w:pPr>
      <w:r>
        <w:rPr>
          <w:rFonts w:hint="eastAsia" w:ascii="宋体" w:hAnsi="宋体" w:cs="宋体"/>
          <w:sz w:val="24"/>
        </w:rPr>
        <w:t xml:space="preserve">13.1如果不能协商一致，合同任何一方有权向买方所在地人民法院提起诉讼。</w:t>
      </w:r>
      <w:r/>
    </w:p>
    <w:p>
      <w:pPr>
        <w:ind w:firstLine="540"/>
        <w:spacing w:line="360" w:lineRule="auto"/>
        <w:rPr>
          <w:rFonts w:ascii="宋体" w:hAnsi="宋体" w:cs="宋体"/>
          <w:sz w:val="24"/>
        </w:rPr>
      </w:pPr>
      <w:r>
        <w:rPr>
          <w:rFonts w:hint="eastAsia" w:ascii="宋体" w:hAnsi="宋体" w:cs="宋体"/>
          <w:sz w:val="24"/>
        </w:rPr>
        <w:t xml:space="preserve">13.2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一切费用。</w:t>
      </w:r>
      <w:r/>
    </w:p>
    <w:p>
      <w:pPr>
        <w:ind w:firstLine="540"/>
        <w:spacing w:line="360" w:lineRule="auto"/>
        <w:rPr>
          <w:rFonts w:ascii="宋体" w:hAnsi="宋体" w:cs="宋体"/>
          <w:b/>
          <w:bCs/>
          <w:sz w:val="24"/>
        </w:rPr>
      </w:pPr>
      <w:r>
        <w:rPr>
          <w:rFonts w:hint="eastAsia" w:ascii="宋体" w:hAnsi="宋体" w:cs="宋体"/>
          <w:b/>
          <w:bCs/>
          <w:sz w:val="24"/>
        </w:rPr>
        <w:t xml:space="preserve">第十四条 合同生效及其他</w:t>
      </w:r>
      <w:r/>
    </w:p>
    <w:p>
      <w:pPr>
        <w:ind w:firstLine="540"/>
        <w:spacing w:line="360" w:lineRule="auto"/>
        <w:rPr>
          <w:rFonts w:ascii="宋体" w:hAnsi="宋体" w:cs="宋体"/>
          <w:sz w:val="24"/>
        </w:rPr>
      </w:pPr>
      <w:r>
        <w:rPr>
          <w:rFonts w:hint="eastAsia" w:ascii="宋体" w:hAnsi="宋体" w:cs="宋体"/>
          <w:sz w:val="24"/>
        </w:rPr>
        <w:t xml:space="preserve">14.1 按照《财政部关于做好政府采购信息公开工作的通知》（财库〔2015〕135号），买方依据《保守国家秘密法》等法律制度规定确定本合同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部分涉及国家秘密，该涉及国家秘密部分不公告；买方依据《反不正当竞争法》等法律制度的规定与卖方约定本合同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ind w:firstLine="540"/>
        <w:spacing w:line="360" w:lineRule="auto"/>
        <w:rPr>
          <w:rFonts w:ascii="宋体" w:hAnsi="宋体" w:cs="宋体"/>
          <w:sz w:val="24"/>
        </w:rPr>
      </w:pPr>
      <w:r>
        <w:rPr>
          <w:rFonts w:hint="eastAsia" w:ascii="宋体" w:hAnsi="宋体" w:cs="宋体"/>
          <w:sz w:val="24"/>
        </w:rPr>
        <w:t xml:space="preserve">14.2 合同双方的通讯地址： </w:t>
      </w:r>
      <w:r/>
    </w:p>
    <w:p>
      <w:pPr>
        <w:ind w:firstLine="540"/>
        <w:spacing w:line="360" w:lineRule="auto"/>
        <w:rPr>
          <w:rFonts w:ascii="宋体" w:hAnsi="宋体" w:cs="宋体"/>
          <w:sz w:val="24"/>
        </w:rPr>
      </w:pPr>
      <w:r>
        <w:rPr>
          <w:rFonts w:hint="eastAsia" w:ascii="宋体" w:hAnsi="宋体" w:cs="宋体"/>
          <w:sz w:val="24"/>
        </w:rPr>
        <w:t xml:space="preserve">买方:</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24"/>
        </w:rPr>
      </w:pPr>
      <w:r>
        <w:rPr>
          <w:rFonts w:hint="eastAsia" w:ascii="宋体" w:hAnsi="宋体" w:cs="宋体"/>
          <w:sz w:val="24"/>
        </w:rPr>
        <w:t xml:space="preserve">电话: </w:t>
      </w:r>
      <w:r/>
    </w:p>
    <w:p>
      <w:pPr>
        <w:ind w:firstLine="540"/>
        <w:spacing w:line="360" w:lineRule="auto"/>
        <w:rPr>
          <w:rFonts w:ascii="宋体" w:hAnsi="宋体" w:cs="宋体"/>
          <w:sz w:val="24"/>
        </w:rPr>
      </w:pPr>
      <w:r>
        <w:rPr>
          <w:rFonts w:ascii="宋体" w:hAnsi="宋体" w:cs="宋体"/>
          <w:sz w:val="24"/>
        </w:rPr>
      </w:r>
      <w:r/>
    </w:p>
    <w:p>
      <w:pPr>
        <w:ind w:firstLine="540"/>
        <w:spacing w:line="360" w:lineRule="auto"/>
        <w:rPr>
          <w:rFonts w:ascii="宋体" w:hAnsi="宋体" w:cs="宋体"/>
          <w:sz w:val="24"/>
        </w:rPr>
      </w:pPr>
      <w:r>
        <w:rPr>
          <w:rFonts w:hint="eastAsia" w:ascii="宋体" w:hAnsi="宋体" w:cs="宋体"/>
          <w:sz w:val="24"/>
        </w:rPr>
        <w:t xml:space="preserve">卖方: </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30"/>
          <w:szCs w:val="30"/>
        </w:rPr>
      </w:pPr>
      <w:r>
        <w:rPr>
          <w:rFonts w:hint="eastAsia" w:ascii="宋体" w:hAnsi="宋体" w:cs="宋体"/>
          <w:sz w:val="24"/>
        </w:rPr>
        <w:t xml:space="preserve">电话: </w:t>
      </w:r>
      <w:r>
        <w:rPr>
          <w:rFonts w:hint="eastAsia" w:ascii="宋体" w:hAnsi="宋体" w:cs="宋体"/>
          <w:sz w:val="24"/>
        </w:rPr>
        <w:br w:type="page" w:clear="all"/>
      </w:r>
      <w:r>
        <w:rPr>
          <w:rFonts w:hint="eastAsia" w:ascii="宋体" w:hAnsi="宋体" w:cs="宋体"/>
          <w:b/>
          <w:bCs/>
          <w:sz w:val="30"/>
          <w:szCs w:val="30"/>
        </w:rPr>
        <w:t xml:space="preserve">合同附件</w:t>
      </w:r>
      <w:r/>
    </w:p>
    <w:p>
      <w:pPr>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合同附件1：合同协议书</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合同附件2：技术规格和技术性能</w:t>
      </w:r>
      <w:r/>
    </w:p>
    <w:p>
      <w:pPr>
        <w:spacing w:line="360" w:lineRule="auto"/>
        <w:rPr>
          <w:rFonts w:ascii="宋体" w:hAnsi="宋体" w:cs="宋体"/>
          <w:sz w:val="24"/>
        </w:rPr>
      </w:pPr>
      <w:r>
        <w:rPr>
          <w:rFonts w:hint="eastAsia" w:ascii="宋体" w:hAnsi="宋体" w:cs="宋体"/>
          <w:sz w:val="24"/>
        </w:rPr>
        <w:t xml:space="preserve">(要求见招标文件第六章《采购需求》；</w:t>
      </w:r>
      <w:r>
        <w:rPr>
          <w:rFonts w:hint="eastAsia" w:ascii="宋体" w:hAnsi="宋体" w:cs="宋体"/>
          <w:b/>
          <w:bCs/>
          <w:sz w:val="24"/>
        </w:rPr>
        <w:t xml:space="preserve">合同见卖方响应文件)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合同附件3：供货范围和价格清单</w:t>
      </w:r>
      <w:r/>
    </w:p>
    <w:p>
      <w:pPr>
        <w:spacing w:line="360" w:lineRule="auto"/>
        <w:rPr>
          <w:rFonts w:ascii="宋体" w:hAnsi="宋体" w:cs="宋体"/>
          <w:sz w:val="24"/>
        </w:rPr>
      </w:pPr>
      <w:r>
        <w:rPr>
          <w:rFonts w:hint="eastAsia" w:ascii="宋体" w:hAnsi="宋体" w:cs="宋体"/>
          <w:sz w:val="24"/>
        </w:rPr>
        <w:t xml:space="preserve">(要求见招标文件附件中《招标报价表》和《分项价格表》；合同见卖方响应文件中《招标报价表》和《分项价格表》。)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合同附件4：采购需求</w:t>
      </w:r>
      <w:r/>
    </w:p>
    <w:p>
      <w:pPr>
        <w:spacing w:line="360" w:lineRule="auto"/>
        <w:rPr>
          <w:rFonts w:ascii="宋体" w:hAnsi="宋体" w:cs="宋体"/>
          <w:sz w:val="24"/>
        </w:rPr>
      </w:pPr>
      <w:r>
        <w:rPr>
          <w:rFonts w:hint="eastAsia" w:ascii="宋体" w:hAnsi="宋体" w:cs="宋体"/>
          <w:sz w:val="24"/>
        </w:rPr>
        <w:t xml:space="preserve">(见招标文件附件《采购需求》。)</w:t>
      </w:r>
      <w:r/>
    </w:p>
    <w:p>
      <w:pPr>
        <w:rPr>
          <w:rFonts w:ascii="宋体" w:hAnsi="宋体" w:cs="宋体"/>
          <w:sz w:val="24"/>
        </w:rPr>
      </w:pPr>
      <w:r>
        <w:rPr>
          <w:rFonts w:ascii="宋体" w:hAnsi="宋体" w:cs="宋体"/>
          <w:sz w:val="24"/>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合同附件1：</w:t>
      </w:r>
      <w:r/>
    </w:p>
    <w:p>
      <w:pPr>
        <w:jc w:val="center"/>
        <w:rPr>
          <w:rFonts w:ascii="宋体" w:hAnsi="宋体" w:cs="宋体"/>
          <w:b/>
          <w:bCs/>
          <w:sz w:val="28"/>
          <w:szCs w:val="28"/>
        </w:rPr>
      </w:pPr>
      <w:r>
        <w:rPr>
          <w:rFonts w:hint="eastAsia" w:ascii="宋体" w:hAnsi="宋体" w:cs="宋体"/>
          <w:b/>
          <w:bCs/>
          <w:sz w:val="28"/>
          <w:szCs w:val="28"/>
        </w:rPr>
        <w:t xml:space="preserve">合同协议书</w:t>
      </w:r>
      <w:r/>
    </w:p>
    <w:p>
      <w:pPr>
        <w:jc w:val="right"/>
        <w:spacing w:line="360" w:lineRule="auto"/>
        <w:rPr>
          <w:rFonts w:ascii="宋体" w:hAnsi="宋体" w:cs="宋体"/>
          <w:sz w:val="24"/>
        </w:rPr>
      </w:pPr>
      <w:r>
        <w:rPr>
          <w:rFonts w:hint="eastAsia" w:ascii="宋体" w:hAnsi="宋体" w:cs="宋体"/>
          <w:sz w:val="24"/>
        </w:rPr>
        <w:t xml:space="preserve">合同编号:____________ </w:t>
      </w:r>
      <w:r/>
    </w:p>
    <w:p>
      <w:pPr>
        <w:jc w:val="right"/>
        <w:spacing w:line="360" w:lineRule="auto"/>
        <w:rPr>
          <w:rFonts w:ascii="宋体" w:hAnsi="宋体" w:cs="宋体"/>
          <w:sz w:val="24"/>
        </w:rPr>
      </w:pPr>
      <w:r>
        <w:rPr>
          <w:rFonts w:hint="eastAsia" w:ascii="宋体" w:hAnsi="宋体" w:cs="宋体"/>
          <w:sz w:val="24"/>
        </w:rPr>
        <w:t xml:space="preserve">签字日期:____________ </w:t>
      </w:r>
      <w:r/>
    </w:p>
    <w:p>
      <w:pPr>
        <w:jc w:val="right"/>
        <w:spacing w:line="360" w:lineRule="auto"/>
        <w:rPr>
          <w:rFonts w:ascii="宋体" w:hAnsi="宋体" w:cs="宋体"/>
          <w:sz w:val="24"/>
        </w:rPr>
      </w:pPr>
      <w:r>
        <w:rPr>
          <w:rFonts w:hint="eastAsia" w:ascii="宋体" w:hAnsi="宋体" w:cs="宋体"/>
          <w:sz w:val="24"/>
        </w:rPr>
        <w:t xml:space="preserve">签字地点:____________ </w:t>
      </w:r>
      <w:r/>
    </w:p>
    <w:p>
      <w:pPr>
        <w:ind w:firstLine="410"/>
        <w:spacing w:line="288" w:lineRule="auto"/>
        <w:rPr>
          <w:rFonts w:ascii="宋体" w:hAnsi="宋体" w:cs="宋体"/>
          <w:sz w:val="24"/>
        </w:rPr>
      </w:pPr>
      <w:r>
        <w:rPr>
          <w:rFonts w:ascii="宋体" w:hAnsi="宋体" w:cs="宋体"/>
          <w:sz w:val="24"/>
        </w:rPr>
      </w:r>
      <w:r/>
    </w:p>
    <w:p>
      <w:pPr>
        <w:ind w:firstLine="359"/>
        <w:spacing w:line="288" w:lineRule="auto"/>
        <w:rPr>
          <w:rFonts w:ascii="宋体" w:hAnsi="宋体" w:cs="宋体"/>
          <w:sz w:val="24"/>
        </w:rPr>
      </w:pPr>
      <w:r>
        <w:rPr>
          <w:rFonts w:hint="eastAsia" w:ascii="宋体" w:hAnsi="宋体" w:cs="宋体"/>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（买方名称）（以下简称“买方”）已接受</w:t>
      </w:r>
      <w:r>
        <w:rPr>
          <w:rFonts w:hint="eastAsia" w:ascii="宋体" w:hAnsi="宋体" w:cs="宋体"/>
          <w:szCs w:val="21"/>
          <w:u w:val="single"/>
        </w:rPr>
        <w:t xml:space="preserve">        </w:t>
      </w:r>
      <w:r>
        <w:rPr>
          <w:rFonts w:hint="eastAsia" w:ascii="宋体" w:hAnsi="宋体" w:cs="宋体"/>
          <w:sz w:val="24"/>
        </w:rPr>
        <w:t xml:space="preserve">（卖方名称）（以下简称“卖方”）对</w:t>
      </w:r>
      <w:r>
        <w:rPr>
          <w:rFonts w:hint="eastAsia" w:ascii="宋体" w:hAnsi="宋体" w:cs="宋体"/>
          <w:szCs w:val="21"/>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1"/>
        </w:numPr>
        <w:spacing w:line="288" w:lineRule="auto"/>
        <w:rPr>
          <w:rFonts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spacing w:line="288" w:lineRule="auto"/>
        <w:rPr>
          <w:rFonts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spacing w:line="288" w:lineRule="auto"/>
        <w:rPr>
          <w:rFonts w:ascii="宋体" w:hAnsi="宋体" w:cs="宋体"/>
          <w:sz w:val="24"/>
        </w:rPr>
      </w:pPr>
      <w:r>
        <w:rPr>
          <w:rFonts w:hint="eastAsia" w:ascii="宋体" w:hAnsi="宋体" w:cs="宋体"/>
          <w:sz w:val="24"/>
        </w:rPr>
        <w:t xml:space="preserve">(1) 合同协议书</w:t>
      </w:r>
      <w:r/>
    </w:p>
    <w:p>
      <w:pPr>
        <w:ind w:left="420"/>
        <w:spacing w:line="288" w:lineRule="auto"/>
        <w:rPr>
          <w:rFonts w:ascii="宋体" w:hAnsi="宋体" w:cs="宋体"/>
          <w:sz w:val="24"/>
        </w:rPr>
      </w:pPr>
      <w:r>
        <w:rPr>
          <w:rFonts w:hint="eastAsia" w:ascii="宋体" w:hAnsi="宋体" w:cs="宋体"/>
          <w:sz w:val="24"/>
        </w:rPr>
        <w:t xml:space="preserve">(2) 中标通知书</w:t>
      </w:r>
      <w:r/>
    </w:p>
    <w:p>
      <w:pPr>
        <w:ind w:left="420"/>
        <w:spacing w:line="288" w:lineRule="auto"/>
        <w:rPr>
          <w:rFonts w:ascii="宋体" w:hAnsi="宋体" w:cs="宋体"/>
          <w:sz w:val="24"/>
        </w:rPr>
      </w:pPr>
      <w:r>
        <w:rPr>
          <w:rFonts w:hint="eastAsia" w:ascii="宋体" w:hAnsi="宋体" w:cs="宋体"/>
          <w:sz w:val="24"/>
        </w:rPr>
        <w:t xml:space="preserve">(3) 合同专用条款</w:t>
      </w:r>
      <w:r/>
    </w:p>
    <w:p>
      <w:pPr>
        <w:ind w:left="420"/>
        <w:spacing w:line="288" w:lineRule="auto"/>
        <w:rPr>
          <w:rFonts w:ascii="宋体" w:hAnsi="宋体" w:cs="宋体"/>
          <w:sz w:val="24"/>
        </w:rPr>
      </w:pPr>
      <w:r>
        <w:rPr>
          <w:rFonts w:hint="eastAsia" w:ascii="宋体" w:hAnsi="宋体" w:cs="宋体"/>
          <w:sz w:val="24"/>
        </w:rPr>
        <w:t xml:space="preserve">(4) 合同通用条款</w:t>
      </w:r>
      <w:r/>
    </w:p>
    <w:p>
      <w:pPr>
        <w:ind w:left="420"/>
        <w:spacing w:line="288" w:lineRule="auto"/>
        <w:rPr>
          <w:rFonts w:ascii="宋体" w:hAnsi="宋体" w:cs="宋体"/>
          <w:sz w:val="24"/>
        </w:rPr>
      </w:pPr>
      <w:r>
        <w:rPr>
          <w:rFonts w:hint="eastAsia" w:ascii="宋体" w:hAnsi="宋体" w:cs="宋体"/>
          <w:sz w:val="24"/>
        </w:rPr>
        <w:t xml:space="preserve">(5) 除合同附件1外的合同附件</w:t>
      </w:r>
      <w:r/>
    </w:p>
    <w:p>
      <w:pPr>
        <w:ind w:left="420"/>
        <w:spacing w:line="288" w:lineRule="auto"/>
        <w:rPr>
          <w:rFonts w:ascii="宋体" w:hAnsi="宋体" w:cs="宋体"/>
          <w:sz w:val="24"/>
        </w:rPr>
      </w:pPr>
      <w:r>
        <w:rPr>
          <w:rFonts w:hint="eastAsia" w:ascii="宋体" w:hAnsi="宋体" w:cs="宋体"/>
          <w:sz w:val="24"/>
        </w:rPr>
        <w:t xml:space="preserve">(6) 其他文件</w:t>
      </w:r>
      <w:r/>
    </w:p>
    <w:p>
      <w:pPr>
        <w:ind w:firstLine="540"/>
        <w:spacing w:line="288" w:lineRule="auto"/>
        <w:rPr>
          <w:rFonts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rPr>
      </w:pPr>
      <w:r>
        <w:rPr>
          <w:rFonts w:hint="eastAsia" w:ascii="宋体" w:hAnsi="宋体" w:cs="宋体"/>
          <w:sz w:val="24"/>
        </w:rPr>
        <w:t xml:space="preserve">5. 本合同在下列条件全部满足后生效，生效日期以下列条件全部满足的最晚日期为准： </w:t>
      </w:r>
      <w:r/>
    </w:p>
    <w:p>
      <w:pPr>
        <w:ind w:firstLine="480"/>
        <w:spacing w:line="288" w:lineRule="auto"/>
        <w:rPr>
          <w:rFonts w:ascii="宋体" w:hAnsi="宋体" w:cs="宋体"/>
          <w:sz w:val="24"/>
        </w:rPr>
      </w:pPr>
      <w:r>
        <w:rPr>
          <w:rFonts w:hint="eastAsia" w:ascii="宋体" w:hAnsi="宋体" w:cs="宋体"/>
          <w:sz w:val="24"/>
        </w:rPr>
        <w:t xml:space="preserve">(1) 双方加盖公章或合同专用章； </w:t>
      </w:r>
      <w:r/>
    </w:p>
    <w:p>
      <w:pPr>
        <w:ind w:firstLine="480"/>
        <w:spacing w:line="288" w:lineRule="auto"/>
        <w:rPr>
          <w:rFonts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480"/>
        <w:spacing w:line="288" w:lineRule="auto"/>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u w:val="single"/>
        </w:rPr>
        <w:t xml:space="preserve">            </w:t>
      </w:r>
      <w:r>
        <w:rPr>
          <w:rFonts w:hint="eastAsia" w:ascii="宋体" w:hAnsi="宋体" w:cs="宋体"/>
          <w:sz w:val="24"/>
        </w:rPr>
        <w:t xml:space="preserve">]为准。</w:t>
      </w:r>
      <w:r/>
    </w:p>
    <w:p>
      <w:pPr>
        <w:ind w:firstLine="360"/>
        <w:spacing w:line="288" w:lineRule="auto"/>
        <w:rPr>
          <w:rFonts w:ascii="宋体" w:hAnsi="宋体" w:cs="宋体"/>
          <w:sz w:val="24"/>
        </w:rPr>
      </w:pPr>
      <w:r>
        <w:rPr>
          <w:rFonts w:ascii="宋体" w:hAnsi="宋体" w:cs="宋体"/>
          <w:sz w:val="24"/>
        </w:rPr>
      </w:r>
      <w:r/>
    </w:p>
    <w:p>
      <w:pPr>
        <w:ind w:firstLine="360"/>
        <w:spacing w:line="288" w:lineRule="auto"/>
        <w:rPr>
          <w:rFonts w:ascii="宋体" w:hAnsi="宋体" w:cs="宋体"/>
          <w:sz w:val="24"/>
        </w:rPr>
      </w:pPr>
      <w:r>
        <w:rPr>
          <w:rFonts w:hint="eastAsia" w:ascii="宋体" w:hAnsi="宋体" w:cs="宋体"/>
          <w:sz w:val="24"/>
        </w:rPr>
        <w:t xml:space="preserve">买方和卖方由其正式授权代表于上述所写日期和地点签订本合同。</w:t>
      </w:r>
      <w:r/>
    </w:p>
    <w:p>
      <w:pPr>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买方（签章）：____________________________________  </w:t>
      </w:r>
      <w:r/>
    </w:p>
    <w:p>
      <w:pPr>
        <w:spacing w:line="288" w:lineRule="auto"/>
        <w:rPr>
          <w:rFonts w:ascii="宋体" w:hAnsi="宋体" w:cs="宋体"/>
          <w:sz w:val="24"/>
        </w:rPr>
      </w:pPr>
      <w:r>
        <w:rPr>
          <w:rFonts w:hint="eastAsia" w:ascii="宋体" w:hAnsi="宋体" w:cs="宋体"/>
          <w:sz w:val="24"/>
        </w:rPr>
        <w:t xml:space="preserve">法定代表人或授权代表(签名)： ____________________ </w:t>
      </w:r>
      <w:r/>
    </w:p>
    <w:p>
      <w:pPr>
        <w:ind w:firstLine="3360"/>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卖方（签章）： ____________________________________ </w:t>
      </w:r>
      <w:r/>
    </w:p>
    <w:p>
      <w:pPr>
        <w:pStyle w:val="921"/>
        <w:ind w:firstLine="480"/>
        <w:spacing w:line="360" w:lineRule="auto"/>
        <w:rPr>
          <w:rFonts w:ascii="宋体" w:hAnsi="宋体" w:cs="宋体"/>
          <w:color w:val="000000"/>
          <w:sz w:val="24"/>
        </w:rPr>
      </w:pPr>
      <w:r>
        <w:rPr>
          <w:rFonts w:hint="eastAsia" w:ascii="宋体" w:hAnsi="宋体" w:cs="宋体"/>
          <w:sz w:val="24"/>
        </w:rPr>
        <w:t xml:space="preserve">法定代表人或授权代表(签名)： ___________________</w:t>
      </w:r>
      <w:r>
        <w:rPr>
          <w:rFonts w:hint="eastAsia" w:ascii="宋体" w:hAnsi="宋体" w:cs="宋体"/>
          <w:color w:val="000000"/>
          <w:sz w:val="24"/>
        </w:rPr>
        <w:t xml:space="preserve">              </w:t>
      </w:r>
      <w:bookmarkEnd w:id="12"/>
      <w:r/>
      <w:bookmarkEnd w:id="13"/>
      <w:r/>
      <w:r/>
    </w:p>
    <w:p>
      <w:pPr>
        <w:pStyle w:val="921"/>
        <w:ind w:firstLine="480"/>
        <w:spacing w:line="360" w:lineRule="auto"/>
        <w:rPr>
          <w:rFonts w:ascii="宋体" w:hAnsi="宋体" w:cs="宋体"/>
          <w:color w:val="000000"/>
          <w:sz w:val="24"/>
        </w:rPr>
      </w:pPr>
      <w:r>
        <w:rPr>
          <w:rFonts w:ascii="宋体" w:hAnsi="宋体" w:cs="宋体"/>
          <w:color w:val="000000"/>
          <w:sz w:val="24"/>
        </w:rPr>
      </w:r>
      <w:r/>
    </w:p>
    <w:p>
      <w:pPr>
        <w:pStyle w:val="921"/>
        <w:rPr>
          <w:rFonts w:ascii="宋体" w:hAnsi="宋体" w:cs="宋体"/>
          <w:color w:val="000000"/>
          <w:sz w:val="24"/>
        </w:rPr>
      </w:pPr>
      <w:r>
        <w:rPr>
          <w:rFonts w:ascii="宋体" w:hAnsi="宋体" w:cs="宋体"/>
          <w:color w:val="000000"/>
          <w:sz w:val="24"/>
        </w:rPr>
      </w:r>
      <w:r/>
    </w:p>
    <w:p>
      <w:pPr>
        <w:pStyle w:val="921"/>
        <w:jc w:val="center"/>
        <w:spacing w:line="360" w:lineRule="auto"/>
        <w:widowControl/>
        <w:rPr>
          <w:rFonts w:ascii="宋体" w:hAnsi="宋体" w:cs="宋体"/>
          <w:b/>
          <w:bCs/>
          <w:sz w:val="28"/>
          <w:szCs w:val="28"/>
        </w:rPr>
      </w:pPr>
      <w:r>
        <w:rPr>
          <w:rFonts w:hint="eastAsia" w:ascii="宋体" w:hAnsi="宋体" w:cs="宋体"/>
          <w:b/>
          <w:bCs/>
          <w:sz w:val="28"/>
          <w:szCs w:val="28"/>
        </w:rPr>
        <w:t xml:space="preserve">第六章  采 购 需 求</w:t>
      </w:r>
      <w:r/>
    </w:p>
    <w:p>
      <w:pPr>
        <w:spacing w:line="360" w:lineRule="auto"/>
        <w:rPr>
          <w:rFonts w:ascii="宋体" w:hAnsi="宋体" w:cs="宋体"/>
          <w:b/>
          <w:sz w:val="24"/>
          <w:szCs w:val="21"/>
        </w:rPr>
      </w:pPr>
      <w:r>
        <w:rPr>
          <w:rFonts w:hint="eastAsia" w:ascii="宋体" w:hAnsi="宋体" w:cs="宋体"/>
          <w:b/>
          <w:sz w:val="24"/>
          <w:szCs w:val="21"/>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ascii="宋体" w:hAnsi="宋体" w:cs="宋体"/>
          <w:b/>
          <w:sz w:val="24"/>
          <w:szCs w:val="21"/>
        </w:rPr>
      </w:pPr>
      <w:r>
        <w:rPr>
          <w:rFonts w:hint="eastAsia" w:ascii="宋体" w:hAnsi="宋体" w:cs="宋体"/>
          <w:b/>
          <w:sz w:val="24"/>
          <w:szCs w:val="21"/>
        </w:rPr>
        <w:t xml:space="preserve">二、采购预算 </w:t>
      </w:r>
      <w:r/>
    </w:p>
    <w:p>
      <w:pPr>
        <w:ind w:firstLine="480"/>
        <w:spacing w:line="360" w:lineRule="auto"/>
        <w:rPr>
          <w:rFonts w:ascii="宋体" w:hAnsi="宋体" w:cs="宋体"/>
          <w:b/>
          <w:bCs/>
          <w:sz w:val="24"/>
          <w:szCs w:val="21"/>
        </w:rPr>
      </w:pPr>
      <w:r>
        <w:rPr>
          <w:rFonts w:hint="eastAsia" w:ascii="宋体" w:hAnsi="宋体" w:cs="宋体"/>
          <w:b/>
          <w:bCs/>
          <w:sz w:val="24"/>
          <w:szCs w:val="21"/>
        </w:rPr>
        <w:t xml:space="preserve">本项目采购预算总金额为260万元。本次采购项目以单价报价，不设具体数量，不接受超过采购金额及单价最高限价的投标报价。</w:t>
      </w:r>
      <w:r/>
    </w:p>
    <w:p>
      <w:pPr>
        <w:ind w:firstLine="480"/>
        <w:spacing w:line="360" w:lineRule="auto"/>
        <w:rPr>
          <w:rFonts w:ascii="宋体" w:hAnsi="宋体" w:cs="宋体"/>
          <w:sz w:val="24"/>
          <w:szCs w:val="21"/>
        </w:rPr>
      </w:pPr>
      <w:r>
        <w:rPr>
          <w:rFonts w:hint="eastAsia" w:ascii="宋体" w:hAnsi="宋体" w:cs="宋体"/>
          <w:b/>
          <w:bCs/>
          <w:sz w:val="24"/>
          <w:szCs w:val="21"/>
        </w:rPr>
        <w:t xml:space="preserve">报价包括产品价、税金、运费、检验、保险、分发、售后服务、供应商的利润、社会代理机构代理费（因代理费金额需通过中介超市网上竞价产生，采购人在制定实施方案时未单独列代理费）等全部费用。供应商应充分了解该项目的总体情况、各类市场风险以及影响投标报价的其他要素风险。采购人不再支付报价以外的任何费用</w:t>
      </w:r>
      <w:r>
        <w:rPr>
          <w:rFonts w:hint="eastAsia" w:ascii="宋体" w:hAnsi="宋体" w:cs="宋体"/>
          <w:sz w:val="24"/>
          <w:szCs w:val="21"/>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预算金额：260.00万元（采购包1：150.00万元、采购包2：110.00万元）。</w:t>
      </w:r>
      <w:r/>
    </w:p>
    <w:p>
      <w:pPr>
        <w:ind w:firstLine="480"/>
        <w:spacing w:line="360" w:lineRule="auto"/>
        <w:rPr>
          <w:rFonts w:ascii="宋体" w:hAnsi="宋体" w:cs="宋体"/>
          <w:sz w:val="24"/>
          <w:szCs w:val="24"/>
        </w:rPr>
      </w:pPr>
      <w:r>
        <w:rPr>
          <w:rFonts w:hint="eastAsia" w:ascii="宋体" w:hAnsi="宋体" w:cs="宋体"/>
          <w:sz w:val="24"/>
          <w:szCs w:val="24"/>
        </w:rPr>
        <w:t xml:space="preserve">采购包1：150.00万元</w:t>
      </w:r>
      <w:r/>
    </w:p>
    <w:p>
      <w:pPr>
        <w:ind w:firstLine="480"/>
        <w:spacing w:line="360" w:lineRule="auto"/>
        <w:rPr>
          <w:rFonts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60%呋虫胺•氯虫苯甲酰胺（含呋虫胺45%,氯虫苯甲酰胺15%）水分散粒剂，最高单价限价520元/千克，共50.00万元。</w:t>
      </w:r>
      <w:r/>
    </w:p>
    <w:p>
      <w:pPr>
        <w:ind w:firstLine="480"/>
        <w:spacing w:line="360" w:lineRule="auto"/>
        <w:rPr>
          <w:rFonts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12.5%多杀素·氯虫苯甲酰胺（含多杀霉素2.5%,氯虫苯甲酰胺10%）悬浮剂，最高单价限价400元/千克，共50.00万元。</w:t>
      </w:r>
      <w:r/>
    </w:p>
    <w:p>
      <w:pPr>
        <w:ind w:firstLine="480"/>
        <w:spacing w:line="360" w:lineRule="auto"/>
        <w:rPr>
          <w:rFonts w:ascii="宋体" w:hAnsi="宋体" w:cs="宋体"/>
          <w:sz w:val="24"/>
          <w:szCs w:val="24"/>
        </w:rPr>
      </w:pPr>
      <w:r>
        <w:rPr>
          <w:rFonts w:hint="eastAsia" w:ascii="宋体" w:hAnsi="宋体" w:cs="宋体"/>
          <w:sz w:val="24"/>
          <w:szCs w:val="24"/>
        </w:rPr>
        <w:t xml:space="preserve">③10%氯虫（苯甲酰胺）•茚虫威（含氯虫苯甲酰胺5%、茚虫威5%）悬浮剂，最高单价限价145元/千克，共50.00万元。</w:t>
      </w:r>
      <w:r/>
    </w:p>
    <w:p>
      <w:pPr>
        <w:ind w:firstLine="480"/>
        <w:spacing w:line="360" w:lineRule="auto"/>
        <w:rPr>
          <w:rFonts w:ascii="宋体" w:hAnsi="宋体" w:cs="宋体"/>
          <w:sz w:val="24"/>
          <w:szCs w:val="24"/>
        </w:rPr>
      </w:pPr>
      <w:r>
        <w:rPr>
          <w:rFonts w:hint="eastAsia" w:ascii="宋体" w:hAnsi="宋体" w:cs="宋体"/>
          <w:sz w:val="24"/>
          <w:szCs w:val="24"/>
        </w:rPr>
        <w:t xml:space="preserve">采购包2：110.00万元</w:t>
      </w:r>
      <w:r/>
    </w:p>
    <w:p>
      <w:pPr>
        <w:ind w:firstLine="480"/>
        <w:spacing w:line="360" w:lineRule="auto"/>
        <w:rPr>
          <w:rFonts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50%吡蚜•呋虫胺（吡蚜酮40%,呋虫胺10%）水分散粒剂，最高单价限价225元/千克，共40.00万元。</w:t>
      </w:r>
      <w:r/>
    </w:p>
    <w:p>
      <w:pPr>
        <w:ind w:firstLine="480"/>
        <w:spacing w:line="360" w:lineRule="auto"/>
        <w:rPr>
          <w:rFonts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50%呋虫胺可溶粒剂，最高单价限价180元/千克，共40.00万元。</w:t>
      </w:r>
      <w:r/>
    </w:p>
    <w:p>
      <w:pPr>
        <w:ind w:firstLine="480"/>
        <w:spacing w:line="360" w:lineRule="auto"/>
        <w:rPr>
          <w:rFonts w:ascii="宋体" w:hAnsi="宋体" w:cs="宋体"/>
          <w:sz w:val="24"/>
          <w:szCs w:val="24"/>
        </w:rPr>
      </w:pPr>
      <w:r>
        <w:rPr>
          <w:rFonts w:hint="eastAsia" w:ascii="宋体" w:hAnsi="宋体" w:cs="宋体"/>
          <w:sz w:val="24"/>
          <w:szCs w:val="24"/>
        </w:rPr>
        <w:t xml:space="preserve">③16000IU/毫克苏云金杆菌可湿性粉剂，最高单价限价56元/千克，共30.00万元</w:t>
      </w:r>
      <w:r/>
    </w:p>
    <w:p>
      <w:pPr>
        <w:spacing w:line="360" w:lineRule="auto"/>
        <w:rPr>
          <w:rFonts w:ascii="宋体" w:hAnsi="宋体" w:cs="宋体"/>
          <w:b/>
          <w:sz w:val="24"/>
        </w:rPr>
      </w:pPr>
      <w:r>
        <w:rPr>
          <w:rFonts w:hint="eastAsia" w:ascii="宋体" w:hAnsi="宋体" w:cs="宋体"/>
          <w:b/>
          <w:sz w:val="24"/>
        </w:rPr>
        <w:t xml:space="preserve">三、项目概况</w:t>
      </w:r>
      <w:r/>
    </w:p>
    <w:p>
      <w:pPr>
        <w:ind w:firstLine="480"/>
        <w:spacing w:line="360" w:lineRule="auto"/>
        <w:rPr>
          <w:rFonts w:ascii="宋体" w:hAnsi="宋体" w:cs="宋体"/>
          <w:sz w:val="24"/>
        </w:rPr>
      </w:pPr>
      <w:r>
        <w:rPr>
          <w:rFonts w:hint="eastAsia" w:ascii="宋体" w:hAnsi="宋体" w:cs="宋体"/>
          <w:sz w:val="24"/>
        </w:rPr>
        <w:t xml:space="preserve">1、项目名称：新沂市2026年秋粮重大病虫害防控和玉米重大病虫生物防治</w:t>
      </w:r>
      <w:r/>
    </w:p>
    <w:p>
      <w:pPr>
        <w:ind w:firstLine="480"/>
        <w:spacing w:line="360" w:lineRule="auto"/>
        <w:rPr>
          <w:rFonts w:ascii="宋体" w:hAnsi="宋体" w:cs="宋体"/>
          <w:sz w:val="24"/>
          <w:lang w:val="zh-CN"/>
        </w:rPr>
      </w:pPr>
      <w:r>
        <w:rPr>
          <w:rFonts w:hint="eastAsia" w:ascii="宋体" w:hAnsi="宋体" w:cs="宋体"/>
          <w:sz w:val="24"/>
        </w:rPr>
        <w:t xml:space="preserve">2、供货</w:t>
      </w:r>
      <w:r>
        <w:rPr>
          <w:rFonts w:hint="eastAsia" w:ascii="宋体" w:hAnsi="宋体" w:cs="宋体"/>
          <w:sz w:val="24"/>
          <w:lang w:val="zh-CN"/>
        </w:rPr>
        <w:t xml:space="preserve">地点：新沂市农业农村局指定地点。</w:t>
      </w:r>
      <w:r/>
    </w:p>
    <w:p>
      <w:pPr>
        <w:ind w:firstLine="480"/>
        <w:spacing w:line="360" w:lineRule="auto"/>
        <w:rPr>
          <w:rFonts w:ascii="宋体" w:hAnsi="宋体" w:cs="宋体"/>
          <w:sz w:val="24"/>
          <w:lang w:val="zh-CN"/>
        </w:rPr>
      </w:pPr>
      <w:r>
        <w:rPr>
          <w:rFonts w:hint="eastAsia" w:ascii="宋体" w:hAnsi="宋体" w:cs="宋体"/>
          <w:sz w:val="24"/>
        </w:rPr>
        <w:t xml:space="preserve">3、项目主要内容：采购秋粮作物抗逆防灾补助所需的植物生长调节剂。</w:t>
      </w:r>
      <w:r/>
    </w:p>
    <w:p>
      <w:pPr>
        <w:ind w:firstLine="480"/>
        <w:spacing w:line="360" w:lineRule="auto"/>
        <w:rPr>
          <w:rFonts w:ascii="宋体" w:hAnsi="宋体" w:cs="宋体"/>
          <w:sz w:val="24"/>
        </w:rPr>
      </w:pPr>
      <w:r>
        <w:rPr>
          <w:rFonts w:hint="eastAsia" w:ascii="宋体" w:hAnsi="宋体" w:cs="宋体"/>
          <w:sz w:val="24"/>
        </w:rPr>
        <w:t xml:space="preserve">4、合同履行期限：</w:t>
      </w:r>
      <w:bookmarkStart w:id="16" w:name="OLE_LINK48"/>
      <w:r/>
      <w:bookmarkStart w:id="17" w:name="OLE_LINK40"/>
      <w:r>
        <w:rPr>
          <w:rFonts w:hint="eastAsia"/>
          <w:sz w:val="24"/>
        </w:rPr>
        <w:t xml:space="preserve">成交供应商必须在合同签订后三日内按采购人要求将货物送至指定地点</w:t>
      </w:r>
      <w:bookmarkEnd w:id="16"/>
      <w:r/>
      <w:bookmarkEnd w:id="17"/>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5、质量标准：符合国家及行业现行标准并满足采购人要求。</w:t>
      </w:r>
      <w:r/>
    </w:p>
    <w:p>
      <w:pPr>
        <w:ind w:firstLine="480"/>
        <w:spacing w:line="360" w:lineRule="auto"/>
        <w:rPr>
          <w:rFonts w:ascii="宋体" w:hAnsi="宋体" w:cs="宋体"/>
          <w:sz w:val="24"/>
        </w:rPr>
      </w:pPr>
      <w:r>
        <w:rPr>
          <w:rFonts w:hint="eastAsia" w:ascii="宋体" w:hAnsi="宋体" w:cs="宋体"/>
          <w:sz w:val="24"/>
        </w:rPr>
        <w:t xml:space="preserve">6、包装：产品包装应贴有标签或者附具说明书。标签应当紧贴或者印制在产品包装物上。所供货物须为2026年1月1日之后生产。</w:t>
      </w:r>
      <w:r/>
    </w:p>
    <w:p>
      <w:pPr>
        <w:ind w:firstLine="480"/>
        <w:spacing w:line="360" w:lineRule="auto"/>
        <w:rPr>
          <w:rFonts w:ascii="宋体" w:hAnsi="宋体" w:cs="宋体"/>
          <w:sz w:val="24"/>
        </w:rPr>
      </w:pPr>
      <w:r>
        <w:rPr>
          <w:rFonts w:hint="eastAsia" w:ascii="宋体" w:hAnsi="宋体" w:cs="宋体"/>
          <w:sz w:val="24"/>
        </w:rPr>
        <w:t xml:space="preserve">7、本项目划分2个采购包，每个采购包有效投标人数量不得少于3家，否则该采购包按废标处理。</w:t>
      </w:r>
      <w:r/>
    </w:p>
    <w:p>
      <w:pPr>
        <w:ind w:firstLine="480"/>
        <w:spacing w:line="360" w:lineRule="auto"/>
        <w:rPr>
          <w:rFonts w:ascii="宋体" w:hAnsi="宋体" w:cs="宋体"/>
          <w:b/>
          <w:sz w:val="24"/>
        </w:rPr>
      </w:pPr>
      <w:r>
        <w:rPr>
          <w:rFonts w:hint="eastAsia" w:ascii="宋体" w:hAnsi="宋体" w:cs="宋体"/>
          <w:sz w:val="24"/>
        </w:rPr>
        <w:t xml:space="preserve">8、本次采购不设具体数量，最终成交数量以不超过最高限价和采购预算金额的最大整数计算，投标报价的单价最低价为优先原则。</w:t>
      </w:r>
      <w:r/>
    </w:p>
    <w:p>
      <w:pPr>
        <w:ind w:firstLine="480"/>
        <w:spacing w:line="360" w:lineRule="auto"/>
        <w:rPr>
          <w:rFonts w:hint="eastAsia"/>
          <w:lang w:val="en-US" w:eastAsia="zh-CN"/>
        </w:rPr>
      </w:pPr>
      <w:r>
        <w:rPr>
          <w:rFonts w:hint="eastAsia" w:ascii="宋体" w:hAnsi="宋体" w:eastAsia="宋体" w:cs="宋体"/>
          <w:b/>
          <w:bCs/>
          <w:sz w:val="24"/>
          <w:szCs w:val="22"/>
          <w:lang w:val="en-US" w:eastAsia="zh-CN"/>
        </w:rPr>
        <w:t xml:space="preserve">9、本项目核心产品为：</w:t>
      </w:r>
      <w:r>
        <w:rPr>
          <w:rFonts w:hint="eastAsia" w:ascii="宋体" w:hAnsi="宋体" w:cs="宋体"/>
          <w:b/>
          <w:bCs/>
          <w:sz w:val="24"/>
          <w:szCs w:val="22"/>
          <w:lang w:val="en-US" w:eastAsia="zh-CN"/>
        </w:rPr>
        <w:t xml:space="preserve">采购包1：</w:t>
      </w:r>
      <w:r>
        <w:rPr>
          <w:rFonts w:hint="eastAsia"/>
          <w:b/>
          <w:bCs/>
          <w:color w:val="ff0000"/>
        </w:rPr>
        <w:t xml:space="preserve">10%氯虫（苯甲酰胺）•茚虫威（含氯虫苯甲酰胺5%</w:t>
      </w:r>
      <w:r>
        <w:rPr>
          <w:rFonts w:hint="eastAsia"/>
          <w:b/>
          <w:bCs/>
          <w:color w:val="ff0000"/>
          <w:lang w:eastAsia="zh-CN"/>
        </w:rPr>
        <w:t xml:space="preserve">、</w:t>
      </w:r>
      <w:r>
        <w:rPr>
          <w:rFonts w:hint="eastAsia"/>
          <w:b/>
          <w:bCs/>
          <w:color w:val="ff0000"/>
        </w:rPr>
        <w:t xml:space="preserve">茚虫威5%）</w:t>
      </w:r>
      <w:r>
        <w:rPr>
          <w:rFonts w:hint="eastAsia"/>
          <w:b/>
          <w:bCs/>
          <w:color w:val="ff0000"/>
          <w:lang w:eastAsia="zh-CN"/>
        </w:rPr>
        <w:t xml:space="preserve">；</w:t>
      </w:r>
      <w:r>
        <w:rPr>
          <w:rFonts w:hint="eastAsia" w:ascii="宋体" w:hAnsi="宋体" w:cs="宋体"/>
          <w:b/>
          <w:bCs/>
          <w:sz w:val="24"/>
          <w:szCs w:val="22"/>
          <w:lang w:val="en-US" w:eastAsia="zh-CN"/>
        </w:rPr>
        <w:t xml:space="preserve">采购包2：</w:t>
      </w:r>
      <w:r>
        <w:rPr>
          <w:rFonts w:hint="eastAsia"/>
          <w:b/>
          <w:bCs/>
          <w:color w:val="ff0000"/>
          <w:lang w:eastAsia="zh-CN"/>
        </w:rPr>
        <w:t xml:space="preserve">50%吡蚜•呋虫胺（吡蚜酮40%,呋虫胺10%）</w:t>
      </w:r>
      <w:bookmarkStart w:id="32" w:name="_GoBack"/>
      <w:r/>
      <w:bookmarkEnd w:id="32"/>
      <w:r/>
      <w:r/>
    </w:p>
    <w:p>
      <w:pPr>
        <w:spacing w:line="360" w:lineRule="auto"/>
        <w:rPr>
          <w:rFonts w:ascii="宋体" w:hAnsi="宋体" w:cs="宋体"/>
          <w:b/>
          <w:sz w:val="24"/>
        </w:rPr>
      </w:pPr>
      <w:r>
        <w:rPr>
          <w:rFonts w:hint="eastAsia" w:ascii="宋体" w:hAnsi="宋体" w:cs="宋体"/>
          <w:b/>
          <w:sz w:val="24"/>
        </w:rPr>
        <w:t xml:space="preserve">四、采购清单及技术规格要求</w:t>
      </w:r>
      <w:r/>
    </w:p>
    <w:tbl>
      <w:tblPr>
        <w:tblStyle w:val="85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26"/>
        <w:gridCol w:w="2693"/>
        <w:gridCol w:w="1701"/>
        <w:gridCol w:w="1418"/>
        <w:gridCol w:w="708"/>
      </w:tblGrid>
      <w:tr>
        <w:trPr>
          <w:trHeight w:val="2050"/>
        </w:trPr>
        <w:tc>
          <w:tcPr>
            <w:tcW w:w="993" w:type="dxa"/>
            <w:textDirection w:val="lrTb"/>
            <w:noWrap w:val="false"/>
          </w:tcPr>
          <w:p>
            <w:pPr>
              <w:jc w:val="center"/>
              <w:rPr>
                <w:rFonts w:ascii="仿宋_GB2312" w:hAnsi="宋体" w:eastAsia="仿宋_GB2312" w:cs="仿宋_GB2312"/>
                <w:b/>
                <w:bCs/>
                <w:sz w:val="24"/>
              </w:rPr>
            </w:pPr>
            <w:r>
              <w:rPr>
                <w:rFonts w:ascii="仿宋_GB2312" w:hAnsi="宋体" w:eastAsia="仿宋_GB2312" w:cs="仿宋_GB2312"/>
                <w:b/>
                <w:bCs/>
                <w:sz w:val="24"/>
              </w:rPr>
            </w:r>
            <w:r/>
          </w:p>
          <w:p>
            <w:pPr>
              <w:jc w:val="center"/>
              <w:rPr>
                <w:rFonts w:ascii="仿宋_GB2312" w:hAnsi="宋体" w:eastAsia="仿宋_GB2312" w:cs="仿宋_GB2312"/>
                <w:b/>
                <w:bCs/>
                <w:sz w:val="24"/>
              </w:rPr>
            </w:pPr>
            <w:r>
              <w:rPr>
                <w:rFonts w:ascii="仿宋_GB2312" w:hAnsi="宋体" w:eastAsia="仿宋_GB2312" w:cs="仿宋_GB2312"/>
                <w:b/>
                <w:bCs/>
                <w:sz w:val="24"/>
              </w:rPr>
            </w:r>
            <w:r/>
          </w:p>
          <w:p>
            <w:pPr>
              <w:jc w:val="center"/>
              <w:rPr>
                <w:rFonts w:ascii="仿宋_GB2312" w:hAnsi="宋体" w:eastAsia="仿宋_GB2312" w:cs="仿宋_GB2312"/>
                <w:b/>
                <w:bCs/>
                <w:sz w:val="24"/>
              </w:rPr>
            </w:pPr>
            <w:r>
              <w:rPr>
                <w:rFonts w:ascii="仿宋_GB2312" w:hAnsi="宋体" w:eastAsia="仿宋_GB2312" w:cs="仿宋_GB2312"/>
                <w:b/>
                <w:bCs/>
                <w:sz w:val="24"/>
              </w:rPr>
            </w:r>
            <w:r/>
          </w:p>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采购包名称</w:t>
            </w:r>
            <w:r/>
          </w:p>
        </w:tc>
        <w:tc>
          <w:tcPr>
            <w:shd w:val="clear" w:color="auto" w:fill="auto"/>
            <w:tcW w:w="2126"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采购产品名称</w:t>
            </w:r>
            <w:r/>
          </w:p>
        </w:tc>
        <w:tc>
          <w:tcPr>
            <w:shd w:val="clear" w:color="auto" w:fill="auto"/>
            <w:tcW w:w="2693"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产品</w:t>
            </w:r>
            <w:r>
              <w:rPr>
                <w:rFonts w:ascii="仿宋_GB2312" w:hAnsi="宋体" w:eastAsia="仿宋_GB2312" w:cs="仿宋_GB2312"/>
                <w:b/>
                <w:bCs/>
                <w:sz w:val="24"/>
              </w:rPr>
              <w:t xml:space="preserve">参数</w:t>
            </w:r>
            <w:r/>
          </w:p>
        </w:tc>
        <w:tc>
          <w:tcPr>
            <w:shd w:val="clear" w:color="auto" w:fill="auto"/>
            <w:tcW w:w="1701"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最高限制单价</w:t>
            </w:r>
            <w:r/>
          </w:p>
          <w:p>
            <w:pPr>
              <w:jc w:val="center"/>
              <w:rPr>
                <w:rFonts w:ascii="仿宋_GB2312" w:hAnsi="宋体" w:eastAsia="仿宋_GB2312" w:cs="仿宋_GB2312"/>
                <w:b/>
                <w:bCs/>
                <w:color w:val="ff0000"/>
                <w:sz w:val="24"/>
              </w:rPr>
            </w:pPr>
            <w:r>
              <w:rPr>
                <w:rFonts w:hint="eastAsia" w:ascii="仿宋_GB2312" w:hAnsi="宋体" w:eastAsia="仿宋_GB2312" w:cs="仿宋_GB2312"/>
                <w:b/>
                <w:bCs/>
                <w:color w:val="ff0000"/>
                <w:sz w:val="24"/>
              </w:rPr>
              <w:t xml:space="preserve">（元/kg）</w:t>
            </w:r>
            <w:r/>
          </w:p>
        </w:tc>
        <w:tc>
          <w:tcPr>
            <w:shd w:val="clear" w:color="auto" w:fill="auto"/>
            <w:tcW w:w="1418"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预算金额</w:t>
            </w:r>
            <w:r/>
          </w:p>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（万元）</w:t>
            </w:r>
            <w:r/>
          </w:p>
        </w:tc>
        <w:tc>
          <w:tcPr>
            <w:shd w:val="clear" w:color="auto" w:fill="auto"/>
            <w:tcW w:w="708" w:type="dxa"/>
            <w:vAlign w:val="center"/>
            <w:textDirection w:val="lrTb"/>
            <w:noWrap w:val="false"/>
          </w:tcPr>
          <w:p>
            <w:pPr>
              <w:jc w:val="center"/>
              <w:rPr>
                <w:rFonts w:ascii="仿宋_GB2312" w:hAnsi="宋体" w:eastAsia="仿宋_GB2312" w:cs="仿宋_GB2312"/>
                <w:b/>
                <w:bCs/>
                <w:sz w:val="24"/>
              </w:rPr>
            </w:pPr>
            <w:r>
              <w:rPr>
                <w:rFonts w:ascii="仿宋_GB2312" w:hAnsi="宋体" w:eastAsia="仿宋_GB2312" w:cs="仿宋_GB2312"/>
                <w:b/>
                <w:bCs/>
                <w:sz w:val="24"/>
              </w:rPr>
              <w:t xml:space="preserve">备注</w:t>
            </w:r>
            <w:r/>
          </w:p>
        </w:tc>
      </w:tr>
      <w:tr>
        <w:trPr>
          <w:trHeight w:val="1301"/>
        </w:trPr>
        <w:tc>
          <w:tcPr>
            <w:tcW w:w="993" w:type="dxa"/>
            <w:vAlign w:val="center"/>
            <w:vMerge w:val="restart"/>
            <w:textDirection w:val="lrTb"/>
            <w:noWrap w:val="false"/>
          </w:tcPr>
          <w:p>
            <w:pPr>
              <w:jc w:val="center"/>
            </w:pPr>
            <w:r/>
            <w:bookmarkStart w:id="18" w:name="OLE_LINK15"/>
            <w:r/>
            <w:bookmarkStart w:id="19" w:name="OLE_LINK14"/>
            <w:r>
              <w:rPr>
                <w:rFonts w:hint="eastAsia"/>
              </w:rPr>
              <w:t xml:space="preserve">采购包1</w:t>
            </w:r>
            <w:bookmarkEnd w:id="18"/>
            <w:r/>
            <w:bookmarkEnd w:id="19"/>
            <w:r/>
            <w:r/>
          </w:p>
        </w:tc>
        <w:tc>
          <w:tcPr>
            <w:shd w:val="clear" w:color="auto" w:fill="auto"/>
            <w:tcW w:w="2126" w:type="dxa"/>
            <w:vAlign w:val="center"/>
            <w:textDirection w:val="lrTb"/>
            <w:noWrap w:val="false"/>
          </w:tcPr>
          <w:p>
            <w:pPr>
              <w:jc w:val="left"/>
              <w:rPr>
                <w:rFonts w:ascii="宋体" w:hAnsi="宋体" w:cs="宋体"/>
              </w:rPr>
            </w:pPr>
            <w:r>
              <w:rPr>
                <w:rFonts w:hint="eastAsia"/>
              </w:rPr>
              <w:t xml:space="preserve">60%呋虫胺•氯虫苯甲酰胺（含呋虫胺45%,氯虫苯甲酰胺15%）</w:t>
            </w:r>
            <w:r/>
          </w:p>
        </w:tc>
        <w:tc>
          <w:tcPr>
            <w:shd w:val="clear" w:color="auto" w:fill="auto"/>
            <w:tcW w:w="2693" w:type="dxa"/>
            <w:vAlign w:val="center"/>
            <w:textDirection w:val="lrTb"/>
            <w:noWrap w:val="false"/>
          </w:tcPr>
          <w:p>
            <w:pPr>
              <w:rPr>
                <w:rFonts w:ascii="宋体" w:hAnsi="宋体" w:cs="宋体"/>
                <w:color w:val="000000" w:themeColor="text1"/>
                <w14:textFill>
                  <w14:solidFill>
                    <w14:schemeClr w14:val="tx1"/>
                  </w14:solidFill>
                </w14:textFill>
              </w:rPr>
            </w:pPr>
            <w:r/>
            <w:bookmarkStart w:id="20" w:name="OLE_LINK43"/>
            <w:r/>
            <w:bookmarkStart w:id="21" w:name="OLE_LINK37"/>
            <w:r/>
            <w:bookmarkStart w:id="22" w:name="OLE_LINK6"/>
            <w:r/>
            <w:bookmarkStart w:id="23" w:name="OLE_LINK36"/>
            <w:r>
              <w:rPr>
                <w:rFonts w:hint="eastAsia" w:ascii="宋体" w:hAnsi="宋体" w:cs="宋体"/>
                <w:color w:val="000000" w:themeColor="text1"/>
                <w14:textFill>
                  <w14:solidFill>
                    <w14:schemeClr w14:val="tx1"/>
                  </w14:solidFill>
                </w14:textFill>
              </w:rPr>
              <w:t xml:space="preserve">剂型：</w:t>
            </w:r>
            <w:r>
              <w:rPr>
                <w:rFonts w:hint="eastAsia"/>
              </w:rPr>
              <w:t xml:space="preserve">水分散粒剂</w:t>
            </w:r>
            <w:r>
              <w:rPr>
                <w:rFonts w:hint="eastAsia" w:ascii="宋体" w:hAnsi="宋体" w:cs="宋体"/>
                <w:color w:val="000000" w:themeColor="text1"/>
                <w14:textFill>
                  <w14:solidFill>
                    <w14:schemeClr w14:val="tx1"/>
                  </w14:solidFill>
                </w14:textFill>
              </w:rPr>
              <w:t xml:space="preserve">；单包装规格：10g/瓶、100g/瓶；登记作物包含水稻、二化螟</w:t>
            </w:r>
            <w:bookmarkEnd w:id="20"/>
            <w:r/>
            <w:bookmarkEnd w:id="21"/>
            <w:r/>
            <w:bookmarkEnd w:id="22"/>
            <w:r/>
            <w:bookmarkEnd w:id="23"/>
            <w:r>
              <w:rPr>
                <w:rFonts w:hint="eastAsia" w:ascii="宋体" w:hAnsi="宋体" w:cs="宋体"/>
                <w:color w:val="000000" w:themeColor="text1"/>
                <w14:textFill>
                  <w14:solidFill>
                    <w14:schemeClr w14:val="tx1"/>
                  </w14:solidFill>
                </w14:textFill>
              </w:rPr>
              <w:t xml:space="preserve">。大小包装重量总量供货比例为：7:3。</w:t>
            </w:r>
            <w:r/>
          </w:p>
        </w:tc>
        <w:tc>
          <w:tcPr>
            <w:shd w:val="clear" w:color="auto" w:fill="auto"/>
            <w:tcW w:w="1701"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520</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50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r>
        <w:trPr>
          <w:trHeight w:val="1301"/>
        </w:trPr>
        <w:tc>
          <w:tcPr>
            <w:tcW w:w="993" w:type="dxa"/>
            <w:vAlign w:val="center"/>
            <w:vMerge w:val="continue"/>
            <w:textDirection w:val="lrTb"/>
            <w:noWrap w:val="false"/>
          </w:tcPr>
          <w:p>
            <w:pPr>
              <w:jc w:val="center"/>
            </w:pPr>
            <w:r/>
            <w:r/>
          </w:p>
        </w:tc>
        <w:tc>
          <w:tcPr>
            <w:shd w:val="clear" w:color="auto" w:fill="auto"/>
            <w:tcW w:w="2126" w:type="dxa"/>
            <w:vAlign w:val="center"/>
            <w:textDirection w:val="lrTb"/>
            <w:noWrap w:val="false"/>
          </w:tcPr>
          <w:p>
            <w:pPr>
              <w:jc w:val="left"/>
            </w:pPr>
            <w:r>
              <w:rPr>
                <w:rFonts w:hint="eastAsia"/>
              </w:rPr>
              <w:t xml:space="preserve">12.5%多杀素·氯虫苯甲酰胺（含多杀霉素2.5%,氯虫苯甲酰胺10%）</w:t>
            </w:r>
            <w:r/>
          </w:p>
        </w:tc>
        <w:tc>
          <w:tcPr>
            <w:shd w:val="clear" w:color="auto" w:fill="auto"/>
            <w:tcW w:w="2693" w:type="dxa"/>
            <w:vAlign w:val="center"/>
            <w:textDirection w:val="lrTb"/>
            <w:noWrap w:val="false"/>
          </w:tcPr>
          <w:p>
            <w:pPr>
              <w:rPr>
                <w:rFonts w:ascii="宋体" w:hAnsi="宋体" w:cs="宋体"/>
                <w:color w:val="000000" w:themeColor="text1"/>
                <w14:textFill>
                  <w14:solidFill>
                    <w14:schemeClr w14:val="tx1"/>
                  </w14:solidFill>
                </w14:textFill>
              </w:rPr>
            </w:pPr>
            <w:r/>
            <w:bookmarkStart w:id="24" w:name="OLE_LINK7"/>
            <w:r>
              <w:rPr>
                <w:rFonts w:hint="eastAsia" w:ascii="宋体" w:hAnsi="宋体" w:cs="宋体"/>
                <w:color w:val="000000" w:themeColor="text1"/>
                <w14:textFill>
                  <w14:solidFill>
                    <w14:schemeClr w14:val="tx1"/>
                  </w14:solidFill>
                </w14:textFill>
              </w:rPr>
              <w:t xml:space="preserve">剂型：</w:t>
            </w:r>
            <w:r>
              <w:rPr>
                <w:rFonts w:hint="eastAsia"/>
              </w:rPr>
              <w:t xml:space="preserve">悬浮剂</w:t>
            </w:r>
            <w:r>
              <w:rPr>
                <w:rFonts w:hint="eastAsia" w:ascii="宋体" w:hAnsi="宋体" w:cs="宋体"/>
                <w:color w:val="000000" w:themeColor="text1"/>
                <w14:textFill>
                  <w14:solidFill>
                    <w14:schemeClr w14:val="tx1"/>
                  </w14:solidFill>
                </w14:textFill>
              </w:rPr>
              <w:t xml:space="preserve">；单包装规格：150g/瓶；登记作物和防治对象包含水稻、二化螟 </w:t>
            </w:r>
            <w:bookmarkEnd w:id="24"/>
            <w:r/>
            <w:r/>
          </w:p>
        </w:tc>
        <w:tc>
          <w:tcPr>
            <w:shd w:val="clear" w:color="auto" w:fill="auto"/>
            <w:tcW w:w="1701"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400</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50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r>
        <w:trPr>
          <w:trHeight w:val="1453"/>
        </w:trPr>
        <w:tc>
          <w:tcPr>
            <w:tcW w:w="993" w:type="dxa"/>
            <w:vAlign w:val="center"/>
            <w:vMerge w:val="continue"/>
            <w:textDirection w:val="lrTb"/>
            <w:noWrap w:val="false"/>
          </w:tcPr>
          <w:p>
            <w:pPr>
              <w:jc w:val="center"/>
            </w:pPr>
            <w:r/>
            <w:r/>
          </w:p>
        </w:tc>
        <w:tc>
          <w:tcPr>
            <w:shd w:val="clear" w:color="auto" w:fill="auto"/>
            <w:tcW w:w="2126" w:type="dxa"/>
            <w:vAlign w:val="center"/>
            <w:textDirection w:val="lrTb"/>
            <w:noWrap w:val="false"/>
          </w:tcPr>
          <w:p>
            <w:pPr>
              <w:jc w:val="left"/>
              <w:rPr>
                <w:color w:val="ff0000"/>
              </w:rPr>
            </w:pPr>
            <w:r>
              <w:rPr>
                <w:rFonts w:hint="eastAsia"/>
                <w:color w:val="ff0000"/>
              </w:rPr>
              <w:t xml:space="preserve">10%氯虫（苯甲酰胺）•茚虫威（含氯虫苯甲酰胺5%、茚虫威5%）</w:t>
            </w:r>
            <w:r>
              <w:rPr>
                <w:rFonts w:hint="eastAsia"/>
                <w:color w:val="ff0000"/>
              </w:rPr>
              <w:br/>
            </w:r>
            <w:r>
              <w:rPr>
                <w:rFonts w:hint="eastAsia" w:ascii="宋体" w:hAnsi="宋体" w:cs="宋体"/>
                <w:i w:val="0"/>
                <w:iCs w:val="0"/>
                <w:color w:val="ff0000"/>
                <w:sz w:val="21"/>
                <w:szCs w:val="21"/>
                <w:highlight w:val="yellow"/>
                <w:u w:val="none"/>
                <w:lang w:val="en-US" w:eastAsia="zh-CN" w:bidi="ar"/>
              </w:rPr>
              <w:t xml:space="preserve">（核心产品）</w:t>
            </w:r>
            <w:r/>
          </w:p>
        </w:tc>
        <w:tc>
          <w:tcPr>
            <w:shd w:val="clear" w:color="auto" w:fill="auto"/>
            <w:tcW w:w="2693" w:type="dxa"/>
            <w:vAlign w:val="center"/>
            <w:textDirection w:val="lrTb"/>
            <w:noWrap w:val="false"/>
          </w:tcPr>
          <w:p>
            <w:pPr>
              <w:rPr>
                <w:rFonts w:ascii="宋体" w:hAnsi="宋体" w:cs="宋体"/>
                <w:color w:val="000000" w:themeColor="text1"/>
                <w14:textFill>
                  <w14:solidFill>
                    <w14:schemeClr w14:val="tx1"/>
                  </w14:solidFill>
                </w14:textFill>
              </w:rPr>
            </w:pPr>
            <w:r/>
            <w:bookmarkStart w:id="25" w:name="OLE_LINK8"/>
            <w:r>
              <w:rPr>
                <w:rFonts w:hint="eastAsia" w:ascii="宋体" w:hAnsi="宋体" w:cs="宋体"/>
                <w:color w:val="000000" w:themeColor="text1"/>
                <w14:textFill>
                  <w14:solidFill>
                    <w14:schemeClr w14:val="tx1"/>
                  </w14:solidFill>
                </w14:textFill>
              </w:rPr>
              <w:t xml:space="preserve">剂型：</w:t>
            </w:r>
            <w:r>
              <w:rPr>
                <w:rFonts w:hint="eastAsia"/>
              </w:rPr>
              <w:t xml:space="preserve">悬浮剂</w:t>
            </w:r>
            <w:r>
              <w:rPr>
                <w:rFonts w:hint="eastAsia" w:ascii="宋体" w:hAnsi="宋体" w:cs="宋体"/>
                <w:color w:val="000000" w:themeColor="text1"/>
                <w14:textFill>
                  <w14:solidFill>
                    <w14:schemeClr w14:val="tx1"/>
                  </w14:solidFill>
                </w14:textFill>
              </w:rPr>
              <w:t xml:space="preserve">；单包装规格：150g/瓶；登记作物和防治对象包含水稻、二化螟</w:t>
            </w:r>
            <w:bookmarkEnd w:id="25"/>
            <w:r>
              <w:rPr>
                <w:rFonts w:hint="eastAsia" w:ascii="宋体" w:hAnsi="宋体" w:cs="宋体"/>
                <w:color w:val="000000" w:themeColor="text1"/>
                <w14:textFill>
                  <w14:solidFill>
                    <w14:schemeClr w14:val="tx1"/>
                  </w14:solidFill>
                </w14:textFill>
              </w:rPr>
              <w:t xml:space="preserve">。</w:t>
            </w:r>
            <w:r/>
          </w:p>
        </w:tc>
        <w:tc>
          <w:tcPr>
            <w:shd w:val="clear" w:color="auto" w:fill="auto"/>
            <w:tcW w:w="1701"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145</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50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r>
        <w:trPr>
          <w:trHeight w:val="1301"/>
        </w:trPr>
        <w:tc>
          <w:tcPr>
            <w:tcW w:w="993" w:type="dxa"/>
            <w:vAlign w:val="center"/>
            <w:vMerge w:val="restart"/>
            <w:textDirection w:val="lrTb"/>
            <w:noWrap w:val="false"/>
          </w:tcPr>
          <w:p>
            <w:pPr>
              <w:jc w:val="center"/>
            </w:pPr>
            <w:r>
              <w:rPr>
                <w:rFonts w:hint="eastAsia"/>
              </w:rPr>
              <w:t xml:space="preserve">采购包2</w:t>
            </w:r>
            <w:r/>
          </w:p>
        </w:tc>
        <w:tc>
          <w:tcPr>
            <w:shd w:val="clear" w:color="auto" w:fill="auto"/>
            <w:tcW w:w="2126" w:type="dxa"/>
            <w:vAlign w:val="center"/>
            <w:textDirection w:val="lrTb"/>
            <w:noWrap w:val="false"/>
          </w:tcPr>
          <w:p>
            <w:pPr>
              <w:jc w:val="left"/>
              <w:rPr>
                <w:color w:val="ff0000"/>
              </w:rPr>
            </w:pPr>
            <w:r>
              <w:rPr>
                <w:rFonts w:hint="eastAsia"/>
                <w:color w:val="ff0000"/>
              </w:rPr>
              <w:t xml:space="preserve">50%吡蚜•呋虫胺</w:t>
            </w:r>
            <w:r/>
          </w:p>
          <w:p>
            <w:pPr>
              <w:jc w:val="left"/>
            </w:pPr>
            <w:r>
              <w:rPr>
                <w:rFonts w:hint="eastAsia"/>
                <w:color w:val="ff0000"/>
              </w:rPr>
              <w:t xml:space="preserve">（吡蚜酮40%,呋虫胺10%）</w:t>
            </w:r>
            <w:r>
              <w:rPr>
                <w:rFonts w:hint="eastAsia"/>
                <w:color w:val="ff0000"/>
              </w:rPr>
              <w:br/>
            </w:r>
            <w:r>
              <w:rPr>
                <w:rFonts w:hint="eastAsia" w:ascii="宋体" w:hAnsi="宋体" w:cs="宋体"/>
                <w:i w:val="0"/>
                <w:iCs w:val="0"/>
                <w:color w:val="ff0000"/>
                <w:sz w:val="21"/>
                <w:szCs w:val="21"/>
                <w:highlight w:val="yellow"/>
                <w:u w:val="none"/>
                <w:lang w:val="en-US" w:eastAsia="zh-CN" w:bidi="ar"/>
              </w:rPr>
              <w:t xml:space="preserve">（核心产品）</w:t>
            </w:r>
            <w:r/>
          </w:p>
        </w:tc>
        <w:tc>
          <w:tcPr>
            <w:shd w:val="clear" w:color="auto" w:fill="auto"/>
            <w:tcW w:w="2693" w:type="dxa"/>
            <w:vAlign w:val="center"/>
            <w:textDirection w:val="lrTb"/>
            <w:noWrap w:val="false"/>
          </w:tcPr>
          <w:p>
            <w:pPr>
              <w:rPr>
                <w:rFonts w:ascii="宋体" w:hAnsi="宋体" w:cs="宋体"/>
                <w:color w:val="000000" w:themeColor="text1"/>
                <w14:textFill>
                  <w14:solidFill>
                    <w14:schemeClr w14:val="tx1"/>
                  </w14:solidFill>
                </w14:textFill>
              </w:rPr>
            </w:pPr>
            <w:r/>
            <w:bookmarkStart w:id="26" w:name="OLE_LINK9"/>
            <w:r>
              <w:rPr>
                <w:rFonts w:hint="eastAsia" w:ascii="宋体" w:hAnsi="宋体" w:cs="宋体"/>
                <w:color w:val="000000" w:themeColor="text1"/>
                <w14:textFill>
                  <w14:solidFill>
                    <w14:schemeClr w14:val="tx1"/>
                  </w14:solidFill>
                </w14:textFill>
              </w:rPr>
              <w:t xml:space="preserve">剂型：</w:t>
            </w:r>
            <w:r>
              <w:rPr>
                <w:rFonts w:hint="eastAsia"/>
              </w:rPr>
              <w:t xml:space="preserve">水分散粒剂</w:t>
            </w:r>
            <w:r>
              <w:rPr>
                <w:rFonts w:hint="eastAsia" w:ascii="宋体" w:hAnsi="宋体" w:cs="宋体"/>
                <w:color w:val="000000" w:themeColor="text1"/>
                <w14:textFill>
                  <w14:solidFill>
                    <w14:schemeClr w14:val="tx1"/>
                  </w14:solidFill>
                </w14:textFill>
              </w:rPr>
              <w:t xml:space="preserve">；单包装规格：150g/瓶；登记作物和防治对象包含水稻、稻飞虱</w:t>
            </w:r>
            <w:bookmarkEnd w:id="26"/>
            <w:r/>
            <w:r/>
          </w:p>
        </w:tc>
        <w:tc>
          <w:tcPr>
            <w:shd w:val="clear" w:color="auto" w:fill="auto"/>
            <w:tcW w:w="1701"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225</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40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r>
        <w:trPr>
          <w:trHeight w:val="1301"/>
        </w:trPr>
        <w:tc>
          <w:tcPr>
            <w:tcW w:w="993" w:type="dxa"/>
            <w:vAlign w:val="center"/>
            <w:vMerge w:val="continue"/>
            <w:textDirection w:val="lrTb"/>
            <w:noWrap w:val="false"/>
          </w:tcPr>
          <w:p>
            <w:pPr>
              <w:jc w:val="center"/>
            </w:pPr>
            <w:r/>
            <w:r/>
          </w:p>
        </w:tc>
        <w:tc>
          <w:tcPr>
            <w:shd w:val="clear" w:color="auto" w:fill="auto"/>
            <w:tcW w:w="2126" w:type="dxa"/>
            <w:vAlign w:val="center"/>
            <w:textDirection w:val="lrTb"/>
            <w:noWrap w:val="false"/>
          </w:tcPr>
          <w:p>
            <w:pPr>
              <w:jc w:val="left"/>
            </w:pPr>
            <w:r>
              <w:rPr>
                <w:rFonts w:hint="eastAsia"/>
              </w:rPr>
              <w:t xml:space="preserve">50%呋虫胺</w:t>
            </w:r>
            <w:r/>
          </w:p>
        </w:tc>
        <w:tc>
          <w:tcPr>
            <w:shd w:val="clear" w:color="auto" w:fill="auto"/>
            <w:tcW w:w="2693" w:type="dxa"/>
            <w:vAlign w:val="center"/>
            <w:textDirection w:val="lrTb"/>
            <w:noWrap w:val="false"/>
          </w:tcPr>
          <w:p>
            <w:pPr>
              <w:rPr>
                <w:rFonts w:ascii="宋体" w:hAnsi="宋体" w:cs="宋体"/>
                <w:color w:val="000000" w:themeColor="text1"/>
                <w14:textFill>
                  <w14:solidFill>
                    <w14:schemeClr w14:val="tx1"/>
                  </w14:solidFill>
                </w14:textFill>
              </w:rPr>
            </w:pPr>
            <w:r/>
            <w:bookmarkStart w:id="27" w:name="OLE_LINK10"/>
            <w:r/>
            <w:bookmarkStart w:id="28" w:name="OLE_LINK11"/>
            <w:r>
              <w:rPr>
                <w:rFonts w:hint="eastAsia" w:ascii="宋体" w:hAnsi="宋体" w:cs="宋体"/>
                <w:color w:val="000000" w:themeColor="text1"/>
                <w14:textFill>
                  <w14:solidFill>
                    <w14:schemeClr w14:val="tx1"/>
                  </w14:solidFill>
                </w14:textFill>
              </w:rPr>
              <w:t xml:space="preserve">剂型：</w:t>
            </w:r>
            <w:r>
              <w:rPr>
                <w:rFonts w:hint="eastAsia"/>
              </w:rPr>
              <w:t xml:space="preserve">可溶粒剂</w:t>
            </w:r>
            <w:r>
              <w:rPr>
                <w:rFonts w:hint="eastAsia" w:ascii="宋体" w:hAnsi="宋体" w:cs="宋体"/>
                <w:color w:val="000000" w:themeColor="text1"/>
                <w14:textFill>
                  <w14:solidFill>
                    <w14:schemeClr w14:val="tx1"/>
                  </w14:solidFill>
                </w14:textFill>
              </w:rPr>
              <w:t xml:space="preserve">；单包装规格为：15g/袋、150g/袋；登记作物和防治对象包含水稻、稻飞虱</w:t>
            </w:r>
            <w:bookmarkEnd w:id="27"/>
            <w:r/>
            <w:bookmarkEnd w:id="28"/>
            <w:r>
              <w:rPr>
                <w:rFonts w:hint="eastAsia" w:ascii="宋体" w:hAnsi="宋体" w:cs="宋体"/>
                <w:color w:val="000000" w:themeColor="text1"/>
                <w14:textFill>
                  <w14:solidFill>
                    <w14:schemeClr w14:val="tx1"/>
                  </w14:solidFill>
                </w14:textFill>
              </w:rPr>
              <w:t xml:space="preserve">；</w:t>
            </w:r>
            <w:bookmarkStart w:id="29" w:name="OLE_LINK2"/>
            <w:r>
              <w:rPr>
                <w:rFonts w:hint="eastAsia" w:ascii="宋体" w:hAnsi="宋体" w:cs="宋体"/>
                <w:color w:val="000000" w:themeColor="text1"/>
                <w14:textFill>
                  <w14:solidFill>
                    <w14:schemeClr w14:val="tx1"/>
                  </w14:solidFill>
                </w14:textFill>
              </w:rPr>
              <w:t xml:space="preserve">大小包装重量总量供货比例为：8:2。</w:t>
            </w:r>
            <w:bookmarkEnd w:id="29"/>
            <w:r/>
            <w:r/>
          </w:p>
        </w:tc>
        <w:tc>
          <w:tcPr>
            <w:shd w:val="clear" w:color="auto" w:fill="auto"/>
            <w:tcW w:w="1701"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180</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40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r>
        <w:trPr>
          <w:trHeight w:val="1301"/>
        </w:trPr>
        <w:tc>
          <w:tcPr>
            <w:tcW w:w="993" w:type="dxa"/>
            <w:vAlign w:val="center"/>
            <w:vMerge w:val="continue"/>
            <w:textDirection w:val="lrTb"/>
            <w:noWrap w:val="false"/>
          </w:tcPr>
          <w:p>
            <w:pPr>
              <w:jc w:val="center"/>
            </w:pPr>
            <w:r/>
            <w:r/>
          </w:p>
        </w:tc>
        <w:tc>
          <w:tcPr>
            <w:shd w:val="clear" w:color="auto" w:fill="auto"/>
            <w:tcW w:w="2126" w:type="dxa"/>
            <w:vAlign w:val="center"/>
            <w:textDirection w:val="lrTb"/>
            <w:noWrap w:val="false"/>
          </w:tcPr>
          <w:p>
            <w:pPr>
              <w:jc w:val="center"/>
            </w:pPr>
            <w:r>
              <w:rPr>
                <w:rFonts w:hint="eastAsia"/>
              </w:rPr>
              <w:t xml:space="preserve">16000IU/毫克苏云金杆菌</w:t>
            </w:r>
            <w:r/>
          </w:p>
        </w:tc>
        <w:tc>
          <w:tcPr>
            <w:shd w:val="clear" w:color="auto" w:fill="auto"/>
            <w:tcW w:w="2693" w:type="dxa"/>
            <w:vAlign w:val="center"/>
            <w:textDirection w:val="lrTb"/>
            <w:noWrap w:val="false"/>
          </w:tcPr>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剂型：</w:t>
            </w:r>
            <w:r>
              <w:rPr>
                <w:rFonts w:hint="eastAsia"/>
              </w:rPr>
              <w:t xml:space="preserve">可湿性粉剂</w:t>
            </w:r>
            <w:r>
              <w:rPr>
                <w:rFonts w:hint="eastAsia" w:ascii="宋体" w:hAnsi="宋体" w:cs="宋体"/>
                <w:color w:val="000000" w:themeColor="text1"/>
                <w14:textFill>
                  <w14:solidFill>
                    <w14:schemeClr w14:val="tx1"/>
                  </w14:solidFill>
                </w14:textFill>
              </w:rPr>
              <w:t xml:space="preserve">；单包装规格：1000g/袋；登记作物和防治对象包含玉米、玉米螟</w:t>
            </w:r>
            <w:r/>
          </w:p>
        </w:tc>
        <w:tc>
          <w:tcPr>
            <w:shd w:val="clear" w:color="auto" w:fill="auto"/>
            <w:tcW w:w="1701"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56</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30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r>
        <w:trPr>
          <w:trHeight w:val="609"/>
        </w:trPr>
        <w:tc>
          <w:tcPr>
            <w:gridSpan w:val="4"/>
            <w:tcW w:w="7513"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rPr>
              <w:t xml:space="preserve">合  计</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260</w:t>
            </w:r>
            <w:r/>
          </w:p>
        </w:tc>
        <w:tc>
          <w:tcPr>
            <w:shd w:val="clear" w:color="auto" w:fill="auto"/>
            <w:tcW w:w="708" w:type="dxa"/>
            <w:vAlign w:val="center"/>
            <w:textDirection w:val="lrTb"/>
            <w:noWrap w:val="false"/>
          </w:tcPr>
          <w:p>
            <w:pPr>
              <w:jc w:val="center"/>
              <w:rPr>
                <w:rFonts w:ascii="宋体" w:hAnsi="宋体" w:cs="宋体"/>
              </w:rPr>
            </w:pPr>
            <w:r>
              <w:rPr>
                <w:rFonts w:ascii="宋体" w:hAnsi="宋体" w:cs="宋体"/>
              </w:rPr>
            </w:r>
            <w:r/>
          </w:p>
        </w:tc>
      </w:tr>
    </w:tbl>
    <w:p>
      <w:pPr>
        <w:spacing w:line="400" w:lineRule="exact"/>
        <w:rPr>
          <w:rFonts w:ascii="仿宋" w:hAnsi="仿宋" w:eastAsia="仿宋" w:cs="仿宋"/>
          <w:b/>
          <w:bCs/>
          <w:sz w:val="24"/>
        </w:rPr>
      </w:pPr>
      <w:r>
        <w:rPr>
          <w:rFonts w:hint="eastAsia" w:ascii="仿宋" w:hAnsi="仿宋" w:eastAsia="仿宋" w:cs="仿宋"/>
          <w:b/>
          <w:bCs/>
          <w:sz w:val="24"/>
        </w:rPr>
        <w:t xml:space="preserve">注：1.该技术要求为本项目实质性技术要求, 不接受负偏离。</w:t>
      </w:r>
      <w:r/>
    </w:p>
    <w:p>
      <w:pPr>
        <w:numPr>
          <w:ilvl w:val="0"/>
          <w:numId w:val="2"/>
        </w:numPr>
        <w:ind w:firstLine="482"/>
        <w:spacing w:line="360" w:lineRule="auto"/>
        <w:rPr>
          <w:rFonts w:ascii="仿宋" w:hAnsi="仿宋" w:eastAsia="仿宋" w:cs="仿宋"/>
          <w:b/>
          <w:bCs/>
          <w:sz w:val="24"/>
          <w:highlight w:val="yellow"/>
        </w:rPr>
      </w:pPr>
      <w:r>
        <w:rPr>
          <w:rFonts w:hint="eastAsia" w:ascii="仿宋" w:hAnsi="仿宋" w:eastAsia="仿宋" w:cs="仿宋"/>
          <w:b/>
          <w:bCs/>
          <w:sz w:val="24"/>
          <w:highlight w:val="yellow"/>
        </w:rPr>
        <w:t xml:space="preserve">本次采购不设具体数量，最终成交数量以不超过最高限价和采购预算金额的最大整数计算，投标报价以各个产品的单价之和最低为优先原则。</w:t>
      </w:r>
      <w:r/>
    </w:p>
    <w:p>
      <w:pPr>
        <w:pStyle w:val="1234"/>
        <w:ind w:firstLine="0"/>
        <w:spacing w:line="360" w:lineRule="auto"/>
        <w:rPr>
          <w:rFonts w:ascii="宋体" w:hAnsi="宋体"/>
          <w:sz w:val="24"/>
        </w:rPr>
      </w:pPr>
      <w:r>
        <w:rPr>
          <w:rFonts w:hint="eastAsia" w:ascii="宋体" w:hAnsi="宋体" w:cs="宋体"/>
          <w:b/>
          <w:sz w:val="24"/>
        </w:rPr>
        <w:t xml:space="preserve">五、质量要求</w:t>
      </w:r>
      <w:r/>
    </w:p>
    <w:p>
      <w:pPr>
        <w:pStyle w:val="1234"/>
        <w:ind w:firstLine="480"/>
        <w:spacing w:line="360" w:lineRule="auto"/>
        <w:rPr>
          <w:rFonts w:ascii="宋体" w:hAnsi="宋体"/>
          <w:sz w:val="24"/>
        </w:rPr>
      </w:pPr>
      <w:r>
        <w:rPr>
          <w:rFonts w:ascii="宋体" w:hAnsi="宋体"/>
          <w:sz w:val="24"/>
        </w:rPr>
        <w:t xml:space="preserve">投标产品的技术规格符合农药行业标准的质量要求</w:t>
      </w:r>
      <w:r>
        <w:rPr>
          <w:rFonts w:hint="eastAsia" w:ascii="宋体" w:hAnsi="宋体"/>
          <w:sz w:val="24"/>
        </w:rPr>
        <w:t xml:space="preserve">。</w:t>
      </w:r>
      <w:r>
        <w:rPr>
          <w:rFonts w:hint="eastAsia" w:ascii="宋体" w:hAnsi="宋体" w:cs="宋体"/>
          <w:spacing w:val="10"/>
          <w:sz w:val="24"/>
        </w:rPr>
        <w:t xml:space="preserve">质保期壹年（自交货验收合格之日起计）。</w:t>
      </w:r>
      <w:r/>
    </w:p>
    <w:p>
      <w:pPr>
        <w:pStyle w:val="1199"/>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六、产品要求</w:t>
      </w:r>
      <w:r/>
    </w:p>
    <w:p>
      <w:pPr>
        <w:pStyle w:val="1199"/>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以上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人应无偿补换。</w:t>
      </w:r>
      <w:r/>
    </w:p>
    <w:p>
      <w:pPr>
        <w:pStyle w:val="1199"/>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七、项目实施要求</w:t>
      </w:r>
      <w:r/>
    </w:p>
    <w:p>
      <w:pPr>
        <w:pStyle w:val="923"/>
        <w:ind w:firstLine="482"/>
        <w:spacing w:line="360" w:lineRule="auto"/>
        <w:rPr>
          <w:rFonts w:ascii="宋体" w:hAnsi="宋体" w:cs="宋体"/>
          <w:sz w:val="24"/>
        </w:rPr>
      </w:pPr>
      <w:r>
        <w:rPr>
          <w:rFonts w:hint="eastAsia" w:ascii="宋体" w:hAnsi="宋体" w:cs="宋体"/>
          <w:b/>
          <w:bCs/>
          <w:color w:val="000000"/>
          <w:sz w:val="24"/>
        </w:rPr>
        <w:t xml:space="preserve">1、供应商可选报任意或全部采购包，供应商可以兼投但不可兼中，如果采购包 1中标后，可继续参与采购包2的评审，但不能再次中标(以此类推)。</w:t>
      </w:r>
      <w:r/>
    </w:p>
    <w:p>
      <w:pPr>
        <w:pStyle w:val="1199"/>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2、交付期限：</w:t>
      </w:r>
      <w:r>
        <w:rPr>
          <w:rFonts w:hint="eastAsia" w:asciiTheme="minorEastAsia" w:hAnsiTheme="minorEastAsia" w:eastAsiaTheme="minorEastAsia"/>
          <w:sz w:val="24"/>
          <w:lang w:eastAsia="zh-CN"/>
        </w:rPr>
        <w:t xml:space="preserve">成交供应商必须在合同签订后三日内按采购人要求将货物送至指定地点</w:t>
      </w:r>
      <w:r>
        <w:rPr>
          <w:rFonts w:hint="eastAsia" w:ascii="宋体" w:hAnsi="宋体" w:eastAsia="宋体" w:cs="宋体"/>
          <w:sz w:val="24"/>
          <w:szCs w:val="24"/>
          <w:lang w:eastAsia="zh-CN"/>
        </w:rPr>
        <w:t xml:space="preserve">。</w:t>
      </w:r>
      <w:r/>
    </w:p>
    <w:p>
      <w:pPr>
        <w:pStyle w:val="1199"/>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p>
    <w:p>
      <w:pPr>
        <w:pStyle w:val="1199"/>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1199"/>
        <w:ind w:firstLine="480"/>
        <w:spacing w:line="360" w:lineRule="auto"/>
        <w:rPr>
          <w:rFonts w:ascii="宋体" w:hAnsi="宋体" w:eastAsia="宋体" w:cs="宋体"/>
          <w:sz w:val="24"/>
          <w:szCs w:val="24"/>
          <w:lang w:eastAsia="zh-CN"/>
        </w:rPr>
      </w:pPr>
      <w:r>
        <w:rPr>
          <w:rFonts w:hint="eastAsia" w:ascii="宋体" w:hAnsi="宋体" w:cs="宋体"/>
          <w:sz w:val="24"/>
          <w:lang w:eastAsia="zh-CN"/>
        </w:rPr>
        <w:t xml:space="preserve">5、供</w:t>
      </w:r>
      <w:r>
        <w:rPr>
          <w:rFonts w:hint="eastAsia" w:ascii="宋体" w:hAnsi="宋体" w:eastAsia="宋体" w:cs="宋体"/>
          <w:sz w:val="24"/>
          <w:lang w:eastAsia="zh-CN"/>
        </w:rPr>
        <w:t xml:space="preserve">应</w:t>
      </w:r>
      <w:r>
        <w:rPr>
          <w:rFonts w:hint="eastAsia" w:ascii="MS Gothic" w:hAnsi="MS Gothic" w:eastAsia="MS Gothic" w:cs="MS Gothic"/>
          <w:sz w:val="24"/>
          <w:lang w:eastAsia="zh-CN"/>
        </w:rPr>
        <w:t xml:space="preserve">商必</w:t>
      </w:r>
      <w:r>
        <w:rPr>
          <w:rFonts w:hint="eastAsia" w:ascii="宋体" w:hAnsi="宋体" w:eastAsia="宋体" w:cs="宋体"/>
          <w:sz w:val="24"/>
          <w:lang w:eastAsia="zh-CN"/>
        </w:rPr>
        <w:t xml:space="preserve">须</w:t>
      </w:r>
      <w:r>
        <w:rPr>
          <w:rFonts w:hint="eastAsia" w:ascii="MS Gothic" w:hAnsi="MS Gothic" w:eastAsia="MS Gothic" w:cs="MS Gothic"/>
          <w:sz w:val="24"/>
          <w:lang w:eastAsia="zh-CN"/>
        </w:rPr>
        <w:t xml:space="preserve">承</w:t>
      </w:r>
      <w:r>
        <w:rPr>
          <w:rFonts w:hint="eastAsia" w:ascii="宋体" w:hAnsi="宋体" w:eastAsia="宋体" w:cs="宋体"/>
          <w:sz w:val="24"/>
          <w:lang w:eastAsia="zh-CN"/>
        </w:rPr>
        <w:t xml:space="preserve">诺</w:t>
      </w:r>
      <w:r>
        <w:rPr>
          <w:rFonts w:hint="eastAsia" w:ascii="MS Gothic" w:hAnsi="MS Gothic" w:eastAsia="MS Gothic" w:cs="MS Gothic"/>
          <w:sz w:val="24"/>
          <w:lang w:eastAsia="zh-CN"/>
        </w:rPr>
        <w:t xml:space="preserve">招</w:t>
      </w:r>
      <w:r>
        <w:rPr>
          <w:rFonts w:hint="eastAsia" w:ascii="宋体" w:hAnsi="宋体" w:eastAsia="宋体" w:cs="宋体"/>
          <w:sz w:val="24"/>
          <w:lang w:eastAsia="zh-CN"/>
        </w:rPr>
        <w:t xml:space="preserve">标</w:t>
      </w:r>
      <w:r>
        <w:rPr>
          <w:rFonts w:hint="eastAsia" w:ascii="MS Gothic" w:hAnsi="MS Gothic" w:eastAsia="MS Gothic" w:cs="MS Gothic"/>
          <w:sz w:val="24"/>
          <w:lang w:eastAsia="zh-CN"/>
        </w:rPr>
        <w:t xml:space="preserve">文件中提出的全部技</w:t>
      </w:r>
      <w:r>
        <w:rPr>
          <w:rFonts w:hint="eastAsia" w:ascii="宋体" w:hAnsi="宋体" w:eastAsia="宋体" w:cs="宋体"/>
          <w:sz w:val="24"/>
          <w:lang w:eastAsia="zh-CN"/>
        </w:rPr>
        <w:t xml:space="preserve">术规</w:t>
      </w:r>
      <w:r>
        <w:rPr>
          <w:rFonts w:hint="eastAsia" w:ascii="MS Gothic" w:hAnsi="MS Gothic" w:eastAsia="MS Gothic" w:cs="MS Gothic"/>
          <w:sz w:val="24"/>
          <w:lang w:eastAsia="zh-CN"/>
        </w:rPr>
        <w:t xml:space="preserve">格与要求，如果以其中某些条款不响</w:t>
      </w:r>
      <w:r>
        <w:rPr>
          <w:rFonts w:hint="eastAsia" w:ascii="宋体" w:hAnsi="宋体" w:eastAsia="宋体" w:cs="宋体"/>
          <w:sz w:val="24"/>
          <w:lang w:eastAsia="zh-CN"/>
        </w:rPr>
        <w:t xml:space="preserve">应时</w:t>
      </w:r>
      <w:r>
        <w:rPr>
          <w:rFonts w:hint="eastAsia" w:ascii="MS Gothic" w:hAnsi="MS Gothic" w:eastAsia="MS Gothic" w:cs="MS Gothic"/>
          <w:sz w:val="24"/>
          <w:lang w:eastAsia="zh-CN"/>
        </w:rPr>
        <w:t xml:space="preserve">，</w:t>
      </w:r>
      <w:r>
        <w:rPr>
          <w:rFonts w:hint="eastAsia" w:ascii="宋体" w:hAnsi="宋体" w:eastAsia="宋体" w:cs="宋体"/>
          <w:sz w:val="24"/>
          <w:lang w:eastAsia="zh-CN"/>
        </w:rPr>
        <w:t xml:space="preserve">应</w:t>
      </w:r>
      <w:r>
        <w:rPr>
          <w:rFonts w:hint="eastAsia" w:ascii="MS Gothic" w:hAnsi="MS Gothic" w:eastAsia="MS Gothic" w:cs="MS Gothic"/>
          <w:sz w:val="24"/>
          <w:lang w:eastAsia="zh-CN"/>
        </w:rPr>
        <w:t xml:space="preserve">在文件中逐条列出，未列出的</w:t>
      </w:r>
      <w:r>
        <w:rPr>
          <w:rFonts w:hint="eastAsia" w:ascii="宋体" w:hAnsi="宋体" w:eastAsia="宋体" w:cs="宋体"/>
          <w:sz w:val="24"/>
          <w:lang w:eastAsia="zh-CN"/>
        </w:rPr>
        <w:t xml:space="preserve">视</w:t>
      </w:r>
      <w:r>
        <w:rPr>
          <w:rFonts w:hint="eastAsia" w:ascii="MS Gothic" w:hAnsi="MS Gothic" w:eastAsia="MS Gothic" w:cs="MS Gothic"/>
          <w:sz w:val="24"/>
          <w:lang w:eastAsia="zh-CN"/>
        </w:rPr>
        <w:t xml:space="preserve">同响</w:t>
      </w:r>
      <w:r>
        <w:rPr>
          <w:rFonts w:hint="eastAsia" w:ascii="宋体" w:hAnsi="宋体" w:eastAsia="宋体" w:cs="宋体"/>
          <w:sz w:val="24"/>
          <w:lang w:eastAsia="zh-CN"/>
        </w:rPr>
        <w:t xml:space="preserve">应</w:t>
      </w:r>
      <w:r>
        <w:rPr>
          <w:rFonts w:hint="eastAsia" w:ascii="宋体" w:hAnsi="宋体" w:cs="宋体"/>
          <w:sz w:val="24"/>
          <w:lang w:eastAsia="zh-CN"/>
        </w:rPr>
        <w:t xml:space="preserve">。</w:t>
      </w:r>
      <w:r/>
    </w:p>
    <w:p>
      <w:pPr>
        <w:spacing w:line="348" w:lineRule="auto"/>
        <w:rPr>
          <w:rFonts w:ascii="宋体" w:hAnsi="宋体" w:cs="宋体"/>
          <w:b/>
          <w:sz w:val="24"/>
          <w:szCs w:val="21"/>
          <w:lang w:val="zh-CN"/>
        </w:rPr>
      </w:pPr>
      <w:r>
        <w:rPr>
          <w:rFonts w:hint="eastAsia" w:ascii="宋体" w:hAnsi="宋体" w:cs="宋体"/>
          <w:b/>
          <w:sz w:val="24"/>
          <w:szCs w:val="21"/>
        </w:rPr>
        <w:t xml:space="preserve">八、</w:t>
      </w:r>
      <w:r>
        <w:rPr>
          <w:rFonts w:hint="eastAsia" w:ascii="宋体" w:hAnsi="宋体" w:cs="宋体"/>
          <w:b/>
          <w:sz w:val="24"/>
          <w:szCs w:val="21"/>
          <w:lang w:val="zh-CN"/>
        </w:rPr>
        <w:t xml:space="preserve">其他要求</w:t>
      </w:r>
      <w:r/>
    </w:p>
    <w:p>
      <w:pPr>
        <w:ind w:firstLine="480"/>
        <w:spacing w:line="500" w:lineRule="exact"/>
        <w:widowControl w:val="off"/>
        <w:rPr>
          <w:rFonts w:ascii="宋体" w:hAnsi="宋体" w:cs="宋体"/>
          <w:color w:val="000000"/>
          <w:sz w:val="24"/>
          <w:szCs w:val="24"/>
        </w:rPr>
      </w:pPr>
      <w:r>
        <w:rPr>
          <w:rFonts w:hint="eastAsia" w:ascii="宋体" w:hAnsi="宋体" w:cs="宋体"/>
          <w:sz w:val="24"/>
          <w:lang w:val="zh-CN"/>
        </w:rPr>
        <w:t xml:space="preserve">其它要求见招标文件《拟签订的合同文本》。</w:t>
      </w:r>
      <w:r>
        <w:rPr>
          <w:rFonts w:hint="eastAsia" w:ascii="宋体" w:hAnsi="宋体" w:cs="宋体"/>
          <w:bCs/>
          <w:color w:val="000000"/>
          <w:sz w:val="24"/>
          <w:szCs w:val="24"/>
        </w:rPr>
        <w:t xml:space="preserve">。</w:t>
      </w:r>
      <w:r/>
    </w:p>
    <w:p>
      <w:pPr>
        <w:pStyle w:val="921"/>
        <w:rPr>
          <w:rFonts w:ascii="宋体" w:hAnsi="宋体" w:cs="宋体"/>
          <w:color w:val="000000"/>
          <w:sz w:val="24"/>
        </w:rPr>
      </w:pPr>
      <w:r>
        <w:rPr>
          <w:rFonts w:hint="eastAsia" w:ascii="宋体" w:hAnsi="宋体" w:cs="宋体"/>
          <w:color w:val="000000"/>
          <w:sz w:val="24"/>
        </w:rPr>
        <w:br w:type="page" w:clear="all"/>
      </w:r>
      <w:r/>
    </w:p>
    <w:p>
      <w:pPr>
        <w:pStyle w:val="921"/>
        <w:jc w:val="center"/>
        <w:spacing w:line="240" w:lineRule="atLeast"/>
        <w:rPr>
          <w:rStyle w:val="997"/>
          <w:rFonts w:ascii="宋体" w:hAnsi="宋体" w:eastAsia="宋体" w:cs="宋体"/>
          <w:color w:val="000000"/>
          <w:sz w:val="28"/>
          <w:szCs w:val="28"/>
        </w:rPr>
      </w:pPr>
      <w:r>
        <w:rPr>
          <w:rStyle w:val="997"/>
          <w:rFonts w:hint="eastAsia" w:ascii="宋体" w:hAnsi="宋体" w:eastAsia="宋体" w:cs="宋体"/>
          <w:color w:val="000000"/>
          <w:sz w:val="28"/>
          <w:szCs w:val="28"/>
        </w:rPr>
        <w:t xml:space="preserve">第七章  投标文件相关格式</w:t>
      </w:r>
      <w:bookmarkEnd w:id="14"/>
      <w:r/>
      <w:bookmarkEnd w:id="15"/>
      <w:r/>
      <w:r/>
    </w:p>
    <w:p>
      <w:pPr>
        <w:pStyle w:val="921"/>
        <w:jc w:val="center"/>
        <w:rPr>
          <w:rFonts w:ascii="宋体" w:hAnsi="宋体" w:cs="宋体"/>
          <w:b/>
          <w:bCs/>
          <w:color w:val="000000"/>
          <w:sz w:val="28"/>
          <w:szCs w:val="28"/>
        </w:rPr>
      </w:pPr>
      <w:r>
        <w:rPr>
          <w:rFonts w:hint="eastAsia" w:ascii="宋体" w:hAnsi="宋体" w:cs="宋体"/>
          <w:b/>
          <w:bCs/>
          <w:color w:val="000000"/>
          <w:sz w:val="28"/>
          <w:szCs w:val="28"/>
        </w:rPr>
        <w:t xml:space="preserve">一、投标函格式</w:t>
      </w:r>
      <w:r/>
    </w:p>
    <w:p>
      <w:pPr>
        <w:pStyle w:val="921"/>
        <w:spacing w:line="440" w:lineRule="exact"/>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新沂市农业农村局、江苏新诺项目管理有限公司</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新沂市2026年秋粮重大病虫害防控和玉米重大病虫生物防治</w:t>
      </w:r>
      <w:r>
        <w:rPr>
          <w:rFonts w:hint="eastAsia" w:ascii="宋体" w:hAnsi="宋体" w:cs="宋体"/>
          <w:color w:val="000000"/>
          <w:sz w:val="24"/>
        </w:rPr>
        <w:t xml:space="preserve">[项目编号</w:t>
      </w:r>
      <w:r>
        <w:rPr>
          <w:rFonts w:hint="eastAsia" w:ascii="宋体" w:hAnsi="宋体" w:cs="宋体"/>
          <w:color w:val="000000"/>
          <w:sz w:val="24"/>
          <w:u w:val="single"/>
        </w:rPr>
        <w:t xml:space="preserve">：</w:t>
      </w:r>
      <w:r>
        <w:rPr>
          <w:rFonts w:hint="eastAsia" w:ascii="宋体" w:hAnsi="宋体" w:cs="宋体"/>
          <w:color w:val="000000"/>
          <w:sz w:val="24"/>
          <w:u w:val="single"/>
          <w:lang w:eastAsia="zh-CN"/>
        </w:rPr>
        <w:t xml:space="preserve">JSZC-320381-XNGL-G2026-0005</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w:t>
      </w:r>
      <w:r>
        <w:rPr>
          <w:rFonts w:hint="eastAsia" w:ascii="宋体" w:hAnsi="宋体" w:cs="宋体"/>
          <w:color w:val="000000"/>
          <w:sz w:val="24"/>
        </w:rPr>
        <w:t xml:space="preserve">全权处理本次投标的有关事宜。</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据此函，投标人承诺并同意如下： </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1. 投标人唯一投标报价见《开标一览表》。</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6. 投标人同意按照招标文件规定支付招标代理服务费。</w:t>
      </w:r>
      <w:r/>
    </w:p>
    <w:p>
      <w:pPr>
        <w:pStyle w:val="921"/>
        <w:ind w:right="29" w:firstLine="560"/>
        <w:spacing w:line="440" w:lineRule="exact"/>
        <w:rPr>
          <w:rFonts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921"/>
        <w:ind w:right="29" w:firstLine="560"/>
        <w:spacing w:line="440" w:lineRule="exact"/>
        <w:rPr>
          <w:rFonts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9. 与本投标有关的一切正式往来信函请寄：</w:t>
      </w:r>
      <w:r/>
    </w:p>
    <w:p>
      <w:pPr>
        <w:pStyle w:val="921"/>
        <w:ind w:firstLine="1120"/>
        <w:spacing w:line="440" w:lineRule="exact"/>
        <w:rPr>
          <w:rFonts w:ascii="宋体" w:hAnsi="宋体" w:cs="宋体"/>
          <w:color w:val="000000"/>
          <w:sz w:val="24"/>
        </w:rPr>
      </w:pPr>
      <w:r>
        <w:rPr>
          <w:rFonts w:hint="eastAsia" w:ascii="宋体" w:hAnsi="宋体" w:cs="宋体"/>
          <w:color w:val="000000"/>
          <w:sz w:val="24"/>
        </w:rPr>
        <w:t xml:space="preserve">地址： </w:t>
      </w:r>
      <w:r/>
    </w:p>
    <w:p>
      <w:pPr>
        <w:pStyle w:val="921"/>
        <w:ind w:firstLine="1120"/>
        <w:spacing w:line="440" w:lineRule="exact"/>
        <w:rPr>
          <w:rFonts w:ascii="宋体" w:hAnsi="宋体" w:cs="宋体"/>
          <w:color w:val="000000"/>
          <w:sz w:val="24"/>
        </w:rPr>
      </w:pPr>
      <w:r>
        <w:rPr>
          <w:rFonts w:hint="eastAsia" w:ascii="宋体" w:hAnsi="宋体" w:cs="宋体"/>
          <w:color w:val="000000"/>
          <w:sz w:val="24"/>
        </w:rPr>
        <w:t xml:space="preserve">电话： </w:t>
      </w:r>
      <w:r/>
    </w:p>
    <w:p>
      <w:pPr>
        <w:pStyle w:val="921"/>
        <w:ind w:firstLine="1120"/>
        <w:spacing w:line="440" w:lineRule="exact"/>
        <w:rPr>
          <w:rFonts w:ascii="宋体" w:hAnsi="宋体" w:cs="宋体"/>
          <w:color w:val="000000"/>
          <w:sz w:val="24"/>
        </w:rPr>
      </w:pPr>
      <w:r>
        <w:rPr>
          <w:rFonts w:hint="eastAsia" w:ascii="宋体" w:hAnsi="宋体" w:cs="宋体"/>
          <w:color w:val="000000"/>
          <w:sz w:val="24"/>
        </w:rPr>
        <w:t xml:space="preserve">传真： </w:t>
      </w:r>
      <w:r/>
    </w:p>
    <w:p>
      <w:pPr>
        <w:pStyle w:val="921"/>
        <w:spacing w:line="440" w:lineRule="exact"/>
        <w:rPr>
          <w:rFonts w:ascii="宋体" w:hAnsi="宋体" w:cs="宋体"/>
          <w:color w:val="000000"/>
          <w:sz w:val="24"/>
        </w:rPr>
      </w:pPr>
      <w:r>
        <w:rPr>
          <w:rFonts w:ascii="宋体" w:hAnsi="宋体" w:cs="宋体"/>
          <w:color w:val="000000"/>
          <w:sz w:val="24"/>
        </w:rPr>
      </w:r>
      <w:r/>
    </w:p>
    <w:p>
      <w:pPr>
        <w:pStyle w:val="921"/>
        <w:ind w:firstLine="2520"/>
        <w:spacing w:line="44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921"/>
        <w:ind w:firstLine="4200"/>
        <w:spacing w:line="440" w:lineRule="exact"/>
        <w:rPr>
          <w:rFonts w:ascii="宋体" w:hAnsi="宋体" w:cs="宋体"/>
          <w:color w:val="000000"/>
          <w:sz w:val="24"/>
        </w:rPr>
      </w:pPr>
      <w:r>
        <w:rPr>
          <w:rFonts w:hint="eastAsia" w:ascii="宋体" w:hAnsi="宋体" w:cs="宋体"/>
          <w:color w:val="000000"/>
          <w:sz w:val="24"/>
        </w:rPr>
        <w:t xml:space="preserve">日期：   年  月  日</w:t>
      </w:r>
      <w:r/>
    </w:p>
    <w:p>
      <w:pPr>
        <w:pStyle w:val="921"/>
        <w:spacing w:line="400" w:lineRule="exact"/>
        <w:rPr>
          <w:rFonts w:ascii="宋体" w:hAnsi="宋体" w:cs="宋体"/>
          <w:color w:val="000000"/>
          <w:sz w:val="24"/>
        </w:rPr>
      </w:pPr>
      <w:r>
        <w:rPr>
          <w:rFonts w:hint="eastAsia" w:ascii="宋体" w:hAnsi="宋体" w:cs="宋体"/>
          <w:color w:val="000000"/>
          <w:sz w:val="24"/>
        </w:rPr>
        <w:br w:type="page" w:clear="all"/>
      </w:r>
      <w:r/>
    </w:p>
    <w:p>
      <w:pPr>
        <w:pStyle w:val="921"/>
        <w:jc w:val="center"/>
        <w:spacing w:line="480" w:lineRule="exact"/>
        <w:rPr>
          <w:rFonts w:ascii="宋体" w:hAnsi="宋体" w:cs="宋体"/>
          <w:color w:val="000000"/>
          <w:sz w:val="24"/>
        </w:rPr>
      </w:pPr>
      <w:r>
        <w:rPr>
          <w:rFonts w:hint="eastAsia" w:ascii="宋体" w:hAnsi="宋体" w:cs="宋体"/>
          <w:b/>
          <w:bCs/>
          <w:color w:val="000000"/>
          <w:sz w:val="24"/>
        </w:rPr>
        <w:t xml:space="preserve">二、开标一览表格式</w:t>
      </w:r>
      <w:r/>
    </w:p>
    <w:p>
      <w:pPr>
        <w:pStyle w:val="921"/>
        <w:ind w:firstLine="560"/>
        <w:spacing w:line="520" w:lineRule="exact"/>
        <w:rPr>
          <w:rFonts w:ascii="宋体" w:hAnsi="宋体" w:cs="宋体"/>
          <w:color w:val="000000"/>
          <w:sz w:val="24"/>
        </w:rPr>
      </w:pPr>
      <w:r>
        <w:rPr>
          <w:rFonts w:ascii="宋体" w:hAnsi="宋体" w:cs="宋体"/>
          <w:color w:val="000000"/>
          <w:sz w:val="24"/>
        </w:rPr>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项目名称：新沂市2026年秋粮重大病虫害防控和玉米重大病虫生物防治                 </w:t>
      </w:r>
      <w:r/>
    </w:p>
    <w:p>
      <w:pPr>
        <w:pStyle w:val="921"/>
        <w:ind w:firstLine="560"/>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项目编号： </w:t>
      </w:r>
      <w:r>
        <w:rPr>
          <w:rFonts w:hint="eastAsia" w:ascii="宋体" w:hAnsi="宋体" w:cs="宋体"/>
          <w:color w:val="000000"/>
          <w:sz w:val="24"/>
          <w:lang w:eastAsia="zh-CN"/>
        </w:rPr>
        <w:t xml:space="preserve">JSZC-320381-XNGL-G2026-0005</w:t>
      </w:r>
      <w:r/>
    </w:p>
    <w:p>
      <w:pPr>
        <w:pStyle w:val="921"/>
        <w:ind w:firstLine="560"/>
        <w:jc w:val="right"/>
        <w:spacing w:line="52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54"/>
        <w:tblW w:w="9823"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83"/>
        <w:gridCol w:w="1418"/>
        <w:gridCol w:w="1746"/>
        <w:gridCol w:w="1656"/>
        <w:gridCol w:w="1559"/>
        <w:gridCol w:w="1276"/>
        <w:gridCol w:w="785"/>
      </w:tblGrid>
      <w:tr>
        <w:trPr>
          <w:cantSplit/>
          <w:jc w:val="center"/>
          <w:trHeight w:val="884"/>
        </w:trPr>
        <w:tc>
          <w:tcPr>
            <w:tcW w:w="1383"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项目名称</w:t>
            </w:r>
            <w:r/>
          </w:p>
        </w:tc>
        <w:tc>
          <w:tcPr>
            <w:tcW w:w="1418"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采购包名称</w:t>
            </w:r>
            <w:r/>
          </w:p>
        </w:tc>
        <w:tc>
          <w:tcPr>
            <w:tcW w:w="174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产品名称</w:t>
            </w:r>
            <w:r/>
          </w:p>
        </w:tc>
        <w:tc>
          <w:tcPr>
            <w:tcW w:w="165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供货数量（kg）</w:t>
            </w:r>
            <w:r/>
          </w:p>
        </w:tc>
        <w:tc>
          <w:tcPr>
            <w:tcW w:w="1559" w:type="dxa"/>
            <w:vAlign w:val="center"/>
            <w:textDirection w:val="lrTb"/>
            <w:noWrap w:val="false"/>
          </w:tcPr>
          <w:p>
            <w:pPr>
              <w:pStyle w:val="923"/>
              <w:ind w:right="-57"/>
              <w:jc w:val="center"/>
              <w:rPr>
                <w:rFonts w:ascii="宋体" w:hAnsi="宋体" w:cs="宋体"/>
                <w:sz w:val="24"/>
              </w:rPr>
            </w:pPr>
            <w:r/>
            <w:bookmarkStart w:id="30" w:name="OLE_LINK27"/>
            <w:r/>
            <w:bookmarkStart w:id="31" w:name="OLE_LINK26"/>
            <w:r>
              <w:rPr>
                <w:rFonts w:hint="eastAsia" w:ascii="宋体" w:hAnsi="宋体" w:cs="宋体"/>
                <w:sz w:val="24"/>
              </w:rPr>
              <w:t xml:space="preserve">单价</w:t>
            </w:r>
            <w:bookmarkEnd w:id="30"/>
            <w:r/>
            <w:bookmarkEnd w:id="31"/>
            <w:r>
              <w:rPr>
                <w:rFonts w:hint="eastAsia" w:ascii="宋体" w:hAnsi="宋体" w:cs="宋体"/>
                <w:sz w:val="24"/>
              </w:rPr>
              <w:t xml:space="preserve">（元/kg）</w:t>
            </w:r>
            <w:r/>
          </w:p>
        </w:tc>
        <w:tc>
          <w:tcPr>
            <w:tcW w:w="127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总额（小写）</w:t>
            </w:r>
            <w:r/>
          </w:p>
        </w:tc>
        <w:tc>
          <w:tcPr>
            <w:tcW w:w="785"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备注</w:t>
            </w:r>
            <w:r/>
          </w:p>
        </w:tc>
      </w:tr>
      <w:tr>
        <w:trPr>
          <w:cantSplit/>
          <w:jc w:val="center"/>
          <w:trHeight w:val="737"/>
        </w:trPr>
        <w:tc>
          <w:tcPr>
            <w:tcW w:w="1383" w:type="dxa"/>
            <w:vAlign w:val="center"/>
            <w:vMerge w:val="restart"/>
            <w:textDirection w:val="lrTb"/>
            <w:noWrap w:val="false"/>
          </w:tcPr>
          <w:p>
            <w:pPr>
              <w:pStyle w:val="923"/>
              <w:ind w:right="-57"/>
              <w:jc w:val="center"/>
              <w:rPr>
                <w:rFonts w:ascii="宋体" w:hAnsi="宋体" w:cs="宋体"/>
                <w:sz w:val="24"/>
              </w:rPr>
            </w:pPr>
            <w:r>
              <w:rPr>
                <w:rFonts w:hint="eastAsia" w:ascii="宋体" w:hAnsi="宋体" w:cs="宋体"/>
                <w:sz w:val="24"/>
              </w:rPr>
              <w:t xml:space="preserve"> 新沂市2026年秋粮重大病虫害防控和玉米重大病虫生物防治</w:t>
            </w:r>
            <w:r/>
          </w:p>
        </w:tc>
        <w:tc>
          <w:tcPr>
            <w:tcW w:w="1418" w:type="dxa"/>
            <w:vAlign w:val="center"/>
            <w:vMerge w:val="restart"/>
            <w:textDirection w:val="lrTb"/>
            <w:noWrap w:val="false"/>
          </w:tcPr>
          <w:p>
            <w:pPr>
              <w:pStyle w:val="923"/>
              <w:ind w:right="-57"/>
              <w:rPr>
                <w:rFonts w:ascii="宋体" w:hAnsi="宋体" w:cs="宋体"/>
                <w:sz w:val="20"/>
                <w:szCs w:val="20"/>
              </w:rPr>
            </w:pPr>
            <w:r>
              <w:rPr>
                <w:rFonts w:ascii="宋体" w:hAnsi="宋体" w:cs="宋体"/>
                <w:sz w:val="20"/>
                <w:szCs w:val="20"/>
              </w:rPr>
            </w:r>
            <w:r/>
          </w:p>
        </w:tc>
        <w:tc>
          <w:tcPr>
            <w:tcW w:w="1746" w:type="dxa"/>
            <w:vAlign w:val="center"/>
            <w:textDirection w:val="lrTb"/>
            <w:noWrap w:val="false"/>
          </w:tcPr>
          <w:p>
            <w:pPr>
              <w:pStyle w:val="923"/>
              <w:ind w:right="-57"/>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56" w:type="dxa"/>
            <w:vAlign w:val="center"/>
            <w:textDirection w:val="lrTb"/>
            <w:noWrap w:val="false"/>
          </w:tcPr>
          <w:p>
            <w:pPr>
              <w:pStyle w:val="92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9"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 </w:t>
            </w:r>
            <w:r/>
          </w:p>
        </w:tc>
        <w:tc>
          <w:tcPr>
            <w:tcW w:w="785" w:type="dxa"/>
            <w:vAlign w:val="center"/>
            <w:textDirection w:val="lrTb"/>
            <w:noWrap w:val="false"/>
          </w:tcPr>
          <w:p>
            <w:pPr>
              <w:pStyle w:val="923"/>
              <w:contextualSpacing/>
              <w:jc w:val="left"/>
              <w:widowControl/>
              <w:rPr>
                <w:rFonts w:ascii="宋体" w:hAnsi="宋体" w:cs="宋体"/>
                <w:sz w:val="24"/>
              </w:rPr>
            </w:pPr>
            <w:r>
              <w:rPr>
                <w:rFonts w:ascii="宋体" w:hAnsi="宋体" w:cs="宋体"/>
                <w:sz w:val="24"/>
              </w:rPr>
            </w:r>
            <w:r/>
          </w:p>
        </w:tc>
      </w:tr>
      <w:tr>
        <w:trPr>
          <w:cantSplit/>
          <w:jc w:val="center"/>
          <w:trHeight w:val="988"/>
        </w:trPr>
        <w:tc>
          <w:tcPr>
            <w:tcW w:w="1383" w:type="dxa"/>
            <w:vAlign w:val="center"/>
            <w:vMerge w:val="continue"/>
            <w:textDirection w:val="lrTb"/>
            <w:noWrap w:val="false"/>
          </w:tcPr>
          <w:p>
            <w:pPr>
              <w:pStyle w:val="923"/>
              <w:ind w:right="-57"/>
              <w:jc w:val="center"/>
              <w:rPr>
                <w:rFonts w:ascii="宋体" w:hAnsi="宋体" w:cs="宋体"/>
                <w:sz w:val="24"/>
              </w:rPr>
            </w:pPr>
            <w:r>
              <w:rPr>
                <w:rFonts w:ascii="宋体" w:hAnsi="宋体" w:cs="宋体"/>
                <w:sz w:val="24"/>
              </w:rPr>
            </w:r>
            <w:r/>
          </w:p>
        </w:tc>
        <w:tc>
          <w:tcPr>
            <w:tcW w:w="1418" w:type="dxa"/>
            <w:vAlign w:val="center"/>
            <w:vMerge w:val="continue"/>
            <w:textDirection w:val="lrTb"/>
            <w:noWrap w:val="false"/>
          </w:tcPr>
          <w:p>
            <w:pPr>
              <w:pStyle w:val="923"/>
              <w:ind w:right="-57"/>
              <w:rPr>
                <w:rFonts w:ascii="宋体" w:hAnsi="宋体" w:cs="宋体"/>
                <w:sz w:val="20"/>
                <w:szCs w:val="20"/>
              </w:rPr>
            </w:pPr>
            <w:r>
              <w:rPr>
                <w:rFonts w:ascii="宋体" w:hAnsi="宋体" w:cs="宋体"/>
                <w:sz w:val="20"/>
                <w:szCs w:val="20"/>
              </w:rPr>
            </w:r>
            <w:r/>
          </w:p>
        </w:tc>
        <w:tc>
          <w:tcPr>
            <w:tcW w:w="1746" w:type="dxa"/>
            <w:vAlign w:val="center"/>
            <w:textDirection w:val="lrTb"/>
            <w:noWrap w:val="false"/>
          </w:tcPr>
          <w:p>
            <w:pPr>
              <w:pStyle w:val="923"/>
              <w:ind w:right="-57"/>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56" w:type="dxa"/>
            <w:vAlign w:val="center"/>
            <w:textDirection w:val="lrTb"/>
            <w:noWrap w:val="false"/>
          </w:tcPr>
          <w:p>
            <w:pPr>
              <w:pStyle w:val="92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9"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923"/>
              <w:contextualSpacing/>
              <w:jc w:val="left"/>
              <w:widowControl/>
              <w:rPr>
                <w:rFonts w:ascii="宋体" w:hAnsi="宋体" w:cs="宋体"/>
                <w:sz w:val="24"/>
              </w:rPr>
            </w:pPr>
            <w:r>
              <w:rPr>
                <w:rFonts w:ascii="宋体" w:hAnsi="宋体" w:cs="宋体"/>
                <w:sz w:val="24"/>
              </w:rPr>
            </w:r>
            <w:r/>
          </w:p>
        </w:tc>
      </w:tr>
      <w:tr>
        <w:trPr>
          <w:cantSplit/>
          <w:jc w:val="center"/>
          <w:trHeight w:val="847"/>
        </w:trPr>
        <w:tc>
          <w:tcPr>
            <w:tcW w:w="1383" w:type="dxa"/>
            <w:vAlign w:val="center"/>
            <w:vMerge w:val="continue"/>
            <w:textDirection w:val="lrTb"/>
            <w:noWrap w:val="false"/>
          </w:tcPr>
          <w:p>
            <w:pPr>
              <w:pStyle w:val="923"/>
              <w:ind w:right="-57"/>
              <w:jc w:val="center"/>
              <w:rPr>
                <w:rFonts w:ascii="宋体" w:hAnsi="宋体" w:cs="宋体"/>
                <w:sz w:val="24"/>
              </w:rPr>
            </w:pPr>
            <w:r>
              <w:rPr>
                <w:rFonts w:ascii="宋体" w:hAnsi="宋体" w:cs="宋体"/>
                <w:sz w:val="24"/>
              </w:rPr>
            </w:r>
            <w:r/>
          </w:p>
        </w:tc>
        <w:tc>
          <w:tcPr>
            <w:tcW w:w="1418" w:type="dxa"/>
            <w:vAlign w:val="center"/>
            <w:vMerge w:val="continue"/>
            <w:textDirection w:val="lrTb"/>
            <w:noWrap w:val="false"/>
          </w:tcPr>
          <w:p>
            <w:pPr>
              <w:pStyle w:val="923"/>
              <w:ind w:right="-57"/>
              <w:rPr>
                <w:rFonts w:ascii="宋体" w:hAnsi="宋体" w:cs="宋体"/>
                <w:sz w:val="20"/>
                <w:szCs w:val="20"/>
              </w:rPr>
            </w:pPr>
            <w:r>
              <w:rPr>
                <w:rFonts w:ascii="宋体" w:hAnsi="宋体" w:cs="宋体"/>
                <w:sz w:val="20"/>
                <w:szCs w:val="20"/>
              </w:rPr>
            </w:r>
            <w:r/>
          </w:p>
        </w:tc>
        <w:tc>
          <w:tcPr>
            <w:tcW w:w="1746" w:type="dxa"/>
            <w:vAlign w:val="center"/>
            <w:textDirection w:val="lrTb"/>
            <w:noWrap w:val="false"/>
          </w:tcPr>
          <w:p>
            <w:pPr>
              <w:pStyle w:val="923"/>
              <w:ind w:right="-57"/>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56" w:type="dxa"/>
            <w:vAlign w:val="center"/>
            <w:textDirection w:val="lrTb"/>
            <w:noWrap w:val="false"/>
          </w:tcPr>
          <w:p>
            <w:pPr>
              <w:pStyle w:val="92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9"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923"/>
              <w:contextualSpacing/>
              <w:jc w:val="left"/>
              <w:widowControl/>
              <w:rPr>
                <w:rFonts w:ascii="宋体" w:hAnsi="宋体" w:cs="宋体"/>
                <w:sz w:val="24"/>
              </w:rPr>
            </w:pPr>
            <w:r>
              <w:rPr>
                <w:rFonts w:ascii="宋体" w:hAnsi="宋体" w:cs="宋体"/>
                <w:sz w:val="24"/>
              </w:rPr>
            </w:r>
            <w:r/>
          </w:p>
        </w:tc>
      </w:tr>
      <w:tr>
        <w:trPr>
          <w:cantSplit/>
          <w:jc w:val="center"/>
          <w:trHeight w:val="845"/>
        </w:trPr>
        <w:tc>
          <w:tcPr>
            <w:gridSpan w:val="4"/>
            <w:tcW w:w="6203" w:type="dxa"/>
            <w:vAlign w:val="center"/>
            <w:textDirection w:val="lrTb"/>
            <w:noWrap w:val="false"/>
          </w:tcPr>
          <w:p>
            <w:pPr>
              <w:pStyle w:val="92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合</w:t>
            </w: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计</w:t>
            </w:r>
            <w:r/>
          </w:p>
        </w:tc>
        <w:tc>
          <w:tcPr>
            <w:tcW w:w="1559"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923"/>
              <w:contextualSpacing/>
              <w:jc w:val="left"/>
              <w:widowControl/>
              <w:rPr>
                <w:rFonts w:ascii="宋体" w:hAnsi="宋体" w:cs="宋体"/>
                <w:sz w:val="24"/>
              </w:rPr>
            </w:pPr>
            <w:r>
              <w:rPr>
                <w:rFonts w:ascii="宋体" w:hAnsi="宋体" w:cs="宋体"/>
                <w:sz w:val="24"/>
              </w:rPr>
            </w:r>
            <w:r/>
          </w:p>
        </w:tc>
      </w:tr>
      <w:tr>
        <w:trPr>
          <w:cantSplit/>
          <w:jc w:val="center"/>
          <w:trHeight w:val="815"/>
        </w:trPr>
        <w:tc>
          <w:tcPr>
            <w:gridSpan w:val="6"/>
            <w:tcW w:w="9038" w:type="dxa"/>
            <w:vAlign w:val="center"/>
            <w:textDirection w:val="lrTb"/>
            <w:noWrap w:val="false"/>
          </w:tcPr>
          <w:p>
            <w:pPr>
              <w:pStyle w:val="923"/>
              <w:ind w:right="-57" w:firstLine="480"/>
              <w:jc w:val="left"/>
              <w:rPr>
                <w:rFonts w:ascii="宋体" w:hAnsi="宋体" w:cs="宋体"/>
                <w:sz w:val="24"/>
              </w:rPr>
            </w:pPr>
            <w:r>
              <w:rPr>
                <w:rFonts w:hint="eastAsia" w:ascii="宋体" w:hAnsi="宋体" w:cs="宋体"/>
                <w:sz w:val="24"/>
              </w:rPr>
              <w:t xml:space="preserve">合计（大写）：</w:t>
            </w:r>
            <w:r/>
          </w:p>
        </w:tc>
        <w:tc>
          <w:tcPr>
            <w:tcW w:w="785" w:type="dxa"/>
            <w:textDirection w:val="lrTb"/>
            <w:noWrap w:val="false"/>
          </w:tcPr>
          <w:p>
            <w:pPr>
              <w:pStyle w:val="923"/>
              <w:ind w:right="-57"/>
              <w:jc w:val="center"/>
              <w:rPr>
                <w:rFonts w:ascii="宋体" w:hAnsi="宋体" w:cs="宋体"/>
                <w:sz w:val="24"/>
              </w:rPr>
            </w:pPr>
            <w:r>
              <w:rPr>
                <w:rFonts w:ascii="宋体" w:hAnsi="宋体" w:cs="宋体"/>
                <w:sz w:val="24"/>
              </w:rPr>
            </w:r>
            <w:r/>
          </w:p>
        </w:tc>
      </w:tr>
    </w:tbl>
    <w:p>
      <w:pPr>
        <w:pStyle w:val="1018"/>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w:t>
      </w:r>
      <w:r/>
    </w:p>
    <w:p>
      <w:pPr>
        <w:pStyle w:val="1197"/>
        <w:spacing w:line="360" w:lineRule="auto"/>
        <w:rPr>
          <w:rFonts w:hAnsi="宋体" w:cs="宋体"/>
          <w:sz w:val="24"/>
        </w:rPr>
      </w:pPr>
      <w:r>
        <w:rPr>
          <w:rFonts w:hint="eastAsia" w:hAnsi="宋体" w:cs="宋体"/>
          <w:b/>
          <w:bCs/>
          <w:sz w:val="24"/>
          <w:szCs w:val="24"/>
        </w:rPr>
        <w:t xml:space="preserve">注：本次采购不设具体数量，最终成交数量以不超</w:t>
      </w:r>
      <w:r>
        <w:rPr>
          <w:rFonts w:hint="eastAsia" w:cs="宋体" w:asciiTheme="minorEastAsia" w:hAnsiTheme="minorEastAsia" w:eastAsiaTheme="minorEastAsia"/>
          <w:b/>
          <w:bCs/>
          <w:sz w:val="24"/>
          <w:szCs w:val="24"/>
        </w:rPr>
        <w:t xml:space="preserve">过最高限制单价</w:t>
      </w:r>
      <w:r>
        <w:rPr>
          <w:rFonts w:hint="eastAsia" w:cs="仿宋" w:asciiTheme="minorEastAsia" w:hAnsiTheme="minorEastAsia" w:eastAsiaTheme="minorEastAsia"/>
          <w:b/>
          <w:bCs/>
          <w:sz w:val="24"/>
        </w:rPr>
        <w:t xml:space="preserve">和各项采购预算金额</w:t>
      </w:r>
      <w:r>
        <w:rPr>
          <w:rFonts w:hint="eastAsia" w:cs="宋体" w:asciiTheme="minorEastAsia" w:hAnsiTheme="minorEastAsia" w:eastAsiaTheme="minorEastAsia"/>
          <w:b/>
          <w:bCs/>
          <w:sz w:val="24"/>
          <w:szCs w:val="24"/>
        </w:rPr>
        <w:t xml:space="preserve">的</w:t>
      </w:r>
      <w:r>
        <w:rPr>
          <w:rFonts w:hint="eastAsia" w:hAnsi="宋体" w:cs="宋体"/>
          <w:b/>
          <w:bCs/>
          <w:sz w:val="24"/>
          <w:szCs w:val="24"/>
        </w:rPr>
        <w:t xml:space="preserve">最大整数计算；投标报价以各个产品的单价之和最低为优先原则。</w:t>
      </w:r>
      <w:r/>
    </w:p>
    <w:p>
      <w:pPr>
        <w:pStyle w:val="923"/>
        <w:spacing w:line="360" w:lineRule="auto"/>
        <w:rPr>
          <w:rFonts w:ascii="宋体" w:hAnsi="宋体" w:cs="宋体"/>
          <w:sz w:val="24"/>
        </w:rPr>
      </w:pPr>
      <w:r>
        <w:rPr>
          <w:rFonts w:hint="eastAsia" w:ascii="宋体" w:hAnsi="宋体" w:cs="宋体"/>
          <w:sz w:val="24"/>
        </w:rPr>
        <w:t xml:space="preserve">报价说明：</w:t>
      </w:r>
      <w:r/>
    </w:p>
    <w:p>
      <w:pPr>
        <w:pStyle w:val="923"/>
        <w:ind w:left="479"/>
        <w:spacing w:line="360" w:lineRule="auto"/>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pStyle w:val="923"/>
        <w:ind w:left="479"/>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pStyle w:val="923"/>
        <w:ind w:left="479"/>
        <w:spacing w:line="360" w:lineRule="auto"/>
        <w:rPr>
          <w:rFonts w:ascii="宋体" w:hAnsi="宋体" w:cs="宋体"/>
          <w:sz w:val="24"/>
        </w:rPr>
      </w:pPr>
      <w:r>
        <w:rPr>
          <w:rFonts w:hint="eastAsia" w:ascii="宋体" w:hAnsi="宋体" w:cs="宋体"/>
          <w:sz w:val="24"/>
        </w:rPr>
        <w:t xml:space="preserve">3、偏离说明：详见《偏离表》；</w:t>
      </w:r>
      <w:r/>
    </w:p>
    <w:p>
      <w:pPr>
        <w:pStyle w:val="923"/>
        <w:ind w:left="479"/>
        <w:spacing w:line="360" w:lineRule="auto"/>
        <w:rPr>
          <w:rFonts w:ascii="宋体" w:hAnsi="宋体" w:cs="宋体"/>
          <w:color w:val="000000"/>
          <w:sz w:val="24"/>
        </w:rPr>
      </w:pPr>
      <w:r>
        <w:rPr>
          <w:rFonts w:hint="eastAsia" w:ascii="宋体" w:hAnsi="宋体" w:cs="宋体"/>
          <w:sz w:val="24"/>
        </w:rPr>
        <w:t xml:space="preserve">4、如最后报价未列明单价，则最后所报各项单价计算方法为：（最后报价/最初报价）* 各项最初报价的单价。</w:t>
      </w:r>
      <w:r/>
    </w:p>
    <w:p>
      <w:pPr>
        <w:pStyle w:val="921"/>
        <w:spacing w:line="360" w:lineRule="auto"/>
        <w:rPr>
          <w:rFonts w:ascii="宋体" w:hAnsi="宋体" w:cs="宋体"/>
          <w:color w:val="000000"/>
          <w:sz w:val="28"/>
          <w:szCs w:val="28"/>
        </w:rPr>
      </w:pPr>
      <w:r>
        <w:rPr>
          <w:rFonts w:ascii="宋体" w:hAnsi="宋体" w:cs="宋体"/>
          <w:color w:val="000000"/>
          <w:sz w:val="28"/>
          <w:szCs w:val="28"/>
        </w:rPr>
      </w:r>
      <w:r/>
    </w:p>
    <w:p>
      <w:pPr>
        <w:pStyle w:val="921"/>
        <w:ind w:firstLine="3120"/>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480"/>
        <w:spacing w:line="36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921"/>
        <w:ind w:firstLine="312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21"/>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采购包：</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项目名称：新沂市2026年秋粮重大病虫害防控和玉米重大病虫生物防治  </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Segoe UI" w:hAnsi="Segoe UI" w:cs="Segoe UI"/>
          <w:szCs w:val="21"/>
          <w:shd w:val="clear" w:color="auto" w:fill="ffffff"/>
          <w:lang w:eastAsia="zh-CN"/>
        </w:rPr>
        <w:t xml:space="preserve">JSZC-320381-XNGL-G2026-0005</w:t>
      </w:r>
      <w:r>
        <w:rPr>
          <w:rFonts w:hint="eastAsia" w:ascii="宋体" w:hAnsi="宋体" w:cs="宋体"/>
          <w:color w:val="000000"/>
          <w:sz w:val="24"/>
        </w:rPr>
        <w:t xml:space="preserve">      </w:t>
      </w:r>
      <w:r/>
    </w:p>
    <w:p>
      <w:pPr>
        <w:pStyle w:val="921"/>
        <w:ind w:firstLine="560"/>
        <w:jc w:val="right"/>
        <w:spacing w:line="48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54"/>
        <w:tblW w:w="9272"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470"/>
        <w:gridCol w:w="881"/>
        <w:gridCol w:w="1843"/>
        <w:gridCol w:w="961"/>
        <w:gridCol w:w="993"/>
        <w:gridCol w:w="850"/>
        <w:gridCol w:w="79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采购包名称</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产品名称</w:t>
            </w:r>
            <w:r/>
          </w:p>
        </w:tc>
        <w:tc>
          <w:tcPr>
            <w:shd w:val="clear" w:color="auto" w:fill="c0c0c0"/>
            <w:tcMar>
              <w:left w:w="15" w:type="dxa"/>
              <w:top w:w="15" w:type="dxa"/>
              <w:right w:w="15" w:type="dxa"/>
              <w:bottom w:w="0" w:type="dxa"/>
            </w:tcMar>
            <w:tcW w:w="1470" w:type="dxa"/>
            <w:vAlign w:val="center"/>
            <w:textDirection w:val="lrTb"/>
            <w:noWrap w:val="false"/>
          </w:tcPr>
          <w:p>
            <w:pPr>
              <w:jc w:val="center"/>
              <w:rPr>
                <w:rFonts w:ascii="宋体" w:hAnsi="宋体" w:cs="宋体"/>
                <w:szCs w:val="21"/>
              </w:rPr>
            </w:pPr>
            <w:r>
              <w:rPr>
                <w:rFonts w:hint="eastAsia" w:ascii="宋体" w:hAnsi="宋体" w:cs="宋体"/>
                <w:szCs w:val="21"/>
              </w:rPr>
              <w:t xml:space="preserve">品牌、规格、型号</w:t>
            </w:r>
            <w:r/>
          </w:p>
        </w:tc>
        <w:tc>
          <w:tcPr>
            <w:shd w:val="clear" w:color="auto" w:fill="c0c0c0"/>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hint="eastAsia" w:ascii="宋体" w:hAnsi="宋体" w:cs="宋体"/>
                <w:szCs w:val="21"/>
              </w:rPr>
              <w:t xml:space="preserve">供货</w:t>
            </w:r>
            <w:r/>
          </w:p>
          <w:p>
            <w:pPr>
              <w:jc w:val="center"/>
              <w:rPr>
                <w:rFonts w:ascii="宋体" w:hAnsi="宋体" w:cs="宋体"/>
                <w:szCs w:val="21"/>
              </w:rPr>
            </w:pPr>
            <w:r>
              <w:rPr>
                <w:rFonts w:hint="eastAsia" w:ascii="宋体" w:hAnsi="宋体" w:cs="宋体"/>
                <w:szCs w:val="21"/>
              </w:rPr>
              <w:t xml:space="preserve">数量（kg）</w:t>
            </w:r>
            <w:r/>
          </w:p>
        </w:tc>
        <w:tc>
          <w:tcPr>
            <w:shd w:val="clear" w:color="auto" w:fill="c0c0c0"/>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hint="eastAsia" w:ascii="宋体" w:hAnsi="宋体" w:cs="宋体"/>
                <w:sz w:val="24"/>
              </w:rPr>
              <w:t xml:space="preserve">单价（元/kg）</w:t>
            </w:r>
            <w:r/>
          </w:p>
        </w:tc>
        <w:tc>
          <w:tcPr>
            <w:shd w:val="clear" w:color="auto" w:fill="c0c0c0"/>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总价（万元）</w:t>
            </w:r>
            <w:r/>
          </w:p>
        </w:tc>
        <w:tc>
          <w:tcPr>
            <w:shd w:val="clear" w:color="auto" w:fill="c0c0c0"/>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备注</w:t>
            </w:r>
            <w:r/>
          </w:p>
        </w:tc>
      </w:tr>
      <w:tr>
        <w:trPr>
          <w:jc w:val="center"/>
          <w:trHeight w:val="1032"/>
        </w:trPr>
        <w:tc>
          <w:tcPr>
            <w:tcMar>
              <w:left w:w="15" w:type="dxa"/>
              <w:top w:w="15" w:type="dxa"/>
              <w:right w:w="15" w:type="dxa"/>
              <w:bottom w:w="0" w:type="dxa"/>
            </w:tcMar>
            <w:tcW w:w="505" w:type="dxa"/>
            <w:vAlign w:val="center"/>
            <w:vMerge w:val="restart"/>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47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76"/>
        </w:trPr>
        <w:tc>
          <w:tcPr>
            <w:tcMar>
              <w:left w:w="15" w:type="dxa"/>
              <w:top w:w="15" w:type="dxa"/>
              <w:right w:w="15" w:type="dxa"/>
              <w:bottom w:w="0" w:type="dxa"/>
            </w:tcMar>
            <w:tcW w:w="50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47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63"/>
        </w:trPr>
        <w:tc>
          <w:tcPr>
            <w:tcMar>
              <w:left w:w="15" w:type="dxa"/>
              <w:top w:w="15" w:type="dxa"/>
              <w:right w:w="15" w:type="dxa"/>
              <w:bottom w:w="0" w:type="dxa"/>
            </w:tcMar>
            <w:tcW w:w="50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47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930"/>
        <w:rPr>
          <w:rFonts w:ascii="宋体" w:hAnsi="宋体" w:cs="宋体"/>
          <w:color w:val="000000"/>
          <w:sz w:val="24"/>
        </w:rPr>
      </w:pPr>
      <w:r>
        <w:rPr>
          <w:rFonts w:ascii="宋体" w:hAnsi="宋体" w:cs="宋体"/>
          <w:color w:val="000000"/>
          <w:sz w:val="24"/>
        </w:rPr>
      </w:r>
      <w:r/>
    </w:p>
    <w:p>
      <w:pPr>
        <w:pStyle w:val="921"/>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921"/>
        <w:ind w:firstLine="364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921"/>
        <w:ind w:firstLine="600"/>
        <w:spacing w:line="360" w:lineRule="auto"/>
        <w:rPr>
          <w:rFonts w:ascii="宋体" w:hAnsi="宋体" w:cs="宋体"/>
          <w:color w:val="000000"/>
          <w:sz w:val="24"/>
        </w:rPr>
      </w:pPr>
      <w:r>
        <w:rPr>
          <w:rFonts w:ascii="宋体" w:hAnsi="宋体" w:cs="宋体"/>
          <w:color w:val="000000"/>
          <w:sz w:val="24"/>
        </w:rPr>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2.享受政府采购支持政策的残疾人福利性单位应满足的条件以《关于促进残疾人就业政府采购政策的通知》（财库〔2017〕141号）的规定为准。</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注：①如果不提供详细分项报价的，将视为没有实质性响应招标文件。</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②投标人对以上数据的真实性负责。</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招标人及江苏新诺项目管理有限公司有权将以上内容进行公示。</w:t>
      </w:r>
      <w:r/>
    </w:p>
    <w:p>
      <w:pPr>
        <w:pStyle w:val="921"/>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p>
    <w:p>
      <w:pPr>
        <w:pStyle w:val="921"/>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项目名称：新沂市2026年秋粮重大病虫害防控和玉米重大病虫生物防治</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JSZC-320381-XNGL-G2026-0005</w:t>
      </w:r>
      <w:r>
        <w:rPr>
          <w:rFonts w:hint="eastAsia" w:ascii="宋体" w:hAnsi="宋体" w:cs="宋体"/>
          <w:color w:val="000000"/>
          <w:sz w:val="24"/>
        </w:rPr>
        <w:t xml:space="preserve"> </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rPr>
          <w:rFonts w:ascii="宋体" w:hAnsi="宋体" w:cs="宋体"/>
          <w:color w:val="000000"/>
          <w:sz w:val="24"/>
          <w:u w:val="single"/>
        </w:rPr>
      </w:pPr>
      <w:r>
        <w:rPr>
          <w:rFonts w:ascii="宋体" w:hAnsi="宋体" w:cs="宋体"/>
          <w:color w:val="000000"/>
          <w:sz w:val="24"/>
          <w:u w:val="single"/>
        </w:rPr>
      </w:r>
      <w:r/>
    </w:p>
    <w:tbl>
      <w:tblPr>
        <w:tblStyle w:val="854"/>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序号</w:t>
            </w:r>
            <w:r/>
          </w:p>
        </w:tc>
        <w:tc>
          <w:tcPr>
            <w:tcW w:w="1404"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476" w:type="dxa"/>
            <w:vAlign w:val="center"/>
            <w:textDirection w:val="lrTb"/>
            <w:noWrap w:val="false"/>
          </w:tcPr>
          <w:p>
            <w:pPr>
              <w:pStyle w:val="921"/>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620" w:type="dxa"/>
            <w:vAlign w:val="center"/>
            <w:textDirection w:val="lrTb"/>
            <w:noWrap w:val="false"/>
          </w:tcPr>
          <w:p>
            <w:pPr>
              <w:pStyle w:val="921"/>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986"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794"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bl>
    <w:p>
      <w:pPr>
        <w:pStyle w:val="921"/>
        <w:rPr>
          <w:rFonts w:ascii="宋体" w:hAnsi="宋体" w:cs="宋体"/>
          <w:color w:val="000000"/>
          <w:sz w:val="24"/>
          <w:u w:val="single"/>
        </w:rPr>
      </w:pPr>
      <w:r>
        <w:rPr>
          <w:rFonts w:ascii="宋体" w:hAnsi="宋体" w:cs="宋体"/>
          <w:color w:val="000000"/>
          <w:sz w:val="24"/>
          <w:u w:val="single"/>
        </w:rPr>
      </w:r>
      <w:r/>
    </w:p>
    <w:p>
      <w:pPr>
        <w:pStyle w:val="921"/>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p>
    <w:p>
      <w:pPr>
        <w:pStyle w:val="921"/>
        <w:ind w:firstLine="2660"/>
        <w:spacing w:line="300" w:lineRule="auto"/>
        <w:rPr>
          <w:rFonts w:ascii="宋体" w:hAnsi="宋体" w:cs="宋体"/>
          <w:color w:val="000000"/>
          <w:sz w:val="24"/>
        </w:rPr>
      </w:pPr>
      <w:r>
        <w:rPr>
          <w:rFonts w:ascii="宋体" w:hAnsi="宋体" w:cs="宋体"/>
          <w:color w:val="000000"/>
          <w:sz w:val="24"/>
        </w:rPr>
      </w:r>
      <w:r/>
    </w:p>
    <w:p>
      <w:pPr>
        <w:pStyle w:val="921"/>
        <w:ind w:firstLine="2660"/>
        <w:spacing w:line="300" w:lineRule="auto"/>
        <w:rPr>
          <w:rFonts w:ascii="宋体" w:hAnsi="宋体" w:cs="宋体"/>
          <w:color w:val="000000"/>
          <w:sz w:val="24"/>
        </w:rPr>
      </w:pPr>
      <w:r>
        <w:rPr>
          <w:rFonts w:ascii="宋体" w:hAnsi="宋体" w:cs="宋体"/>
          <w:color w:val="000000"/>
          <w:sz w:val="24"/>
        </w:rPr>
      </w:r>
      <w:r/>
    </w:p>
    <w:p>
      <w:pPr>
        <w:pStyle w:val="921"/>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30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w:t>
      </w:r>
      <w:r>
        <w:rPr>
          <w:rFonts w:ascii="宋体" w:hAnsi="宋体"/>
          <w:color w:val="000000"/>
          <w:sz w:val="24"/>
        </w:rPr>
        <w:t xml:space="preserve">电子</w:t>
      </w:r>
      <w:r>
        <w:rPr>
          <w:rFonts w:hint="eastAsia" w:ascii="宋体" w:hAnsi="宋体" w:cs="宋体"/>
          <w:color w:val="000000"/>
          <w:sz w:val="24"/>
        </w:rPr>
        <w:t xml:space="preserve">盖章）  </w:t>
      </w:r>
      <w:r/>
    </w:p>
    <w:p>
      <w:pPr>
        <w:pStyle w:val="921"/>
        <w:ind w:firstLine="3640"/>
        <w:spacing w:line="360" w:lineRule="auto"/>
        <w:rPr>
          <w:rFonts w:ascii="宋体" w:hAnsi="宋体" w:cs="宋体"/>
          <w:color w:val="000000"/>
          <w:sz w:val="24"/>
        </w:rPr>
      </w:pPr>
      <w:r>
        <w:rPr>
          <w:rFonts w:ascii="宋体" w:hAnsi="宋体" w:cs="宋体"/>
          <w:color w:val="000000"/>
          <w:sz w:val="24"/>
        </w:rPr>
      </w:r>
      <w:r/>
    </w:p>
    <w:p>
      <w:pPr>
        <w:pStyle w:val="921"/>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23"/>
        <w:jc w:val="center"/>
        <w:spacing w:line="360" w:lineRule="auto"/>
        <w:rPr>
          <w:rFonts w:ascii="宋体" w:hAnsi="宋体" w:cs="宋体"/>
          <w:b/>
          <w:sz w:val="28"/>
          <w:szCs w:val="28"/>
        </w:rPr>
      </w:pPr>
      <w:r>
        <w:rPr>
          <w:rFonts w:hint="eastAsia" w:ascii="宋体" w:hAnsi="宋体" w:cs="宋体"/>
          <w:b/>
          <w:color w:val="000000"/>
          <w:sz w:val="24"/>
        </w:rPr>
        <w:br w:type="page" w:clear="all"/>
      </w:r>
      <w:r>
        <w:rPr>
          <w:rFonts w:hint="eastAsia" w:ascii="宋体" w:hAnsi="宋体" w:cs="宋体"/>
          <w:b/>
          <w:color w:val="000000"/>
          <w:sz w:val="24"/>
        </w:rPr>
        <w:t xml:space="preserve">五、</w:t>
      </w:r>
      <w:r>
        <w:rPr>
          <w:rFonts w:hint="eastAsia" w:ascii="宋体" w:hAnsi="宋体" w:cs="宋体"/>
          <w:b/>
          <w:bCs/>
          <w:color w:val="000000"/>
          <w:sz w:val="24"/>
        </w:rPr>
        <w:t xml:space="preserve">承诺书</w:t>
      </w:r>
      <w:r/>
    </w:p>
    <w:p>
      <w:pPr>
        <w:pStyle w:val="923"/>
        <w:spacing w:line="360" w:lineRule="auto"/>
        <w:rPr>
          <w:rFonts w:ascii="宋体" w:hAnsi="宋体" w:cs="宋体"/>
          <w:sz w:val="24"/>
        </w:rPr>
      </w:pPr>
      <w:r>
        <w:rPr>
          <w:rFonts w:hint="eastAsia" w:ascii="宋体" w:hAnsi="宋体" w:cs="宋体"/>
          <w:sz w:val="24"/>
        </w:rPr>
        <w:t xml:space="preserve">致江苏新诺项目管理有限公司：</w:t>
      </w:r>
      <w:r/>
    </w:p>
    <w:p>
      <w:pPr>
        <w:pStyle w:val="1031"/>
        <w:spacing w:line="360" w:lineRule="auto"/>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招标文件</w:t>
      </w:r>
      <w:r>
        <w:rPr>
          <w:rFonts w:hint="eastAsia" w:ascii="宋体" w:hAnsi="宋体" w:cs="宋体"/>
          <w:sz w:val="24"/>
          <w:szCs w:val="24"/>
        </w:rPr>
        <w:t xml:space="preserve">》（</w:t>
      </w:r>
      <w:r>
        <w:rPr>
          <w:rFonts w:ascii="宋体" w:hAnsi="宋体" w:cs="宋体"/>
          <w:sz w:val="24"/>
          <w:szCs w:val="24"/>
        </w:rPr>
        <w:t xml:space="preserve">项目编号：</w:t>
      </w:r>
      <w:r>
        <w:rPr>
          <w:rFonts w:hint="eastAsia" w:ascii="宋体" w:hAnsi="宋体" w:cs="宋体"/>
          <w:sz w:val="24"/>
          <w:lang w:eastAsia="zh-CN"/>
        </w:rPr>
        <w:t xml:space="preserve">JSZC-320381-XNGL-G2026-0005</w:t>
      </w:r>
      <w:r>
        <w:rPr>
          <w:rFonts w:hint="eastAsia" w:ascii="宋体" w:hAnsi="宋体" w:cs="宋体"/>
          <w:sz w:val="24"/>
          <w:szCs w:val="24"/>
        </w:rPr>
        <w:t xml:space="preserve">）要求，本供应商正式提交以下首次响应文件。</w:t>
      </w:r>
      <w:r/>
    </w:p>
    <w:p>
      <w:pPr>
        <w:pStyle w:val="1031"/>
        <w:spacing w:line="360" w:lineRule="auto"/>
        <w:rPr>
          <w:rFonts w:ascii="宋体" w:hAnsi="宋体" w:cs="宋体"/>
          <w:sz w:val="24"/>
          <w:szCs w:val="24"/>
        </w:rPr>
      </w:pPr>
      <w:r>
        <w:rPr>
          <w:rFonts w:hint="eastAsia" w:ascii="宋体" w:hAnsi="宋体" w:cs="宋体"/>
          <w:sz w:val="24"/>
          <w:szCs w:val="24"/>
        </w:rPr>
        <w:t xml:space="preserve">（1）承诺书；</w:t>
      </w:r>
      <w:r/>
    </w:p>
    <w:p>
      <w:pPr>
        <w:pStyle w:val="1031"/>
        <w:spacing w:line="360" w:lineRule="auto"/>
        <w:rPr>
          <w:rFonts w:ascii="宋体" w:hAnsi="宋体" w:cs="宋体"/>
          <w:sz w:val="24"/>
          <w:szCs w:val="24"/>
        </w:rPr>
      </w:pPr>
      <w:r>
        <w:rPr>
          <w:rFonts w:hint="eastAsia" w:ascii="宋体" w:hAnsi="宋体" w:cs="宋体"/>
          <w:sz w:val="24"/>
          <w:szCs w:val="24"/>
        </w:rPr>
        <w:t xml:space="preserve">（2）招标报价表；</w:t>
      </w:r>
      <w:r/>
    </w:p>
    <w:p>
      <w:pPr>
        <w:pStyle w:val="1031"/>
        <w:spacing w:line="360" w:lineRule="auto"/>
        <w:rPr>
          <w:rFonts w:ascii="宋体" w:hAnsi="宋体" w:cs="宋体"/>
          <w:sz w:val="24"/>
          <w:szCs w:val="24"/>
        </w:rPr>
      </w:pPr>
      <w:r>
        <w:rPr>
          <w:rFonts w:hint="eastAsia" w:ascii="宋体" w:hAnsi="宋体" w:cs="宋体"/>
          <w:sz w:val="24"/>
          <w:szCs w:val="24"/>
        </w:rPr>
        <w:t xml:space="preserve">（3）偏离表；</w:t>
      </w:r>
      <w:r/>
    </w:p>
    <w:p>
      <w:pPr>
        <w:pStyle w:val="1031"/>
        <w:spacing w:line="360" w:lineRule="auto"/>
        <w:rPr>
          <w:rFonts w:ascii="宋体" w:hAnsi="宋体" w:cs="宋体"/>
          <w:sz w:val="24"/>
          <w:szCs w:val="24"/>
        </w:rPr>
      </w:pPr>
      <w:r>
        <w:rPr>
          <w:rFonts w:hint="eastAsia" w:ascii="宋体" w:hAnsi="宋体" w:cs="宋体"/>
          <w:sz w:val="24"/>
          <w:szCs w:val="24"/>
        </w:rPr>
        <w:t xml:space="preserve">（4）招标文件要求提供的其他响应文件。</w:t>
      </w:r>
      <w:r/>
    </w:p>
    <w:p>
      <w:pPr>
        <w:pStyle w:val="1031"/>
        <w:spacing w:line="360" w:lineRule="auto"/>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1031"/>
        <w:spacing w:line="360" w:lineRule="auto"/>
        <w:rPr>
          <w:rFonts w:ascii="宋体" w:hAnsi="宋体" w:cs="宋体"/>
          <w:sz w:val="24"/>
          <w:szCs w:val="24"/>
        </w:rPr>
      </w:pPr>
      <w:r>
        <w:rPr>
          <w:rFonts w:hint="eastAsia" w:ascii="宋体" w:hAnsi="宋体" w:cs="宋体"/>
          <w:sz w:val="24"/>
          <w:szCs w:val="24"/>
        </w:rPr>
        <w:t xml:space="preserve">我单位按照招标文件的要求编制响应文件，并对其提交的响应文件的真实性、合法性承担法律责任。</w:t>
      </w:r>
      <w:r/>
    </w:p>
    <w:p>
      <w:pPr>
        <w:pStyle w:val="923"/>
        <w:ind w:right="29" w:firstLine="480"/>
        <w:spacing w:line="360" w:lineRule="auto"/>
        <w:rPr>
          <w:rFonts w:ascii="宋体" w:hAnsi="宋体" w:cs="宋体"/>
          <w:sz w:val="24"/>
        </w:rPr>
      </w:pPr>
      <w:r>
        <w:rPr>
          <w:rFonts w:hint="eastAsia" w:ascii="宋体" w:hAnsi="宋体" w:cs="宋体"/>
          <w:sz w:val="24"/>
        </w:rPr>
        <w:t xml:space="preserve">供应商兹宣布同意如下:</w:t>
      </w:r>
      <w:r/>
    </w:p>
    <w:p>
      <w:pPr>
        <w:pStyle w:val="1031"/>
        <w:spacing w:line="360" w:lineRule="auto"/>
        <w:rPr>
          <w:rFonts w:ascii="宋体" w:hAnsi="宋体" w:cs="宋体"/>
          <w:sz w:val="24"/>
          <w:szCs w:val="24"/>
        </w:rPr>
      </w:pPr>
      <w:r>
        <w:rPr>
          <w:rFonts w:hint="eastAsia" w:ascii="宋体" w:hAnsi="宋体" w:cs="宋体"/>
          <w:sz w:val="24"/>
          <w:szCs w:val="24"/>
        </w:rPr>
        <w:t xml:space="preserve">一、完全承担根据《招标文件》规定完成合同的责任和义务（如有偏离，将全部填写在偏离表中）。</w:t>
      </w:r>
      <w:r/>
    </w:p>
    <w:p>
      <w:pPr>
        <w:pStyle w:val="1031"/>
        <w:spacing w:line="360" w:lineRule="auto"/>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1859280</wp:posOffset>
                </wp:positionH>
                <wp:positionV relativeFrom="paragraph">
                  <wp:posOffset>220980</wp:posOffset>
                </wp:positionV>
                <wp:extent cx="661670" cy="76200"/>
                <wp:effectExtent l="0" t="0" r="0" b="0"/>
                <wp:wrapNone/>
                <wp:docPr id="5" name="组合 3"/>
                <wp:cNvGraphicFramePr/>
                <a:graphic xmlns:a="http://schemas.openxmlformats.org/drawingml/2006/main">
                  <a:graphicData uri="http://schemas.microsoft.com/office/word/2010/wordprocessingGroup">
                    <wpg:wgp>
                      <wpg:cNvGrpSpPr/>
                      <wpg:grpSpPr bwMode="auto">
                        <a:xfrm flipV="1">
                          <a:off x="0" y="0"/>
                          <a:ext cx="661670" cy="76200"/>
                          <a:chOff x="11247" y="739136"/>
                          <a:chExt cx="2008" cy="5489"/>
                        </a:xfrm>
                      </wpg:grpSpPr>
                      <wps:wsp>
                        <wps:cNvPr id="0" name=""/>
                        <wps:cNvSpPr/>
                        <wps:spPr bwMode="auto">
                          <a:xfrm rot="7920000" flipV="1">
                            <a:off x="11258" y="739124"/>
                            <a:ext cx="2" cy="26"/>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1" name=""/>
                        <wps:cNvSpPr/>
                        <wps:spPr bwMode="auto">
                          <a:xfrm rot="7920000">
                            <a:off x="13255" y="743768"/>
                            <a:ext cx="0"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2" name=""/>
                        <wps:cNvSpPr/>
                        <wps:spPr bwMode="auto">
                          <a:xfrm rot="7920000">
                            <a:off x="12729" y="744236"/>
                            <a:ext cx="2"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3" name=""/>
                        <wps:cNvSpPr/>
                        <wps:spPr bwMode="auto">
                          <a:xfrm rot="7920000">
                            <a:off x="12519" y="744624"/>
                            <a:ext cx="2"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4" name=""/>
                        <wps:cNvSpPr/>
                        <wps:spPr bwMode="auto">
                          <a:xfrm rot="7920000">
                            <a:off x="12519" y="744624"/>
                            <a:ext cx="2"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g:wgp>
                  </a:graphicData>
                </a:graphic>
              </wp:anchor>
            </w:drawing>
          </mc:Choice>
          <mc:Fallback>
            <w:pict>
              <v:group id="group 4" o:spid="_x0000_s0000" style="position:absolute;z-index:-251658240;o:allowoverlap:true;o:allowincell:true;mso-position-horizontal-relative:text;margin-left:146.4pt;mso-position-horizontal:absolute;mso-position-vertical-relative:text;margin-top:17.4pt;mso-position-vertical:absolute;width:52.1pt;height:6.0pt;mso-wrap-distance-left:9.0pt;mso-wrap-distance-top:0.0pt;mso-wrap-distance-right:9.0pt;mso-wrap-distance-bottom:0.0pt;flip:y;" coordorigin="112,7391" coordsize="20,54">
                <v:shape id="shape 5" o:spid="_x0000_s5" o:spt="1" type="#_x0000_t1" style="position:absolute;left:112;top:7391;width:0;height:0;rotation:132;flip:y;visibility:visible;" filled="f" strokecolor="#000000" strokeweight="0.75pt">
                  <v:stroke dashstyle="solid"/>
                </v:shape>
                <v:shape id="shape 6" o:spid="_x0000_s6" o:spt="1" type="#_x0000_t1" style="position:absolute;left:132;top:7437;width:0;height:0;rotation:132;visibility:visible;" filled="f" strokecolor="#000000" strokeweight="0.75pt">
                  <v:stroke dashstyle="solid"/>
                </v:shape>
                <v:shape id="shape 7" o:spid="_x0000_s7" o:spt="1" type="#_x0000_t1" style="position:absolute;left:127;top:7442;width:0;height:0;rotation:132;visibility:visible;" filled="f" strokecolor="#000000" strokeweight="0.75pt">
                  <v:stroke dashstyle="solid"/>
                </v:shape>
                <v:shape id="shape 8" o:spid="_x0000_s8" o:spt="1" type="#_x0000_t1" style="position:absolute;left:125;top:7446;width:0;height:0;rotation:132;visibility:visible;" filled="f" strokecolor="#000000" strokeweight="0.75pt">
                  <v:stroke dashstyle="solid"/>
                </v:shape>
                <v:shape id="shape 9" o:spid="_x0000_s9" o:spt="1" type="#_x0000_t1" style="position:absolute;left:125;top:7446;width:0;height:0;rotation:132;visibility:visible;" filled="f" strokecolor="#000000" strokeweight="0.75pt">
                  <v:stroke dashstyle="solid"/>
                </v:shape>
              </v:group>
            </w:pict>
          </mc:Fallback>
        </mc:AlternateContent>
      </w:r>
      <w:r>
        <w:rPr>
          <w:rFonts w:hint="eastAsia" w:ascii="宋体" w:hAnsi="宋体" w:cs="宋体"/>
          <w:sz w:val="24"/>
          <w:szCs w:val="24"/>
        </w:rPr>
        <w:t xml:space="preserve">二、保证所提供的响应文件及所有材料的真实、合法、有效，并对其负责。</w:t>
      </w:r>
      <w:r/>
    </w:p>
    <w:p>
      <w:pPr>
        <w:pStyle w:val="923"/>
        <w:ind w:firstLine="480"/>
        <w:spacing w:line="360" w:lineRule="auto"/>
        <w:rPr>
          <w:rFonts w:ascii="宋体" w:hAnsi="宋体" w:cs="宋体"/>
          <w:sz w:val="24"/>
        </w:rPr>
      </w:pPr>
      <w:r>
        <w:rPr>
          <w:rFonts w:hint="eastAsia" w:ascii="宋体" w:hAnsi="宋体" w:cs="宋体"/>
          <w:sz w:val="24"/>
        </w:rPr>
        <w:t xml:space="preserve">三、已详细审核招标文件（含招标文件的澄清或者修改），本供应商完全理解并同意放弃对这方面不明及误解的权利。</w:t>
      </w:r>
      <w:r/>
    </w:p>
    <w:p>
      <w:pPr>
        <w:pStyle w:val="923"/>
        <w:ind w:right="29" w:firstLine="480"/>
        <w:spacing w:line="360"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pStyle w:val="923"/>
        <w:ind w:right="29" w:firstLine="480"/>
        <w:spacing w:line="360" w:lineRule="auto"/>
        <w:rPr>
          <w:rFonts w:ascii="宋体" w:hAnsi="宋体" w:cs="宋体"/>
          <w:sz w:val="24"/>
        </w:rPr>
      </w:pPr>
      <w:r>
        <w:rPr>
          <w:rFonts w:hint="eastAsia" w:ascii="宋体" w:hAnsi="宋体" w:cs="宋体"/>
          <w:sz w:val="24"/>
        </w:rPr>
        <w:t xml:space="preserve">五、报价有效期为90天。</w:t>
      </w:r>
      <w:r/>
    </w:p>
    <w:p>
      <w:pPr>
        <w:pStyle w:val="923"/>
        <w:ind w:right="29" w:firstLine="480"/>
        <w:spacing w:line="360" w:lineRule="auto"/>
        <w:rPr>
          <w:rFonts w:ascii="宋体" w:hAnsi="宋体" w:cs="宋体"/>
          <w:sz w:val="24"/>
        </w:rPr>
      </w:pPr>
      <w:r>
        <w:rPr>
          <w:rFonts w:hint="eastAsia" w:ascii="宋体" w:hAnsi="宋体" w:cs="宋体"/>
          <w:sz w:val="24"/>
        </w:rPr>
        <w:t xml:space="preserve">六、同意向贵方提供贵方可能要求的与本次招标采购有关的任何证据或资料。</w:t>
      </w:r>
      <w:r/>
    </w:p>
    <w:p>
      <w:pPr>
        <w:pStyle w:val="923"/>
        <w:ind w:right="29" w:firstLine="480"/>
        <w:spacing w:line="360" w:lineRule="auto"/>
        <w:rPr>
          <w:rFonts w:ascii="宋体" w:hAnsi="宋体" w:cs="宋体"/>
          <w:sz w:val="24"/>
        </w:rPr>
      </w:pPr>
      <w:r>
        <w:rPr>
          <w:rFonts w:hint="eastAsia" w:ascii="宋体" w:hAnsi="宋体" w:cs="宋体"/>
          <w:sz w:val="24"/>
        </w:rPr>
        <w:t xml:space="preserve">七、完全理解贵方不一定要接受最低的报价或收到的任何报价。</w:t>
      </w:r>
      <w:r/>
    </w:p>
    <w:p>
      <w:pPr>
        <w:pStyle w:val="923"/>
        <w:ind w:right="29" w:firstLine="480"/>
        <w:spacing w:line="360" w:lineRule="auto"/>
        <w:rPr>
          <w:rFonts w:ascii="宋体" w:hAnsi="宋体" w:cs="宋体"/>
          <w:sz w:val="24"/>
        </w:rPr>
      </w:pPr>
      <w:r>
        <w:rPr>
          <w:rFonts w:hint="eastAsia" w:ascii="宋体" w:hAnsi="宋体" w:cs="宋体"/>
          <w:sz w:val="24"/>
        </w:rPr>
        <w:t xml:space="preserve">八、供应商同意在授予合同后，按照招标文件的有关规定支付招标代理服务费。</w:t>
      </w:r>
      <w:r/>
    </w:p>
    <w:p>
      <w:pPr>
        <w:pStyle w:val="923"/>
        <w:ind w:right="29" w:firstLine="3960"/>
        <w:spacing w:line="360" w:lineRule="auto"/>
        <w:rPr>
          <w:rFonts w:ascii="宋体" w:hAnsi="宋体" w:cs="宋体"/>
          <w:sz w:val="24"/>
        </w:rPr>
      </w:pPr>
      <w:r>
        <w:rPr>
          <w:rFonts w:hint="eastAsia" w:ascii="宋体" w:hAnsi="宋体" w:cs="宋体"/>
          <w:sz w:val="24"/>
        </w:rPr>
        <w:t xml:space="preserve">供应商（盖电子签章）：</w:t>
      </w:r>
      <w:r/>
    </w:p>
    <w:p>
      <w:pPr>
        <w:pStyle w:val="923"/>
        <w:ind w:right="29" w:firstLine="3960"/>
        <w:spacing w:line="360" w:lineRule="auto"/>
        <w:rPr>
          <w:rFonts w:ascii="宋体" w:hAnsi="宋体" w:cs="宋体"/>
          <w:sz w:val="24"/>
        </w:rPr>
      </w:pPr>
      <w:r>
        <w:rPr>
          <w:rFonts w:hint="eastAsia" w:ascii="宋体" w:hAnsi="宋体" w:cs="宋体"/>
          <w:sz w:val="24"/>
        </w:rPr>
        <w:t xml:space="preserve">法定代表人或授权代表（签字或电子签章）：</w:t>
      </w:r>
      <w:r/>
    </w:p>
    <w:p>
      <w:pPr>
        <w:pStyle w:val="923"/>
        <w:ind w:firstLine="3960"/>
        <w:spacing w:line="360" w:lineRule="auto"/>
        <w:rPr>
          <w:rFonts w:ascii="宋体" w:hAnsi="宋体" w:cs="宋体"/>
          <w:sz w:val="24"/>
        </w:rPr>
      </w:pPr>
      <w:r>
        <w:rPr>
          <w:rFonts w:hint="eastAsia" w:ascii="宋体" w:hAnsi="宋体" w:cs="宋体"/>
          <w:sz w:val="24"/>
        </w:rPr>
        <w:t xml:space="preserve">联系电话：</w:t>
      </w:r>
      <w:r/>
    </w:p>
    <w:p>
      <w:pPr>
        <w:pStyle w:val="923"/>
        <w:ind w:firstLine="3960"/>
        <w:spacing w:line="360" w:lineRule="auto"/>
        <w:rPr>
          <w:rFonts w:ascii="宋体" w:hAnsi="宋体" w:cs="宋体"/>
          <w:sz w:val="24"/>
        </w:rPr>
      </w:pPr>
      <w:r>
        <w:rPr>
          <w:rFonts w:hint="eastAsia" w:ascii="宋体" w:hAnsi="宋体" w:cs="宋体"/>
          <w:sz w:val="24"/>
        </w:rPr>
        <w:t xml:space="preserve">移动电话：</w:t>
      </w:r>
      <w:r/>
    </w:p>
    <w:p>
      <w:pPr>
        <w:pStyle w:val="921"/>
        <w:jc w:val="center"/>
        <w:rPr>
          <w:rFonts w:ascii="宋体" w:hAnsi="宋体" w:cs="宋体"/>
          <w:sz w:val="24"/>
        </w:rPr>
      </w:pPr>
      <w:r>
        <w:rPr>
          <w:rFonts w:hint="eastAsia" w:ascii="宋体" w:hAnsi="宋体" w:cs="宋体"/>
          <w:sz w:val="24"/>
        </w:rPr>
        <w:t xml:space="preserve">日期：</w:t>
      </w:r>
      <w:r/>
    </w:p>
    <w:p>
      <w:pPr>
        <w:rPr>
          <w:rFonts w:ascii="宋体" w:hAnsi="宋体" w:cs="宋体"/>
          <w:b/>
          <w:color w:val="000000"/>
          <w:sz w:val="24"/>
        </w:rPr>
      </w:pPr>
      <w:r>
        <w:rPr>
          <w:rFonts w:hint="eastAsia" w:ascii="宋体" w:hAnsi="宋体" w:cs="宋体"/>
          <w:b/>
          <w:color w:val="000000"/>
          <w:sz w:val="24"/>
        </w:rPr>
        <w:br w:type="page" w:clear="all"/>
      </w:r>
      <w:r/>
    </w:p>
    <w:p>
      <w:pPr>
        <w:pStyle w:val="921"/>
        <w:jc w:val="center"/>
        <w:rPr>
          <w:rFonts w:ascii="宋体" w:hAnsi="宋体" w:cs="宋体"/>
          <w:b/>
          <w:color w:val="000000"/>
          <w:sz w:val="24"/>
        </w:rPr>
      </w:pPr>
      <w:r>
        <w:rPr>
          <w:rFonts w:hint="eastAsia" w:ascii="宋体" w:hAnsi="宋体" w:cs="宋体"/>
          <w:b/>
          <w:color w:val="000000"/>
          <w:sz w:val="24"/>
        </w:rPr>
        <w:t xml:space="preserve">六、法定代表人授权书及法定代表人身份证明书格式</w:t>
      </w:r>
      <w:r/>
    </w:p>
    <w:p>
      <w:pPr>
        <w:pStyle w:val="921"/>
        <w:jc w:val="center"/>
        <w:spacing w:line="360" w:lineRule="auto"/>
        <w:rPr>
          <w:rFonts w:ascii="宋体" w:hAnsi="宋体" w:cs="宋体"/>
          <w:bCs/>
          <w:color w:val="000000"/>
          <w:sz w:val="24"/>
        </w:rPr>
      </w:pPr>
      <w:r>
        <w:rPr>
          <w:rFonts w:ascii="宋体" w:hAnsi="宋体" w:cs="宋体"/>
          <w:bCs/>
          <w:color w:val="000000"/>
          <w:sz w:val="24"/>
        </w:rPr>
      </w:r>
      <w:r/>
    </w:p>
    <w:p>
      <w:pPr>
        <w:pStyle w:val="921"/>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法定代表人授权书</w:t>
      </w:r>
      <w:r/>
    </w:p>
    <w:p>
      <w:pPr>
        <w:pStyle w:val="921"/>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921"/>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921"/>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921"/>
        <w:spacing w:line="480" w:lineRule="exact"/>
        <w:rPr>
          <w:rFonts w:ascii="宋体" w:hAnsi="宋体" w:cs="宋体"/>
          <w:color w:val="000000"/>
          <w:sz w:val="24"/>
        </w:rPr>
      </w:pPr>
      <w:r>
        <w:rPr>
          <w:rFonts w:hint="eastAsia" w:ascii="宋体" w:hAnsi="宋体" w:cs="宋体"/>
          <w:color w:val="000000"/>
          <w:sz w:val="24"/>
        </w:rPr>
        <w:t xml:space="preserve">法人营业执照注册号：</w:t>
      </w:r>
      <w:r/>
    </w:p>
    <w:p>
      <w:pPr>
        <w:pStyle w:val="921"/>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921"/>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921"/>
        <w:spacing w:line="480" w:lineRule="exact"/>
        <w:rPr>
          <w:rFonts w:ascii="宋体" w:hAnsi="宋体" w:cs="宋体"/>
          <w:color w:val="000000"/>
          <w:sz w:val="24"/>
        </w:rPr>
      </w:pPr>
      <w:r>
        <w:rPr>
          <w:rFonts w:hint="eastAsia" w:ascii="宋体" w:hAnsi="宋体" w:cs="宋体"/>
          <w:color w:val="000000"/>
          <w:sz w:val="24"/>
        </w:rPr>
        <w:t xml:space="preserve">职务：</w:t>
      </w:r>
      <w:r/>
    </w:p>
    <w:p>
      <w:pPr>
        <w:pStyle w:val="921"/>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）全权代表我企业（公司）参与（新沂市2026年秋粮重大病虫害防控和玉米重大病虫生物防治）项目（项目编号：</w:t>
      </w:r>
      <w:r>
        <w:rPr>
          <w:rFonts w:hint="eastAsia" w:ascii="宋体" w:hAnsi="宋体" w:cs="宋体"/>
          <w:color w:val="000000"/>
          <w:sz w:val="24"/>
          <w:lang w:eastAsia="zh-CN"/>
        </w:rPr>
        <w:t xml:space="preserve">JSZC-320381-XNGL-G2026-0005</w:t>
      </w:r>
      <w:r>
        <w:rPr>
          <w:rFonts w:hint="eastAsia" w:ascii="宋体" w:hAnsi="宋体" w:cs="宋体"/>
          <w:color w:val="000000"/>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21"/>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p>
    <w:p>
      <w:pPr>
        <w:pStyle w:val="921"/>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921"/>
        <w:spacing w:line="480" w:lineRule="exact"/>
        <w:rPr>
          <w:rFonts w:ascii="宋体" w:hAnsi="宋体" w:cs="宋体"/>
          <w:color w:val="000000"/>
          <w:sz w:val="24"/>
        </w:rPr>
      </w:pPr>
      <w:r>
        <w:rPr>
          <w:rFonts w:hint="eastAsia" w:ascii="宋体" w:hAnsi="宋体" w:cs="宋体"/>
          <w:color w:val="000000"/>
          <w:sz w:val="24"/>
        </w:rPr>
        <w:t xml:space="preserve">(受托人身份证复印件附后)</w:t>
      </w:r>
      <w:r/>
    </w:p>
    <w:p>
      <w:pPr>
        <w:pStyle w:val="921"/>
        <w:ind w:firstLine="4470"/>
        <w:rPr>
          <w:rFonts w:ascii="宋体" w:hAnsi="宋体" w:cs="宋体"/>
          <w:color w:val="000000"/>
          <w:sz w:val="24"/>
        </w:rPr>
      </w:pPr>
      <w:r>
        <w:rPr>
          <w:rFonts w:hint="eastAsia" w:ascii="宋体" w:hAnsi="宋体" w:cs="宋体"/>
          <w:color w:val="000000"/>
          <w:sz w:val="24"/>
        </w:rPr>
        <w:t xml:space="preserve"> </w:t>
      </w:r>
      <w:r/>
    </w:p>
    <w:p>
      <w:pPr>
        <w:pStyle w:val="921"/>
        <w:ind w:firstLine="4470"/>
        <w:rPr>
          <w:rFonts w:ascii="宋体" w:hAnsi="宋体" w:cs="宋体"/>
          <w:color w:val="000000"/>
          <w:sz w:val="24"/>
        </w:rPr>
      </w:pPr>
      <w:r>
        <w:rPr>
          <w:rFonts w:ascii="宋体" w:hAnsi="宋体" w:cs="宋体"/>
          <w:color w:val="000000"/>
          <w:sz w:val="24"/>
        </w:rPr>
      </w:r>
      <w:r/>
    </w:p>
    <w:p>
      <w:pPr>
        <w:pStyle w:val="921"/>
        <w:ind w:firstLine="4470"/>
        <w:rPr>
          <w:rFonts w:ascii="宋体" w:hAnsi="宋体" w:cs="宋体"/>
          <w:color w:val="000000"/>
          <w:sz w:val="24"/>
        </w:rPr>
      </w:pPr>
      <w:r>
        <w:rPr>
          <w:rFonts w:ascii="宋体" w:hAnsi="宋体" w:cs="宋体"/>
          <w:color w:val="000000"/>
          <w:sz w:val="24"/>
        </w:rPr>
      </w:r>
      <w:r/>
    </w:p>
    <w:p>
      <w:pPr>
        <w:pStyle w:val="921"/>
        <w:rPr>
          <w:rFonts w:ascii="宋体" w:hAnsi="宋体" w:cs="宋体"/>
          <w:bCs/>
          <w:color w:val="000000"/>
          <w:sz w:val="24"/>
        </w:rPr>
      </w:pPr>
      <w:r>
        <w:rPr>
          <w:rFonts w:hint="eastAsia" w:ascii="宋体" w:hAnsi="宋体" w:cs="宋体"/>
          <w:bCs/>
          <w:color w:val="000000"/>
          <w:sz w:val="24"/>
        </w:rPr>
        <w:br w:type="page" w:clear="all"/>
      </w:r>
      <w:r/>
    </w:p>
    <w:p>
      <w:pPr>
        <w:pStyle w:val="921"/>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p>
    <w:p>
      <w:pPr>
        <w:pStyle w:val="921"/>
        <w:jc w:val="center"/>
        <w:spacing w:line="360" w:lineRule="auto"/>
        <w:rPr>
          <w:rFonts w:ascii="宋体" w:hAnsi="宋体" w:cs="宋体"/>
          <w:bCs/>
          <w:color w:val="000000"/>
          <w:sz w:val="24"/>
        </w:rPr>
      </w:pPr>
      <w:r>
        <w:rPr>
          <w:rFonts w:ascii="宋体" w:hAnsi="宋体" w:cs="宋体"/>
          <w:bCs/>
          <w:color w:val="000000"/>
          <w:sz w:val="24"/>
        </w:rPr>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p>
    <w:p>
      <w:pPr>
        <w:pStyle w:val="921"/>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p>
    <w:p>
      <w:pPr>
        <w:pStyle w:val="921"/>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lang w:eastAsia="zh-CN"/>
        </w:rPr>
        <w:t xml:space="preserve">JSZC-320381-XNGL-G2026-0005</w:t>
      </w:r>
      <w:r>
        <w:rPr>
          <w:rFonts w:hint="eastAsia" w:ascii="宋体" w:hAnsi="宋体" w:cs="宋体"/>
          <w:color w:val="000000"/>
          <w:sz w:val="24"/>
        </w:rPr>
        <w:t xml:space="preserve">，项目名称：</w:t>
      </w:r>
      <w:r>
        <w:rPr>
          <w:rFonts w:hint="eastAsia" w:ascii="宋体" w:hAnsi="宋体" w:cs="宋体"/>
          <w:color w:val="000000"/>
          <w:sz w:val="24"/>
          <w:u w:val="single"/>
        </w:rPr>
        <w:t xml:space="preserve">新沂市2026年秋粮重大病虫害防控和玉米重大病虫生物防治</w:t>
      </w:r>
      <w:r>
        <w:rPr>
          <w:rFonts w:hint="eastAsia" w:ascii="宋体" w:hAnsi="宋体" w:cs="宋体"/>
          <w:color w:val="000000"/>
          <w:sz w:val="24"/>
        </w:rPr>
        <w:t xml:space="preserve">）项目投标文件、进行合同谈判、签署合同和处理与之有关的一切事务。</w:t>
      </w:r>
      <w:r/>
    </w:p>
    <w:p>
      <w:pPr>
        <w:pStyle w:val="921"/>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p>
    <w:p>
      <w:pPr>
        <w:pStyle w:val="921"/>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921"/>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930"/>
        <w:spacing w:line="360" w:lineRule="auto"/>
        <w:rPr>
          <w:rFonts w:ascii="宋体" w:hAnsi="宋体" w:cs="宋体"/>
          <w:color w:val="000000"/>
          <w:sz w:val="24"/>
        </w:rPr>
      </w:pPr>
      <w:r>
        <w:rPr>
          <w:rFonts w:ascii="宋体" w:hAnsi="宋体" w:cs="宋体"/>
          <w:color w:val="000000"/>
          <w:sz w:val="24"/>
        </w:rPr>
      </w:r>
      <w:r/>
    </w:p>
    <w:p>
      <w:pPr>
        <w:pStyle w:val="921"/>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p>
    <w:p>
      <w:pPr>
        <w:pStyle w:val="921"/>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21"/>
        <w:spacing w:line="360" w:lineRule="auto"/>
        <w:rPr>
          <w:rFonts w:ascii="宋体" w:hAnsi="宋体" w:cs="宋体"/>
          <w:color w:val="000000"/>
          <w:sz w:val="24"/>
        </w:rPr>
      </w:pPr>
      <w:r>
        <w:rPr>
          <w:rFonts w:ascii="宋体" w:hAnsi="宋体" w:cs="宋体"/>
          <w:color w:val="000000"/>
          <w:sz w:val="24"/>
        </w:rPr>
      </w:r>
      <w:r/>
    </w:p>
    <w:p>
      <w:pPr>
        <w:pStyle w:val="921"/>
        <w:ind w:firstLine="480"/>
        <w:spacing w:line="360" w:lineRule="auto"/>
        <w:tabs>
          <w:tab w:val="left" w:pos="720" w:leader="none"/>
          <w:tab w:val="left" w:pos="900" w:leader="none"/>
        </w:tabs>
        <w:rPr>
          <w:rFonts w:ascii="宋体" w:hAnsi="宋体" w:cs="宋体"/>
          <w:color w:val="000000"/>
          <w:sz w:val="24"/>
        </w:rPr>
        <w:sectPr>
          <w:footerReference w:type="default" r:id="rId13"/>
          <w:footnotePr/>
          <w:endnotePr/>
          <w:type w:val="nextPage"/>
          <w:pgSz w:w="11906" w:h="16838" w:orient="portrait"/>
          <w:pgMar w:top="1134" w:right="1111" w:bottom="1134" w:left="1083" w:header="851" w:footer="992" w:gutter="0"/>
          <w:cols w:num="1" w:sep="0" w:space="0"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rPr>
        <w:t xml:space="preserve">复印件</w:t>
      </w:r>
      <w:r>
        <w:rPr>
          <w:rFonts w:hint="eastAsia" w:ascii="宋体" w:hAnsi="宋体" w:cs="宋体"/>
          <w:color w:val="000000"/>
          <w:sz w:val="24"/>
        </w:rPr>
        <w:t xml:space="preserve">附后）</w:t>
      </w:r>
      <w:r/>
    </w:p>
    <w:p>
      <w:pPr>
        <w:jc w:val="center"/>
        <w:rPr>
          <w:rFonts w:ascii="宋体" w:hAnsi="宋体" w:cs="宋体"/>
          <w:sz w:val="28"/>
          <w:szCs w:val="28"/>
        </w:rPr>
      </w:pPr>
      <w:r>
        <w:rPr>
          <w:rFonts w:hint="eastAsia" w:ascii="宋体" w:hAnsi="宋体" w:cs="宋体"/>
          <w:b/>
          <w:bCs/>
          <w:sz w:val="28"/>
          <w:szCs w:val="28"/>
        </w:rPr>
        <w:t xml:space="preserve">七、中小企业声明函格式</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项目名称：</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项目编号：</w:t>
      </w:r>
      <w:r/>
    </w:p>
    <w:p>
      <w:pPr>
        <w:ind w:firstLine="560"/>
        <w:spacing w:before="240" w:after="240" w:line="479" w:lineRule="atLeast"/>
        <w:rPr>
          <w:rFonts w:ascii="宋体" w:hAnsi="宋体" w:cs="宋体"/>
          <w:sz w:val="24"/>
          <w:szCs w:val="24"/>
        </w:rPr>
      </w:pPr>
      <w:r>
        <w:rPr>
          <w:rFonts w:hint="eastAsia" w:ascii="宋体" w:hAnsi="宋体" w:cs="宋体"/>
          <w:sz w:val="24"/>
          <w:szCs w:val="24"/>
        </w:rPr>
        <w:t xml:space="preserve">本公司郑重声明，根据《政府采购促进中小企业发展管理办法》（财库 (2020)46号）的规定，本公司参加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w:t>
      </w:r>
      <w:r>
        <w:rPr>
          <w:rFonts w:hint="eastAsia" w:ascii="宋体" w:hAnsi="宋体" w:cs="宋体"/>
          <w:b/>
          <w:bCs/>
          <w:sz w:val="24"/>
          <w:szCs w:val="24"/>
        </w:rPr>
        <w:t xml:space="preserve">货物</w:t>
      </w:r>
      <w:r>
        <w:rPr>
          <w:rFonts w:hint="eastAsia" w:ascii="宋体" w:hAnsi="宋体" w:cs="宋体"/>
          <w:sz w:val="24"/>
          <w:szCs w:val="24"/>
        </w:rPr>
        <w:t xml:space="preserve">全部由符合政策要求的中小企业制造。相关企业的具体情况如下：</w:t>
      </w:r>
      <w:r/>
    </w:p>
    <w:p>
      <w:pPr>
        <w:spacing w:before="240" w:after="240"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spacing w:before="240" w:after="240"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ind w:firstLine="600"/>
        <w:spacing w:line="480" w:lineRule="exact"/>
        <w:rPr>
          <w:rFonts w:ascii="宋体" w:hAnsi="宋体" w:cs="宋体"/>
          <w:sz w:val="24"/>
          <w:szCs w:val="24"/>
        </w:rPr>
      </w:pPr>
      <w:r>
        <w:rPr>
          <w:rFonts w:ascii="宋体" w:hAnsi="宋体" w:cs="宋体"/>
          <w:sz w:val="24"/>
          <w:szCs w:val="24"/>
        </w:rPr>
      </w:r>
      <w:r/>
    </w:p>
    <w:p>
      <w:pPr>
        <w:ind w:firstLine="600"/>
        <w:spacing w:line="480" w:lineRule="exact"/>
        <w:rPr>
          <w:rFonts w:ascii="宋体" w:hAnsi="宋体" w:cs="宋体"/>
          <w:sz w:val="24"/>
          <w:szCs w:val="24"/>
        </w:rPr>
      </w:pPr>
      <w:r>
        <w:rPr>
          <w:rFonts w:hint="eastAsia" w:ascii="宋体" w:hAnsi="宋体" w:cs="宋体"/>
          <w:sz w:val="24"/>
          <w:szCs w:val="24"/>
        </w:rPr>
        <w:t xml:space="preserve">企业名称（盖单位电子签章）：</w:t>
      </w:r>
      <w:r/>
    </w:p>
    <w:p>
      <w:pPr>
        <w:ind w:firstLine="600"/>
        <w:spacing w:line="460" w:lineRule="exact"/>
        <w:rPr>
          <w:rFonts w:ascii="宋体" w:hAnsi="宋体" w:cs="宋体"/>
          <w:sz w:val="24"/>
          <w:szCs w:val="24"/>
        </w:rPr>
      </w:pPr>
      <w:r>
        <w:rPr>
          <w:rFonts w:hint="eastAsia" w:ascii="宋体" w:hAnsi="宋体" w:cs="宋体"/>
          <w:sz w:val="24"/>
          <w:szCs w:val="24"/>
        </w:rPr>
        <w:t xml:space="preserve">日期：</w:t>
      </w:r>
      <w:r/>
    </w:p>
    <w:p>
      <w:pPr>
        <w:spacing w:line="46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工业</w:t>
      </w:r>
      <w:r>
        <w:rPr>
          <w:rFonts w:hint="eastAsia" w:ascii="宋体" w:hAnsi="宋体" w:cs="宋体"/>
          <w:sz w:val="24"/>
          <w:szCs w:val="24"/>
        </w:rPr>
        <w:t xml:space="preserve">。</w:t>
      </w:r>
      <w:r/>
    </w:p>
    <w:p>
      <w:pPr>
        <w:pStyle w:val="933"/>
        <w:ind w:firstLine="602"/>
        <w:jc w:val="left"/>
        <w:rPr>
          <w:rFonts w:ascii="宋体" w:hAnsi="宋体" w:eastAsia="宋体" w:cs="宋体"/>
          <w:b/>
          <w:bCs/>
          <w:sz w:val="24"/>
        </w:rPr>
      </w:pPr>
      <w:r>
        <w:rPr>
          <w:rFonts w:hint="eastAsia" w:ascii="宋体" w:hAnsi="宋体" w:eastAsia="宋体" w:cs="宋体"/>
          <w:b/>
          <w:bCs/>
          <w:sz w:val="24"/>
        </w:rPr>
        <w:t xml:space="preserve">说明：</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6.《中小企业声明函》查询渠道用微信搜索“中小企业规模类型自测小程序”。</w:t>
      </w:r>
      <w:r/>
    </w:p>
    <w:p>
      <w:pPr>
        <w:pStyle w:val="1233"/>
        <w:rPr>
          <w:rFonts w:ascii="宋体" w:hAnsi="宋体" w:cs="宋体"/>
          <w:sz w:val="28"/>
          <w:szCs w:val="28"/>
        </w:rPr>
      </w:pPr>
      <w:r>
        <w:rPr>
          <w:rFonts w:ascii="宋体" w:hAnsi="宋体" w:cs="宋体"/>
          <w:sz w:val="28"/>
          <w:szCs w:val="28"/>
        </w:rPr>
      </w:r>
      <w:r/>
    </w:p>
    <w:p>
      <w:pPr>
        <w:pStyle w:val="921"/>
        <w:jc w:val="center"/>
        <w:rPr>
          <w:rFonts w:ascii="宋体" w:hAnsi="宋体" w:cs="宋体"/>
          <w:b/>
          <w:bCs/>
          <w:color w:val="000000"/>
          <w:spacing w:val="6"/>
          <w:sz w:val="24"/>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1893570</wp:posOffset>
                </wp:positionH>
                <wp:positionV relativeFrom="page">
                  <wp:posOffset>2934970</wp:posOffset>
                </wp:positionV>
                <wp:extent cx="2330450" cy="4370705"/>
                <wp:effectExtent l="19050" t="0" r="0" b="0"/>
                <wp:wrapSquare wrapText="bothSides"/>
                <wp:docPr id="6"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rcRect l="0" t="4498" r="0" b="0"/>
                        <a:stretch/>
                      </pic:blipFill>
                      <pic:spPr bwMode="auto">
                        <a:xfrm>
                          <a:off x="0" y="0"/>
                          <a:ext cx="2330450" cy="437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9.1pt;mso-position-horizontal:absolute;mso-position-vertical-relative:page;margin-top:231.1pt;mso-position-vertical:absolute;width:183.5pt;height:344.1pt;mso-wrap-distance-left:9.0pt;mso-wrap-distance-top:0.0pt;mso-wrap-distance-right:9.0pt;mso-wrap-distance-bottom:0.0pt;" stroked="f">
                <v:path textboxrect="0,0,0,0"/>
                <w10:wrap type="square"/>
                <v:imagedata r:id="rId17" o:title=""/>
              </v:shape>
            </w:pict>
          </mc:Fallback>
        </mc:AlternateContent>
      </w:r>
      <w:r>
        <w:rPr>
          <w:rFonts w:hint="eastAsia" w:ascii="宋体" w:hAnsi="宋体" w:cs="宋体"/>
          <w:sz w:val="28"/>
          <w:szCs w:val="28"/>
        </w:rPr>
        <w:br w:type="page" w:clear="all"/>
      </w:r>
      <w:r>
        <w:rPr>
          <w:rFonts w:hint="eastAsia" w:ascii="宋体" w:hAnsi="宋体" w:cs="宋体"/>
          <w:sz w:val="28"/>
          <w:szCs w:val="28"/>
        </w:rPr>
        <w:t xml:space="preserve">八</w:t>
      </w:r>
      <w:r>
        <w:rPr>
          <w:rFonts w:hint="eastAsia" w:ascii="宋体" w:hAnsi="宋体" w:cs="宋体"/>
          <w:b/>
          <w:bCs/>
          <w:color w:val="000000"/>
          <w:sz w:val="24"/>
        </w:rPr>
        <w:t xml:space="preserve">、残疾人福利性单位声明函格式</w:t>
      </w:r>
      <w:r/>
    </w:p>
    <w:p>
      <w:pPr>
        <w:pStyle w:val="921"/>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项目名称：新沂市2026年秋粮重大病虫害防控和玉米重大病虫生物防治 </w:t>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lang w:eastAsia="zh-CN"/>
        </w:rPr>
        <w:t xml:space="preserve">JSZC-320381-XNGL-G2026-0005</w:t>
      </w:r>
      <w:r>
        <w:rPr>
          <w:rFonts w:hint="eastAsia" w:ascii="宋体" w:hAnsi="宋体" w:cs="宋体"/>
          <w:color w:val="000000"/>
          <w:sz w:val="24"/>
        </w:rPr>
        <w:t xml:space="preserve">  </w:t>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921"/>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921"/>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921"/>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921"/>
        <w:ind w:firstLine="4200"/>
        <w:spacing w:line="480" w:lineRule="exact"/>
        <w:rPr>
          <w:rFonts w:ascii="宋体" w:hAnsi="宋体" w:cs="宋体"/>
          <w:color w:val="000000"/>
          <w:sz w:val="24"/>
        </w:rPr>
      </w:pPr>
      <w:r>
        <w:rPr>
          <w:rFonts w:ascii="宋体" w:hAnsi="宋体" w:cs="宋体"/>
          <w:color w:val="000000"/>
          <w:sz w:val="24"/>
        </w:rPr>
      </w:r>
      <w:r/>
    </w:p>
    <w:p>
      <w:pPr>
        <w:pStyle w:val="921"/>
        <w:ind w:firstLine="42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921"/>
        <w:ind w:firstLine="4500"/>
        <w:spacing w:line="480" w:lineRule="exact"/>
        <w:rPr>
          <w:rFonts w:ascii="宋体" w:hAnsi="宋体" w:cs="宋体"/>
          <w:color w:val="000000"/>
          <w:sz w:val="24"/>
        </w:rPr>
      </w:pPr>
      <w:r>
        <w:rPr>
          <w:rFonts w:ascii="宋体" w:hAnsi="宋体" w:cs="宋体"/>
          <w:color w:val="000000"/>
          <w:sz w:val="24"/>
        </w:rPr>
      </w:r>
      <w:r/>
    </w:p>
    <w:p>
      <w:pPr>
        <w:pStyle w:val="921"/>
        <w:ind w:firstLine="600"/>
        <w:spacing w:line="480" w:lineRule="exact"/>
        <w:rPr>
          <w:rFonts w:ascii="宋体" w:hAnsi="宋体" w:cs="宋体"/>
          <w:color w:val="000000"/>
          <w:sz w:val="24"/>
        </w:rPr>
      </w:pPr>
      <w:r>
        <w:rPr>
          <w:rFonts w:ascii="宋体" w:hAnsi="宋体" w:cs="宋体"/>
          <w:color w:val="000000"/>
          <w:sz w:val="24"/>
        </w:rPr>
      </w:r>
      <w:r/>
    </w:p>
    <w:p>
      <w:pPr>
        <w:pStyle w:val="921"/>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九</w:t>
      </w:r>
      <w:r>
        <w:rPr>
          <w:rFonts w:hint="eastAsia" w:ascii="宋体" w:hAnsi="宋体" w:cs="宋体"/>
          <w:b/>
          <w:bCs/>
          <w:color w:val="000000"/>
          <w:sz w:val="24"/>
        </w:rPr>
        <w:t xml:space="preserve">、投标人参加政府采购活动前3年内在经营活动中没有重大违法记录的书面声明格式</w:t>
      </w:r>
      <w:r/>
    </w:p>
    <w:p>
      <w:pPr>
        <w:pStyle w:val="921"/>
        <w:ind w:firstLine="602"/>
        <w:spacing w:line="480" w:lineRule="exact"/>
        <w:rPr>
          <w:rFonts w:ascii="宋体" w:hAnsi="宋体" w:cs="宋体"/>
          <w:b/>
          <w:bCs/>
          <w:color w:val="000000"/>
          <w:sz w:val="24"/>
        </w:rPr>
      </w:pPr>
      <w:r>
        <w:rPr>
          <w:rFonts w:ascii="宋体" w:hAnsi="宋体" w:cs="宋体"/>
          <w:b/>
          <w:bCs/>
          <w:color w:val="000000"/>
          <w:sz w:val="24"/>
        </w:rPr>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新沂市2026年秋粮重大病虫害防控和玉米重大病虫生物防治 </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JSZC-320381-XNGL-G2026-0005</w:t>
      </w:r>
      <w:r>
        <w:rPr>
          <w:rFonts w:hint="eastAsia" w:ascii="宋体" w:hAnsi="宋体" w:cs="宋体"/>
          <w:color w:val="000000"/>
          <w:sz w:val="24"/>
          <w:u w:val="single"/>
        </w:rPr>
        <w:t xml:space="preserve"> </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44"/>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921"/>
        <w:spacing w:line="480" w:lineRule="exact"/>
        <w:rPr>
          <w:rFonts w:ascii="宋体" w:hAnsi="宋体" w:cs="宋体"/>
          <w:color w:val="000000"/>
          <w:sz w:val="24"/>
        </w:rPr>
      </w:pPr>
      <w:r>
        <w:rPr>
          <w:rFonts w:ascii="宋体" w:hAnsi="宋体" w:cs="宋体"/>
          <w:color w:val="000000"/>
          <w:sz w:val="24"/>
        </w:rPr>
      </w:r>
      <w:r/>
    </w:p>
    <w:p>
      <w:pPr>
        <w:pStyle w:val="921"/>
        <w:spacing w:line="480" w:lineRule="exact"/>
        <w:rPr>
          <w:rFonts w:ascii="宋体" w:hAnsi="宋体" w:cs="宋体"/>
          <w:color w:val="000000"/>
          <w:sz w:val="24"/>
        </w:rPr>
      </w:pPr>
      <w:r>
        <w:rPr>
          <w:rFonts w:ascii="宋体" w:hAnsi="宋体" w:cs="宋体"/>
          <w:color w:val="000000"/>
          <w:sz w:val="24"/>
        </w:rPr>
      </w:r>
      <w:r/>
    </w:p>
    <w:p>
      <w:pPr>
        <w:pStyle w:val="921"/>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921"/>
        <w:ind w:firstLine="4200"/>
        <w:spacing w:line="480" w:lineRule="exact"/>
        <w:rPr>
          <w:rFonts w:ascii="宋体" w:hAnsi="宋体" w:cs="宋体"/>
          <w:color w:val="000000"/>
          <w:sz w:val="24"/>
        </w:rPr>
      </w:pPr>
      <w:r>
        <w:rPr>
          <w:rFonts w:ascii="宋体" w:hAnsi="宋体" w:cs="宋体"/>
          <w:color w:val="000000"/>
          <w:sz w:val="24"/>
        </w:rPr>
      </w:r>
      <w:r/>
    </w:p>
    <w:p>
      <w:pPr>
        <w:pStyle w:val="921"/>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十、具备履行合同所必需的设备和专业技术能力的书面声明（附证明材料复印件）格式</w:t>
      </w:r>
      <w:r/>
    </w:p>
    <w:p>
      <w:pPr>
        <w:pStyle w:val="921"/>
        <w:ind w:firstLine="60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项目名称：新沂市2026年秋粮重大病虫害防控和玉米重大病虫生物防治</w:t>
      </w:r>
      <w:r/>
    </w:p>
    <w:p>
      <w:pPr>
        <w:pStyle w:val="921"/>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项目编号：  </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rPr>
        <w:t xml:space="preserve">新沂市2026年秋粮重大病虫害防控和玉米重大病虫生物防治</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JSZC-320381-XNGL-G2026-0005</w:t>
      </w:r>
      <w:r>
        <w:rPr>
          <w:rFonts w:hint="eastAsia" w:ascii="宋体" w:hAnsi="宋体" w:cs="宋体"/>
          <w:color w:val="000000"/>
          <w:sz w:val="24"/>
        </w:rPr>
        <w:t xml:space="preserve"> 所必需的设备和专业技术能力。</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ascii="宋体" w:hAnsi="宋体" w:cs="宋体"/>
          <w:color w:val="000000"/>
          <w:sz w:val="24"/>
        </w:rPr>
      </w:r>
      <w:r/>
    </w:p>
    <w:p>
      <w:pPr>
        <w:ind w:firstLine="562"/>
        <w:spacing w:line="360" w:lineRule="auto"/>
        <w:rPr>
          <w:rFonts w:ascii="宋体" w:hAnsi="宋体" w:cs="宋体"/>
          <w:color w:val="000000"/>
          <w:sz w:val="28"/>
          <w:szCs w:val="28"/>
        </w:rPr>
      </w:pPr>
      <w:r>
        <w:rPr>
          <w:rFonts w:hint="eastAsia" w:ascii="宋体" w:hAnsi="宋体" w:cs="宋体"/>
          <w:b/>
          <w:bCs/>
          <w:color w:val="000000"/>
          <w:sz w:val="28"/>
          <w:szCs w:val="28"/>
        </w:rPr>
        <w:t xml:space="preserve">格式自拟</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1680"/>
        <w:spacing w:line="480" w:lineRule="exact"/>
        <w:rPr>
          <w:rFonts w:ascii="宋体" w:hAnsi="宋体" w:cs="宋体"/>
          <w:color w:val="000000"/>
          <w:sz w:val="24"/>
        </w:rPr>
      </w:pPr>
      <w:r>
        <w:rPr>
          <w:rFonts w:hint="eastAsia" w:ascii="宋体" w:hAnsi="宋体" w:cs="宋体"/>
          <w:color w:val="000000"/>
          <w:sz w:val="24"/>
        </w:rPr>
        <w:t xml:space="preserve">特此声明。</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投标人对上述声明的真实性负责。如有虚假，将依法承担相应责任。</w:t>
      </w:r>
      <w:r/>
    </w:p>
    <w:p>
      <w:pPr>
        <w:pStyle w:val="921"/>
        <w:spacing w:line="480" w:lineRule="exact"/>
        <w:rPr>
          <w:rFonts w:ascii="宋体" w:hAnsi="宋体" w:cs="宋体"/>
          <w:color w:val="000000"/>
          <w:sz w:val="24"/>
        </w:rPr>
      </w:pPr>
      <w:r>
        <w:rPr>
          <w:rFonts w:ascii="宋体" w:hAnsi="宋体" w:cs="宋体"/>
          <w:color w:val="000000"/>
          <w:sz w:val="24"/>
        </w:rPr>
      </w:r>
      <w:r/>
    </w:p>
    <w:p>
      <w:pPr>
        <w:pStyle w:val="921"/>
        <w:spacing w:line="480" w:lineRule="exact"/>
        <w:rPr>
          <w:rFonts w:ascii="宋体" w:hAnsi="宋体" w:cs="宋体"/>
          <w:color w:val="000000"/>
          <w:sz w:val="24"/>
        </w:rPr>
      </w:pPr>
      <w:r>
        <w:rPr>
          <w:rFonts w:ascii="宋体" w:hAnsi="宋体" w:cs="宋体"/>
          <w:color w:val="000000"/>
          <w:sz w:val="24"/>
        </w:rPr>
      </w:r>
      <w:r/>
    </w:p>
    <w:p>
      <w:pPr>
        <w:pStyle w:val="921"/>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400"/>
        <w:spacing w:line="480" w:lineRule="exact"/>
        <w:rPr>
          <w:rFonts w:ascii="宋体" w:hAnsi="宋体" w:cs="宋体"/>
          <w:color w:val="000000"/>
          <w:sz w:val="24"/>
        </w:rPr>
      </w:pPr>
      <w:r>
        <w:rPr>
          <w:rStyle w:val="1052"/>
          <w:rFonts w:hint="eastAsia" w:ascii="宋体" w:hAnsi="宋体" w:cs="宋体"/>
          <w:color w:val="000000"/>
          <w:sz w:val="24"/>
        </w:rPr>
        <w:t xml:space="preserve">                            </w:t>
      </w:r>
      <w:r>
        <w:rPr>
          <w:rFonts w:hint="eastAsia" w:ascii="宋体" w:hAnsi="宋体" w:cs="宋体"/>
          <w:color w:val="000000"/>
          <w:sz w:val="24"/>
        </w:rPr>
        <w:t xml:space="preserve">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921"/>
        <w:jc w:val="center"/>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p>
    <w:p>
      <w:pPr>
        <w:pStyle w:val="921"/>
        <w:jc w:val="center"/>
        <w:spacing w:line="360" w:lineRule="auto"/>
        <w:widowControl/>
        <w:rPr>
          <w:rFonts w:ascii="宋体" w:hAnsi="宋体" w:cs="宋体"/>
          <w:color w:val="000000"/>
          <w:sz w:val="24"/>
        </w:rPr>
      </w:pPr>
      <w:r>
        <w:rPr>
          <w:rFonts w:ascii="宋体" w:hAnsi="宋体" w:cs="宋体"/>
          <w:color w:val="000000"/>
          <w:sz w:val="24"/>
        </w:rPr>
      </w:r>
      <w:r/>
    </w:p>
    <w:p>
      <w:pPr>
        <w:pStyle w:val="921"/>
        <w:jc w:val="center"/>
        <w:spacing w:line="360" w:lineRule="auto"/>
        <w:widowControl/>
        <w:rPr>
          <w:rFonts w:ascii="宋体" w:hAnsi="宋体" w:cs="宋体"/>
          <w:color w:val="000000"/>
          <w:sz w:val="24"/>
        </w:rPr>
      </w:pPr>
      <w:r>
        <w:rPr>
          <w:rFonts w:ascii="宋体" w:hAnsi="宋体" w:cs="宋体"/>
          <w:color w:val="000000"/>
          <w:sz w:val="24"/>
        </w:rPr>
      </w:r>
      <w:r/>
    </w:p>
    <w:p>
      <w:pPr>
        <w:pStyle w:val="921"/>
        <w:jc w:val="center"/>
        <w:spacing w:line="360" w:lineRule="auto"/>
        <w:widowControl/>
        <w:rPr>
          <w:rFonts w:ascii="宋体" w:hAnsi="宋体" w:cs="宋体"/>
          <w:color w:val="000000"/>
          <w:sz w:val="24"/>
        </w:rPr>
      </w:pPr>
      <w:r>
        <w:rPr>
          <w:rFonts w:ascii="宋体" w:hAnsi="宋体" w:cs="宋体"/>
          <w:color w:val="000000"/>
          <w:sz w:val="24"/>
        </w:rPr>
      </w:r>
      <w:r/>
    </w:p>
    <w:p>
      <w:pPr>
        <w:pStyle w:val="921"/>
        <w:rPr>
          <w:rFonts w:ascii="宋体" w:hAnsi="宋体" w:cs="宋体"/>
          <w:b/>
          <w:bCs/>
          <w:color w:val="000000"/>
          <w:sz w:val="24"/>
        </w:rPr>
      </w:pPr>
      <w:r>
        <w:rPr>
          <w:rFonts w:ascii="宋体" w:hAnsi="宋体" w:cs="宋体"/>
          <w:b/>
          <w:bCs/>
          <w:color w:val="000000"/>
          <w:sz w:val="24"/>
        </w:rPr>
      </w:r>
      <w:r/>
    </w:p>
    <w:p>
      <w:pPr>
        <w:pStyle w:val="921"/>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十一、投标人认为需要提供的其他材料（如有）</w:t>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921"/>
        <w:rPr>
          <w:rFonts w:ascii="宋体" w:hAnsi="宋体" w:cs="宋体"/>
          <w:b/>
          <w:bCs/>
          <w:color w:val="000000"/>
          <w:sz w:val="24"/>
        </w:rPr>
      </w:pPr>
      <w:r>
        <w:rPr>
          <w:rFonts w:ascii="宋体" w:hAnsi="宋体" w:cs="宋体"/>
          <w:b/>
          <w:bCs/>
          <w:color w:val="000000"/>
          <w:sz w:val="24"/>
        </w:rPr>
      </w:r>
      <w:r/>
    </w:p>
    <w:sectPr>
      <w:headerReference w:type="default" r:id="rId10"/>
      <w:footerReference w:type="default" r:id="rId14"/>
      <w:footerReference w:type="even"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MS Gothic">
    <w:panose1 w:val="020B0609070205080204"/>
  </w:font>
  <w:font w:name="Calibri Light">
    <w:panose1 w:val="020F0302020204030204"/>
  </w:font>
  <w:font w:name="宋体;SimSun">
    <w:panose1 w:val="02010600030101010101"/>
  </w:font>
  <w:font w:name="新宋体">
    <w:panose1 w:val="02010609030101010101"/>
  </w:font>
  <w:font w:name="Symbol">
    <w:panose1 w:val="05050102010706020507"/>
  </w:font>
  <w:font w:name="仿宋">
    <w:panose1 w:val="0201060906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2"/>
      </w:rPr>
      <w:framePr w:wrap="around" w:vAnchor="text" w:hAnchor="margin" w:xAlign="center" w:y="1"/>
    </w:pPr>
    <w:r>
      <w:fldChar w:fldCharType="begin"/>
    </w:r>
    <w:r>
      <w:rPr>
        <w:rStyle w:val="1052"/>
      </w:rPr>
      <w:instrText xml:space="preserve">PAGE  </w:instrText>
    </w:r>
    <w:r>
      <w:fldChar w:fldCharType="end"/>
    </w:r>
    <w:r/>
  </w:p>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name w:val="TOC Heading"/>
    <w:uiPriority w:val="39"/>
    <w:unhideWhenUsed/>
  </w:style>
  <w:style w:type="paragraph" w:styleId="843" w:default="1">
    <w:name w:val="Normal"/>
    <w:next w:val="855"/>
    <w:uiPriority w:val="0"/>
    <w:qFormat/>
    <w:rPr>
      <w:rFonts w:ascii="Times New Roman" w:hAnsi="Times New Roman" w:eastAsia="宋体" w:cs="Times New Roman"/>
      <w:lang w:val="en-US" w:eastAsia="zh-CN" w:bidi="ar-SA"/>
    </w:rPr>
  </w:style>
  <w:style w:type="paragraph" w:styleId="844">
    <w:name w:val="Heading 1"/>
    <w:basedOn w:val="843"/>
    <w:next w:val="843"/>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style>
  <w:style w:type="table" w:styleId="854" w:default="1">
    <w:name w:val="Normal Table"/>
    <w:uiPriority w:val="99"/>
    <w:semiHidden/>
    <w:unhideWhenUsed/>
    <w:qFormat/>
    <w:tblPr>
      <w:tblLayout w:type="fixed"/>
      <w:tblCellMar>
        <w:left w:w="108" w:type="dxa"/>
        <w:top w:w="0" w:type="dxa"/>
        <w:right w:w="108" w:type="dxa"/>
        <w:bottom w:w="0" w:type="dxa"/>
      </w:tblCellMar>
    </w:tblPr>
  </w:style>
  <w:style w:type="paragraph" w:styleId="855" w:customStyle="1">
    <w:name w:val="Heading 4"/>
    <w:basedOn w:val="843"/>
    <w:next w:val="843"/>
    <w:uiPriority w:val="9"/>
    <w:unhideWhenUsed/>
    <w:qFormat/>
    <w:pPr>
      <w:keepLines/>
      <w:keepNext/>
      <w:spacing w:before="320"/>
      <w:outlineLvl w:val="3"/>
    </w:pPr>
    <w:rPr>
      <w:rFonts w:ascii="Arial" w:hAnsi="Arial" w:eastAsia="Arial" w:cs="Arial"/>
      <w:b/>
      <w:bCs/>
      <w:sz w:val="26"/>
      <w:szCs w:val="26"/>
    </w:rPr>
  </w:style>
  <w:style w:type="paragraph" w:styleId="856">
    <w:name w:val="toc 7"/>
    <w:basedOn w:val="843"/>
    <w:next w:val="843"/>
    <w:uiPriority w:val="39"/>
    <w:unhideWhenUsed/>
    <w:qFormat/>
    <w:pPr>
      <w:ind w:left="1701"/>
      <w:spacing w:after="57"/>
    </w:pPr>
  </w:style>
  <w:style w:type="paragraph" w:styleId="857">
    <w:name w:val="Normal Indent"/>
    <w:basedOn w:val="843"/>
    <w:next w:val="843"/>
    <w:uiPriority w:val="0"/>
    <w:qFormat/>
    <w:pPr>
      <w:ind w:firstLine="420"/>
    </w:pPr>
  </w:style>
  <w:style w:type="paragraph" w:styleId="858">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Body Text Indent"/>
    <w:basedOn w:val="843"/>
    <w:next w:val="860"/>
    <w:uiPriority w:val="0"/>
    <w:qFormat/>
    <w:pPr>
      <w:ind w:left="420"/>
      <w:spacing w:after="120"/>
    </w:pPr>
    <w:rPr>
      <w:szCs w:val="24"/>
    </w:rPr>
  </w:style>
  <w:style w:type="paragraph" w:styleId="860" w:customStyle="1">
    <w:name w:val="样式 正文文本缩进 + 首行缩进:  2 字符 行距: 1.5 倍行距"/>
    <w:basedOn w:val="859"/>
    <w:uiPriority w:val="0"/>
    <w:qFormat/>
    <w:pPr>
      <w:ind w:firstLine="645"/>
      <w:spacing w:before="156"/>
    </w:pPr>
    <w:rPr>
      <w:rFonts w:ascii="Calibri" w:hAnsi="Calibri" w:cs="宋体"/>
    </w:rPr>
  </w:style>
  <w:style w:type="paragraph" w:styleId="861">
    <w:name w:val="Block Text"/>
    <w:basedOn w:val="843"/>
    <w:uiPriority w:val="0"/>
    <w:qFormat/>
    <w:pPr>
      <w:ind w:left="1440"/>
      <w:spacing w:after="120"/>
    </w:pPr>
  </w:style>
  <w:style w:type="paragraph" w:styleId="862">
    <w:name w:val="toc 5"/>
    <w:basedOn w:val="843"/>
    <w:next w:val="843"/>
    <w:uiPriority w:val="39"/>
    <w:unhideWhenUsed/>
    <w:qFormat/>
    <w:pPr>
      <w:ind w:left="1134"/>
      <w:spacing w:after="57"/>
    </w:pPr>
  </w:style>
  <w:style w:type="paragraph" w:styleId="863">
    <w:name w:val="toc 3"/>
    <w:basedOn w:val="843"/>
    <w:next w:val="843"/>
    <w:uiPriority w:val="39"/>
    <w:unhideWhenUsed/>
    <w:qFormat/>
    <w:pPr>
      <w:ind w:left="567"/>
      <w:spacing w:after="57"/>
    </w:pPr>
  </w:style>
  <w:style w:type="paragraph" w:styleId="864">
    <w:name w:val="Plain Text"/>
    <w:basedOn w:val="843"/>
    <w:next w:val="857"/>
    <w:uiPriority w:val="0"/>
    <w:qFormat/>
    <w:rPr>
      <w:rFonts w:ascii="宋体" w:hAnsi="Courier New"/>
    </w:rPr>
  </w:style>
  <w:style w:type="paragraph" w:styleId="865">
    <w:name w:val="toc 8"/>
    <w:basedOn w:val="843"/>
    <w:next w:val="843"/>
    <w:uiPriority w:val="39"/>
    <w:unhideWhenUsed/>
    <w:qFormat/>
    <w:pPr>
      <w:ind w:left="1984"/>
      <w:spacing w:after="57"/>
    </w:pPr>
  </w:style>
  <w:style w:type="paragraph" w:styleId="866">
    <w:name w:val="endnote text"/>
    <w:basedOn w:val="843"/>
    <w:uiPriority w:val="99"/>
    <w:semiHidden/>
    <w:unhideWhenUsed/>
    <w:qFormat/>
  </w:style>
  <w:style w:type="paragraph" w:styleId="867">
    <w:name w:val="Footer"/>
    <w:basedOn w:val="843"/>
    <w:uiPriority w:val="99"/>
    <w:unhideWhenUsed/>
    <w:qFormat/>
    <w:pPr>
      <w:tabs>
        <w:tab w:val="center" w:pos="7143" w:leader="none"/>
        <w:tab w:val="right" w:pos="14287" w:leader="none"/>
      </w:tabs>
    </w:pPr>
  </w:style>
  <w:style w:type="paragraph" w:styleId="868">
    <w:name w:val="Header"/>
    <w:basedOn w:val="843"/>
    <w:uiPriority w:val="99"/>
    <w:unhideWhenUsed/>
    <w:qFormat/>
    <w:pPr>
      <w:tabs>
        <w:tab w:val="center" w:pos="7143" w:leader="none"/>
        <w:tab w:val="right" w:pos="14287" w:leader="none"/>
      </w:tabs>
    </w:pPr>
  </w:style>
  <w:style w:type="paragraph" w:styleId="869">
    <w:name w:val="toc 1"/>
    <w:basedOn w:val="843"/>
    <w:next w:val="843"/>
    <w:uiPriority w:val="39"/>
    <w:unhideWhenUsed/>
    <w:qFormat/>
    <w:pPr>
      <w:spacing w:after="57"/>
    </w:pPr>
  </w:style>
  <w:style w:type="paragraph" w:styleId="870">
    <w:name w:val="toc 4"/>
    <w:basedOn w:val="843"/>
    <w:next w:val="843"/>
    <w:uiPriority w:val="39"/>
    <w:unhideWhenUsed/>
    <w:qFormat/>
    <w:pPr>
      <w:ind w:left="850"/>
      <w:spacing w:after="57"/>
    </w:pPr>
  </w:style>
  <w:style w:type="paragraph" w:styleId="871">
    <w:name w:val="Subtitle"/>
    <w:basedOn w:val="843"/>
    <w:next w:val="843"/>
    <w:uiPriority w:val="11"/>
    <w:qFormat/>
    <w:pPr>
      <w:spacing w:before="200" w:after="200"/>
    </w:pPr>
    <w:rPr>
      <w:sz w:val="24"/>
      <w:szCs w:val="24"/>
    </w:rPr>
  </w:style>
  <w:style w:type="paragraph" w:styleId="872">
    <w:name w:val="footnote text"/>
    <w:basedOn w:val="843"/>
    <w:uiPriority w:val="99"/>
    <w:semiHidden/>
    <w:unhideWhenUsed/>
    <w:qFormat/>
    <w:pPr>
      <w:spacing w:after="40"/>
    </w:pPr>
    <w:rPr>
      <w:sz w:val="18"/>
    </w:rPr>
  </w:style>
  <w:style w:type="paragraph" w:styleId="873">
    <w:name w:val="toc 6"/>
    <w:basedOn w:val="843"/>
    <w:next w:val="843"/>
    <w:uiPriority w:val="39"/>
    <w:unhideWhenUsed/>
    <w:qFormat/>
    <w:pPr>
      <w:ind w:left="1417"/>
      <w:spacing w:after="57"/>
    </w:pPr>
  </w:style>
  <w:style w:type="paragraph" w:styleId="874">
    <w:name w:val="table of figures"/>
    <w:basedOn w:val="843"/>
    <w:next w:val="843"/>
    <w:uiPriority w:val="99"/>
    <w:unhideWhenUsed/>
    <w:qFormat/>
  </w:style>
  <w:style w:type="paragraph" w:styleId="875">
    <w:name w:val="toc 2"/>
    <w:basedOn w:val="843"/>
    <w:next w:val="843"/>
    <w:uiPriority w:val="39"/>
    <w:unhideWhenUsed/>
    <w:qFormat/>
    <w:pPr>
      <w:ind w:left="283"/>
      <w:spacing w:after="57"/>
    </w:pPr>
  </w:style>
  <w:style w:type="paragraph" w:styleId="876">
    <w:name w:val="toc 9"/>
    <w:basedOn w:val="843"/>
    <w:next w:val="843"/>
    <w:uiPriority w:val="39"/>
    <w:unhideWhenUsed/>
    <w:qFormat/>
    <w:pPr>
      <w:ind w:left="2268"/>
      <w:spacing w:after="57"/>
    </w:pPr>
  </w:style>
  <w:style w:type="paragraph" w:styleId="877">
    <w:name w:val="Normal (Web)"/>
    <w:basedOn w:val="843"/>
    <w:uiPriority w:val="99"/>
    <w:semiHidden/>
    <w:unhideWhenUsed/>
    <w:qFormat/>
    <w:pPr>
      <w:spacing w:beforeAutospacing="1" w:afterAutospacing="1"/>
    </w:pPr>
    <w:rPr>
      <w:sz w:val="24"/>
    </w:rPr>
  </w:style>
  <w:style w:type="paragraph" w:styleId="878">
    <w:name w:val="Title"/>
    <w:basedOn w:val="843"/>
    <w:next w:val="843"/>
    <w:uiPriority w:val="10"/>
    <w:qFormat/>
    <w:pPr>
      <w:contextualSpacing/>
      <w:spacing w:before="300" w:after="200"/>
    </w:pPr>
    <w:rPr>
      <w:sz w:val="48"/>
      <w:szCs w:val="48"/>
    </w:r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footnote reference"/>
    <w:uiPriority w:val="99"/>
    <w:unhideWhenUsed/>
    <w:qFormat/>
    <w:rPr>
      <w:vertAlign w:val="superscript"/>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83" w:customStyle="1">
    <w:name w:val="正文文本缩进1"/>
    <w:basedOn w:val="884"/>
    <w:next w:val="885"/>
    <w:uiPriority w:val="0"/>
    <w:qFormat/>
    <w:pPr>
      <w:ind w:left="420"/>
      <w:spacing w:after="120"/>
    </w:pPr>
  </w:style>
  <w:style w:type="paragraph" w:styleId="884" w:customStyle="1">
    <w:name w:val="正文111"/>
    <w:next w:val="883"/>
    <w:uiPriority w:val="0"/>
    <w:qFormat/>
    <w:pPr>
      <w:jc w:val="both"/>
      <w:widowControl w:val="off"/>
    </w:pPr>
    <w:rPr>
      <w:rFonts w:ascii="Times New Roman" w:hAnsi="Times New Roman" w:eastAsia="宋体" w:cs="Times New Roman"/>
      <w:color w:val="000000"/>
      <w:sz w:val="21"/>
      <w:szCs w:val="24"/>
      <w:lang w:val="en-US" w:eastAsia="zh-CN" w:bidi="ar-SA"/>
    </w:rPr>
  </w:style>
  <w:style w:type="paragraph" w:styleId="885" w:customStyle="1">
    <w:name w:val="寄信人地址1"/>
    <w:basedOn w:val="884"/>
    <w:uiPriority w:val="0"/>
    <w:qFormat/>
    <w:pPr>
      <w:ind w:firstLine="200"/>
    </w:pPr>
    <w:rPr>
      <w:rFonts w:ascii="Arial" w:hAnsi="Arial" w:eastAsia="仿宋_GB2312"/>
    </w:rPr>
  </w:style>
  <w:style w:type="paragraph" w:styleId="886" w:customStyle="1">
    <w:name w:val="标题 111"/>
    <w:next w:val="843"/>
    <w:link w:val="897"/>
    <w:uiPriority w:val="9"/>
    <w:qFormat/>
    <w:pPr>
      <w:keepLines/>
      <w:keepNext/>
      <w:spacing w:before="480" w:after="200"/>
      <w:outlineLvl w:val="0"/>
    </w:pPr>
    <w:rPr>
      <w:rFonts w:ascii="Arial" w:hAnsi="Arial" w:eastAsia="Arial" w:cs="Arial"/>
      <w:sz w:val="40"/>
      <w:szCs w:val="40"/>
      <w:lang w:val="en-US" w:eastAsia="zh-CN" w:bidi="ar-SA"/>
    </w:rPr>
  </w:style>
  <w:style w:type="paragraph" w:styleId="887" w:customStyle="1">
    <w:name w:val="标题 211"/>
    <w:next w:val="843"/>
    <w:link w:val="898"/>
    <w:uiPriority w:val="9"/>
    <w:unhideWhenUsed/>
    <w:qFormat/>
    <w:pPr>
      <w:keepLines/>
      <w:keepNext/>
      <w:spacing w:before="360" w:after="200"/>
      <w:outlineLvl w:val="1"/>
    </w:pPr>
    <w:rPr>
      <w:rFonts w:ascii="Arial" w:hAnsi="Arial" w:eastAsia="Arial" w:cs="Arial"/>
      <w:sz w:val="34"/>
      <w:lang w:val="en-US" w:eastAsia="zh-CN" w:bidi="ar-SA"/>
    </w:rPr>
  </w:style>
  <w:style w:type="paragraph" w:styleId="888" w:customStyle="1">
    <w:name w:val="标题 311"/>
    <w:next w:val="843"/>
    <w:link w:val="89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89" w:customStyle="1">
    <w:name w:val="标题 411"/>
    <w:next w:val="843"/>
    <w:link w:val="90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90" w:customStyle="1">
    <w:name w:val="标题 511"/>
    <w:next w:val="843"/>
    <w:link w:val="90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91" w:customStyle="1">
    <w:name w:val="标题 611"/>
    <w:next w:val="843"/>
    <w:link w:val="90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92" w:customStyle="1">
    <w:name w:val="标题 711"/>
    <w:next w:val="843"/>
    <w:link w:val="90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93" w:customStyle="1">
    <w:name w:val="标题 811"/>
    <w:next w:val="843"/>
    <w:link w:val="90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94" w:customStyle="1">
    <w:name w:val="标题 911"/>
    <w:next w:val="843"/>
    <w:link w:val="90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95" w:customStyle="1">
    <w:name w:val="默认段落字体11"/>
    <w:uiPriority w:val="1"/>
    <w:unhideWhenUsed/>
    <w:qFormat/>
  </w:style>
  <w:style w:type="table" w:styleId="896" w:customStyle="1">
    <w:name w:val="普通表格11"/>
    <w:uiPriority w:val="99"/>
    <w:unhideWhenUsed/>
    <w:qFormat/>
    <w:tblPr>
      <w:tblLayout w:type="fixed"/>
      <w:tblCellMar>
        <w:left w:w="0" w:type="dxa"/>
        <w:top w:w="0" w:type="dxa"/>
        <w:right w:w="0" w:type="dxa"/>
        <w:bottom w:w="0" w:type="dxa"/>
      </w:tblCellMar>
    </w:tblPr>
  </w:style>
  <w:style w:type="character" w:styleId="897" w:customStyle="1">
    <w:name w:val="标题 1 字符"/>
    <w:basedOn w:val="895"/>
    <w:link w:val="886"/>
    <w:uiPriority w:val="9"/>
    <w:qFormat/>
    <w:rPr>
      <w:rFonts w:ascii="Arial" w:hAnsi="Arial" w:eastAsia="Arial" w:cs="Arial"/>
      <w:sz w:val="40"/>
      <w:szCs w:val="40"/>
    </w:rPr>
  </w:style>
  <w:style w:type="character" w:styleId="898" w:customStyle="1">
    <w:name w:val="标题 2 字符"/>
    <w:basedOn w:val="895"/>
    <w:link w:val="887"/>
    <w:uiPriority w:val="9"/>
    <w:qFormat/>
    <w:rPr>
      <w:rFonts w:ascii="Arial" w:hAnsi="Arial" w:eastAsia="Arial" w:cs="Arial"/>
      <w:sz w:val="34"/>
    </w:rPr>
  </w:style>
  <w:style w:type="character" w:styleId="899" w:customStyle="1">
    <w:name w:val="标题 3 字符"/>
    <w:basedOn w:val="895"/>
    <w:link w:val="888"/>
    <w:uiPriority w:val="9"/>
    <w:qFormat/>
    <w:rPr>
      <w:rFonts w:ascii="Arial" w:hAnsi="Arial" w:eastAsia="Arial" w:cs="Arial"/>
      <w:sz w:val="30"/>
      <w:szCs w:val="30"/>
    </w:rPr>
  </w:style>
  <w:style w:type="character" w:styleId="900" w:customStyle="1">
    <w:name w:val="标题 4 字符"/>
    <w:basedOn w:val="895"/>
    <w:link w:val="889"/>
    <w:uiPriority w:val="9"/>
    <w:qFormat/>
    <w:rPr>
      <w:rFonts w:ascii="Arial" w:hAnsi="Arial" w:eastAsia="Arial" w:cs="Arial"/>
      <w:b/>
      <w:bCs/>
      <w:sz w:val="26"/>
      <w:szCs w:val="26"/>
    </w:rPr>
  </w:style>
  <w:style w:type="character" w:styleId="901" w:customStyle="1">
    <w:name w:val="标题 5 字符"/>
    <w:basedOn w:val="895"/>
    <w:link w:val="890"/>
    <w:uiPriority w:val="9"/>
    <w:qFormat/>
    <w:rPr>
      <w:rFonts w:ascii="Arial" w:hAnsi="Arial" w:eastAsia="Arial" w:cs="Arial"/>
      <w:b/>
      <w:bCs/>
      <w:sz w:val="24"/>
      <w:szCs w:val="24"/>
    </w:rPr>
  </w:style>
  <w:style w:type="character" w:styleId="902" w:customStyle="1">
    <w:name w:val="标题 6 字符"/>
    <w:basedOn w:val="895"/>
    <w:link w:val="891"/>
    <w:uiPriority w:val="9"/>
    <w:qFormat/>
    <w:rPr>
      <w:rFonts w:ascii="Arial" w:hAnsi="Arial" w:eastAsia="Arial" w:cs="Arial"/>
      <w:b/>
      <w:bCs/>
      <w:sz w:val="22"/>
      <w:szCs w:val="22"/>
    </w:rPr>
  </w:style>
  <w:style w:type="character" w:styleId="903" w:customStyle="1">
    <w:name w:val="标题 7 字符"/>
    <w:basedOn w:val="895"/>
    <w:link w:val="892"/>
    <w:uiPriority w:val="9"/>
    <w:qFormat/>
    <w:rPr>
      <w:rFonts w:ascii="Arial" w:hAnsi="Arial" w:eastAsia="Arial" w:cs="Arial"/>
      <w:b/>
      <w:bCs/>
      <w:i/>
      <w:iCs/>
      <w:sz w:val="22"/>
      <w:szCs w:val="22"/>
    </w:rPr>
  </w:style>
  <w:style w:type="character" w:styleId="904" w:customStyle="1">
    <w:name w:val="标题 8 字符"/>
    <w:basedOn w:val="895"/>
    <w:link w:val="893"/>
    <w:uiPriority w:val="9"/>
    <w:qFormat/>
    <w:rPr>
      <w:rFonts w:ascii="Arial" w:hAnsi="Arial" w:eastAsia="Arial" w:cs="Arial"/>
      <w:i/>
      <w:iCs/>
      <w:sz w:val="22"/>
      <w:szCs w:val="22"/>
    </w:rPr>
  </w:style>
  <w:style w:type="character" w:styleId="905" w:customStyle="1">
    <w:name w:val="标题 9 字符"/>
    <w:basedOn w:val="895"/>
    <w:link w:val="894"/>
    <w:uiPriority w:val="9"/>
    <w:qFormat/>
    <w:rPr>
      <w:rFonts w:ascii="Arial" w:hAnsi="Arial" w:eastAsia="Arial" w:cs="Arial"/>
      <w:i/>
      <w:iCs/>
      <w:sz w:val="21"/>
      <w:szCs w:val="21"/>
    </w:rPr>
  </w:style>
  <w:style w:type="paragraph" w:styleId="906" w:customStyle="1">
    <w:name w:val="目录 711"/>
    <w:next w:val="843"/>
    <w:uiPriority w:val="39"/>
    <w:unhideWhenUsed/>
    <w:qFormat/>
    <w:pPr>
      <w:ind w:left="1701"/>
      <w:spacing w:after="57"/>
    </w:pPr>
    <w:rPr>
      <w:rFonts w:ascii="Times New Roman" w:hAnsi="Times New Roman" w:eastAsia="宋体" w:cs="Times New Roman"/>
      <w:lang w:val="en-US" w:eastAsia="zh-CN" w:bidi="ar-SA"/>
    </w:rPr>
  </w:style>
  <w:style w:type="paragraph" w:styleId="907" w:customStyle="1">
    <w:name w:val="正文缩进11"/>
    <w:basedOn w:val="843"/>
    <w:uiPriority w:val="0"/>
    <w:qFormat/>
    <w:pPr>
      <w:ind w:firstLine="420"/>
    </w:pPr>
  </w:style>
  <w:style w:type="paragraph" w:styleId="908" w:customStyle="1">
    <w:name w:val="题注11"/>
    <w:next w:val="843"/>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909" w:customStyle="1">
    <w:name w:val="文档结构图1"/>
    <w:basedOn w:val="843"/>
    <w:uiPriority w:val="0"/>
    <w:qFormat/>
    <w:rPr>
      <w:rFonts w:ascii="宋体" w:hAnsi="Calibri"/>
      <w:sz w:val="18"/>
      <w:szCs w:val="18"/>
    </w:rPr>
  </w:style>
  <w:style w:type="paragraph" w:styleId="910" w:customStyle="1">
    <w:name w:val="批注文字11"/>
    <w:basedOn w:val="843"/>
    <w:link w:val="911"/>
    <w:uiPriority w:val="99"/>
    <w:unhideWhenUsed/>
    <w:qFormat/>
  </w:style>
  <w:style w:type="character" w:styleId="911" w:customStyle="1">
    <w:name w:val="批注文字 字符"/>
    <w:basedOn w:val="895"/>
    <w:link w:val="910"/>
    <w:uiPriority w:val="99"/>
    <w:semiHidden/>
    <w:qFormat/>
  </w:style>
  <w:style w:type="paragraph" w:styleId="912" w:customStyle="1">
    <w:name w:val="正文文本112"/>
    <w:basedOn w:val="843"/>
    <w:next w:val="913"/>
    <w:uiPriority w:val="99"/>
    <w:qFormat/>
    <w:pPr>
      <w:spacing w:after="120"/>
    </w:pPr>
    <w:rPr>
      <w:rFonts w:ascii="Calibri" w:hAnsi="Calibri"/>
    </w:rPr>
  </w:style>
  <w:style w:type="paragraph" w:styleId="913" w:customStyle="1">
    <w:name w:val="正文首行缩进111"/>
    <w:basedOn w:val="912"/>
    <w:uiPriority w:val="0"/>
    <w:qFormat/>
    <w:pPr>
      <w:ind w:firstLine="420"/>
    </w:pPr>
    <w:rPr>
      <w:rFonts w:ascii="Times New Roman"/>
    </w:rPr>
  </w:style>
  <w:style w:type="paragraph" w:styleId="914" w:customStyle="1">
    <w:name w:val="正文文本缩进12"/>
    <w:basedOn w:val="843"/>
    <w:next w:val="915"/>
    <w:link w:val="916"/>
    <w:uiPriority w:val="99"/>
    <w:qFormat/>
    <w:pPr>
      <w:ind w:left="420"/>
      <w:spacing w:after="120"/>
    </w:pPr>
    <w:rPr>
      <w:rFonts w:ascii="Calibri" w:hAnsi="Calibri"/>
    </w:rPr>
  </w:style>
  <w:style w:type="paragraph" w:styleId="915" w:customStyle="1">
    <w:name w:val="寄信人地址12"/>
    <w:basedOn w:val="843"/>
    <w:uiPriority w:val="0"/>
    <w:qFormat/>
    <w:rPr>
      <w:rFonts w:ascii="Arial" w:hAnsi="Arial"/>
    </w:rPr>
  </w:style>
  <w:style w:type="character" w:styleId="916" w:customStyle="1">
    <w:name w:val="正文文本缩进 字符"/>
    <w:basedOn w:val="895"/>
    <w:link w:val="914"/>
    <w:uiPriority w:val="99"/>
    <w:qFormat/>
    <w:rPr>
      <w:rFonts w:ascii="Calibri" w:hAnsi="Calibri"/>
    </w:rPr>
  </w:style>
  <w:style w:type="paragraph" w:styleId="917" w:customStyle="1">
    <w:name w:val="文本块111"/>
    <w:basedOn w:val="843"/>
    <w:next w:val="843"/>
    <w:uiPriority w:val="99"/>
    <w:qFormat/>
    <w:pPr>
      <w:ind w:left="256" w:right="6" w:firstLine="624"/>
    </w:pPr>
    <w:rPr>
      <w:rFonts w:eastAsia="仿宋_GB2312"/>
      <w:sz w:val="28"/>
    </w:rPr>
  </w:style>
  <w:style w:type="paragraph" w:styleId="918" w:customStyle="1">
    <w:name w:val="目录 511"/>
    <w:next w:val="843"/>
    <w:uiPriority w:val="39"/>
    <w:unhideWhenUsed/>
    <w:qFormat/>
    <w:pPr>
      <w:ind w:left="1134"/>
      <w:spacing w:after="57"/>
    </w:pPr>
    <w:rPr>
      <w:rFonts w:ascii="Times New Roman" w:hAnsi="Times New Roman" w:eastAsia="宋体" w:cs="Times New Roman"/>
      <w:lang w:val="en-US" w:eastAsia="zh-CN" w:bidi="ar-SA"/>
    </w:rPr>
  </w:style>
  <w:style w:type="paragraph" w:styleId="919" w:customStyle="1">
    <w:name w:val="目录 311"/>
    <w:next w:val="843"/>
    <w:uiPriority w:val="39"/>
    <w:unhideWhenUsed/>
    <w:qFormat/>
    <w:pPr>
      <w:ind w:left="567"/>
      <w:spacing w:after="57"/>
    </w:pPr>
    <w:rPr>
      <w:rFonts w:ascii="Times New Roman" w:hAnsi="Times New Roman" w:eastAsia="宋体" w:cs="Times New Roman"/>
      <w:lang w:val="en-US" w:eastAsia="zh-CN" w:bidi="ar-SA"/>
    </w:rPr>
  </w:style>
  <w:style w:type="paragraph" w:styleId="920" w:customStyle="1">
    <w:name w:val="纯文本11"/>
    <w:basedOn w:val="921"/>
    <w:link w:val="943"/>
    <w:uiPriority w:val="0"/>
    <w:qFormat/>
    <w:rPr>
      <w:rFonts w:ascii="宋体" w:hAnsi="Courier New"/>
    </w:rPr>
  </w:style>
  <w:style w:type="paragraph" w:styleId="921" w:customStyle="1">
    <w:name w:val="正文1111"/>
    <w:next w:val="922"/>
    <w:link w:val="939"/>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正文1"/>
    <w:basedOn w:val="923"/>
    <w:next w:val="928"/>
    <w:link w:val="942"/>
    <w:uiPriority w:val="0"/>
    <w:qFormat/>
    <w:pPr>
      <w:jc w:val="left"/>
      <w:spacing w:line="360" w:lineRule="atLeast"/>
    </w:pPr>
    <w:rPr>
      <w:rFonts w:ascii="宋体" w:hAnsi="Calibri" w:eastAsia="Arial"/>
      <w:sz w:val="24"/>
      <w:szCs w:val="20"/>
    </w:rPr>
  </w:style>
  <w:style w:type="paragraph" w:styleId="923" w:customStyle="1">
    <w:name w:val="正文11"/>
    <w:next w:val="924"/>
    <w:uiPriority w:val="0"/>
    <w:qFormat/>
    <w:pPr>
      <w:jc w:val="both"/>
      <w:widowControl w:val="off"/>
    </w:pPr>
    <w:rPr>
      <w:rFonts w:ascii="Times New Roman" w:hAnsi="Times New Roman" w:eastAsia="宋体" w:cs="Times New Roman"/>
      <w:sz w:val="21"/>
      <w:szCs w:val="24"/>
      <w:lang w:val="en-US" w:eastAsia="zh-CN" w:bidi="ar-SA"/>
    </w:rPr>
  </w:style>
  <w:style w:type="paragraph" w:styleId="924" w:customStyle="1">
    <w:name w:val="文本块1"/>
    <w:basedOn w:val="884"/>
    <w:next w:val="925"/>
    <w:uiPriority w:val="0"/>
    <w:qFormat/>
    <w:pPr>
      <w:ind w:left="256" w:right="6" w:firstLine="624"/>
    </w:pPr>
    <w:rPr>
      <w:rFonts w:eastAsia="仿宋"/>
      <w:sz w:val="28"/>
      <w:szCs w:val="20"/>
    </w:rPr>
  </w:style>
  <w:style w:type="paragraph" w:styleId="925" w:customStyle="1">
    <w:name w:val="标题 41"/>
    <w:basedOn w:val="926"/>
    <w:next w:val="923"/>
    <w:link w:val="941"/>
    <w:uiPriority w:val="0"/>
    <w:qFormat/>
    <w:pPr>
      <w:keepLines/>
      <w:keepNext/>
      <w:spacing w:before="320" w:after="200"/>
      <w:outlineLvl w:val="3"/>
    </w:pPr>
    <w:rPr>
      <w:rFonts w:ascii="Arial" w:hAnsi="Arial"/>
      <w:b/>
      <w:bCs/>
      <w:sz w:val="26"/>
      <w:szCs w:val="26"/>
    </w:rPr>
  </w:style>
  <w:style w:type="paragraph" w:styleId="926" w:customStyle="1">
    <w:name w:val="正文12"/>
    <w:next w:val="927"/>
    <w:uiPriority w:val="0"/>
    <w:qFormat/>
    <w:rPr>
      <w:rFonts w:ascii="Times New Roman" w:hAnsi="Times New Roman" w:eastAsia="Arial" w:cs="Times New Roman"/>
      <w:sz w:val="22"/>
      <w:szCs w:val="22"/>
      <w:lang w:val="en-US" w:eastAsia="zh-CN" w:bidi="ar-SA"/>
    </w:rPr>
  </w:style>
  <w:style w:type="paragraph" w:styleId="927" w:customStyle="1">
    <w:name w:val="无间隔1"/>
    <w:uiPriority w:val="0"/>
    <w:qFormat/>
    <w:rPr>
      <w:rFonts w:ascii="Calibri" w:hAnsi="Calibri" w:eastAsia="宋体" w:cs="Times New Roman"/>
      <w:lang w:val="en-US" w:eastAsia="zh-CN" w:bidi="ar-SA"/>
    </w:rPr>
  </w:style>
  <w:style w:type="paragraph" w:styleId="928" w:customStyle="1">
    <w:name w:val="目录 11"/>
    <w:basedOn w:val="929"/>
    <w:next w:val="926"/>
    <w:uiPriority w:val="0"/>
    <w:qFormat/>
    <w:pPr>
      <w:jc w:val="left"/>
      <w:spacing w:before="120" w:after="120"/>
    </w:pPr>
    <w:rPr>
      <w:b/>
      <w:bCs/>
      <w:caps/>
      <w:sz w:val="20"/>
      <w:szCs w:val="20"/>
    </w:rPr>
  </w:style>
  <w:style w:type="paragraph" w:styleId="929" w:customStyle="1">
    <w:name w:val="正文112"/>
    <w:next w:val="930"/>
    <w:uiPriority w:val="0"/>
    <w:qFormat/>
    <w:pPr>
      <w:jc w:val="both"/>
      <w:widowControl w:val="off"/>
    </w:pPr>
    <w:rPr>
      <w:rFonts w:ascii="Calibri" w:hAnsi="Calibri" w:eastAsia="等线" w:cs="Times New Roman"/>
      <w:color w:val="000000"/>
      <w:sz w:val="21"/>
      <w:szCs w:val="24"/>
      <w:lang w:val="en-US" w:eastAsia="zh-CN" w:bidi="hi-IN"/>
    </w:rPr>
  </w:style>
  <w:style w:type="paragraph" w:styleId="930" w:customStyle="1">
    <w:name w:val="正文首行缩进1"/>
    <w:basedOn w:val="931"/>
    <w:next w:val="932"/>
    <w:uiPriority w:val="0"/>
    <w:qFormat/>
    <w:pPr>
      <w:ind w:firstLine="420"/>
    </w:pPr>
  </w:style>
  <w:style w:type="paragraph" w:styleId="931" w:customStyle="1">
    <w:name w:val="正文文本11"/>
    <w:basedOn w:val="923"/>
    <w:next w:val="884"/>
    <w:uiPriority w:val="0"/>
    <w:qFormat/>
    <w:pPr>
      <w:spacing w:after="120"/>
    </w:pPr>
  </w:style>
  <w:style w:type="paragraph" w:styleId="932" w:customStyle="1">
    <w:name w:val="正文首行缩进 211"/>
    <w:basedOn w:val="933"/>
    <w:next w:val="929"/>
    <w:uiPriority w:val="0"/>
    <w:qFormat/>
    <w:pPr>
      <w:ind w:firstLine="420"/>
    </w:pPr>
  </w:style>
  <w:style w:type="paragraph" w:styleId="933" w:customStyle="1">
    <w:name w:val="正文文本缩进11"/>
    <w:basedOn w:val="929"/>
    <w:next w:val="934"/>
    <w:uiPriority w:val="0"/>
    <w:qFormat/>
    <w:pPr>
      <w:ind w:left="420"/>
      <w:spacing w:after="120"/>
    </w:pPr>
  </w:style>
  <w:style w:type="paragraph" w:styleId="934" w:customStyle="1">
    <w:name w:val="寄信人地址11"/>
    <w:basedOn w:val="921"/>
    <w:uiPriority w:val="0"/>
    <w:qFormat/>
    <w:rPr>
      <w:rFonts w:ascii="Arial" w:hAnsi="Arial"/>
    </w:rPr>
  </w:style>
  <w:style w:type="paragraph" w:styleId="935" w:customStyle="1">
    <w:name w:val="脚注文本1"/>
    <w:basedOn w:val="922"/>
    <w:next w:val="936"/>
    <w:uiPriority w:val="0"/>
    <w:qFormat/>
    <w:rPr>
      <w:rFonts w:eastAsia="Times New Roman"/>
      <w:sz w:val="18"/>
      <w:szCs w:val="18"/>
    </w:rPr>
  </w:style>
  <w:style w:type="paragraph" w:styleId="936" w:customStyle="1">
    <w:name w:val="索引 51"/>
    <w:basedOn w:val="922"/>
    <w:next w:val="922"/>
    <w:uiPriority w:val="0"/>
    <w:qFormat/>
    <w:pPr>
      <w:ind w:left="798"/>
    </w:pPr>
    <w:rPr>
      <w:rFonts w:ascii="Calibri"/>
    </w:rPr>
  </w:style>
  <w:style w:type="paragraph" w:styleId="937" w:customStyle="1">
    <w:name w:val="标题1"/>
    <w:basedOn w:val="926"/>
    <w:next w:val="929"/>
    <w:uiPriority w:val="0"/>
    <w:qFormat/>
    <w:pPr>
      <w:contextualSpacing/>
      <w:spacing w:before="300" w:after="200"/>
    </w:pPr>
    <w:rPr>
      <w:sz w:val="48"/>
      <w:szCs w:val="48"/>
    </w:rPr>
  </w:style>
  <w:style w:type="paragraph" w:styleId="938" w:customStyle="1">
    <w:name w:val="正文文本2"/>
    <w:basedOn w:val="843"/>
    <w:next w:val="843"/>
    <w:uiPriority w:val="0"/>
    <w:qFormat/>
    <w:pPr>
      <w:spacing w:after="120"/>
    </w:pPr>
    <w:rPr>
      <w:rFonts w:ascii="Calibri" w:hAnsi="Calibri"/>
    </w:rPr>
  </w:style>
  <w:style w:type="character" w:styleId="939" w:customStyle="1">
    <w:name w:val="font21"/>
    <w:basedOn w:val="940"/>
    <w:link w:val="921"/>
    <w:uiPriority w:val="0"/>
    <w:qFormat/>
    <w:rPr>
      <w:rFonts w:ascii="宋体" w:hAnsi="宋体" w:eastAsia="宋体"/>
      <w:b/>
      <w:bCs/>
      <w:color w:val="000000"/>
      <w:sz w:val="28"/>
      <w:szCs w:val="28"/>
      <w:u w:val="none"/>
    </w:rPr>
  </w:style>
  <w:style w:type="character" w:styleId="940" w:customStyle="1">
    <w:name w:val="默认段落字体1"/>
    <w:uiPriority w:val="0"/>
    <w:qFormat/>
  </w:style>
  <w:style w:type="character" w:styleId="941" w:customStyle="1">
    <w:name w:val="Heading 4 Char"/>
    <w:basedOn w:val="940"/>
    <w:link w:val="925"/>
    <w:uiPriority w:val="0"/>
    <w:qFormat/>
    <w:rPr>
      <w:rFonts w:ascii="Arial" w:hAnsi="Arial" w:eastAsia="Arial"/>
      <w:b/>
      <w:bCs/>
      <w:sz w:val="26"/>
      <w:szCs w:val="26"/>
    </w:rPr>
  </w:style>
  <w:style w:type="character" w:styleId="942" w:customStyle="1">
    <w:name w:val="NormalCharacter1"/>
    <w:link w:val="922"/>
    <w:uiPriority w:val="0"/>
    <w:qFormat/>
    <w:rPr>
      <w:rFonts w:ascii="宋体" w:hAnsi="Calibri" w:eastAsia="Arial"/>
      <w:sz w:val="24"/>
      <w:szCs w:val="20"/>
    </w:rPr>
  </w:style>
  <w:style w:type="character" w:styleId="943" w:customStyle="1">
    <w:name w:val="纯文本 字符"/>
    <w:basedOn w:val="895"/>
    <w:link w:val="920"/>
    <w:uiPriority w:val="0"/>
    <w:qFormat/>
    <w:rPr>
      <w:rFonts w:ascii="宋体" w:hAnsi="Courier New"/>
      <w:sz w:val="21"/>
      <w:szCs w:val="24"/>
    </w:rPr>
  </w:style>
  <w:style w:type="paragraph" w:styleId="944" w:customStyle="1">
    <w:name w:val="目录 811"/>
    <w:next w:val="843"/>
    <w:uiPriority w:val="39"/>
    <w:unhideWhenUsed/>
    <w:qFormat/>
    <w:pPr>
      <w:ind w:left="1984"/>
      <w:spacing w:after="57"/>
    </w:pPr>
    <w:rPr>
      <w:rFonts w:ascii="Times New Roman" w:hAnsi="Times New Roman" w:eastAsia="宋体" w:cs="Times New Roman"/>
      <w:lang w:val="en-US" w:eastAsia="zh-CN" w:bidi="ar-SA"/>
    </w:rPr>
  </w:style>
  <w:style w:type="paragraph" w:styleId="945" w:customStyle="1">
    <w:name w:val="尾注文本11"/>
    <w:link w:val="946"/>
    <w:uiPriority w:val="99"/>
    <w:unhideWhenUsed/>
    <w:qFormat/>
    <w:rPr>
      <w:rFonts w:ascii="Times New Roman" w:hAnsi="Times New Roman" w:eastAsia="宋体" w:cs="Times New Roman"/>
      <w:lang w:val="en-US" w:eastAsia="zh-CN" w:bidi="ar-SA"/>
    </w:rPr>
  </w:style>
  <w:style w:type="character" w:styleId="946" w:customStyle="1">
    <w:name w:val="尾注文本 字符"/>
    <w:basedOn w:val="895"/>
    <w:link w:val="945"/>
    <w:uiPriority w:val="99"/>
    <w:semiHidden/>
    <w:qFormat/>
  </w:style>
  <w:style w:type="paragraph" w:styleId="947" w:customStyle="1">
    <w:name w:val="页脚11"/>
    <w:link w:val="94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48" w:customStyle="1">
    <w:name w:val="页脚 字符"/>
    <w:basedOn w:val="895"/>
    <w:link w:val="947"/>
    <w:uiPriority w:val="99"/>
    <w:qFormat/>
  </w:style>
  <w:style w:type="paragraph" w:styleId="949" w:customStyle="1">
    <w:name w:val="页眉11"/>
    <w:link w:val="95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50" w:customStyle="1">
    <w:name w:val="页眉 字符"/>
    <w:basedOn w:val="895"/>
    <w:link w:val="949"/>
    <w:uiPriority w:val="99"/>
    <w:qFormat/>
  </w:style>
  <w:style w:type="paragraph" w:styleId="951" w:customStyle="1">
    <w:name w:val="目录 112"/>
    <w:basedOn w:val="843"/>
    <w:next w:val="843"/>
    <w:uiPriority w:val="0"/>
    <w:qFormat/>
    <w:pPr>
      <w:spacing w:before="120" w:after="120"/>
    </w:pPr>
    <w:rPr>
      <w:rFonts w:ascii="Calibri" w:hAnsi="Calibri"/>
      <w:b/>
      <w:bCs/>
      <w:caps/>
    </w:rPr>
  </w:style>
  <w:style w:type="paragraph" w:styleId="952" w:customStyle="1">
    <w:name w:val="目录 411"/>
    <w:next w:val="843"/>
    <w:uiPriority w:val="39"/>
    <w:unhideWhenUsed/>
    <w:qFormat/>
    <w:pPr>
      <w:ind w:left="850"/>
      <w:spacing w:after="57"/>
    </w:pPr>
    <w:rPr>
      <w:rFonts w:ascii="Times New Roman" w:hAnsi="Times New Roman" w:eastAsia="宋体" w:cs="Times New Roman"/>
      <w:lang w:val="en-US" w:eastAsia="zh-CN" w:bidi="ar-SA"/>
    </w:rPr>
  </w:style>
  <w:style w:type="paragraph" w:styleId="953" w:customStyle="1">
    <w:name w:val="索引标题1"/>
    <w:basedOn w:val="843"/>
    <w:next w:val="954"/>
    <w:uiPriority w:val="99"/>
    <w:unhideWhenUsed/>
    <w:qFormat/>
    <w:pPr>
      <w:spacing w:line="500" w:lineRule="exact"/>
    </w:pPr>
    <w:rPr>
      <w:rFonts w:ascii="仿宋_GB2312" w:eastAsia="仿宋_GB2312"/>
      <w:sz w:val="28"/>
    </w:rPr>
  </w:style>
  <w:style w:type="paragraph" w:styleId="954" w:customStyle="1">
    <w:name w:val="索引 11"/>
    <w:basedOn w:val="843"/>
    <w:next w:val="843"/>
    <w:uiPriority w:val="99"/>
    <w:unhideWhenUsed/>
    <w:qFormat/>
    <w:pPr>
      <w:spacing w:line="288" w:lineRule="auto"/>
      <w:suppressLineNumbers/>
    </w:pPr>
    <w:rPr>
      <w:sz w:val="24"/>
    </w:rPr>
  </w:style>
  <w:style w:type="paragraph" w:styleId="955" w:customStyle="1">
    <w:name w:val="副标题11"/>
    <w:link w:val="956"/>
    <w:uiPriority w:val="11"/>
    <w:qFormat/>
    <w:pPr>
      <w:spacing w:before="200" w:after="200"/>
    </w:pPr>
    <w:rPr>
      <w:rFonts w:ascii="Times New Roman" w:hAnsi="Times New Roman" w:eastAsia="宋体" w:cs="Times New Roman"/>
      <w:sz w:val="24"/>
      <w:szCs w:val="24"/>
      <w:lang w:val="en-US" w:eastAsia="zh-CN" w:bidi="ar-SA"/>
    </w:rPr>
  </w:style>
  <w:style w:type="character" w:styleId="956" w:customStyle="1">
    <w:name w:val="副标题 字符"/>
    <w:basedOn w:val="895"/>
    <w:link w:val="955"/>
    <w:uiPriority w:val="11"/>
    <w:qFormat/>
    <w:rPr>
      <w:sz w:val="24"/>
      <w:szCs w:val="24"/>
    </w:rPr>
  </w:style>
  <w:style w:type="paragraph" w:styleId="957" w:customStyle="1">
    <w:name w:val="脚注文本12"/>
    <w:link w:val="958"/>
    <w:uiPriority w:val="99"/>
    <w:unhideWhenUsed/>
    <w:qFormat/>
    <w:pPr>
      <w:spacing w:after="40"/>
    </w:pPr>
    <w:rPr>
      <w:rFonts w:ascii="Times New Roman" w:hAnsi="Times New Roman" w:eastAsia="宋体" w:cs="Times New Roman"/>
      <w:sz w:val="18"/>
      <w:lang w:val="en-US" w:eastAsia="zh-CN" w:bidi="ar-SA"/>
    </w:rPr>
  </w:style>
  <w:style w:type="character" w:styleId="958" w:customStyle="1">
    <w:name w:val="脚注文本 字符"/>
    <w:basedOn w:val="895"/>
    <w:link w:val="957"/>
    <w:uiPriority w:val="99"/>
    <w:semiHidden/>
    <w:qFormat/>
    <w:rPr>
      <w:sz w:val="18"/>
    </w:rPr>
  </w:style>
  <w:style w:type="paragraph" w:styleId="959" w:customStyle="1">
    <w:name w:val="目录 611"/>
    <w:next w:val="843"/>
    <w:uiPriority w:val="39"/>
    <w:unhideWhenUsed/>
    <w:qFormat/>
    <w:pPr>
      <w:ind w:left="1417"/>
      <w:spacing w:after="57"/>
    </w:pPr>
    <w:rPr>
      <w:rFonts w:ascii="Times New Roman" w:hAnsi="Times New Roman" w:eastAsia="宋体" w:cs="Times New Roman"/>
      <w:lang w:val="en-US" w:eastAsia="zh-CN" w:bidi="ar-SA"/>
    </w:rPr>
  </w:style>
  <w:style w:type="paragraph" w:styleId="960" w:customStyle="1">
    <w:name w:val="图表目录11"/>
    <w:next w:val="843"/>
    <w:uiPriority w:val="99"/>
    <w:unhideWhenUsed/>
    <w:qFormat/>
    <w:rPr>
      <w:rFonts w:ascii="Times New Roman" w:hAnsi="Times New Roman" w:eastAsia="宋体" w:cs="Times New Roman"/>
      <w:lang w:val="en-US" w:eastAsia="zh-CN" w:bidi="ar-SA"/>
    </w:rPr>
  </w:style>
  <w:style w:type="paragraph" w:styleId="961" w:customStyle="1">
    <w:name w:val="目录 211"/>
    <w:next w:val="843"/>
    <w:uiPriority w:val="39"/>
    <w:unhideWhenUsed/>
    <w:qFormat/>
    <w:pPr>
      <w:ind w:left="283"/>
      <w:spacing w:after="57"/>
    </w:pPr>
    <w:rPr>
      <w:rFonts w:ascii="Times New Roman" w:hAnsi="Times New Roman" w:eastAsia="宋体" w:cs="Times New Roman"/>
      <w:lang w:val="en-US" w:eastAsia="zh-CN" w:bidi="ar-SA"/>
    </w:rPr>
  </w:style>
  <w:style w:type="paragraph" w:styleId="962" w:customStyle="1">
    <w:name w:val="目录 911"/>
    <w:next w:val="843"/>
    <w:uiPriority w:val="39"/>
    <w:unhideWhenUsed/>
    <w:qFormat/>
    <w:pPr>
      <w:ind w:left="2268"/>
      <w:spacing w:after="57"/>
    </w:pPr>
    <w:rPr>
      <w:rFonts w:ascii="Times New Roman" w:hAnsi="Times New Roman" w:eastAsia="宋体" w:cs="Times New Roman"/>
      <w:lang w:val="en-US" w:eastAsia="zh-CN" w:bidi="ar-SA"/>
    </w:rPr>
  </w:style>
  <w:style w:type="paragraph" w:styleId="963" w:customStyle="1">
    <w:name w:val="普通(网站)11"/>
    <w:basedOn w:val="843"/>
    <w:uiPriority w:val="99"/>
    <w:unhideWhenUsed/>
    <w:qFormat/>
    <w:pPr>
      <w:spacing w:before="100" w:beforeAutospacing="1" w:after="100" w:afterAutospacing="1"/>
    </w:pPr>
    <w:rPr>
      <w:sz w:val="24"/>
    </w:rPr>
  </w:style>
  <w:style w:type="paragraph" w:styleId="964" w:customStyle="1">
    <w:name w:val="标题2"/>
    <w:link w:val="965"/>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965" w:customStyle="1">
    <w:name w:val="标题 字符"/>
    <w:basedOn w:val="895"/>
    <w:link w:val="964"/>
    <w:uiPriority w:val="10"/>
    <w:qFormat/>
    <w:rPr>
      <w:sz w:val="48"/>
      <w:szCs w:val="48"/>
    </w:rPr>
  </w:style>
  <w:style w:type="paragraph" w:styleId="966" w:customStyle="1">
    <w:name w:val="正文首行缩进 212"/>
    <w:basedOn w:val="914"/>
    <w:next w:val="912"/>
    <w:uiPriority w:val="0"/>
    <w:qFormat/>
    <w:pPr>
      <w:ind w:firstLine="420"/>
      <w:spacing w:line="360" w:lineRule="auto"/>
    </w:pPr>
    <w:rPr>
      <w:color w:val="000000"/>
    </w:rPr>
  </w:style>
  <w:style w:type="table" w:styleId="967" w:customStyle="1">
    <w:name w:val="网格型11"/>
    <w:uiPriority w:val="59"/>
    <w:qFormat/>
    <w:tblPr>
      <w:tblLayout w:type="fixed"/>
      <w:tblCellMar>
        <w:left w:w="0" w:type="dxa"/>
        <w:top w:w="0" w:type="dxa"/>
        <w:right w:w="0" w:type="dxa"/>
        <w:bottom w:w="0" w:type="dxa"/>
      </w:tblCellMar>
    </w:tblPr>
  </w:style>
  <w:style w:type="character" w:styleId="968" w:customStyle="1">
    <w:name w:val="尾注引用11"/>
    <w:uiPriority w:val="99"/>
    <w:unhideWhenUsed/>
    <w:qFormat/>
    <w:rPr>
      <w:vertAlign w:val="superscript"/>
    </w:rPr>
  </w:style>
  <w:style w:type="character" w:styleId="969" w:customStyle="1">
    <w:name w:val="已访问的超链接11"/>
    <w:basedOn w:val="895"/>
    <w:uiPriority w:val="99"/>
    <w:unhideWhenUsed/>
    <w:qFormat/>
    <w:rPr>
      <w:color w:val="800080"/>
      <w:u w:val="single"/>
    </w:rPr>
  </w:style>
  <w:style w:type="character" w:styleId="970" w:customStyle="1">
    <w:name w:val="超链接11"/>
    <w:uiPriority w:val="99"/>
    <w:unhideWhenUsed/>
    <w:qFormat/>
    <w:rPr>
      <w:color w:val="0000ff"/>
      <w:u w:val="single"/>
    </w:rPr>
  </w:style>
  <w:style w:type="character" w:styleId="971" w:customStyle="1">
    <w:name w:val="脚注引用11"/>
    <w:uiPriority w:val="99"/>
    <w:unhideWhenUsed/>
    <w:qFormat/>
    <w:rPr>
      <w:vertAlign w:val="superscript"/>
    </w:rPr>
  </w:style>
  <w:style w:type="paragraph" w:styleId="972" w:customStyle="1">
    <w:name w:val="文本块11"/>
    <w:basedOn w:val="926"/>
    <w:uiPriority w:val="0"/>
    <w:qFormat/>
    <w:pPr>
      <w:ind w:left="1440" w:right="1440"/>
      <w:spacing w:after="120"/>
    </w:pPr>
  </w:style>
  <w:style w:type="paragraph" w:styleId="973" w:customStyle="1">
    <w:name w:val="正文缩进1"/>
    <w:basedOn w:val="921"/>
    <w:uiPriority w:val="0"/>
    <w:qFormat/>
    <w:pPr>
      <w:ind w:firstLine="420"/>
    </w:pPr>
  </w:style>
  <w:style w:type="character" w:styleId="974" w:customStyle="1">
    <w:name w:val="Quote Char"/>
    <w:uiPriority w:val="29"/>
    <w:qFormat/>
    <w:rPr>
      <w:i/>
    </w:rPr>
  </w:style>
  <w:style w:type="character" w:styleId="975" w:customStyle="1">
    <w:name w:val="Intense Quote Char"/>
    <w:uiPriority w:val="30"/>
    <w:qFormat/>
    <w:rPr>
      <w:i/>
    </w:rPr>
  </w:style>
  <w:style w:type="table" w:styleId="976" w:customStyle="1">
    <w:name w:val="Plain Table 1"/>
    <w:basedOn w:val="896"/>
    <w:uiPriority w:val="59"/>
    <w:qFormat/>
    <w:tblPr>
      <w:tblLayout w:type="fixed"/>
      <w:tblCellMar>
        <w:left w:w="0" w:type="dxa"/>
        <w:top w:w="0" w:type="dxa"/>
        <w:right w:w="0" w:type="dxa"/>
        <w:bottom w:w="0" w:type="dxa"/>
      </w:tblCellMar>
    </w:tblPr>
  </w:style>
  <w:style w:type="table" w:styleId="977" w:customStyle="1">
    <w:name w:val="Plain Table 2"/>
    <w:basedOn w:val="896"/>
    <w:uiPriority w:val="59"/>
    <w:qFormat/>
    <w:tblPr>
      <w:tblLayout w:type="fixed"/>
      <w:tblCellMar>
        <w:left w:w="0" w:type="dxa"/>
        <w:top w:w="0" w:type="dxa"/>
        <w:right w:w="0" w:type="dxa"/>
        <w:bottom w:w="0" w:type="dxa"/>
      </w:tblCellMar>
    </w:tblPr>
  </w:style>
  <w:style w:type="table" w:styleId="978" w:customStyle="1">
    <w:name w:val="Plain Table 3"/>
    <w:basedOn w:val="896"/>
    <w:uiPriority w:val="99"/>
    <w:qFormat/>
    <w:tblPr>
      <w:tblLayout w:type="fixed"/>
      <w:tblCellMar>
        <w:left w:w="0" w:type="dxa"/>
        <w:top w:w="0" w:type="dxa"/>
        <w:right w:w="0" w:type="dxa"/>
        <w:bottom w:w="0" w:type="dxa"/>
      </w:tblCellMar>
    </w:tblPr>
  </w:style>
  <w:style w:type="table" w:styleId="979" w:customStyle="1">
    <w:name w:val="Plain Table 4"/>
    <w:basedOn w:val="896"/>
    <w:uiPriority w:val="99"/>
    <w:qFormat/>
    <w:tblPr>
      <w:tblLayout w:type="fixed"/>
      <w:tblCellMar>
        <w:left w:w="0" w:type="dxa"/>
        <w:top w:w="0" w:type="dxa"/>
        <w:right w:w="0" w:type="dxa"/>
        <w:bottom w:w="0" w:type="dxa"/>
      </w:tblCellMar>
    </w:tblPr>
  </w:style>
  <w:style w:type="table" w:styleId="980" w:customStyle="1">
    <w:name w:val="Plain Table 5"/>
    <w:basedOn w:val="896"/>
    <w:uiPriority w:val="99"/>
    <w:qFormat/>
    <w:tblPr>
      <w:tblLayout w:type="fixed"/>
      <w:tblCellMar>
        <w:left w:w="0" w:type="dxa"/>
        <w:top w:w="0" w:type="dxa"/>
        <w:right w:w="0" w:type="dxa"/>
        <w:bottom w:w="0" w:type="dxa"/>
      </w:tblCellMar>
    </w:tblPr>
  </w:style>
  <w:style w:type="table" w:styleId="981" w:customStyle="1">
    <w:name w:val="Grid Table 1 Light"/>
    <w:basedOn w:val="896"/>
    <w:uiPriority w:val="99"/>
    <w:qFormat/>
    <w:tblPr>
      <w:tblLayout w:type="fixed"/>
      <w:tblCellMar>
        <w:left w:w="0" w:type="dxa"/>
        <w:top w:w="0" w:type="dxa"/>
        <w:right w:w="0" w:type="dxa"/>
        <w:bottom w:w="0" w:type="dxa"/>
      </w:tblCellMar>
    </w:tblPr>
  </w:style>
  <w:style w:type="table" w:styleId="982" w:customStyle="1">
    <w:name w:val="Grid Table 2"/>
    <w:basedOn w:val="896"/>
    <w:uiPriority w:val="99"/>
    <w:qFormat/>
    <w:tblPr>
      <w:tblLayout w:type="fixed"/>
      <w:tblCellMar>
        <w:left w:w="0" w:type="dxa"/>
        <w:top w:w="0" w:type="dxa"/>
        <w:right w:w="0" w:type="dxa"/>
        <w:bottom w:w="0" w:type="dxa"/>
      </w:tblCellMar>
    </w:tblPr>
  </w:style>
  <w:style w:type="table" w:styleId="983" w:customStyle="1">
    <w:name w:val="Grid Table 3"/>
    <w:basedOn w:val="896"/>
    <w:uiPriority w:val="99"/>
    <w:qFormat/>
    <w:tblPr>
      <w:tblLayout w:type="fixed"/>
      <w:tblCellMar>
        <w:left w:w="0" w:type="dxa"/>
        <w:top w:w="0" w:type="dxa"/>
        <w:right w:w="0" w:type="dxa"/>
        <w:bottom w:w="0" w:type="dxa"/>
      </w:tblCellMar>
    </w:tblPr>
  </w:style>
  <w:style w:type="table" w:styleId="984" w:customStyle="1">
    <w:name w:val="Grid Table 4"/>
    <w:basedOn w:val="896"/>
    <w:uiPriority w:val="59"/>
    <w:qFormat/>
    <w:tblPr>
      <w:tblLayout w:type="fixed"/>
      <w:tblCellMar>
        <w:left w:w="0" w:type="dxa"/>
        <w:top w:w="0" w:type="dxa"/>
        <w:right w:w="0" w:type="dxa"/>
        <w:bottom w:w="0" w:type="dxa"/>
      </w:tblCellMar>
    </w:tblPr>
  </w:style>
  <w:style w:type="table" w:styleId="985" w:customStyle="1">
    <w:name w:val="Grid Table 5 Dark"/>
    <w:basedOn w:val="896"/>
    <w:uiPriority w:val="99"/>
    <w:qFormat/>
    <w:tblPr>
      <w:tblLayout w:type="fixed"/>
      <w:tblCellMar>
        <w:left w:w="0" w:type="dxa"/>
        <w:top w:w="0" w:type="dxa"/>
        <w:right w:w="0" w:type="dxa"/>
        <w:bottom w:w="0" w:type="dxa"/>
      </w:tblCellMar>
    </w:tblPr>
  </w:style>
  <w:style w:type="table" w:styleId="986" w:customStyle="1">
    <w:name w:val="Grid Table 6 Colorful"/>
    <w:basedOn w:val="896"/>
    <w:uiPriority w:val="99"/>
    <w:qFormat/>
    <w:tblPr>
      <w:tblLayout w:type="fixed"/>
      <w:tblCellMar>
        <w:left w:w="0" w:type="dxa"/>
        <w:top w:w="0" w:type="dxa"/>
        <w:right w:w="0" w:type="dxa"/>
        <w:bottom w:w="0" w:type="dxa"/>
      </w:tblCellMar>
    </w:tblPr>
  </w:style>
  <w:style w:type="table" w:styleId="987" w:customStyle="1">
    <w:name w:val="Grid Table 7 Colorful"/>
    <w:basedOn w:val="896"/>
    <w:uiPriority w:val="99"/>
    <w:qFormat/>
    <w:tblPr>
      <w:tblLayout w:type="fixed"/>
      <w:tblCellMar>
        <w:left w:w="0" w:type="dxa"/>
        <w:top w:w="0" w:type="dxa"/>
        <w:right w:w="0" w:type="dxa"/>
        <w:bottom w:w="0" w:type="dxa"/>
      </w:tblCellMar>
    </w:tblPr>
  </w:style>
  <w:style w:type="table" w:styleId="988" w:customStyle="1">
    <w:name w:val="List Table 1 Light"/>
    <w:basedOn w:val="896"/>
    <w:uiPriority w:val="99"/>
    <w:qFormat/>
    <w:tblPr>
      <w:tblLayout w:type="fixed"/>
      <w:tblCellMar>
        <w:left w:w="0" w:type="dxa"/>
        <w:top w:w="0" w:type="dxa"/>
        <w:right w:w="0" w:type="dxa"/>
        <w:bottom w:w="0" w:type="dxa"/>
      </w:tblCellMar>
    </w:tblPr>
  </w:style>
  <w:style w:type="table" w:styleId="989" w:customStyle="1">
    <w:name w:val="List Table 2"/>
    <w:basedOn w:val="896"/>
    <w:uiPriority w:val="99"/>
    <w:qFormat/>
    <w:tblPr>
      <w:tblLayout w:type="fixed"/>
      <w:tblCellMar>
        <w:left w:w="0" w:type="dxa"/>
        <w:top w:w="0" w:type="dxa"/>
        <w:right w:w="0" w:type="dxa"/>
        <w:bottom w:w="0" w:type="dxa"/>
      </w:tblCellMar>
    </w:tblPr>
  </w:style>
  <w:style w:type="table" w:styleId="990" w:customStyle="1">
    <w:name w:val="List Table 3"/>
    <w:basedOn w:val="896"/>
    <w:uiPriority w:val="99"/>
    <w:qFormat/>
    <w:tblPr>
      <w:tblLayout w:type="fixed"/>
      <w:tblCellMar>
        <w:left w:w="0" w:type="dxa"/>
        <w:top w:w="0" w:type="dxa"/>
        <w:right w:w="0" w:type="dxa"/>
        <w:bottom w:w="0" w:type="dxa"/>
      </w:tblCellMar>
    </w:tblPr>
  </w:style>
  <w:style w:type="table" w:styleId="991" w:customStyle="1">
    <w:name w:val="List Table 4"/>
    <w:basedOn w:val="896"/>
    <w:uiPriority w:val="99"/>
    <w:qFormat/>
    <w:tblPr>
      <w:tblLayout w:type="fixed"/>
      <w:tblCellMar>
        <w:left w:w="0" w:type="dxa"/>
        <w:top w:w="0" w:type="dxa"/>
        <w:right w:w="0" w:type="dxa"/>
        <w:bottom w:w="0" w:type="dxa"/>
      </w:tblCellMar>
    </w:tblPr>
  </w:style>
  <w:style w:type="table" w:styleId="992" w:customStyle="1">
    <w:name w:val="List Table 5 Dark"/>
    <w:basedOn w:val="896"/>
    <w:uiPriority w:val="99"/>
    <w:qFormat/>
    <w:tblPr>
      <w:tblLayout w:type="fixed"/>
      <w:tblCellMar>
        <w:left w:w="0" w:type="dxa"/>
        <w:top w:w="0" w:type="dxa"/>
        <w:right w:w="0" w:type="dxa"/>
        <w:bottom w:w="0" w:type="dxa"/>
      </w:tblCellMar>
    </w:tblPr>
  </w:style>
  <w:style w:type="table" w:styleId="993" w:customStyle="1">
    <w:name w:val="List Table 6 Colorful"/>
    <w:basedOn w:val="896"/>
    <w:uiPriority w:val="99"/>
    <w:qFormat/>
    <w:tblPr>
      <w:tblLayout w:type="fixed"/>
      <w:tblCellMar>
        <w:left w:w="0" w:type="dxa"/>
        <w:top w:w="0" w:type="dxa"/>
        <w:right w:w="0" w:type="dxa"/>
        <w:bottom w:w="0" w:type="dxa"/>
      </w:tblCellMar>
    </w:tblPr>
  </w:style>
  <w:style w:type="table" w:styleId="994" w:customStyle="1">
    <w:name w:val="List Table 7 Colorful"/>
    <w:basedOn w:val="896"/>
    <w:uiPriority w:val="99"/>
    <w:qFormat/>
    <w:tblPr>
      <w:tblLayout w:type="fixed"/>
      <w:tblCellMar>
        <w:left w:w="0" w:type="dxa"/>
        <w:top w:w="0" w:type="dxa"/>
        <w:right w:w="0" w:type="dxa"/>
        <w:bottom w:w="0" w:type="dxa"/>
      </w:tblCellMar>
    </w:tblPr>
  </w:style>
  <w:style w:type="paragraph" w:styleId="995" w:customStyle="1">
    <w:name w:val="TOC 标题1"/>
    <w:uiPriority w:val="39"/>
    <w:unhideWhenUsed/>
    <w:qFormat/>
    <w:rPr>
      <w:rFonts w:ascii="Times New Roman" w:hAnsi="Times New Roman" w:eastAsia="宋体" w:cs="Times New Roman"/>
      <w:lang w:val="en-US" w:eastAsia="zh-CN" w:bidi="ar-SA"/>
    </w:rPr>
  </w:style>
  <w:style w:type="paragraph" w:styleId="996" w:customStyle="1">
    <w:name w:val="标题 11"/>
    <w:basedOn w:val="921"/>
    <w:next w:val="921"/>
    <w:link w:val="997"/>
    <w:uiPriority w:val="0"/>
    <w:qFormat/>
    <w:pPr>
      <w:jc w:val="center"/>
      <w:keepLines/>
      <w:keepNext/>
      <w:spacing w:line="578" w:lineRule="auto"/>
      <w:outlineLvl w:val="0"/>
    </w:pPr>
    <w:rPr>
      <w:rFonts w:eastAsia="新宋体"/>
      <w:b/>
      <w:bCs/>
      <w:sz w:val="30"/>
      <w:szCs w:val="44"/>
    </w:rPr>
  </w:style>
  <w:style w:type="character" w:styleId="997" w:customStyle="1">
    <w:name w:val="标题 1 Char"/>
    <w:basedOn w:val="940"/>
    <w:link w:val="996"/>
    <w:uiPriority w:val="0"/>
    <w:qFormat/>
    <w:rPr>
      <w:rFonts w:ascii="Times New Roman" w:hAnsi="Times New Roman" w:eastAsia="新宋体"/>
      <w:b/>
      <w:bCs/>
      <w:sz w:val="30"/>
      <w:szCs w:val="44"/>
    </w:rPr>
  </w:style>
  <w:style w:type="paragraph" w:styleId="998" w:customStyle="1">
    <w:name w:val="标题 21"/>
    <w:basedOn w:val="921"/>
    <w:next w:val="923"/>
    <w:link w:val="999"/>
    <w:uiPriority w:val="0"/>
    <w:qFormat/>
    <w:pPr>
      <w:keepLines/>
      <w:keepNext/>
      <w:spacing w:before="260" w:after="260" w:line="416" w:lineRule="auto"/>
      <w:outlineLvl w:val="1"/>
    </w:pPr>
    <w:rPr>
      <w:rFonts w:ascii="Calibri Light" w:hAnsi="Calibri Light" w:eastAsia="Arial"/>
      <w:b/>
      <w:bCs/>
      <w:sz w:val="32"/>
      <w:szCs w:val="32"/>
    </w:rPr>
  </w:style>
  <w:style w:type="character" w:styleId="999" w:customStyle="1">
    <w:name w:val="标题 2 Char"/>
    <w:basedOn w:val="940"/>
    <w:link w:val="998"/>
    <w:uiPriority w:val="0"/>
    <w:qFormat/>
    <w:rPr>
      <w:rFonts w:ascii="Calibri Light" w:hAnsi="Calibri Light" w:eastAsia="Arial"/>
      <w:b/>
      <w:bCs/>
      <w:sz w:val="32"/>
      <w:szCs w:val="32"/>
    </w:rPr>
  </w:style>
  <w:style w:type="paragraph" w:styleId="1000" w:customStyle="1">
    <w:name w:val="标题 31"/>
    <w:basedOn w:val="921"/>
    <w:next w:val="921"/>
    <w:link w:val="1001"/>
    <w:uiPriority w:val="0"/>
    <w:qFormat/>
    <w:pPr>
      <w:keepLines/>
      <w:keepNext/>
      <w:spacing w:before="260" w:after="260" w:line="416" w:lineRule="auto"/>
      <w:outlineLvl w:val="2"/>
    </w:pPr>
    <w:rPr>
      <w:b/>
      <w:bCs/>
      <w:sz w:val="32"/>
      <w:szCs w:val="32"/>
    </w:rPr>
  </w:style>
  <w:style w:type="character" w:styleId="1001" w:customStyle="1">
    <w:name w:val="标题 3 Char"/>
    <w:basedOn w:val="940"/>
    <w:link w:val="1000"/>
    <w:uiPriority w:val="0"/>
    <w:qFormat/>
    <w:rPr>
      <w:rFonts w:ascii="Times New Roman" w:hAnsi="Times New Roman" w:eastAsia="宋体"/>
      <w:b/>
      <w:bCs/>
      <w:sz w:val="32"/>
      <w:szCs w:val="32"/>
    </w:rPr>
  </w:style>
  <w:style w:type="paragraph" w:styleId="1002" w:customStyle="1">
    <w:name w:val="标题 51"/>
    <w:basedOn w:val="921"/>
    <w:next w:val="921"/>
    <w:link w:val="1003"/>
    <w:uiPriority w:val="0"/>
    <w:qFormat/>
    <w:pPr>
      <w:keepLines/>
      <w:keepNext/>
      <w:spacing w:before="320" w:after="200"/>
      <w:outlineLvl w:val="4"/>
    </w:pPr>
    <w:rPr>
      <w:rFonts w:ascii="Arial" w:hAnsi="Arial" w:eastAsia="Arial"/>
      <w:b/>
      <w:bCs/>
      <w:sz w:val="24"/>
    </w:rPr>
  </w:style>
  <w:style w:type="character" w:styleId="1003" w:customStyle="1">
    <w:name w:val="Heading 5 Char"/>
    <w:basedOn w:val="940"/>
    <w:link w:val="1002"/>
    <w:uiPriority w:val="0"/>
    <w:qFormat/>
    <w:rPr>
      <w:rFonts w:ascii="Arial" w:hAnsi="Arial" w:eastAsia="Arial"/>
      <w:b/>
      <w:bCs/>
      <w:sz w:val="24"/>
      <w:szCs w:val="24"/>
    </w:rPr>
  </w:style>
  <w:style w:type="paragraph" w:styleId="1004" w:customStyle="1">
    <w:name w:val="标题 61"/>
    <w:basedOn w:val="921"/>
    <w:next w:val="921"/>
    <w:link w:val="1005"/>
    <w:uiPriority w:val="0"/>
    <w:qFormat/>
    <w:pPr>
      <w:keepLines/>
      <w:keepNext/>
      <w:spacing w:before="320" w:after="200"/>
      <w:outlineLvl w:val="5"/>
    </w:pPr>
    <w:rPr>
      <w:rFonts w:ascii="Arial" w:hAnsi="Arial" w:eastAsia="Arial"/>
      <w:b/>
      <w:bCs/>
      <w:sz w:val="22"/>
      <w:szCs w:val="22"/>
    </w:rPr>
  </w:style>
  <w:style w:type="character" w:styleId="1005" w:customStyle="1">
    <w:name w:val="Heading 6 Char"/>
    <w:basedOn w:val="940"/>
    <w:link w:val="1004"/>
    <w:uiPriority w:val="0"/>
    <w:qFormat/>
    <w:rPr>
      <w:rFonts w:ascii="Arial" w:hAnsi="Arial" w:eastAsia="Arial"/>
      <w:b/>
      <w:bCs/>
      <w:sz w:val="22"/>
      <w:szCs w:val="22"/>
    </w:rPr>
  </w:style>
  <w:style w:type="paragraph" w:styleId="1006" w:customStyle="1">
    <w:name w:val="标题 71"/>
    <w:basedOn w:val="921"/>
    <w:next w:val="921"/>
    <w:link w:val="1007"/>
    <w:uiPriority w:val="0"/>
    <w:qFormat/>
    <w:pPr>
      <w:keepLines/>
      <w:keepNext/>
      <w:spacing w:before="320" w:after="200"/>
      <w:outlineLvl w:val="6"/>
    </w:pPr>
    <w:rPr>
      <w:rFonts w:ascii="Arial" w:hAnsi="Arial" w:eastAsia="Arial"/>
      <w:b/>
      <w:bCs/>
      <w:i/>
      <w:iCs/>
      <w:sz w:val="22"/>
      <w:szCs w:val="22"/>
    </w:rPr>
  </w:style>
  <w:style w:type="character" w:styleId="1007" w:customStyle="1">
    <w:name w:val="Heading 7 Char"/>
    <w:basedOn w:val="940"/>
    <w:link w:val="1006"/>
    <w:uiPriority w:val="0"/>
    <w:qFormat/>
    <w:rPr>
      <w:rFonts w:ascii="Arial" w:hAnsi="Arial" w:eastAsia="Arial"/>
      <w:b/>
      <w:bCs/>
      <w:i/>
      <w:iCs/>
      <w:sz w:val="22"/>
      <w:szCs w:val="22"/>
    </w:rPr>
  </w:style>
  <w:style w:type="paragraph" w:styleId="1008" w:customStyle="1">
    <w:name w:val="标题 81"/>
    <w:basedOn w:val="921"/>
    <w:next w:val="921"/>
    <w:link w:val="1009"/>
    <w:uiPriority w:val="0"/>
    <w:qFormat/>
    <w:pPr>
      <w:keepLines/>
      <w:keepNext/>
      <w:spacing w:before="320" w:after="200"/>
      <w:outlineLvl w:val="7"/>
    </w:pPr>
    <w:rPr>
      <w:rFonts w:ascii="Arial" w:hAnsi="Arial" w:eastAsia="Arial"/>
      <w:i/>
      <w:iCs/>
      <w:sz w:val="22"/>
      <w:szCs w:val="22"/>
    </w:rPr>
  </w:style>
  <w:style w:type="character" w:styleId="1009" w:customStyle="1">
    <w:name w:val="Heading 8 Char"/>
    <w:basedOn w:val="940"/>
    <w:link w:val="1008"/>
    <w:uiPriority w:val="0"/>
    <w:qFormat/>
    <w:rPr>
      <w:rFonts w:ascii="Arial" w:hAnsi="Arial" w:eastAsia="Arial"/>
      <w:i/>
      <w:iCs/>
      <w:sz w:val="22"/>
      <w:szCs w:val="22"/>
    </w:rPr>
  </w:style>
  <w:style w:type="paragraph" w:styleId="1010" w:customStyle="1">
    <w:name w:val="标题 91"/>
    <w:basedOn w:val="921"/>
    <w:next w:val="921"/>
    <w:link w:val="1011"/>
    <w:uiPriority w:val="0"/>
    <w:qFormat/>
    <w:pPr>
      <w:keepLines/>
      <w:keepNext/>
      <w:spacing w:before="320" w:after="200"/>
      <w:outlineLvl w:val="8"/>
    </w:pPr>
    <w:rPr>
      <w:rFonts w:ascii="Arial" w:hAnsi="Arial" w:eastAsia="Arial"/>
      <w:i/>
      <w:iCs/>
      <w:szCs w:val="21"/>
    </w:rPr>
  </w:style>
  <w:style w:type="character" w:styleId="1011" w:customStyle="1">
    <w:name w:val="Heading 9 Char"/>
    <w:basedOn w:val="940"/>
    <w:link w:val="1010"/>
    <w:uiPriority w:val="0"/>
    <w:qFormat/>
    <w:rPr>
      <w:rFonts w:ascii="Arial" w:hAnsi="Arial" w:eastAsia="Arial"/>
      <w:i/>
      <w:iCs/>
      <w:sz w:val="21"/>
      <w:szCs w:val="21"/>
    </w:rPr>
  </w:style>
  <w:style w:type="table" w:styleId="1012" w:customStyle="1">
    <w:name w:val="普通表格1"/>
    <w:uiPriority w:val="0"/>
    <w:qFormat/>
    <w:tblPr>
      <w:tblLayout w:type="fixed"/>
      <w:tblCellMar>
        <w:left w:w="0" w:type="dxa"/>
        <w:top w:w="0" w:type="dxa"/>
        <w:right w:w="0" w:type="dxa"/>
        <w:bottom w:w="0" w:type="dxa"/>
      </w:tblCellMar>
    </w:tblPr>
  </w:style>
  <w:style w:type="paragraph" w:styleId="1013" w:customStyle="1">
    <w:name w:val="目录 71"/>
    <w:basedOn w:val="921"/>
    <w:next w:val="921"/>
    <w:uiPriority w:val="0"/>
    <w:qFormat/>
    <w:pPr>
      <w:ind w:left="1701"/>
      <w:spacing w:after="57"/>
    </w:pPr>
  </w:style>
  <w:style w:type="paragraph" w:styleId="1014" w:customStyle="1">
    <w:name w:val="题注1"/>
    <w:basedOn w:val="921"/>
    <w:next w:val="921"/>
    <w:uiPriority w:val="0"/>
    <w:qFormat/>
    <w:pPr>
      <w:spacing w:line="276" w:lineRule="auto"/>
    </w:pPr>
    <w:rPr>
      <w:b/>
      <w:bCs/>
      <w:color w:val="5b9bd5"/>
      <w:sz w:val="18"/>
      <w:szCs w:val="18"/>
    </w:rPr>
  </w:style>
  <w:style w:type="paragraph" w:styleId="1015" w:customStyle="1">
    <w:name w:val="索引 511"/>
    <w:basedOn w:val="921"/>
    <w:next w:val="921"/>
    <w:uiPriority w:val="0"/>
    <w:qFormat/>
    <w:pPr>
      <w:ind w:left="798"/>
      <w:jc w:val="left"/>
    </w:pPr>
    <w:rPr>
      <w:rFonts w:ascii="Calibri" w:hAnsi="Calibri"/>
    </w:rPr>
  </w:style>
  <w:style w:type="paragraph" w:styleId="1016" w:customStyle="1">
    <w:name w:val="批注文字1"/>
    <w:basedOn w:val="921"/>
    <w:link w:val="1017"/>
    <w:uiPriority w:val="0"/>
    <w:qFormat/>
    <w:pPr>
      <w:jc w:val="left"/>
    </w:pPr>
  </w:style>
  <w:style w:type="character" w:styleId="1017" w:customStyle="1">
    <w:name w:val="批注文字 Char"/>
    <w:basedOn w:val="940"/>
    <w:link w:val="1016"/>
    <w:uiPriority w:val="0"/>
    <w:qFormat/>
    <w:rPr>
      <w:rFonts w:ascii="Times New Roman" w:hAnsi="Times New Roman" w:eastAsia="宋体"/>
      <w:sz w:val="21"/>
      <w:szCs w:val="24"/>
    </w:rPr>
  </w:style>
  <w:style w:type="paragraph" w:styleId="1018" w:customStyle="1">
    <w:name w:val="正文文本111"/>
    <w:basedOn w:val="921"/>
    <w:next w:val="1019"/>
    <w:link w:val="1020"/>
    <w:uiPriority w:val="0"/>
    <w:qFormat/>
    <w:pPr>
      <w:spacing w:after="120"/>
    </w:pPr>
    <w:rPr>
      <w:rFonts w:ascii="Calibri" w:hAnsi="Calibri"/>
    </w:rPr>
  </w:style>
  <w:style w:type="paragraph" w:styleId="1019"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1020" w:customStyle="1">
    <w:name w:val="正文文本 Char"/>
    <w:basedOn w:val="940"/>
    <w:link w:val="1018"/>
    <w:uiPriority w:val="0"/>
    <w:qFormat/>
    <w:rPr>
      <w:rFonts w:ascii="Calibri" w:hAnsi="Calibri" w:eastAsia="宋体"/>
      <w:sz w:val="21"/>
      <w:szCs w:val="24"/>
    </w:rPr>
  </w:style>
  <w:style w:type="paragraph" w:styleId="1021" w:customStyle="1">
    <w:name w:val="索引 411"/>
    <w:basedOn w:val="921"/>
    <w:next w:val="921"/>
    <w:uiPriority w:val="0"/>
    <w:qFormat/>
    <w:pPr>
      <w:ind w:left="600"/>
    </w:pPr>
    <w:rPr>
      <w:rFonts w:ascii="Calibri" w:hAnsi="Calibri"/>
    </w:rPr>
  </w:style>
  <w:style w:type="paragraph" w:styleId="1022" w:customStyle="1">
    <w:name w:val="目录 51"/>
    <w:basedOn w:val="921"/>
    <w:next w:val="921"/>
    <w:uiPriority w:val="0"/>
    <w:qFormat/>
    <w:pPr>
      <w:ind w:left="1134"/>
      <w:spacing w:after="57"/>
    </w:pPr>
  </w:style>
  <w:style w:type="paragraph" w:styleId="1023" w:customStyle="1">
    <w:name w:val="目录 31"/>
    <w:basedOn w:val="921"/>
    <w:next w:val="921"/>
    <w:uiPriority w:val="0"/>
    <w:qFormat/>
    <w:pPr>
      <w:ind w:left="567"/>
      <w:spacing w:after="57"/>
    </w:pPr>
  </w:style>
  <w:style w:type="paragraph" w:styleId="1024" w:customStyle="1">
    <w:name w:val="纯文本1"/>
    <w:basedOn w:val="921"/>
    <w:uiPriority w:val="0"/>
    <w:qFormat/>
    <w:rPr>
      <w:rFonts w:ascii="宋体" w:hAnsi="Courier New"/>
      <w:sz w:val="20"/>
      <w:szCs w:val="20"/>
    </w:rPr>
  </w:style>
  <w:style w:type="paragraph" w:styleId="1025" w:customStyle="1">
    <w:name w:val="目录 81"/>
    <w:basedOn w:val="921"/>
    <w:next w:val="921"/>
    <w:uiPriority w:val="0"/>
    <w:qFormat/>
    <w:pPr>
      <w:ind w:left="1984"/>
      <w:spacing w:after="57"/>
    </w:pPr>
  </w:style>
  <w:style w:type="paragraph" w:styleId="1026" w:customStyle="1">
    <w:name w:val="日期1"/>
    <w:basedOn w:val="921"/>
    <w:next w:val="921"/>
    <w:uiPriority w:val="0"/>
    <w:qFormat/>
    <w:rPr>
      <w:rFonts w:eastAsia="仿宋_GB2312"/>
      <w:sz w:val="28"/>
      <w:szCs w:val="20"/>
    </w:rPr>
  </w:style>
  <w:style w:type="paragraph" w:styleId="1027" w:customStyle="1">
    <w:name w:val="尾注文本1"/>
    <w:basedOn w:val="921"/>
    <w:link w:val="1028"/>
    <w:uiPriority w:val="0"/>
    <w:qFormat/>
    <w:rPr>
      <w:sz w:val="20"/>
    </w:rPr>
  </w:style>
  <w:style w:type="character" w:styleId="1028" w:customStyle="1">
    <w:name w:val="Endnote Text Char"/>
    <w:link w:val="1027"/>
    <w:uiPriority w:val="0"/>
    <w:qFormat/>
    <w:rPr>
      <w:sz w:val="20"/>
    </w:rPr>
  </w:style>
  <w:style w:type="paragraph" w:styleId="1029" w:customStyle="1">
    <w:name w:val="批注框文本1"/>
    <w:basedOn w:val="921"/>
    <w:link w:val="1030"/>
    <w:uiPriority w:val="0"/>
    <w:qFormat/>
    <w:rPr>
      <w:sz w:val="18"/>
      <w:szCs w:val="18"/>
    </w:rPr>
  </w:style>
  <w:style w:type="character" w:styleId="1030" w:customStyle="1">
    <w:name w:val="批注框文本 Char"/>
    <w:basedOn w:val="940"/>
    <w:link w:val="1029"/>
    <w:uiPriority w:val="0"/>
    <w:qFormat/>
    <w:rPr>
      <w:rFonts w:ascii="Times New Roman" w:hAnsi="Times New Roman" w:eastAsia="宋体"/>
      <w:sz w:val="18"/>
      <w:szCs w:val="18"/>
    </w:rPr>
  </w:style>
  <w:style w:type="paragraph" w:styleId="1031" w:customStyle="1">
    <w:name w:val="页脚1"/>
    <w:basedOn w:val="921"/>
    <w:link w:val="1032"/>
    <w:uiPriority w:val="0"/>
    <w:qFormat/>
    <w:pPr>
      <w:jc w:val="left"/>
      <w:tabs>
        <w:tab w:val="center" w:pos="4153" w:leader="none"/>
        <w:tab w:val="right" w:pos="8306" w:leader="none"/>
      </w:tabs>
    </w:pPr>
    <w:rPr>
      <w:sz w:val="18"/>
      <w:szCs w:val="18"/>
    </w:rPr>
  </w:style>
  <w:style w:type="character" w:styleId="1032" w:customStyle="1">
    <w:name w:val="页脚 Char"/>
    <w:basedOn w:val="940"/>
    <w:link w:val="1031"/>
    <w:uiPriority w:val="0"/>
    <w:qFormat/>
    <w:rPr>
      <w:rFonts w:ascii="Times New Roman" w:hAnsi="Times New Roman" w:eastAsia="宋体"/>
      <w:sz w:val="18"/>
      <w:szCs w:val="18"/>
    </w:rPr>
  </w:style>
  <w:style w:type="paragraph" w:styleId="1033" w:customStyle="1">
    <w:name w:val="页眉1"/>
    <w:basedOn w:val="923"/>
    <w:link w:val="1034"/>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页眉 Char"/>
    <w:basedOn w:val="940"/>
    <w:link w:val="1033"/>
    <w:uiPriority w:val="0"/>
    <w:qFormat/>
    <w:rPr>
      <w:rFonts w:ascii="Times New Roman" w:hAnsi="Times New Roman" w:eastAsia="宋体"/>
      <w:sz w:val="18"/>
      <w:szCs w:val="18"/>
    </w:rPr>
  </w:style>
  <w:style w:type="paragraph" w:styleId="1035" w:customStyle="1">
    <w:name w:val="目录 111"/>
    <w:basedOn w:val="921"/>
    <w:next w:val="921"/>
    <w:uiPriority w:val="0"/>
    <w:qFormat/>
  </w:style>
  <w:style w:type="paragraph" w:styleId="1036" w:customStyle="1">
    <w:name w:val="目录 41"/>
    <w:basedOn w:val="921"/>
    <w:next w:val="921"/>
    <w:uiPriority w:val="0"/>
    <w:qFormat/>
    <w:pPr>
      <w:ind w:left="850"/>
      <w:spacing w:after="57"/>
    </w:pPr>
  </w:style>
  <w:style w:type="paragraph" w:styleId="1037" w:customStyle="1">
    <w:name w:val="副标题1"/>
    <w:basedOn w:val="921"/>
    <w:next w:val="921"/>
    <w:link w:val="1038"/>
    <w:uiPriority w:val="0"/>
    <w:qFormat/>
    <w:pPr>
      <w:spacing w:before="200" w:after="200"/>
    </w:pPr>
    <w:rPr>
      <w:sz w:val="24"/>
    </w:rPr>
  </w:style>
  <w:style w:type="character" w:styleId="1038" w:customStyle="1">
    <w:name w:val="Subtitle Char"/>
    <w:basedOn w:val="940"/>
    <w:link w:val="1037"/>
    <w:uiPriority w:val="0"/>
    <w:qFormat/>
    <w:rPr>
      <w:sz w:val="24"/>
      <w:szCs w:val="24"/>
    </w:rPr>
  </w:style>
  <w:style w:type="paragraph" w:styleId="1039" w:customStyle="1">
    <w:name w:val="脚注文本11"/>
    <w:basedOn w:val="921"/>
    <w:next w:val="1015"/>
    <w:uiPriority w:val="0"/>
    <w:qFormat/>
    <w:pPr>
      <w:jc w:val="left"/>
    </w:pPr>
    <w:rPr>
      <w:rFonts w:ascii="宋体" w:eastAsia="Times New Roman"/>
      <w:sz w:val="18"/>
      <w:szCs w:val="18"/>
    </w:rPr>
  </w:style>
  <w:style w:type="paragraph" w:styleId="1040" w:customStyle="1">
    <w:name w:val="目录 61"/>
    <w:basedOn w:val="921"/>
    <w:next w:val="921"/>
    <w:uiPriority w:val="0"/>
    <w:qFormat/>
    <w:pPr>
      <w:ind w:left="1417"/>
      <w:spacing w:after="57"/>
    </w:pPr>
  </w:style>
  <w:style w:type="paragraph" w:styleId="1041" w:customStyle="1">
    <w:name w:val="图表目录1"/>
    <w:basedOn w:val="921"/>
    <w:next w:val="921"/>
    <w:uiPriority w:val="0"/>
    <w:qFormat/>
  </w:style>
  <w:style w:type="paragraph" w:styleId="1042" w:customStyle="1">
    <w:name w:val="目录 21"/>
    <w:basedOn w:val="921"/>
    <w:next w:val="921"/>
    <w:uiPriority w:val="0"/>
    <w:qFormat/>
    <w:pPr>
      <w:ind w:left="283"/>
      <w:spacing w:after="57"/>
    </w:pPr>
  </w:style>
  <w:style w:type="paragraph" w:styleId="1043" w:customStyle="1">
    <w:name w:val="目录 91"/>
    <w:basedOn w:val="921"/>
    <w:next w:val="921"/>
    <w:uiPriority w:val="0"/>
    <w:qFormat/>
    <w:pPr>
      <w:ind w:left="2268"/>
      <w:spacing w:after="57"/>
    </w:pPr>
  </w:style>
  <w:style w:type="paragraph" w:styleId="1044" w:customStyle="1">
    <w:name w:val="普通(网站)1"/>
    <w:basedOn w:val="921"/>
    <w:uiPriority w:val="0"/>
    <w:qFormat/>
    <w:pPr>
      <w:jc w:val="left"/>
      <w:spacing w:before="100" w:beforeAutospacing="1" w:after="100" w:afterAutospacing="1"/>
      <w:widowControl/>
    </w:pPr>
    <w:rPr>
      <w:rFonts w:ascii="宋体" w:hAnsi="宋体"/>
      <w:sz w:val="24"/>
    </w:rPr>
  </w:style>
  <w:style w:type="paragraph" w:styleId="1045" w:customStyle="1">
    <w:name w:val="标题11"/>
    <w:basedOn w:val="921"/>
    <w:next w:val="921"/>
    <w:link w:val="1046"/>
    <w:uiPriority w:val="0"/>
    <w:qFormat/>
    <w:pPr>
      <w:contextualSpacing/>
      <w:spacing w:before="300" w:after="200"/>
    </w:pPr>
    <w:rPr>
      <w:sz w:val="48"/>
      <w:szCs w:val="48"/>
    </w:rPr>
  </w:style>
  <w:style w:type="character" w:styleId="1046" w:customStyle="1">
    <w:name w:val="Title Char"/>
    <w:basedOn w:val="940"/>
    <w:link w:val="1045"/>
    <w:uiPriority w:val="0"/>
    <w:qFormat/>
    <w:rPr>
      <w:sz w:val="48"/>
      <w:szCs w:val="48"/>
    </w:rPr>
  </w:style>
  <w:style w:type="paragraph" w:styleId="1047" w:customStyle="1">
    <w:name w:val="批注主题1"/>
    <w:basedOn w:val="1016"/>
    <w:next w:val="1016"/>
    <w:link w:val="1048"/>
    <w:uiPriority w:val="0"/>
    <w:qFormat/>
    <w:rPr>
      <w:b/>
      <w:bCs/>
    </w:rPr>
  </w:style>
  <w:style w:type="character" w:styleId="1048" w:customStyle="1">
    <w:name w:val="批注主题 Char"/>
    <w:basedOn w:val="1017"/>
    <w:link w:val="1047"/>
    <w:uiPriority w:val="0"/>
    <w:qFormat/>
    <w:rPr>
      <w:rFonts w:ascii="Times New Roman" w:hAnsi="Times New Roman" w:eastAsia="宋体"/>
      <w:b/>
      <w:bCs/>
      <w:sz w:val="21"/>
      <w:szCs w:val="24"/>
    </w:rPr>
  </w:style>
  <w:style w:type="paragraph" w:styleId="1049" w:customStyle="1">
    <w:name w:val="正文首行缩进 21"/>
    <w:basedOn w:val="933"/>
    <w:next w:val="921"/>
    <w:uiPriority w:val="0"/>
    <w:qFormat/>
    <w:pPr>
      <w:ind w:firstLine="420"/>
      <w:spacing w:line="360" w:lineRule="auto"/>
    </w:pPr>
    <w:rPr>
      <w:sz w:val="20"/>
    </w:rPr>
  </w:style>
  <w:style w:type="table" w:styleId="1050" w:customStyle="1">
    <w:name w:val="网格型1"/>
    <w:basedOn w:val="1012"/>
    <w:uiPriority w:val="0"/>
    <w:qFormat/>
    <w:tblPr>
      <w:tblLayout w:type="fixed"/>
      <w:tblCellMar>
        <w:left w:w="0" w:type="dxa"/>
        <w:top w:w="0" w:type="dxa"/>
        <w:right w:w="0" w:type="dxa"/>
        <w:bottom w:w="0" w:type="dxa"/>
      </w:tblCellMar>
    </w:tblPr>
  </w:style>
  <w:style w:type="character" w:styleId="1051" w:customStyle="1">
    <w:name w:val="尾注引用1"/>
    <w:basedOn w:val="940"/>
    <w:uiPriority w:val="0"/>
    <w:qFormat/>
    <w:rPr>
      <w:vertAlign w:val="superscript"/>
    </w:rPr>
  </w:style>
  <w:style w:type="character" w:styleId="1052" w:customStyle="1">
    <w:name w:val="页码1"/>
    <w:basedOn w:val="940"/>
    <w:uiPriority w:val="0"/>
    <w:qFormat/>
  </w:style>
  <w:style w:type="character" w:styleId="1053" w:customStyle="1">
    <w:name w:val="已访问的超链接1"/>
    <w:basedOn w:val="940"/>
    <w:uiPriority w:val="0"/>
    <w:qFormat/>
    <w:rPr>
      <w:color w:val="333333"/>
      <w:u w:val="none"/>
    </w:rPr>
  </w:style>
  <w:style w:type="character" w:styleId="1054" w:customStyle="1">
    <w:name w:val="超链接1"/>
    <w:basedOn w:val="940"/>
    <w:uiPriority w:val="0"/>
    <w:qFormat/>
    <w:rPr>
      <w:color w:val="333333"/>
      <w:u w:val="none"/>
    </w:rPr>
  </w:style>
  <w:style w:type="character" w:styleId="1055" w:customStyle="1">
    <w:name w:val="批注引用1"/>
    <w:basedOn w:val="940"/>
    <w:uiPriority w:val="0"/>
    <w:qFormat/>
    <w:rPr>
      <w:sz w:val="21"/>
      <w:szCs w:val="21"/>
    </w:rPr>
  </w:style>
  <w:style w:type="character" w:styleId="1056" w:customStyle="1">
    <w:name w:val="脚注引用1"/>
    <w:basedOn w:val="940"/>
    <w:uiPriority w:val="0"/>
    <w:qFormat/>
    <w:rPr>
      <w:vertAlign w:val="superscript"/>
    </w:rPr>
  </w:style>
  <w:style w:type="character" w:styleId="1057" w:customStyle="1">
    <w:name w:val="Heading 1 Char"/>
    <w:basedOn w:val="940"/>
    <w:uiPriority w:val="0"/>
    <w:qFormat/>
    <w:rPr>
      <w:rFonts w:ascii="Arial" w:hAnsi="Arial" w:eastAsia="Arial"/>
      <w:sz w:val="40"/>
      <w:szCs w:val="40"/>
    </w:rPr>
  </w:style>
  <w:style w:type="character" w:styleId="1058" w:customStyle="1">
    <w:name w:val="Heading 2 Char"/>
    <w:basedOn w:val="940"/>
    <w:uiPriority w:val="0"/>
    <w:qFormat/>
    <w:rPr>
      <w:rFonts w:ascii="Arial" w:hAnsi="Arial" w:eastAsia="Arial"/>
      <w:sz w:val="34"/>
    </w:rPr>
  </w:style>
  <w:style w:type="character" w:styleId="1059" w:customStyle="1">
    <w:name w:val="Heading 3 Char"/>
    <w:basedOn w:val="940"/>
    <w:uiPriority w:val="0"/>
    <w:qFormat/>
    <w:rPr>
      <w:rFonts w:ascii="Arial" w:hAnsi="Arial" w:eastAsia="Arial"/>
      <w:sz w:val="30"/>
      <w:szCs w:val="30"/>
    </w:rPr>
  </w:style>
  <w:style w:type="paragraph" w:styleId="1060">
    <w:name w:val="No Spacing"/>
    <w:uiPriority w:val="0"/>
    <w:qFormat/>
    <w:rPr>
      <w:rFonts w:ascii="Times New Roman" w:hAnsi="Times New Roman" w:eastAsia="宋体" w:cs="Times New Roman"/>
      <w:lang w:val="en-US" w:eastAsia="zh-CN" w:bidi="ar-SA"/>
    </w:rPr>
  </w:style>
  <w:style w:type="paragraph" w:styleId="1061">
    <w:name w:val="Quote"/>
    <w:basedOn w:val="921"/>
    <w:next w:val="921"/>
    <w:link w:val="1062"/>
    <w:uiPriority w:val="0"/>
    <w:qFormat/>
    <w:pPr>
      <w:ind w:left="720" w:right="720"/>
    </w:pPr>
    <w:rPr>
      <w:i/>
    </w:rPr>
  </w:style>
  <w:style w:type="character" w:styleId="1062" w:customStyle="1">
    <w:name w:val="引用 Char"/>
    <w:link w:val="1061"/>
    <w:uiPriority w:val="0"/>
    <w:qFormat/>
    <w:rPr>
      <w:i/>
    </w:rPr>
  </w:style>
  <w:style w:type="paragraph" w:styleId="1063">
    <w:name w:val="Intense Quote"/>
    <w:basedOn w:val="921"/>
    <w:next w:val="921"/>
    <w:link w:val="10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明显引用 Char"/>
    <w:link w:val="1063"/>
    <w:uiPriority w:val="0"/>
    <w:qFormat/>
    <w:rPr>
      <w:i/>
    </w:rPr>
  </w:style>
  <w:style w:type="character" w:styleId="1065" w:customStyle="1">
    <w:name w:val="Header Char"/>
    <w:basedOn w:val="940"/>
    <w:uiPriority w:val="0"/>
    <w:qFormat/>
  </w:style>
  <w:style w:type="character" w:styleId="1066" w:customStyle="1">
    <w:name w:val="Footer Char"/>
    <w:basedOn w:val="940"/>
    <w:uiPriority w:val="0"/>
    <w:qFormat/>
  </w:style>
  <w:style w:type="character" w:styleId="1067" w:customStyle="1">
    <w:name w:val="Caption Char"/>
    <w:uiPriority w:val="0"/>
    <w:qFormat/>
  </w:style>
  <w:style w:type="table" w:styleId="1068" w:customStyle="1">
    <w:name w:val="Table Grid Light"/>
    <w:basedOn w:val="1012"/>
    <w:uiPriority w:val="0"/>
    <w:qFormat/>
    <w:tblPr>
      <w:tblLayout w:type="fixed"/>
      <w:tblCellMar>
        <w:left w:w="0" w:type="dxa"/>
        <w:top w:w="0" w:type="dxa"/>
        <w:right w:w="0" w:type="dxa"/>
        <w:bottom w:w="0" w:type="dxa"/>
      </w:tblCellMar>
    </w:tblPr>
  </w:style>
  <w:style w:type="table" w:styleId="1069" w:customStyle="1">
    <w:name w:val="无格式表格 11"/>
    <w:basedOn w:val="1012"/>
    <w:uiPriority w:val="0"/>
    <w:qFormat/>
    <w:tblPr>
      <w:tblLayout w:type="fixed"/>
      <w:tblCellMar>
        <w:left w:w="0" w:type="dxa"/>
        <w:top w:w="0" w:type="dxa"/>
        <w:right w:w="0" w:type="dxa"/>
        <w:bottom w:w="0" w:type="dxa"/>
      </w:tblCellMar>
    </w:tblPr>
  </w:style>
  <w:style w:type="table" w:styleId="1070" w:customStyle="1">
    <w:name w:val="无格式表格 21"/>
    <w:basedOn w:val="1012"/>
    <w:uiPriority w:val="0"/>
    <w:qFormat/>
    <w:tblPr>
      <w:tblLayout w:type="fixed"/>
      <w:tblCellMar>
        <w:left w:w="0" w:type="dxa"/>
        <w:top w:w="0" w:type="dxa"/>
        <w:right w:w="0" w:type="dxa"/>
        <w:bottom w:w="0" w:type="dxa"/>
      </w:tblCellMar>
    </w:tblPr>
  </w:style>
  <w:style w:type="table" w:styleId="1071" w:customStyle="1">
    <w:name w:val="无格式表格 31"/>
    <w:basedOn w:val="1012"/>
    <w:uiPriority w:val="0"/>
    <w:qFormat/>
    <w:tblPr>
      <w:tblLayout w:type="fixed"/>
      <w:tblCellMar>
        <w:left w:w="0" w:type="dxa"/>
        <w:top w:w="0" w:type="dxa"/>
        <w:right w:w="0" w:type="dxa"/>
        <w:bottom w:w="0" w:type="dxa"/>
      </w:tblCellMar>
    </w:tblPr>
  </w:style>
  <w:style w:type="table" w:styleId="1072" w:customStyle="1">
    <w:name w:val="无格式表格 41"/>
    <w:basedOn w:val="1012"/>
    <w:uiPriority w:val="0"/>
    <w:qFormat/>
    <w:tblPr>
      <w:tblLayout w:type="fixed"/>
      <w:tblCellMar>
        <w:left w:w="0" w:type="dxa"/>
        <w:top w:w="0" w:type="dxa"/>
        <w:right w:w="0" w:type="dxa"/>
        <w:bottom w:w="0" w:type="dxa"/>
      </w:tblCellMar>
    </w:tblPr>
  </w:style>
  <w:style w:type="table" w:styleId="1073" w:customStyle="1">
    <w:name w:val="无格式表格 51"/>
    <w:basedOn w:val="1012"/>
    <w:uiPriority w:val="0"/>
    <w:qFormat/>
    <w:tblPr>
      <w:tblLayout w:type="fixed"/>
      <w:tblCellMar>
        <w:left w:w="0" w:type="dxa"/>
        <w:top w:w="0" w:type="dxa"/>
        <w:right w:w="0" w:type="dxa"/>
        <w:bottom w:w="0" w:type="dxa"/>
      </w:tblCellMar>
    </w:tblPr>
  </w:style>
  <w:style w:type="table" w:styleId="1074" w:customStyle="1">
    <w:name w:val="网格表 1 浅色1"/>
    <w:basedOn w:val="1012"/>
    <w:uiPriority w:val="0"/>
    <w:qFormat/>
    <w:tblPr>
      <w:tblLayout w:type="fixed"/>
      <w:tblCellMar>
        <w:left w:w="0" w:type="dxa"/>
        <w:top w:w="0" w:type="dxa"/>
        <w:right w:w="0" w:type="dxa"/>
        <w:bottom w:w="0" w:type="dxa"/>
      </w:tblCellMar>
    </w:tblPr>
  </w:style>
  <w:style w:type="table" w:styleId="1075" w:customStyle="1">
    <w:name w:val="Grid Table 1 Light - Accent 1"/>
    <w:basedOn w:val="1012"/>
    <w:uiPriority w:val="0"/>
    <w:qFormat/>
    <w:tblPr>
      <w:tblLayout w:type="fixed"/>
      <w:tblCellMar>
        <w:left w:w="0" w:type="dxa"/>
        <w:top w:w="0" w:type="dxa"/>
        <w:right w:w="0" w:type="dxa"/>
        <w:bottom w:w="0" w:type="dxa"/>
      </w:tblCellMar>
    </w:tblPr>
  </w:style>
  <w:style w:type="table" w:styleId="1076" w:customStyle="1">
    <w:name w:val="Grid Table 1 Light - Accent 2"/>
    <w:basedOn w:val="1012"/>
    <w:uiPriority w:val="0"/>
    <w:qFormat/>
    <w:tblPr>
      <w:tblLayout w:type="fixed"/>
      <w:tblCellMar>
        <w:left w:w="0" w:type="dxa"/>
        <w:top w:w="0" w:type="dxa"/>
        <w:right w:w="0" w:type="dxa"/>
        <w:bottom w:w="0" w:type="dxa"/>
      </w:tblCellMar>
    </w:tblPr>
  </w:style>
  <w:style w:type="table" w:styleId="1077" w:customStyle="1">
    <w:name w:val="Grid Table 1 Light - Accent 3"/>
    <w:basedOn w:val="1012"/>
    <w:uiPriority w:val="0"/>
    <w:qFormat/>
    <w:tblPr>
      <w:tblLayout w:type="fixed"/>
      <w:tblCellMar>
        <w:left w:w="0" w:type="dxa"/>
        <w:top w:w="0" w:type="dxa"/>
        <w:right w:w="0" w:type="dxa"/>
        <w:bottom w:w="0" w:type="dxa"/>
      </w:tblCellMar>
    </w:tblPr>
  </w:style>
  <w:style w:type="table" w:styleId="1078" w:customStyle="1">
    <w:name w:val="Grid Table 1 Light - Accent 4"/>
    <w:basedOn w:val="1012"/>
    <w:uiPriority w:val="0"/>
    <w:qFormat/>
    <w:tblPr>
      <w:tblLayout w:type="fixed"/>
      <w:tblCellMar>
        <w:left w:w="0" w:type="dxa"/>
        <w:top w:w="0" w:type="dxa"/>
        <w:right w:w="0" w:type="dxa"/>
        <w:bottom w:w="0" w:type="dxa"/>
      </w:tblCellMar>
    </w:tblPr>
  </w:style>
  <w:style w:type="table" w:styleId="1079" w:customStyle="1">
    <w:name w:val="Grid Table 1 Light - Accent 5"/>
    <w:basedOn w:val="1012"/>
    <w:uiPriority w:val="0"/>
    <w:qFormat/>
    <w:tblPr>
      <w:tblLayout w:type="fixed"/>
      <w:tblCellMar>
        <w:left w:w="0" w:type="dxa"/>
        <w:top w:w="0" w:type="dxa"/>
        <w:right w:w="0" w:type="dxa"/>
        <w:bottom w:w="0" w:type="dxa"/>
      </w:tblCellMar>
    </w:tblPr>
  </w:style>
  <w:style w:type="table" w:styleId="1080" w:customStyle="1">
    <w:name w:val="Grid Table 1 Light - Accent 6"/>
    <w:basedOn w:val="1012"/>
    <w:uiPriority w:val="0"/>
    <w:qFormat/>
    <w:tblPr>
      <w:tblLayout w:type="fixed"/>
      <w:tblCellMar>
        <w:left w:w="0" w:type="dxa"/>
        <w:top w:w="0" w:type="dxa"/>
        <w:right w:w="0" w:type="dxa"/>
        <w:bottom w:w="0" w:type="dxa"/>
      </w:tblCellMar>
    </w:tblPr>
  </w:style>
  <w:style w:type="table" w:styleId="1081" w:customStyle="1">
    <w:name w:val="网格表 21"/>
    <w:basedOn w:val="1012"/>
    <w:uiPriority w:val="0"/>
    <w:qFormat/>
    <w:tblPr>
      <w:tblLayout w:type="fixed"/>
      <w:tblCellMar>
        <w:left w:w="0" w:type="dxa"/>
        <w:top w:w="0" w:type="dxa"/>
        <w:right w:w="0" w:type="dxa"/>
        <w:bottom w:w="0" w:type="dxa"/>
      </w:tblCellMar>
    </w:tblPr>
  </w:style>
  <w:style w:type="table" w:styleId="1082" w:customStyle="1">
    <w:name w:val="Grid Table 2 - Accent 1"/>
    <w:basedOn w:val="1012"/>
    <w:uiPriority w:val="0"/>
    <w:qFormat/>
    <w:tblPr>
      <w:tblLayout w:type="fixed"/>
      <w:tblCellMar>
        <w:left w:w="0" w:type="dxa"/>
        <w:top w:w="0" w:type="dxa"/>
        <w:right w:w="0" w:type="dxa"/>
        <w:bottom w:w="0" w:type="dxa"/>
      </w:tblCellMar>
    </w:tblPr>
  </w:style>
  <w:style w:type="table" w:styleId="1083" w:customStyle="1">
    <w:name w:val="Grid Table 2 - Accent 2"/>
    <w:basedOn w:val="1012"/>
    <w:uiPriority w:val="0"/>
    <w:qFormat/>
    <w:tblPr>
      <w:tblLayout w:type="fixed"/>
      <w:tblCellMar>
        <w:left w:w="0" w:type="dxa"/>
        <w:top w:w="0" w:type="dxa"/>
        <w:right w:w="0" w:type="dxa"/>
        <w:bottom w:w="0" w:type="dxa"/>
      </w:tblCellMar>
    </w:tblPr>
  </w:style>
  <w:style w:type="table" w:styleId="1084" w:customStyle="1">
    <w:name w:val="Grid Table 2 - Accent 3"/>
    <w:basedOn w:val="1012"/>
    <w:uiPriority w:val="0"/>
    <w:qFormat/>
    <w:tblPr>
      <w:tblLayout w:type="fixed"/>
      <w:tblCellMar>
        <w:left w:w="0" w:type="dxa"/>
        <w:top w:w="0" w:type="dxa"/>
        <w:right w:w="0" w:type="dxa"/>
        <w:bottom w:w="0" w:type="dxa"/>
      </w:tblCellMar>
    </w:tblPr>
  </w:style>
  <w:style w:type="table" w:styleId="1085" w:customStyle="1">
    <w:name w:val="Grid Table 2 - Accent 4"/>
    <w:basedOn w:val="1012"/>
    <w:uiPriority w:val="0"/>
    <w:qFormat/>
    <w:tblPr>
      <w:tblLayout w:type="fixed"/>
      <w:tblCellMar>
        <w:left w:w="0" w:type="dxa"/>
        <w:top w:w="0" w:type="dxa"/>
        <w:right w:w="0" w:type="dxa"/>
        <w:bottom w:w="0" w:type="dxa"/>
      </w:tblCellMar>
    </w:tblPr>
  </w:style>
  <w:style w:type="table" w:styleId="1086" w:customStyle="1">
    <w:name w:val="Grid Table 2 - Accent 5"/>
    <w:basedOn w:val="1012"/>
    <w:uiPriority w:val="0"/>
    <w:qFormat/>
    <w:tblPr>
      <w:tblLayout w:type="fixed"/>
      <w:tblCellMar>
        <w:left w:w="0" w:type="dxa"/>
        <w:top w:w="0" w:type="dxa"/>
        <w:right w:w="0" w:type="dxa"/>
        <w:bottom w:w="0" w:type="dxa"/>
      </w:tblCellMar>
    </w:tblPr>
  </w:style>
  <w:style w:type="table" w:styleId="1087" w:customStyle="1">
    <w:name w:val="Grid Table 2 - Accent 6"/>
    <w:basedOn w:val="1012"/>
    <w:uiPriority w:val="0"/>
    <w:qFormat/>
    <w:tblPr>
      <w:tblLayout w:type="fixed"/>
      <w:tblCellMar>
        <w:left w:w="0" w:type="dxa"/>
        <w:top w:w="0" w:type="dxa"/>
        <w:right w:w="0" w:type="dxa"/>
        <w:bottom w:w="0" w:type="dxa"/>
      </w:tblCellMar>
    </w:tblPr>
  </w:style>
  <w:style w:type="table" w:styleId="1088" w:customStyle="1">
    <w:name w:val="网格表 31"/>
    <w:basedOn w:val="1012"/>
    <w:uiPriority w:val="0"/>
    <w:qFormat/>
    <w:tblPr>
      <w:tblLayout w:type="fixed"/>
      <w:tblCellMar>
        <w:left w:w="0" w:type="dxa"/>
        <w:top w:w="0" w:type="dxa"/>
        <w:right w:w="0" w:type="dxa"/>
        <w:bottom w:w="0" w:type="dxa"/>
      </w:tblCellMar>
    </w:tblPr>
  </w:style>
  <w:style w:type="table" w:styleId="1089" w:customStyle="1">
    <w:name w:val="Grid Table 3 - Accent 1"/>
    <w:basedOn w:val="1012"/>
    <w:uiPriority w:val="0"/>
    <w:qFormat/>
    <w:tblPr>
      <w:tblLayout w:type="fixed"/>
      <w:tblCellMar>
        <w:left w:w="0" w:type="dxa"/>
        <w:top w:w="0" w:type="dxa"/>
        <w:right w:w="0" w:type="dxa"/>
        <w:bottom w:w="0" w:type="dxa"/>
      </w:tblCellMar>
    </w:tblPr>
  </w:style>
  <w:style w:type="table" w:styleId="1090" w:customStyle="1">
    <w:name w:val="Grid Table 3 - Accent 2"/>
    <w:basedOn w:val="1012"/>
    <w:uiPriority w:val="0"/>
    <w:qFormat/>
    <w:tblPr>
      <w:tblLayout w:type="fixed"/>
      <w:tblCellMar>
        <w:left w:w="0" w:type="dxa"/>
        <w:top w:w="0" w:type="dxa"/>
        <w:right w:w="0" w:type="dxa"/>
        <w:bottom w:w="0" w:type="dxa"/>
      </w:tblCellMar>
    </w:tblPr>
  </w:style>
  <w:style w:type="table" w:styleId="1091" w:customStyle="1">
    <w:name w:val="Grid Table 3 - Accent 3"/>
    <w:basedOn w:val="1012"/>
    <w:uiPriority w:val="0"/>
    <w:qFormat/>
    <w:tblPr>
      <w:tblLayout w:type="fixed"/>
      <w:tblCellMar>
        <w:left w:w="0" w:type="dxa"/>
        <w:top w:w="0" w:type="dxa"/>
        <w:right w:w="0" w:type="dxa"/>
        <w:bottom w:w="0" w:type="dxa"/>
      </w:tblCellMar>
    </w:tblPr>
  </w:style>
  <w:style w:type="table" w:styleId="1092" w:customStyle="1">
    <w:name w:val="Grid Table 3 - Accent 4"/>
    <w:basedOn w:val="1012"/>
    <w:uiPriority w:val="0"/>
    <w:qFormat/>
    <w:tblPr>
      <w:tblLayout w:type="fixed"/>
      <w:tblCellMar>
        <w:left w:w="0" w:type="dxa"/>
        <w:top w:w="0" w:type="dxa"/>
        <w:right w:w="0" w:type="dxa"/>
        <w:bottom w:w="0" w:type="dxa"/>
      </w:tblCellMar>
    </w:tblPr>
  </w:style>
  <w:style w:type="table" w:styleId="1093" w:customStyle="1">
    <w:name w:val="Grid Table 3 - Accent 5"/>
    <w:basedOn w:val="1012"/>
    <w:uiPriority w:val="0"/>
    <w:qFormat/>
    <w:tblPr>
      <w:tblLayout w:type="fixed"/>
      <w:tblCellMar>
        <w:left w:w="0" w:type="dxa"/>
        <w:top w:w="0" w:type="dxa"/>
        <w:right w:w="0" w:type="dxa"/>
        <w:bottom w:w="0" w:type="dxa"/>
      </w:tblCellMar>
    </w:tblPr>
  </w:style>
  <w:style w:type="table" w:styleId="1094" w:customStyle="1">
    <w:name w:val="Grid Table 3 - Accent 6"/>
    <w:basedOn w:val="1012"/>
    <w:uiPriority w:val="0"/>
    <w:qFormat/>
    <w:tblPr>
      <w:tblLayout w:type="fixed"/>
      <w:tblCellMar>
        <w:left w:w="0" w:type="dxa"/>
        <w:top w:w="0" w:type="dxa"/>
        <w:right w:w="0" w:type="dxa"/>
        <w:bottom w:w="0" w:type="dxa"/>
      </w:tblCellMar>
    </w:tblPr>
  </w:style>
  <w:style w:type="table" w:styleId="1095" w:customStyle="1">
    <w:name w:val="网格表 41"/>
    <w:basedOn w:val="1012"/>
    <w:uiPriority w:val="0"/>
    <w:qFormat/>
    <w:tblPr>
      <w:tblLayout w:type="fixed"/>
      <w:tblCellMar>
        <w:left w:w="0" w:type="dxa"/>
        <w:top w:w="0" w:type="dxa"/>
        <w:right w:w="0" w:type="dxa"/>
        <w:bottom w:w="0" w:type="dxa"/>
      </w:tblCellMar>
    </w:tblPr>
  </w:style>
  <w:style w:type="table" w:styleId="1096" w:customStyle="1">
    <w:name w:val="Grid Table 4 - Accent 1"/>
    <w:basedOn w:val="1012"/>
    <w:uiPriority w:val="0"/>
    <w:qFormat/>
    <w:tblPr>
      <w:tblLayout w:type="fixed"/>
      <w:tblCellMar>
        <w:left w:w="0" w:type="dxa"/>
        <w:top w:w="0" w:type="dxa"/>
        <w:right w:w="0" w:type="dxa"/>
        <w:bottom w:w="0" w:type="dxa"/>
      </w:tblCellMar>
    </w:tblPr>
  </w:style>
  <w:style w:type="table" w:styleId="1097" w:customStyle="1">
    <w:name w:val="Grid Table 4 - Accent 2"/>
    <w:basedOn w:val="1012"/>
    <w:uiPriority w:val="0"/>
    <w:qFormat/>
    <w:tblPr>
      <w:tblLayout w:type="fixed"/>
      <w:tblCellMar>
        <w:left w:w="0" w:type="dxa"/>
        <w:top w:w="0" w:type="dxa"/>
        <w:right w:w="0" w:type="dxa"/>
        <w:bottom w:w="0" w:type="dxa"/>
      </w:tblCellMar>
    </w:tblPr>
  </w:style>
  <w:style w:type="table" w:styleId="1098" w:customStyle="1">
    <w:name w:val="Grid Table 4 - Accent 3"/>
    <w:basedOn w:val="1012"/>
    <w:uiPriority w:val="0"/>
    <w:qFormat/>
    <w:tblPr>
      <w:tblLayout w:type="fixed"/>
      <w:tblCellMar>
        <w:left w:w="0" w:type="dxa"/>
        <w:top w:w="0" w:type="dxa"/>
        <w:right w:w="0" w:type="dxa"/>
        <w:bottom w:w="0" w:type="dxa"/>
      </w:tblCellMar>
    </w:tblPr>
  </w:style>
  <w:style w:type="table" w:styleId="1099" w:customStyle="1">
    <w:name w:val="Grid Table 4 - Accent 4"/>
    <w:basedOn w:val="1012"/>
    <w:uiPriority w:val="0"/>
    <w:qFormat/>
    <w:tblPr>
      <w:tblLayout w:type="fixed"/>
      <w:tblCellMar>
        <w:left w:w="0" w:type="dxa"/>
        <w:top w:w="0" w:type="dxa"/>
        <w:right w:w="0" w:type="dxa"/>
        <w:bottom w:w="0" w:type="dxa"/>
      </w:tblCellMar>
    </w:tblPr>
  </w:style>
  <w:style w:type="table" w:styleId="1100" w:customStyle="1">
    <w:name w:val="Grid Table 4 - Accent 5"/>
    <w:basedOn w:val="1012"/>
    <w:uiPriority w:val="0"/>
    <w:qFormat/>
    <w:tblPr>
      <w:tblLayout w:type="fixed"/>
      <w:tblCellMar>
        <w:left w:w="0" w:type="dxa"/>
        <w:top w:w="0" w:type="dxa"/>
        <w:right w:w="0" w:type="dxa"/>
        <w:bottom w:w="0" w:type="dxa"/>
      </w:tblCellMar>
    </w:tblPr>
  </w:style>
  <w:style w:type="table" w:styleId="1101" w:customStyle="1">
    <w:name w:val="Grid Table 4 - Accent 6"/>
    <w:basedOn w:val="1012"/>
    <w:uiPriority w:val="0"/>
    <w:qFormat/>
    <w:tblPr>
      <w:tblLayout w:type="fixed"/>
      <w:tblCellMar>
        <w:left w:w="0" w:type="dxa"/>
        <w:top w:w="0" w:type="dxa"/>
        <w:right w:w="0" w:type="dxa"/>
        <w:bottom w:w="0" w:type="dxa"/>
      </w:tblCellMar>
    </w:tblPr>
  </w:style>
  <w:style w:type="table" w:styleId="1102" w:customStyle="1">
    <w:name w:val="网格表 5 深色1"/>
    <w:basedOn w:val="1012"/>
    <w:uiPriority w:val="0"/>
    <w:qFormat/>
    <w:tblPr>
      <w:tblLayout w:type="fixed"/>
      <w:tblCellMar>
        <w:left w:w="0" w:type="dxa"/>
        <w:top w:w="0" w:type="dxa"/>
        <w:right w:w="0" w:type="dxa"/>
        <w:bottom w:w="0" w:type="dxa"/>
      </w:tblCellMar>
    </w:tblPr>
  </w:style>
  <w:style w:type="table" w:styleId="1103" w:customStyle="1">
    <w:name w:val="Grid Table 5 Dark- Accent 1"/>
    <w:basedOn w:val="1012"/>
    <w:uiPriority w:val="0"/>
    <w:qFormat/>
    <w:tblPr>
      <w:tblLayout w:type="fixed"/>
      <w:tblCellMar>
        <w:left w:w="0" w:type="dxa"/>
        <w:top w:w="0" w:type="dxa"/>
        <w:right w:w="0" w:type="dxa"/>
        <w:bottom w:w="0" w:type="dxa"/>
      </w:tblCellMar>
    </w:tblPr>
  </w:style>
  <w:style w:type="table" w:styleId="1104" w:customStyle="1">
    <w:name w:val="Grid Table 5 Dark - Accent 2"/>
    <w:basedOn w:val="1012"/>
    <w:uiPriority w:val="0"/>
    <w:qFormat/>
    <w:tblPr>
      <w:tblLayout w:type="fixed"/>
      <w:tblCellMar>
        <w:left w:w="0" w:type="dxa"/>
        <w:top w:w="0" w:type="dxa"/>
        <w:right w:w="0" w:type="dxa"/>
        <w:bottom w:w="0" w:type="dxa"/>
      </w:tblCellMar>
    </w:tblPr>
  </w:style>
  <w:style w:type="table" w:styleId="1105" w:customStyle="1">
    <w:name w:val="Grid Table 5 Dark - Accent 3"/>
    <w:basedOn w:val="1012"/>
    <w:uiPriority w:val="0"/>
    <w:qFormat/>
    <w:tblPr>
      <w:tblLayout w:type="fixed"/>
      <w:tblCellMar>
        <w:left w:w="0" w:type="dxa"/>
        <w:top w:w="0" w:type="dxa"/>
        <w:right w:w="0" w:type="dxa"/>
        <w:bottom w:w="0" w:type="dxa"/>
      </w:tblCellMar>
    </w:tblPr>
  </w:style>
  <w:style w:type="table" w:styleId="1106" w:customStyle="1">
    <w:name w:val="Grid Table 5 Dark- Accent 4"/>
    <w:basedOn w:val="1012"/>
    <w:uiPriority w:val="0"/>
    <w:qFormat/>
    <w:tblPr>
      <w:tblLayout w:type="fixed"/>
      <w:tblCellMar>
        <w:left w:w="0" w:type="dxa"/>
        <w:top w:w="0" w:type="dxa"/>
        <w:right w:w="0" w:type="dxa"/>
        <w:bottom w:w="0" w:type="dxa"/>
      </w:tblCellMar>
    </w:tblPr>
  </w:style>
  <w:style w:type="table" w:styleId="1107" w:customStyle="1">
    <w:name w:val="Grid Table 5 Dark - Accent 5"/>
    <w:basedOn w:val="1012"/>
    <w:uiPriority w:val="0"/>
    <w:qFormat/>
    <w:tblPr>
      <w:tblLayout w:type="fixed"/>
      <w:tblCellMar>
        <w:left w:w="0" w:type="dxa"/>
        <w:top w:w="0" w:type="dxa"/>
        <w:right w:w="0" w:type="dxa"/>
        <w:bottom w:w="0" w:type="dxa"/>
      </w:tblCellMar>
    </w:tblPr>
  </w:style>
  <w:style w:type="table" w:styleId="1108" w:customStyle="1">
    <w:name w:val="Grid Table 5 Dark - Accent 6"/>
    <w:basedOn w:val="1012"/>
    <w:uiPriority w:val="0"/>
    <w:qFormat/>
    <w:tblPr>
      <w:tblLayout w:type="fixed"/>
      <w:tblCellMar>
        <w:left w:w="0" w:type="dxa"/>
        <w:top w:w="0" w:type="dxa"/>
        <w:right w:w="0" w:type="dxa"/>
        <w:bottom w:w="0" w:type="dxa"/>
      </w:tblCellMar>
    </w:tblPr>
  </w:style>
  <w:style w:type="table" w:styleId="1109" w:customStyle="1">
    <w:name w:val="网格表 6 彩色1"/>
    <w:basedOn w:val="1012"/>
    <w:uiPriority w:val="0"/>
    <w:qFormat/>
    <w:tblPr>
      <w:tblLayout w:type="fixed"/>
      <w:tblCellMar>
        <w:left w:w="0" w:type="dxa"/>
        <w:top w:w="0" w:type="dxa"/>
        <w:right w:w="0" w:type="dxa"/>
        <w:bottom w:w="0" w:type="dxa"/>
      </w:tblCellMar>
    </w:tblPr>
  </w:style>
  <w:style w:type="table" w:styleId="1110" w:customStyle="1">
    <w:name w:val="Grid Table 6 Colorful - Accent 1"/>
    <w:basedOn w:val="1012"/>
    <w:uiPriority w:val="0"/>
    <w:qFormat/>
    <w:tblPr>
      <w:tblLayout w:type="fixed"/>
      <w:tblCellMar>
        <w:left w:w="0" w:type="dxa"/>
        <w:top w:w="0" w:type="dxa"/>
        <w:right w:w="0" w:type="dxa"/>
        <w:bottom w:w="0" w:type="dxa"/>
      </w:tblCellMar>
    </w:tblPr>
  </w:style>
  <w:style w:type="table" w:styleId="1111" w:customStyle="1">
    <w:name w:val="Grid Table 6 Colorful - Accent 2"/>
    <w:basedOn w:val="1012"/>
    <w:uiPriority w:val="0"/>
    <w:qFormat/>
    <w:tblPr>
      <w:tblLayout w:type="fixed"/>
      <w:tblCellMar>
        <w:left w:w="0" w:type="dxa"/>
        <w:top w:w="0" w:type="dxa"/>
        <w:right w:w="0" w:type="dxa"/>
        <w:bottom w:w="0" w:type="dxa"/>
      </w:tblCellMar>
    </w:tblPr>
  </w:style>
  <w:style w:type="table" w:styleId="1112" w:customStyle="1">
    <w:name w:val="Grid Table 6 Colorful - Accent 3"/>
    <w:basedOn w:val="1012"/>
    <w:uiPriority w:val="0"/>
    <w:qFormat/>
    <w:tblPr>
      <w:tblLayout w:type="fixed"/>
      <w:tblCellMar>
        <w:left w:w="0" w:type="dxa"/>
        <w:top w:w="0" w:type="dxa"/>
        <w:right w:w="0" w:type="dxa"/>
        <w:bottom w:w="0" w:type="dxa"/>
      </w:tblCellMar>
    </w:tblPr>
  </w:style>
  <w:style w:type="table" w:styleId="1113" w:customStyle="1">
    <w:name w:val="Grid Table 6 Colorful - Accent 4"/>
    <w:basedOn w:val="1012"/>
    <w:uiPriority w:val="0"/>
    <w:qFormat/>
    <w:tblPr>
      <w:tblLayout w:type="fixed"/>
      <w:tblCellMar>
        <w:left w:w="0" w:type="dxa"/>
        <w:top w:w="0" w:type="dxa"/>
        <w:right w:w="0" w:type="dxa"/>
        <w:bottom w:w="0" w:type="dxa"/>
      </w:tblCellMar>
    </w:tblPr>
  </w:style>
  <w:style w:type="table" w:styleId="1114" w:customStyle="1">
    <w:name w:val="Grid Table 6 Colorful - Accent 5"/>
    <w:basedOn w:val="1012"/>
    <w:uiPriority w:val="0"/>
    <w:qFormat/>
    <w:tblPr>
      <w:tblLayout w:type="fixed"/>
      <w:tblCellMar>
        <w:left w:w="0" w:type="dxa"/>
        <w:top w:w="0" w:type="dxa"/>
        <w:right w:w="0" w:type="dxa"/>
        <w:bottom w:w="0" w:type="dxa"/>
      </w:tblCellMar>
    </w:tblPr>
  </w:style>
  <w:style w:type="table" w:styleId="1115" w:customStyle="1">
    <w:name w:val="Grid Table 6 Colorful - Accent 6"/>
    <w:basedOn w:val="1012"/>
    <w:uiPriority w:val="0"/>
    <w:qFormat/>
    <w:tblPr>
      <w:tblLayout w:type="fixed"/>
      <w:tblCellMar>
        <w:left w:w="0" w:type="dxa"/>
        <w:top w:w="0" w:type="dxa"/>
        <w:right w:w="0" w:type="dxa"/>
        <w:bottom w:w="0" w:type="dxa"/>
      </w:tblCellMar>
    </w:tblPr>
  </w:style>
  <w:style w:type="table" w:styleId="1116" w:customStyle="1">
    <w:name w:val="网格表 7 彩色1"/>
    <w:basedOn w:val="1012"/>
    <w:uiPriority w:val="0"/>
    <w:qFormat/>
    <w:tblPr>
      <w:tblLayout w:type="fixed"/>
      <w:tblCellMar>
        <w:left w:w="0" w:type="dxa"/>
        <w:top w:w="0" w:type="dxa"/>
        <w:right w:w="0" w:type="dxa"/>
        <w:bottom w:w="0" w:type="dxa"/>
      </w:tblCellMar>
    </w:tblPr>
  </w:style>
  <w:style w:type="table" w:styleId="1117" w:customStyle="1">
    <w:name w:val="Grid Table 7 Colorful - Accent 1"/>
    <w:basedOn w:val="1012"/>
    <w:uiPriority w:val="0"/>
    <w:qFormat/>
    <w:tblPr>
      <w:tblLayout w:type="fixed"/>
      <w:tblCellMar>
        <w:left w:w="0" w:type="dxa"/>
        <w:top w:w="0" w:type="dxa"/>
        <w:right w:w="0" w:type="dxa"/>
        <w:bottom w:w="0" w:type="dxa"/>
      </w:tblCellMar>
    </w:tblPr>
  </w:style>
  <w:style w:type="table" w:styleId="1118" w:customStyle="1">
    <w:name w:val="Grid Table 7 Colorful - Accent 2"/>
    <w:basedOn w:val="1012"/>
    <w:uiPriority w:val="0"/>
    <w:qFormat/>
    <w:tblPr>
      <w:tblLayout w:type="fixed"/>
      <w:tblCellMar>
        <w:left w:w="0" w:type="dxa"/>
        <w:top w:w="0" w:type="dxa"/>
        <w:right w:w="0" w:type="dxa"/>
        <w:bottom w:w="0" w:type="dxa"/>
      </w:tblCellMar>
    </w:tblPr>
  </w:style>
  <w:style w:type="table" w:styleId="1119" w:customStyle="1">
    <w:name w:val="Grid Table 7 Colorful - Accent 3"/>
    <w:basedOn w:val="1012"/>
    <w:uiPriority w:val="0"/>
    <w:qFormat/>
    <w:tblPr>
      <w:tblLayout w:type="fixed"/>
      <w:tblCellMar>
        <w:left w:w="0" w:type="dxa"/>
        <w:top w:w="0" w:type="dxa"/>
        <w:right w:w="0" w:type="dxa"/>
        <w:bottom w:w="0" w:type="dxa"/>
      </w:tblCellMar>
    </w:tblPr>
  </w:style>
  <w:style w:type="table" w:styleId="1120" w:customStyle="1">
    <w:name w:val="Grid Table 7 Colorful - Accent 4"/>
    <w:basedOn w:val="1012"/>
    <w:uiPriority w:val="0"/>
    <w:qFormat/>
    <w:tblPr>
      <w:tblLayout w:type="fixed"/>
      <w:tblCellMar>
        <w:left w:w="0" w:type="dxa"/>
        <w:top w:w="0" w:type="dxa"/>
        <w:right w:w="0" w:type="dxa"/>
        <w:bottom w:w="0" w:type="dxa"/>
      </w:tblCellMar>
    </w:tblPr>
  </w:style>
  <w:style w:type="table" w:styleId="1121" w:customStyle="1">
    <w:name w:val="Grid Table 7 Colorful - Accent 5"/>
    <w:basedOn w:val="1012"/>
    <w:uiPriority w:val="0"/>
    <w:qFormat/>
    <w:tblPr>
      <w:tblLayout w:type="fixed"/>
      <w:tblCellMar>
        <w:left w:w="0" w:type="dxa"/>
        <w:top w:w="0" w:type="dxa"/>
        <w:right w:w="0" w:type="dxa"/>
        <w:bottom w:w="0" w:type="dxa"/>
      </w:tblCellMar>
    </w:tblPr>
  </w:style>
  <w:style w:type="table" w:styleId="1122" w:customStyle="1">
    <w:name w:val="Grid Table 7 Colorful - Accent 6"/>
    <w:basedOn w:val="1012"/>
    <w:uiPriority w:val="0"/>
    <w:qFormat/>
    <w:tblPr>
      <w:tblLayout w:type="fixed"/>
      <w:tblCellMar>
        <w:left w:w="0" w:type="dxa"/>
        <w:top w:w="0" w:type="dxa"/>
        <w:right w:w="0" w:type="dxa"/>
        <w:bottom w:w="0" w:type="dxa"/>
      </w:tblCellMar>
    </w:tblPr>
  </w:style>
  <w:style w:type="table" w:styleId="1123" w:customStyle="1">
    <w:name w:val="清单表 1 浅色1"/>
    <w:basedOn w:val="1012"/>
    <w:uiPriority w:val="0"/>
    <w:qFormat/>
    <w:tblPr>
      <w:tblLayout w:type="fixed"/>
      <w:tblCellMar>
        <w:left w:w="0" w:type="dxa"/>
        <w:top w:w="0" w:type="dxa"/>
        <w:right w:w="0" w:type="dxa"/>
        <w:bottom w:w="0" w:type="dxa"/>
      </w:tblCellMar>
    </w:tblPr>
  </w:style>
  <w:style w:type="table" w:styleId="1124" w:customStyle="1">
    <w:name w:val="List Table 1 Light - Accent 1"/>
    <w:basedOn w:val="1012"/>
    <w:uiPriority w:val="0"/>
    <w:qFormat/>
    <w:tblPr>
      <w:tblLayout w:type="fixed"/>
      <w:tblCellMar>
        <w:left w:w="0" w:type="dxa"/>
        <w:top w:w="0" w:type="dxa"/>
        <w:right w:w="0" w:type="dxa"/>
        <w:bottom w:w="0" w:type="dxa"/>
      </w:tblCellMar>
    </w:tblPr>
  </w:style>
  <w:style w:type="table" w:styleId="1125" w:customStyle="1">
    <w:name w:val="List Table 1 Light - Accent 2"/>
    <w:basedOn w:val="1012"/>
    <w:uiPriority w:val="0"/>
    <w:qFormat/>
    <w:tblPr>
      <w:tblLayout w:type="fixed"/>
      <w:tblCellMar>
        <w:left w:w="0" w:type="dxa"/>
        <w:top w:w="0" w:type="dxa"/>
        <w:right w:w="0" w:type="dxa"/>
        <w:bottom w:w="0" w:type="dxa"/>
      </w:tblCellMar>
    </w:tblPr>
  </w:style>
  <w:style w:type="table" w:styleId="1126" w:customStyle="1">
    <w:name w:val="List Table 1 Light - Accent 3"/>
    <w:basedOn w:val="1012"/>
    <w:uiPriority w:val="0"/>
    <w:qFormat/>
    <w:tblPr>
      <w:tblLayout w:type="fixed"/>
      <w:tblCellMar>
        <w:left w:w="0" w:type="dxa"/>
        <w:top w:w="0" w:type="dxa"/>
        <w:right w:w="0" w:type="dxa"/>
        <w:bottom w:w="0" w:type="dxa"/>
      </w:tblCellMar>
    </w:tblPr>
  </w:style>
  <w:style w:type="table" w:styleId="1127" w:customStyle="1">
    <w:name w:val="List Table 1 Light - Accent 4"/>
    <w:basedOn w:val="1012"/>
    <w:uiPriority w:val="0"/>
    <w:qFormat/>
    <w:tblPr>
      <w:tblLayout w:type="fixed"/>
      <w:tblCellMar>
        <w:left w:w="0" w:type="dxa"/>
        <w:top w:w="0" w:type="dxa"/>
        <w:right w:w="0" w:type="dxa"/>
        <w:bottom w:w="0" w:type="dxa"/>
      </w:tblCellMar>
    </w:tblPr>
  </w:style>
  <w:style w:type="table" w:styleId="1128" w:customStyle="1">
    <w:name w:val="List Table 1 Light - Accent 5"/>
    <w:basedOn w:val="1012"/>
    <w:uiPriority w:val="0"/>
    <w:qFormat/>
    <w:tblPr>
      <w:tblLayout w:type="fixed"/>
      <w:tblCellMar>
        <w:left w:w="0" w:type="dxa"/>
        <w:top w:w="0" w:type="dxa"/>
        <w:right w:w="0" w:type="dxa"/>
        <w:bottom w:w="0" w:type="dxa"/>
      </w:tblCellMar>
    </w:tblPr>
  </w:style>
  <w:style w:type="table" w:styleId="1129" w:customStyle="1">
    <w:name w:val="List Table 1 Light - Accent 6"/>
    <w:basedOn w:val="1012"/>
    <w:uiPriority w:val="0"/>
    <w:qFormat/>
    <w:tblPr>
      <w:tblLayout w:type="fixed"/>
      <w:tblCellMar>
        <w:left w:w="0" w:type="dxa"/>
        <w:top w:w="0" w:type="dxa"/>
        <w:right w:w="0" w:type="dxa"/>
        <w:bottom w:w="0" w:type="dxa"/>
      </w:tblCellMar>
    </w:tblPr>
  </w:style>
  <w:style w:type="table" w:styleId="1130" w:customStyle="1">
    <w:name w:val="清单表 21"/>
    <w:basedOn w:val="1012"/>
    <w:uiPriority w:val="0"/>
    <w:qFormat/>
    <w:tblPr>
      <w:tblLayout w:type="fixed"/>
      <w:tblCellMar>
        <w:left w:w="0" w:type="dxa"/>
        <w:top w:w="0" w:type="dxa"/>
        <w:right w:w="0" w:type="dxa"/>
        <w:bottom w:w="0" w:type="dxa"/>
      </w:tblCellMar>
    </w:tblPr>
  </w:style>
  <w:style w:type="table" w:styleId="1131" w:customStyle="1">
    <w:name w:val="List Table 2 - Accent 1"/>
    <w:basedOn w:val="1012"/>
    <w:uiPriority w:val="0"/>
    <w:qFormat/>
    <w:tblPr>
      <w:tblLayout w:type="fixed"/>
      <w:tblCellMar>
        <w:left w:w="0" w:type="dxa"/>
        <w:top w:w="0" w:type="dxa"/>
        <w:right w:w="0" w:type="dxa"/>
        <w:bottom w:w="0" w:type="dxa"/>
      </w:tblCellMar>
    </w:tblPr>
  </w:style>
  <w:style w:type="table" w:styleId="1132" w:customStyle="1">
    <w:name w:val="List Table 2 - Accent 2"/>
    <w:basedOn w:val="1012"/>
    <w:uiPriority w:val="0"/>
    <w:qFormat/>
    <w:tblPr>
      <w:tblLayout w:type="fixed"/>
      <w:tblCellMar>
        <w:left w:w="0" w:type="dxa"/>
        <w:top w:w="0" w:type="dxa"/>
        <w:right w:w="0" w:type="dxa"/>
        <w:bottom w:w="0" w:type="dxa"/>
      </w:tblCellMar>
    </w:tblPr>
  </w:style>
  <w:style w:type="table" w:styleId="1133" w:customStyle="1">
    <w:name w:val="List Table 2 - Accent 3"/>
    <w:basedOn w:val="1012"/>
    <w:uiPriority w:val="0"/>
    <w:qFormat/>
    <w:tblPr>
      <w:tblLayout w:type="fixed"/>
      <w:tblCellMar>
        <w:left w:w="0" w:type="dxa"/>
        <w:top w:w="0" w:type="dxa"/>
        <w:right w:w="0" w:type="dxa"/>
        <w:bottom w:w="0" w:type="dxa"/>
      </w:tblCellMar>
    </w:tblPr>
  </w:style>
  <w:style w:type="table" w:styleId="1134" w:customStyle="1">
    <w:name w:val="List Table 2 - Accent 4"/>
    <w:basedOn w:val="1012"/>
    <w:uiPriority w:val="0"/>
    <w:qFormat/>
    <w:tblPr>
      <w:tblLayout w:type="fixed"/>
      <w:tblCellMar>
        <w:left w:w="0" w:type="dxa"/>
        <w:top w:w="0" w:type="dxa"/>
        <w:right w:w="0" w:type="dxa"/>
        <w:bottom w:w="0" w:type="dxa"/>
      </w:tblCellMar>
    </w:tblPr>
  </w:style>
  <w:style w:type="table" w:styleId="1135" w:customStyle="1">
    <w:name w:val="List Table 2 - Accent 5"/>
    <w:basedOn w:val="1012"/>
    <w:uiPriority w:val="0"/>
    <w:qFormat/>
    <w:tblPr>
      <w:tblLayout w:type="fixed"/>
      <w:tblCellMar>
        <w:left w:w="0" w:type="dxa"/>
        <w:top w:w="0" w:type="dxa"/>
        <w:right w:w="0" w:type="dxa"/>
        <w:bottom w:w="0" w:type="dxa"/>
      </w:tblCellMar>
    </w:tblPr>
  </w:style>
  <w:style w:type="table" w:styleId="1136" w:customStyle="1">
    <w:name w:val="List Table 2 - Accent 6"/>
    <w:basedOn w:val="1012"/>
    <w:uiPriority w:val="0"/>
    <w:qFormat/>
    <w:tblPr>
      <w:tblLayout w:type="fixed"/>
      <w:tblCellMar>
        <w:left w:w="0" w:type="dxa"/>
        <w:top w:w="0" w:type="dxa"/>
        <w:right w:w="0" w:type="dxa"/>
        <w:bottom w:w="0" w:type="dxa"/>
      </w:tblCellMar>
    </w:tblPr>
  </w:style>
  <w:style w:type="table" w:styleId="1137" w:customStyle="1">
    <w:name w:val="清单表 31"/>
    <w:basedOn w:val="1012"/>
    <w:uiPriority w:val="0"/>
    <w:qFormat/>
    <w:tblPr>
      <w:tblLayout w:type="fixed"/>
      <w:tblCellMar>
        <w:left w:w="0" w:type="dxa"/>
        <w:top w:w="0" w:type="dxa"/>
        <w:right w:w="0" w:type="dxa"/>
        <w:bottom w:w="0" w:type="dxa"/>
      </w:tblCellMar>
    </w:tblPr>
  </w:style>
  <w:style w:type="table" w:styleId="1138" w:customStyle="1">
    <w:name w:val="List Table 3 - Accent 1"/>
    <w:basedOn w:val="1012"/>
    <w:uiPriority w:val="0"/>
    <w:qFormat/>
    <w:tblPr>
      <w:tblLayout w:type="fixed"/>
      <w:tblCellMar>
        <w:left w:w="0" w:type="dxa"/>
        <w:top w:w="0" w:type="dxa"/>
        <w:right w:w="0" w:type="dxa"/>
        <w:bottom w:w="0" w:type="dxa"/>
      </w:tblCellMar>
    </w:tblPr>
  </w:style>
  <w:style w:type="table" w:styleId="1139" w:customStyle="1">
    <w:name w:val="List Table 3 - Accent 2"/>
    <w:basedOn w:val="1012"/>
    <w:uiPriority w:val="0"/>
    <w:qFormat/>
    <w:tblPr>
      <w:tblLayout w:type="fixed"/>
      <w:tblCellMar>
        <w:left w:w="0" w:type="dxa"/>
        <w:top w:w="0" w:type="dxa"/>
        <w:right w:w="0" w:type="dxa"/>
        <w:bottom w:w="0" w:type="dxa"/>
      </w:tblCellMar>
    </w:tblPr>
  </w:style>
  <w:style w:type="table" w:styleId="1140" w:customStyle="1">
    <w:name w:val="List Table 3 - Accent 3"/>
    <w:basedOn w:val="1012"/>
    <w:uiPriority w:val="0"/>
    <w:qFormat/>
    <w:tblPr>
      <w:tblLayout w:type="fixed"/>
      <w:tblCellMar>
        <w:left w:w="0" w:type="dxa"/>
        <w:top w:w="0" w:type="dxa"/>
        <w:right w:w="0" w:type="dxa"/>
        <w:bottom w:w="0" w:type="dxa"/>
      </w:tblCellMar>
    </w:tblPr>
  </w:style>
  <w:style w:type="table" w:styleId="1141" w:customStyle="1">
    <w:name w:val="List Table 3 - Accent 4"/>
    <w:basedOn w:val="1012"/>
    <w:uiPriority w:val="0"/>
    <w:qFormat/>
    <w:tblPr>
      <w:tblLayout w:type="fixed"/>
      <w:tblCellMar>
        <w:left w:w="0" w:type="dxa"/>
        <w:top w:w="0" w:type="dxa"/>
        <w:right w:w="0" w:type="dxa"/>
        <w:bottom w:w="0" w:type="dxa"/>
      </w:tblCellMar>
    </w:tblPr>
  </w:style>
  <w:style w:type="table" w:styleId="1142" w:customStyle="1">
    <w:name w:val="List Table 3 - Accent 5"/>
    <w:basedOn w:val="1012"/>
    <w:uiPriority w:val="0"/>
    <w:qFormat/>
    <w:tblPr>
      <w:tblLayout w:type="fixed"/>
      <w:tblCellMar>
        <w:left w:w="0" w:type="dxa"/>
        <w:top w:w="0" w:type="dxa"/>
        <w:right w:w="0" w:type="dxa"/>
        <w:bottom w:w="0" w:type="dxa"/>
      </w:tblCellMar>
    </w:tblPr>
  </w:style>
  <w:style w:type="table" w:styleId="1143" w:customStyle="1">
    <w:name w:val="List Table 3 - Accent 6"/>
    <w:basedOn w:val="1012"/>
    <w:uiPriority w:val="0"/>
    <w:qFormat/>
    <w:tblPr>
      <w:tblLayout w:type="fixed"/>
      <w:tblCellMar>
        <w:left w:w="0" w:type="dxa"/>
        <w:top w:w="0" w:type="dxa"/>
        <w:right w:w="0" w:type="dxa"/>
        <w:bottom w:w="0" w:type="dxa"/>
      </w:tblCellMar>
    </w:tblPr>
  </w:style>
  <w:style w:type="table" w:styleId="1144" w:customStyle="1">
    <w:name w:val="清单表 41"/>
    <w:basedOn w:val="1012"/>
    <w:uiPriority w:val="0"/>
    <w:qFormat/>
    <w:tblPr>
      <w:tblLayout w:type="fixed"/>
      <w:tblCellMar>
        <w:left w:w="0" w:type="dxa"/>
        <w:top w:w="0" w:type="dxa"/>
        <w:right w:w="0" w:type="dxa"/>
        <w:bottom w:w="0" w:type="dxa"/>
      </w:tblCellMar>
    </w:tblPr>
  </w:style>
  <w:style w:type="table" w:styleId="1145" w:customStyle="1">
    <w:name w:val="List Table 4 - Accent 1"/>
    <w:basedOn w:val="1012"/>
    <w:uiPriority w:val="0"/>
    <w:qFormat/>
    <w:tblPr>
      <w:tblLayout w:type="fixed"/>
      <w:tblCellMar>
        <w:left w:w="0" w:type="dxa"/>
        <w:top w:w="0" w:type="dxa"/>
        <w:right w:w="0" w:type="dxa"/>
        <w:bottom w:w="0" w:type="dxa"/>
      </w:tblCellMar>
    </w:tblPr>
  </w:style>
  <w:style w:type="table" w:styleId="1146" w:customStyle="1">
    <w:name w:val="List Table 4 - Accent 2"/>
    <w:basedOn w:val="1012"/>
    <w:uiPriority w:val="0"/>
    <w:qFormat/>
    <w:tblPr>
      <w:tblLayout w:type="fixed"/>
      <w:tblCellMar>
        <w:left w:w="0" w:type="dxa"/>
        <w:top w:w="0" w:type="dxa"/>
        <w:right w:w="0" w:type="dxa"/>
        <w:bottom w:w="0" w:type="dxa"/>
      </w:tblCellMar>
    </w:tblPr>
  </w:style>
  <w:style w:type="table" w:styleId="1147" w:customStyle="1">
    <w:name w:val="List Table 4 - Accent 3"/>
    <w:basedOn w:val="1012"/>
    <w:uiPriority w:val="0"/>
    <w:qFormat/>
    <w:tblPr>
      <w:tblLayout w:type="fixed"/>
      <w:tblCellMar>
        <w:left w:w="0" w:type="dxa"/>
        <w:top w:w="0" w:type="dxa"/>
        <w:right w:w="0" w:type="dxa"/>
        <w:bottom w:w="0" w:type="dxa"/>
      </w:tblCellMar>
    </w:tblPr>
  </w:style>
  <w:style w:type="table" w:styleId="1148" w:customStyle="1">
    <w:name w:val="List Table 4 - Accent 4"/>
    <w:basedOn w:val="1012"/>
    <w:uiPriority w:val="0"/>
    <w:qFormat/>
    <w:tblPr>
      <w:tblLayout w:type="fixed"/>
      <w:tblCellMar>
        <w:left w:w="0" w:type="dxa"/>
        <w:top w:w="0" w:type="dxa"/>
        <w:right w:w="0" w:type="dxa"/>
        <w:bottom w:w="0" w:type="dxa"/>
      </w:tblCellMar>
    </w:tblPr>
  </w:style>
  <w:style w:type="table" w:styleId="1149" w:customStyle="1">
    <w:name w:val="List Table 4 - Accent 5"/>
    <w:basedOn w:val="1012"/>
    <w:uiPriority w:val="0"/>
    <w:qFormat/>
    <w:tblPr>
      <w:tblLayout w:type="fixed"/>
      <w:tblCellMar>
        <w:left w:w="0" w:type="dxa"/>
        <w:top w:w="0" w:type="dxa"/>
        <w:right w:w="0" w:type="dxa"/>
        <w:bottom w:w="0" w:type="dxa"/>
      </w:tblCellMar>
    </w:tblPr>
  </w:style>
  <w:style w:type="table" w:styleId="1150" w:customStyle="1">
    <w:name w:val="List Table 4 - Accent 6"/>
    <w:basedOn w:val="1012"/>
    <w:uiPriority w:val="0"/>
    <w:qFormat/>
    <w:tblPr>
      <w:tblLayout w:type="fixed"/>
      <w:tblCellMar>
        <w:left w:w="0" w:type="dxa"/>
        <w:top w:w="0" w:type="dxa"/>
        <w:right w:w="0" w:type="dxa"/>
        <w:bottom w:w="0" w:type="dxa"/>
      </w:tblCellMar>
    </w:tblPr>
  </w:style>
  <w:style w:type="table" w:styleId="1151" w:customStyle="1">
    <w:name w:val="清单表 5 深色1"/>
    <w:basedOn w:val="1012"/>
    <w:uiPriority w:val="0"/>
    <w:qFormat/>
    <w:tblPr>
      <w:tblLayout w:type="fixed"/>
      <w:tblCellMar>
        <w:left w:w="0" w:type="dxa"/>
        <w:top w:w="0" w:type="dxa"/>
        <w:right w:w="0" w:type="dxa"/>
        <w:bottom w:w="0" w:type="dxa"/>
      </w:tblCellMar>
    </w:tblPr>
  </w:style>
  <w:style w:type="table" w:styleId="1152" w:customStyle="1">
    <w:name w:val="List Table 5 Dark - Accent 1"/>
    <w:basedOn w:val="1012"/>
    <w:uiPriority w:val="0"/>
    <w:qFormat/>
    <w:tblPr>
      <w:tblLayout w:type="fixed"/>
      <w:tblCellMar>
        <w:left w:w="0" w:type="dxa"/>
        <w:top w:w="0" w:type="dxa"/>
        <w:right w:w="0" w:type="dxa"/>
        <w:bottom w:w="0" w:type="dxa"/>
      </w:tblCellMar>
    </w:tblPr>
  </w:style>
  <w:style w:type="table" w:styleId="1153" w:customStyle="1">
    <w:name w:val="List Table 5 Dark - Accent 2"/>
    <w:basedOn w:val="1012"/>
    <w:uiPriority w:val="0"/>
    <w:qFormat/>
    <w:tblPr>
      <w:tblLayout w:type="fixed"/>
      <w:tblCellMar>
        <w:left w:w="0" w:type="dxa"/>
        <w:top w:w="0" w:type="dxa"/>
        <w:right w:w="0" w:type="dxa"/>
        <w:bottom w:w="0" w:type="dxa"/>
      </w:tblCellMar>
    </w:tblPr>
  </w:style>
  <w:style w:type="table" w:styleId="1154" w:customStyle="1">
    <w:name w:val="List Table 5 Dark - Accent 3"/>
    <w:basedOn w:val="1012"/>
    <w:uiPriority w:val="0"/>
    <w:qFormat/>
    <w:tblPr>
      <w:tblLayout w:type="fixed"/>
      <w:tblCellMar>
        <w:left w:w="0" w:type="dxa"/>
        <w:top w:w="0" w:type="dxa"/>
        <w:right w:w="0" w:type="dxa"/>
        <w:bottom w:w="0" w:type="dxa"/>
      </w:tblCellMar>
    </w:tblPr>
  </w:style>
  <w:style w:type="table" w:styleId="1155" w:customStyle="1">
    <w:name w:val="List Table 5 Dark - Accent 4"/>
    <w:basedOn w:val="1012"/>
    <w:uiPriority w:val="0"/>
    <w:qFormat/>
    <w:tblPr>
      <w:tblLayout w:type="fixed"/>
      <w:tblCellMar>
        <w:left w:w="0" w:type="dxa"/>
        <w:top w:w="0" w:type="dxa"/>
        <w:right w:w="0" w:type="dxa"/>
        <w:bottom w:w="0" w:type="dxa"/>
      </w:tblCellMar>
    </w:tblPr>
  </w:style>
  <w:style w:type="table" w:styleId="1156" w:customStyle="1">
    <w:name w:val="List Table 5 Dark - Accent 5"/>
    <w:basedOn w:val="1012"/>
    <w:uiPriority w:val="0"/>
    <w:qFormat/>
    <w:tblPr>
      <w:tblLayout w:type="fixed"/>
      <w:tblCellMar>
        <w:left w:w="0" w:type="dxa"/>
        <w:top w:w="0" w:type="dxa"/>
        <w:right w:w="0" w:type="dxa"/>
        <w:bottom w:w="0" w:type="dxa"/>
      </w:tblCellMar>
    </w:tblPr>
  </w:style>
  <w:style w:type="table" w:styleId="1157" w:customStyle="1">
    <w:name w:val="List Table 5 Dark - Accent 6"/>
    <w:basedOn w:val="1012"/>
    <w:uiPriority w:val="0"/>
    <w:qFormat/>
    <w:tblPr>
      <w:tblLayout w:type="fixed"/>
      <w:tblCellMar>
        <w:left w:w="0" w:type="dxa"/>
        <w:top w:w="0" w:type="dxa"/>
        <w:right w:w="0" w:type="dxa"/>
        <w:bottom w:w="0" w:type="dxa"/>
      </w:tblCellMar>
    </w:tblPr>
  </w:style>
  <w:style w:type="table" w:styleId="1158" w:customStyle="1">
    <w:name w:val="清单表 6 彩色1"/>
    <w:basedOn w:val="1012"/>
    <w:uiPriority w:val="0"/>
    <w:qFormat/>
    <w:tblPr>
      <w:tblLayout w:type="fixed"/>
      <w:tblCellMar>
        <w:left w:w="0" w:type="dxa"/>
        <w:top w:w="0" w:type="dxa"/>
        <w:right w:w="0" w:type="dxa"/>
        <w:bottom w:w="0" w:type="dxa"/>
      </w:tblCellMar>
    </w:tblPr>
  </w:style>
  <w:style w:type="table" w:styleId="1159" w:customStyle="1">
    <w:name w:val="List Table 6 Colorful - Accent 1"/>
    <w:basedOn w:val="1012"/>
    <w:uiPriority w:val="0"/>
    <w:qFormat/>
    <w:tblPr>
      <w:tblLayout w:type="fixed"/>
      <w:tblCellMar>
        <w:left w:w="0" w:type="dxa"/>
        <w:top w:w="0" w:type="dxa"/>
        <w:right w:w="0" w:type="dxa"/>
        <w:bottom w:w="0" w:type="dxa"/>
      </w:tblCellMar>
    </w:tblPr>
  </w:style>
  <w:style w:type="table" w:styleId="1160" w:customStyle="1">
    <w:name w:val="List Table 6 Colorful - Accent 2"/>
    <w:basedOn w:val="1012"/>
    <w:uiPriority w:val="0"/>
    <w:qFormat/>
    <w:tblPr>
      <w:tblLayout w:type="fixed"/>
      <w:tblCellMar>
        <w:left w:w="0" w:type="dxa"/>
        <w:top w:w="0" w:type="dxa"/>
        <w:right w:w="0" w:type="dxa"/>
        <w:bottom w:w="0" w:type="dxa"/>
      </w:tblCellMar>
    </w:tblPr>
  </w:style>
  <w:style w:type="table" w:styleId="1161" w:customStyle="1">
    <w:name w:val="List Table 6 Colorful - Accent 3"/>
    <w:basedOn w:val="1012"/>
    <w:uiPriority w:val="0"/>
    <w:qFormat/>
    <w:tblPr>
      <w:tblLayout w:type="fixed"/>
      <w:tblCellMar>
        <w:left w:w="0" w:type="dxa"/>
        <w:top w:w="0" w:type="dxa"/>
        <w:right w:w="0" w:type="dxa"/>
        <w:bottom w:w="0" w:type="dxa"/>
      </w:tblCellMar>
    </w:tblPr>
  </w:style>
  <w:style w:type="table" w:styleId="1162" w:customStyle="1">
    <w:name w:val="List Table 6 Colorful - Accent 4"/>
    <w:basedOn w:val="1012"/>
    <w:uiPriority w:val="0"/>
    <w:qFormat/>
    <w:tblPr>
      <w:tblLayout w:type="fixed"/>
      <w:tblCellMar>
        <w:left w:w="0" w:type="dxa"/>
        <w:top w:w="0" w:type="dxa"/>
        <w:right w:w="0" w:type="dxa"/>
        <w:bottom w:w="0" w:type="dxa"/>
      </w:tblCellMar>
    </w:tblPr>
  </w:style>
  <w:style w:type="table" w:styleId="1163" w:customStyle="1">
    <w:name w:val="List Table 6 Colorful - Accent 5"/>
    <w:basedOn w:val="1012"/>
    <w:uiPriority w:val="0"/>
    <w:qFormat/>
    <w:tblPr>
      <w:tblLayout w:type="fixed"/>
      <w:tblCellMar>
        <w:left w:w="0" w:type="dxa"/>
        <w:top w:w="0" w:type="dxa"/>
        <w:right w:w="0" w:type="dxa"/>
        <w:bottom w:w="0" w:type="dxa"/>
      </w:tblCellMar>
    </w:tblPr>
  </w:style>
  <w:style w:type="table" w:styleId="1164" w:customStyle="1">
    <w:name w:val="List Table 6 Colorful - Accent 6"/>
    <w:basedOn w:val="1012"/>
    <w:uiPriority w:val="0"/>
    <w:qFormat/>
    <w:tblPr>
      <w:tblLayout w:type="fixed"/>
      <w:tblCellMar>
        <w:left w:w="0" w:type="dxa"/>
        <w:top w:w="0" w:type="dxa"/>
        <w:right w:w="0" w:type="dxa"/>
        <w:bottom w:w="0" w:type="dxa"/>
      </w:tblCellMar>
    </w:tblPr>
  </w:style>
  <w:style w:type="table" w:styleId="1165" w:customStyle="1">
    <w:name w:val="清单表 7 彩色1"/>
    <w:basedOn w:val="1012"/>
    <w:uiPriority w:val="0"/>
    <w:qFormat/>
    <w:tblPr>
      <w:tblLayout w:type="fixed"/>
      <w:tblCellMar>
        <w:left w:w="0" w:type="dxa"/>
        <w:top w:w="0" w:type="dxa"/>
        <w:right w:w="0" w:type="dxa"/>
        <w:bottom w:w="0" w:type="dxa"/>
      </w:tblCellMar>
    </w:tblPr>
  </w:style>
  <w:style w:type="table" w:styleId="1166" w:customStyle="1">
    <w:name w:val="List Table 7 Colorful - Accent 1"/>
    <w:basedOn w:val="1012"/>
    <w:uiPriority w:val="0"/>
    <w:qFormat/>
    <w:tblPr>
      <w:tblLayout w:type="fixed"/>
      <w:tblCellMar>
        <w:left w:w="0" w:type="dxa"/>
        <w:top w:w="0" w:type="dxa"/>
        <w:right w:w="0" w:type="dxa"/>
        <w:bottom w:w="0" w:type="dxa"/>
      </w:tblCellMar>
    </w:tblPr>
  </w:style>
  <w:style w:type="table" w:styleId="1167" w:customStyle="1">
    <w:name w:val="List Table 7 Colorful - Accent 2"/>
    <w:basedOn w:val="1012"/>
    <w:uiPriority w:val="0"/>
    <w:qFormat/>
    <w:tblPr>
      <w:tblLayout w:type="fixed"/>
      <w:tblCellMar>
        <w:left w:w="0" w:type="dxa"/>
        <w:top w:w="0" w:type="dxa"/>
        <w:right w:w="0" w:type="dxa"/>
        <w:bottom w:w="0" w:type="dxa"/>
      </w:tblCellMar>
    </w:tblPr>
  </w:style>
  <w:style w:type="table" w:styleId="1168" w:customStyle="1">
    <w:name w:val="List Table 7 Colorful - Accent 3"/>
    <w:basedOn w:val="1012"/>
    <w:uiPriority w:val="0"/>
    <w:qFormat/>
    <w:tblPr>
      <w:tblLayout w:type="fixed"/>
      <w:tblCellMar>
        <w:left w:w="0" w:type="dxa"/>
        <w:top w:w="0" w:type="dxa"/>
        <w:right w:w="0" w:type="dxa"/>
        <w:bottom w:w="0" w:type="dxa"/>
      </w:tblCellMar>
    </w:tblPr>
  </w:style>
  <w:style w:type="table" w:styleId="1169" w:customStyle="1">
    <w:name w:val="List Table 7 Colorful - Accent 4"/>
    <w:basedOn w:val="1012"/>
    <w:uiPriority w:val="0"/>
    <w:qFormat/>
    <w:tblPr>
      <w:tblLayout w:type="fixed"/>
      <w:tblCellMar>
        <w:left w:w="0" w:type="dxa"/>
        <w:top w:w="0" w:type="dxa"/>
        <w:right w:w="0" w:type="dxa"/>
        <w:bottom w:w="0" w:type="dxa"/>
      </w:tblCellMar>
    </w:tblPr>
  </w:style>
  <w:style w:type="table" w:styleId="1170" w:customStyle="1">
    <w:name w:val="List Table 7 Colorful - Accent 5"/>
    <w:basedOn w:val="1012"/>
    <w:uiPriority w:val="0"/>
    <w:qFormat/>
    <w:tblPr>
      <w:tblLayout w:type="fixed"/>
      <w:tblCellMar>
        <w:left w:w="0" w:type="dxa"/>
        <w:top w:w="0" w:type="dxa"/>
        <w:right w:w="0" w:type="dxa"/>
        <w:bottom w:w="0" w:type="dxa"/>
      </w:tblCellMar>
    </w:tblPr>
  </w:style>
  <w:style w:type="table" w:styleId="1171" w:customStyle="1">
    <w:name w:val="List Table 7 Colorful - Accent 6"/>
    <w:basedOn w:val="1012"/>
    <w:uiPriority w:val="0"/>
    <w:qFormat/>
    <w:tblPr>
      <w:tblLayout w:type="fixed"/>
      <w:tblCellMar>
        <w:left w:w="0" w:type="dxa"/>
        <w:top w:w="0" w:type="dxa"/>
        <w:right w:w="0" w:type="dxa"/>
        <w:bottom w:w="0" w:type="dxa"/>
      </w:tblCellMar>
    </w:tblPr>
  </w:style>
  <w:style w:type="table" w:styleId="1172" w:customStyle="1">
    <w:name w:val="Lined - Accent"/>
    <w:basedOn w:val="1012"/>
    <w:uiPriority w:val="0"/>
    <w:qFormat/>
    <w:rPr>
      <w:color w:val="404040"/>
    </w:rPr>
    <w:tblPr>
      <w:tblLayout w:type="fixed"/>
      <w:tblCellMar>
        <w:left w:w="0" w:type="dxa"/>
        <w:top w:w="0" w:type="dxa"/>
        <w:right w:w="0" w:type="dxa"/>
        <w:bottom w:w="0" w:type="dxa"/>
      </w:tblCellMar>
    </w:tblPr>
  </w:style>
  <w:style w:type="table" w:styleId="1173" w:customStyle="1">
    <w:name w:val="Lined - Accent 1"/>
    <w:basedOn w:val="1012"/>
    <w:uiPriority w:val="0"/>
    <w:qFormat/>
    <w:rPr>
      <w:color w:val="404040"/>
    </w:rPr>
    <w:tblPr>
      <w:tblLayout w:type="fixed"/>
      <w:tblCellMar>
        <w:left w:w="0" w:type="dxa"/>
        <w:top w:w="0" w:type="dxa"/>
        <w:right w:w="0" w:type="dxa"/>
        <w:bottom w:w="0" w:type="dxa"/>
      </w:tblCellMar>
    </w:tblPr>
  </w:style>
  <w:style w:type="table" w:styleId="1174" w:customStyle="1">
    <w:name w:val="Lined - Accent 2"/>
    <w:basedOn w:val="1012"/>
    <w:uiPriority w:val="0"/>
    <w:qFormat/>
    <w:rPr>
      <w:color w:val="404040"/>
    </w:rPr>
    <w:tblPr>
      <w:tblLayout w:type="fixed"/>
      <w:tblCellMar>
        <w:left w:w="0" w:type="dxa"/>
        <w:top w:w="0" w:type="dxa"/>
        <w:right w:w="0" w:type="dxa"/>
        <w:bottom w:w="0" w:type="dxa"/>
      </w:tblCellMar>
    </w:tblPr>
  </w:style>
  <w:style w:type="table" w:styleId="1175" w:customStyle="1">
    <w:name w:val="Lined - Accent 3"/>
    <w:basedOn w:val="1012"/>
    <w:uiPriority w:val="0"/>
    <w:qFormat/>
    <w:rPr>
      <w:color w:val="404040"/>
    </w:rPr>
    <w:tblPr>
      <w:tblLayout w:type="fixed"/>
      <w:tblCellMar>
        <w:left w:w="0" w:type="dxa"/>
        <w:top w:w="0" w:type="dxa"/>
        <w:right w:w="0" w:type="dxa"/>
        <w:bottom w:w="0" w:type="dxa"/>
      </w:tblCellMar>
    </w:tblPr>
  </w:style>
  <w:style w:type="table" w:styleId="1176" w:customStyle="1">
    <w:name w:val="Lined - Accent 4"/>
    <w:basedOn w:val="1012"/>
    <w:uiPriority w:val="0"/>
    <w:qFormat/>
    <w:rPr>
      <w:color w:val="404040"/>
    </w:rPr>
    <w:tblPr>
      <w:tblLayout w:type="fixed"/>
      <w:tblCellMar>
        <w:left w:w="0" w:type="dxa"/>
        <w:top w:w="0" w:type="dxa"/>
        <w:right w:w="0" w:type="dxa"/>
        <w:bottom w:w="0" w:type="dxa"/>
      </w:tblCellMar>
    </w:tblPr>
  </w:style>
  <w:style w:type="table" w:styleId="1177" w:customStyle="1">
    <w:name w:val="Lined - Accent 5"/>
    <w:basedOn w:val="1012"/>
    <w:uiPriority w:val="0"/>
    <w:qFormat/>
    <w:rPr>
      <w:color w:val="404040"/>
    </w:rPr>
    <w:tblPr>
      <w:tblLayout w:type="fixed"/>
      <w:tblCellMar>
        <w:left w:w="0" w:type="dxa"/>
        <w:top w:w="0" w:type="dxa"/>
        <w:right w:w="0" w:type="dxa"/>
        <w:bottom w:w="0" w:type="dxa"/>
      </w:tblCellMar>
    </w:tblPr>
  </w:style>
  <w:style w:type="table" w:styleId="1178" w:customStyle="1">
    <w:name w:val="Lined - Accent 6"/>
    <w:basedOn w:val="1012"/>
    <w:uiPriority w:val="0"/>
    <w:qFormat/>
    <w:rPr>
      <w:color w:val="404040"/>
    </w:rPr>
    <w:tblPr>
      <w:tblLayout w:type="fixed"/>
      <w:tblCellMar>
        <w:left w:w="0" w:type="dxa"/>
        <w:top w:w="0" w:type="dxa"/>
        <w:right w:w="0" w:type="dxa"/>
        <w:bottom w:w="0" w:type="dxa"/>
      </w:tblCellMar>
    </w:tblPr>
  </w:style>
  <w:style w:type="table" w:styleId="1179" w:customStyle="1">
    <w:name w:val="Bordered &amp; Lined - Accent"/>
    <w:basedOn w:val="1012"/>
    <w:uiPriority w:val="0"/>
    <w:qFormat/>
    <w:rPr>
      <w:color w:val="404040"/>
    </w:rPr>
    <w:tblPr>
      <w:tblLayout w:type="fixed"/>
      <w:tblCellMar>
        <w:left w:w="0" w:type="dxa"/>
        <w:top w:w="0" w:type="dxa"/>
        <w:right w:w="0" w:type="dxa"/>
        <w:bottom w:w="0" w:type="dxa"/>
      </w:tblCellMar>
    </w:tblPr>
  </w:style>
  <w:style w:type="table" w:styleId="1180" w:customStyle="1">
    <w:name w:val="Bordered &amp; Lined - Accent 1"/>
    <w:basedOn w:val="1012"/>
    <w:uiPriority w:val="0"/>
    <w:qFormat/>
    <w:rPr>
      <w:color w:val="404040"/>
    </w:rPr>
    <w:tblPr>
      <w:tblLayout w:type="fixed"/>
      <w:tblCellMar>
        <w:left w:w="0" w:type="dxa"/>
        <w:top w:w="0" w:type="dxa"/>
        <w:right w:w="0" w:type="dxa"/>
        <w:bottom w:w="0" w:type="dxa"/>
      </w:tblCellMar>
    </w:tblPr>
  </w:style>
  <w:style w:type="table" w:styleId="1181" w:customStyle="1">
    <w:name w:val="Bordered &amp; Lined - Accent 2"/>
    <w:basedOn w:val="1012"/>
    <w:uiPriority w:val="0"/>
    <w:qFormat/>
    <w:rPr>
      <w:color w:val="404040"/>
    </w:rPr>
    <w:tblPr>
      <w:tblLayout w:type="fixed"/>
      <w:tblCellMar>
        <w:left w:w="0" w:type="dxa"/>
        <w:top w:w="0" w:type="dxa"/>
        <w:right w:w="0" w:type="dxa"/>
        <w:bottom w:w="0" w:type="dxa"/>
      </w:tblCellMar>
    </w:tblPr>
  </w:style>
  <w:style w:type="table" w:styleId="1182" w:customStyle="1">
    <w:name w:val="Bordered &amp; Lined - Accent 3"/>
    <w:basedOn w:val="1012"/>
    <w:uiPriority w:val="0"/>
    <w:qFormat/>
    <w:rPr>
      <w:color w:val="404040"/>
    </w:rPr>
    <w:tblPr>
      <w:tblLayout w:type="fixed"/>
      <w:tblCellMar>
        <w:left w:w="0" w:type="dxa"/>
        <w:top w:w="0" w:type="dxa"/>
        <w:right w:w="0" w:type="dxa"/>
        <w:bottom w:w="0" w:type="dxa"/>
      </w:tblCellMar>
    </w:tblPr>
  </w:style>
  <w:style w:type="table" w:styleId="1183" w:customStyle="1">
    <w:name w:val="Bordered &amp; Lined - Accent 4"/>
    <w:basedOn w:val="1012"/>
    <w:uiPriority w:val="0"/>
    <w:qFormat/>
    <w:rPr>
      <w:color w:val="404040"/>
    </w:rPr>
    <w:tblPr>
      <w:tblLayout w:type="fixed"/>
      <w:tblCellMar>
        <w:left w:w="0" w:type="dxa"/>
        <w:top w:w="0" w:type="dxa"/>
        <w:right w:w="0" w:type="dxa"/>
        <w:bottom w:w="0" w:type="dxa"/>
      </w:tblCellMar>
    </w:tblPr>
  </w:style>
  <w:style w:type="table" w:styleId="1184" w:customStyle="1">
    <w:name w:val="Bordered &amp; Lined - Accent 5"/>
    <w:basedOn w:val="1012"/>
    <w:uiPriority w:val="0"/>
    <w:qFormat/>
    <w:rPr>
      <w:color w:val="404040"/>
    </w:rPr>
    <w:tblPr>
      <w:tblLayout w:type="fixed"/>
      <w:tblCellMar>
        <w:left w:w="0" w:type="dxa"/>
        <w:top w:w="0" w:type="dxa"/>
        <w:right w:w="0" w:type="dxa"/>
        <w:bottom w:w="0" w:type="dxa"/>
      </w:tblCellMar>
    </w:tblPr>
  </w:style>
  <w:style w:type="table" w:styleId="1185" w:customStyle="1">
    <w:name w:val="Bordered &amp; Lined - Accent 6"/>
    <w:basedOn w:val="1012"/>
    <w:uiPriority w:val="0"/>
    <w:qFormat/>
    <w:rPr>
      <w:color w:val="404040"/>
    </w:rPr>
    <w:tblPr>
      <w:tblLayout w:type="fixed"/>
      <w:tblCellMar>
        <w:left w:w="0" w:type="dxa"/>
        <w:top w:w="0" w:type="dxa"/>
        <w:right w:w="0" w:type="dxa"/>
        <w:bottom w:w="0" w:type="dxa"/>
      </w:tblCellMar>
    </w:tblPr>
  </w:style>
  <w:style w:type="table" w:styleId="1186" w:customStyle="1">
    <w:name w:val="Bordered"/>
    <w:basedOn w:val="1012"/>
    <w:uiPriority w:val="0"/>
    <w:qFormat/>
    <w:tblPr>
      <w:tblLayout w:type="fixed"/>
      <w:tblCellMar>
        <w:left w:w="0" w:type="dxa"/>
        <w:top w:w="0" w:type="dxa"/>
        <w:right w:w="0" w:type="dxa"/>
        <w:bottom w:w="0" w:type="dxa"/>
      </w:tblCellMar>
    </w:tblPr>
  </w:style>
  <w:style w:type="table" w:styleId="1187" w:customStyle="1">
    <w:name w:val="Bordered - Accent 1"/>
    <w:basedOn w:val="1012"/>
    <w:uiPriority w:val="0"/>
    <w:qFormat/>
    <w:tblPr>
      <w:tblLayout w:type="fixed"/>
      <w:tblCellMar>
        <w:left w:w="0" w:type="dxa"/>
        <w:top w:w="0" w:type="dxa"/>
        <w:right w:w="0" w:type="dxa"/>
        <w:bottom w:w="0" w:type="dxa"/>
      </w:tblCellMar>
    </w:tblPr>
  </w:style>
  <w:style w:type="table" w:styleId="1188" w:customStyle="1">
    <w:name w:val="Bordered - Accent 2"/>
    <w:basedOn w:val="1012"/>
    <w:uiPriority w:val="0"/>
    <w:qFormat/>
    <w:tblPr>
      <w:tblLayout w:type="fixed"/>
      <w:tblCellMar>
        <w:left w:w="0" w:type="dxa"/>
        <w:top w:w="0" w:type="dxa"/>
        <w:right w:w="0" w:type="dxa"/>
        <w:bottom w:w="0" w:type="dxa"/>
      </w:tblCellMar>
    </w:tblPr>
  </w:style>
  <w:style w:type="table" w:styleId="1189" w:customStyle="1">
    <w:name w:val="Bordered - Accent 3"/>
    <w:basedOn w:val="1012"/>
    <w:uiPriority w:val="0"/>
    <w:qFormat/>
    <w:tblPr>
      <w:tblLayout w:type="fixed"/>
      <w:tblCellMar>
        <w:left w:w="0" w:type="dxa"/>
        <w:top w:w="0" w:type="dxa"/>
        <w:right w:w="0" w:type="dxa"/>
        <w:bottom w:w="0" w:type="dxa"/>
      </w:tblCellMar>
    </w:tblPr>
  </w:style>
  <w:style w:type="table" w:styleId="1190" w:customStyle="1">
    <w:name w:val="Bordered - Accent 4"/>
    <w:basedOn w:val="1012"/>
    <w:uiPriority w:val="0"/>
    <w:qFormat/>
    <w:tblPr>
      <w:tblLayout w:type="fixed"/>
      <w:tblCellMar>
        <w:left w:w="0" w:type="dxa"/>
        <w:top w:w="0" w:type="dxa"/>
        <w:right w:w="0" w:type="dxa"/>
        <w:bottom w:w="0" w:type="dxa"/>
      </w:tblCellMar>
    </w:tblPr>
  </w:style>
  <w:style w:type="table" w:styleId="1191" w:customStyle="1">
    <w:name w:val="Bordered - Accent 5"/>
    <w:basedOn w:val="1012"/>
    <w:uiPriority w:val="0"/>
    <w:qFormat/>
    <w:tblPr>
      <w:tblLayout w:type="fixed"/>
      <w:tblCellMar>
        <w:left w:w="0" w:type="dxa"/>
        <w:top w:w="0" w:type="dxa"/>
        <w:right w:w="0" w:type="dxa"/>
        <w:bottom w:w="0" w:type="dxa"/>
      </w:tblCellMar>
    </w:tblPr>
  </w:style>
  <w:style w:type="table" w:styleId="1192" w:customStyle="1">
    <w:name w:val="Bordered - Accent 6"/>
    <w:basedOn w:val="1012"/>
    <w:uiPriority w:val="0"/>
    <w:qFormat/>
    <w:tblPr>
      <w:tblLayout w:type="fixed"/>
      <w:tblCellMar>
        <w:left w:w="0" w:type="dxa"/>
        <w:top w:w="0" w:type="dxa"/>
        <w:right w:w="0" w:type="dxa"/>
        <w:bottom w:w="0" w:type="dxa"/>
      </w:tblCellMar>
    </w:tblPr>
  </w:style>
  <w:style w:type="character" w:styleId="1193" w:customStyle="1">
    <w:name w:val="Footnote Text Char"/>
    <w:uiPriority w:val="0"/>
    <w:qFormat/>
    <w:rPr>
      <w:sz w:val="18"/>
    </w:rPr>
  </w:style>
  <w:style w:type="paragraph" w:styleId="1194" w:customStyle="1">
    <w:name w:val="TOC 标题11"/>
    <w:uiPriority w:val="0"/>
    <w:qFormat/>
    <w:rPr>
      <w:rFonts w:ascii="Times New Roman" w:hAnsi="Times New Roman" w:eastAsia="宋体" w:cs="Times New Roman"/>
      <w:lang w:val="en-US" w:eastAsia="zh-CN" w:bidi="ar-SA"/>
    </w:rPr>
  </w:style>
  <w:style w:type="paragraph" w:styleId="1195" w:customStyle="1">
    <w:name w:val="一级条标题"/>
    <w:basedOn w:val="1196"/>
    <w:next w:val="11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6"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97" w:customStyle="1">
    <w:name w:val="段"/>
    <w:basedOn w:val="922"/>
    <w:next w:val="926"/>
    <w:uiPriority w:val="0"/>
    <w:qFormat/>
    <w:pPr>
      <w:ind w:firstLine="200"/>
      <w:widowControl/>
    </w:pPr>
    <w:rPr>
      <w:sz w:val="20"/>
    </w:rPr>
  </w:style>
  <w:style w:type="paragraph" w:styleId="1198" w:customStyle="1">
    <w:name w:val="索引 41"/>
    <w:basedOn w:val="922"/>
    <w:next w:val="922"/>
    <w:uiPriority w:val="0"/>
    <w:qFormat/>
    <w:pPr>
      <w:ind w:left="600"/>
    </w:pPr>
    <w:rPr>
      <w:rFonts w:ascii="Calibri"/>
      <w:sz w:val="22"/>
      <w:szCs w:val="22"/>
    </w:rPr>
  </w:style>
  <w:style w:type="paragraph" w:styleId="1199" w:customStyle="1">
    <w:name w:val="正文文本1"/>
    <w:basedOn w:val="926"/>
    <w:next w:val="1195"/>
    <w:uiPriority w:val="0"/>
    <w:qFormat/>
    <w:pPr>
      <w:spacing w:after="120"/>
    </w:pPr>
    <w:rPr>
      <w:lang w:eastAsia="en-US"/>
    </w:rPr>
  </w:style>
  <w:style w:type="paragraph" w:styleId="1200" w:customStyle="1">
    <w:name w:val="p0"/>
    <w:basedOn w:val="921"/>
    <w:uiPriority w:val="0"/>
    <w:qFormat/>
    <w:pPr>
      <w:widowControl/>
    </w:pPr>
    <w:rPr>
      <w:szCs w:val="21"/>
    </w:rPr>
  </w:style>
  <w:style w:type="paragraph" w:styleId="1201">
    <w:name w:val="List Paragraph"/>
    <w:basedOn w:val="921"/>
    <w:uiPriority w:val="0"/>
    <w:qFormat/>
    <w:pPr>
      <w:ind w:firstLine="420"/>
    </w:pPr>
  </w:style>
  <w:style w:type="paragraph" w:styleId="12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203" w:customStyle="1">
    <w:name w:val="179"/>
    <w:basedOn w:val="921"/>
    <w:uiPriority w:val="0"/>
    <w:qFormat/>
    <w:pPr>
      <w:ind w:firstLine="420"/>
      <w:jc w:val="left"/>
      <w:widowControl/>
    </w:pPr>
    <w:rPr>
      <w:rFonts w:ascii="宋体" w:hAnsi="宋体"/>
      <w:sz w:val="24"/>
    </w:rPr>
  </w:style>
  <w:style w:type="paragraph" w:styleId="120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205" w:customStyle="1">
    <w:name w:val="标准"/>
    <w:basedOn w:val="921"/>
    <w:uiPriority w:val="0"/>
    <w:qFormat/>
    <w:pPr>
      <w:ind w:firstLine="200"/>
      <w:spacing w:line="360" w:lineRule="auto"/>
    </w:pPr>
    <w:rPr>
      <w:sz w:val="20"/>
      <w:szCs w:val="20"/>
    </w:rPr>
  </w:style>
  <w:style w:type="paragraph" w:styleId="1206" w:customStyle="1">
    <w:name w:val="_Style 11"/>
    <w:basedOn w:val="921"/>
    <w:next w:val="1201"/>
    <w:uiPriority w:val="0"/>
    <w:qFormat/>
    <w:pPr>
      <w:ind w:firstLine="420"/>
    </w:pPr>
    <w:rPr>
      <w:color w:val="000000"/>
      <w:szCs w:val="21"/>
    </w:rPr>
  </w:style>
  <w:style w:type="paragraph" w:styleId="1207" w:customStyle="1">
    <w:name w:val="BodyText1I21"/>
    <w:basedOn w:val="921"/>
    <w:uiPriority w:val="0"/>
    <w:qFormat/>
    <w:pPr>
      <w:ind w:firstLine="420"/>
      <w:spacing w:line="360" w:lineRule="auto"/>
      <w:widowControl/>
    </w:pPr>
    <w:rPr>
      <w:rFonts w:ascii="宋体" w:hAnsi="宋体"/>
      <w:sz w:val="20"/>
      <w:szCs w:val="20"/>
    </w:rPr>
  </w:style>
  <w:style w:type="paragraph" w:styleId="1208" w:customStyle="1">
    <w:name w:val="UserStyle_133"/>
    <w:basedOn w:val="921"/>
    <w:uiPriority w:val="0"/>
    <w:qFormat/>
    <w:pPr>
      <w:widowControl/>
    </w:pPr>
    <w:rPr>
      <w:rFonts w:ascii="Tahoma" w:hAnsi="Tahoma"/>
      <w:sz w:val="24"/>
    </w:rPr>
  </w:style>
  <w:style w:type="paragraph" w:styleId="1209" w:customStyle="1">
    <w:name w:val="AnnotationText1"/>
    <w:basedOn w:val="921"/>
    <w:link w:val="1210"/>
    <w:uiPriority w:val="0"/>
    <w:qFormat/>
    <w:pPr>
      <w:jc w:val="left"/>
      <w:widowControl/>
    </w:pPr>
  </w:style>
  <w:style w:type="character" w:styleId="1210" w:customStyle="1">
    <w:name w:val="UserStyle_12"/>
    <w:link w:val="1209"/>
    <w:uiPriority w:val="0"/>
    <w:qFormat/>
    <w:rPr>
      <w:rFonts w:ascii="Times New Roman" w:hAnsi="Times New Roman" w:eastAsia="宋体"/>
      <w:sz w:val="21"/>
      <w:szCs w:val="24"/>
    </w:rPr>
  </w:style>
  <w:style w:type="paragraph" w:styleId="1211"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212" w:customStyle="1">
    <w:name w:val="*正文-表格"/>
    <w:basedOn w:val="921"/>
    <w:uiPriority w:val="0"/>
    <w:qFormat/>
    <w:rPr>
      <w:sz w:val="24"/>
      <w:szCs w:val="20"/>
    </w:rPr>
  </w:style>
  <w:style w:type="paragraph" w:styleId="1213" w:customStyle="1">
    <w:name w:val="Table Paragraph"/>
    <w:basedOn w:val="929"/>
    <w:uiPriority w:val="0"/>
    <w:qFormat/>
    <w:rPr>
      <w:rFonts w:ascii="宋体;SimSun" w:hAnsi="宋体;SimSun"/>
      <w:lang w:val="zh-CN" w:bidi="zh-CN"/>
    </w:rPr>
  </w:style>
  <w:style w:type="paragraph" w:styleId="1214" w:customStyle="1">
    <w:name w:val="正文首行缩进11"/>
    <w:basedOn w:val="931"/>
    <w:uiPriority w:val="0"/>
    <w:qFormat/>
    <w:pPr>
      <w:ind w:firstLine="420"/>
    </w:pPr>
    <w:rPr>
      <w:sz w:val="24"/>
    </w:rPr>
  </w:style>
  <w:style w:type="paragraph" w:styleId="1215" w:customStyle="1">
    <w:name w:val="_HT_正文"/>
    <w:basedOn w:val="926"/>
    <w:uiPriority w:val="0"/>
    <w:qFormat/>
    <w:pPr>
      <w:ind w:firstLine="200"/>
      <w:jc w:val="both"/>
      <w:spacing w:line="360" w:lineRule="auto"/>
    </w:pPr>
    <w:rPr>
      <w:sz w:val="24"/>
    </w:rPr>
  </w:style>
  <w:style w:type="paragraph" w:styleId="1216" w:customStyle="1">
    <w:name w:val="正文 A"/>
    <w:uiPriority w:val="0"/>
    <w:qFormat/>
    <w:pPr>
      <w:jc w:val="both"/>
      <w:widowControl w:val="off"/>
    </w:pPr>
    <w:rPr>
      <w:rFonts w:ascii="Times New Roman" w:hAnsi="Arial Unicode MS" w:eastAsia="Arial Unicode MS" w:cs="Times New Roman"/>
      <w:color w:val="000000"/>
      <w:sz w:val="21"/>
      <w:szCs w:val="21"/>
      <w:lang w:val="en-US" w:eastAsia="zh-CN" w:bidi="ar-SA"/>
    </w:rPr>
  </w:style>
  <w:style w:type="paragraph" w:styleId="1217" w:customStyle="1">
    <w:name w:val="Body text|1"/>
    <w:basedOn w:val="843"/>
    <w:uiPriority w:val="0"/>
    <w:qFormat/>
    <w:pPr>
      <w:ind w:firstLine="400"/>
      <w:spacing w:line="412" w:lineRule="auto"/>
    </w:pPr>
    <w:rPr>
      <w:rFonts w:ascii="宋体" w:hAnsi="宋体"/>
      <w:color w:val="000000"/>
      <w:sz w:val="30"/>
      <w:szCs w:val="30"/>
    </w:rPr>
  </w:style>
  <w:style w:type="paragraph" w:styleId="1218" w:customStyle="1">
    <w:name w:val="msonormal"/>
    <w:basedOn w:val="843"/>
    <w:uiPriority w:val="0"/>
    <w:qFormat/>
    <w:pPr>
      <w:spacing w:before="100" w:beforeAutospacing="1" w:after="100" w:afterAutospacing="1"/>
    </w:pPr>
    <w:rPr>
      <w:rFonts w:ascii="宋体" w:hAnsi="宋体" w:cs="宋体"/>
      <w:sz w:val="24"/>
      <w:szCs w:val="24"/>
    </w:rPr>
  </w:style>
  <w:style w:type="paragraph" w:styleId="1219" w:customStyle="1">
    <w:name w:val="font5"/>
    <w:basedOn w:val="843"/>
    <w:uiPriority w:val="0"/>
    <w:qFormat/>
    <w:pPr>
      <w:spacing w:before="100" w:beforeAutospacing="1" w:after="100" w:afterAutospacing="1"/>
    </w:pPr>
    <w:rPr>
      <w:rFonts w:ascii="宋体" w:hAnsi="宋体" w:cs="宋体"/>
      <w:color w:val="000000"/>
      <w:sz w:val="22"/>
      <w:szCs w:val="22"/>
    </w:rPr>
  </w:style>
  <w:style w:type="paragraph" w:styleId="1220" w:customStyle="1">
    <w:name w:val="font6"/>
    <w:basedOn w:val="843"/>
    <w:uiPriority w:val="0"/>
    <w:qFormat/>
    <w:pPr>
      <w:spacing w:before="100" w:beforeAutospacing="1" w:after="100" w:afterAutospacing="1"/>
    </w:pPr>
    <w:rPr>
      <w:rFonts w:ascii="宋体" w:hAnsi="宋体" w:cs="宋体"/>
      <w:b/>
      <w:bCs/>
      <w:color w:val="000000"/>
      <w:sz w:val="22"/>
      <w:szCs w:val="22"/>
    </w:rPr>
  </w:style>
  <w:style w:type="paragraph" w:styleId="1221" w:customStyle="1">
    <w:name w:val="xl65"/>
    <w:basedOn w:val="84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2" w:customStyle="1">
    <w:name w:val="xl66"/>
    <w:basedOn w:val="843"/>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223" w:customStyle="1">
    <w:name w:val="xl67"/>
    <w:basedOn w:val="843"/>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24" w:customStyle="1">
    <w:name w:val="xl68"/>
    <w:basedOn w:val="843"/>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25" w:customStyle="1">
    <w:name w:val="xl69"/>
    <w:basedOn w:val="843"/>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226" w:customStyle="1">
    <w:name w:val="xl70"/>
    <w:basedOn w:val="843"/>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227" w:customStyle="1">
    <w:name w:val="xl71"/>
    <w:basedOn w:val="84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28" w:customStyle="1">
    <w:name w:val="xl72"/>
    <w:basedOn w:val="84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9" w:customStyle="1">
    <w:name w:val="xl73"/>
    <w:basedOn w:val="843"/>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230" w:customStyle="1">
    <w:name w:val="xl74"/>
    <w:basedOn w:val="843"/>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231" w:customStyle="1">
    <w:name w:val="xl75"/>
    <w:basedOn w:val="843"/>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232" w:customStyle="1">
    <w:name w:val="xl76"/>
    <w:basedOn w:val="843"/>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233" w:customStyle="1">
    <w:name w:val="索引 5111"/>
    <w:basedOn w:val="843"/>
    <w:next w:val="843"/>
    <w:uiPriority w:val="0"/>
    <w:qFormat/>
    <w:pPr>
      <w:ind w:left="798"/>
    </w:pPr>
    <w:rPr>
      <w:rFonts w:ascii="Calibri" w:hAnsi="Calibri"/>
    </w:rPr>
  </w:style>
  <w:style w:type="paragraph" w:styleId="1234" w:customStyle="1">
    <w:name w:val="_Style 2"/>
    <w:basedOn w:val="843"/>
    <w:next w:val="843"/>
    <w:uiPriority w:val="0"/>
    <w:qFormat/>
    <w:pPr>
      <w:ind w:firstLine="420"/>
    </w:p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周亚男</cp:lastModifiedBy>
  <cp:revision>19</cp:revision>
  <dcterms:created xsi:type="dcterms:W3CDTF">2024-07-06T03:15:00Z</dcterms:created>
  <dcterms:modified xsi:type="dcterms:W3CDTF">2026-10-09T07:38:06Z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eyJoZGlkIjoiOWEyMTZjODhmMmJjZTJkMTg3NzRjNjlkZmU1NDllZDkiLCJ1c2VySWQiOiI0MDU5NTI2NzIifQ==</vt:lpwstr>
  </property>
  <property fmtid="{D5CDD505-2E9C-101B-9397-08002B2CF9AE}" pid="4" name="ICV">
    <vt:lpwstr>44D57FD4A9D8422FAF5D1040A398DB75_13</vt:lpwstr>
  </property>
</Properties>
</file>