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053"/>
        <w:rPr>
          <w:rFonts w:hint="eastAsia" w:ascii="宋体" w:hAnsi="宋体" w:eastAsia="宋体" w:cs="宋体"/>
          <w:sz w:val="24"/>
          <w:szCs w:val="24"/>
        </w:rPr>
      </w:pPr>
      <w:r>
        <w:rPr>
          <w:rFonts w:hint="eastAsia" w:ascii="宋体" w:hAnsi="宋体" w:eastAsia="宋体" w:cs="宋体"/>
          <w:sz w:val="24"/>
          <w:szCs w:val="24"/>
        </w:rPr>
      </w:r>
      <w:r/>
    </w:p>
    <w:p>
      <w:pPr>
        <w:pStyle w:val="1053"/>
        <w:jc w:val="center"/>
        <w:spacing w:line="240" w:lineRule="auto"/>
        <w:rPr>
          <w:rFonts w:hint="eastAsia" w:ascii="宋体" w:hAnsi="宋体" w:eastAsia="宋体" w:cs="宋体"/>
          <w:sz w:val="72"/>
          <w:szCs w:val="72"/>
        </w:rPr>
      </w:pPr>
      <w:r/>
      <w:bookmarkStart w:id="0" w:name="OLE_LINK1"/>
      <w:r>
        <w:rPr>
          <w:rFonts w:hint="eastAsia" w:ascii="宋体" w:hAnsi="宋体" w:eastAsia="宋体" w:cs="宋体"/>
          <w:sz w:val="60"/>
          <w:szCs w:val="21"/>
        </w:rPr>
        <w:t xml:space="preserve">江苏省计量科学研究院（江苏省能源计量数据中心）</w:t>
      </w:r>
      <w:r>
        <w:rPr>
          <w:rFonts w:hint="eastAsia" w:ascii="宋体" w:hAnsi="宋体" w:eastAsia="宋体" w:cs="宋体"/>
          <w:sz w:val="72"/>
          <w:szCs w:val="72"/>
        </w:rPr>
      </w:r>
      <w:r/>
    </w:p>
    <w:p>
      <w:pPr>
        <w:pStyle w:val="1053"/>
        <w:rPr>
          <w:rFonts w:hint="eastAsia" w:ascii="宋体" w:hAnsi="宋体" w:eastAsia="宋体" w:cs="宋体"/>
          <w:sz w:val="24"/>
          <w:szCs w:val="24"/>
        </w:rPr>
      </w:pPr>
      <w:r/>
      <w:bookmarkEnd w:id="0"/>
      <w:r>
        <w:rPr>
          <w:rFonts w:hint="eastAsia" w:ascii="宋体" w:hAnsi="宋体" w:eastAsia="宋体" w:cs="宋体"/>
          <w:sz w:val="24"/>
          <w:szCs w:val="24"/>
        </w:rPr>
      </w:r>
      <w:r/>
    </w:p>
    <w:p>
      <w:pPr>
        <w:pStyle w:val="1053"/>
        <w:jc w:val="center"/>
        <w:spacing w:before="0" w:after="0" w:line="240" w:lineRule="auto"/>
        <w:rPr>
          <w:rFonts w:hint="eastAsia" w:ascii="宋体" w:hAnsi="宋体" w:eastAsia="宋体" w:cs="宋体"/>
          <w:sz w:val="72"/>
          <w:szCs w:val="72"/>
        </w:rPr>
      </w:pPr>
      <w:r>
        <w:rPr>
          <w:rFonts w:hint="eastAsia" w:ascii="宋体" w:hAnsi="宋体" w:eastAsia="宋体" w:cs="宋体"/>
          <w:sz w:val="72"/>
          <w:szCs w:val="72"/>
        </w:rPr>
      </w:r>
      <w:r/>
    </w:p>
    <w:p>
      <w:pPr>
        <w:pStyle w:val="1053"/>
        <w:jc w:val="center"/>
        <w:spacing w:before="0" w:after="0" w:line="240" w:lineRule="auto"/>
        <w:rPr>
          <w:rFonts w:hint="eastAsia" w:ascii="宋体" w:hAnsi="宋体" w:eastAsia="宋体" w:cs="宋体"/>
          <w:sz w:val="72"/>
          <w:szCs w:val="72"/>
        </w:rPr>
      </w:pPr>
      <w:r>
        <w:rPr>
          <w:rFonts w:hint="eastAsia" w:ascii="宋体" w:hAnsi="宋体" w:eastAsia="宋体" w:cs="宋体"/>
          <w:sz w:val="72"/>
          <w:szCs w:val="72"/>
        </w:rPr>
        <w:t xml:space="preserve">招标文件</w:t>
      </w:r>
      <w:r>
        <w:rPr>
          <w:rFonts w:hint="eastAsia" w:ascii="宋体" w:hAnsi="宋体" w:eastAsia="宋体" w:cs="宋体"/>
          <w:sz w:val="72"/>
          <w:szCs w:val="72"/>
        </w:rPr>
      </w:r>
      <w:r/>
    </w:p>
    <w:p>
      <w:pPr>
        <w:pStyle w:val="1053"/>
        <w:rPr>
          <w:rFonts w:hint="eastAsia" w:ascii="宋体" w:hAnsi="宋体" w:eastAsia="宋体" w:cs="宋体"/>
          <w:sz w:val="36"/>
          <w:szCs w:val="36"/>
        </w:rPr>
      </w:pPr>
      <w:r>
        <w:rPr>
          <w:rFonts w:hint="eastAsia" w:ascii="宋体" w:hAnsi="宋体" w:eastAsia="宋体" w:cs="宋体"/>
          <w:sz w:val="36"/>
          <w:szCs w:val="36"/>
        </w:rPr>
      </w:r>
      <w:r/>
    </w:p>
    <w:p>
      <w:pPr>
        <w:pStyle w:val="1053"/>
        <w:ind w:left="647" w:hanging="17"/>
        <w:rPr>
          <w:rFonts w:hint="eastAsia" w:ascii="宋体" w:hAnsi="宋体" w:eastAsia="宋体" w:cs="宋体"/>
          <w:sz w:val="32"/>
          <w:szCs w:val="32"/>
          <w:lang w:eastAsia="zh-CN"/>
        </w:rPr>
      </w:pPr>
      <w:r>
        <w:rPr>
          <w:rFonts w:hint="eastAsia" w:ascii="宋体" w:hAnsi="宋体" w:eastAsia="宋体" w:cs="宋体"/>
          <w:sz w:val="32"/>
          <w:szCs w:val="32"/>
        </w:rPr>
        <w:t xml:space="preserve">项目编号：</w:t>
      </w:r>
      <w:r>
        <w:rPr>
          <w:rFonts w:hint="eastAsia" w:ascii="宋体" w:hAnsi="宋体" w:eastAsia="宋体" w:cs="宋体"/>
          <w:sz w:val="32"/>
          <w:szCs w:val="32"/>
          <w:lang w:eastAsia="zh-CN"/>
        </w:rPr>
        <w:t xml:space="preserve">JSZC-320000-HWZX-G2026-0649</w:t>
      </w:r>
      <w:r>
        <w:rPr>
          <w:rFonts w:hint="eastAsia" w:ascii="宋体" w:hAnsi="宋体" w:eastAsia="宋体" w:cs="宋体"/>
          <w:sz w:val="32"/>
          <w:szCs w:val="32"/>
          <w:lang w:eastAsia="zh-CN"/>
        </w:rPr>
      </w:r>
      <w:r/>
    </w:p>
    <w:p>
      <w:pPr>
        <w:pStyle w:val="1053"/>
        <w:ind w:left="647" w:hanging="17"/>
        <w:rPr>
          <w:rFonts w:hint="eastAsia" w:ascii="宋体" w:hAnsi="宋体" w:eastAsia="宋体" w:cs="宋体"/>
          <w:sz w:val="32"/>
          <w:szCs w:val="32"/>
          <w:lang w:eastAsia="zh-CN"/>
        </w:rPr>
      </w:pPr>
      <w:r>
        <w:rPr>
          <w:rFonts w:hint="eastAsia" w:ascii="宋体" w:hAnsi="宋体" w:eastAsia="宋体" w:cs="宋体"/>
          <w:sz w:val="32"/>
          <w:szCs w:val="32"/>
        </w:rPr>
        <w:t xml:space="preserve">代理机构内部编号：</w:t>
      </w:r>
      <w:r>
        <w:rPr>
          <w:rFonts w:hint="eastAsia" w:ascii="宋体" w:hAnsi="宋体" w:eastAsia="宋体" w:cs="宋体"/>
          <w:sz w:val="32"/>
          <w:szCs w:val="32"/>
          <w:lang w:eastAsia="zh-CN"/>
        </w:rPr>
        <w:t xml:space="preserve">0675-266JOC004773</w:t>
      </w:r>
      <w:r>
        <w:rPr>
          <w:rFonts w:hint="eastAsia" w:ascii="宋体" w:hAnsi="宋体" w:eastAsia="宋体" w:cs="宋体"/>
          <w:sz w:val="32"/>
          <w:szCs w:val="32"/>
          <w:lang w:eastAsia="zh-CN"/>
        </w:rPr>
      </w:r>
      <w:r/>
    </w:p>
    <w:p>
      <w:pPr>
        <w:pStyle w:val="1053"/>
        <w:ind w:left="1481" w:hanging="851"/>
        <w:rPr>
          <w:rFonts w:hint="eastAsia" w:ascii="宋体" w:hAnsi="宋体" w:eastAsia="宋体" w:cs="宋体"/>
          <w:sz w:val="32"/>
          <w:szCs w:val="32"/>
        </w:rPr>
      </w:pPr>
      <w:r>
        <w:rPr>
          <w:rFonts w:hint="eastAsia" w:ascii="宋体" w:hAnsi="宋体" w:eastAsia="宋体" w:cs="宋体"/>
          <w:sz w:val="32"/>
          <w:szCs w:val="32"/>
        </w:rPr>
        <w:t xml:space="preserve">项目名称：江苏省计量科学研究院能源计量设备采购</w:t>
      </w:r>
      <w:r>
        <w:rPr>
          <w:rFonts w:hint="eastAsia" w:ascii="宋体" w:hAnsi="宋体" w:eastAsia="宋体" w:cs="宋体"/>
          <w:sz w:val="32"/>
          <w:szCs w:val="32"/>
        </w:rPr>
      </w:r>
      <w:r/>
    </w:p>
    <w:p>
      <w:pPr>
        <w:pStyle w:val="1053"/>
        <w:ind w:left="1481" w:hanging="851"/>
        <w:rPr>
          <w:rFonts w:hint="eastAsia" w:ascii="宋体" w:hAnsi="宋体" w:eastAsia="宋体" w:cs="宋体"/>
          <w:sz w:val="32"/>
          <w:szCs w:val="32"/>
        </w:rPr>
      </w:pPr>
      <w:r>
        <w:rPr>
          <w:rFonts w:hint="eastAsia" w:ascii="宋体" w:hAnsi="宋体" w:eastAsia="宋体" w:cs="宋体"/>
          <w:sz w:val="32"/>
          <w:szCs w:val="32"/>
        </w:rPr>
        <w:t xml:space="preserve">采 购 人：江苏省计量科学研究院（江苏省能源计量数据中心）</w:t>
      </w:r>
      <w:r>
        <w:rPr>
          <w:rFonts w:hint="eastAsia" w:ascii="宋体" w:hAnsi="宋体" w:eastAsia="宋体" w:cs="宋体"/>
          <w:sz w:val="32"/>
          <w:szCs w:val="32"/>
        </w:rPr>
      </w:r>
      <w:r/>
    </w:p>
    <w:p>
      <w:pPr>
        <w:pStyle w:val="1053"/>
        <w:ind w:left="1797" w:hanging="957"/>
        <w:rPr>
          <w:rFonts w:hint="eastAsia" w:ascii="宋体" w:hAnsi="宋体" w:eastAsia="宋体" w:cs="宋体"/>
          <w:sz w:val="36"/>
          <w:szCs w:val="36"/>
        </w:rPr>
      </w:pPr>
      <w:r>
        <w:rPr>
          <w:rFonts w:hint="eastAsia" w:ascii="宋体" w:hAnsi="宋体" w:eastAsia="宋体" w:cs="宋体"/>
          <w:sz w:val="36"/>
          <w:szCs w:val="36"/>
        </w:rPr>
      </w:r>
      <w:r/>
    </w:p>
    <w:p>
      <w:pPr>
        <w:pStyle w:val="1053"/>
        <w:rPr>
          <w:rFonts w:hint="eastAsia" w:ascii="宋体" w:hAnsi="宋体" w:eastAsia="宋体" w:cs="宋体"/>
          <w:sz w:val="36"/>
          <w:szCs w:val="36"/>
        </w:rPr>
      </w:pPr>
      <w:r>
        <w:rPr>
          <w:rFonts w:hint="eastAsia" w:ascii="宋体" w:hAnsi="宋体" w:eastAsia="宋体" w:cs="宋体"/>
          <w:sz w:val="36"/>
          <w:szCs w:val="36"/>
        </w:rPr>
      </w:r>
      <w:r/>
    </w:p>
    <w:p>
      <w:pPr>
        <w:pStyle w:val="1053"/>
        <w:ind w:left="1797" w:hanging="957"/>
        <w:rPr>
          <w:rFonts w:hint="eastAsia" w:ascii="宋体" w:hAnsi="宋体" w:eastAsia="宋体" w:cs="宋体"/>
          <w:sz w:val="36"/>
          <w:szCs w:val="36"/>
        </w:rPr>
      </w:pPr>
      <w:r>
        <w:rPr>
          <w:rFonts w:hint="eastAsia" w:ascii="宋体" w:hAnsi="宋体" w:eastAsia="宋体" w:cs="宋体"/>
          <w:sz w:val="36"/>
          <w:szCs w:val="36"/>
        </w:rPr>
      </w:r>
      <w:r/>
    </w:p>
    <w:p>
      <w:pPr>
        <w:pStyle w:val="1053"/>
        <w:ind w:left="1691" w:hanging="851"/>
        <w:rPr>
          <w:rFonts w:hint="eastAsia" w:ascii="宋体" w:hAnsi="宋体" w:eastAsia="宋体" w:cs="宋体"/>
          <w:sz w:val="32"/>
          <w:szCs w:val="32"/>
        </w:rPr>
      </w:pPr>
      <w:r>
        <w:rPr>
          <w:rFonts w:hint="eastAsia" w:ascii="宋体" w:hAnsi="宋体" w:eastAsia="宋体" w:cs="宋体"/>
          <w:sz w:val="32"/>
          <w:szCs w:val="32"/>
        </w:rPr>
        <w:t xml:space="preserve">代理机构：江苏海外集团国际工程咨询有限公司</w:t>
      </w:r>
      <w:r>
        <w:rPr>
          <w:rFonts w:hint="eastAsia" w:ascii="宋体" w:hAnsi="宋体" w:eastAsia="宋体" w:cs="宋体"/>
          <w:sz w:val="32"/>
          <w:szCs w:val="32"/>
        </w:rPr>
      </w:r>
      <w:r/>
    </w:p>
    <w:p>
      <w:pPr>
        <w:pStyle w:val="1111"/>
        <w:jc w:val="center"/>
        <w:tabs>
          <w:tab w:val="right" w:pos="8306" w:leader="dot"/>
        </w:tabs>
        <w:rPr>
          <w:rFonts w:hint="eastAsia" w:ascii="宋体" w:hAnsi="宋体" w:cs="宋体"/>
          <w:spacing w:val="30"/>
          <w:sz w:val="32"/>
          <w:szCs w:val="32"/>
        </w:rPr>
        <w:sectPr>
          <w:headerReference w:type="default" r:id="rId9"/>
          <w:headerReference w:type="first" r:id="rId10"/>
          <w:footerReference w:type="default" r:id="rId12"/>
          <w:footerReference w:type="even" r:id="rId13"/>
          <w:footerReference w:type="first" r:id="rId14"/>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cs="宋体"/>
          <w:spacing w:val="30"/>
          <w:sz w:val="32"/>
          <w:szCs w:val="32"/>
        </w:rPr>
        <w:t xml:space="preserve">二〇二六年十月</w:t>
      </w:r>
      <w:r>
        <w:rPr>
          <w:rFonts w:hint="eastAsia" w:ascii="宋体" w:hAnsi="宋体" w:cs="宋体"/>
          <w:spacing w:val="30"/>
          <w:sz w:val="32"/>
          <w:szCs w:val="32"/>
        </w:rPr>
      </w:r>
      <w:r/>
    </w:p>
    <w:p>
      <w:pPr>
        <w:pStyle w:val="1111"/>
        <w:jc w:val="center"/>
        <w:tabs>
          <w:tab w:val="right" w:pos="8306" w:leader="dot"/>
        </w:tabs>
        <w:rPr>
          <w:rFonts w:hint="eastAsia" w:ascii="宋体" w:hAnsi="宋体" w:cs="宋体"/>
          <w:sz w:val="44"/>
          <w:szCs w:val="44"/>
        </w:rPr>
      </w:pPr>
      <w:r>
        <w:rPr>
          <w:rFonts w:hint="eastAsia" w:ascii="宋体" w:hAnsi="宋体" w:cs="宋体"/>
          <w:sz w:val="44"/>
          <w:szCs w:val="44"/>
        </w:rPr>
        <w:t xml:space="preserve">目 录</w:t>
      </w:r>
      <w:r>
        <w:rPr>
          <w:rFonts w:hint="eastAsia" w:ascii="宋体" w:hAnsi="宋体" w:cs="宋体"/>
          <w:sz w:val="44"/>
          <w:szCs w:val="44"/>
        </w:rPr>
      </w:r>
      <w:r/>
    </w:p>
    <w:p>
      <w:pPr>
        <w:pStyle w:val="1111"/>
        <w:tabs>
          <w:tab w:val="right" w:pos="9746" w:leader="dot"/>
        </w:tabs>
      </w:pPr>
      <w:r/>
      <w:bookmarkStart w:id="1" w:name="_Toc32113"/>
      <w:r/>
      <w:bookmarkStart w:id="2" w:name="_Toc6351"/>
      <w:r>
        <w:rPr>
          <w:rFonts w:hint="eastAsia" w:ascii="宋体" w:hAnsi="宋体" w:cs="宋体"/>
          <w:sz w:val="22"/>
          <w:szCs w:val="22"/>
        </w:rPr>
        <w:fldChar w:fldCharType="begin"/>
      </w:r>
      <w:r>
        <w:rPr>
          <w:rFonts w:hint="eastAsia" w:ascii="宋体" w:hAnsi="宋体" w:cs="宋体"/>
          <w:sz w:val="22"/>
          <w:szCs w:val="22"/>
        </w:rPr>
        <w:instrText xml:space="preserve">TOC \o "1-3" \h \u </w:instrText>
      </w:r>
      <w:r>
        <w:rPr>
          <w:rFonts w:hint="eastAsia" w:ascii="宋体" w:hAnsi="宋体" w:cs="宋体"/>
          <w:sz w:val="22"/>
          <w:szCs w:val="22"/>
        </w:rPr>
        <w:fldChar w:fldCharType="separate"/>
      </w:r>
      <w:r>
        <w:rPr>
          <w:rFonts w:hint="eastAsia" w:ascii="宋体" w:hAnsi="宋体" w:cs="宋体"/>
          <w:szCs w:val="22"/>
        </w:rPr>
        <w:fldChar w:fldCharType="begin"/>
      </w:r>
      <w:r>
        <w:rPr>
          <w:rFonts w:hint="eastAsia" w:ascii="宋体" w:hAnsi="宋体" w:cs="宋体"/>
          <w:szCs w:val="22"/>
        </w:rPr>
        <w:instrText xml:space="preserve"> HYPERLINK \l _Toc2527 </w:instrText>
      </w:r>
      <w:r>
        <w:rPr>
          <w:rFonts w:hint="eastAsia" w:ascii="宋体" w:hAnsi="宋体" w:cs="宋体"/>
          <w:szCs w:val="22"/>
        </w:rPr>
        <w:fldChar w:fldCharType="separate"/>
      </w:r>
      <w:r>
        <w:rPr>
          <w:rFonts w:hint="eastAsia" w:ascii="宋体" w:hAnsi="宋体" w:cs="宋体"/>
        </w:rPr>
        <w:t xml:space="preserve">第一章 招标公告</w:t>
      </w:r>
      <w:r>
        <w:tab/>
      </w:r>
      <w:r>
        <w:fldChar w:fldCharType="begin"/>
      </w:r>
      <w:r>
        <w:instrText xml:space="preserve"> PAGEREF _Toc2527 \h </w:instrText>
      </w:r>
      <w:r>
        <w:fldChar w:fldCharType="separate"/>
      </w:r>
      <w:r>
        <w:t xml:space="preserve">- 3 -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_Toc9416 </w:instrText>
      </w:r>
      <w:r>
        <w:rPr>
          <w:rFonts w:hint="eastAsia" w:ascii="宋体" w:hAnsi="宋体" w:cs="宋体"/>
          <w:szCs w:val="22"/>
        </w:rPr>
        <w:fldChar w:fldCharType="separate"/>
      </w:r>
      <w:r>
        <w:rPr>
          <w:rFonts w:hint="eastAsia" w:ascii="宋体" w:hAnsi="宋体" w:cs="宋体"/>
          <w:bCs/>
          <w:szCs w:val="24"/>
        </w:rPr>
        <w:t xml:space="preserve">一、项目基本情况</w:t>
      </w:r>
      <w:r>
        <w:tab/>
      </w:r>
      <w:r>
        <w:fldChar w:fldCharType="begin"/>
      </w:r>
      <w:r>
        <w:instrText xml:space="preserve"> PAGEREF _Toc9416 \h </w:instrText>
      </w:r>
      <w:r>
        <w:fldChar w:fldCharType="separate"/>
      </w:r>
      <w:r>
        <w:t xml:space="preserve">- 3 -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_Toc12976 </w:instrText>
      </w:r>
      <w:r>
        <w:rPr>
          <w:rFonts w:hint="eastAsia" w:ascii="宋体" w:hAnsi="宋体" w:cs="宋体"/>
          <w:szCs w:val="22"/>
        </w:rPr>
        <w:fldChar w:fldCharType="separate"/>
      </w:r>
      <w:r>
        <w:rPr>
          <w:rFonts w:hint="eastAsia" w:ascii="宋体" w:hAnsi="宋体" w:cs="宋体"/>
          <w:bCs/>
          <w:szCs w:val="24"/>
        </w:rPr>
        <w:t xml:space="preserve">二、申请人的资质要求</w:t>
      </w:r>
      <w:r>
        <w:tab/>
      </w:r>
      <w:r>
        <w:fldChar w:fldCharType="begin"/>
      </w:r>
      <w:r>
        <w:instrText xml:space="preserve"> PAGEREF _Toc12976 \h </w:instrText>
      </w:r>
      <w:r>
        <w:fldChar w:fldCharType="separate"/>
      </w:r>
      <w:r>
        <w:t xml:space="preserve">- 3 -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_Toc29311 </w:instrText>
      </w:r>
      <w:r>
        <w:rPr>
          <w:rFonts w:hint="eastAsia" w:ascii="宋体" w:hAnsi="宋体" w:cs="宋体"/>
          <w:szCs w:val="22"/>
        </w:rPr>
        <w:fldChar w:fldCharType="separate"/>
      </w:r>
      <w:r>
        <w:rPr>
          <w:rFonts w:hint="eastAsia" w:ascii="宋体" w:hAnsi="宋体" w:cs="宋体"/>
          <w:bCs/>
          <w:szCs w:val="24"/>
        </w:rPr>
        <w:t xml:space="preserve">三、招标文件发售信息</w:t>
      </w:r>
      <w:r>
        <w:tab/>
      </w:r>
      <w:r>
        <w:fldChar w:fldCharType="begin"/>
      </w:r>
      <w:r>
        <w:instrText xml:space="preserve"> PAGEREF _Toc29311 \h </w:instrText>
      </w:r>
      <w:r>
        <w:fldChar w:fldCharType="separate"/>
      </w:r>
      <w:r>
        <w:t xml:space="preserve">- 5 -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_Toc9771 </w:instrText>
      </w:r>
      <w:r>
        <w:rPr>
          <w:rFonts w:hint="eastAsia" w:ascii="宋体" w:hAnsi="宋体" w:cs="宋体"/>
          <w:szCs w:val="22"/>
        </w:rPr>
        <w:fldChar w:fldCharType="separate"/>
      </w:r>
      <w:r>
        <w:rPr>
          <w:rFonts w:hint="eastAsia" w:ascii="宋体" w:hAnsi="宋体" w:cs="宋体"/>
          <w:szCs w:val="24"/>
        </w:rPr>
        <w:t xml:space="preserve">四、</w:t>
      </w:r>
      <w:r>
        <w:rPr>
          <w:rFonts w:hint="eastAsia" w:ascii="宋体" w:hAnsi="宋体" w:cs="宋体"/>
          <w:bCs/>
          <w:szCs w:val="24"/>
        </w:rPr>
        <w:t xml:space="preserve">提交投标文件截止时间、开标时间和地点</w:t>
      </w:r>
      <w:r>
        <w:tab/>
      </w:r>
      <w:r>
        <w:fldChar w:fldCharType="begin"/>
      </w:r>
      <w:r>
        <w:instrText xml:space="preserve"> PAGEREF _Toc9771 \h </w:instrText>
      </w:r>
      <w:r>
        <w:fldChar w:fldCharType="separate"/>
      </w:r>
      <w:r>
        <w:t xml:space="preserve">- 5 -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_Toc25297 </w:instrText>
      </w:r>
      <w:r>
        <w:rPr>
          <w:rFonts w:hint="eastAsia" w:ascii="宋体" w:hAnsi="宋体" w:cs="宋体"/>
          <w:szCs w:val="22"/>
        </w:rPr>
        <w:fldChar w:fldCharType="separate"/>
      </w:r>
      <w:r>
        <w:rPr>
          <w:rFonts w:hint="eastAsia" w:ascii="宋体" w:hAnsi="宋体" w:cs="宋体"/>
          <w:bCs/>
          <w:szCs w:val="24"/>
        </w:rPr>
        <w:t xml:space="preserve">五、公告期限</w:t>
      </w:r>
      <w:r>
        <w:tab/>
      </w:r>
      <w:r>
        <w:fldChar w:fldCharType="begin"/>
      </w:r>
      <w:r>
        <w:instrText xml:space="preserve"> PAGEREF _Toc25297 \h </w:instrText>
      </w:r>
      <w:r>
        <w:fldChar w:fldCharType="separate"/>
      </w:r>
      <w:r>
        <w:t xml:space="preserve">- 5 -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_Toc21266 </w:instrText>
      </w:r>
      <w:r>
        <w:rPr>
          <w:rFonts w:hint="eastAsia" w:ascii="宋体" w:hAnsi="宋体" w:cs="宋体"/>
          <w:szCs w:val="22"/>
        </w:rPr>
        <w:fldChar w:fldCharType="separate"/>
      </w:r>
      <w:r>
        <w:rPr>
          <w:rFonts w:hint="eastAsia" w:ascii="宋体" w:hAnsi="宋体" w:cs="宋体"/>
          <w:bCs/>
          <w:szCs w:val="24"/>
        </w:rPr>
        <w:t xml:space="preserve">六、其他补充事宜</w:t>
      </w:r>
      <w:r>
        <w:tab/>
      </w:r>
      <w:r>
        <w:fldChar w:fldCharType="begin"/>
      </w:r>
      <w:r>
        <w:instrText xml:space="preserve"> PAGEREF _Toc21266 \h </w:instrText>
      </w:r>
      <w:r>
        <w:fldChar w:fldCharType="separate"/>
      </w:r>
      <w:r>
        <w:t xml:space="preserve">- 5 -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_Toc18467 </w:instrText>
      </w:r>
      <w:r>
        <w:rPr>
          <w:rFonts w:hint="eastAsia" w:ascii="宋体" w:hAnsi="宋体" w:cs="宋体"/>
          <w:szCs w:val="22"/>
        </w:rPr>
        <w:fldChar w:fldCharType="separate"/>
      </w:r>
      <w:r>
        <w:rPr>
          <w:rFonts w:hint="eastAsia" w:ascii="宋体" w:hAnsi="宋体" w:cs="宋体"/>
          <w:bCs/>
          <w:szCs w:val="24"/>
        </w:rPr>
        <w:t xml:space="preserve">七、对本次招标提出询问，请按以下方式联系</w:t>
      </w:r>
      <w:r>
        <w:tab/>
      </w:r>
      <w:r>
        <w:fldChar w:fldCharType="begin"/>
      </w:r>
      <w:r>
        <w:instrText xml:space="preserve"> PAGEREF _Toc18467 \h </w:instrText>
      </w:r>
      <w:r>
        <w:fldChar w:fldCharType="separate"/>
      </w:r>
      <w:r>
        <w:t xml:space="preserve">- 6 -</w:t>
      </w:r>
      <w:r>
        <w:fldChar w:fldCharType="end"/>
      </w:r>
      <w:r>
        <w:rPr>
          <w:rFonts w:hint="eastAsia" w:ascii="宋体" w:hAnsi="宋体" w:cs="宋体"/>
          <w:szCs w:val="22"/>
        </w:rPr>
        <w:fldChar w:fldCharType="end"/>
      </w:r>
      <w:r/>
    </w:p>
    <w:p>
      <w:pPr>
        <w:pStyle w:val="1111"/>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_Toc11807 </w:instrText>
      </w:r>
      <w:r>
        <w:rPr>
          <w:rFonts w:hint="eastAsia" w:ascii="宋体" w:hAnsi="宋体" w:cs="宋体"/>
          <w:szCs w:val="22"/>
        </w:rPr>
        <w:fldChar w:fldCharType="separate"/>
      </w:r>
      <w:r>
        <w:rPr>
          <w:rFonts w:hint="eastAsia" w:ascii="宋体" w:hAnsi="宋体" w:cs="宋体"/>
        </w:rPr>
        <w:t xml:space="preserve">第二章 投标人须知</w:t>
      </w:r>
      <w:r>
        <w:tab/>
      </w:r>
      <w:r>
        <w:fldChar w:fldCharType="begin"/>
      </w:r>
      <w:r>
        <w:instrText xml:space="preserve"> PAGEREF _Toc11807 \h </w:instrText>
      </w:r>
      <w:r>
        <w:fldChar w:fldCharType="separate"/>
      </w:r>
      <w:r>
        <w:t xml:space="preserve">- 8 -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_Toc10384 </w:instrText>
      </w:r>
      <w:r>
        <w:rPr>
          <w:rFonts w:hint="eastAsia" w:ascii="宋体" w:hAnsi="宋体" w:cs="宋体"/>
          <w:szCs w:val="22"/>
        </w:rPr>
        <w:fldChar w:fldCharType="separate"/>
      </w:r>
      <w:r>
        <w:rPr>
          <w:rFonts w:hint="eastAsia" w:cs="宋体"/>
        </w:rPr>
        <w:t xml:space="preserve">投标人须知前附表：</w:t>
      </w:r>
      <w:r>
        <w:tab/>
      </w:r>
      <w:r>
        <w:fldChar w:fldCharType="begin"/>
      </w:r>
      <w:r>
        <w:instrText xml:space="preserve"> PAGEREF _Toc10384 \h </w:instrText>
      </w:r>
      <w:r>
        <w:fldChar w:fldCharType="separate"/>
      </w:r>
      <w:r>
        <w:t xml:space="preserve">- 8 -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_Toc63 </w:instrText>
      </w:r>
      <w:r>
        <w:rPr>
          <w:rFonts w:hint="eastAsia" w:ascii="宋体" w:hAnsi="宋体" w:cs="宋体"/>
          <w:szCs w:val="22"/>
        </w:rPr>
        <w:fldChar w:fldCharType="separate"/>
      </w:r>
      <w:r>
        <w:rPr>
          <w:rFonts w:hint="eastAsia" w:ascii="宋体" w:hAnsi="宋体" w:cs="宋体"/>
          <w:bCs/>
          <w:szCs w:val="21"/>
        </w:rPr>
        <w:t xml:space="preserve">一、 </w:t>
      </w:r>
      <w:r>
        <w:rPr>
          <w:rFonts w:hint="eastAsia" w:ascii="宋体" w:hAnsi="宋体" w:cs="宋体"/>
          <w:bCs/>
          <w:szCs w:val="21"/>
          <w:lang w:val="zh-CN"/>
        </w:rPr>
        <w:t xml:space="preserve">总则</w:t>
      </w:r>
      <w:r>
        <w:tab/>
      </w:r>
      <w:r>
        <w:fldChar w:fldCharType="begin"/>
      </w:r>
      <w:r>
        <w:instrText xml:space="preserve"> PAGEREF _Toc63 \h </w:instrText>
      </w:r>
      <w:r>
        <w:fldChar w:fldCharType="separate"/>
      </w:r>
      <w:r>
        <w:t xml:space="preserve">- 10 -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_Toc32672 </w:instrText>
      </w:r>
      <w:r>
        <w:rPr>
          <w:rFonts w:hint="eastAsia" w:ascii="宋体" w:hAnsi="宋体" w:cs="宋体"/>
          <w:szCs w:val="22"/>
        </w:rPr>
        <w:fldChar w:fldCharType="separate"/>
      </w:r>
      <w:r>
        <w:rPr>
          <w:rFonts w:hint="eastAsia" w:ascii="宋体" w:hAnsi="宋体" w:cs="宋体"/>
          <w:bCs/>
          <w:szCs w:val="21"/>
        </w:rPr>
        <w:t xml:space="preserve">二、 招标文件构成</w:t>
      </w:r>
      <w:r>
        <w:tab/>
      </w:r>
      <w:r>
        <w:fldChar w:fldCharType="begin"/>
      </w:r>
      <w:r>
        <w:instrText xml:space="preserve"> PAGEREF _Toc32672 \h </w:instrText>
      </w:r>
      <w:r>
        <w:fldChar w:fldCharType="separate"/>
      </w:r>
      <w:r>
        <w:t xml:space="preserve">- 11 -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_Toc7135 </w:instrText>
      </w:r>
      <w:r>
        <w:rPr>
          <w:rFonts w:hint="eastAsia" w:ascii="宋体" w:hAnsi="宋体" w:cs="宋体"/>
          <w:szCs w:val="22"/>
        </w:rPr>
        <w:fldChar w:fldCharType="separate"/>
      </w:r>
      <w:r>
        <w:rPr>
          <w:rFonts w:hint="eastAsia" w:ascii="宋体" w:hAnsi="宋体" w:cs="宋体"/>
          <w:bCs/>
          <w:szCs w:val="21"/>
        </w:rPr>
        <w:t xml:space="preserve">三、 投标文件的编制</w:t>
      </w:r>
      <w:r>
        <w:tab/>
      </w:r>
      <w:r>
        <w:fldChar w:fldCharType="begin"/>
      </w:r>
      <w:r>
        <w:instrText xml:space="preserve"> PAGEREF _Toc7135 \h </w:instrText>
      </w:r>
      <w:r>
        <w:fldChar w:fldCharType="separate"/>
      </w:r>
      <w:r>
        <w:t xml:space="preserve">- 12 -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_Toc12016 </w:instrText>
      </w:r>
      <w:r>
        <w:rPr>
          <w:rFonts w:hint="eastAsia" w:ascii="宋体" w:hAnsi="宋体" w:cs="宋体"/>
          <w:szCs w:val="22"/>
        </w:rPr>
        <w:fldChar w:fldCharType="separate"/>
      </w:r>
      <w:r>
        <w:rPr>
          <w:rFonts w:hint="eastAsia" w:ascii="宋体" w:hAnsi="宋体" w:cs="宋体"/>
          <w:bCs/>
          <w:szCs w:val="21"/>
        </w:rPr>
        <w:t xml:space="preserve">四、 投标文件的递交</w:t>
      </w:r>
      <w:r>
        <w:tab/>
      </w:r>
      <w:r>
        <w:fldChar w:fldCharType="begin"/>
      </w:r>
      <w:r>
        <w:instrText xml:space="preserve"> PAGEREF _Toc12016 \h </w:instrText>
      </w:r>
      <w:r>
        <w:fldChar w:fldCharType="separate"/>
      </w:r>
      <w:r>
        <w:t xml:space="preserve">- 15 -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_Toc22917 </w:instrText>
      </w:r>
      <w:r>
        <w:rPr>
          <w:rFonts w:hint="eastAsia" w:ascii="宋体" w:hAnsi="宋体" w:cs="宋体"/>
          <w:szCs w:val="22"/>
        </w:rPr>
        <w:fldChar w:fldCharType="separate"/>
      </w:r>
      <w:r>
        <w:rPr>
          <w:rFonts w:hint="eastAsia" w:ascii="宋体" w:hAnsi="宋体" w:cs="宋体"/>
          <w:bCs/>
          <w:szCs w:val="21"/>
        </w:rPr>
        <w:t xml:space="preserve">五、 开标、评标与定标</w:t>
      </w:r>
      <w:r>
        <w:tab/>
      </w:r>
      <w:r>
        <w:fldChar w:fldCharType="begin"/>
      </w:r>
      <w:r>
        <w:instrText xml:space="preserve"> PAGEREF _Toc22917 \h </w:instrText>
      </w:r>
      <w:r>
        <w:fldChar w:fldCharType="separate"/>
      </w:r>
      <w:r>
        <w:t xml:space="preserve">- 16 -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_Toc7387 </w:instrText>
      </w:r>
      <w:r>
        <w:rPr>
          <w:rFonts w:hint="eastAsia" w:ascii="宋体" w:hAnsi="宋体" w:cs="宋体"/>
          <w:szCs w:val="22"/>
        </w:rPr>
        <w:fldChar w:fldCharType="separate"/>
      </w:r>
      <w:r>
        <w:rPr>
          <w:rFonts w:hint="eastAsia" w:ascii="宋体" w:hAnsi="宋体" w:cs="宋体"/>
          <w:bCs/>
          <w:szCs w:val="21"/>
        </w:rPr>
        <w:t xml:space="preserve">六、 签订合同</w:t>
      </w:r>
      <w:r>
        <w:tab/>
      </w:r>
      <w:r>
        <w:fldChar w:fldCharType="begin"/>
      </w:r>
      <w:r>
        <w:instrText xml:space="preserve"> PAGEREF _Toc7387 \h </w:instrText>
      </w:r>
      <w:r>
        <w:fldChar w:fldCharType="separate"/>
      </w:r>
      <w:r>
        <w:t xml:space="preserve">- 20 -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_Toc32328 </w:instrText>
      </w:r>
      <w:r>
        <w:rPr>
          <w:rFonts w:hint="eastAsia" w:ascii="宋体" w:hAnsi="宋体" w:cs="宋体"/>
          <w:szCs w:val="22"/>
        </w:rPr>
        <w:fldChar w:fldCharType="separate"/>
      </w:r>
      <w:r>
        <w:rPr>
          <w:rFonts w:hint="eastAsia" w:ascii="宋体" w:hAnsi="宋体" w:cs="宋体"/>
          <w:bCs/>
          <w:szCs w:val="21"/>
        </w:rPr>
        <w:t xml:space="preserve">七、 质疑和投诉</w:t>
      </w:r>
      <w:r>
        <w:tab/>
      </w:r>
      <w:r>
        <w:fldChar w:fldCharType="begin"/>
      </w:r>
      <w:r>
        <w:instrText xml:space="preserve"> PAGEREF _Toc32328 \h </w:instrText>
      </w:r>
      <w:r>
        <w:fldChar w:fldCharType="separate"/>
      </w:r>
      <w:r>
        <w:t xml:space="preserve">- 21 -</w:t>
      </w:r>
      <w:r>
        <w:fldChar w:fldCharType="end"/>
      </w:r>
      <w:r>
        <w:rPr>
          <w:rFonts w:hint="eastAsia" w:ascii="宋体" w:hAnsi="宋体" w:cs="宋体"/>
          <w:szCs w:val="22"/>
        </w:rPr>
        <w:fldChar w:fldCharType="end"/>
      </w:r>
      <w:r/>
    </w:p>
    <w:p>
      <w:pPr>
        <w:pStyle w:val="1111"/>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_Toc14754 </w:instrText>
      </w:r>
      <w:r>
        <w:rPr>
          <w:rFonts w:hint="eastAsia" w:ascii="宋体" w:hAnsi="宋体" w:cs="宋体"/>
          <w:szCs w:val="22"/>
        </w:rPr>
        <w:fldChar w:fldCharType="separate"/>
      </w:r>
      <w:r>
        <w:rPr>
          <w:rFonts w:hint="eastAsia" w:ascii="宋体" w:hAnsi="宋体" w:cs="宋体"/>
        </w:rPr>
        <w:t xml:space="preserve">第三章 评分标准</w:t>
      </w:r>
      <w:r>
        <w:tab/>
      </w:r>
      <w:r>
        <w:fldChar w:fldCharType="begin"/>
      </w:r>
      <w:r>
        <w:instrText xml:space="preserve"> PAGEREF _Toc14754 \h </w:instrText>
      </w:r>
      <w:r>
        <w:fldChar w:fldCharType="separate"/>
      </w:r>
      <w:r>
        <w:t xml:space="preserve">- 23 -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_Toc738 </w:instrText>
      </w:r>
      <w:r>
        <w:rPr>
          <w:rFonts w:hint="eastAsia" w:ascii="宋体" w:hAnsi="宋体" w:cs="宋体"/>
          <w:szCs w:val="22"/>
        </w:rPr>
        <w:fldChar w:fldCharType="separate"/>
      </w:r>
      <w:r>
        <w:rPr>
          <w:rFonts w:hint="eastAsia" w:ascii="宋体" w:hAnsi="宋体" w:cs="宋体"/>
          <w:szCs w:val="22"/>
        </w:rPr>
        <w:t xml:space="preserve">一、资格性审查</w:t>
      </w:r>
      <w:r>
        <w:tab/>
      </w:r>
      <w:r>
        <w:fldChar w:fldCharType="begin"/>
      </w:r>
      <w:r>
        <w:instrText xml:space="preserve"> PAGEREF _Toc738 \h </w:instrText>
      </w:r>
      <w:r>
        <w:fldChar w:fldCharType="separate"/>
      </w:r>
      <w:r>
        <w:t xml:space="preserve">- 23 -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_Toc9897 </w:instrText>
      </w:r>
      <w:r>
        <w:rPr>
          <w:rFonts w:hint="eastAsia" w:ascii="宋体" w:hAnsi="宋体" w:cs="宋体"/>
          <w:szCs w:val="22"/>
        </w:rPr>
        <w:fldChar w:fldCharType="separate"/>
      </w:r>
      <w:r>
        <w:rPr>
          <w:rFonts w:hint="eastAsia" w:ascii="宋体" w:hAnsi="宋体" w:cs="宋体"/>
          <w:szCs w:val="22"/>
        </w:rPr>
        <w:t xml:space="preserve">二、符合性审查</w:t>
      </w:r>
      <w:r>
        <w:tab/>
      </w:r>
      <w:r>
        <w:fldChar w:fldCharType="begin"/>
      </w:r>
      <w:r>
        <w:instrText xml:space="preserve"> PAGEREF _Toc9897 \h </w:instrText>
      </w:r>
      <w:r>
        <w:fldChar w:fldCharType="separate"/>
      </w:r>
      <w:r>
        <w:t xml:space="preserve">- 23 -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_Toc10350 </w:instrText>
      </w:r>
      <w:r>
        <w:rPr>
          <w:rFonts w:hint="eastAsia" w:ascii="宋体" w:hAnsi="宋体" w:cs="宋体"/>
          <w:szCs w:val="22"/>
        </w:rPr>
        <w:fldChar w:fldCharType="separate"/>
      </w:r>
      <w:r>
        <w:rPr>
          <w:rFonts w:hint="eastAsia" w:ascii="宋体" w:hAnsi="宋体" w:cs="宋体"/>
          <w:szCs w:val="22"/>
        </w:rPr>
        <w:t xml:space="preserve">三、异常低价投标（响应）审查</w:t>
      </w:r>
      <w:r>
        <w:tab/>
      </w:r>
      <w:r>
        <w:fldChar w:fldCharType="begin"/>
      </w:r>
      <w:r>
        <w:instrText xml:space="preserve"> PAGEREF _Toc10350 \h </w:instrText>
      </w:r>
      <w:r>
        <w:fldChar w:fldCharType="separate"/>
      </w:r>
      <w:r>
        <w:t xml:space="preserve">- 23 -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_Toc28697 </w:instrText>
      </w:r>
      <w:r>
        <w:rPr>
          <w:rFonts w:hint="eastAsia" w:ascii="宋体" w:hAnsi="宋体" w:cs="宋体"/>
          <w:szCs w:val="22"/>
        </w:rPr>
        <w:fldChar w:fldCharType="separate"/>
      </w:r>
      <w:r>
        <w:rPr>
          <w:rFonts w:hint="eastAsia" w:ascii="宋体" w:hAnsi="宋体" w:cs="宋体"/>
          <w:szCs w:val="22"/>
        </w:rPr>
        <w:t xml:space="preserve">四、评分表（综合评分法）</w:t>
      </w:r>
      <w:r>
        <w:tab/>
      </w:r>
      <w:r>
        <w:fldChar w:fldCharType="begin"/>
      </w:r>
      <w:r>
        <w:instrText xml:space="preserve"> PAGEREF _Toc28697 \h </w:instrText>
      </w:r>
      <w:r>
        <w:fldChar w:fldCharType="separate"/>
      </w:r>
      <w:r>
        <w:t xml:space="preserve">- 25 -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_Toc5522 </w:instrText>
      </w:r>
      <w:r>
        <w:rPr>
          <w:rFonts w:hint="eastAsia" w:ascii="宋体" w:hAnsi="宋体" w:cs="宋体"/>
          <w:szCs w:val="22"/>
        </w:rPr>
        <w:fldChar w:fldCharType="separate"/>
      </w:r>
      <w:r>
        <w:rPr>
          <w:rFonts w:hint="eastAsia" w:ascii="宋体" w:hAnsi="宋体" w:cs="宋体"/>
          <w:szCs w:val="22"/>
        </w:rPr>
        <w:t xml:space="preserve">五、评分因素及分值说明</w:t>
      </w:r>
      <w:r>
        <w:tab/>
      </w:r>
      <w:r>
        <w:fldChar w:fldCharType="begin"/>
      </w:r>
      <w:r>
        <w:instrText xml:space="preserve"> PAGEREF _Toc5522 \h </w:instrText>
      </w:r>
      <w:r>
        <w:fldChar w:fldCharType="separate"/>
      </w:r>
      <w:r>
        <w:t xml:space="preserve">- 27 -</w:t>
      </w:r>
      <w:r>
        <w:fldChar w:fldCharType="end"/>
      </w:r>
      <w:r>
        <w:rPr>
          <w:rFonts w:hint="eastAsia" w:ascii="宋体" w:hAnsi="宋体" w:cs="宋体"/>
          <w:szCs w:val="22"/>
        </w:rPr>
        <w:fldChar w:fldCharType="end"/>
      </w:r>
      <w:r/>
    </w:p>
    <w:p>
      <w:pPr>
        <w:pStyle w:val="1111"/>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_Toc30025 </w:instrText>
      </w:r>
      <w:r>
        <w:rPr>
          <w:rFonts w:hint="eastAsia" w:ascii="宋体" w:hAnsi="宋体" w:cs="宋体"/>
          <w:szCs w:val="22"/>
        </w:rPr>
        <w:fldChar w:fldCharType="separate"/>
      </w:r>
      <w:r>
        <w:rPr>
          <w:rFonts w:hint="eastAsia" w:ascii="宋体" w:hAnsi="宋体" w:cs="宋体"/>
        </w:rPr>
        <w:t xml:space="preserve">第四章 采购需求</w:t>
      </w:r>
      <w:r>
        <w:tab/>
      </w:r>
      <w:r>
        <w:fldChar w:fldCharType="begin"/>
      </w:r>
      <w:r>
        <w:instrText xml:space="preserve"> PAGEREF _Toc30025 \h </w:instrText>
      </w:r>
      <w:r>
        <w:fldChar w:fldCharType="separate"/>
      </w:r>
      <w:r>
        <w:t xml:space="preserve">- 30 -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_Toc28080 </w:instrText>
      </w:r>
      <w:r>
        <w:rPr>
          <w:rFonts w:hint="eastAsia" w:ascii="宋体" w:hAnsi="宋体" w:cs="宋体"/>
          <w:szCs w:val="22"/>
        </w:rPr>
        <w:fldChar w:fldCharType="separate"/>
      </w:r>
      <w:r>
        <w:rPr>
          <w:rFonts w:hint="eastAsia" w:ascii="宋体" w:hAnsi="宋体" w:cs="宋体"/>
          <w:szCs w:val="28"/>
        </w:rPr>
        <w:t xml:space="preserve">一、 项目概况：</w:t>
      </w:r>
      <w:r>
        <w:tab/>
      </w:r>
      <w:r>
        <w:fldChar w:fldCharType="begin"/>
      </w:r>
      <w:r>
        <w:instrText xml:space="preserve"> PAGEREF _Toc28080 \h </w:instrText>
      </w:r>
      <w:r>
        <w:fldChar w:fldCharType="separate"/>
      </w:r>
      <w:r>
        <w:t xml:space="preserve">- 30 -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_Toc26117 </w:instrText>
      </w:r>
      <w:r>
        <w:rPr>
          <w:rFonts w:hint="eastAsia" w:ascii="宋体" w:hAnsi="宋体" w:cs="宋体"/>
          <w:szCs w:val="22"/>
        </w:rPr>
        <w:fldChar w:fldCharType="separate"/>
      </w:r>
      <w:r>
        <w:rPr>
          <w:rFonts w:hint="eastAsia" w:ascii="宋体" w:hAnsi="宋体" w:cs="宋体"/>
          <w:szCs w:val="28"/>
        </w:rPr>
        <w:t xml:space="preserve">二、 技术要求：</w:t>
      </w:r>
      <w:r>
        <w:tab/>
      </w:r>
      <w:r>
        <w:fldChar w:fldCharType="begin"/>
      </w:r>
      <w:r>
        <w:instrText xml:space="preserve"> PAGEREF _Toc26117 \h </w:instrText>
      </w:r>
      <w:r>
        <w:fldChar w:fldCharType="separate"/>
      </w:r>
      <w:r>
        <w:t xml:space="preserve">- 30 -</w:t>
      </w:r>
      <w:r>
        <w:fldChar w:fldCharType="end"/>
      </w:r>
      <w:r>
        <w:rPr>
          <w:rFonts w:hint="eastAsia" w:ascii="宋体" w:hAnsi="宋体" w:cs="宋体"/>
          <w:szCs w:val="22"/>
        </w:rPr>
        <w:fldChar w:fldCharType="end"/>
      </w:r>
      <w:r/>
    </w:p>
    <w:p>
      <w:pPr>
        <w:pStyle w:val="1123"/>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_Toc8149 </w:instrText>
      </w:r>
      <w:r>
        <w:rPr>
          <w:rFonts w:hint="eastAsia" w:ascii="宋体" w:hAnsi="宋体" w:cs="宋体"/>
          <w:szCs w:val="22"/>
        </w:rPr>
        <w:fldChar w:fldCharType="separate"/>
      </w:r>
      <w:r>
        <w:rPr>
          <w:rFonts w:hint="eastAsia" w:ascii="宋体" w:hAnsi="宋体" w:cs="宋体"/>
          <w:szCs w:val="24"/>
        </w:rPr>
        <w:t xml:space="preserve">三、 商务要求：</w:t>
      </w:r>
      <w:r>
        <w:tab/>
      </w:r>
      <w:r>
        <w:fldChar w:fldCharType="begin"/>
      </w:r>
      <w:r>
        <w:instrText xml:space="preserve"> PAGEREF _Toc8149 \h </w:instrText>
      </w:r>
      <w:r>
        <w:fldChar w:fldCharType="separate"/>
      </w:r>
      <w:r>
        <w:t xml:space="preserve">- 38 -</w:t>
      </w:r>
      <w:r>
        <w:fldChar w:fldCharType="end"/>
      </w:r>
      <w:r>
        <w:rPr>
          <w:rFonts w:hint="eastAsia" w:ascii="宋体" w:hAnsi="宋体" w:cs="宋体"/>
          <w:szCs w:val="22"/>
        </w:rPr>
        <w:fldChar w:fldCharType="end"/>
      </w:r>
      <w:r/>
    </w:p>
    <w:p>
      <w:pPr>
        <w:pStyle w:val="1111"/>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_Toc29611 </w:instrText>
      </w:r>
      <w:r>
        <w:rPr>
          <w:rFonts w:hint="eastAsia" w:ascii="宋体" w:hAnsi="宋体" w:cs="宋体"/>
          <w:szCs w:val="22"/>
        </w:rPr>
        <w:fldChar w:fldCharType="separate"/>
      </w:r>
      <w:r>
        <w:rPr>
          <w:rFonts w:hint="eastAsia" w:ascii="宋体" w:hAnsi="宋体" w:cs="宋体"/>
        </w:rPr>
        <w:t xml:space="preserve">第五章 拟签订的合同文本</w:t>
      </w:r>
      <w:r>
        <w:tab/>
      </w:r>
      <w:r>
        <w:fldChar w:fldCharType="begin"/>
      </w:r>
      <w:r>
        <w:instrText xml:space="preserve"> PAGEREF _Toc29611 \h </w:instrText>
      </w:r>
      <w:r>
        <w:fldChar w:fldCharType="separate"/>
      </w:r>
      <w:r>
        <w:t xml:space="preserve">- 42 -</w:t>
      </w:r>
      <w:r>
        <w:fldChar w:fldCharType="end"/>
      </w:r>
      <w:r>
        <w:rPr>
          <w:rFonts w:hint="eastAsia" w:ascii="宋体" w:hAnsi="宋体" w:cs="宋体"/>
          <w:szCs w:val="22"/>
        </w:rPr>
        <w:fldChar w:fldCharType="end"/>
      </w:r>
      <w:r/>
    </w:p>
    <w:p>
      <w:pPr>
        <w:pStyle w:val="1111"/>
        <w:tabs>
          <w:tab w:val="right" w:pos="9746" w:leader="dot"/>
        </w:tabs>
      </w:pPr>
      <w:r>
        <w:rPr>
          <w:rFonts w:hint="eastAsia" w:ascii="宋体" w:hAnsi="宋体" w:cs="宋体"/>
          <w:szCs w:val="22"/>
        </w:rPr>
        <w:fldChar w:fldCharType="begin"/>
      </w:r>
      <w:r>
        <w:rPr>
          <w:rFonts w:hint="eastAsia" w:ascii="宋体" w:hAnsi="宋体" w:cs="宋体"/>
          <w:szCs w:val="22"/>
        </w:rPr>
        <w:instrText xml:space="preserve"> HYPERLINK \l _Toc30540 </w:instrText>
      </w:r>
      <w:r>
        <w:rPr>
          <w:rFonts w:hint="eastAsia" w:ascii="宋体" w:hAnsi="宋体" w:cs="宋体"/>
          <w:szCs w:val="22"/>
        </w:rPr>
        <w:fldChar w:fldCharType="separate"/>
      </w:r>
      <w:r>
        <w:rPr>
          <w:rFonts w:hint="eastAsia" w:ascii="宋体" w:hAnsi="宋体" w:cs="宋体"/>
        </w:rPr>
        <w:t xml:space="preserve">第六章 投标文件格式及附件</w:t>
      </w:r>
      <w:r>
        <w:tab/>
      </w:r>
      <w:r>
        <w:fldChar w:fldCharType="begin"/>
      </w:r>
      <w:r>
        <w:instrText xml:space="preserve"> PAGEREF _Toc30540 \h </w:instrText>
      </w:r>
      <w:r>
        <w:fldChar w:fldCharType="separate"/>
      </w:r>
      <w:r>
        <w:t xml:space="preserve">- 48 -</w:t>
      </w:r>
      <w:r>
        <w:fldChar w:fldCharType="end"/>
      </w:r>
      <w:r>
        <w:rPr>
          <w:rFonts w:hint="eastAsia" w:ascii="宋体" w:hAnsi="宋体" w:cs="宋体"/>
          <w:szCs w:val="22"/>
        </w:rPr>
        <w:fldChar w:fldCharType="end"/>
      </w:r>
      <w:r/>
    </w:p>
    <w:p>
      <w:pPr>
        <w:pStyle w:val="1053"/>
        <w:rPr>
          <w:rFonts w:hint="eastAsia" w:ascii="宋体" w:hAnsi="宋体" w:eastAsia="宋体" w:cs="宋体"/>
        </w:rPr>
      </w:pPr>
      <w:r>
        <w:rPr>
          <w:rFonts w:hint="eastAsia" w:ascii="宋体" w:hAnsi="宋体" w:eastAsia="宋体" w:cs="宋体"/>
          <w:szCs w:val="22"/>
        </w:rPr>
        <w:fldChar w:fldCharType="end"/>
      </w:r>
      <w:r>
        <w:rPr>
          <w:rFonts w:hint="eastAsia" w:ascii="宋体" w:hAnsi="宋体" w:eastAsia="宋体" w:cs="宋体"/>
        </w:rPr>
      </w:r>
      <w:r/>
    </w:p>
    <w:p>
      <w:pPr>
        <w:pStyle w:val="1054"/>
        <w:ind w:firstLine="0"/>
        <w:spacing w:before="480"/>
        <w:tabs>
          <w:tab w:val="left" w:pos="1440" w:leader="none"/>
          <w:tab w:val="left" w:pos="5670" w:leader="none"/>
        </w:tabs>
        <w:rPr>
          <w:rStyle w:val="1149"/>
          <w:rFonts w:hint="eastAsia" w:ascii="宋体" w:hAnsi="宋体" w:cs="宋体"/>
          <w:szCs w:val="20"/>
        </w:rPr>
      </w:pPr>
      <w:r/>
      <w:bookmarkStart w:id="3" w:name="_Toc2527"/>
      <w:r>
        <w:rPr>
          <w:rFonts w:hint="eastAsia" w:ascii="宋体" w:hAnsi="宋体" w:eastAsia="宋体" w:cs="宋体"/>
        </w:rPr>
        <w:t xml:space="preserve">第一章 招标公告</w:t>
      </w:r>
      <w:bookmarkEnd w:id="1"/>
      <w:r/>
      <w:bookmarkEnd w:id="2"/>
      <w:r/>
      <w:bookmarkEnd w:id="3"/>
      <w:r>
        <w:rPr>
          <w:rStyle w:val="1149"/>
          <w:rFonts w:hint="eastAsia" w:ascii="宋体" w:hAnsi="宋体" w:cs="宋体"/>
          <w:szCs w:val="20"/>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757"/>
      </w:tblGrid>
      <w:tr>
        <w:trPr/>
        <w:tc>
          <w:tcPr>
            <w:tcW w:w="9757" w:type="dxa"/>
            <w:vAlign w:val="top"/>
            <w:textDirection w:val="lrTb"/>
            <w:noWrap w:val="false"/>
          </w:tcPr>
          <w:p>
            <w:pPr>
              <w:pStyle w:val="1053"/>
              <w:jc w:val="left"/>
              <w:spacing w:after="0"/>
              <w:rPr>
                <w:rFonts w:hint="eastAsia" w:ascii="宋体" w:hAnsi="宋体" w:eastAsia="宋体" w:cs="宋体"/>
                <w:b/>
                <w:bCs/>
                <w:sz w:val="24"/>
                <w:szCs w:val="24"/>
              </w:rPr>
              <w:pBdr>
                <w:top w:val="none" w:color="000000" w:sz="0" w:space="1"/>
                <w:left w:val="none" w:color="000000" w:sz="0" w:space="4"/>
                <w:bottom w:val="none" w:color="000000" w:sz="0" w:space="1"/>
                <w:right w:val="none" w:color="000000" w:sz="0" w:space="4"/>
              </w:pBdr>
            </w:pPr>
            <w:r>
              <w:rPr>
                <w:rFonts w:hint="eastAsia" w:ascii="宋体" w:hAnsi="宋体" w:eastAsia="宋体" w:cs="宋体"/>
                <w:b/>
                <w:bCs/>
                <w:sz w:val="24"/>
                <w:szCs w:val="24"/>
              </w:rPr>
              <w:t xml:space="preserve">项目概况：</w:t>
            </w:r>
            <w:r>
              <w:rPr>
                <w:rFonts w:hint="eastAsia" w:ascii="宋体" w:hAnsi="宋体" w:eastAsia="宋体" w:cs="宋体"/>
                <w:b/>
                <w:bCs/>
                <w:sz w:val="24"/>
                <w:szCs w:val="24"/>
              </w:rPr>
            </w:r>
            <w:r/>
          </w:p>
          <w:p>
            <w:pPr>
              <w:pStyle w:val="1053"/>
              <w:ind w:firstLine="440"/>
              <w:spacing w:before="0" w:after="0"/>
              <w:rPr>
                <w:rFonts w:hint="eastAsia" w:ascii="宋体" w:hAnsi="宋体" w:eastAsia="宋体" w:cs="宋体"/>
              </w:rPr>
            </w:pPr>
            <w:r>
              <w:rPr>
                <w:rFonts w:hint="eastAsia" w:ascii="宋体" w:hAnsi="宋体" w:eastAsia="宋体" w:cs="宋体"/>
                <w:sz w:val="22"/>
              </w:rPr>
              <w:t xml:space="preserve">江苏省计量科学研究院能源计量设备采购</w:t>
            </w:r>
            <w:r>
              <w:rPr>
                <w:rFonts w:hint="eastAsia" w:ascii="宋体" w:hAnsi="宋体" w:eastAsia="宋体" w:cs="宋体"/>
                <w:sz w:val="22"/>
                <w:u w:val="single"/>
              </w:rPr>
              <w:t xml:space="preserve">（项目编号：</w:t>
            </w:r>
            <w:r>
              <w:rPr>
                <w:rFonts w:hint="eastAsia" w:ascii="宋体" w:hAnsi="宋体" w:eastAsia="宋体" w:cs="宋体"/>
                <w:sz w:val="22"/>
                <w:u w:val="single"/>
                <w:lang w:eastAsia="zh-CN"/>
              </w:rPr>
              <w:t xml:space="preserve">JSZC-320000-HWZX-G2026-0649</w:t>
            </w:r>
            <w:r>
              <w:rPr>
                <w:rFonts w:hint="eastAsia" w:ascii="宋体" w:hAnsi="宋体" w:eastAsia="宋体" w:cs="宋体"/>
                <w:sz w:val="22"/>
                <w:u w:val="single"/>
              </w:rPr>
              <w:t xml:space="preserve">）</w:t>
            </w:r>
            <w:r>
              <w:rPr>
                <w:rFonts w:hint="eastAsia" w:ascii="宋体" w:hAnsi="宋体" w:eastAsia="宋体" w:cs="宋体"/>
                <w:sz w:val="22"/>
              </w:rPr>
              <w:t xml:space="preserve">招标项目的潜在投标人应在</w:t>
            </w:r>
            <w:r>
              <w:rPr>
                <w:rFonts w:hint="eastAsia" w:ascii="宋体" w:hAnsi="宋体" w:eastAsia="宋体" w:cs="宋体"/>
                <w:sz w:val="22"/>
                <w:u w:val="single"/>
              </w:rPr>
              <w:t xml:space="preserve">江苏政府采购“苏采云”系统自行免费下载</w:t>
            </w:r>
            <w:r>
              <w:rPr>
                <w:rFonts w:hint="eastAsia" w:ascii="宋体" w:hAnsi="宋体" w:eastAsia="宋体" w:cs="宋体"/>
                <w:sz w:val="22"/>
              </w:rPr>
              <w:t xml:space="preserve">获取招标文件，并于</w:t>
            </w:r>
            <w:r>
              <w:rPr>
                <w:rFonts w:hint="eastAsia" w:ascii="宋体" w:hAnsi="宋体" w:eastAsia="宋体" w:cs="宋体"/>
                <w:sz w:val="22"/>
                <w:u w:val="single"/>
              </w:rPr>
              <w:t xml:space="preserve">2026年</w:t>
            </w:r>
            <w:r>
              <w:rPr>
                <w:rFonts w:hint="eastAsia" w:ascii="宋体" w:hAnsi="宋体" w:eastAsia="宋体" w:cs="宋体"/>
                <w:sz w:val="22"/>
                <w:u w:val="single"/>
                <w:lang w:val="en-US" w:eastAsia="zh-CN"/>
              </w:rPr>
              <w:t xml:space="preserve">11</w:t>
            </w:r>
            <w:r>
              <w:rPr>
                <w:rFonts w:hint="eastAsia" w:ascii="宋体" w:hAnsi="宋体" w:eastAsia="宋体" w:cs="宋体"/>
                <w:sz w:val="22"/>
                <w:u w:val="single"/>
              </w:rPr>
              <w:t xml:space="preserve">月</w:t>
            </w:r>
            <w:r>
              <w:rPr>
                <w:rFonts w:hint="eastAsia" w:ascii="宋体" w:hAnsi="宋体" w:eastAsia="宋体" w:cs="宋体"/>
                <w:sz w:val="22"/>
                <w:u w:val="single"/>
                <w:lang w:val="en-US" w:eastAsia="zh-CN"/>
              </w:rPr>
              <w:t xml:space="preserve">11</w:t>
            </w:r>
            <w:r>
              <w:rPr>
                <w:rFonts w:hint="eastAsia" w:ascii="宋体" w:hAnsi="宋体" w:eastAsia="宋体" w:cs="宋体"/>
                <w:sz w:val="22"/>
                <w:u w:val="single"/>
              </w:rPr>
              <w:t xml:space="preserve">日</w:t>
            </w:r>
            <w:r>
              <w:rPr>
                <w:rFonts w:hint="eastAsia" w:ascii="宋体" w:hAnsi="宋体" w:eastAsia="宋体" w:cs="宋体"/>
                <w:sz w:val="22"/>
                <w:u w:val="single"/>
                <w:lang w:val="en-US" w:eastAsia="zh-CN"/>
              </w:rPr>
              <w:t xml:space="preserve">9</w:t>
            </w:r>
            <w:r>
              <w:rPr>
                <w:rFonts w:hint="eastAsia" w:ascii="宋体" w:hAnsi="宋体" w:eastAsia="宋体" w:cs="宋体"/>
                <w:sz w:val="22"/>
                <w:u w:val="single"/>
              </w:rPr>
              <w:t xml:space="preserve">:00（北京时间）</w:t>
            </w:r>
            <w:r>
              <w:rPr>
                <w:rFonts w:hint="eastAsia" w:ascii="宋体" w:hAnsi="宋体" w:eastAsia="宋体" w:cs="宋体"/>
                <w:sz w:val="22"/>
              </w:rPr>
              <w:t xml:space="preserve">前递交投标文件。</w:t>
            </w:r>
            <w:r>
              <w:rPr>
                <w:rFonts w:hint="eastAsia" w:ascii="宋体" w:hAnsi="宋体" w:eastAsia="宋体" w:cs="宋体"/>
              </w:rPr>
            </w:r>
            <w:r/>
          </w:p>
        </w:tc>
      </w:tr>
    </w:tbl>
    <w:p>
      <w:pPr>
        <w:pStyle w:val="1053"/>
        <w:spacing w:before="0" w:after="0"/>
        <w:rPr>
          <w:rFonts w:hint="eastAsia" w:ascii="宋体" w:hAnsi="宋体" w:eastAsia="宋体" w:cs="宋体"/>
          <w:sz w:val="24"/>
          <w:szCs w:val="24"/>
        </w:rPr>
        <w:outlineLvl w:val="1"/>
      </w:pPr>
      <w:r/>
      <w:bookmarkStart w:id="4" w:name="_Toc9416"/>
      <w:r>
        <w:rPr>
          <w:rFonts w:hint="eastAsia" w:ascii="宋体" w:hAnsi="宋体" w:eastAsia="宋体" w:cs="宋体"/>
          <w:b/>
          <w:bCs/>
          <w:sz w:val="24"/>
          <w:szCs w:val="24"/>
        </w:rPr>
        <w:t xml:space="preserve">一、项目基本情况</w:t>
      </w:r>
      <w:bookmarkEnd w:id="4"/>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lang w:eastAsia="zh-CN"/>
        </w:rPr>
      </w:pPr>
      <w:r>
        <w:rPr>
          <w:rFonts w:hint="eastAsia" w:ascii="宋体" w:hAnsi="宋体" w:eastAsia="宋体" w:cs="宋体"/>
          <w:sz w:val="24"/>
          <w:szCs w:val="24"/>
        </w:rPr>
        <w:t xml:space="preserve">1.项目编号：</w:t>
      </w:r>
      <w:r>
        <w:rPr>
          <w:rFonts w:hint="eastAsia" w:ascii="宋体" w:hAnsi="宋体" w:eastAsia="宋体" w:cs="宋体"/>
          <w:sz w:val="24"/>
          <w:szCs w:val="24"/>
          <w:lang w:eastAsia="zh-CN"/>
        </w:rPr>
        <w:t xml:space="preserve">JSZC-320000-HWZX-G2026-0649</w:t>
      </w:r>
      <w:r>
        <w:rPr>
          <w:rFonts w:hint="eastAsia" w:ascii="宋体" w:hAnsi="宋体" w:eastAsia="宋体" w:cs="宋体"/>
          <w:sz w:val="24"/>
          <w:szCs w:val="24"/>
          <w:lang w:eastAsia="zh-CN"/>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2.项目名称：江苏省计量科学研究院能源计量设备采购</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3.项目预算：人民币450万元，其中采购分包1：115万元；采购分包2：335万元。</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4.最高限价：人民币450万元，单台设备单项报价不得超过相应预算，超出最高限价或单套设备单项预算的投标文件作无效投标处理。具体报价格式参照招标文件附件中“报价一览表格式”。</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5.采购方式：公开招标。</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6.采购需求：本项目分为2个采购分包（标段），可兼投兼中，技术要求详见招标文件“第四章采购需求”。</w:t>
      </w:r>
      <w:r>
        <w:rPr>
          <w:rFonts w:hint="eastAsia" w:ascii="宋体" w:hAnsi="宋体" w:eastAsia="宋体" w:cs="宋体"/>
          <w:sz w:val="24"/>
          <w:szCs w:val="24"/>
        </w:rPr>
      </w:r>
      <w:r/>
    </w:p>
    <w:tbl>
      <w:tblPr>
        <w:tblW w:w="9809" w:type="dxa"/>
        <w:tblInd w:w="-15" w:type="dxa"/>
        <w:tblLayout w:type="autofit"/>
        <w:tblCellMar>
          <w:left w:w="108" w:type="dxa"/>
          <w:top w:w="0" w:type="dxa"/>
          <w:right w:w="108" w:type="dxa"/>
          <w:bottom w:w="0" w:type="dxa"/>
        </w:tblCellMar>
        <w:tblLook w:val="04A0" w:firstRow="1" w:lastRow="0" w:firstColumn="1" w:lastColumn="0" w:noHBand="0" w:noVBand="1"/>
      </w:tblPr>
      <w:tblGrid>
        <w:gridCol w:w="750"/>
        <w:gridCol w:w="988"/>
        <w:gridCol w:w="3099"/>
        <w:gridCol w:w="752"/>
        <w:gridCol w:w="765"/>
        <w:gridCol w:w="1345"/>
        <w:gridCol w:w="1305"/>
        <w:gridCol w:w="805"/>
      </w:tblGrid>
      <w:tr>
        <w:trPr>
          <w:trHeight w:val="56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b/>
                <w:bCs/>
                <w:sz w:val="24"/>
                <w:szCs w:val="24"/>
                <w:lang w:bidi="ar"/>
              </w:rPr>
            </w:pPr>
            <w:r>
              <w:rPr>
                <w:rFonts w:hint="eastAsia" w:ascii="宋体" w:hAnsi="宋体" w:eastAsia="宋体" w:cs="宋体"/>
                <w:b/>
                <w:bCs/>
                <w:sz w:val="24"/>
                <w:szCs w:val="24"/>
                <w:lang w:bidi="ar"/>
              </w:rPr>
              <w:t xml:space="preserve">序号</w:t>
            </w:r>
            <w:r>
              <w:rPr>
                <w:rFonts w:ascii="宋体" w:hAnsi="宋体" w:eastAsia="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5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采购分包号</w:t>
            </w:r>
            <w:r>
              <w:rPr>
                <w:rFonts w:hint="eastAsia" w:ascii="宋体" w:hAnsi="宋体" w:eastAsia="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设备名称</w:t>
            </w:r>
            <w:r>
              <w:rPr>
                <w:rFonts w:hint="eastAsia" w:ascii="宋体" w:hAnsi="宋体" w:eastAsia="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单位</w:t>
            </w:r>
            <w:r>
              <w:rPr>
                <w:rFonts w:hint="eastAsia" w:ascii="宋体" w:hAnsi="宋体" w:eastAsia="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数量</w:t>
            </w:r>
            <w:r>
              <w:rPr>
                <w:rFonts w:hint="eastAsia" w:ascii="宋体" w:hAnsi="宋体" w:eastAsia="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预算金额</w:t>
            </w:r>
            <w:r>
              <w:rPr>
                <w:rFonts w:hint="eastAsia" w:ascii="宋体" w:hAnsi="宋体" w:eastAsia="宋体" w:cs="宋体"/>
                <w:b/>
                <w:bCs/>
                <w:sz w:val="24"/>
                <w:szCs w:val="24"/>
                <w:lang w:bidi="ar"/>
              </w:rPr>
              <w:br w:type="textWrapping" w:clear="all"/>
            </w:r>
            <w:r>
              <w:rPr>
                <w:rFonts w:hint="eastAsia" w:ascii="宋体" w:hAnsi="宋体" w:eastAsia="宋体" w:cs="宋体"/>
                <w:b/>
                <w:bCs/>
                <w:sz w:val="24"/>
                <w:szCs w:val="24"/>
                <w:lang w:bidi="ar"/>
              </w:rPr>
              <w:t xml:space="preserve">（万元）</w:t>
            </w:r>
            <w:r>
              <w:rPr>
                <w:rFonts w:hint="eastAsia" w:ascii="宋体" w:hAnsi="宋体" w:eastAsia="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是否接受进口设备投标</w:t>
            </w:r>
            <w:r>
              <w:rPr>
                <w:rFonts w:hint="eastAsia" w:ascii="宋体" w:hAnsi="宋体" w:eastAsia="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ascii="宋体" w:hAnsi="宋体" w:eastAsia="宋体" w:cs="宋体"/>
                <w:b/>
                <w:bCs/>
                <w:sz w:val="24"/>
                <w:szCs w:val="24"/>
                <w:lang w:bidi="ar"/>
              </w:rPr>
            </w:pPr>
            <w:r>
              <w:rPr>
                <w:rFonts w:hint="eastAsia" w:ascii="宋体" w:hAnsi="宋体" w:eastAsia="宋体" w:cs="宋体"/>
                <w:b/>
                <w:bCs/>
                <w:sz w:val="24"/>
                <w:szCs w:val="24"/>
                <w:lang w:bidi="ar"/>
              </w:rPr>
              <w:t xml:space="preserve">备注</w:t>
            </w:r>
            <w:r>
              <w:rPr>
                <w:rFonts w:ascii="宋体" w:hAnsi="宋体" w:eastAsia="宋体" w:cs="宋体"/>
                <w:b/>
                <w:bCs/>
                <w:sz w:val="24"/>
                <w:szCs w:val="24"/>
                <w:lang w:bidi="ar"/>
              </w:rPr>
            </w:r>
            <w:r/>
          </w:p>
        </w:tc>
      </w:tr>
      <w:tr>
        <w:trPr>
          <w:trHeight w:val="5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1</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pStyle w:val="1053"/>
              <w:jc w:val="center"/>
              <w:spacing w:before="0" w:after="0" w:line="240" w:lineRule="auto"/>
              <w:widowControl/>
              <w:rPr>
                <w:rFonts w:hint="eastAsia" w:ascii="宋体" w:hAnsi="宋体" w:eastAsia="宋体" w:cs="宋体"/>
                <w:color w:val="504050"/>
                <w:sz w:val="14"/>
                <w:szCs w:val="14"/>
              </w:rPr>
            </w:pPr>
            <w:r>
              <w:rPr>
                <w:rFonts w:hint="eastAsia" w:ascii="宋体" w:hAnsi="宋体" w:eastAsia="宋体" w:cs="宋体"/>
                <w:sz w:val="22"/>
                <w:lang w:bidi="ar"/>
              </w:rPr>
              <w:t xml:space="preserve">采购分包1</w:t>
            </w:r>
            <w:r>
              <w:rPr>
                <w:rFonts w:hint="eastAsia" w:ascii="宋体" w:hAnsi="宋体" w:eastAsia="宋体" w:cs="宋体"/>
                <w:color w:val="504050"/>
                <w:sz w:val="14"/>
                <w:szCs w:val="14"/>
              </w:rPr>
            </w:r>
            <w:r/>
          </w:p>
        </w:tc>
        <w:tc>
          <w:tcPr>
            <w:gridSpan w:val="6"/>
            <w:tcBorders>
              <w:top w:val="single" w:color="000000" w:sz="4" w:space="0"/>
              <w:left w:val="single" w:color="000000" w:sz="4" w:space="0"/>
              <w:bottom w:val="single" w:color="000000" w:sz="4" w:space="0"/>
              <w:right w:val="single" w:color="000000" w:sz="4" w:space="0"/>
            </w:tcBorders>
            <w:tcW w:w="8071" w:type="dxa"/>
            <w:vAlign w:val="center"/>
            <w:textDirection w:val="lrTb"/>
            <w:noWrap w:val="false"/>
          </w:tcPr>
          <w:p>
            <w:pPr>
              <w:pStyle w:val="1053"/>
              <w:jc w:val="left"/>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采购1套储能电站涉网性能测试系统，不得低于以下配置：</w:t>
            </w:r>
            <w:r>
              <w:rPr>
                <w:rFonts w:hint="eastAsia" w:ascii="宋体" w:hAnsi="宋体" w:eastAsia="宋体" w:cs="宋体"/>
                <w:sz w:val="22"/>
                <w:lang w:bidi="ar"/>
              </w:rPr>
            </w:r>
            <w:r/>
          </w:p>
        </w:tc>
      </w:tr>
      <w:tr>
        <w:trPr>
          <w:trHeight w:val="46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1.1</w:t>
            </w:r>
            <w:r>
              <w:rPr>
                <w:rFonts w:hint="eastAsia" w:ascii="宋体" w:hAnsi="宋体" w:eastAsia="宋体" w:cs="宋体"/>
                <w:sz w:val="22"/>
                <w:lang w:bidi="ar"/>
              </w:rPr>
            </w:r>
            <w:r/>
          </w:p>
        </w:tc>
        <w:tc>
          <w:tcPr>
            <w:tcBorders>
              <w:top w:val="none" w:color="000000" w:sz="0" w:space="0"/>
              <w:left w:val="single" w:color="000000" w:sz="4" w:space="0"/>
              <w:bottom w:val="none" w:color="000000" w:sz="0"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电网模拟装置</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80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核心产品</w:t>
            </w:r>
            <w:r>
              <w:rPr>
                <w:rFonts w:hint="eastAsia" w:ascii="宋体" w:hAnsi="宋体" w:eastAsia="宋体" w:cs="宋体"/>
                <w:sz w:val="22"/>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rPr>
                <w:rFonts w:hint="eastAsia" w:ascii="宋体" w:hAnsi="宋体" w:eastAsia="宋体" w:cs="宋体"/>
                <w:color w:val="504050"/>
                <w:sz w:val="14"/>
                <w:szCs w:val="14"/>
              </w:rPr>
            </w:pPr>
            <w:r>
              <w:rPr>
                <w:rFonts w:hint="eastAsia" w:ascii="宋体" w:hAnsi="宋体" w:eastAsia="宋体" w:cs="宋体"/>
                <w:sz w:val="22"/>
                <w:lang w:bidi="ar"/>
              </w:rPr>
              <w:t xml:space="preserve">1.2</w:t>
            </w:r>
            <w:r>
              <w:rPr>
                <w:rFonts w:hint="eastAsia" w:ascii="宋体" w:hAnsi="宋体" w:eastAsia="宋体" w:cs="宋体"/>
                <w:color w:val="504050"/>
                <w:sz w:val="14"/>
                <w:szCs w:val="14"/>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rPr>
                <w:rFonts w:hint="eastAsia" w:ascii="宋体" w:hAnsi="宋体" w:eastAsia="宋体" w:cs="宋体"/>
                <w:color w:val="504050"/>
                <w:sz w:val="14"/>
                <w:szCs w:val="14"/>
              </w:rPr>
            </w:pPr>
            <w:r>
              <w:rPr>
                <w:rFonts w:hint="eastAsia" w:ascii="宋体" w:hAnsi="宋体" w:eastAsia="宋体" w:cs="宋体"/>
                <w:color w:val="504050"/>
                <w:sz w:val="14"/>
                <w:szCs w:val="14"/>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可编程多通道高精度数据采集仪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ascii="宋体" w:hAnsi="宋体" w:eastAsia="宋体" w:cs="宋体"/>
                <w:sz w:val="22"/>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rPr>
                <w:rFonts w:hint="eastAsia" w:ascii="宋体" w:hAnsi="宋体" w:eastAsia="宋体" w:cs="宋体"/>
                <w:color w:val="504050"/>
                <w:sz w:val="14"/>
                <w:szCs w:val="14"/>
              </w:rPr>
            </w:pPr>
            <w:r>
              <w:rPr>
                <w:rFonts w:hint="eastAsia" w:ascii="宋体" w:hAnsi="宋体" w:eastAsia="宋体" w:cs="宋体"/>
                <w:sz w:val="22"/>
                <w:lang w:bidi="ar"/>
              </w:rPr>
              <w:t xml:space="preserve">1.3</w:t>
            </w:r>
            <w:r>
              <w:rPr>
                <w:rFonts w:hint="eastAsia" w:ascii="宋体" w:hAnsi="宋体" w:eastAsia="宋体" w:cs="宋体"/>
                <w:color w:val="504050"/>
                <w:sz w:val="14"/>
                <w:szCs w:val="14"/>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rPr>
                <w:rFonts w:hint="eastAsia" w:ascii="宋体" w:hAnsi="宋体" w:eastAsia="宋体" w:cs="宋体"/>
                <w:color w:val="504050"/>
                <w:sz w:val="14"/>
                <w:szCs w:val="14"/>
              </w:rPr>
            </w:pPr>
            <w:r>
              <w:rPr>
                <w:rFonts w:hint="eastAsia" w:ascii="宋体" w:hAnsi="宋体" w:eastAsia="宋体" w:cs="宋体"/>
                <w:color w:val="504050"/>
                <w:sz w:val="14"/>
                <w:szCs w:val="14"/>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频率信号发生装置</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5</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52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采购分包</w:t>
            </w:r>
            <w:r>
              <w:rPr>
                <w:rFonts w:ascii="宋体" w:hAnsi="宋体" w:eastAsia="宋体" w:cs="宋体"/>
                <w:sz w:val="22"/>
                <w:lang w:bidi="ar"/>
              </w:rPr>
              <w:t xml:space="preserve">2</w:t>
            </w:r>
            <w:r>
              <w:rPr>
                <w:rFonts w:hint="eastAsia" w:ascii="宋体" w:hAnsi="宋体" w:eastAsia="宋体" w:cs="宋体"/>
                <w:sz w:val="22"/>
                <w:lang w:bidi="ar"/>
              </w:rPr>
            </w:r>
            <w:r/>
          </w:p>
        </w:tc>
        <w:tc>
          <w:tcPr>
            <w:gridSpan w:val="6"/>
            <w:tcBorders>
              <w:top w:val="single" w:color="000000" w:sz="4" w:space="0"/>
              <w:left w:val="single" w:color="000000" w:sz="4" w:space="0"/>
              <w:bottom w:val="single" w:color="000000" w:sz="4" w:space="0"/>
              <w:right w:val="single" w:color="000000" w:sz="4" w:space="0"/>
            </w:tcBorders>
            <w:tcW w:w="8071" w:type="dxa"/>
            <w:vAlign w:val="center"/>
            <w:textDirection w:val="lrTb"/>
            <w:noWrap w:val="false"/>
          </w:tcPr>
          <w:p>
            <w:pPr>
              <w:pStyle w:val="1053"/>
              <w:jc w:val="left"/>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采购1套能源计量测试系统，不得低于以下配置：</w:t>
            </w:r>
            <w:r>
              <w:rPr>
                <w:rFonts w:hint="eastAsia" w:ascii="宋体" w:hAnsi="宋体" w:eastAsia="宋体" w:cs="宋体"/>
                <w:sz w:val="22"/>
                <w:lang w:bidi="ar"/>
              </w:rPr>
            </w:r>
            <w:r/>
          </w:p>
        </w:tc>
      </w:tr>
      <w:tr>
        <w:trPr>
          <w:trHeight w:val="2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2.1</w:t>
            </w:r>
            <w:r>
              <w:rPr>
                <w:rFonts w:hint="eastAsia" w:ascii="宋体" w:hAnsi="宋体" w:eastAsia="宋体" w:cs="宋体"/>
                <w:sz w:val="22"/>
                <w:lang w:bidi="ar"/>
              </w:rPr>
            </w:r>
            <w:r/>
          </w:p>
        </w:tc>
        <w:tc>
          <w:tcPr>
            <w:tcBorders>
              <w:top w:val="none" w:color="000000" w:sz="0" w:space="0"/>
              <w:left w:val="single" w:color="000000" w:sz="4" w:space="0"/>
              <w:bottom w:val="none" w:color="000000" w:sz="0"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氢能综合能源能效测量系统</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70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核心产品</w:t>
            </w:r>
            <w:r>
              <w:rPr>
                <w:rFonts w:hint="eastAsia" w:ascii="宋体" w:hAnsi="宋体" w:eastAsia="宋体" w:cs="宋体"/>
                <w:sz w:val="22"/>
                <w:lang w:bidi="ar"/>
              </w:rPr>
            </w:r>
            <w:r/>
          </w:p>
        </w:tc>
      </w:tr>
      <w:tr>
        <w:trPr>
          <w:trHeight w:val="52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2.2</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碳捕集能耗测量系统</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60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2.3</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电机系统能效碳效测试分析仪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20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2.4</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变频系统能效碳效测试分析仪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2.5</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泵系统能效碳效测试分析仪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20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2.6</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风机系统能效碳效测试分析仪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20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2.7</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空压机能效碳效测试分析仪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50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2.8</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冷水及热泵机组能效碳效测试分析仪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2.9</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供配电系统能效碳效测试分析仪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2.10</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工业电热设备能效碳效测试分析仪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50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2.11</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热力输送系统能效碳效测试分析仪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15</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bl>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7.合同履行期限（交货期）：</w:t>
      </w:r>
      <w:bookmarkStart w:id="5" w:name="OLE_LINK3"/>
      <w:r/>
      <w:bookmarkStart w:id="6" w:name="OLE_LINK4"/>
      <w:r>
        <w:rPr>
          <w:rFonts w:hint="eastAsia" w:ascii="宋体" w:hAnsi="宋体" w:eastAsia="宋体" w:cs="宋体"/>
          <w:sz w:val="24"/>
          <w:szCs w:val="24"/>
        </w:rPr>
        <w:t xml:space="preserve">合同签订后12个月为备货期，备货期内或备货期满后（以接到采购人具体通知为准）6个月内将货物运输到买方指定地点并完成安装、调试、计量检测以及取得计量溯源合格证书。</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2"/>
          <w:szCs w:val="22"/>
        </w:rPr>
      </w:pPr>
      <w:r/>
      <w:bookmarkEnd w:id="5"/>
      <w:r/>
      <w:bookmarkEnd w:id="6"/>
      <w:r>
        <w:rPr>
          <w:rFonts w:hint="eastAsia" w:ascii="宋体" w:hAnsi="宋体" w:eastAsia="宋体" w:cs="宋体"/>
          <w:sz w:val="24"/>
          <w:szCs w:val="24"/>
        </w:rPr>
        <w:t xml:space="preserve">8.本项目（是/否）接受联合体投标：</w:t>
      </w:r>
      <w:r>
        <w:rPr>
          <w:rFonts w:hint="eastAsia" w:ascii="宋体" w:hAnsi="宋体" w:eastAsia="宋体" w:cs="宋体"/>
          <w:b/>
          <w:bCs/>
          <w:sz w:val="24"/>
          <w:szCs w:val="24"/>
        </w:rPr>
        <w:t xml:space="preserve">不接受联合体</w:t>
      </w:r>
      <w:r>
        <w:rPr>
          <w:rFonts w:hint="eastAsia" w:ascii="宋体" w:hAnsi="宋体" w:eastAsia="宋体" w:cs="宋体"/>
          <w:sz w:val="24"/>
          <w:szCs w:val="24"/>
        </w:rPr>
        <w:t xml:space="preserve">。</w:t>
      </w:r>
      <w:r>
        <w:rPr>
          <w:rFonts w:hint="eastAsia" w:ascii="宋体" w:hAnsi="宋体" w:eastAsia="宋体" w:cs="宋体"/>
          <w:sz w:val="22"/>
          <w:szCs w:val="22"/>
        </w:rPr>
      </w:r>
      <w:r/>
    </w:p>
    <w:p>
      <w:pPr>
        <w:pStyle w:val="1053"/>
        <w:spacing w:before="0" w:after="0"/>
        <w:rPr>
          <w:rFonts w:hint="eastAsia" w:ascii="宋体" w:hAnsi="宋体" w:eastAsia="宋体" w:cs="宋体"/>
          <w:b/>
          <w:bCs/>
          <w:sz w:val="24"/>
          <w:szCs w:val="24"/>
        </w:rPr>
        <w:outlineLvl w:val="1"/>
      </w:pPr>
      <w:r/>
      <w:bookmarkStart w:id="7" w:name="_Toc12976"/>
      <w:r>
        <w:rPr>
          <w:rFonts w:hint="eastAsia" w:ascii="宋体" w:hAnsi="宋体" w:eastAsia="宋体" w:cs="宋体"/>
          <w:b/>
          <w:bCs/>
          <w:sz w:val="24"/>
          <w:szCs w:val="24"/>
        </w:rPr>
        <w:t xml:space="preserve">二、申请人的资质要求</w:t>
      </w:r>
      <w:bookmarkEnd w:id="7"/>
      <w:r>
        <w:rPr>
          <w:rFonts w:hint="eastAsia" w:ascii="宋体" w:hAnsi="宋体" w:eastAsia="宋体" w:cs="宋体"/>
          <w:b/>
          <w:bCs/>
          <w:sz w:val="24"/>
          <w:szCs w:val="24"/>
        </w:rPr>
      </w:r>
      <w:r/>
    </w:p>
    <w:p>
      <w:pPr>
        <w:pStyle w:val="1053"/>
        <w:ind w:firstLine="442"/>
        <w:jc w:val="left"/>
        <w:spacing w:before="0" w:after="0"/>
        <w:tabs>
          <w:tab w:val="left" w:pos="0" w:leader="none"/>
        </w:tabs>
        <w:rPr>
          <w:rFonts w:hint="eastAsia" w:ascii="宋体" w:hAnsi="宋体" w:eastAsia="宋体" w:cs="宋体"/>
          <w:b/>
          <w:bCs/>
          <w:sz w:val="22"/>
          <w:szCs w:val="22"/>
        </w:rPr>
      </w:pPr>
      <w:r/>
      <w:bookmarkStart w:id="8" w:name="OLE_LINK10"/>
      <w:r>
        <w:rPr>
          <w:rFonts w:hint="eastAsia" w:ascii="宋体" w:hAnsi="宋体" w:eastAsia="宋体" w:cs="宋体"/>
          <w:b/>
          <w:bCs/>
          <w:sz w:val="22"/>
          <w:szCs w:val="22"/>
        </w:rPr>
        <w:t xml:space="preserve">（一）满足《中华人民共和国政府采购法》第二十二条规定：</w:t>
      </w:r>
      <w:r>
        <w:rPr>
          <w:rFonts w:hint="eastAsia" w:ascii="宋体" w:hAnsi="宋体" w:eastAsia="宋体" w:cs="宋体"/>
          <w:b/>
          <w:bCs/>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bookmarkEnd w:id="8"/>
      <w:r>
        <w:rPr>
          <w:rFonts w:hint="eastAsia" w:ascii="宋体" w:hAnsi="宋体" w:eastAsia="宋体" w:cs="宋体"/>
          <w:sz w:val="22"/>
          <w:szCs w:val="22"/>
        </w:rPr>
        <w:t xml:space="preserve">1.具有独立承担民事责任的能力（提供法人或者其他组织的营业执照；供应商为自然人的，提供其身份证）； </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具有良好的商业信誉和健全的财务会计制度（提供距开标时间六个月内任意一月份的财务状况报告（至少包括资产负债表和利润表）（法人或者其他组织成立未满三个月的可以不提供），或其银行出具的资信证书复印件（开标前六个月内），或2025年度经审计的财务报告复印件并加盖公章装订在投标文件中，否则视为未提供）；</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3.具有履行合同所必需的设备和专业技术能力（供应商根据履行采购项目合同需要，提供履行合同所必需的设备和专业技术能力的证明材料）；</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4.具有依法缴纳税收和社会保障资金的良好记录（提供距开标时间六个月内任一月份的缴纳税收凭据复印件并加盖公章（依法免税的应提供相应文件说明）；并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5.参加政府采购活动前三年内（成立时间不足三年的、自成立时间起），在经营活动中没有重大违法记录（提供声明函，格式自行编写。重大违法记录是指供应商因违法经营受到刑事处罚或责令停产停业、吊销许可证或者执照、较大数额罚款等行政处罚）；</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6.法律、行政法规规定的其他条件：无。</w:t>
      </w:r>
      <w:r>
        <w:rPr>
          <w:rFonts w:hint="eastAsia" w:ascii="宋体" w:hAnsi="宋体" w:eastAsia="宋体" w:cs="宋体"/>
          <w:sz w:val="22"/>
          <w:szCs w:val="22"/>
        </w:rPr>
      </w:r>
      <w:r/>
    </w:p>
    <w:p>
      <w:pPr>
        <w:pStyle w:val="1053"/>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（二）落实政府采购政策满足的资格要求：</w:t>
      </w:r>
      <w:r>
        <w:rPr>
          <w:rFonts w:hint="eastAsia" w:ascii="宋体" w:hAnsi="宋体" w:eastAsia="宋体" w:cs="宋体"/>
          <w:b/>
          <w:bCs/>
          <w:szCs w:val="21"/>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1.中小企业扶持相关要求</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（1）是否专门面向中小微企业：</w:t>
      </w:r>
      <w:r>
        <w:rPr>
          <w:rFonts w:hint="eastAsia" w:ascii="宋体" w:hAnsi="宋体" w:eastAsia="宋体" w:cs="宋体"/>
          <w:sz w:val="22"/>
          <w:szCs w:val="22"/>
          <w:u w:val="single"/>
        </w:rPr>
        <w:t xml:space="preserve">本项目</w:t>
      </w:r>
      <w:r>
        <w:rPr>
          <w:rFonts w:hint="eastAsia" w:ascii="宋体" w:hAnsi="宋体" w:eastAsia="宋体" w:cs="宋体"/>
          <w:b/>
          <w:bCs/>
          <w:sz w:val="22"/>
          <w:szCs w:val="22"/>
          <w:u w:val="single"/>
        </w:rPr>
        <w:t xml:space="preserve">非专门面向中小微企业</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（2）中小微企业划型标准严格对照《关于印发中小企业划型标准规定的通知》（工信部联企业〔2011〕300 号）执行（格式详见附件），本项目采购标的对应行业为</w:t>
      </w:r>
      <w:r>
        <w:rPr>
          <w:rFonts w:hint="eastAsia" w:ascii="宋体" w:hAnsi="宋体" w:eastAsia="宋体" w:cs="宋体"/>
          <w:sz w:val="22"/>
          <w:szCs w:val="22"/>
          <w:u w:val="single"/>
        </w:rPr>
        <w:t xml:space="preserve">工业</w:t>
      </w:r>
      <w:r>
        <w:rPr>
          <w:rFonts w:hint="eastAsia" w:ascii="宋体" w:hAnsi="宋体" w:eastAsia="宋体" w:cs="宋体"/>
          <w:sz w:val="22"/>
          <w:szCs w:val="22"/>
        </w:rPr>
        <w:t xml:space="preserve">。</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2.本国产品扶持相关要求</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（1）本项目对采购本国产品给予政策支持，具体内容见招标文件“第三章 评分标准”。</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本国产品应当在中国境内生产，即在中华人民共和国关境内实现从原材料、组件到产品的属性改变。从具体情形看，在国内保税区、综合保税区等海关特殊监管区域生产的产品，属于在中国境内生产的产品；其他产品，根据实际情况判断是否在中国境内生产。</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（4）供应商须对所提供的本国产品出具《关于符合本国产品标准的声明函》（格式详见附件），并作为投标文件必备组成部分按要求提交。</w:t>
      </w:r>
      <w:r>
        <w:rPr>
          <w:rFonts w:hint="eastAsia" w:ascii="宋体" w:hAnsi="宋体" w:eastAsia="宋体" w:cs="宋体"/>
          <w:sz w:val="22"/>
          <w:szCs w:val="22"/>
        </w:rPr>
      </w:r>
      <w:r/>
    </w:p>
    <w:p>
      <w:pPr>
        <w:pStyle w:val="1053"/>
        <w:ind w:firstLine="422"/>
        <w:jc w:val="left"/>
        <w:spacing w:before="0" w:after="0"/>
        <w:tabs>
          <w:tab w:val="left" w:pos="0" w:leader="none"/>
        </w:tabs>
        <w:rPr>
          <w:rFonts w:hint="eastAsia" w:ascii="宋体" w:hAnsi="宋体" w:eastAsia="宋体" w:cs="宋体"/>
          <w:b/>
          <w:bCs/>
          <w:szCs w:val="21"/>
        </w:rPr>
      </w:pPr>
      <w:r>
        <w:rPr>
          <w:rFonts w:hint="eastAsia" w:ascii="宋体" w:hAnsi="宋体" w:eastAsia="宋体" w:cs="宋体"/>
          <w:b/>
          <w:bCs/>
          <w:szCs w:val="21"/>
        </w:rPr>
        <w:t xml:space="preserve">（三）本项目的特定资格要求：</w:t>
      </w:r>
      <w:r>
        <w:rPr>
          <w:rFonts w:hint="eastAsia" w:ascii="宋体" w:hAnsi="宋体" w:eastAsia="宋体" w:cs="宋体"/>
          <w:b/>
          <w:bCs/>
          <w:szCs w:val="21"/>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1.本项目</w:t>
      </w:r>
      <w:r>
        <w:rPr>
          <w:rFonts w:hint="eastAsia" w:ascii="宋体" w:hAnsi="宋体" w:eastAsia="宋体" w:cs="宋体"/>
          <w:b/>
          <w:bCs/>
          <w:sz w:val="22"/>
          <w:szCs w:val="22"/>
        </w:rPr>
        <w:t xml:space="preserve">不接受</w:t>
      </w:r>
      <w:r>
        <w:rPr>
          <w:rFonts w:hint="eastAsia" w:ascii="宋体" w:hAnsi="宋体" w:eastAsia="宋体" w:cs="宋体"/>
          <w:sz w:val="22"/>
          <w:szCs w:val="22"/>
        </w:rPr>
        <w:t xml:space="preserve">进口产品投标（注：本文件所称进口产品是指通过中国海关报关验放进入中国境内且产自关境外的产品）。</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拒绝列入失信被执行人、重大税收违法案件当事人名单、政府采购严重违法失信行为记录名单的供应商参与政府采购活动。采购代理机构将在开标结束后，通过“中国政府采购网”、“信用中国”网站等渠道查询投标人信用记录并保存。</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3.其他要求：</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（1）供应商在参加政府采购活动前3年内因违法经营被禁止在一定期限内参加政府采购活动，期限届满的，可以参加政府采购活动。</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（2）单位负责人为同一人或者存在直接控股、管理关系的不同供应商，不得参加同一合同项下的政府采购活动。</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（3）为采购项目提供整体设计、规范编制或者项目管理、监理、检测等服务的供应商，不得再参加该采购项目的其他采购活动。</w:t>
      </w:r>
      <w:r>
        <w:rPr>
          <w:rFonts w:hint="eastAsia" w:ascii="宋体" w:hAnsi="宋体" w:eastAsia="宋体" w:cs="宋体"/>
          <w:sz w:val="22"/>
          <w:szCs w:val="22"/>
        </w:rPr>
      </w:r>
      <w:r/>
    </w:p>
    <w:p>
      <w:pPr>
        <w:pStyle w:val="1053"/>
        <w:jc w:val="left"/>
        <w:spacing w:before="0" w:after="0"/>
        <w:tabs>
          <w:tab w:val="left" w:pos="0" w:leader="none"/>
        </w:tabs>
        <w:rPr>
          <w:rFonts w:hint="eastAsia" w:ascii="宋体" w:hAnsi="宋体" w:eastAsia="宋体" w:cs="宋体"/>
          <w:sz w:val="24"/>
          <w:szCs w:val="24"/>
        </w:rPr>
        <w:outlineLvl w:val="1"/>
      </w:pPr>
      <w:r/>
      <w:bookmarkStart w:id="9" w:name="_Toc29311"/>
      <w:r>
        <w:rPr>
          <w:rFonts w:hint="eastAsia" w:ascii="宋体" w:hAnsi="宋体" w:eastAsia="宋体" w:cs="宋体"/>
          <w:b/>
          <w:bCs/>
          <w:sz w:val="24"/>
          <w:szCs w:val="24"/>
        </w:rPr>
        <w:t xml:space="preserve">三、招标文件发售信息</w:t>
      </w:r>
      <w:bookmarkEnd w:id="9"/>
      <w:r>
        <w:rPr>
          <w:rFonts w:hint="eastAsia" w:ascii="宋体" w:hAnsi="宋体" w:eastAsia="宋体" w:cs="宋体"/>
          <w:sz w:val="24"/>
          <w:szCs w:val="24"/>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1.时间：自招标文件公告发布之日起5个工作日。</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bookmarkStart w:id="10" w:name="OLE_LINK20"/>
      <w:r>
        <w:rPr>
          <w:rFonts w:hint="eastAsia" w:ascii="宋体" w:hAnsi="宋体" w:eastAsia="宋体" w:cs="宋体"/>
          <w:sz w:val="22"/>
          <w:szCs w:val="22"/>
        </w:rPr>
        <w:t xml:space="preserve">2.地址：江苏政府采购“苏采云”系统自行免费下载。</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rPr>
          <w:rFonts w:hint="eastAsia" w:ascii="宋体" w:hAnsi="宋体" w:eastAsia="宋体" w:cs="宋体"/>
          <w:sz w:val="22"/>
          <w:szCs w:val="22"/>
        </w:rPr>
        <w:t xml:space="preserve">3.方式：供应商登陆“江苏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hAnsi="宋体" w:eastAsia="宋体" w:cs="宋体"/>
          <w:sz w:val="22"/>
          <w:szCs w:val="22"/>
        </w:rPr>
      </w:r>
      <w:r/>
    </w:p>
    <w:p>
      <w:pPr>
        <w:pStyle w:val="1053"/>
        <w:ind w:firstLine="440"/>
        <w:jc w:val="left"/>
        <w:spacing w:before="0" w:after="0"/>
        <w:tabs>
          <w:tab w:val="left" w:pos="0" w:leader="none"/>
        </w:tabs>
        <w:rPr>
          <w:rFonts w:hint="eastAsia" w:ascii="宋体" w:hAnsi="宋体" w:eastAsia="宋体" w:cs="宋体"/>
          <w:sz w:val="22"/>
          <w:szCs w:val="22"/>
        </w:rPr>
      </w:pPr>
      <w:r/>
      <w:bookmarkEnd w:id="10"/>
      <w:r>
        <w:rPr>
          <w:rFonts w:hint="eastAsia" w:ascii="宋体" w:hAnsi="宋体" w:eastAsia="宋体" w:cs="宋体"/>
          <w:sz w:val="22"/>
          <w:szCs w:val="22"/>
        </w:rPr>
        <w:t xml:space="preserve">4.售价：0元，售出不退。</w:t>
      </w:r>
      <w:r>
        <w:rPr>
          <w:rFonts w:hint="eastAsia" w:ascii="宋体" w:hAnsi="宋体" w:eastAsia="宋体" w:cs="宋体"/>
          <w:sz w:val="22"/>
          <w:szCs w:val="22"/>
        </w:rPr>
      </w:r>
      <w:r/>
    </w:p>
    <w:p>
      <w:pPr>
        <w:pStyle w:val="1053"/>
        <w:spacing w:before="0" w:after="0"/>
        <w:rPr>
          <w:rFonts w:hint="eastAsia" w:ascii="宋体" w:hAnsi="宋体" w:eastAsia="宋体" w:cs="宋体"/>
          <w:b/>
          <w:bCs/>
          <w:sz w:val="22"/>
          <w:szCs w:val="22"/>
        </w:rPr>
        <w:outlineLvl w:val="1"/>
      </w:pPr>
      <w:r/>
      <w:bookmarkStart w:id="11" w:name="_Toc9771"/>
      <w:r>
        <w:rPr>
          <w:rFonts w:hint="eastAsia" w:ascii="宋体" w:hAnsi="宋体" w:eastAsia="宋体" w:cs="宋体"/>
          <w:b/>
          <w:sz w:val="24"/>
          <w:szCs w:val="24"/>
        </w:rPr>
        <w:t xml:space="preserve">四、</w:t>
      </w:r>
      <w:bookmarkStart w:id="12" w:name="OLE_LINK16"/>
      <w:r>
        <w:rPr>
          <w:rFonts w:hint="eastAsia" w:ascii="宋体" w:hAnsi="宋体" w:eastAsia="宋体" w:cs="宋体"/>
          <w:b/>
          <w:bCs/>
          <w:sz w:val="24"/>
          <w:szCs w:val="24"/>
        </w:rPr>
        <w:t xml:space="preserve">提交投标文件截止时间</w:t>
      </w:r>
      <w:bookmarkEnd w:id="12"/>
      <w:r>
        <w:rPr>
          <w:rFonts w:hint="eastAsia" w:ascii="宋体" w:hAnsi="宋体" w:eastAsia="宋体" w:cs="宋体"/>
          <w:b/>
          <w:bCs/>
          <w:sz w:val="24"/>
          <w:szCs w:val="24"/>
        </w:rPr>
        <w:t xml:space="preserve">、开标时间和地点</w:t>
      </w:r>
      <w:bookmarkEnd w:id="11"/>
      <w:r>
        <w:rPr>
          <w:rFonts w:hint="eastAsia" w:ascii="宋体" w:hAnsi="宋体" w:eastAsia="宋体" w:cs="宋体"/>
          <w:b/>
          <w:bCs/>
          <w:sz w:val="22"/>
          <w:szCs w:val="22"/>
        </w:rPr>
      </w:r>
      <w:r/>
    </w:p>
    <w:p>
      <w:pPr>
        <w:pStyle w:val="1053"/>
        <w:ind w:firstLine="440"/>
        <w:spacing w:before="0" w:after="0"/>
        <w:rPr>
          <w:rFonts w:hint="eastAsia" w:ascii="宋体" w:hAnsi="宋体" w:eastAsia="宋体" w:cs="宋体"/>
          <w:sz w:val="22"/>
          <w:szCs w:val="22"/>
        </w:rPr>
      </w:pPr>
      <w:r/>
      <w:bookmarkStart w:id="13" w:name="OLE_LINK17"/>
      <w:r>
        <w:rPr>
          <w:rFonts w:hint="eastAsia" w:ascii="宋体" w:hAnsi="宋体" w:eastAsia="宋体" w:cs="宋体"/>
          <w:sz w:val="22"/>
          <w:szCs w:val="22"/>
        </w:rPr>
        <w:t xml:space="preserve">1.提交投标文件截止时间：2026年</w:t>
      </w:r>
      <w:r>
        <w:rPr>
          <w:rFonts w:hint="eastAsia" w:ascii="宋体" w:hAnsi="宋体" w:eastAsia="宋体" w:cs="宋体"/>
          <w:sz w:val="22"/>
          <w:szCs w:val="22"/>
          <w:lang w:val="en-US" w:eastAsia="zh-CN"/>
        </w:rPr>
        <w:t xml:space="preserve">11</w:t>
      </w:r>
      <w:r>
        <w:rPr>
          <w:rFonts w:hint="eastAsia" w:ascii="宋体" w:hAnsi="宋体" w:eastAsia="宋体" w:cs="宋体"/>
          <w:sz w:val="22"/>
          <w:szCs w:val="22"/>
        </w:rPr>
        <w:t xml:space="preserve">月</w:t>
      </w:r>
      <w:r>
        <w:rPr>
          <w:rFonts w:hint="eastAsia" w:ascii="宋体" w:hAnsi="宋体" w:eastAsia="宋体" w:cs="宋体"/>
          <w:sz w:val="22"/>
          <w:szCs w:val="22"/>
          <w:lang w:val="en-US" w:eastAsia="zh-CN"/>
        </w:rPr>
        <w:t xml:space="preserve">11</w:t>
      </w:r>
      <w:r>
        <w:rPr>
          <w:rFonts w:hint="eastAsia" w:ascii="宋体" w:hAnsi="宋体" w:eastAsia="宋体" w:cs="宋体"/>
          <w:sz w:val="22"/>
          <w:szCs w:val="22"/>
        </w:rPr>
        <w:t xml:space="preserve">日</w:t>
      </w:r>
      <w:r>
        <w:rPr>
          <w:rFonts w:hint="eastAsia" w:ascii="宋体" w:hAnsi="宋体" w:eastAsia="宋体" w:cs="宋体"/>
          <w:sz w:val="22"/>
          <w:szCs w:val="22"/>
          <w:lang w:val="en-US" w:eastAsia="zh-CN"/>
        </w:rPr>
        <w:t xml:space="preserve">9</w:t>
      </w:r>
      <w:r>
        <w:rPr>
          <w:rFonts w:hint="eastAsia" w:ascii="宋体" w:hAnsi="宋体" w:eastAsia="宋体" w:cs="宋体"/>
          <w:sz w:val="22"/>
          <w:szCs w:val="22"/>
        </w:rPr>
        <w:t xml:space="preserve">:00（北京时间）</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2.开标时间：2026年</w:t>
      </w:r>
      <w:r>
        <w:rPr>
          <w:rFonts w:hint="eastAsia" w:ascii="宋体" w:hAnsi="宋体" w:eastAsia="宋体" w:cs="宋体"/>
          <w:sz w:val="22"/>
          <w:szCs w:val="22"/>
          <w:lang w:eastAsia="zh-CN"/>
        </w:rPr>
        <w:t xml:space="preserve">11月11日9:00</w:t>
      </w:r>
      <w:r>
        <w:rPr>
          <w:rFonts w:hint="eastAsia" w:ascii="宋体" w:hAnsi="宋体" w:eastAsia="宋体" w:cs="宋体"/>
          <w:sz w:val="22"/>
          <w:szCs w:val="22"/>
        </w:rPr>
        <w:t xml:space="preserve">（北京时间）</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3.地址：“苏采云”政府采购交易系统网上开标大厅。</w:t>
      </w:r>
      <w:r>
        <w:rPr>
          <w:rFonts w:hint="eastAsia" w:ascii="宋体" w:hAnsi="宋体" w:eastAsia="宋体" w:cs="宋体"/>
          <w:sz w:val="22"/>
          <w:szCs w:val="22"/>
        </w:rPr>
      </w:r>
      <w:r/>
    </w:p>
    <w:p>
      <w:pPr>
        <w:pStyle w:val="1053"/>
        <w:spacing w:before="0" w:after="0"/>
        <w:rPr>
          <w:rFonts w:hint="eastAsia" w:ascii="宋体" w:hAnsi="宋体" w:eastAsia="宋体" w:cs="宋体"/>
          <w:b/>
          <w:bCs/>
          <w:sz w:val="24"/>
          <w:szCs w:val="24"/>
        </w:rPr>
        <w:outlineLvl w:val="1"/>
      </w:pPr>
      <w:r/>
      <w:bookmarkStart w:id="14" w:name="_Toc25297"/>
      <w:r>
        <w:rPr>
          <w:rFonts w:hint="eastAsia" w:ascii="宋体" w:hAnsi="宋体" w:eastAsia="宋体" w:cs="宋体"/>
          <w:b/>
          <w:bCs/>
          <w:sz w:val="24"/>
          <w:szCs w:val="24"/>
        </w:rPr>
        <w:t xml:space="preserve">五、公告期限</w:t>
      </w:r>
      <w:bookmarkEnd w:id="14"/>
      <w:r>
        <w:rPr>
          <w:rFonts w:hint="eastAsia" w:ascii="宋体" w:hAnsi="宋体" w:eastAsia="宋体" w:cs="宋体"/>
          <w:b/>
          <w:bCs/>
          <w:sz w:val="24"/>
          <w:szCs w:val="24"/>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招标公告及招标文件公告期限为自本公告发布之日起5个工作日。</w:t>
      </w:r>
      <w:r>
        <w:rPr>
          <w:rFonts w:hint="eastAsia" w:ascii="宋体" w:hAnsi="宋体" w:eastAsia="宋体" w:cs="宋体"/>
          <w:sz w:val="22"/>
          <w:szCs w:val="22"/>
        </w:rPr>
      </w:r>
      <w:r/>
    </w:p>
    <w:p>
      <w:pPr>
        <w:pStyle w:val="1053"/>
        <w:spacing w:before="0" w:after="0"/>
        <w:rPr>
          <w:rFonts w:hint="eastAsia" w:ascii="宋体" w:hAnsi="宋体" w:eastAsia="宋体" w:cs="宋体"/>
          <w:b/>
          <w:bCs/>
          <w:sz w:val="24"/>
          <w:szCs w:val="24"/>
        </w:rPr>
        <w:outlineLvl w:val="1"/>
      </w:pPr>
      <w:r/>
      <w:bookmarkStart w:id="15" w:name="_Toc21266"/>
      <w:r>
        <w:rPr>
          <w:rFonts w:hint="eastAsia" w:ascii="宋体" w:hAnsi="宋体" w:eastAsia="宋体" w:cs="宋体"/>
          <w:b/>
          <w:bCs/>
          <w:sz w:val="24"/>
          <w:szCs w:val="24"/>
        </w:rPr>
        <w:t xml:space="preserve">六、其他补充事宜</w:t>
      </w:r>
      <w:bookmarkEnd w:id="15"/>
      <w:r>
        <w:rPr>
          <w:rFonts w:hint="eastAsia" w:ascii="宋体" w:hAnsi="宋体" w:eastAsia="宋体" w:cs="宋体"/>
          <w:b/>
          <w:bCs/>
          <w:sz w:val="24"/>
          <w:szCs w:val="24"/>
        </w:rPr>
      </w:r>
      <w:r/>
    </w:p>
    <w:p>
      <w:pPr>
        <w:pStyle w:val="105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1.根据省财政厅《关</w:t>
      </w:r>
      <w:r>
        <w:rPr>
          <w:rFonts w:hint="eastAsia" w:ascii="宋体" w:hAnsi="宋体" w:eastAsia="宋体" w:cs="宋体"/>
          <w:sz w:val="22"/>
          <w:szCs w:val="22"/>
        </w:rPr>
        <w:t xml:space="preserve">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http：//www.ccgp-jiangsu.gov.cn/jiangsu/zlxz/ee/ee3a4bc5a3454aa2b0d9312230633ce9.html。</w:t>
      </w:r>
      <w:r>
        <w:rPr>
          <w:rFonts w:hint="eastAsia" w:ascii="宋体" w:hAnsi="宋体" w:eastAsia="宋体" w:cs="宋体"/>
          <w:sz w:val="22"/>
          <w:szCs w:val="22"/>
        </w:rPr>
      </w:r>
      <w:r/>
    </w:p>
    <w:p>
      <w:pPr>
        <w:pStyle w:val="105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投标文件。投标人也可前往“江苏政务服务网”（www.jszwfw.gov.cn），在“一企来办”专栏下“政府采购”模块详细了解关于CA办理、标书制作、开标投标指引等事宜。</w:t>
      </w:r>
      <w:r>
        <w:rPr>
          <w:rFonts w:hint="eastAsia" w:ascii="宋体" w:hAnsi="宋体" w:eastAsia="宋体" w:cs="宋体"/>
          <w:sz w:val="22"/>
          <w:szCs w:val="22"/>
        </w:rPr>
      </w:r>
      <w:r/>
    </w:p>
    <w:p>
      <w:pPr>
        <w:pStyle w:val="105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如果“江苏政府采购网”（www.ccgp-jiangsu.gov.cn）信息与“江苏政务服务网” （www.jszwfw.gov.cn），“一企来办”专栏下“政府采购”模块中信息不一致，以“江苏政府采购网”信息为准。</w:t>
      </w:r>
      <w:r>
        <w:rPr>
          <w:rFonts w:hint="eastAsia" w:ascii="宋体" w:hAnsi="宋体" w:eastAsia="宋体" w:cs="宋体"/>
          <w:sz w:val="22"/>
          <w:szCs w:val="22"/>
        </w:rPr>
      </w:r>
      <w:r/>
    </w:p>
    <w:p>
      <w:pPr>
        <w:pStyle w:val="105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请供应商在开标前登录谷歌浏览器进入不见面大厅，并准备好耳麦和摄像设备，操作系统至少为win7，建议使用win10操作系统。因供应商网络与电源不稳定、未按要求配置上述设备、上述设备发生故障等自身原因导致的后果，由供应商自行承担。</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本次招标请按“包”下载招标文件，编制、密封、提交投标文件，并按“包”开标、评标。</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w:t>
      </w:r>
      <w:r>
        <w:rPr>
          <w:rFonts w:hint="eastAsia" w:ascii="宋体" w:hAnsi="宋体" w:eastAsia="宋体" w:cs="宋体"/>
          <w:sz w:val="24"/>
          <w:szCs w:val="24"/>
        </w:rPr>
        <w:t xml:space="preserve">.</w:t>
      </w:r>
      <w:r>
        <w:rPr>
          <w:rFonts w:hint="eastAsia" w:ascii="宋体" w:hAnsi="宋体" w:eastAsia="宋体" w:cs="宋体"/>
          <w:sz w:val="22"/>
          <w:szCs w:val="22"/>
        </w:rPr>
        <w:t xml:space="preserve">公告媒体：本招</w:t>
      </w:r>
      <w:bookmarkStart w:id="16" w:name="OLE_LINK13"/>
      <w:r>
        <w:rPr>
          <w:rFonts w:hint="eastAsia" w:ascii="宋体" w:hAnsi="宋体" w:eastAsia="宋体" w:cs="宋体"/>
          <w:sz w:val="22"/>
          <w:szCs w:val="22"/>
        </w:rPr>
        <w:t xml:space="preserve">标公告在江苏政府采购网（http://www.ccgp-jiangsu.gov.cn/）公示发布，敬请各投标人关注。有关本次招标的事项若存在变动或修改，敬请及时关注江苏海外集团国际工程咨询有限公司在“江苏政府采购网”发布的更正公告。</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采购项目需要落实的政府采购政策情况：本项目执行《政府采购促进中小企业发展暂行办法》、《关于政府采购支持监狱企业发展有关问题的通知》、《关于促进残疾人就业政府采购政策的通知》、《关于调整优化节能产品、环境标志产品政府采购执行机制的通知》、《国务院办公厅关于在政府采购中实施本国产品标准及相关政策的通知》等政府采购相关文件。</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4.投标保证金数额及缴纳办法：本次招标不收取投标保证金。</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lang w:eastAsia="zh-CN"/>
        </w:rPr>
      </w:pPr>
      <w:r/>
      <w:bookmarkEnd w:id="16"/>
      <w:r/>
      <w:bookmarkStart w:id="17" w:name="OLE_LINK21"/>
      <w:r>
        <w:rPr>
          <w:rFonts w:hint="eastAsia" w:ascii="宋体" w:hAnsi="宋体" w:eastAsia="宋体" w:cs="宋体"/>
          <w:sz w:val="22"/>
          <w:szCs w:val="22"/>
        </w:rPr>
        <w:t xml:space="preserve">5.本项目代理机构内部编号：</w:t>
      </w:r>
      <w:r>
        <w:rPr>
          <w:rFonts w:hint="eastAsia" w:ascii="宋体" w:hAnsi="宋体" w:eastAsia="宋体" w:cs="宋体"/>
          <w:sz w:val="22"/>
          <w:szCs w:val="22"/>
          <w:lang w:eastAsia="zh-CN"/>
        </w:rPr>
        <w:t xml:space="preserve">0675-266JOC004773</w:t>
      </w:r>
      <w:r>
        <w:rPr>
          <w:rFonts w:hint="eastAsia" w:ascii="宋体" w:hAnsi="宋体" w:eastAsia="宋体" w:cs="宋体"/>
          <w:sz w:val="22"/>
          <w:szCs w:val="22"/>
          <w:lang w:eastAsia="zh-CN"/>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6.</w:t>
      </w:r>
      <w:bookmarkEnd w:id="13"/>
      <w:r/>
      <w:bookmarkEnd w:id="17"/>
      <w:r>
        <w:rPr>
          <w:rFonts w:hint="eastAsia" w:ascii="宋体" w:hAnsi="宋体" w:eastAsia="宋体" w:cs="宋体"/>
          <w:sz w:val="22"/>
          <w:szCs w:val="22"/>
        </w:rPr>
        <w:t xml:space="preserve">获取招标文件咨询联系方式：</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联系人：吴昊</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电话：025-84795433</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邮箱：wh@jocite.com</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地址：南京市建邺区云龙山路58号大唐科技大厦A座高区15楼</w:t>
      </w:r>
      <w:r>
        <w:rPr>
          <w:rFonts w:hint="eastAsia" w:ascii="宋体" w:hAnsi="宋体" w:eastAsia="宋体" w:cs="宋体"/>
          <w:sz w:val="22"/>
          <w:szCs w:val="22"/>
        </w:rPr>
      </w:r>
      <w:r/>
    </w:p>
    <w:p>
      <w:pPr>
        <w:pStyle w:val="1053"/>
        <w:spacing w:before="0" w:after="0"/>
        <w:rPr>
          <w:rFonts w:hint="eastAsia" w:ascii="宋体" w:hAnsi="宋体" w:eastAsia="宋体" w:cs="宋体"/>
          <w:b/>
          <w:bCs/>
          <w:sz w:val="24"/>
          <w:szCs w:val="24"/>
        </w:rPr>
        <w:outlineLvl w:val="1"/>
      </w:pPr>
      <w:r/>
      <w:bookmarkStart w:id="18" w:name="_Toc18467"/>
      <w:r>
        <w:rPr>
          <w:rFonts w:hint="eastAsia" w:ascii="宋体" w:hAnsi="宋体" w:eastAsia="宋体" w:cs="宋体"/>
          <w:b/>
          <w:bCs/>
          <w:sz w:val="24"/>
          <w:szCs w:val="24"/>
        </w:rPr>
        <w:t xml:space="preserve">七、对本次招标提出询问，请按以下方式联系</w:t>
      </w:r>
      <w:bookmarkEnd w:id="18"/>
      <w:r>
        <w:rPr>
          <w:rFonts w:hint="eastAsia" w:ascii="宋体" w:hAnsi="宋体" w:eastAsia="宋体" w:cs="宋体"/>
          <w:b/>
          <w:bCs/>
          <w:sz w:val="24"/>
          <w:szCs w:val="24"/>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1.采购人信息</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名称：江苏省计量科学研究院（江苏省能源计量数据中心）</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地址：南京市栖霞区文澜路95号</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联系人：曹老师 </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联系电话：025-86435533</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2.采购代理机构信息</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名称：江苏海外集团国际工程咨询有限公司</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地址：南京市建邺区云龙山路58号大唐科技大厦A座高区14-15楼</w:t>
      </w:r>
      <w:r>
        <w:rPr>
          <w:rFonts w:hint="eastAsia" w:ascii="宋体" w:hAnsi="宋体" w:eastAsia="宋体" w:cs="宋体"/>
          <w:sz w:val="22"/>
          <w:szCs w:val="22"/>
        </w:rPr>
      </w:r>
      <w:r/>
    </w:p>
    <w:p>
      <w:pPr>
        <w:pStyle w:val="1053"/>
        <w:ind w:firstLine="440"/>
        <w:jc w:val="left"/>
        <w:spacing w:before="0" w:after="0"/>
        <w:rPr>
          <w:rFonts w:hint="eastAsia" w:ascii="宋体" w:hAnsi="宋体" w:eastAsia="宋体" w:cs="宋体"/>
          <w:sz w:val="22"/>
          <w:szCs w:val="22"/>
        </w:rPr>
      </w:pPr>
      <w:r>
        <w:rPr>
          <w:rFonts w:hint="eastAsia" w:ascii="宋体" w:hAnsi="宋体" w:eastAsia="宋体" w:cs="宋体"/>
          <w:sz w:val="22"/>
          <w:szCs w:val="22"/>
        </w:rPr>
        <w:t xml:space="preserve">联系人：吴昊、方东、郭秀华</w:t>
      </w:r>
      <w:r>
        <w:rPr>
          <w:rFonts w:hint="eastAsia" w:ascii="宋体" w:hAnsi="宋体" w:eastAsia="宋体" w:cs="宋体"/>
          <w:sz w:val="22"/>
          <w:szCs w:val="22"/>
        </w:rPr>
      </w:r>
      <w:r/>
    </w:p>
    <w:p>
      <w:pPr>
        <w:pStyle w:val="1053"/>
        <w:ind w:firstLine="440"/>
        <w:jc w:val="left"/>
        <w:spacing w:before="0" w:after="0"/>
        <w:rPr>
          <w:rFonts w:hint="eastAsia" w:ascii="宋体" w:hAnsi="宋体" w:eastAsia="宋体" w:cs="宋体"/>
        </w:rPr>
        <w:sectPr>
          <w:headerReference w:type="default" r:id="rId11"/>
          <w:footerReference w:type="default" r:id="rId15"/>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2"/>
          <w:szCs w:val="22"/>
        </w:rPr>
        <w:t xml:space="preserve">联系电话：025-84795433</w:t>
      </w:r>
      <w:bookmarkStart w:id="19" w:name="_Toc17198"/>
      <w:r/>
      <w:bookmarkStart w:id="20" w:name="_Toc24439"/>
      <w:r>
        <w:rPr>
          <w:rFonts w:hint="eastAsia" w:ascii="宋体" w:hAnsi="宋体" w:eastAsia="宋体" w:cs="宋体"/>
        </w:rPr>
      </w:r>
      <w:r/>
    </w:p>
    <w:p>
      <w:pPr>
        <w:pStyle w:val="1053"/>
        <w:ind w:firstLine="643"/>
        <w:jc w:val="center"/>
        <w:spacing w:before="0" w:after="0"/>
        <w:rPr>
          <w:rFonts w:hint="eastAsia" w:ascii="宋体" w:hAnsi="宋体" w:eastAsia="宋体" w:cs="宋体"/>
        </w:rPr>
      </w:pPr>
      <w:r/>
      <w:bookmarkStart w:id="21" w:name="_Toc11807"/>
      <w:r>
        <w:rPr>
          <w:rStyle w:val="1065"/>
          <w:rFonts w:hint="eastAsia" w:ascii="宋体" w:hAnsi="宋体" w:eastAsia="宋体" w:cs="宋体"/>
        </w:rPr>
        <w:t xml:space="preserve">第二章 投标人须知</w:t>
      </w:r>
      <w:bookmarkEnd w:id="19"/>
      <w:r/>
      <w:bookmarkEnd w:id="20"/>
      <w:r/>
      <w:bookmarkEnd w:id="21"/>
      <w:r>
        <w:rPr>
          <w:rFonts w:hint="eastAsia" w:ascii="宋体" w:hAnsi="宋体" w:eastAsia="宋体" w:cs="宋体"/>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江苏海外集团国际工程咨询有限公司（以下简称“采购代理机构”）受江苏省计量科学研究院（江苏省能源计量数据中心）（采购单位名称，以下简称“采购人”）委托，就江苏省计量科学研究院能源计量设备采购采用公开招标方式采购，兹邀请符合资格条件的投标人提交投标文件和相关材料。</w:t>
      </w:r>
      <w:r>
        <w:rPr>
          <w:rFonts w:hint="eastAsia" w:ascii="宋体" w:hAnsi="宋体" w:eastAsia="宋体" w:cs="宋体"/>
          <w:sz w:val="22"/>
          <w:szCs w:val="22"/>
        </w:rPr>
      </w:r>
      <w:r/>
    </w:p>
    <w:p>
      <w:pPr>
        <w:pStyle w:val="1055"/>
        <w:jc w:val="center"/>
        <w:rPr>
          <w:rFonts w:hint="eastAsia" w:eastAsia="宋体" w:cs="宋体"/>
          <w:sz w:val="24"/>
        </w:rPr>
      </w:pPr>
      <w:r/>
      <w:bookmarkStart w:id="22" w:name="_Toc10384"/>
      <w:r>
        <w:rPr>
          <w:rFonts w:hint="eastAsia" w:eastAsia="宋体" w:cs="宋体"/>
          <w:sz w:val="24"/>
        </w:rPr>
        <w:t xml:space="preserve">投标人须知前附表：</w:t>
      </w:r>
      <w:bookmarkEnd w:id="22"/>
      <w:r>
        <w:rPr>
          <w:rFonts w:hint="eastAsia" w:eastAsia="宋体" w:cs="宋体"/>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9"/>
        <w:gridCol w:w="2285"/>
        <w:gridCol w:w="6361"/>
      </w:tblGrid>
      <w:tr>
        <w:trPr>
          <w:cantSplit/>
          <w:tblHeader/>
        </w:trPr>
        <w:tc>
          <w:tcPr>
            <w:tcW w:w="809" w:type="dxa"/>
            <w:vAlign w:val="center"/>
            <w:textDirection w:val="lrTb"/>
            <w:noWrap w:val="false"/>
          </w:tcPr>
          <w:p>
            <w:pPr>
              <w:pStyle w:val="1053"/>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序号</w:t>
            </w:r>
            <w:r>
              <w:rPr>
                <w:rFonts w:hint="eastAsia" w:ascii="宋体" w:hAnsi="宋体" w:eastAsia="宋体" w:cs="宋体"/>
                <w:b/>
                <w:bCs/>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项目</w:t>
            </w:r>
            <w:r>
              <w:rPr>
                <w:rFonts w:hint="eastAsia" w:ascii="宋体" w:hAnsi="宋体" w:eastAsia="宋体" w:cs="宋体"/>
                <w:b/>
                <w:bCs/>
                <w:sz w:val="22"/>
              </w:rPr>
            </w:r>
            <w:r/>
          </w:p>
        </w:tc>
        <w:tc>
          <w:tcPr>
            <w:tcW w:w="6361" w:type="dxa"/>
            <w:vAlign w:val="center"/>
            <w:textDirection w:val="lrTb"/>
            <w:noWrap w:val="false"/>
          </w:tcPr>
          <w:p>
            <w:pPr>
              <w:pStyle w:val="1053"/>
              <w:jc w:val="center"/>
              <w:spacing w:before="0" w:after="0" w:line="300" w:lineRule="auto"/>
              <w:rPr>
                <w:rFonts w:hint="eastAsia" w:ascii="宋体" w:hAnsi="宋体" w:eastAsia="宋体" w:cs="宋体"/>
                <w:b/>
                <w:bCs/>
                <w:sz w:val="22"/>
              </w:rPr>
            </w:pPr>
            <w:r>
              <w:rPr>
                <w:rFonts w:hint="eastAsia" w:ascii="宋体" w:hAnsi="宋体" w:eastAsia="宋体" w:cs="宋体"/>
                <w:b/>
                <w:bCs/>
                <w:sz w:val="22"/>
              </w:rPr>
              <w:t xml:space="preserve">具体内容</w:t>
            </w:r>
            <w:r>
              <w:rPr>
                <w:rFonts w:hint="eastAsia" w:ascii="宋体" w:hAnsi="宋体" w:eastAsia="宋体" w:cs="宋体"/>
                <w:b/>
                <w:bCs/>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项目名称</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江苏省计量科学研究院能源计量设备采购</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采购方式</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公开招标</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3</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项目编号</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项目编号：</w:t>
            </w:r>
            <w:r>
              <w:rPr>
                <w:rFonts w:hint="eastAsia" w:ascii="宋体" w:hAnsi="宋体" w:eastAsia="宋体" w:cs="宋体"/>
                <w:sz w:val="22"/>
                <w:lang w:eastAsia="zh-CN"/>
              </w:rPr>
              <w:t xml:space="preserve">JSZC-320000-HWZX-G2026-0649</w:t>
            </w:r>
            <w:r>
              <w:rPr>
                <w:rFonts w:hint="eastAsia" w:ascii="宋体" w:hAnsi="宋体" w:eastAsia="宋体" w:cs="宋体"/>
                <w:sz w:val="22"/>
                <w:lang w:eastAsia="zh-CN"/>
              </w:rPr>
            </w:r>
            <w:r/>
          </w:p>
          <w:p>
            <w:pPr>
              <w:pStyle w:val="1053"/>
              <w:spacing w:before="0" w:after="0" w:line="300" w:lineRule="auto"/>
              <w:rPr>
                <w:rFonts w:hint="eastAsia" w:ascii="宋体" w:hAnsi="宋体" w:eastAsia="宋体" w:cs="宋体"/>
                <w:sz w:val="22"/>
                <w:lang w:eastAsia="zh-CN"/>
              </w:rPr>
            </w:pPr>
            <w:r>
              <w:rPr>
                <w:rFonts w:hint="eastAsia" w:ascii="宋体" w:hAnsi="宋体" w:eastAsia="宋体" w:cs="宋体"/>
                <w:sz w:val="22"/>
              </w:rPr>
              <w:t xml:space="preserve">代理机构内部编号：</w:t>
            </w:r>
            <w:r>
              <w:rPr>
                <w:rFonts w:hint="eastAsia" w:ascii="宋体" w:hAnsi="宋体" w:eastAsia="宋体" w:cs="宋体"/>
                <w:sz w:val="22"/>
                <w:lang w:eastAsia="zh-CN"/>
              </w:rPr>
              <w:t xml:space="preserve">0675-266JOC004773</w:t>
            </w:r>
            <w:r>
              <w:rPr>
                <w:rFonts w:hint="eastAsia" w:ascii="宋体" w:hAnsi="宋体" w:eastAsia="宋体" w:cs="宋体"/>
                <w:sz w:val="22"/>
                <w:lang w:eastAsia="zh-CN"/>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4</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分包</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ascii="宋体" w:hAnsi="宋体" w:eastAsia="宋体" w:cs="宋体"/>
                <w:sz w:val="22"/>
              </w:rPr>
            </w:pPr>
            <w:r>
              <w:rPr>
                <w:rFonts w:hint="eastAsia" w:ascii="宋体" w:hAnsi="宋体" w:eastAsia="宋体" w:cs="宋体"/>
                <w:sz w:val="22"/>
              </w:rPr>
              <w:t xml:space="preserve">1</w:t>
            </w:r>
            <w:r>
              <w:rPr>
                <w:rFonts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5</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采购代理</w:t>
            </w:r>
            <w:r>
              <w:rPr>
                <w:rFonts w:hint="eastAsia" w:ascii="宋体" w:hAnsi="宋体" w:eastAsia="宋体" w:cs="宋体"/>
                <w:sz w:val="22"/>
              </w:rPr>
            </w:r>
            <w:r/>
          </w:p>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机构</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江苏海外集团国际工程咨询有限公司</w:t>
            </w:r>
            <w:r>
              <w:rPr>
                <w:rFonts w:hint="eastAsia" w:ascii="宋体" w:hAnsi="宋体" w:eastAsia="宋体" w:cs="宋体"/>
                <w:sz w:val="22"/>
              </w:rPr>
            </w:r>
            <w:r/>
          </w:p>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项目负责人：方东</w:t>
            </w:r>
            <w:r>
              <w:rPr>
                <w:rFonts w:hint="eastAsia" w:ascii="宋体" w:hAnsi="宋体" w:eastAsia="宋体" w:cs="宋体"/>
                <w:sz w:val="22"/>
              </w:rPr>
            </w:r>
            <w:r/>
          </w:p>
          <w:p>
            <w:pPr>
              <w:pStyle w:val="1053"/>
              <w:spacing w:before="0" w:after="0" w:line="300" w:lineRule="auto"/>
              <w:rPr>
                <w:rFonts w:ascii="宋体" w:hAnsi="宋体" w:eastAsia="宋体" w:cs="宋体"/>
                <w:sz w:val="22"/>
              </w:rPr>
            </w:pPr>
            <w:r>
              <w:rPr>
                <w:rFonts w:hint="eastAsia" w:ascii="宋体" w:hAnsi="宋体" w:eastAsia="宋体" w:cs="宋体"/>
                <w:sz w:val="22"/>
              </w:rPr>
              <w:t xml:space="preserve">电话：025-84795433/15195998576</w:t>
            </w:r>
            <w:r>
              <w:rPr>
                <w:rFonts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6</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采购人</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江苏省计量科学研究院（江苏省能源计量数据中心）</w:t>
            </w:r>
            <w:r>
              <w:rPr>
                <w:rFonts w:hint="eastAsia" w:ascii="宋体" w:hAnsi="宋体" w:eastAsia="宋体" w:cs="宋体"/>
                <w:sz w:val="22"/>
              </w:rPr>
            </w:r>
            <w:r/>
          </w:p>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联系人：曹老师       </w:t>
            </w:r>
            <w:r>
              <w:rPr>
                <w:rFonts w:hint="eastAsia" w:ascii="宋体" w:hAnsi="宋体" w:eastAsia="宋体" w:cs="宋体"/>
                <w:sz w:val="22"/>
              </w:rPr>
            </w:r>
            <w:r/>
          </w:p>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电话：025-</w:t>
            </w:r>
            <w:r>
              <w:rPr>
                <w:rFonts w:ascii="宋体" w:hAnsi="宋体" w:eastAsia="宋体" w:cs="宋体"/>
                <w:sz w:val="22"/>
              </w:rPr>
              <w:t xml:space="preserve">86435533</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7</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预算金额</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人民币450万元，其中采购分包1：115万元；采购分包2：335万元。</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8</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最高限价</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人民币450万元，其中采购分包1：115万元；采购分包2：335万元。</w:t>
            </w:r>
            <w:r>
              <w:rPr>
                <w:rFonts w:hint="eastAsia" w:ascii="宋体" w:hAnsi="宋体" w:eastAsia="宋体" w:cs="宋体"/>
                <w:b/>
                <w:bCs/>
                <w:sz w:val="22"/>
              </w:rPr>
              <w:t xml:space="preserve">同时单套设备单项报价不得超过相应预算，超出最高限价或单套设备单项预算的投标文件作无效投标处理</w:t>
            </w:r>
            <w:r>
              <w:rPr>
                <w:rFonts w:hint="eastAsia" w:ascii="宋体" w:hAnsi="宋体" w:eastAsia="宋体" w:cs="宋体"/>
                <w:sz w:val="22"/>
              </w:rPr>
              <w:t xml:space="preserve">。具体报价格式参照招标文件附件中“报价一览表格式”。</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9</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报价方式</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所有投标报价均以人民币报价。投标人的投标报价应遵守《中华人民共和国价格法》。该报价为到采购人现场的全部费用（含相关税费、运输费、保险费、安装费、计量检测费及相关服务费等一切可能发生的费用）。具体报价格式参照招标文件附件“报价一览表格式”。</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10</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投标保证金</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无</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11</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招标文件获取</w:t>
            </w:r>
            <w:r>
              <w:rPr>
                <w:rFonts w:hint="eastAsia" w:ascii="宋体" w:hAnsi="宋体" w:eastAsia="宋体" w:cs="宋体"/>
                <w:sz w:val="22"/>
              </w:rPr>
            </w:r>
            <w:r/>
          </w:p>
        </w:tc>
        <w:tc>
          <w:tcPr>
            <w:tcW w:w="6361" w:type="dxa"/>
            <w:vAlign w:val="center"/>
            <w:textDirection w:val="lrTb"/>
            <w:noWrap w:val="false"/>
          </w:tcPr>
          <w:p>
            <w:pPr>
              <w:pStyle w:val="1053"/>
              <w:spacing w:before="0" w:after="0" w:line="240" w:lineRule="auto"/>
              <w:tabs>
                <w:tab w:val="left" w:pos="5250" w:leader="none"/>
              </w:tabs>
              <w:rPr>
                <w:rFonts w:ascii="宋体" w:hAnsi="宋体" w:eastAsia="宋体" w:cs="宋体"/>
                <w:sz w:val="22"/>
              </w:rPr>
            </w:pPr>
            <w:r>
              <w:rPr>
                <w:rFonts w:hint="eastAsia" w:ascii="宋体" w:hAnsi="宋体" w:eastAsia="宋体" w:cs="宋体"/>
                <w:sz w:val="22"/>
              </w:rPr>
              <w:t xml:space="preserve">“苏采云”政府采购交易系统。</w:t>
            </w:r>
            <w:r>
              <w:rPr>
                <w:rFonts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12</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答疑</w:t>
            </w:r>
            <w:r>
              <w:rPr>
                <w:rFonts w:hint="eastAsia" w:ascii="宋体" w:hAnsi="宋体" w:eastAsia="宋体" w:cs="宋体"/>
                <w:sz w:val="22"/>
              </w:rPr>
            </w:r>
            <w:r/>
          </w:p>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（勘查现场）</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b/>
                <w:bCs/>
                <w:sz w:val="22"/>
              </w:rPr>
            </w:pPr>
            <w:r>
              <w:rPr>
                <w:rFonts w:hint="eastAsia" w:ascii="宋体" w:hAnsi="宋体" w:eastAsia="宋体" w:cs="宋体"/>
                <w:sz w:val="22"/>
              </w:rPr>
              <w:t xml:space="preserve">采购人不集中组织，投标人可自行联系采购项目负责人答疑。未考察现场或考察工作不充分的投标人，中标后不得以不完全了解现场情况为理由向采购人提出任何索赔或其他要求，对此采购人不承担任何责任，且将不作任何答复。</w:t>
            </w:r>
            <w:r>
              <w:rPr>
                <w:rFonts w:hint="eastAsia" w:ascii="宋体" w:hAnsi="宋体" w:eastAsia="宋体" w:cs="宋体"/>
                <w:b/>
                <w:bCs/>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13</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投标文件接收截止时间及地点</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截止时间（同开标时间）：详见招标公告</w:t>
            </w:r>
            <w:r>
              <w:rPr>
                <w:rFonts w:hint="eastAsia" w:ascii="宋体" w:hAnsi="宋体" w:eastAsia="宋体" w:cs="宋体"/>
                <w:sz w:val="22"/>
              </w:rPr>
            </w:r>
            <w:r/>
          </w:p>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接收地点：“苏采云”政府采购交易系统网上开标大厅</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14</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rPr>
                <w:rFonts w:hint="eastAsia" w:ascii="宋体" w:hAnsi="宋体" w:eastAsia="宋体" w:cs="宋体"/>
                <w:sz w:val="22"/>
              </w:rPr>
            </w:r>
            <w:r/>
          </w:p>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形式</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“苏采云”政府采购交易系统。本项目需要使用CA数字证书制作、上传电子投标文件完成电子投标，请供应商在参加投标活动前办理好CA数字证书申领及电子签章等操作。</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15</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评标时间</w:t>
            </w:r>
            <w:r>
              <w:rPr>
                <w:rFonts w:hint="eastAsia" w:ascii="宋体" w:hAnsi="宋体" w:eastAsia="宋体" w:cs="宋体"/>
                <w:sz w:val="22"/>
              </w:rPr>
            </w:r>
            <w:r/>
          </w:p>
        </w:tc>
        <w:tc>
          <w:tcPr>
            <w:tcW w:w="6361" w:type="dxa"/>
            <w:vAlign w:val="center"/>
            <w:textDirection w:val="lrTb"/>
            <w:noWrap w:val="false"/>
          </w:tcPr>
          <w:p>
            <w:pPr>
              <w:pStyle w:val="1053"/>
              <w:spacing w:before="0" w:after="0" w:line="240" w:lineRule="auto"/>
              <w:rPr>
                <w:rFonts w:hint="eastAsia" w:ascii="宋体" w:hAnsi="宋体" w:eastAsia="宋体" w:cs="宋体"/>
                <w:sz w:val="22"/>
              </w:rPr>
            </w:pPr>
            <w:r>
              <w:rPr>
                <w:rFonts w:hint="eastAsia" w:ascii="宋体" w:hAnsi="宋体" w:eastAsia="宋体" w:cs="宋体"/>
                <w:sz w:val="22"/>
              </w:rPr>
              <w:t xml:space="preserve">2026年</w:t>
            </w:r>
            <w:r>
              <w:rPr>
                <w:rFonts w:hint="eastAsia" w:ascii="宋体" w:hAnsi="宋体" w:eastAsia="宋体" w:cs="宋体"/>
                <w:sz w:val="22"/>
                <w:lang w:eastAsia="zh-CN"/>
              </w:rPr>
              <w:t xml:space="preserve">11月11日9:00</w:t>
            </w:r>
            <w:r>
              <w:rPr>
                <w:rFonts w:hint="eastAsia" w:ascii="宋体" w:hAnsi="宋体" w:eastAsia="宋体" w:cs="宋体"/>
                <w:sz w:val="22"/>
              </w:rPr>
              <w:t xml:space="preserve">后（北京时间）</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16</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w:t>
            </w:r>
            <w:r>
              <w:rPr>
                <w:rFonts w:hint="eastAsia" w:ascii="宋体" w:hAnsi="宋体" w:eastAsia="宋体" w:cs="宋体"/>
                <w:sz w:val="22"/>
              </w:rPr>
            </w:r>
            <w:r/>
          </w:p>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完整性</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招标文件中有明确规定需要签字和盖章的必须有签字和盖章，且加盖的公章仅能使用与投标人名称一致的标准公章，不得使用其他形式（如带有“专用章”“合同章”“财务章”“业务章”等字样）的印章，否则，按无效投标文件处理。</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17</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投标文件有效期</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投标人提交投标文件截止之日起90天</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18</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关于联合体投标</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本项目不接受联合体投标</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19</w:t>
            </w:r>
            <w:r>
              <w:rPr>
                <w:rFonts w:hint="eastAsia"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中标候选人及中标人数量</w:t>
            </w:r>
            <w:r>
              <w:rPr>
                <w:rFonts w:hint="eastAsia" w:ascii="宋体" w:hAnsi="宋体" w:eastAsia="宋体" w:cs="宋体"/>
                <w:sz w:val="22"/>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中标候选人：3名/包；中标人：1名/包</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20</w:t>
            </w:r>
            <w:r>
              <w:rPr>
                <w:rFonts w:hint="eastAsia" w:ascii="宋体" w:hAnsi="宋体" w:eastAsia="宋体" w:cs="宋体"/>
                <w:sz w:val="22"/>
              </w:rPr>
            </w:r>
            <w:r/>
          </w:p>
        </w:tc>
        <w:tc>
          <w:tcPr>
            <w:tcW w:w="2285" w:type="dxa"/>
            <w:vAlign w:val="center"/>
            <w:textDirection w:val="lrTb"/>
            <w:noWrap w:val="false"/>
          </w:tcPr>
          <w:p>
            <w:pPr>
              <w:pStyle w:val="1053"/>
              <w:jc w:val="center"/>
              <w:rPr>
                <w:rFonts w:hint="eastAsia" w:ascii="仿宋" w:hAnsi="仿宋" w:eastAsia="仿宋" w:cs="仿宋"/>
                <w:sz w:val="24"/>
                <w:szCs w:val="24"/>
              </w:rPr>
            </w:pPr>
            <w:r>
              <w:rPr>
                <w:rFonts w:hint="eastAsia" w:ascii="仿宋" w:hAnsi="仿宋" w:eastAsia="仿宋" w:cs="仿宋"/>
                <w:sz w:val="24"/>
                <w:szCs w:val="24"/>
              </w:rPr>
              <w:t xml:space="preserve">采购代理费用</w:t>
            </w:r>
            <w:r>
              <w:rPr>
                <w:rFonts w:hint="eastAsia" w:ascii="仿宋" w:hAnsi="仿宋" w:eastAsia="仿宋" w:cs="仿宋"/>
                <w:sz w:val="24"/>
                <w:szCs w:val="24"/>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一、服务费约定：</w:t>
            </w:r>
            <w:r>
              <w:rPr>
                <w:rFonts w:hint="eastAsia" w:ascii="宋体" w:hAnsi="宋体" w:eastAsia="宋体" w:cs="宋体"/>
                <w:sz w:val="22"/>
              </w:rPr>
            </w:r>
            <w:r/>
          </w:p>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本项目招标代理服务费由中标供应商承担，中标供应商应按约定足额向采购代理机构支付招标代理服务费。投标人应自行承担为准备及参与投标所发生的一切费用，无论投标结果如何，采购人和采购代理机构对该等费用不承担任何义务与责任。</w:t>
            </w:r>
            <w:r>
              <w:rPr>
                <w:rFonts w:hint="eastAsia" w:ascii="宋体" w:hAnsi="宋体" w:eastAsia="宋体" w:cs="宋体"/>
                <w:sz w:val="22"/>
              </w:rPr>
            </w:r>
            <w:r/>
          </w:p>
          <w:p>
            <w:pPr>
              <w:pStyle w:val="1053"/>
              <w:spacing w:before="0" w:after="0" w:line="300" w:lineRule="auto"/>
              <w:rPr>
                <w:rFonts w:hint="eastAsia" w:ascii="宋体" w:hAnsi="宋体" w:eastAsia="宋体" w:cs="宋体"/>
                <w:bCs/>
                <w:sz w:val="22"/>
              </w:rPr>
            </w:pPr>
            <w:r>
              <w:rPr>
                <w:rFonts w:hint="eastAsia" w:ascii="宋体" w:hAnsi="宋体" w:eastAsia="宋体" w:cs="宋体"/>
                <w:sz w:val="22"/>
              </w:rPr>
              <w:t xml:space="preserve">二、</w:t>
            </w:r>
            <w:r>
              <w:rPr>
                <w:rFonts w:hint="eastAsia" w:ascii="宋体" w:hAnsi="宋体" w:eastAsia="宋体" w:cs="宋体"/>
                <w:bCs/>
                <w:sz w:val="22"/>
              </w:rPr>
              <w:t xml:space="preserve">支付主体及原因：</w:t>
            </w:r>
            <w:r>
              <w:rPr>
                <w:rFonts w:hint="eastAsia" w:ascii="宋体" w:hAnsi="宋体" w:eastAsia="宋体" w:cs="宋体"/>
                <w:bCs/>
                <w:sz w:val="22"/>
              </w:rPr>
            </w:r>
            <w:r/>
          </w:p>
          <w:p>
            <w:pPr>
              <w:pStyle w:val="1053"/>
              <w:spacing w:before="0" w:after="0" w:line="300" w:lineRule="auto"/>
              <w:rPr>
                <w:rFonts w:hint="eastAsia" w:ascii="宋体" w:hAnsi="宋体" w:eastAsia="宋体" w:cs="宋体"/>
                <w:bCs/>
                <w:sz w:val="22"/>
              </w:rPr>
            </w:pPr>
            <w:r>
              <w:rPr>
                <w:rFonts w:hint="eastAsia" w:ascii="宋体" w:hAnsi="宋体" w:eastAsia="宋体" w:cs="宋体"/>
                <w:bCs/>
                <w:sz w:val="22"/>
              </w:rPr>
              <w:t xml:space="preserve">本项目的代理服务费用己纳入采购项目预算。根据《政府采购代理机构管理暂行办法》(财库(2018)2号)第十五条及《关于进一步规范政府采购活动相关费用管理的通知》(苏财规(2026)1号)相关规定，该项费用</w:t>
            </w:r>
            <w:r>
              <w:rPr>
                <w:rFonts w:hint="eastAsia" w:ascii="宋体" w:hAnsi="宋体" w:eastAsia="宋体" w:cs="宋体"/>
                <w:sz w:val="22"/>
              </w:rPr>
              <w:t xml:space="preserve">由中标供应商承担并包含在投标报价中，该笔费用综合包含于投标人投标总报价内，投标人报价表无需单独列示此项费用。</w:t>
            </w:r>
            <w:r>
              <w:rPr>
                <w:rFonts w:hint="eastAsia" w:ascii="宋体" w:hAnsi="宋体" w:eastAsia="宋体" w:cs="宋体"/>
                <w:bCs/>
                <w:sz w:val="22"/>
              </w:rPr>
            </w:r>
            <w:r/>
          </w:p>
          <w:p>
            <w:pPr>
              <w:pStyle w:val="1053"/>
              <w:spacing w:before="0" w:after="0" w:line="300" w:lineRule="auto"/>
              <w:rPr>
                <w:rFonts w:hint="eastAsia" w:ascii="宋体" w:hAnsi="宋体" w:eastAsia="宋体" w:cs="宋体"/>
                <w:bCs/>
                <w:sz w:val="22"/>
              </w:rPr>
            </w:pPr>
            <w:r>
              <w:rPr>
                <w:rFonts w:hint="eastAsia" w:ascii="宋体" w:hAnsi="宋体" w:eastAsia="宋体" w:cs="宋体"/>
                <w:bCs/>
                <w:sz w:val="22"/>
              </w:rPr>
              <w:t xml:space="preserve">三、计费依据及标准:</w:t>
            </w:r>
            <w:r>
              <w:rPr>
                <w:rFonts w:hint="eastAsia" w:ascii="宋体" w:hAnsi="宋体" w:eastAsia="宋体" w:cs="宋体"/>
                <w:bCs/>
                <w:sz w:val="22"/>
              </w:rPr>
            </w:r>
            <w:r/>
          </w:p>
          <w:p>
            <w:pPr>
              <w:pStyle w:val="1053"/>
              <w:spacing w:before="0" w:after="0" w:line="300" w:lineRule="auto"/>
              <w:rPr>
                <w:rFonts w:hint="eastAsia" w:ascii="宋体" w:hAnsi="宋体" w:eastAsia="宋体" w:cs="宋体"/>
                <w:bCs/>
                <w:sz w:val="22"/>
              </w:rPr>
            </w:pPr>
            <w:r>
              <w:rPr>
                <w:rFonts w:hint="eastAsia" w:ascii="宋体" w:hAnsi="宋体" w:eastAsia="宋体" w:cs="宋体"/>
                <w:bCs/>
                <w:sz w:val="22"/>
              </w:rPr>
              <w:t xml:space="preserve">本项目代理服务费的计费标准依据采购人与采购代理机构签订的委托代理协议执行。费用以中标金额为基数，按照下表所列费率采用差额定率累进法计算后，按基准费金额的80%计取。</w:t>
            </w:r>
            <w:r>
              <w:rPr>
                <w:rFonts w:hint="eastAsia" w:ascii="宋体" w:hAnsi="宋体" w:eastAsia="宋体" w:cs="宋体"/>
                <w:bCs/>
                <w:sz w:val="22"/>
              </w:rPr>
            </w:r>
            <w:r/>
          </w:p>
          <w:p>
            <w:pPr>
              <w:pStyle w:val="1053"/>
              <w:spacing w:before="0" w:after="0" w:line="300" w:lineRule="auto"/>
              <w:rPr>
                <w:rFonts w:hint="eastAsia" w:ascii="宋体" w:hAnsi="宋体" w:eastAsia="宋体" w:cs="宋体"/>
                <w:sz w:val="22"/>
              </w:rPr>
            </w:pPr>
            <w:r>
              <w:rPr>
                <w:sz w:val="22"/>
              </w:rPr>
              <mc:AlternateContent>
                <mc:Choice Requires="wpg">
                  <w:drawing>
                    <wp:inline xmlns:wp="http://schemas.openxmlformats.org/drawingml/2006/wordprocessingDrawing" distT="0" distB="0" distL="0" distR="0">
                      <wp:extent cx="4097795" cy="2174913"/>
                      <wp:effectExtent l="0" t="0" r="0" b="0"/>
                      <wp:docPr id="4"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6"/>
                              <a:stretch/>
                            </pic:blipFill>
                            <pic:spPr bwMode="auto">
                              <a:xfrm>
                                <a:off x="0" y="0"/>
                                <a:ext cx="4097795" cy="2174913"/>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322.7pt;height:171.3pt;mso-wrap-distance-left:0.0pt;mso-wrap-distance-top:0.0pt;mso-wrap-distance-right:0.0pt;mso-wrap-distance-bottom:0.0pt;" stroked="f">
                      <v:path textboxrect="0,0,0,0"/>
                      <v:imagedata r:id="rId16" o:title=""/>
                    </v:shape>
                  </w:pict>
                </mc:Fallback>
              </mc:AlternateContent>
            </w:r>
            <w:r>
              <w:rPr>
                <w:rFonts w:hint="eastAsia" w:ascii="宋体" w:hAnsi="宋体" w:eastAsia="宋体" w:cs="宋体"/>
                <w:sz w:val="22"/>
              </w:rPr>
            </w:r>
            <w:r/>
          </w:p>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无实际结算数量、按总价包干的采购项目，代理服务费按项目预算金额作为计费基数计算。供应商投标总报价须包含本次招标代理服务费，采购人不另行单独支付，供应商须自行测算并计入投标报价综合成本。</w:t>
            </w:r>
            <w:r>
              <w:rPr>
                <w:rFonts w:hint="eastAsia" w:ascii="宋体" w:hAnsi="宋体" w:eastAsia="宋体" w:cs="宋体"/>
                <w:sz w:val="22"/>
              </w:rPr>
            </w:r>
            <w:r/>
          </w:p>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四、缴纳时间与方式</w:t>
            </w:r>
            <w:r>
              <w:rPr>
                <w:rFonts w:hint="eastAsia" w:ascii="宋体" w:hAnsi="宋体" w:eastAsia="宋体" w:cs="宋体"/>
                <w:sz w:val="22"/>
              </w:rPr>
            </w:r>
            <w:r/>
          </w:p>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缴纳时间：中标供应商在领取中标通知书，一次性足额缴纳全部代理服务费。</w:t>
            </w:r>
            <w:r>
              <w:rPr>
                <w:rFonts w:hint="eastAsia" w:ascii="宋体" w:hAnsi="宋体" w:eastAsia="宋体" w:cs="宋体"/>
                <w:sz w:val="22"/>
              </w:rPr>
            </w:r>
            <w:r/>
          </w:p>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缴纳方式：可采用银行电汇、对公转账方式缴纳（以代理机构指定账户/收款要求为准）。</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ascii="宋体" w:hAnsi="宋体" w:eastAsia="宋体" w:cs="宋体"/>
                <w:sz w:val="22"/>
              </w:rPr>
            </w:pPr>
            <w:r>
              <w:rPr>
                <w:rFonts w:hint="eastAsia" w:ascii="宋体" w:hAnsi="宋体" w:eastAsia="宋体" w:cs="宋体"/>
                <w:sz w:val="22"/>
              </w:rPr>
              <w:t xml:space="preserve">21</w:t>
            </w:r>
            <w:r>
              <w:rPr>
                <w:rFonts w:ascii="宋体" w:hAnsi="宋体" w:eastAsia="宋体" w:cs="宋体"/>
                <w:sz w:val="22"/>
              </w:rPr>
            </w:r>
            <w:r/>
          </w:p>
        </w:tc>
        <w:tc>
          <w:tcPr>
            <w:tcW w:w="2285" w:type="dxa"/>
            <w:vAlign w:val="center"/>
            <w:textDirection w:val="lrTb"/>
            <w:noWrap w:val="false"/>
          </w:tcPr>
          <w:p>
            <w:pPr>
              <w:pStyle w:val="1053"/>
              <w:jc w:val="center"/>
              <w:rPr>
                <w:rFonts w:hint="eastAsia" w:ascii="仿宋" w:hAnsi="仿宋" w:eastAsia="仿宋" w:cs="仿宋"/>
                <w:sz w:val="24"/>
                <w:szCs w:val="24"/>
              </w:rPr>
            </w:pPr>
            <w:r>
              <w:rPr>
                <w:rFonts w:hint="eastAsia" w:ascii="仿宋" w:hAnsi="仿宋" w:eastAsia="仿宋" w:cs="仿宋"/>
                <w:sz w:val="24"/>
                <w:szCs w:val="24"/>
              </w:rPr>
              <w:t xml:space="preserve">评审费用支付</w:t>
            </w:r>
            <w:r>
              <w:rPr>
                <w:rFonts w:hint="eastAsia" w:ascii="仿宋" w:hAnsi="仿宋" w:eastAsia="仿宋" w:cs="仿宋"/>
                <w:sz w:val="24"/>
                <w:szCs w:val="24"/>
              </w:rPr>
            </w:r>
            <w:r/>
          </w:p>
        </w:tc>
        <w:tc>
          <w:tcPr>
            <w:tcW w:w="6361" w:type="dxa"/>
            <w:vAlign w:val="center"/>
            <w:textDirection w:val="lrTb"/>
            <w:noWrap w:val="false"/>
          </w:tcPr>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对于非集中采购机构实施的政府采购项目，专家评审费用由采购人直接支付。评审费标准按照省财政厅相关规定执行，费用在项目评审完成后的30个工作日内完成支付。各代理机构配合采购人收集评审专家支付信息，并将材料及时反馈至招标办。对于不属于苏财规〔2026〕1号文件要求的采购项目仍按双方签订的委托协议执行。</w:t>
            </w:r>
            <w:r>
              <w:rPr>
                <w:rFonts w:hint="eastAsia" w:ascii="宋体" w:hAnsi="宋体" w:eastAsia="宋体" w:cs="宋体"/>
                <w:sz w:val="22"/>
              </w:rPr>
            </w:r>
            <w:r/>
          </w:p>
        </w:tc>
      </w:tr>
      <w:tr>
        <w:trPr>
          <w:cantSplit/>
        </w:trPr>
        <w:tc>
          <w:tcPr>
            <w:tcW w:w="809" w:type="dxa"/>
            <w:vAlign w:val="center"/>
            <w:textDirection w:val="lrTb"/>
            <w:noWrap w:val="false"/>
          </w:tcPr>
          <w:p>
            <w:pPr>
              <w:pStyle w:val="1053"/>
              <w:jc w:val="center"/>
              <w:spacing w:before="0" w:after="0" w:line="300" w:lineRule="auto"/>
              <w:rPr>
                <w:rFonts w:ascii="宋体" w:hAnsi="宋体" w:eastAsia="宋体" w:cs="宋体"/>
                <w:sz w:val="22"/>
              </w:rPr>
            </w:pPr>
            <w:r>
              <w:rPr>
                <w:rFonts w:hint="eastAsia" w:ascii="宋体" w:hAnsi="宋体" w:eastAsia="宋体" w:cs="宋体"/>
                <w:sz w:val="22"/>
              </w:rPr>
              <w:t xml:space="preserve">22</w:t>
            </w:r>
            <w:r>
              <w:rPr>
                <w:rFonts w:ascii="宋体" w:hAnsi="宋体" w:eastAsia="宋体" w:cs="宋体"/>
                <w:sz w:val="22"/>
              </w:rPr>
            </w:r>
            <w:r/>
          </w:p>
        </w:tc>
        <w:tc>
          <w:tcPr>
            <w:tcW w:w="2285" w:type="dxa"/>
            <w:vAlign w:val="center"/>
            <w:textDirection w:val="lrTb"/>
            <w:noWrap w:val="false"/>
          </w:tcPr>
          <w:p>
            <w:pPr>
              <w:pStyle w:val="1053"/>
              <w:jc w:val="center"/>
              <w:spacing w:before="0" w:after="0" w:line="300" w:lineRule="auto"/>
              <w:rPr>
                <w:rFonts w:hint="eastAsia" w:ascii="宋体" w:hAnsi="宋体" w:eastAsia="宋体" w:cs="宋体"/>
                <w:sz w:val="22"/>
              </w:rPr>
            </w:pPr>
            <w:r>
              <w:rPr>
                <w:rFonts w:hint="eastAsia" w:ascii="宋体" w:hAnsi="宋体" w:eastAsia="宋体" w:cs="宋体"/>
                <w:sz w:val="22"/>
              </w:rPr>
              <w:t xml:space="preserve">其他要求</w:t>
            </w:r>
            <w:r>
              <w:rPr>
                <w:rFonts w:hint="eastAsia" w:ascii="宋体" w:hAnsi="宋体" w:eastAsia="宋体" w:cs="宋体"/>
                <w:sz w:val="22"/>
              </w:rPr>
            </w:r>
            <w:r/>
          </w:p>
        </w:tc>
        <w:tc>
          <w:tcPr>
            <w:tcW w:w="6361" w:type="dxa"/>
            <w:vAlign w:val="center"/>
            <w:textDirection w:val="lrTb"/>
            <w:noWrap w:val="false"/>
          </w:tcPr>
          <w:p>
            <w:pPr>
              <w:pStyle w:val="1053"/>
              <w:jc w:val="left"/>
              <w:spacing w:before="0" w:after="0" w:line="300" w:lineRule="auto"/>
              <w:rPr>
                <w:rFonts w:hint="eastAsia" w:ascii="宋体" w:hAnsi="宋体" w:eastAsia="宋体" w:cs="宋体"/>
                <w:sz w:val="22"/>
              </w:rPr>
            </w:pPr>
            <w:r>
              <w:rPr>
                <w:rFonts w:hint="eastAsia" w:ascii="宋体" w:hAnsi="宋体" w:eastAsia="宋体" w:cs="宋体"/>
                <w:sz w:val="22"/>
              </w:rPr>
              <w:t xml:space="preserve">中标供应商须在中标公示期结束后将与“苏采云”政府采购交易系统中一致的纸质版投标文件（文件份数：1份）邮寄至下列地址：南京市建邺区云龙山路58号大唐科技大厦A座高区15楼，方东，15195998576。</w:t>
            </w:r>
            <w:r>
              <w:rPr>
                <w:rFonts w:hint="eastAsia" w:ascii="宋体" w:hAnsi="宋体" w:eastAsia="宋体" w:cs="宋体"/>
                <w:sz w:val="22"/>
              </w:rPr>
            </w:r>
            <w:r/>
          </w:p>
          <w:p>
            <w:pPr>
              <w:pStyle w:val="1053"/>
              <w:spacing w:before="0" w:after="0" w:line="300" w:lineRule="auto"/>
              <w:rPr>
                <w:rFonts w:hint="eastAsia" w:ascii="宋体" w:hAnsi="宋体" w:eastAsia="宋体" w:cs="宋体"/>
                <w:sz w:val="22"/>
              </w:rPr>
            </w:pPr>
            <w:r>
              <w:rPr>
                <w:rFonts w:hint="eastAsia" w:ascii="宋体" w:hAnsi="宋体" w:eastAsia="宋体" w:cs="宋体"/>
                <w:sz w:val="22"/>
              </w:rPr>
              <w:t xml:space="preserve">请投标人务必认真阅读本招标文件，严格遵照上述要求应标。</w:t>
            </w:r>
            <w:r>
              <w:rPr>
                <w:rFonts w:hint="eastAsia" w:ascii="宋体" w:hAnsi="宋体" w:eastAsia="宋体" w:cs="宋体"/>
                <w:sz w:val="22"/>
              </w:rPr>
            </w:r>
            <w:r/>
          </w:p>
        </w:tc>
      </w:tr>
    </w:tbl>
    <w:p>
      <w:pPr>
        <w:pStyle w:val="1053"/>
        <w:numPr>
          <w:ilvl w:val="0"/>
          <w:numId w:val="5"/>
        </w:numPr>
        <w:rPr>
          <w:rFonts w:hint="eastAsia" w:ascii="宋体" w:hAnsi="宋体" w:eastAsia="宋体" w:cs="宋体"/>
          <w:b/>
          <w:bCs/>
          <w:szCs w:val="21"/>
        </w:rPr>
        <w:outlineLvl w:val="1"/>
      </w:pPr>
      <w:r/>
      <w:bookmarkStart w:id="23" w:name="_Toc27197"/>
      <w:r>
        <w:rPr>
          <w:rFonts w:hint="eastAsia" w:ascii="宋体" w:hAnsi="宋体" w:cs="宋体"/>
        </w:rPr>
        <w:br w:type="page" w:clear="all"/>
      </w:r>
      <w:bookmarkEnd w:id="23"/>
      <w:r/>
      <w:bookmarkStart w:id="24" w:name="_Toc20838"/>
      <w:r/>
      <w:bookmarkStart w:id="25" w:name="_Toc17556"/>
      <w:r/>
      <w:bookmarkStart w:id="26" w:name="_Toc209510674"/>
      <w:r/>
      <w:bookmarkStart w:id="27" w:name="_Toc209510615"/>
      <w:r/>
      <w:bookmarkStart w:id="28" w:name="_Toc63"/>
      <w:r/>
      <w:bookmarkStart w:id="29" w:name="_Toc28411"/>
      <w:r/>
      <w:bookmarkStart w:id="30" w:name="_Toc21658"/>
      <w:r/>
      <w:bookmarkStart w:id="31" w:name="_Toc1344"/>
      <w:r>
        <w:rPr>
          <w:rFonts w:hint="eastAsia" w:ascii="宋体" w:hAnsi="宋体" w:eastAsia="宋体" w:cs="宋体"/>
          <w:b/>
          <w:bCs/>
          <w:szCs w:val="21"/>
          <w:lang w:val="zh-CN"/>
        </w:rPr>
        <w:t xml:space="preserve">总则</w:t>
      </w:r>
      <w:bookmarkEnd w:id="24"/>
      <w:r/>
      <w:bookmarkEnd w:id="25"/>
      <w:r/>
      <w:bookmarkEnd w:id="26"/>
      <w:r/>
      <w:bookmarkEnd w:id="27"/>
      <w:r/>
      <w:bookmarkEnd w:id="28"/>
      <w:r/>
      <w:bookmarkEnd w:id="29"/>
      <w:r>
        <w:rPr>
          <w:rFonts w:hint="eastAsia" w:ascii="宋体" w:hAnsi="宋体" w:eastAsia="宋体" w:cs="宋体"/>
          <w:b/>
          <w:bCs/>
          <w:szCs w:val="21"/>
        </w:rPr>
      </w:r>
      <w:r/>
    </w:p>
    <w:p>
      <w:pPr>
        <w:pStyle w:val="1053"/>
        <w:numPr>
          <w:ilvl w:val="0"/>
          <w:numId w:val="6"/>
        </w:numPr>
        <w:ind w:firstLine="422"/>
        <w:rPr>
          <w:rFonts w:hint="eastAsia" w:ascii="宋体" w:hAnsi="宋体" w:eastAsia="宋体" w:cs="宋体"/>
          <w:b/>
          <w:bCs/>
          <w:szCs w:val="21"/>
        </w:rPr>
      </w:pPr>
      <w:r/>
      <w:bookmarkStart w:id="32" w:name="_Toc209510675"/>
      <w:r>
        <w:rPr>
          <w:rFonts w:hint="eastAsia" w:ascii="宋体" w:hAnsi="宋体" w:eastAsia="宋体" w:cs="宋体"/>
          <w:b/>
          <w:bCs/>
          <w:szCs w:val="21"/>
        </w:rPr>
        <w:t xml:space="preserve">适用法律</w:t>
      </w:r>
      <w:bookmarkEnd w:id="32"/>
      <w:r>
        <w:rPr>
          <w:rFonts w:hint="eastAsia" w:ascii="宋体" w:hAnsi="宋体" w:eastAsia="宋体" w:cs="宋体"/>
          <w:b/>
          <w:bCs/>
          <w:szCs w:val="21"/>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1.1 本次招标适用《中华人民共和国政府采购法》（以下简称“政府采购法”）、《中华人民共和国政府采购法实施条例》（以下简称“政府采购法实施条例”）、《政府采购货物和服务招标投标管理办法》等法律、行政法规、部门规章和规范性文件。</w:t>
      </w:r>
      <w:r>
        <w:rPr>
          <w:rFonts w:hint="eastAsia" w:ascii="宋体" w:hAnsi="宋体" w:eastAsia="宋体" w:cs="宋体"/>
          <w:szCs w:val="21"/>
        </w:rPr>
      </w:r>
      <w:r/>
    </w:p>
    <w:p>
      <w:pPr>
        <w:pStyle w:val="1053"/>
        <w:numPr>
          <w:ilvl w:val="0"/>
          <w:numId w:val="6"/>
        </w:numPr>
        <w:ind w:firstLine="422"/>
        <w:rPr>
          <w:rFonts w:hint="eastAsia" w:ascii="宋体" w:hAnsi="宋体" w:eastAsia="宋体" w:cs="宋体"/>
          <w:b/>
          <w:bCs/>
          <w:szCs w:val="21"/>
        </w:rPr>
      </w:pPr>
      <w:r/>
      <w:bookmarkStart w:id="33" w:name="_Toc209510676"/>
      <w:r>
        <w:rPr>
          <w:rFonts w:hint="eastAsia" w:ascii="宋体" w:hAnsi="宋体" w:eastAsia="宋体" w:cs="宋体"/>
          <w:b/>
          <w:bCs/>
          <w:szCs w:val="21"/>
        </w:rPr>
        <w:t xml:space="preserve">定义</w:t>
      </w:r>
      <w:bookmarkEnd w:id="33"/>
      <w:r>
        <w:rPr>
          <w:rFonts w:hint="eastAsia" w:ascii="宋体" w:hAnsi="宋体" w:eastAsia="宋体" w:cs="宋体"/>
          <w:b/>
          <w:bCs/>
          <w:szCs w:val="21"/>
        </w:rPr>
      </w:r>
      <w:r/>
    </w:p>
    <w:p>
      <w:pPr>
        <w:pStyle w:val="105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“采购人”是指依法进行政府采购的国家机关、事业单位、团体组织。</w:t>
      </w:r>
      <w:r>
        <w:rPr>
          <w:rFonts w:hint="eastAsia" w:ascii="宋体" w:hAnsi="宋体" w:eastAsia="宋体" w:cs="宋体"/>
          <w:szCs w:val="21"/>
        </w:rPr>
      </w:r>
      <w:r/>
    </w:p>
    <w:p>
      <w:pPr>
        <w:pStyle w:val="105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“投标人（供应商）”是指参加投标竞争，并符合招标文件规定资格条件的法人、其他组织或者自然人。</w:t>
      </w:r>
      <w:r>
        <w:rPr>
          <w:rFonts w:hint="eastAsia" w:ascii="宋体" w:hAnsi="宋体" w:eastAsia="宋体" w:cs="宋体"/>
          <w:szCs w:val="21"/>
        </w:rPr>
      </w:r>
      <w:r/>
    </w:p>
    <w:p>
      <w:pPr>
        <w:pStyle w:val="105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“采购代理机构”是指集中采购机构和集中采购机构以外的采购代理机构，集中采购机构以外的采购代理机构，是从事采购代理业务的社会中介机构。</w:t>
      </w:r>
      <w:r>
        <w:rPr>
          <w:rFonts w:hint="eastAsia" w:ascii="宋体" w:hAnsi="宋体" w:eastAsia="宋体" w:cs="宋体"/>
          <w:szCs w:val="21"/>
        </w:rPr>
      </w:r>
      <w:r/>
    </w:p>
    <w:p>
      <w:pPr>
        <w:pStyle w:val="105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“货物和服务”指本招标文件中所述产品及相关服务。</w:t>
      </w:r>
      <w:r>
        <w:rPr>
          <w:rFonts w:hint="eastAsia" w:ascii="宋体" w:hAnsi="宋体" w:eastAsia="宋体" w:cs="宋体"/>
          <w:szCs w:val="21"/>
        </w:rPr>
      </w:r>
      <w:r/>
    </w:p>
    <w:p>
      <w:pPr>
        <w:pStyle w:val="1053"/>
        <w:numPr>
          <w:ilvl w:val="0"/>
          <w:numId w:val="7"/>
        </w:numPr>
        <w:ind w:firstLine="420"/>
        <w:rPr>
          <w:rFonts w:hint="eastAsia" w:ascii="宋体" w:hAnsi="宋体" w:eastAsia="宋体" w:cs="宋体"/>
          <w:szCs w:val="21"/>
        </w:rPr>
      </w:pPr>
      <w:r>
        <w:rPr>
          <w:rFonts w:hint="eastAsia" w:ascii="宋体" w:hAnsi="宋体" w:eastAsia="宋体" w:cs="宋体"/>
          <w:szCs w:val="21"/>
        </w:rPr>
        <w:t xml:space="preserve">“用户或使用单位”是指使用货物，接受服务的单位。</w:t>
      </w:r>
      <w:r>
        <w:rPr>
          <w:rFonts w:hint="eastAsia" w:ascii="宋体" w:hAnsi="宋体" w:eastAsia="宋体" w:cs="宋体"/>
          <w:szCs w:val="21"/>
        </w:rPr>
      </w:r>
      <w:r/>
    </w:p>
    <w:p>
      <w:pPr>
        <w:pStyle w:val="1053"/>
        <w:numPr>
          <w:ilvl w:val="0"/>
          <w:numId w:val="6"/>
        </w:numPr>
        <w:ind w:firstLine="422"/>
        <w:rPr>
          <w:rFonts w:hint="eastAsia" w:ascii="宋体" w:hAnsi="宋体" w:eastAsia="宋体" w:cs="宋体"/>
          <w:b/>
          <w:bCs/>
          <w:szCs w:val="21"/>
        </w:rPr>
      </w:pPr>
      <w:r/>
      <w:bookmarkStart w:id="34" w:name="_Toc209510677"/>
      <w:r>
        <w:rPr>
          <w:rFonts w:hint="eastAsia" w:ascii="宋体" w:hAnsi="宋体" w:eastAsia="宋体" w:cs="宋体"/>
          <w:b/>
          <w:bCs/>
          <w:szCs w:val="21"/>
        </w:rPr>
        <w:t xml:space="preserve">政策功能</w:t>
      </w:r>
      <w:bookmarkEnd w:id="34"/>
      <w:r>
        <w:rPr>
          <w:rFonts w:hint="eastAsia" w:ascii="宋体" w:hAnsi="宋体" w:eastAsia="宋体" w:cs="宋体"/>
          <w:b/>
          <w:bCs/>
          <w:szCs w:val="21"/>
        </w:rPr>
      </w:r>
      <w:r/>
    </w:p>
    <w:p>
      <w:pPr>
        <w:pStyle w:val="105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促进中小企业发展，在政府采购活动中，供应商提供的货物、工程或者服务符合《政府采购促进中小企业发展管理办法》（财库〔2020〕46号）的规定的，享受中小企业扶持政策。中小企业参加政府采购活动，应当出具《中小企业声明函》（格式见第六章），否则不得享受相关中小企业扶持政策。（“中小企业划型标准”详见《关于印发中小企业划型标准规定的通知》工信部联企业〔2011〕300号及《国家统计局关于印发&lt;统计上大中小微型企业划分办法（2017）&gt;的通知》国统2017〕213号）。</w:t>
      </w:r>
      <w:r>
        <w:rPr>
          <w:rFonts w:hint="eastAsia" w:ascii="宋体" w:hAnsi="宋体" w:eastAsia="宋体" w:cs="宋体"/>
          <w:szCs w:val="21"/>
        </w:rPr>
      </w:r>
      <w:r/>
    </w:p>
    <w:p>
      <w:pPr>
        <w:pStyle w:val="105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支持监狱和戒毒企业发展政策，监狱和戒毒企业提供的产品和服务在评标时将获得优势，参加投标的监狱和戒毒企业，应当提供由省级以上监狱管理局、戒毒管理局（含新疆生产建设兵团）出具的属于监狱企业的证明文件，监狱和戒毒企业享受政府采购支持政策的要求详见《关于政府采购支持监狱企业发展有关问题的通知》（财库〔2014〕68号）。</w:t>
      </w:r>
      <w:r>
        <w:rPr>
          <w:rFonts w:hint="eastAsia" w:ascii="宋体" w:hAnsi="宋体" w:eastAsia="宋体" w:cs="宋体"/>
          <w:szCs w:val="21"/>
        </w:rPr>
      </w:r>
      <w:r/>
    </w:p>
    <w:p>
      <w:pPr>
        <w:pStyle w:val="105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促进残疾人就业政策，残疾人福利性单位提供的产品和服务在评标时将获得优势，参加投标的残疾人福利性单位，应当提供《残疾人福利性单位声明函》，残疾人福利性单位享受政府采购支持政策的要求详见《关于促进残疾人就业政府采购政策的通知》（财库〔2017〕141号）。</w:t>
      </w:r>
      <w:r>
        <w:rPr>
          <w:rFonts w:hint="eastAsia" w:ascii="宋体" w:hAnsi="宋体" w:eastAsia="宋体" w:cs="宋体"/>
          <w:szCs w:val="21"/>
        </w:rPr>
      </w:r>
      <w:r/>
    </w:p>
    <w:p>
      <w:pPr>
        <w:pStyle w:val="105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政府采购节能产品、环境标志产品实施品目清单管理。拟采购产品属于节能产品品目清单规定必须强制采购的，实行强制采购。拟采购产品属于节能产品、环境标志产品品目清单规定优先采购的，在性能、技术、服务等指标同等条件下，实行优先采购，优先采购的评审标准详见本招标文件第三章。参加政府采购活动的节能产品、环境标志产品投标人应当提供国家确定的认证机构出具的、处于有效期之内的节能产品、环境标志产品认证证书。</w:t>
      </w:r>
      <w:r>
        <w:rPr>
          <w:rFonts w:hint="eastAsia" w:ascii="宋体" w:hAnsi="宋体" w:eastAsia="宋体" w:cs="宋体"/>
          <w:szCs w:val="21"/>
        </w:rPr>
      </w:r>
      <w:r/>
    </w:p>
    <w:p>
      <w:pPr>
        <w:pStyle w:val="105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强制采购信息安全产品。参加政府采购活动的信息安全产品投标人应当选择经国家认证的信息安全产品投标，并提供由国家信息安全认证中心按国家标准认证颁发的有效认证证书。</w:t>
      </w:r>
      <w:r>
        <w:rPr>
          <w:rFonts w:hint="eastAsia" w:ascii="宋体" w:hAnsi="宋体" w:eastAsia="宋体" w:cs="宋体"/>
          <w:szCs w:val="21"/>
        </w:rPr>
      </w:r>
      <w:r/>
    </w:p>
    <w:p>
      <w:pPr>
        <w:pStyle w:val="1053"/>
        <w:numPr>
          <w:ilvl w:val="0"/>
          <w:numId w:val="8"/>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进口产品政策</w:t>
      </w:r>
      <w:r>
        <w:rPr>
          <w:rFonts w:hint="eastAsia" w:ascii="宋体" w:hAnsi="宋体" w:eastAsia="宋体" w:cs="宋体"/>
          <w:szCs w:val="21"/>
          <w:lang w:eastAsia="en-US"/>
        </w:rPr>
      </w:r>
      <w:r/>
    </w:p>
    <w:p>
      <w:pPr>
        <w:pStyle w:val="1053"/>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除招标公告载明接受进口产品参加外，不允许进口产品参加。进口产品认定依照《财政部关于政府采购进口产品管理有关问题的通知》（财办库〔2008〕248号）的规定。</w:t>
      </w:r>
      <w:r>
        <w:rPr>
          <w:rFonts w:hint="eastAsia" w:ascii="宋体" w:hAnsi="宋体" w:eastAsia="宋体" w:cs="宋体"/>
          <w:szCs w:val="21"/>
        </w:rPr>
      </w:r>
      <w:r/>
    </w:p>
    <w:p>
      <w:pPr>
        <w:pStyle w:val="1053"/>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允许进口产品参加的，满足需求的国内产品可以参加。</w:t>
      </w:r>
      <w:r>
        <w:rPr>
          <w:rFonts w:hint="eastAsia" w:ascii="宋体" w:hAnsi="宋体" w:eastAsia="宋体" w:cs="宋体"/>
          <w:szCs w:val="21"/>
        </w:rPr>
      </w:r>
      <w:r/>
    </w:p>
    <w:p>
      <w:pPr>
        <w:pStyle w:val="1053"/>
        <w:numPr>
          <w:ilvl w:val="0"/>
          <w:numId w:val="9"/>
        </w:numPr>
        <w:ind w:firstLine="420"/>
        <w:rPr>
          <w:rFonts w:hint="eastAsia" w:ascii="宋体" w:hAnsi="宋体" w:eastAsia="宋体" w:cs="宋体"/>
          <w:szCs w:val="21"/>
        </w:rPr>
      </w:pPr>
      <w:r>
        <w:rPr>
          <w:rFonts w:hint="eastAsia" w:ascii="宋体" w:hAnsi="宋体" w:eastAsia="宋体" w:cs="宋体"/>
          <w:szCs w:val="21"/>
        </w:rPr>
        <w:t xml:space="preserve">允许进口产品参加的，优先采购向我国企业转让技术、与我国企业签订消化吸收再创新方案的投标人的进口产品。</w:t>
      </w:r>
      <w:r>
        <w:rPr>
          <w:rFonts w:hint="eastAsia" w:ascii="宋体" w:hAnsi="宋体" w:eastAsia="宋体" w:cs="宋体"/>
          <w:szCs w:val="21"/>
        </w:rPr>
      </w:r>
      <w:r/>
    </w:p>
    <w:p>
      <w:pPr>
        <w:pStyle w:val="1053"/>
        <w:numPr>
          <w:ilvl w:val="0"/>
          <w:numId w:val="8"/>
        </w:numPr>
        <w:ind w:firstLine="420"/>
        <w:rPr>
          <w:rFonts w:hint="eastAsia" w:ascii="宋体" w:hAnsi="宋体" w:eastAsia="宋体" w:cs="宋体"/>
          <w:szCs w:val="21"/>
        </w:rPr>
      </w:pPr>
      <w:r>
        <w:rPr>
          <w:rFonts w:hint="eastAsia" w:ascii="宋体" w:hAnsi="宋体" w:eastAsia="宋体" w:cs="宋体"/>
          <w:szCs w:val="21"/>
        </w:rPr>
        <w:t xml:space="preserve">未按要求提供相关材料的，不享受相关政策。</w:t>
      </w:r>
      <w:r>
        <w:rPr>
          <w:rFonts w:hint="eastAsia" w:ascii="宋体" w:hAnsi="宋体" w:eastAsia="宋体" w:cs="宋体"/>
          <w:szCs w:val="21"/>
        </w:rPr>
      </w:r>
      <w:r/>
    </w:p>
    <w:p>
      <w:pPr>
        <w:pStyle w:val="1053"/>
        <w:numPr>
          <w:ilvl w:val="0"/>
          <w:numId w:val="5"/>
        </w:numPr>
        <w:rPr>
          <w:rFonts w:hint="eastAsia" w:ascii="宋体" w:hAnsi="宋体" w:eastAsia="宋体" w:cs="宋体"/>
          <w:b/>
          <w:bCs/>
          <w:szCs w:val="21"/>
        </w:rPr>
        <w:outlineLvl w:val="1"/>
      </w:pPr>
      <w:r/>
      <w:bookmarkStart w:id="35" w:name="_Toc20589"/>
      <w:r/>
      <w:bookmarkStart w:id="36" w:name="_Toc209510678"/>
      <w:r/>
      <w:bookmarkStart w:id="37" w:name="_Toc209510616"/>
      <w:r/>
      <w:bookmarkStart w:id="38" w:name="_Toc7274"/>
      <w:r/>
      <w:bookmarkStart w:id="39" w:name="_Toc18152"/>
      <w:r/>
      <w:bookmarkStart w:id="40" w:name="_Toc9697"/>
      <w:r/>
      <w:bookmarkStart w:id="41" w:name="_Toc17507"/>
      <w:r/>
      <w:bookmarkStart w:id="42" w:name="_Toc32672"/>
      <w:r>
        <w:rPr>
          <w:rFonts w:hint="eastAsia" w:ascii="宋体" w:hAnsi="宋体" w:eastAsia="宋体" w:cs="宋体"/>
          <w:b/>
          <w:bCs/>
          <w:szCs w:val="21"/>
        </w:rPr>
        <w:t xml:space="preserve">招标文件构成</w:t>
      </w:r>
      <w:bookmarkEnd w:id="35"/>
      <w:r/>
      <w:bookmarkEnd w:id="36"/>
      <w:r/>
      <w:bookmarkEnd w:id="37"/>
      <w:r/>
      <w:bookmarkEnd w:id="38"/>
      <w:r/>
      <w:bookmarkEnd w:id="39"/>
      <w:r/>
      <w:bookmarkEnd w:id="40"/>
      <w:r/>
      <w:bookmarkEnd w:id="41"/>
      <w:r/>
      <w:bookmarkEnd w:id="42"/>
      <w:r>
        <w:rPr>
          <w:rFonts w:hint="eastAsia" w:ascii="宋体" w:hAnsi="宋体" w:eastAsia="宋体" w:cs="宋体"/>
          <w:b/>
          <w:bCs/>
          <w:szCs w:val="21"/>
        </w:rPr>
      </w:r>
      <w:r/>
    </w:p>
    <w:p>
      <w:pPr>
        <w:pStyle w:val="1053"/>
        <w:numPr>
          <w:ilvl w:val="0"/>
          <w:numId w:val="6"/>
        </w:numPr>
        <w:ind w:firstLine="422"/>
        <w:rPr>
          <w:rFonts w:hint="eastAsia" w:ascii="宋体" w:hAnsi="宋体" w:eastAsia="宋体" w:cs="宋体"/>
          <w:b/>
          <w:bCs/>
          <w:szCs w:val="21"/>
        </w:rPr>
      </w:pPr>
      <w:r/>
      <w:bookmarkStart w:id="43" w:name="_Toc209510679"/>
      <w:r>
        <w:rPr>
          <w:rFonts w:hint="eastAsia" w:ascii="宋体" w:hAnsi="宋体" w:eastAsia="宋体" w:cs="宋体"/>
          <w:b/>
          <w:bCs/>
          <w:szCs w:val="21"/>
        </w:rPr>
        <w:t xml:space="preserve">招标文件组成</w:t>
      </w:r>
      <w:bookmarkEnd w:id="43"/>
      <w:r>
        <w:rPr>
          <w:rFonts w:hint="eastAsia" w:ascii="宋体" w:hAnsi="宋体" w:eastAsia="宋体" w:cs="宋体"/>
          <w:b/>
          <w:bCs/>
          <w:szCs w:val="21"/>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招标文件包括以下主要内容：</w:t>
      </w:r>
      <w:r>
        <w:rPr>
          <w:rFonts w:hint="eastAsia" w:ascii="宋体" w:hAnsi="宋体" w:eastAsia="宋体" w:cs="宋体"/>
          <w:szCs w:val="21"/>
        </w:rPr>
      </w:r>
      <w:r/>
    </w:p>
    <w:p>
      <w:pPr>
        <w:pStyle w:val="105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招标公告；</w:t>
      </w:r>
      <w:r>
        <w:rPr>
          <w:rFonts w:hint="eastAsia" w:ascii="宋体" w:hAnsi="宋体" w:eastAsia="宋体" w:cs="宋体"/>
          <w:szCs w:val="21"/>
          <w:lang w:eastAsia="en-US"/>
        </w:rPr>
      </w:r>
      <w:r/>
    </w:p>
    <w:p>
      <w:pPr>
        <w:pStyle w:val="105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投标人须知；</w:t>
      </w:r>
      <w:r>
        <w:rPr>
          <w:rFonts w:hint="eastAsia" w:ascii="宋体" w:hAnsi="宋体" w:eastAsia="宋体" w:cs="宋体"/>
          <w:szCs w:val="21"/>
          <w:lang w:eastAsia="en-US"/>
        </w:rPr>
      </w:r>
      <w:r/>
    </w:p>
    <w:p>
      <w:pPr>
        <w:pStyle w:val="105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评标标准；</w:t>
      </w:r>
      <w:r>
        <w:rPr>
          <w:rFonts w:hint="eastAsia" w:ascii="宋体" w:hAnsi="宋体" w:eastAsia="宋体" w:cs="宋体"/>
          <w:szCs w:val="21"/>
          <w:lang w:eastAsia="en-US"/>
        </w:rPr>
      </w:r>
      <w:r/>
    </w:p>
    <w:p>
      <w:pPr>
        <w:pStyle w:val="105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采购需求；</w:t>
      </w:r>
      <w:r>
        <w:rPr>
          <w:rFonts w:hint="eastAsia" w:ascii="宋体" w:hAnsi="宋体" w:eastAsia="宋体" w:cs="宋体"/>
          <w:szCs w:val="21"/>
          <w:lang w:eastAsia="en-US"/>
        </w:rPr>
      </w:r>
      <w:r/>
    </w:p>
    <w:p>
      <w:pPr>
        <w:pStyle w:val="105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合同主要条款及格式；</w:t>
      </w:r>
      <w:r>
        <w:rPr>
          <w:rFonts w:hint="eastAsia" w:ascii="宋体" w:hAnsi="宋体" w:eastAsia="宋体" w:cs="宋体"/>
          <w:szCs w:val="21"/>
          <w:lang w:eastAsia="en-US"/>
        </w:rPr>
      </w:r>
      <w:r/>
    </w:p>
    <w:p>
      <w:pPr>
        <w:pStyle w:val="1053"/>
        <w:numPr>
          <w:ilvl w:val="0"/>
          <w:numId w:val="10"/>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投标文件格式及附件。</w:t>
      </w:r>
      <w:r>
        <w:rPr>
          <w:rFonts w:hint="eastAsia" w:ascii="宋体" w:hAnsi="宋体" w:eastAsia="宋体" w:cs="宋体"/>
          <w:szCs w:val="21"/>
          <w:lang w:eastAsia="en-US"/>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如标书制作工具中格式和内容与“江苏政府采购网”发布的招标文件不一致的，以上述网站发布的招标文件为准。</w:t>
      </w:r>
      <w:r>
        <w:rPr>
          <w:rFonts w:hint="eastAsia" w:ascii="宋体" w:hAnsi="宋体" w:eastAsia="宋体" w:cs="宋体"/>
          <w:szCs w:val="21"/>
        </w:rPr>
      </w:r>
      <w:r/>
    </w:p>
    <w:p>
      <w:pPr>
        <w:pStyle w:val="1053"/>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招标的最小单位是标段。招标货物数量及技术要求中未分标段的，投标人对要求提供的货物和服务不得部分投标；招标货物数量及技术要求中已经分标段的，可以以标段为单位投标。</w:t>
      </w:r>
      <w:r>
        <w:rPr>
          <w:rFonts w:hint="eastAsia" w:ascii="宋体" w:hAnsi="宋体" w:eastAsia="宋体" w:cs="宋体"/>
          <w:szCs w:val="21"/>
        </w:rPr>
      </w:r>
      <w:r/>
    </w:p>
    <w:p>
      <w:pPr>
        <w:pStyle w:val="1053"/>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采购代理机构如果要求投标人按照招标文件规定提交备选投标方案的，投标人可以提交备选方案；否则，备选方案将被拒绝。</w:t>
      </w:r>
      <w:r>
        <w:rPr>
          <w:rFonts w:hint="eastAsia" w:ascii="宋体" w:hAnsi="宋体" w:eastAsia="宋体" w:cs="宋体"/>
          <w:szCs w:val="21"/>
        </w:rPr>
      </w:r>
      <w:r/>
    </w:p>
    <w:p>
      <w:pPr>
        <w:pStyle w:val="1053"/>
        <w:numPr>
          <w:ilvl w:val="0"/>
          <w:numId w:val="11"/>
        </w:numPr>
        <w:ind w:firstLine="420"/>
        <w:rPr>
          <w:rFonts w:hint="eastAsia" w:ascii="宋体" w:hAnsi="宋体" w:eastAsia="宋体" w:cs="宋体"/>
          <w:szCs w:val="21"/>
        </w:rPr>
      </w:pPr>
      <w:r>
        <w:rPr>
          <w:rFonts w:hint="eastAsia" w:ascii="宋体" w:hAnsi="宋体" w:eastAsia="宋体" w:cs="宋体"/>
          <w:szCs w:val="21"/>
        </w:rPr>
        <w:t xml:space="preserve">招标文件中要求的产品品牌或型号，是采购人根据项目所要实现的功能推荐的品牌或型号，仅供投标人参考，并不是限制条件。</w:t>
      </w:r>
      <w:r>
        <w:rPr>
          <w:rFonts w:hint="eastAsia" w:ascii="宋体" w:hAnsi="宋体" w:eastAsia="宋体" w:cs="宋体"/>
          <w:szCs w:val="21"/>
        </w:rPr>
      </w:r>
      <w:r/>
    </w:p>
    <w:p>
      <w:pPr>
        <w:pStyle w:val="1053"/>
        <w:numPr>
          <w:ilvl w:val="0"/>
          <w:numId w:val="6"/>
        </w:numPr>
        <w:ind w:firstLine="422"/>
        <w:rPr>
          <w:rFonts w:hint="eastAsia" w:ascii="宋体" w:hAnsi="宋体" w:eastAsia="宋体" w:cs="宋体"/>
          <w:b/>
          <w:bCs/>
          <w:szCs w:val="21"/>
        </w:rPr>
      </w:pPr>
      <w:r/>
      <w:bookmarkStart w:id="44" w:name="_Toc209510680"/>
      <w:r>
        <w:rPr>
          <w:rFonts w:hint="eastAsia" w:ascii="宋体" w:hAnsi="宋体" w:eastAsia="宋体" w:cs="宋体"/>
          <w:b/>
          <w:bCs/>
          <w:szCs w:val="21"/>
        </w:rPr>
        <w:t xml:space="preserve">招标文件的澄清或者修改</w:t>
      </w:r>
      <w:bookmarkEnd w:id="44"/>
      <w:r>
        <w:rPr>
          <w:rFonts w:hint="eastAsia" w:ascii="宋体" w:hAnsi="宋体" w:eastAsia="宋体" w:cs="宋体"/>
          <w:b/>
          <w:bCs/>
          <w:szCs w:val="21"/>
        </w:rPr>
      </w:r>
      <w:r/>
    </w:p>
    <w:p>
      <w:pPr>
        <w:pStyle w:val="1053"/>
        <w:numPr>
          <w:ilvl w:val="0"/>
          <w:numId w:val="12"/>
        </w:numPr>
        <w:ind w:firstLine="420"/>
        <w:rPr>
          <w:rFonts w:hint="eastAsia" w:ascii="宋体" w:hAnsi="宋体" w:eastAsia="宋体" w:cs="宋体"/>
          <w:szCs w:val="21"/>
          <w:lang w:eastAsia="en-US"/>
        </w:rPr>
      </w:pPr>
      <w:r>
        <w:rPr>
          <w:rFonts w:hint="eastAsia" w:ascii="宋体" w:hAnsi="宋体" w:eastAsia="宋体" w:cs="宋体"/>
          <w:szCs w:val="21"/>
        </w:rPr>
        <w:t xml:space="preserve">采购人或者采购代理机构可以对已发出的招标文件进行必要的澄清或者修改，但不得改变采购标的和资格条件。澄清或者修改应当在原公告发布媒体上发布澄清公告。</w:t>
      </w:r>
      <w:r>
        <w:rPr>
          <w:rFonts w:hint="eastAsia" w:ascii="宋体" w:hAnsi="宋体" w:eastAsia="宋体" w:cs="宋体"/>
          <w:szCs w:val="21"/>
          <w:lang w:eastAsia="en-US"/>
        </w:rPr>
        <w:t xml:space="preserve">澄清或者修改的内容为招标文件的组成部分。</w:t>
      </w:r>
      <w:r>
        <w:rPr>
          <w:rFonts w:hint="eastAsia" w:ascii="宋体" w:hAnsi="宋体" w:eastAsia="宋体" w:cs="宋体"/>
          <w:szCs w:val="21"/>
          <w:lang w:eastAsia="en-US"/>
        </w:rPr>
      </w:r>
      <w:r/>
    </w:p>
    <w:p>
      <w:pPr>
        <w:pStyle w:val="1053"/>
        <w:numPr>
          <w:ilvl w:val="0"/>
          <w:numId w:val="12"/>
        </w:numPr>
        <w:ind w:firstLine="420"/>
        <w:rPr>
          <w:rFonts w:hint="eastAsia" w:ascii="宋体" w:hAnsi="宋体" w:eastAsia="宋体" w:cs="宋体"/>
          <w:szCs w:val="21"/>
        </w:rPr>
      </w:pPr>
      <w:r>
        <w:rPr>
          <w:rFonts w:hint="eastAsia" w:ascii="宋体" w:hAnsi="宋体" w:eastAsia="宋体" w:cs="宋体"/>
          <w:szCs w:val="21"/>
        </w:rPr>
        <w:t xml:space="preserve">澄清或者修改的内容可能影响投标文件编制的，采购人或者采购代理机构应当在投标截止时间至少15日前，以书面形式通知所有获取招标文件的潜在投标人；不足15日的，采购人或者采购代理机构应当顺延提交投标文件的截止时间。</w:t>
      </w:r>
      <w:r>
        <w:rPr>
          <w:rFonts w:hint="eastAsia" w:ascii="宋体" w:hAnsi="宋体" w:eastAsia="宋体" w:cs="宋体"/>
          <w:szCs w:val="21"/>
        </w:rPr>
      </w:r>
      <w:r/>
    </w:p>
    <w:p>
      <w:pPr>
        <w:pStyle w:val="1053"/>
        <w:numPr>
          <w:ilvl w:val="0"/>
          <w:numId w:val="12"/>
        </w:numPr>
        <w:ind w:firstLine="420"/>
        <w:rPr>
          <w:rFonts w:hint="eastAsia" w:ascii="宋体" w:hAnsi="宋体" w:eastAsia="宋体" w:cs="宋体"/>
          <w:szCs w:val="21"/>
        </w:rPr>
      </w:pPr>
      <w:r>
        <w:rPr>
          <w:rFonts w:hint="eastAsia" w:ascii="宋体" w:hAnsi="宋体" w:eastAsia="宋体" w:cs="宋体"/>
          <w:szCs w:val="21"/>
        </w:rPr>
        <w:t xml:space="preserve">投标人应在提交投标文件截止时间前，关注原公告媒体有关本项目的更正公告，根据更正公告内容自行决定是否需要重新制作和提交投标文件，并承担由此产生的相应责任。</w:t>
      </w:r>
      <w:r>
        <w:rPr>
          <w:rFonts w:hint="eastAsia" w:ascii="宋体" w:hAnsi="宋体" w:eastAsia="宋体" w:cs="宋体"/>
          <w:szCs w:val="21"/>
        </w:rPr>
      </w:r>
      <w:r/>
    </w:p>
    <w:p>
      <w:pPr>
        <w:pStyle w:val="1053"/>
        <w:numPr>
          <w:ilvl w:val="0"/>
          <w:numId w:val="5"/>
        </w:numPr>
        <w:rPr>
          <w:rFonts w:hint="eastAsia" w:ascii="宋体" w:hAnsi="宋体" w:eastAsia="宋体" w:cs="宋体"/>
          <w:b/>
          <w:bCs/>
          <w:szCs w:val="21"/>
        </w:rPr>
        <w:outlineLvl w:val="1"/>
      </w:pPr>
      <w:r/>
      <w:bookmarkStart w:id="45" w:name="_Toc209510617"/>
      <w:r/>
      <w:bookmarkStart w:id="46" w:name="_Toc3559"/>
      <w:r/>
      <w:bookmarkStart w:id="47" w:name="_Toc6845"/>
      <w:r/>
      <w:bookmarkStart w:id="48" w:name="_Toc7135"/>
      <w:r/>
      <w:bookmarkStart w:id="49" w:name="_Toc22828"/>
      <w:r/>
      <w:bookmarkStart w:id="50" w:name="_Toc19603"/>
      <w:r/>
      <w:bookmarkStart w:id="51" w:name="_Toc7702"/>
      <w:r/>
      <w:bookmarkStart w:id="52" w:name="_Toc209510681"/>
      <w:r>
        <w:rPr>
          <w:rFonts w:hint="eastAsia" w:ascii="宋体" w:hAnsi="宋体" w:eastAsia="宋体" w:cs="宋体"/>
          <w:b/>
          <w:bCs/>
          <w:szCs w:val="21"/>
        </w:rPr>
        <w:t xml:space="preserve">投标文件的编制</w:t>
      </w:r>
      <w:bookmarkEnd w:id="45"/>
      <w:r/>
      <w:bookmarkEnd w:id="46"/>
      <w:r/>
      <w:bookmarkEnd w:id="47"/>
      <w:r/>
      <w:bookmarkEnd w:id="48"/>
      <w:r/>
      <w:bookmarkEnd w:id="49"/>
      <w:r/>
      <w:bookmarkEnd w:id="50"/>
      <w:r/>
      <w:bookmarkEnd w:id="51"/>
      <w:r/>
      <w:bookmarkEnd w:id="52"/>
      <w:r>
        <w:rPr>
          <w:rFonts w:hint="eastAsia" w:ascii="宋体" w:hAnsi="宋体" w:eastAsia="宋体" w:cs="宋体"/>
          <w:b/>
          <w:bCs/>
          <w:szCs w:val="21"/>
        </w:rPr>
      </w:r>
      <w:r/>
    </w:p>
    <w:p>
      <w:pPr>
        <w:pStyle w:val="1053"/>
        <w:numPr>
          <w:ilvl w:val="0"/>
          <w:numId w:val="13"/>
        </w:numPr>
        <w:ind w:left="0" w:firstLine="422"/>
        <w:rPr>
          <w:rFonts w:hint="eastAsia" w:ascii="宋体" w:hAnsi="宋体" w:eastAsia="宋体" w:cs="宋体"/>
          <w:b/>
          <w:bCs/>
          <w:szCs w:val="21"/>
        </w:rPr>
      </w:pPr>
      <w:r/>
      <w:bookmarkStart w:id="53" w:name="_Toc209510682"/>
      <w:r>
        <w:rPr>
          <w:rFonts w:hint="eastAsia" w:ascii="宋体" w:hAnsi="宋体" w:eastAsia="宋体" w:cs="宋体"/>
          <w:b/>
          <w:bCs/>
          <w:szCs w:val="21"/>
        </w:rPr>
        <w:t xml:space="preserve">投标文件的语言、计量单位、货币和编制</w:t>
      </w:r>
      <w:bookmarkEnd w:id="53"/>
      <w:r>
        <w:rPr>
          <w:rFonts w:hint="eastAsia" w:ascii="宋体" w:hAnsi="宋体" w:eastAsia="宋体" w:cs="宋体"/>
          <w:b/>
          <w:bCs/>
          <w:szCs w:val="21"/>
        </w:rPr>
      </w:r>
      <w:r/>
    </w:p>
    <w:p>
      <w:pPr>
        <w:pStyle w:val="105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提交的投标文件、技术文件和资料，包括图纸中的说明，以及投标人与采购代理机构就有关投标的所有来往函电均应使用中文。投标文件中若有英文或其他语言文字的资料，应提供相应的中文翻译资料。对不同文本投标文件的解释发生异议的，以中文文本为准。</w:t>
      </w:r>
      <w:r>
        <w:rPr>
          <w:rFonts w:hint="eastAsia" w:ascii="宋体" w:hAnsi="宋体" w:eastAsia="宋体" w:cs="宋体"/>
          <w:szCs w:val="21"/>
        </w:rPr>
      </w:r>
      <w:r/>
    </w:p>
    <w:p>
      <w:pPr>
        <w:pStyle w:val="105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投标人所使用的计量单位应为国家法定计量单位。</w:t>
      </w:r>
      <w:r>
        <w:rPr>
          <w:rFonts w:hint="eastAsia" w:ascii="宋体" w:hAnsi="宋体" w:eastAsia="宋体" w:cs="宋体"/>
          <w:szCs w:val="21"/>
        </w:rPr>
      </w:r>
      <w:r/>
    </w:p>
    <w:p>
      <w:pPr>
        <w:pStyle w:val="105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投标人应用人民币报价。投标产品如果是进口产品的，应提供人民币与</w:t>
      </w:r>
      <w:r>
        <w:rPr>
          <w:rFonts w:hint="eastAsia" w:ascii="宋体" w:hAnsi="宋体" w:eastAsia="宋体" w:cs="宋体"/>
          <w:b/>
          <w:szCs w:val="21"/>
        </w:rPr>
        <w:t xml:space="preserve">外币之间的汇率。</w:t>
      </w:r>
      <w:r>
        <w:rPr>
          <w:rFonts w:hint="eastAsia" w:ascii="宋体" w:hAnsi="宋体" w:eastAsia="宋体" w:cs="宋体"/>
          <w:szCs w:val="21"/>
        </w:rPr>
      </w:r>
      <w:r/>
    </w:p>
    <w:p>
      <w:pPr>
        <w:pStyle w:val="105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投标文件应按照招标文件的规定编写并制作目录。</w:t>
      </w:r>
      <w:r>
        <w:rPr>
          <w:rFonts w:hint="eastAsia" w:ascii="宋体" w:hAnsi="宋体" w:eastAsia="宋体" w:cs="宋体"/>
          <w:szCs w:val="21"/>
        </w:rPr>
      </w:r>
      <w:r/>
    </w:p>
    <w:p>
      <w:pPr>
        <w:pStyle w:val="105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投标人应在投标文件中写清相应的项目编号、项目名称、投标人全称、地址、电话、传真等。</w:t>
      </w:r>
      <w:r>
        <w:rPr>
          <w:rFonts w:hint="eastAsia" w:ascii="宋体" w:hAnsi="宋体" w:eastAsia="宋体" w:cs="宋体"/>
          <w:szCs w:val="21"/>
        </w:rPr>
      </w:r>
      <w:r/>
    </w:p>
    <w:p>
      <w:pPr>
        <w:pStyle w:val="1053"/>
        <w:numPr>
          <w:ilvl w:val="0"/>
          <w:numId w:val="14"/>
        </w:numPr>
        <w:ind w:firstLine="420"/>
        <w:rPr>
          <w:rFonts w:hint="eastAsia" w:ascii="宋体" w:hAnsi="宋体" w:eastAsia="宋体" w:cs="宋体"/>
          <w:szCs w:val="21"/>
        </w:rPr>
      </w:pPr>
      <w:r>
        <w:rPr>
          <w:rFonts w:hint="eastAsia" w:ascii="宋体" w:hAnsi="宋体" w:eastAsia="宋体" w:cs="宋体"/>
          <w:szCs w:val="21"/>
        </w:rPr>
        <w:t xml:space="preserve">投标人根据招标文件载明的标的采购项目实际情况，拟在中标后将中标项目的非主体、非关键性工作交由他人完成的，应当在投标文件中载明。</w:t>
      </w:r>
      <w:r>
        <w:rPr>
          <w:rFonts w:hint="eastAsia" w:ascii="宋体" w:hAnsi="宋体" w:eastAsia="宋体" w:cs="宋体"/>
          <w:szCs w:val="21"/>
        </w:rPr>
      </w:r>
      <w:r/>
    </w:p>
    <w:p>
      <w:pPr>
        <w:pStyle w:val="1053"/>
        <w:numPr>
          <w:ilvl w:val="0"/>
          <w:numId w:val="13"/>
        </w:numPr>
        <w:ind w:left="0" w:firstLine="422"/>
        <w:rPr>
          <w:rFonts w:hint="eastAsia" w:ascii="宋体" w:hAnsi="宋体" w:eastAsia="宋体" w:cs="宋体"/>
          <w:b/>
          <w:szCs w:val="21"/>
        </w:rPr>
      </w:pPr>
      <w:r>
        <w:rPr>
          <w:rFonts w:hint="eastAsia" w:ascii="宋体" w:hAnsi="宋体" w:eastAsia="宋体" w:cs="宋体"/>
          <w:b/>
          <w:szCs w:val="21"/>
        </w:rPr>
        <w:t xml:space="preserve">联合体投标（本项目不适用）</w:t>
      </w:r>
      <w:r>
        <w:rPr>
          <w:rFonts w:hint="eastAsia" w:ascii="宋体" w:hAnsi="宋体" w:eastAsia="宋体" w:cs="宋体"/>
          <w:b/>
          <w:szCs w:val="21"/>
        </w:rPr>
      </w:r>
      <w:r/>
    </w:p>
    <w:p>
      <w:pPr>
        <w:pStyle w:val="105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投标文件的组成</w:t>
      </w:r>
      <w:r>
        <w:rPr>
          <w:rFonts w:hint="eastAsia" w:ascii="宋体" w:hAnsi="宋体" w:eastAsia="宋体" w:cs="宋体"/>
          <w:b/>
          <w:szCs w:val="21"/>
          <w:lang w:eastAsia="en-US"/>
        </w:rPr>
      </w:r>
      <w:r/>
    </w:p>
    <w:p>
      <w:pPr>
        <w:pStyle w:val="1053"/>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供应商编写的投标文件应包括资格证明文件、符合性证明文件、投标分项报价表、响应及偏离表、其他证明文件、投标函、开标一览表等部分</w:t>
      </w:r>
      <w:r>
        <w:rPr>
          <w:rFonts w:hint="eastAsia" w:ascii="宋体" w:hAnsi="宋体" w:eastAsia="宋体" w:cs="宋体"/>
          <w:b/>
          <w:szCs w:val="21"/>
        </w:rPr>
        <w:t xml:space="preserve">。</w:t>
      </w:r>
      <w:r>
        <w:rPr>
          <w:rFonts w:hint="eastAsia" w:ascii="宋体" w:hAnsi="宋体" w:eastAsia="宋体" w:cs="宋体"/>
          <w:szCs w:val="21"/>
        </w:rPr>
      </w:r>
      <w:r/>
    </w:p>
    <w:p>
      <w:pPr>
        <w:pStyle w:val="1053"/>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如标书制作工具中格式和内容与“江苏政府采购网”发布的招标文件不一致，以“江苏政府采购网”发布的招标文件为准。</w:t>
      </w:r>
      <w:r>
        <w:rPr>
          <w:rFonts w:hint="eastAsia" w:ascii="宋体" w:hAnsi="宋体" w:eastAsia="宋体" w:cs="宋体"/>
          <w:szCs w:val="21"/>
        </w:rPr>
      </w:r>
      <w:r/>
    </w:p>
    <w:p>
      <w:pPr>
        <w:pStyle w:val="1053"/>
        <w:numPr>
          <w:ilvl w:val="0"/>
          <w:numId w:val="15"/>
        </w:numPr>
        <w:ind w:firstLine="420"/>
        <w:rPr>
          <w:rFonts w:hint="eastAsia" w:ascii="宋体" w:hAnsi="宋体" w:eastAsia="宋体" w:cs="宋体"/>
          <w:szCs w:val="21"/>
        </w:rPr>
      </w:pPr>
      <w:r>
        <w:rPr>
          <w:rFonts w:hint="eastAsia" w:ascii="宋体" w:hAnsi="宋体" w:eastAsia="宋体" w:cs="宋体"/>
          <w:szCs w:val="21"/>
        </w:rPr>
        <w:t xml:space="preserve">供应商应当根据招标文件要求编制投标文件，投标文件应对招标文件提出的要求和条件作出实质性响</w:t>
      </w:r>
      <w:r>
        <w:rPr>
          <w:rFonts w:hint="eastAsia" w:ascii="宋体" w:hAnsi="宋体" w:eastAsia="宋体" w:cs="宋体"/>
          <w:szCs w:val="21"/>
        </w:rPr>
        <w:t xml:space="preserve">应，并在《商务条款偏离表》和《技术条款偏离表》等处逐条标明满足与否。对带星号（“★”）的技术条款须在投标文件中提供招标文件技术参数中所要求的技术支持资料（如白皮书、彩页、手册、检测报告等），未提供技术支持资料的，或未对招标文件做出实质性响应，将导致投标文件被视为无效，若评分细则另有规定的以评分细则规定为准。对带▲号参数指标（如有）为主要技术参数要求，投标文件中须提供技术参数中所要求提供的货物、软件操作界面的图片或其他材料以佐证，否则将视为未响应▲号参数，作负偏离处理，若评分细则另有规定的以评分细则规定为准。</w:t>
      </w:r>
      <w:r>
        <w:rPr>
          <w:rFonts w:hint="eastAsia" w:ascii="宋体" w:hAnsi="宋体" w:eastAsia="宋体" w:cs="宋体"/>
          <w:szCs w:val="21"/>
        </w:rPr>
      </w:r>
      <w:r/>
    </w:p>
    <w:p>
      <w:pPr>
        <w:pStyle w:val="105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投标文件的商务内容</w:t>
      </w:r>
      <w:r>
        <w:rPr>
          <w:rFonts w:hint="eastAsia" w:ascii="宋体" w:hAnsi="宋体" w:eastAsia="宋体" w:cs="宋体"/>
          <w:b/>
          <w:szCs w:val="21"/>
          <w:lang w:eastAsia="en-US"/>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9.1商务部分内容是证明投标人有资格参加投标和中标后有能力履行合同的文件，这些文件应能满足招标的要求，包括但不限于下列文件（</w:t>
      </w:r>
      <w:r>
        <w:rPr>
          <w:rFonts w:hint="eastAsia" w:ascii="宋体" w:hAnsi="宋体" w:eastAsia="宋体" w:cs="宋体"/>
          <w:b/>
          <w:szCs w:val="21"/>
        </w:rPr>
        <w:t xml:space="preserve">“</w:t>
      </w:r>
      <w:r>
        <w:rPr>
          <w:rFonts w:hint="eastAsia" w:ascii="宋体" w:hAnsi="宋体" w:eastAsia="宋体" w:cs="宋体"/>
          <w:sz w:val="22"/>
          <w:szCs w:val="22"/>
        </w:rPr>
        <w:t xml:space="preserve">※</w:t>
      </w:r>
      <w:r>
        <w:rPr>
          <w:rFonts w:hint="eastAsia" w:ascii="宋体" w:hAnsi="宋体" w:eastAsia="宋体" w:cs="宋体"/>
          <w:b/>
          <w:szCs w:val="21"/>
        </w:rPr>
        <w:t xml:space="preserve">”所述材料不得有缺失或提供不全或不满足招标文件的实质性要求</w:t>
      </w:r>
      <w:r>
        <w:rPr>
          <w:rFonts w:hint="eastAsia" w:ascii="宋体" w:hAnsi="宋体" w:eastAsia="宋体" w:cs="宋体"/>
          <w:szCs w:val="21"/>
        </w:rPr>
        <w:t xml:space="preserve">）：</w:t>
      </w:r>
      <w:r>
        <w:rPr>
          <w:rFonts w:hint="eastAsia" w:ascii="宋体" w:hAnsi="宋体" w:eastAsia="宋体" w:cs="宋体"/>
          <w:szCs w:val="21"/>
        </w:rPr>
      </w:r>
      <w:r/>
    </w:p>
    <w:p>
      <w:pPr>
        <w:pStyle w:val="1053"/>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投标函（投标申请及声明） ；</w:t>
      </w:r>
      <w:r>
        <w:rPr>
          <w:rFonts w:hint="eastAsia" w:ascii="宋体" w:hAnsi="宋体" w:eastAsia="宋体" w:cs="宋体"/>
          <w:szCs w:val="21"/>
        </w:rPr>
      </w:r>
      <w:r/>
    </w:p>
    <w:p>
      <w:pPr>
        <w:pStyle w:val="1053"/>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法人授权书(法人代表授权书（原件）及法定代表人、授权代表身份证复印件)</w:t>
      </w:r>
      <w:r>
        <w:rPr>
          <w:rFonts w:hint="eastAsia" w:ascii="宋体" w:hAnsi="宋体" w:eastAsia="宋体" w:cs="宋体"/>
          <w:szCs w:val="21"/>
        </w:rPr>
      </w:r>
      <w:r/>
    </w:p>
    <w:p>
      <w:pPr>
        <w:pStyle w:val="1053"/>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投标人资格资信证明文件：</w:t>
      </w:r>
      <w:r>
        <w:rPr>
          <w:rFonts w:hint="eastAsia" w:ascii="宋体" w:hAnsi="宋体" w:eastAsia="宋体" w:cs="宋体"/>
          <w:szCs w:val="21"/>
        </w:rPr>
      </w:r>
      <w:r/>
    </w:p>
    <w:p>
      <w:pPr>
        <w:pStyle w:val="1053"/>
        <w:numPr>
          <w:ilvl w:val="0"/>
          <w:numId w:val="16"/>
        </w:numPr>
        <w:ind w:firstLine="440"/>
        <w:rPr>
          <w:rFonts w:hint="eastAsia" w:ascii="宋体" w:hAnsi="宋体" w:eastAsia="宋体" w:cs="宋体"/>
          <w:szCs w:val="21"/>
        </w:rPr>
      </w:pPr>
      <w:r>
        <w:rPr>
          <w:rFonts w:hint="eastAsia" w:ascii="宋体" w:hAnsi="宋体" w:eastAsia="宋体" w:cs="宋体"/>
          <w:sz w:val="22"/>
          <w:szCs w:val="22"/>
        </w:rPr>
        <w:t xml:space="preserve">※</w:t>
      </w:r>
      <w:r>
        <w:rPr>
          <w:rFonts w:hint="eastAsia" w:ascii="宋体" w:hAnsi="宋体" w:eastAsia="宋体" w:cs="宋体"/>
          <w:szCs w:val="21"/>
        </w:rPr>
        <w:t xml:space="preserve">开标一览表（格式见附件） ；</w:t>
      </w:r>
      <w:r>
        <w:rPr>
          <w:rFonts w:hint="eastAsia" w:ascii="宋体" w:hAnsi="宋体" w:eastAsia="宋体" w:cs="宋体"/>
          <w:szCs w:val="21"/>
        </w:rPr>
      </w:r>
      <w:r/>
    </w:p>
    <w:p>
      <w:pPr>
        <w:pStyle w:val="1053"/>
        <w:numPr>
          <w:ilvl w:val="0"/>
          <w:numId w:val="16"/>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《商务条款偏离表》；</w:t>
      </w:r>
      <w:r>
        <w:rPr>
          <w:rFonts w:hint="eastAsia" w:ascii="宋体" w:hAnsi="宋体" w:eastAsia="宋体" w:cs="宋体"/>
          <w:szCs w:val="21"/>
          <w:lang w:eastAsia="en-US"/>
        </w:rPr>
      </w:r>
      <w:r/>
    </w:p>
    <w:p>
      <w:pPr>
        <w:pStyle w:val="1053"/>
        <w:ind w:firstLine="418"/>
        <w:widowControl/>
        <w:rPr>
          <w:rFonts w:hint="eastAsia" w:ascii="宋体" w:hAnsi="宋体" w:eastAsia="宋体" w:cs="宋体"/>
          <w:sz w:val="22"/>
          <w:szCs w:val="22"/>
        </w:rPr>
      </w:pPr>
      <w:r>
        <w:rPr>
          <w:rFonts w:hint="eastAsia" w:ascii="宋体" w:hAnsi="宋体" w:eastAsia="宋体" w:cs="宋体"/>
          <w:sz w:val="22"/>
          <w:szCs w:val="22"/>
        </w:rPr>
        <w:t xml:space="preserve">（6）分项报价表（格式见附件）；</w:t>
      </w:r>
      <w:r>
        <w:rPr>
          <w:rFonts w:hint="eastAsia" w:ascii="宋体" w:hAnsi="宋体" w:eastAsia="宋体" w:cs="宋体"/>
          <w:sz w:val="22"/>
          <w:szCs w:val="22"/>
        </w:rPr>
      </w:r>
      <w:r/>
    </w:p>
    <w:p>
      <w:pPr>
        <w:pStyle w:val="1053"/>
        <w:ind w:firstLine="418"/>
        <w:widowControl/>
        <w:rPr>
          <w:rFonts w:hint="eastAsia" w:ascii="宋体" w:hAnsi="宋体" w:eastAsia="宋体" w:cs="宋体"/>
          <w:sz w:val="22"/>
          <w:szCs w:val="22"/>
        </w:rPr>
      </w:pPr>
      <w:r>
        <w:rPr>
          <w:rFonts w:hint="eastAsia" w:ascii="宋体" w:hAnsi="宋体" w:eastAsia="宋体" w:cs="宋体"/>
          <w:sz w:val="22"/>
          <w:szCs w:val="22"/>
        </w:rPr>
        <w:t xml:space="preserve">（7）第三章评标标准中对应的其他所需证明材料（如有自行添加）；</w:t>
      </w:r>
      <w:r>
        <w:rPr>
          <w:rFonts w:hint="eastAsia" w:ascii="宋体" w:hAnsi="宋体" w:eastAsia="宋体" w:cs="宋体"/>
          <w:sz w:val="22"/>
          <w:szCs w:val="22"/>
        </w:rPr>
      </w:r>
      <w:r/>
    </w:p>
    <w:p>
      <w:pPr>
        <w:pStyle w:val="1053"/>
        <w:ind w:firstLine="418"/>
        <w:widowControl/>
        <w:rPr>
          <w:rFonts w:hint="eastAsia" w:ascii="宋体" w:hAnsi="宋体" w:eastAsia="宋体" w:cs="宋体"/>
          <w:sz w:val="22"/>
          <w:szCs w:val="22"/>
        </w:rPr>
      </w:pPr>
      <w:r>
        <w:rPr>
          <w:rFonts w:hint="eastAsia" w:ascii="宋体" w:hAnsi="宋体" w:eastAsia="宋体" w:cs="宋体"/>
          <w:sz w:val="22"/>
          <w:szCs w:val="22"/>
        </w:rPr>
        <w:t xml:space="preserve">（8）要求采购人提供的配合（如有自拟并自行添加）；</w:t>
      </w:r>
      <w:r>
        <w:rPr>
          <w:rFonts w:hint="eastAsia" w:ascii="宋体" w:hAnsi="宋体" w:eastAsia="宋体" w:cs="宋体"/>
          <w:sz w:val="22"/>
          <w:szCs w:val="22"/>
        </w:rPr>
      </w:r>
      <w:r/>
    </w:p>
    <w:p>
      <w:pPr>
        <w:pStyle w:val="1053"/>
        <w:ind w:firstLine="418"/>
        <w:widowControl/>
        <w:rPr>
          <w:rFonts w:hint="eastAsia" w:ascii="宋体" w:hAnsi="宋体" w:eastAsia="宋体" w:cs="宋体"/>
          <w:sz w:val="22"/>
          <w:szCs w:val="22"/>
        </w:rPr>
      </w:pPr>
      <w:r>
        <w:rPr>
          <w:rFonts w:hint="eastAsia" w:ascii="宋体" w:hAnsi="宋体" w:eastAsia="宋体" w:cs="宋体"/>
          <w:sz w:val="22"/>
          <w:szCs w:val="22"/>
        </w:rPr>
        <w:t xml:space="preserve">（9）供应商认为需要提供的其他资格证明文件和商务资料。</w:t>
      </w:r>
      <w:r>
        <w:rPr>
          <w:rFonts w:hint="eastAsia" w:ascii="宋体" w:hAnsi="宋体" w:eastAsia="宋体" w:cs="宋体"/>
          <w:sz w:val="22"/>
          <w:szCs w:val="22"/>
        </w:rPr>
      </w:r>
      <w:r/>
    </w:p>
    <w:p>
      <w:pPr>
        <w:pStyle w:val="105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投标文件的技术内容</w:t>
      </w:r>
      <w:r>
        <w:rPr>
          <w:rFonts w:hint="eastAsia" w:ascii="宋体" w:hAnsi="宋体" w:eastAsia="宋体" w:cs="宋体"/>
          <w:b/>
          <w:szCs w:val="21"/>
          <w:lang w:eastAsia="en-US"/>
        </w:rPr>
      </w:r>
      <w:r/>
    </w:p>
    <w:p>
      <w:pPr>
        <w:pStyle w:val="1053"/>
        <w:ind w:firstLine="418"/>
        <w:widowControl/>
        <w:rPr>
          <w:rFonts w:hint="eastAsia" w:ascii="宋体" w:hAnsi="宋体" w:eastAsia="宋体" w:cs="宋体"/>
          <w:sz w:val="22"/>
          <w:szCs w:val="22"/>
        </w:rPr>
      </w:pPr>
      <w:r>
        <w:rPr>
          <w:rFonts w:hint="eastAsia" w:ascii="宋体" w:hAnsi="宋体" w:eastAsia="宋体" w:cs="宋体"/>
          <w:sz w:val="22"/>
          <w:szCs w:val="22"/>
        </w:rPr>
        <w:t xml:space="preserve">技术部分是证明供应商提供的产品/服务是合格的、并符合招标文件要求的证明文件，以及对产品/服务的详细说明，这些文件可以是文字资料、图纸和数据等。提供的产品/服务如与招标文件要求有不符之处，应说明其差别之所在。包括但不限于下列文件，其中加※项目不得有缺失或无效：</w:t>
      </w:r>
      <w:r>
        <w:rPr>
          <w:rFonts w:hint="eastAsia" w:ascii="宋体" w:hAnsi="宋体" w:eastAsia="宋体" w:cs="宋体"/>
          <w:sz w:val="22"/>
          <w:szCs w:val="22"/>
        </w:rPr>
      </w:r>
      <w:r/>
    </w:p>
    <w:p>
      <w:pPr>
        <w:pStyle w:val="1053"/>
        <w:ind w:firstLine="418"/>
        <w:widowControl/>
        <w:rPr>
          <w:rFonts w:hint="eastAsia" w:ascii="宋体" w:hAnsi="宋体" w:eastAsia="宋体" w:cs="宋体"/>
          <w:sz w:val="22"/>
          <w:szCs w:val="22"/>
        </w:rPr>
      </w:pPr>
      <w:r>
        <w:rPr>
          <w:rFonts w:hint="eastAsia" w:ascii="宋体" w:hAnsi="宋体" w:eastAsia="宋体" w:cs="宋体"/>
          <w:sz w:val="22"/>
          <w:szCs w:val="22"/>
        </w:rPr>
        <w:t xml:space="preserve">（1）货物、服务内容的详细说明；</w:t>
      </w:r>
      <w:r>
        <w:rPr>
          <w:rFonts w:hint="eastAsia" w:ascii="宋体" w:hAnsi="宋体" w:eastAsia="宋体" w:cs="宋体"/>
          <w:sz w:val="22"/>
          <w:szCs w:val="22"/>
        </w:rPr>
      </w:r>
      <w:r/>
    </w:p>
    <w:p>
      <w:pPr>
        <w:pStyle w:val="1053"/>
        <w:ind w:firstLine="418"/>
        <w:widowControl/>
        <w:rPr>
          <w:rFonts w:hint="eastAsia" w:ascii="宋体" w:hAnsi="宋体" w:eastAsia="宋体" w:cs="宋体"/>
          <w:sz w:val="22"/>
          <w:szCs w:val="22"/>
        </w:rPr>
      </w:pPr>
      <w:r>
        <w:rPr>
          <w:rFonts w:hint="eastAsia" w:ascii="宋体" w:hAnsi="宋体" w:eastAsia="宋体" w:cs="宋体"/>
          <w:sz w:val="22"/>
          <w:szCs w:val="22"/>
        </w:rPr>
        <w:t xml:space="preserve">（2）※《技术条款偏离表》；</w:t>
      </w:r>
      <w:r>
        <w:rPr>
          <w:rFonts w:hint="eastAsia" w:ascii="宋体" w:hAnsi="宋体" w:eastAsia="宋体" w:cs="宋体"/>
          <w:sz w:val="22"/>
          <w:szCs w:val="22"/>
        </w:rPr>
      </w:r>
      <w:r/>
    </w:p>
    <w:p>
      <w:pPr>
        <w:pStyle w:val="1053"/>
        <w:ind w:firstLine="418"/>
        <w:widowControl/>
        <w:rPr>
          <w:rFonts w:hint="eastAsia" w:ascii="宋体" w:hAnsi="宋体" w:eastAsia="宋体" w:cs="宋体"/>
          <w:sz w:val="22"/>
          <w:szCs w:val="22"/>
        </w:rPr>
      </w:pPr>
      <w:r>
        <w:rPr>
          <w:rFonts w:hint="eastAsia" w:ascii="宋体" w:hAnsi="宋体" w:eastAsia="宋体" w:cs="宋体"/>
          <w:sz w:val="22"/>
          <w:szCs w:val="22"/>
        </w:rPr>
        <w:t xml:space="preserve">（3）投标产品配置清单及技术说明；</w:t>
      </w:r>
      <w:r>
        <w:rPr>
          <w:rFonts w:hint="eastAsia" w:ascii="宋体" w:hAnsi="宋体" w:eastAsia="宋体" w:cs="宋体"/>
          <w:sz w:val="22"/>
          <w:szCs w:val="22"/>
        </w:rPr>
      </w:r>
      <w:r/>
    </w:p>
    <w:p>
      <w:pPr>
        <w:pStyle w:val="1053"/>
        <w:ind w:firstLine="418"/>
        <w:widowControl/>
        <w:rPr>
          <w:rFonts w:hint="eastAsia" w:ascii="宋体" w:hAnsi="宋体" w:eastAsia="宋体" w:cs="宋体"/>
          <w:sz w:val="22"/>
          <w:szCs w:val="22"/>
        </w:rPr>
      </w:pPr>
      <w:r>
        <w:rPr>
          <w:rFonts w:hint="eastAsia" w:ascii="宋体" w:hAnsi="宋体" w:eastAsia="宋体" w:cs="宋体"/>
          <w:sz w:val="22"/>
          <w:szCs w:val="22"/>
        </w:rPr>
        <w:t xml:space="preserve">（4）货物安装、验收标准、货物技术资料；</w:t>
      </w:r>
      <w:r>
        <w:rPr>
          <w:rFonts w:hint="eastAsia" w:ascii="宋体" w:hAnsi="宋体" w:eastAsia="宋体" w:cs="宋体"/>
          <w:sz w:val="22"/>
          <w:szCs w:val="22"/>
        </w:rPr>
      </w:r>
      <w:r/>
    </w:p>
    <w:p>
      <w:pPr>
        <w:pStyle w:val="1053"/>
        <w:ind w:firstLine="418"/>
        <w:widowControl/>
        <w:rPr>
          <w:rFonts w:hint="eastAsia" w:ascii="宋体" w:hAnsi="宋体" w:eastAsia="宋体" w:cs="宋体"/>
          <w:sz w:val="22"/>
          <w:szCs w:val="22"/>
        </w:rPr>
      </w:pPr>
      <w:r>
        <w:rPr>
          <w:rFonts w:hint="eastAsia" w:ascii="宋体" w:hAnsi="宋体" w:eastAsia="宋体" w:cs="宋体"/>
          <w:sz w:val="22"/>
          <w:szCs w:val="22"/>
        </w:rPr>
        <w:t xml:space="preserve">（5）项目集成（实施）方案；</w:t>
      </w:r>
      <w:r>
        <w:rPr>
          <w:rFonts w:hint="eastAsia" w:ascii="宋体" w:hAnsi="宋体" w:eastAsia="宋体" w:cs="宋体"/>
          <w:sz w:val="22"/>
          <w:szCs w:val="22"/>
        </w:rPr>
      </w:r>
      <w:r/>
    </w:p>
    <w:p>
      <w:pPr>
        <w:pStyle w:val="1053"/>
        <w:ind w:firstLine="418"/>
        <w:widowControl/>
        <w:rPr>
          <w:rFonts w:hint="eastAsia" w:ascii="宋体" w:hAnsi="宋体" w:eastAsia="宋体" w:cs="宋体"/>
          <w:sz w:val="22"/>
          <w:szCs w:val="22"/>
        </w:rPr>
      </w:pPr>
      <w:r>
        <w:rPr>
          <w:rFonts w:hint="eastAsia" w:ascii="宋体" w:hAnsi="宋体" w:eastAsia="宋体" w:cs="宋体"/>
          <w:sz w:val="22"/>
          <w:szCs w:val="22"/>
        </w:rPr>
        <w:t xml:space="preserve">（6）服务承诺；</w:t>
      </w:r>
      <w:r>
        <w:rPr>
          <w:rFonts w:hint="eastAsia" w:ascii="宋体" w:hAnsi="宋体" w:eastAsia="宋体" w:cs="宋体"/>
          <w:sz w:val="22"/>
          <w:szCs w:val="22"/>
        </w:rPr>
      </w:r>
      <w:r/>
    </w:p>
    <w:p>
      <w:pPr>
        <w:pStyle w:val="1053"/>
        <w:ind w:firstLine="418"/>
        <w:widowControl/>
        <w:rPr>
          <w:rFonts w:hint="eastAsia" w:ascii="宋体" w:hAnsi="宋体" w:eastAsia="宋体" w:cs="宋体"/>
          <w:sz w:val="22"/>
          <w:szCs w:val="22"/>
        </w:rPr>
      </w:pPr>
      <w:r>
        <w:rPr>
          <w:rFonts w:hint="eastAsia" w:ascii="宋体" w:hAnsi="宋体" w:eastAsia="宋体" w:cs="宋体"/>
          <w:sz w:val="22"/>
          <w:szCs w:val="22"/>
        </w:rPr>
        <w:t xml:space="preserve">（7）供应商认为需要提供的其他技术资料。</w:t>
      </w:r>
      <w:r>
        <w:rPr>
          <w:rFonts w:hint="eastAsia" w:ascii="宋体" w:hAnsi="宋体" w:eastAsia="宋体" w:cs="宋体"/>
          <w:sz w:val="22"/>
          <w:szCs w:val="22"/>
        </w:rPr>
      </w:r>
      <w:r/>
    </w:p>
    <w:p>
      <w:pPr>
        <w:pStyle w:val="105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投标文件的价格内容</w:t>
      </w:r>
      <w:r>
        <w:rPr>
          <w:rFonts w:hint="eastAsia" w:ascii="宋体" w:hAnsi="宋体" w:eastAsia="宋体" w:cs="宋体"/>
          <w:b/>
          <w:szCs w:val="21"/>
          <w:lang w:eastAsia="en-US"/>
        </w:rPr>
      </w:r>
      <w:r/>
    </w:p>
    <w:p>
      <w:pPr>
        <w:pStyle w:val="1053"/>
        <w:numPr>
          <w:ilvl w:val="0"/>
          <w:numId w:val="17"/>
        </w:numPr>
        <w:ind w:firstLine="420"/>
        <w:rPr>
          <w:rFonts w:hint="eastAsia" w:ascii="宋体" w:hAnsi="宋体" w:eastAsia="宋体" w:cs="宋体"/>
          <w:szCs w:val="21"/>
        </w:rPr>
      </w:pPr>
      <w:r>
        <w:rPr>
          <w:rFonts w:hint="eastAsia" w:ascii="宋体" w:hAnsi="宋体" w:eastAsia="宋体" w:cs="宋体"/>
          <w:szCs w:val="21"/>
        </w:rPr>
        <w:t xml:space="preserve">价格部分内容是对采购标的价格构成的说明，招标文件如无特别说明，每一项货物及服务仅接受一个价格。</w:t>
      </w:r>
      <w:r>
        <w:rPr>
          <w:rFonts w:hint="eastAsia" w:ascii="宋体" w:hAnsi="宋体" w:eastAsia="宋体" w:cs="宋体"/>
          <w:szCs w:val="21"/>
        </w:rPr>
      </w:r>
      <w:r/>
    </w:p>
    <w:p>
      <w:pPr>
        <w:pStyle w:val="1053"/>
        <w:numPr>
          <w:ilvl w:val="0"/>
          <w:numId w:val="17"/>
        </w:numPr>
        <w:ind w:firstLine="420"/>
        <w:rPr>
          <w:rFonts w:hint="eastAsia" w:ascii="宋体" w:hAnsi="宋体" w:eastAsia="宋体" w:cs="宋体"/>
          <w:szCs w:val="21"/>
        </w:rPr>
      </w:pPr>
      <w:r>
        <w:rPr>
          <w:rFonts w:hint="eastAsia" w:ascii="宋体" w:hAnsi="宋体" w:eastAsia="宋体" w:cs="宋体"/>
          <w:szCs w:val="21"/>
        </w:rPr>
        <w:t xml:space="preserve">报价应包含为履行本项目合同项下所有义务的全部含税费用（包括但不限于货物设计、制造、包装、仓储、运输装卸、保险、安装、调试及材料，以及验收合格之前保管、保修期内备品备件、专用工具、伴随服务、技术图纸资料、人员培训发生的所有含税费用，支付给员工的工资和国家强制缴纳的各种社会保障资金），以及投标人认为需要的其他费用等</w:t>
      </w:r>
      <w:r>
        <w:rPr>
          <w:rFonts w:hint="eastAsia" w:ascii="宋体" w:hAnsi="宋体" w:eastAsia="宋体" w:cs="宋体"/>
          <w:b/>
          <w:szCs w:val="21"/>
        </w:rPr>
        <w:t xml:space="preserve">。</w:t>
      </w:r>
      <w:r>
        <w:rPr>
          <w:rFonts w:hint="eastAsia" w:ascii="宋体" w:hAnsi="宋体" w:eastAsia="宋体" w:cs="宋体"/>
          <w:szCs w:val="21"/>
        </w:rPr>
      </w:r>
      <w:r/>
    </w:p>
    <w:p>
      <w:pPr>
        <w:pStyle w:val="1053"/>
        <w:numPr>
          <w:ilvl w:val="0"/>
          <w:numId w:val="17"/>
        </w:numPr>
        <w:ind w:firstLine="440"/>
        <w:rPr>
          <w:rFonts w:hint="eastAsia" w:ascii="宋体" w:hAnsi="宋体" w:eastAsia="宋体" w:cs="宋体"/>
          <w:szCs w:val="21"/>
        </w:rPr>
      </w:pPr>
      <w:r>
        <w:rPr>
          <w:rFonts w:hint="eastAsia" w:ascii="宋体" w:hAnsi="宋体" w:eastAsia="宋体" w:cs="宋体"/>
          <w:sz w:val="22"/>
          <w:szCs w:val="22"/>
        </w:rPr>
        <w:t xml:space="preserve">报价时应充分考虑所有可能影响到报价的因素，一旦招标结束最终中标，如发生漏、缺、少项，都将被认为是中标供应商的报价让利行为，损失自负。供应商的任何错漏、优惠、竞争性报价不得作为减轻责任、减少服务、增加收费、降低质量的理由。</w:t>
      </w:r>
      <w:r>
        <w:rPr>
          <w:rFonts w:hint="eastAsia" w:ascii="宋体" w:hAnsi="宋体" w:eastAsia="宋体" w:cs="宋体"/>
          <w:szCs w:val="21"/>
        </w:rPr>
      </w:r>
      <w:r/>
    </w:p>
    <w:p>
      <w:pPr>
        <w:pStyle w:val="105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投标文件的其他部分</w:t>
      </w:r>
      <w:r>
        <w:rPr>
          <w:rFonts w:hint="eastAsia" w:ascii="宋体" w:hAnsi="宋体" w:eastAsia="宋体" w:cs="宋体"/>
          <w:b/>
          <w:szCs w:val="21"/>
          <w:lang w:eastAsia="en-US"/>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12.1 其他部分由投标人根据编制投标文件需要提供的其他相关文件组成。</w:t>
      </w:r>
      <w:r>
        <w:rPr>
          <w:rFonts w:hint="eastAsia" w:ascii="宋体" w:hAnsi="宋体" w:eastAsia="宋体" w:cs="宋体"/>
          <w:szCs w:val="21"/>
        </w:rPr>
      </w:r>
      <w:r/>
    </w:p>
    <w:p>
      <w:pPr>
        <w:pStyle w:val="1053"/>
        <w:numPr>
          <w:ilvl w:val="0"/>
          <w:numId w:val="13"/>
        </w:numPr>
        <w:ind w:left="0" w:firstLine="422"/>
        <w:rPr>
          <w:rFonts w:hint="eastAsia" w:ascii="宋体" w:hAnsi="宋体" w:eastAsia="宋体" w:cs="宋体"/>
          <w:b/>
          <w:szCs w:val="21"/>
        </w:rPr>
      </w:pPr>
      <w:r>
        <w:rPr>
          <w:rFonts w:hint="eastAsia" w:ascii="宋体" w:hAnsi="宋体" w:eastAsia="宋体" w:cs="宋体"/>
          <w:b/>
          <w:szCs w:val="21"/>
        </w:rPr>
        <w:t xml:space="preserve">投标保证金（本项目无需缴纳投标保证金）</w:t>
      </w:r>
      <w:r>
        <w:rPr>
          <w:rFonts w:hint="eastAsia" w:ascii="宋体" w:hAnsi="宋体" w:eastAsia="宋体" w:cs="宋体"/>
          <w:b/>
          <w:szCs w:val="21"/>
        </w:rPr>
      </w:r>
      <w:r/>
    </w:p>
    <w:p>
      <w:pPr>
        <w:pStyle w:val="105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投标有效期</w:t>
      </w:r>
      <w:r>
        <w:rPr>
          <w:rFonts w:hint="eastAsia" w:ascii="宋体" w:hAnsi="宋体" w:eastAsia="宋体" w:cs="宋体"/>
          <w:b/>
          <w:szCs w:val="21"/>
          <w:lang w:eastAsia="en-US"/>
        </w:rPr>
      </w:r>
      <w:r/>
    </w:p>
    <w:p>
      <w:pPr>
        <w:pStyle w:val="1053"/>
        <w:numPr>
          <w:ilvl w:val="0"/>
          <w:numId w:val="18"/>
        </w:numPr>
        <w:ind w:firstLine="420"/>
        <w:rPr>
          <w:rFonts w:hint="eastAsia" w:ascii="宋体" w:hAnsi="宋体" w:eastAsia="宋体" w:cs="宋体"/>
          <w:szCs w:val="21"/>
        </w:rPr>
      </w:pPr>
      <w:r>
        <w:rPr>
          <w:rFonts w:hint="eastAsia" w:ascii="宋体" w:hAnsi="宋体" w:eastAsia="宋体" w:cs="宋体"/>
          <w:szCs w:val="21"/>
        </w:rPr>
        <w:t xml:space="preserve">自开标之日起</w:t>
      </w:r>
      <w:r>
        <w:rPr>
          <w:rFonts w:hint="eastAsia" w:ascii="宋体" w:hAnsi="宋体" w:eastAsia="宋体" w:cs="宋体"/>
          <w:b/>
          <w:szCs w:val="21"/>
        </w:rPr>
        <w:t xml:space="preserve">90</w:t>
      </w:r>
      <w:r>
        <w:rPr>
          <w:rFonts w:hint="eastAsia" w:ascii="宋体" w:hAnsi="宋体" w:eastAsia="宋体" w:cs="宋体"/>
          <w:szCs w:val="21"/>
        </w:rPr>
        <w:t xml:space="preserve">天内投标有效</w:t>
      </w:r>
      <w:r>
        <w:rPr>
          <w:rFonts w:hint="eastAsia" w:ascii="宋体" w:hAnsi="宋体" w:eastAsia="宋体" w:cs="宋体"/>
          <w:b/>
          <w:szCs w:val="21"/>
        </w:rPr>
        <w:t xml:space="preserve">，投标有效期从提交投标文件的截止之日起算。投标文件中承诺的投标有效期应当不少于招标文件中载明的投标有效期。</w:t>
      </w:r>
      <w:r>
        <w:rPr>
          <w:rFonts w:hint="eastAsia" w:ascii="宋体" w:hAnsi="宋体" w:eastAsia="宋体" w:cs="宋体"/>
          <w:szCs w:val="21"/>
        </w:rPr>
      </w:r>
      <w:r/>
    </w:p>
    <w:p>
      <w:pPr>
        <w:pStyle w:val="1053"/>
        <w:numPr>
          <w:ilvl w:val="0"/>
          <w:numId w:val="18"/>
        </w:numPr>
        <w:ind w:firstLine="420"/>
        <w:rPr>
          <w:rFonts w:hint="eastAsia" w:ascii="宋体" w:hAnsi="宋体" w:eastAsia="宋体" w:cs="宋体"/>
          <w:szCs w:val="21"/>
        </w:rPr>
      </w:pPr>
      <w:r>
        <w:rPr>
          <w:rFonts w:hint="eastAsia" w:ascii="宋体" w:hAnsi="宋体" w:eastAsia="宋体" w:cs="宋体"/>
          <w:szCs w:val="21"/>
        </w:rPr>
        <w:t xml:space="preserve">在特殊情况下，于原投标有效期满之前，可向投标人提出延长投标有效期的要求。这种要求与答复均应采用书面形式。投标人可以拒绝这一要求而放弃投标。同意延长投标有效期的投标人既不能要求也不允许修改其投标文件，同时受投标有效期约束的所有权利与义务均延长至新的有效期满。</w:t>
      </w:r>
      <w:r>
        <w:rPr>
          <w:rFonts w:hint="eastAsia" w:ascii="宋体" w:hAnsi="宋体" w:eastAsia="宋体" w:cs="宋体"/>
          <w:szCs w:val="21"/>
        </w:rPr>
      </w:r>
      <w:r/>
    </w:p>
    <w:p>
      <w:pPr>
        <w:pStyle w:val="105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投标文件签署</w:t>
      </w:r>
      <w:r>
        <w:rPr>
          <w:rFonts w:hint="eastAsia" w:ascii="宋体" w:hAnsi="宋体" w:eastAsia="宋体" w:cs="宋体"/>
          <w:b/>
          <w:szCs w:val="21"/>
          <w:lang w:eastAsia="en-US"/>
        </w:rPr>
      </w:r>
      <w:r/>
    </w:p>
    <w:p>
      <w:pPr>
        <w:pStyle w:val="1053"/>
        <w:ind w:firstLine="420"/>
        <w:jc w:val="left"/>
        <w:rPr>
          <w:rFonts w:hint="eastAsia" w:ascii="宋体" w:hAnsi="宋体" w:eastAsia="宋体" w:cs="宋体"/>
          <w:szCs w:val="21"/>
        </w:rPr>
      </w:pPr>
      <w:r>
        <w:rPr>
          <w:rFonts w:hint="eastAsia" w:ascii="宋体" w:hAnsi="宋体" w:eastAsia="宋体" w:cs="宋体"/>
          <w:szCs w:val="21"/>
        </w:rPr>
        <w:t xml:space="preserve">15.1 投标文件应按照招标文件要求加盖电子公章，否则视为无效投标。</w:t>
      </w:r>
      <w:r>
        <w:rPr>
          <w:rFonts w:hint="eastAsia" w:ascii="宋体" w:hAnsi="宋体" w:eastAsia="宋体" w:cs="宋体"/>
          <w:szCs w:val="21"/>
        </w:rPr>
      </w:r>
      <w:r/>
    </w:p>
    <w:p>
      <w:pPr>
        <w:pStyle w:val="1053"/>
        <w:numPr>
          <w:ilvl w:val="0"/>
          <w:numId w:val="13"/>
        </w:numPr>
        <w:ind w:left="0" w:firstLine="422"/>
        <w:rPr>
          <w:rFonts w:hint="eastAsia" w:ascii="宋体" w:hAnsi="宋体" w:eastAsia="宋体" w:cs="宋体"/>
          <w:b/>
          <w:szCs w:val="21"/>
          <w:lang w:eastAsia="en-US"/>
        </w:rPr>
      </w:pPr>
      <w:r>
        <w:rPr>
          <w:rFonts w:hint="eastAsia" w:ascii="宋体" w:hAnsi="宋体" w:eastAsia="宋体" w:cs="宋体"/>
          <w:b/>
          <w:szCs w:val="21"/>
          <w:lang w:eastAsia="en-US"/>
        </w:rPr>
        <w:t xml:space="preserve">投标费用</w:t>
      </w:r>
      <w:r>
        <w:rPr>
          <w:rFonts w:hint="eastAsia" w:ascii="宋体" w:hAnsi="宋体" w:eastAsia="宋体" w:cs="宋体"/>
          <w:b/>
          <w:szCs w:val="21"/>
          <w:lang w:eastAsia="en-US"/>
        </w:rPr>
      </w:r>
      <w:r/>
    </w:p>
    <w:p>
      <w:pPr>
        <w:pStyle w:val="1053"/>
        <w:numPr>
          <w:ilvl w:val="0"/>
          <w:numId w:val="19"/>
        </w:numPr>
        <w:ind w:firstLine="420"/>
        <w:rPr>
          <w:rFonts w:hint="eastAsia" w:ascii="宋体" w:hAnsi="宋体" w:eastAsia="宋体" w:cs="宋体"/>
          <w:szCs w:val="21"/>
        </w:rPr>
      </w:pPr>
      <w:r>
        <w:rPr>
          <w:rFonts w:hint="eastAsia" w:ascii="宋体" w:hAnsi="宋体" w:eastAsia="宋体" w:cs="宋体"/>
          <w:szCs w:val="21"/>
        </w:rPr>
        <w:t xml:space="preserve">投标人应承担所有与准备和参加投标有关的费用，无论招标结果如何，采购代理机构和采购人在任何情况下均无义务和责任承担这些费用。</w:t>
      </w:r>
      <w:r>
        <w:rPr>
          <w:rFonts w:hint="eastAsia" w:ascii="宋体" w:hAnsi="宋体" w:eastAsia="宋体" w:cs="宋体"/>
          <w:szCs w:val="21"/>
        </w:rPr>
      </w:r>
      <w:r/>
    </w:p>
    <w:p>
      <w:pPr>
        <w:pStyle w:val="1053"/>
        <w:numPr>
          <w:ilvl w:val="0"/>
          <w:numId w:val="19"/>
        </w:numPr>
        <w:ind w:firstLine="420"/>
        <w:rPr>
          <w:rFonts w:hint="eastAsia" w:ascii="宋体" w:hAnsi="宋体" w:eastAsia="宋体" w:cs="宋体"/>
          <w:szCs w:val="21"/>
        </w:rPr>
      </w:pPr>
      <w:r/>
      <w:bookmarkStart w:id="54" w:name="_Toc30521"/>
      <w:r/>
      <w:bookmarkStart w:id="55" w:name="_Toc1619"/>
      <w:r/>
      <w:bookmarkStart w:id="56" w:name="_Toc209510683"/>
      <w:r/>
      <w:bookmarkStart w:id="57" w:name="_Toc3953"/>
      <w:r/>
      <w:bookmarkStart w:id="58" w:name="_Toc17969"/>
      <w:r/>
      <w:bookmarkStart w:id="59" w:name="_Toc19595"/>
      <w:r/>
      <w:bookmarkStart w:id="60" w:name="_Toc209510618"/>
      <w:r>
        <w:rPr>
          <w:rFonts w:hint="eastAsia" w:ascii="宋体" w:hAnsi="宋体" w:eastAsia="宋体" w:cs="宋体"/>
          <w:szCs w:val="21"/>
        </w:rPr>
        <w:t xml:space="preserve">本次采购活动采购代理服务费和公证费（如有）由中标供应商一次性支付，中标供应商领取《中标通知书》时向采购代理机构缴纳。</w:t>
      </w:r>
      <w:r>
        <w:rPr>
          <w:rFonts w:hint="eastAsia" w:ascii="宋体" w:hAnsi="宋体" w:eastAsia="宋体" w:cs="宋体"/>
          <w:szCs w:val="21"/>
        </w:rPr>
      </w:r>
      <w:r/>
    </w:p>
    <w:p>
      <w:pPr>
        <w:pStyle w:val="1053"/>
        <w:ind w:firstLine="420"/>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本次招标，中标人参照下表“国家计委关于印发《招标代理服务收费管理暂行办法》的通知（计价格〔2002〕1980号）收费标准的80%，向代理机构支付采购代理服务费：</w:t>
      </w:r>
      <w:r>
        <w:rPr>
          <w:rFonts w:hint="eastAsia" w:ascii="宋体" w:hAnsi="宋体" w:eastAsia="宋体" w:cs="宋体"/>
          <w:b/>
          <w:szCs w:val="21"/>
        </w:rPr>
      </w:r>
      <w:r/>
    </w:p>
    <w:tbl>
      <w:tblPr>
        <w:tblW w:w="927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10"/>
        <w:gridCol w:w="2332"/>
        <w:gridCol w:w="2259"/>
        <w:gridCol w:w="2277"/>
      </w:tblGrid>
      <w:tr>
        <w:trPr>
          <w:trHeight w:val="725"/>
        </w:trPr>
        <w:tc>
          <w:tcPr>
            <w:tcW w:w="2410" w:type="dxa"/>
            <w:vAlign w:val="center"/>
            <w:textDirection w:val="lrTb"/>
            <w:noWrap w:val="false"/>
          </w:tcPr>
          <w:p>
            <w:pPr>
              <w:pStyle w:val="1053"/>
              <w:ind w:right="241"/>
              <w:jc w:val="right"/>
              <w:spacing w:line="240" w:lineRule="auto"/>
              <w:rPr>
                <w:rFonts w:hint="eastAsia" w:ascii="宋体" w:hAnsi="宋体" w:eastAsia="宋体" w:cs="宋体"/>
                <w:bCs/>
                <w:szCs w:val="21"/>
              </w:rPr>
            </w:pPr>
            <w:r>
              <w:rPr>
                <w:rFonts w:hint="eastAsia" w:ascii="宋体" w:hAnsi="宋体" w:eastAsia="宋体" w:cs="宋体"/>
                <w:bCs/>
                <w:szCs w:val="21"/>
              </w:rPr>
              <w:t xml:space="preserve">分类</w:t>
            </w:r>
            <w:r>
              <w:rPr>
                <w:rFonts w:hint="eastAsia" w:ascii="宋体" w:hAnsi="宋体" w:eastAsia="宋体" w:cs="宋体"/>
                <w:bCs/>
                <w:szCs w:val="21"/>
              </w:rPr>
            </w:r>
            <w:r/>
          </w:p>
          <w:p>
            <w:pPr>
              <w:pStyle w:val="1053"/>
              <w:ind w:firstLine="210"/>
              <w:jc w:val="left"/>
              <w:spacing w:line="240" w:lineRule="auto"/>
              <w:rPr>
                <w:rFonts w:hint="eastAsia" w:ascii="宋体" w:hAnsi="宋体" w:eastAsia="宋体" w:cs="宋体"/>
                <w:szCs w:val="21"/>
              </w:rPr>
            </w:pPr>
            <w:r>
              <w:rPr>
                <w:rFonts w:hint="eastAsia" w:ascii="宋体" w:hAnsi="宋体" w:eastAsia="宋体" w:cs="宋体"/>
                <w:szCs w:val="21"/>
              </w:rPr>
              <w:t xml:space="preserve">费率</w:t>
            </w:r>
            <w:r>
              <w:rPr>
                <w:rFonts w:hint="eastAsia" w:ascii="宋体" w:hAnsi="宋体" w:eastAsia="宋体" w:cs="宋体"/>
                <w:szCs w:val="21"/>
              </w:rPr>
            </w:r>
            <w:r/>
          </w:p>
        </w:tc>
        <w:tc>
          <w:tcPr>
            <w:tcW w:w="2332" w:type="dxa"/>
            <w:vAlign w:val="center"/>
            <w:vMerge w:val="restart"/>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货物项目</w:t>
            </w:r>
            <w:r>
              <w:rPr>
                <w:rFonts w:hint="eastAsia" w:ascii="宋体" w:hAnsi="宋体" w:eastAsia="宋体" w:cs="宋体"/>
                <w:szCs w:val="21"/>
              </w:rPr>
            </w:r>
            <w:r/>
          </w:p>
        </w:tc>
        <w:tc>
          <w:tcPr>
            <w:tcW w:w="2259" w:type="dxa"/>
            <w:vAlign w:val="center"/>
            <w:vMerge w:val="restart"/>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服务项目</w:t>
            </w:r>
            <w:r>
              <w:rPr>
                <w:rFonts w:hint="eastAsia" w:ascii="宋体" w:hAnsi="宋体" w:eastAsia="宋体" w:cs="宋体"/>
                <w:szCs w:val="21"/>
              </w:rPr>
            </w:r>
            <w:r/>
          </w:p>
        </w:tc>
        <w:tc>
          <w:tcPr>
            <w:tcW w:w="2277" w:type="dxa"/>
            <w:vAlign w:val="center"/>
            <w:vMerge w:val="restart"/>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工程项目</w:t>
            </w:r>
            <w:r>
              <w:rPr>
                <w:rFonts w:hint="eastAsia" w:ascii="宋体" w:hAnsi="宋体" w:eastAsia="宋体" w:cs="宋体"/>
                <w:szCs w:val="21"/>
              </w:rPr>
            </w:r>
            <w:r/>
          </w:p>
        </w:tc>
      </w:tr>
      <w:tr>
        <w:trPr>
          <w:trHeight w:val="449"/>
        </w:trPr>
        <w:tc>
          <w:tcPr>
            <w:tcW w:w="2410"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中标金额（万元）</w:t>
            </w:r>
            <w:r>
              <w:rPr>
                <w:rFonts w:hint="eastAsia" w:ascii="宋体" w:hAnsi="宋体" w:eastAsia="宋体" w:cs="宋体"/>
                <w:szCs w:val="21"/>
              </w:rPr>
            </w:r>
            <w:r/>
          </w:p>
        </w:tc>
        <w:tc>
          <w:tcPr>
            <w:tcW w:w="2332" w:type="dxa"/>
            <w:vAlign w:val="center"/>
            <w:vMerge w:val="continue"/>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2259" w:type="dxa"/>
            <w:vAlign w:val="center"/>
            <w:vMerge w:val="continue"/>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2277" w:type="dxa"/>
            <w:vAlign w:val="center"/>
            <w:vMerge w:val="continue"/>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r>
            <w:r/>
          </w:p>
        </w:tc>
      </w:tr>
      <w:tr>
        <w:trPr>
          <w:trHeight w:val="516"/>
        </w:trPr>
        <w:tc>
          <w:tcPr>
            <w:tcW w:w="2410"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100以下</w:t>
            </w:r>
            <w:r>
              <w:rPr>
                <w:rFonts w:hint="eastAsia" w:ascii="宋体" w:hAnsi="宋体" w:eastAsia="宋体" w:cs="宋体"/>
                <w:szCs w:val="21"/>
              </w:rPr>
            </w:r>
            <w:r/>
          </w:p>
        </w:tc>
        <w:tc>
          <w:tcPr>
            <w:tcW w:w="2332"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r>
            <w:r/>
          </w:p>
        </w:tc>
        <w:tc>
          <w:tcPr>
            <w:tcW w:w="2259"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1.5%</w:t>
            </w:r>
            <w:r>
              <w:rPr>
                <w:rFonts w:hint="eastAsia" w:ascii="宋体" w:hAnsi="宋体" w:eastAsia="宋体" w:cs="宋体"/>
                <w:szCs w:val="21"/>
              </w:rPr>
            </w:r>
            <w:r/>
          </w:p>
        </w:tc>
        <w:tc>
          <w:tcPr>
            <w:tcW w:w="2277"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1.0%</w:t>
            </w:r>
            <w:r>
              <w:rPr>
                <w:rFonts w:hint="eastAsia" w:ascii="宋体" w:hAnsi="宋体" w:eastAsia="宋体" w:cs="宋体"/>
                <w:szCs w:val="21"/>
              </w:rPr>
            </w:r>
            <w:r/>
          </w:p>
        </w:tc>
      </w:tr>
      <w:tr>
        <w:trPr>
          <w:trHeight w:val="516"/>
        </w:trPr>
        <w:tc>
          <w:tcPr>
            <w:tcW w:w="2410"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100-500</w:t>
            </w:r>
            <w:r>
              <w:rPr>
                <w:rFonts w:hint="eastAsia" w:ascii="宋体" w:hAnsi="宋体" w:eastAsia="宋体" w:cs="宋体"/>
                <w:szCs w:val="21"/>
              </w:rPr>
            </w:r>
            <w:r/>
          </w:p>
        </w:tc>
        <w:tc>
          <w:tcPr>
            <w:tcW w:w="2332"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1.1%</w:t>
            </w:r>
            <w:r>
              <w:rPr>
                <w:rFonts w:hint="eastAsia" w:ascii="宋体" w:hAnsi="宋体" w:eastAsia="宋体" w:cs="宋体"/>
                <w:szCs w:val="21"/>
              </w:rPr>
            </w:r>
            <w:r/>
          </w:p>
        </w:tc>
        <w:tc>
          <w:tcPr>
            <w:tcW w:w="2259"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0.8%</w:t>
            </w:r>
            <w:r>
              <w:rPr>
                <w:rFonts w:hint="eastAsia" w:ascii="宋体" w:hAnsi="宋体" w:eastAsia="宋体" w:cs="宋体"/>
                <w:szCs w:val="21"/>
              </w:rPr>
            </w:r>
            <w:r/>
          </w:p>
        </w:tc>
        <w:tc>
          <w:tcPr>
            <w:tcW w:w="2277"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0.7%</w:t>
            </w:r>
            <w:r>
              <w:rPr>
                <w:rFonts w:hint="eastAsia" w:ascii="宋体" w:hAnsi="宋体" w:eastAsia="宋体" w:cs="宋体"/>
                <w:szCs w:val="21"/>
              </w:rPr>
            </w:r>
            <w:r/>
          </w:p>
        </w:tc>
      </w:tr>
      <w:tr>
        <w:trPr>
          <w:trHeight w:val="516"/>
        </w:trPr>
        <w:tc>
          <w:tcPr>
            <w:tcW w:w="2410"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500-1000</w:t>
            </w:r>
            <w:r>
              <w:rPr>
                <w:rFonts w:hint="eastAsia" w:ascii="宋体" w:hAnsi="宋体" w:eastAsia="宋体" w:cs="宋体"/>
                <w:szCs w:val="21"/>
              </w:rPr>
            </w:r>
            <w:r/>
          </w:p>
        </w:tc>
        <w:tc>
          <w:tcPr>
            <w:tcW w:w="2332"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0.8%</w:t>
            </w:r>
            <w:r>
              <w:rPr>
                <w:rFonts w:hint="eastAsia" w:ascii="宋体" w:hAnsi="宋体" w:eastAsia="宋体" w:cs="宋体"/>
                <w:szCs w:val="21"/>
              </w:rPr>
            </w:r>
            <w:r/>
          </w:p>
        </w:tc>
        <w:tc>
          <w:tcPr>
            <w:tcW w:w="2259"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0.45%</w:t>
            </w:r>
            <w:r>
              <w:rPr>
                <w:rFonts w:hint="eastAsia" w:ascii="宋体" w:hAnsi="宋体" w:eastAsia="宋体" w:cs="宋体"/>
                <w:szCs w:val="21"/>
              </w:rPr>
            </w:r>
            <w:r/>
          </w:p>
        </w:tc>
        <w:tc>
          <w:tcPr>
            <w:tcW w:w="2277"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0.55%</w:t>
            </w:r>
            <w:r>
              <w:rPr>
                <w:rFonts w:hint="eastAsia" w:ascii="宋体" w:hAnsi="宋体" w:eastAsia="宋体" w:cs="宋体"/>
                <w:szCs w:val="21"/>
              </w:rPr>
            </w:r>
            <w:r/>
          </w:p>
        </w:tc>
      </w:tr>
      <w:tr>
        <w:trPr>
          <w:trHeight w:val="516"/>
        </w:trPr>
        <w:tc>
          <w:tcPr>
            <w:tcW w:w="2410"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1000-5000</w:t>
            </w:r>
            <w:r>
              <w:rPr>
                <w:rFonts w:hint="eastAsia" w:ascii="宋体" w:hAnsi="宋体" w:eastAsia="宋体" w:cs="宋体"/>
                <w:szCs w:val="21"/>
              </w:rPr>
            </w:r>
            <w:r/>
          </w:p>
        </w:tc>
        <w:tc>
          <w:tcPr>
            <w:tcW w:w="2332"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0.5%</w:t>
            </w:r>
            <w:r>
              <w:rPr>
                <w:rFonts w:hint="eastAsia" w:ascii="宋体" w:hAnsi="宋体" w:eastAsia="宋体" w:cs="宋体"/>
                <w:szCs w:val="21"/>
              </w:rPr>
            </w:r>
            <w:r/>
          </w:p>
        </w:tc>
        <w:tc>
          <w:tcPr>
            <w:tcW w:w="2259"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0.25%</w:t>
            </w:r>
            <w:r>
              <w:rPr>
                <w:rFonts w:hint="eastAsia" w:ascii="宋体" w:hAnsi="宋体" w:eastAsia="宋体" w:cs="宋体"/>
                <w:szCs w:val="21"/>
              </w:rPr>
            </w:r>
            <w:r/>
          </w:p>
        </w:tc>
        <w:tc>
          <w:tcPr>
            <w:tcW w:w="2277"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0.35%</w:t>
            </w:r>
            <w:r>
              <w:rPr>
                <w:rFonts w:hint="eastAsia" w:ascii="宋体" w:hAnsi="宋体" w:eastAsia="宋体" w:cs="宋体"/>
                <w:szCs w:val="21"/>
              </w:rPr>
            </w:r>
            <w:r/>
          </w:p>
        </w:tc>
      </w:tr>
      <w:tr>
        <w:trPr>
          <w:trHeight w:val="516"/>
        </w:trPr>
        <w:tc>
          <w:tcPr>
            <w:tcW w:w="2410"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5000-10000</w:t>
            </w:r>
            <w:r>
              <w:rPr>
                <w:rFonts w:hint="eastAsia" w:ascii="宋体" w:hAnsi="宋体" w:eastAsia="宋体" w:cs="宋体"/>
                <w:szCs w:val="21"/>
              </w:rPr>
            </w:r>
            <w:r/>
          </w:p>
        </w:tc>
        <w:tc>
          <w:tcPr>
            <w:tcW w:w="2332"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0.25%</w:t>
            </w:r>
            <w:r>
              <w:rPr>
                <w:rFonts w:hint="eastAsia" w:ascii="宋体" w:hAnsi="宋体" w:eastAsia="宋体" w:cs="宋体"/>
                <w:szCs w:val="21"/>
              </w:rPr>
            </w:r>
            <w:r/>
          </w:p>
        </w:tc>
        <w:tc>
          <w:tcPr>
            <w:tcW w:w="2259"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0.1%</w:t>
            </w:r>
            <w:r>
              <w:rPr>
                <w:rFonts w:hint="eastAsia" w:ascii="宋体" w:hAnsi="宋体" w:eastAsia="宋体" w:cs="宋体"/>
                <w:szCs w:val="21"/>
              </w:rPr>
            </w:r>
            <w:r/>
          </w:p>
        </w:tc>
        <w:tc>
          <w:tcPr>
            <w:tcW w:w="2277"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0.2%</w:t>
            </w:r>
            <w:r>
              <w:rPr>
                <w:rFonts w:hint="eastAsia" w:ascii="宋体" w:hAnsi="宋体" w:eastAsia="宋体" w:cs="宋体"/>
                <w:szCs w:val="21"/>
              </w:rPr>
            </w:r>
            <w:r/>
          </w:p>
        </w:tc>
      </w:tr>
      <w:tr>
        <w:trPr>
          <w:trHeight w:val="516"/>
        </w:trPr>
        <w:tc>
          <w:tcPr>
            <w:tcW w:w="2410"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10000-100000</w:t>
            </w:r>
            <w:r>
              <w:rPr>
                <w:rFonts w:hint="eastAsia" w:ascii="宋体" w:hAnsi="宋体" w:eastAsia="宋体" w:cs="宋体"/>
                <w:szCs w:val="21"/>
              </w:rPr>
            </w:r>
            <w:r/>
          </w:p>
        </w:tc>
        <w:tc>
          <w:tcPr>
            <w:tcW w:w="2332"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c>
          <w:tcPr>
            <w:tcW w:w="2259"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c>
          <w:tcPr>
            <w:tcW w:w="2277"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0.05%</w:t>
            </w:r>
            <w:r>
              <w:rPr>
                <w:rFonts w:hint="eastAsia" w:ascii="宋体" w:hAnsi="宋体" w:eastAsia="宋体" w:cs="宋体"/>
                <w:szCs w:val="21"/>
              </w:rPr>
            </w:r>
            <w:r/>
          </w:p>
        </w:tc>
      </w:tr>
      <w:tr>
        <w:trPr>
          <w:trHeight w:val="507"/>
        </w:trPr>
        <w:tc>
          <w:tcPr>
            <w:tcW w:w="2410"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1000000以上</w:t>
            </w:r>
            <w:r>
              <w:rPr>
                <w:rFonts w:hint="eastAsia" w:ascii="宋体" w:hAnsi="宋体" w:eastAsia="宋体" w:cs="宋体"/>
                <w:szCs w:val="21"/>
              </w:rPr>
            </w:r>
            <w:r/>
          </w:p>
        </w:tc>
        <w:tc>
          <w:tcPr>
            <w:tcW w:w="2332"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c>
          <w:tcPr>
            <w:tcW w:w="2259"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c>
          <w:tcPr>
            <w:tcW w:w="2277"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0.01%</w:t>
            </w:r>
            <w:r>
              <w:rPr>
                <w:rFonts w:hint="eastAsia" w:ascii="宋体" w:hAnsi="宋体" w:eastAsia="宋体" w:cs="宋体"/>
                <w:szCs w:val="21"/>
              </w:rPr>
            </w:r>
            <w:r/>
          </w:p>
        </w:tc>
      </w:tr>
    </w:tbl>
    <w:p>
      <w:pPr>
        <w:pStyle w:val="1053"/>
        <w:ind w:firstLine="638"/>
        <w:spacing w:before="24" w:line="560" w:lineRule="exact"/>
        <w:rPr>
          <w:rFonts w:hint="eastAsia" w:ascii="宋体" w:hAnsi="宋体" w:eastAsia="宋体" w:cs="宋体"/>
          <w:b/>
          <w:szCs w:val="21"/>
        </w:rPr>
      </w:pPr>
      <w:r>
        <w:rPr>
          <w:rFonts w:hint="eastAsia" w:ascii="宋体" w:hAnsi="宋体" w:eastAsia="宋体" w:cs="宋体"/>
          <w:szCs w:val="21"/>
        </w:rPr>
        <w:t xml:space="preserve">注：1、代理服务收费按差额定率累进法计算，中标人在领取中标通知书前向招标代理机构支付招标服务费。2、本项费用无需在投标报价表中单列。</w:t>
      </w:r>
      <w:r>
        <w:rPr>
          <w:rFonts w:hint="eastAsia" w:ascii="宋体" w:hAnsi="宋体" w:eastAsia="宋体" w:cs="宋体"/>
          <w:b/>
          <w:szCs w:val="21"/>
        </w:rPr>
      </w:r>
      <w:r/>
    </w:p>
    <w:p>
      <w:pPr>
        <w:pStyle w:val="1053"/>
        <w:ind w:firstLine="420"/>
        <w:shd w:val="clear" w:color="auto" w:fill="ffffff"/>
        <w:widowControl/>
        <w:rPr>
          <w:rFonts w:hint="eastAsia" w:ascii="宋体" w:hAnsi="宋体" w:eastAsia="宋体" w:cs="宋体"/>
          <w:b/>
          <w:szCs w:val="21"/>
        </w:rPr>
      </w:pPr>
      <w:r>
        <w:rPr>
          <w:rFonts w:hint="eastAsia" w:ascii="宋体" w:hAnsi="宋体" w:eastAsia="宋体" w:cs="宋体"/>
          <w:b/>
          <w:szCs w:val="21"/>
        </w:rPr>
        <w:t xml:space="preserve">本次采购公证费（如有）按照《省物价局 省司法厅关于明确我省公证服务收费试行标准的通知》（苏价费〔2018〕114号）中规定的江苏省公证服务收费项目和试行收费标准收取。</w:t>
      </w:r>
      <w:r>
        <w:rPr>
          <w:rFonts w:hint="eastAsia" w:ascii="宋体" w:hAnsi="宋体" w:eastAsia="宋体" w:cs="宋体"/>
          <w:b/>
          <w:szCs w:val="21"/>
        </w:rPr>
      </w:r>
      <w:r/>
    </w:p>
    <w:p>
      <w:pPr>
        <w:pStyle w:val="1053"/>
        <w:ind w:firstLine="420"/>
        <w:jc w:val="center"/>
        <w:spacing w:line="240" w:lineRule="auto"/>
        <w:rPr>
          <w:rFonts w:hint="eastAsia" w:ascii="宋体" w:hAnsi="宋体" w:eastAsia="宋体" w:cs="宋体"/>
          <w:bCs/>
          <w:szCs w:val="21"/>
        </w:rPr>
      </w:pPr>
      <w:r>
        <w:rPr>
          <w:rFonts w:hint="eastAsia" w:ascii="宋体" w:hAnsi="宋体" w:eastAsia="宋体" w:cs="宋体"/>
          <w:bCs/>
          <w:szCs w:val="21"/>
        </w:rPr>
        <w:t xml:space="preserve">附：江苏省公证服务收费项目和试行标准表</w:t>
      </w:r>
      <w:r>
        <w:rPr>
          <w:rFonts w:hint="eastAsia" w:ascii="宋体" w:hAnsi="宋体" w:eastAsia="宋体" w:cs="宋体"/>
          <w:bCs/>
          <w:szCs w:val="21"/>
        </w:rPr>
      </w:r>
      <w:r/>
    </w:p>
    <w:p>
      <w:pPr>
        <w:pStyle w:val="1053"/>
        <w:ind w:firstLine="420"/>
        <w:jc w:val="center"/>
        <w:spacing w:line="240" w:lineRule="auto"/>
        <w:rPr>
          <w:rFonts w:hint="eastAsia" w:ascii="宋体" w:hAnsi="宋体" w:eastAsia="宋体" w:cs="宋体"/>
          <w:bCs/>
          <w:szCs w:val="21"/>
        </w:rPr>
      </w:pPr>
      <w:r>
        <w:rPr>
          <w:rFonts w:hint="eastAsia" w:ascii="宋体" w:hAnsi="宋体" w:eastAsia="宋体" w:cs="宋体"/>
          <w:bCs/>
          <w:szCs w:val="21"/>
        </w:rPr>
        <w:t xml:space="preserve">                                                                        单位：元</w:t>
      </w:r>
      <w:r>
        <w:rPr>
          <w:rFonts w:hint="eastAsia" w:ascii="宋体" w:hAnsi="宋体" w:eastAsia="宋体" w:cs="宋体"/>
          <w:bCs/>
          <w:szCs w:val="21"/>
        </w:rPr>
      </w:r>
      <w:r/>
    </w:p>
    <w:tbl>
      <w:tblPr>
        <w:tblW w:w="9467"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024"/>
        <w:gridCol w:w="1480"/>
        <w:gridCol w:w="5270"/>
        <w:gridCol w:w="693"/>
      </w:tblGrid>
      <w:tr>
        <w:trPr>
          <w:trHeight w:val="369"/>
          <w:tblHeader/>
        </w:trPr>
        <w:tc>
          <w:tcPr>
            <w:tcW w:w="2024" w:type="dxa"/>
            <w:vAlign w:val="center"/>
            <w:textDirection w:val="lrTb"/>
            <w:noWrap w:val="false"/>
          </w:tcPr>
          <w:p>
            <w:pPr>
              <w:pStyle w:val="1053"/>
              <w:jc w:val="center"/>
              <w:spacing w:line="240" w:lineRule="auto"/>
              <w:widowControl/>
              <w:rPr>
                <w:rFonts w:hint="eastAsia" w:ascii="宋体" w:hAnsi="宋体" w:eastAsia="宋体" w:cs="宋体"/>
                <w:bCs/>
                <w:szCs w:val="21"/>
              </w:rPr>
            </w:pPr>
            <w:r>
              <w:rPr>
                <w:rFonts w:hint="eastAsia" w:ascii="宋体" w:hAnsi="宋体" w:eastAsia="宋体" w:cs="宋体"/>
                <w:bCs/>
                <w:szCs w:val="21"/>
              </w:rPr>
              <w:t xml:space="preserve">类别</w:t>
            </w:r>
            <w:r>
              <w:rPr>
                <w:rFonts w:hint="eastAsia" w:ascii="宋体" w:hAnsi="宋体" w:eastAsia="宋体" w:cs="宋体"/>
                <w:bCs/>
                <w:szCs w:val="21"/>
              </w:rPr>
            </w:r>
            <w:r/>
          </w:p>
        </w:tc>
        <w:tc>
          <w:tcPr>
            <w:tcW w:w="1480" w:type="dxa"/>
            <w:vAlign w:val="center"/>
            <w:textDirection w:val="lrTb"/>
            <w:noWrap w:val="false"/>
          </w:tcPr>
          <w:p>
            <w:pPr>
              <w:pStyle w:val="1053"/>
              <w:jc w:val="center"/>
              <w:spacing w:line="240" w:lineRule="auto"/>
              <w:widowControl/>
              <w:rPr>
                <w:rFonts w:hint="eastAsia" w:ascii="宋体" w:hAnsi="宋体" w:eastAsia="宋体" w:cs="宋体"/>
                <w:bCs/>
                <w:szCs w:val="21"/>
              </w:rPr>
            </w:pPr>
            <w:r>
              <w:rPr>
                <w:rFonts w:hint="eastAsia" w:ascii="宋体" w:hAnsi="宋体" w:eastAsia="宋体" w:cs="宋体"/>
                <w:bCs/>
                <w:szCs w:val="21"/>
              </w:rPr>
              <w:t xml:space="preserve">收费项目</w:t>
            </w:r>
            <w:r>
              <w:rPr>
                <w:rFonts w:hint="eastAsia" w:ascii="宋体" w:hAnsi="宋体" w:eastAsia="宋体" w:cs="宋体"/>
                <w:bCs/>
                <w:szCs w:val="21"/>
              </w:rPr>
            </w:r>
            <w:r/>
          </w:p>
        </w:tc>
        <w:tc>
          <w:tcPr>
            <w:tcW w:w="5270" w:type="dxa"/>
            <w:vAlign w:val="center"/>
            <w:textDirection w:val="lrTb"/>
            <w:noWrap w:val="false"/>
          </w:tcPr>
          <w:p>
            <w:pPr>
              <w:pStyle w:val="1053"/>
              <w:jc w:val="center"/>
              <w:spacing w:line="240" w:lineRule="auto"/>
              <w:widowControl/>
              <w:rPr>
                <w:rFonts w:hint="eastAsia" w:ascii="宋体" w:hAnsi="宋体" w:eastAsia="宋体" w:cs="宋体"/>
                <w:bCs/>
                <w:szCs w:val="21"/>
              </w:rPr>
            </w:pPr>
            <w:r>
              <w:rPr>
                <w:rFonts w:hint="eastAsia" w:ascii="宋体" w:hAnsi="宋体" w:eastAsia="宋体" w:cs="宋体"/>
                <w:bCs/>
                <w:szCs w:val="21"/>
              </w:rPr>
              <w:t xml:space="preserve">收费标准</w:t>
            </w:r>
            <w:r>
              <w:rPr>
                <w:rFonts w:hint="eastAsia" w:ascii="宋体" w:hAnsi="宋体" w:eastAsia="宋体" w:cs="宋体"/>
                <w:bCs/>
                <w:szCs w:val="21"/>
              </w:rPr>
            </w:r>
            <w:r/>
          </w:p>
        </w:tc>
        <w:tc>
          <w:tcPr>
            <w:tcW w:w="693" w:type="dxa"/>
            <w:vAlign w:val="center"/>
            <w:textDirection w:val="lrTb"/>
            <w:noWrap w:val="false"/>
          </w:tcPr>
          <w:p>
            <w:pPr>
              <w:pStyle w:val="1053"/>
              <w:jc w:val="center"/>
              <w:spacing w:line="240" w:lineRule="auto"/>
              <w:widowControl/>
              <w:rPr>
                <w:rFonts w:hint="eastAsia" w:ascii="宋体" w:hAnsi="宋体" w:eastAsia="宋体" w:cs="宋体"/>
                <w:bCs/>
                <w:szCs w:val="21"/>
              </w:rPr>
            </w:pPr>
            <w:r>
              <w:rPr>
                <w:rFonts w:hint="eastAsia" w:ascii="宋体" w:hAnsi="宋体" w:eastAsia="宋体" w:cs="宋体"/>
                <w:bCs/>
                <w:szCs w:val="21"/>
              </w:rPr>
              <w:t xml:space="preserve">备注</w:t>
            </w:r>
            <w:r>
              <w:rPr>
                <w:rFonts w:hint="eastAsia" w:ascii="宋体" w:hAnsi="宋体" w:eastAsia="宋体" w:cs="宋体"/>
                <w:bCs/>
                <w:szCs w:val="21"/>
              </w:rPr>
            </w:r>
            <w:r/>
          </w:p>
        </w:tc>
      </w:tr>
      <w:tr>
        <w:trPr>
          <w:trHeight w:val="369"/>
        </w:trPr>
        <w:tc>
          <w:tcPr>
            <w:tcW w:w="2024" w:type="dxa"/>
            <w:vAlign w:val="top"/>
            <w:textDirection w:val="lrTb"/>
            <w:noWrap w:val="false"/>
          </w:tcPr>
          <w:p>
            <w:pPr>
              <w:pStyle w:val="1053"/>
              <w:jc w:val="center"/>
              <w:spacing w:line="240" w:lineRule="auto"/>
              <w:widowControl/>
              <w:rPr>
                <w:rFonts w:hint="eastAsia" w:ascii="宋体" w:hAnsi="宋体" w:eastAsia="宋体" w:cs="宋体"/>
                <w:szCs w:val="21"/>
              </w:rPr>
            </w:pPr>
            <w:r>
              <w:rPr>
                <w:rFonts w:hint="eastAsia" w:ascii="宋体" w:hAnsi="宋体" w:eastAsia="宋体" w:cs="宋体"/>
                <w:szCs w:val="21"/>
              </w:rPr>
              <w:t xml:space="preserve">一、证明法律行为</w:t>
            </w:r>
            <w:r>
              <w:rPr>
                <w:rFonts w:hint="eastAsia" w:ascii="宋体" w:hAnsi="宋体" w:eastAsia="宋体" w:cs="宋体"/>
                <w:szCs w:val="21"/>
              </w:rPr>
            </w:r>
            <w:r/>
          </w:p>
        </w:tc>
        <w:tc>
          <w:tcPr>
            <w:tcW w:w="1480"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5270"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693" w:type="dxa"/>
            <w:vAlign w:val="center"/>
            <w:textDirection w:val="lrTb"/>
            <w:noWrap w:val="false"/>
          </w:tcPr>
          <w:p>
            <w:pPr>
              <w:pStyle w:val="1053"/>
              <w:jc w:val="center"/>
              <w:spacing w:line="240" w:lineRule="auto"/>
              <w:widowControl/>
              <w:rPr>
                <w:rFonts w:hint="eastAsia" w:ascii="宋体" w:hAnsi="宋体" w:eastAsia="宋体" w:cs="宋体"/>
                <w:bCs/>
                <w:szCs w:val="21"/>
              </w:rPr>
            </w:pPr>
            <w:r>
              <w:rPr>
                <w:rFonts w:hint="eastAsia" w:ascii="宋体" w:hAnsi="宋体" w:eastAsia="宋体" w:cs="宋体"/>
                <w:bCs/>
                <w:szCs w:val="21"/>
              </w:rPr>
            </w:r>
            <w:r/>
          </w:p>
        </w:tc>
      </w:tr>
      <w:tr>
        <w:trPr>
          <w:trHeight w:val="510"/>
        </w:trPr>
        <w:tc>
          <w:tcPr>
            <w:tcW w:w="2024" w:type="dxa"/>
            <w:vAlign w:val="center"/>
            <w:textDirection w:val="lrTb"/>
            <w:noWrap w:val="false"/>
          </w:tcPr>
          <w:p>
            <w:pPr>
              <w:pStyle w:val="1053"/>
              <w:jc w:val="center"/>
              <w:spacing w:line="240" w:lineRule="auto"/>
              <w:widowControl/>
              <w:rPr>
                <w:rFonts w:hint="eastAsia" w:ascii="宋体" w:hAnsi="宋体" w:eastAsia="宋体" w:cs="宋体"/>
                <w:szCs w:val="21"/>
              </w:rPr>
            </w:pPr>
            <w:r>
              <w:rPr>
                <w:rFonts w:hint="eastAsia" w:ascii="宋体" w:hAnsi="宋体" w:eastAsia="宋体" w:cs="宋体"/>
                <w:szCs w:val="21"/>
              </w:rPr>
              <w:t xml:space="preserve">现场监督公证</w:t>
            </w:r>
            <w:r>
              <w:rPr>
                <w:rFonts w:hint="eastAsia" w:ascii="宋体" w:hAnsi="宋体" w:eastAsia="宋体" w:cs="宋体"/>
                <w:szCs w:val="21"/>
              </w:rPr>
            </w:r>
            <w:r/>
          </w:p>
        </w:tc>
        <w:tc>
          <w:tcPr>
            <w:tcW w:w="1480" w:type="dxa"/>
            <w:vAlign w:val="center"/>
            <w:textDirection w:val="lrTb"/>
            <w:noWrap w:val="false"/>
          </w:tcPr>
          <w:p>
            <w:pPr>
              <w:pStyle w:val="1053"/>
              <w:jc w:val="center"/>
              <w:spacing w:line="240" w:lineRule="auto"/>
              <w:widowControl/>
              <w:rPr>
                <w:rFonts w:hint="eastAsia" w:ascii="宋体" w:hAnsi="宋体" w:eastAsia="宋体" w:cs="宋体"/>
                <w:szCs w:val="21"/>
              </w:rPr>
            </w:pPr>
            <w:r>
              <w:rPr>
                <w:rFonts w:hint="eastAsia" w:ascii="宋体" w:hAnsi="宋体" w:eastAsia="宋体" w:cs="宋体"/>
                <w:szCs w:val="21"/>
              </w:rPr>
              <w:t xml:space="preserve">证明招标投标、拍卖、挂牌等竞争性交易行为公证</w:t>
            </w:r>
            <w:r>
              <w:rPr>
                <w:rFonts w:hint="eastAsia" w:ascii="宋体" w:hAnsi="宋体" w:eastAsia="宋体" w:cs="宋体"/>
                <w:szCs w:val="21"/>
              </w:rPr>
            </w:r>
            <w:r/>
          </w:p>
        </w:tc>
        <w:tc>
          <w:tcPr>
            <w:tcW w:w="5270" w:type="dxa"/>
            <w:vAlign w:val="center"/>
            <w:textDirection w:val="lrTb"/>
            <w:noWrap w:val="false"/>
          </w:tcPr>
          <w:p>
            <w:pPr>
              <w:pStyle w:val="1053"/>
              <w:ind w:right="-118"/>
              <w:jc w:val="left"/>
              <w:spacing w:before="0" w:after="0" w:line="240" w:lineRule="auto"/>
              <w:widowControl/>
              <w:rPr>
                <w:rFonts w:hint="eastAsia" w:ascii="宋体" w:hAnsi="宋体" w:eastAsia="宋体" w:cs="宋体"/>
                <w:szCs w:val="21"/>
              </w:rPr>
            </w:pPr>
            <w:r>
              <w:rPr>
                <w:rFonts w:hint="eastAsia" w:ascii="宋体" w:hAnsi="宋体" w:eastAsia="宋体" w:cs="宋体"/>
                <w:szCs w:val="21"/>
              </w:rPr>
              <w:t xml:space="preserve">根据标的额大小，按以下标准收费：不超过200万元的，每件按2000元收取；超过200万元至964.5万元的部分，按0.1%收取；超过964.5万元至3000万元的部分，按0.08%收取；超过3000万元至5000万元的部分，按0.05%收取；超过5000万元的部分，按0.01%收取。</w:t>
            </w:r>
            <w:r>
              <w:rPr>
                <w:rFonts w:hint="eastAsia" w:ascii="宋体" w:hAnsi="宋体" w:eastAsia="宋体" w:cs="宋体"/>
                <w:szCs w:val="21"/>
              </w:rPr>
            </w:r>
            <w:r/>
          </w:p>
        </w:tc>
        <w:tc>
          <w:tcPr>
            <w:tcW w:w="693" w:type="dxa"/>
            <w:vAlign w:val="center"/>
            <w:textDirection w:val="lrTb"/>
            <w:noWrap w:val="false"/>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r>
            <w:r/>
          </w:p>
        </w:tc>
      </w:tr>
    </w:tbl>
    <w:p>
      <w:pPr>
        <w:pStyle w:val="1053"/>
        <w:numPr>
          <w:ilvl w:val="0"/>
          <w:numId w:val="5"/>
        </w:numPr>
        <w:ind w:firstLine="422"/>
        <w:rPr>
          <w:rFonts w:hint="eastAsia" w:ascii="宋体" w:hAnsi="宋体" w:eastAsia="宋体" w:cs="宋体"/>
          <w:b/>
          <w:bCs/>
          <w:szCs w:val="21"/>
        </w:rPr>
        <w:outlineLvl w:val="1"/>
      </w:pPr>
      <w:r/>
      <w:bookmarkStart w:id="61" w:name="_Toc12016"/>
      <w:r>
        <w:rPr>
          <w:rFonts w:hint="eastAsia" w:ascii="宋体" w:hAnsi="宋体" w:eastAsia="宋体" w:cs="宋体"/>
          <w:b/>
          <w:bCs/>
          <w:szCs w:val="21"/>
        </w:rPr>
        <w:t xml:space="preserve">投标文件的递交</w:t>
      </w:r>
      <w:bookmarkEnd w:id="54"/>
      <w:r/>
      <w:bookmarkEnd w:id="55"/>
      <w:r/>
      <w:bookmarkEnd w:id="56"/>
      <w:r/>
      <w:bookmarkEnd w:id="57"/>
      <w:r/>
      <w:bookmarkEnd w:id="58"/>
      <w:r/>
      <w:bookmarkEnd w:id="59"/>
      <w:r/>
      <w:bookmarkEnd w:id="60"/>
      <w:r/>
      <w:bookmarkEnd w:id="61"/>
      <w:r>
        <w:rPr>
          <w:rFonts w:hint="eastAsia" w:ascii="宋体" w:hAnsi="宋体" w:eastAsia="宋体" w:cs="宋体"/>
          <w:b/>
          <w:bCs/>
          <w:szCs w:val="21"/>
        </w:rPr>
      </w:r>
      <w:r/>
    </w:p>
    <w:p>
      <w:pPr>
        <w:pStyle w:val="1053"/>
        <w:numPr>
          <w:ilvl w:val="0"/>
          <w:numId w:val="20"/>
        </w:numPr>
        <w:ind w:firstLine="422"/>
        <w:rPr>
          <w:rFonts w:hint="eastAsia" w:ascii="宋体" w:hAnsi="宋体" w:eastAsia="宋体" w:cs="宋体"/>
          <w:b/>
          <w:bCs/>
          <w:szCs w:val="21"/>
        </w:rPr>
      </w:pPr>
      <w:r/>
      <w:bookmarkStart w:id="62" w:name="_Toc209510684"/>
      <w:r>
        <w:rPr>
          <w:rFonts w:hint="eastAsia" w:ascii="宋体" w:hAnsi="宋体" w:eastAsia="宋体" w:cs="宋体"/>
          <w:b/>
          <w:bCs/>
          <w:szCs w:val="21"/>
        </w:rPr>
        <w:t xml:space="preserve">投标文件的递交</w:t>
      </w:r>
      <w:bookmarkEnd w:id="62"/>
      <w:r>
        <w:rPr>
          <w:rFonts w:hint="eastAsia" w:ascii="宋体" w:hAnsi="宋体" w:eastAsia="宋体" w:cs="宋体"/>
          <w:b/>
          <w:bCs/>
          <w:szCs w:val="21"/>
        </w:rPr>
      </w:r>
      <w:r/>
    </w:p>
    <w:p>
      <w:pPr>
        <w:pStyle w:val="1053"/>
        <w:ind w:firstLine="422"/>
        <w:jc w:val="left"/>
        <w:rPr>
          <w:rFonts w:hint="eastAsia" w:ascii="宋体" w:hAnsi="宋体" w:eastAsia="宋体" w:cs="宋体"/>
          <w:b/>
          <w:szCs w:val="21"/>
        </w:rPr>
      </w:pPr>
      <w:r>
        <w:rPr>
          <w:rFonts w:hint="eastAsia" w:ascii="宋体" w:hAnsi="宋体" w:eastAsia="宋体" w:cs="宋体"/>
          <w:b/>
          <w:szCs w:val="21"/>
        </w:rPr>
        <w:t xml:space="preserve">17.1 投标人应当按照《操作手册》规定，在招标公告规定的投标截止时间前制作并上传电子投标文件。招标代理机构拒绝接收提交投标文件截止时间后上传的任何电子投标文件。</w:t>
      </w:r>
      <w:r>
        <w:rPr>
          <w:rFonts w:hint="eastAsia" w:ascii="宋体" w:hAnsi="宋体" w:eastAsia="宋体" w:cs="宋体"/>
          <w:b/>
          <w:szCs w:val="21"/>
        </w:rPr>
      </w:r>
      <w:r/>
    </w:p>
    <w:p>
      <w:pPr>
        <w:pStyle w:val="1053"/>
        <w:numPr>
          <w:ilvl w:val="0"/>
          <w:numId w:val="20"/>
        </w:numPr>
        <w:ind w:firstLine="422"/>
        <w:rPr>
          <w:rFonts w:hint="eastAsia" w:ascii="宋体" w:hAnsi="宋体" w:eastAsia="宋体" w:cs="宋体"/>
          <w:b/>
          <w:bCs/>
          <w:szCs w:val="21"/>
        </w:rPr>
      </w:pPr>
      <w:r/>
      <w:bookmarkStart w:id="63" w:name="_Toc209510685"/>
      <w:r>
        <w:rPr>
          <w:rFonts w:hint="eastAsia" w:ascii="宋体" w:hAnsi="宋体" w:eastAsia="宋体" w:cs="宋体"/>
          <w:b/>
          <w:bCs/>
          <w:szCs w:val="21"/>
        </w:rPr>
        <w:t xml:space="preserve">投标文件的解密</w:t>
      </w:r>
      <w:bookmarkEnd w:id="63"/>
      <w:r>
        <w:rPr>
          <w:rFonts w:hint="eastAsia" w:ascii="宋体" w:hAnsi="宋体" w:eastAsia="宋体" w:cs="宋体"/>
          <w:b/>
          <w:bCs/>
          <w:szCs w:val="21"/>
        </w:rPr>
      </w:r>
      <w:r/>
    </w:p>
    <w:p>
      <w:pPr>
        <w:pStyle w:val="1053"/>
        <w:numPr>
          <w:ilvl w:val="0"/>
          <w:numId w:val="21"/>
        </w:numPr>
        <w:ind w:firstLine="422"/>
        <w:rPr>
          <w:rFonts w:hint="eastAsia" w:ascii="宋体" w:hAnsi="宋体" w:eastAsia="宋体" w:cs="宋体"/>
          <w:b/>
          <w:szCs w:val="21"/>
        </w:rPr>
      </w:pPr>
      <w:r>
        <w:rPr>
          <w:rFonts w:hint="eastAsia" w:ascii="宋体" w:hAnsi="宋体" w:eastAsia="宋体" w:cs="宋体"/>
          <w:b/>
          <w:szCs w:val="21"/>
        </w:rPr>
        <w:t xml:space="preserve">投标人应当按照《操作手册》规定，在“苏采云”系统规定的时间内对投标文件进行解密，投标人应充分考虑网络环境、网络带宽等因素可能对投标产生的影响，如因投标人自身原因造成的电子投标文件上传不成功的，按作无效投标处理</w:t>
      </w:r>
      <w:r>
        <w:rPr>
          <w:rFonts w:hint="eastAsia" w:ascii="宋体" w:hAnsi="宋体" w:eastAsia="宋体" w:cs="宋体"/>
          <w:b/>
          <w:szCs w:val="21"/>
        </w:rPr>
      </w:r>
      <w:r/>
    </w:p>
    <w:p>
      <w:pPr>
        <w:pStyle w:val="1053"/>
        <w:numPr>
          <w:ilvl w:val="0"/>
          <w:numId w:val="21"/>
        </w:numPr>
        <w:ind w:firstLine="422"/>
        <w:rPr>
          <w:rFonts w:hint="eastAsia" w:ascii="宋体" w:hAnsi="宋体" w:eastAsia="宋体" w:cs="宋体"/>
          <w:b/>
          <w:szCs w:val="21"/>
        </w:rPr>
      </w:pPr>
      <w:r>
        <w:rPr>
          <w:rFonts w:hint="eastAsia" w:ascii="宋体" w:hAnsi="宋体" w:eastAsia="宋体" w:cs="宋体"/>
          <w:b/>
          <w:szCs w:val="21"/>
        </w:rPr>
        <w:t xml:space="preserve">采购人可以按照规定，通过修改招标文件酌情延长投标截止时间，在此情况下，投标人的所有权利和义务均以延长后新的截止时间为准。</w:t>
      </w:r>
      <w:r>
        <w:rPr>
          <w:rFonts w:hint="eastAsia" w:ascii="宋体" w:hAnsi="宋体" w:eastAsia="宋体" w:cs="宋体"/>
          <w:b/>
          <w:szCs w:val="21"/>
        </w:rPr>
      </w:r>
      <w:r/>
    </w:p>
    <w:p>
      <w:pPr>
        <w:pStyle w:val="1053"/>
        <w:numPr>
          <w:ilvl w:val="0"/>
          <w:numId w:val="20"/>
        </w:numPr>
        <w:ind w:firstLine="422"/>
        <w:rPr>
          <w:rFonts w:hint="eastAsia" w:ascii="宋体" w:hAnsi="宋体" w:eastAsia="宋体" w:cs="宋体"/>
          <w:b/>
          <w:bCs/>
          <w:szCs w:val="21"/>
        </w:rPr>
      </w:pPr>
      <w:r/>
      <w:bookmarkStart w:id="64" w:name="_Toc209510686"/>
      <w:r>
        <w:rPr>
          <w:rFonts w:hint="eastAsia" w:ascii="宋体" w:hAnsi="宋体" w:eastAsia="宋体" w:cs="宋体"/>
          <w:b/>
          <w:bCs/>
          <w:szCs w:val="21"/>
        </w:rPr>
        <w:t xml:space="preserve">投标文件的修改和撤回</w:t>
      </w:r>
      <w:bookmarkEnd w:id="64"/>
      <w:r>
        <w:rPr>
          <w:rFonts w:hint="eastAsia" w:ascii="宋体" w:hAnsi="宋体" w:eastAsia="宋体" w:cs="宋体"/>
          <w:b/>
          <w:bCs/>
          <w:szCs w:val="21"/>
        </w:rPr>
      </w:r>
      <w:r/>
    </w:p>
    <w:p>
      <w:pPr>
        <w:pStyle w:val="1053"/>
        <w:numPr>
          <w:ilvl w:val="0"/>
          <w:numId w:val="22"/>
        </w:numPr>
        <w:ind w:firstLine="420"/>
        <w:rPr>
          <w:rFonts w:hint="eastAsia" w:ascii="宋体" w:hAnsi="宋体" w:eastAsia="宋体" w:cs="宋体"/>
          <w:b/>
          <w:szCs w:val="21"/>
        </w:rPr>
      </w:pPr>
      <w:r>
        <w:rPr>
          <w:rFonts w:hint="eastAsia" w:ascii="宋体" w:hAnsi="宋体" w:eastAsia="宋体" w:cs="宋体"/>
          <w:szCs w:val="21"/>
        </w:rPr>
        <w:t xml:space="preserve">投标文件的撤回</w:t>
      </w:r>
      <w:r>
        <w:rPr>
          <w:rFonts w:hint="eastAsia" w:ascii="宋体" w:hAnsi="宋体" w:eastAsia="宋体" w:cs="宋体"/>
          <w:b/>
          <w:szCs w:val="21"/>
        </w:rPr>
      </w:r>
      <w:r/>
    </w:p>
    <w:p>
      <w:pPr>
        <w:pStyle w:val="1053"/>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投标人可在投标截止时间前撤回其电子投标文件，具体操作方法见《操作手册》。</w:t>
      </w:r>
      <w:r>
        <w:rPr>
          <w:rFonts w:hint="eastAsia" w:ascii="宋体" w:hAnsi="宋体" w:eastAsia="宋体" w:cs="宋体"/>
          <w:szCs w:val="21"/>
        </w:rPr>
      </w:r>
      <w:r/>
    </w:p>
    <w:p>
      <w:pPr>
        <w:pStyle w:val="1053"/>
        <w:numPr>
          <w:ilvl w:val="0"/>
          <w:numId w:val="23"/>
        </w:numPr>
        <w:ind w:firstLine="420"/>
        <w:rPr>
          <w:rFonts w:hint="eastAsia" w:ascii="宋体" w:hAnsi="宋体" w:eastAsia="宋体" w:cs="宋体"/>
          <w:szCs w:val="21"/>
        </w:rPr>
      </w:pPr>
      <w:r>
        <w:rPr>
          <w:rFonts w:hint="eastAsia" w:ascii="宋体" w:hAnsi="宋体" w:eastAsia="宋体" w:cs="宋体"/>
          <w:szCs w:val="21"/>
        </w:rPr>
        <w:t xml:space="preserve">投标人撤回电子投标文件，则认为其不再参与本项目投标活动。</w:t>
      </w:r>
      <w:r>
        <w:rPr>
          <w:rFonts w:hint="eastAsia" w:ascii="宋体" w:hAnsi="宋体" w:eastAsia="宋体" w:cs="宋体"/>
          <w:szCs w:val="21"/>
        </w:rPr>
      </w:r>
      <w:r/>
    </w:p>
    <w:p>
      <w:pPr>
        <w:pStyle w:val="1053"/>
        <w:numPr>
          <w:ilvl w:val="0"/>
          <w:numId w:val="22"/>
        </w:numPr>
        <w:ind w:firstLine="422"/>
        <w:rPr>
          <w:rFonts w:hint="eastAsia" w:ascii="宋体" w:hAnsi="宋体" w:eastAsia="宋体" w:cs="宋体"/>
          <w:b/>
          <w:bCs/>
          <w:szCs w:val="21"/>
        </w:rPr>
      </w:pPr>
      <w:r>
        <w:rPr>
          <w:rFonts w:hint="eastAsia" w:ascii="宋体" w:hAnsi="宋体" w:eastAsia="宋体" w:cs="宋体"/>
          <w:b/>
          <w:bCs/>
          <w:szCs w:val="21"/>
        </w:rPr>
        <w:t xml:space="preserve">投标文件的修改</w:t>
      </w:r>
      <w:r>
        <w:rPr>
          <w:rFonts w:hint="eastAsia" w:ascii="宋体" w:hAnsi="宋体" w:eastAsia="宋体" w:cs="宋体"/>
          <w:b/>
          <w:bCs/>
          <w:szCs w:val="21"/>
        </w:rPr>
      </w:r>
      <w:r/>
    </w:p>
    <w:p>
      <w:pPr>
        <w:pStyle w:val="1053"/>
        <w:numPr>
          <w:ilvl w:val="0"/>
          <w:numId w:val="24"/>
        </w:numPr>
        <w:ind w:firstLine="420"/>
        <w:rPr>
          <w:rFonts w:hint="eastAsia" w:ascii="宋体" w:hAnsi="宋体" w:eastAsia="宋体" w:cs="宋体"/>
          <w:szCs w:val="21"/>
        </w:rPr>
      </w:pPr>
      <w:r>
        <w:rPr>
          <w:rFonts w:hint="eastAsia" w:ascii="宋体" w:hAnsi="宋体" w:eastAsia="宋体" w:cs="宋体"/>
          <w:szCs w:val="21"/>
        </w:rPr>
        <w:t xml:space="preserve">投标人可在投标截止时间前对其电子投标文件进行修改，具体操作方法见《操作手册》。</w:t>
      </w:r>
      <w:r>
        <w:rPr>
          <w:rFonts w:hint="eastAsia" w:ascii="宋体" w:hAnsi="宋体" w:eastAsia="宋体" w:cs="宋体"/>
          <w:szCs w:val="21"/>
        </w:rPr>
      </w:r>
      <w:r/>
    </w:p>
    <w:p>
      <w:pPr>
        <w:pStyle w:val="1053"/>
        <w:numPr>
          <w:ilvl w:val="0"/>
          <w:numId w:val="24"/>
        </w:numPr>
        <w:ind w:firstLine="420"/>
        <w:rPr>
          <w:rFonts w:hint="eastAsia" w:ascii="宋体" w:hAnsi="宋体" w:eastAsia="宋体" w:cs="宋体"/>
          <w:szCs w:val="21"/>
        </w:rPr>
      </w:pPr>
      <w:r>
        <w:rPr>
          <w:rFonts w:hint="eastAsia" w:ascii="宋体" w:hAnsi="宋体" w:eastAsia="宋体" w:cs="宋体"/>
          <w:szCs w:val="21"/>
        </w:rPr>
        <w:t xml:space="preserve">投标截止时间之后，投标人不得对其电子投标文件作任何修改。</w:t>
      </w:r>
      <w:r>
        <w:rPr>
          <w:rFonts w:hint="eastAsia" w:ascii="宋体" w:hAnsi="宋体" w:eastAsia="宋体" w:cs="宋体"/>
          <w:szCs w:val="21"/>
        </w:rPr>
      </w:r>
      <w:r/>
    </w:p>
    <w:p>
      <w:pPr>
        <w:pStyle w:val="1053"/>
        <w:numPr>
          <w:ilvl w:val="0"/>
          <w:numId w:val="24"/>
        </w:numPr>
        <w:ind w:firstLine="420"/>
        <w:rPr>
          <w:rFonts w:hint="eastAsia" w:ascii="宋体" w:hAnsi="宋体" w:eastAsia="宋体" w:cs="宋体"/>
          <w:szCs w:val="21"/>
        </w:rPr>
      </w:pPr>
      <w:r>
        <w:rPr>
          <w:rFonts w:hint="eastAsia" w:ascii="宋体" w:hAnsi="宋体" w:eastAsia="宋体" w:cs="宋体"/>
          <w:szCs w:val="21"/>
        </w:rPr>
        <w:t xml:space="preserve">在投标截止时间至招标文件中规定的投标有效期满之间的这段时间内，投标人不得撤回其投标。</w:t>
      </w:r>
      <w:r>
        <w:rPr>
          <w:rFonts w:hint="eastAsia" w:ascii="宋体" w:hAnsi="宋体" w:eastAsia="宋体" w:cs="宋体"/>
          <w:szCs w:val="21"/>
        </w:rPr>
      </w:r>
      <w:r/>
    </w:p>
    <w:p>
      <w:pPr>
        <w:pStyle w:val="1053"/>
        <w:numPr>
          <w:ilvl w:val="0"/>
          <w:numId w:val="20"/>
        </w:numPr>
        <w:ind w:firstLine="422"/>
        <w:rPr>
          <w:rFonts w:hint="eastAsia" w:ascii="宋体" w:hAnsi="宋体" w:eastAsia="宋体" w:cs="宋体"/>
          <w:b/>
          <w:bCs/>
          <w:szCs w:val="21"/>
        </w:rPr>
      </w:pPr>
      <w:r/>
      <w:bookmarkStart w:id="65" w:name="_Toc209510687"/>
      <w:r>
        <w:rPr>
          <w:rFonts w:hint="eastAsia" w:ascii="宋体" w:hAnsi="宋体" w:eastAsia="宋体" w:cs="宋体"/>
          <w:b/>
          <w:bCs/>
          <w:szCs w:val="21"/>
        </w:rPr>
        <w:t xml:space="preserve">诚实信用</w:t>
      </w:r>
      <w:bookmarkEnd w:id="65"/>
      <w:r>
        <w:rPr>
          <w:rFonts w:hint="eastAsia" w:ascii="宋体" w:hAnsi="宋体" w:eastAsia="宋体" w:cs="宋体"/>
          <w:b/>
          <w:bCs/>
          <w:szCs w:val="21"/>
        </w:rPr>
      </w:r>
      <w:r/>
    </w:p>
    <w:p>
      <w:pPr>
        <w:pStyle w:val="1053"/>
        <w:numPr>
          <w:ilvl w:val="0"/>
          <w:numId w:val="25"/>
        </w:numPr>
        <w:ind w:firstLine="420"/>
        <w:rPr>
          <w:rFonts w:hint="eastAsia" w:ascii="宋体" w:hAnsi="宋体" w:eastAsia="宋体" w:cs="宋体"/>
          <w:szCs w:val="21"/>
        </w:rPr>
      </w:pPr>
      <w:r>
        <w:rPr>
          <w:rFonts w:hint="eastAsia" w:ascii="宋体" w:hAnsi="宋体" w:eastAsia="宋体" w:cs="宋体"/>
          <w:szCs w:val="21"/>
        </w:rPr>
        <w:t xml:space="preserve">投标人应当遵循公平竞争的原则，不得恶意串通，不得妨碍其他投标人的竞争行为，不得损害采购人或者其他投标人的合法权益。</w:t>
      </w:r>
      <w:r>
        <w:rPr>
          <w:rFonts w:hint="eastAsia" w:ascii="宋体" w:hAnsi="宋体" w:eastAsia="宋体" w:cs="宋体"/>
          <w:szCs w:val="21"/>
        </w:rPr>
      </w:r>
      <w:r/>
    </w:p>
    <w:p>
      <w:pPr>
        <w:pStyle w:val="1053"/>
        <w:numPr>
          <w:ilvl w:val="0"/>
          <w:numId w:val="25"/>
        </w:numPr>
        <w:ind w:firstLine="420"/>
        <w:rPr>
          <w:rFonts w:hint="eastAsia" w:ascii="宋体" w:hAnsi="宋体" w:eastAsia="宋体" w:cs="宋体"/>
          <w:szCs w:val="21"/>
        </w:rPr>
      </w:pPr>
      <w:r>
        <w:rPr>
          <w:rFonts w:hint="eastAsia" w:ascii="宋体" w:hAnsi="宋体" w:eastAsia="宋体" w:cs="宋体"/>
          <w:szCs w:val="21"/>
        </w:rPr>
        <w:t xml:space="preserve">在评标过程中发现投标人有上述情形的，评标委员会应当认定其投标无效，并书面报告本级财政部门。</w:t>
      </w:r>
      <w:r>
        <w:rPr>
          <w:rFonts w:hint="eastAsia" w:ascii="宋体" w:hAnsi="宋体" w:eastAsia="宋体" w:cs="宋体"/>
          <w:szCs w:val="21"/>
        </w:rPr>
      </w:r>
      <w:r/>
    </w:p>
    <w:p>
      <w:pPr>
        <w:pStyle w:val="1053"/>
        <w:numPr>
          <w:ilvl w:val="0"/>
          <w:numId w:val="5"/>
        </w:numPr>
        <w:ind w:firstLine="422"/>
        <w:rPr>
          <w:rFonts w:hint="eastAsia" w:ascii="宋体" w:hAnsi="宋体" w:eastAsia="宋体" w:cs="宋体"/>
          <w:b/>
          <w:bCs/>
          <w:szCs w:val="21"/>
        </w:rPr>
        <w:outlineLvl w:val="1"/>
      </w:pPr>
      <w:r/>
      <w:bookmarkStart w:id="66" w:name="_Toc24742"/>
      <w:r/>
      <w:bookmarkStart w:id="67" w:name="_Toc209510688"/>
      <w:r/>
      <w:bookmarkStart w:id="68" w:name="_Toc22917"/>
      <w:r/>
      <w:bookmarkStart w:id="69" w:name="_Toc209510619"/>
      <w:r/>
      <w:bookmarkStart w:id="70" w:name="_Toc1446"/>
      <w:r/>
      <w:bookmarkStart w:id="71" w:name="_Toc9280"/>
      <w:r/>
      <w:bookmarkStart w:id="72" w:name="_Toc18325"/>
      <w:r/>
      <w:bookmarkStart w:id="73" w:name="_Toc29919"/>
      <w:r>
        <w:rPr>
          <w:rFonts w:hint="eastAsia" w:ascii="宋体" w:hAnsi="宋体" w:eastAsia="宋体" w:cs="宋体"/>
          <w:b/>
          <w:bCs/>
          <w:szCs w:val="21"/>
        </w:rPr>
        <w:t xml:space="preserve">开标、评标与定标</w:t>
      </w:r>
      <w:bookmarkEnd w:id="66"/>
      <w:r/>
      <w:bookmarkEnd w:id="67"/>
      <w:r/>
      <w:bookmarkEnd w:id="68"/>
      <w:r/>
      <w:bookmarkEnd w:id="69"/>
      <w:r/>
      <w:bookmarkEnd w:id="70"/>
      <w:r/>
      <w:bookmarkEnd w:id="71"/>
      <w:r/>
      <w:bookmarkEnd w:id="72"/>
      <w:r/>
      <w:bookmarkEnd w:id="73"/>
      <w:r>
        <w:rPr>
          <w:rFonts w:hint="eastAsia" w:ascii="宋体" w:hAnsi="宋体" w:eastAsia="宋体" w:cs="宋体"/>
          <w:b/>
          <w:bCs/>
          <w:szCs w:val="21"/>
        </w:rPr>
      </w:r>
      <w:r/>
    </w:p>
    <w:p>
      <w:pPr>
        <w:pStyle w:val="1053"/>
        <w:numPr>
          <w:ilvl w:val="0"/>
          <w:numId w:val="26"/>
        </w:numPr>
        <w:ind w:firstLine="422"/>
        <w:rPr>
          <w:rFonts w:hint="eastAsia" w:ascii="宋体" w:hAnsi="宋体" w:eastAsia="宋体" w:cs="宋体"/>
          <w:b/>
          <w:bCs/>
          <w:szCs w:val="21"/>
        </w:rPr>
      </w:pPr>
      <w:r/>
      <w:bookmarkStart w:id="74" w:name="_Toc209510689"/>
      <w:r>
        <w:rPr>
          <w:rFonts w:hint="eastAsia" w:ascii="宋体" w:hAnsi="宋体" w:eastAsia="宋体" w:cs="宋体"/>
          <w:b/>
          <w:bCs/>
          <w:szCs w:val="21"/>
        </w:rPr>
        <w:t xml:space="preserve">开标</w:t>
      </w:r>
      <w:bookmarkEnd w:id="74"/>
      <w:r>
        <w:rPr>
          <w:rFonts w:hint="eastAsia" w:ascii="宋体" w:hAnsi="宋体" w:eastAsia="宋体" w:cs="宋体"/>
          <w:b/>
          <w:bCs/>
          <w:szCs w:val="21"/>
        </w:rPr>
      </w:r>
      <w:r/>
    </w:p>
    <w:p>
      <w:pPr>
        <w:pStyle w:val="1053"/>
        <w:numPr>
          <w:ilvl w:val="0"/>
          <w:numId w:val="27"/>
        </w:numPr>
        <w:ind w:firstLine="420"/>
        <w:rPr>
          <w:rFonts w:hint="eastAsia" w:ascii="宋体" w:hAnsi="宋体" w:eastAsia="宋体" w:cs="宋体"/>
          <w:szCs w:val="21"/>
          <w:lang w:eastAsia="en-US"/>
        </w:rPr>
      </w:pPr>
      <w:r>
        <w:rPr>
          <w:rFonts w:hint="eastAsia" w:ascii="宋体" w:hAnsi="宋体" w:eastAsia="宋体" w:cs="宋体"/>
          <w:szCs w:val="21"/>
        </w:rPr>
        <w:t xml:space="preserve">采购人在招标公告中规定的时间和地点组织公开开标。投标人按照《操作手册》规定参加开标活动，并在苏采云系统规定的时间内对投标文件进行解密。</w:t>
      </w:r>
      <w:r>
        <w:rPr>
          <w:rFonts w:hint="eastAsia" w:ascii="宋体" w:hAnsi="宋体" w:eastAsia="宋体" w:cs="宋体"/>
          <w:szCs w:val="21"/>
          <w:lang w:eastAsia="en-US"/>
        </w:rPr>
        <w:t xml:space="preserve">苏采云系统公布各投标人名称和投标价格。</w:t>
      </w:r>
      <w:r>
        <w:rPr>
          <w:rFonts w:hint="eastAsia" w:ascii="宋体" w:hAnsi="宋体" w:eastAsia="宋体" w:cs="宋体"/>
          <w:szCs w:val="21"/>
          <w:lang w:eastAsia="en-US"/>
        </w:rPr>
      </w:r>
      <w:r/>
    </w:p>
    <w:p>
      <w:pPr>
        <w:pStyle w:val="1053"/>
        <w:numPr>
          <w:ilvl w:val="0"/>
          <w:numId w:val="27"/>
        </w:numPr>
        <w:ind w:firstLine="420"/>
        <w:rPr>
          <w:rFonts w:hint="eastAsia" w:ascii="宋体" w:hAnsi="宋体" w:eastAsia="宋体" w:cs="宋体"/>
          <w:szCs w:val="21"/>
        </w:rPr>
      </w:pPr>
      <w:r>
        <w:rPr>
          <w:rFonts w:hint="eastAsia" w:ascii="宋体" w:hAnsi="宋体" w:eastAsia="宋体" w:cs="宋体"/>
          <w:szCs w:val="21"/>
        </w:rPr>
        <w:t xml:space="preserve">投标人在开标过程中涉及的投标文件解密、开标结果确认等工作，应按照《操作手册》规定执行。</w:t>
      </w:r>
      <w:r>
        <w:rPr>
          <w:rFonts w:hint="eastAsia" w:ascii="宋体" w:hAnsi="宋体" w:eastAsia="宋体" w:cs="宋体"/>
          <w:szCs w:val="21"/>
        </w:rPr>
      </w:r>
      <w:r/>
    </w:p>
    <w:p>
      <w:pPr>
        <w:pStyle w:val="1053"/>
        <w:numPr>
          <w:ilvl w:val="0"/>
          <w:numId w:val="27"/>
        </w:numPr>
        <w:ind w:firstLine="420"/>
        <w:rPr>
          <w:rFonts w:hint="eastAsia" w:ascii="宋体" w:hAnsi="宋体" w:eastAsia="宋体" w:cs="宋体"/>
          <w:szCs w:val="21"/>
        </w:rPr>
      </w:pPr>
      <w:r/>
      <w:bookmarkStart w:id="75" w:name="OLE_LINK5"/>
      <w:r>
        <w:rPr>
          <w:rFonts w:hint="eastAsia" w:ascii="宋体" w:hAnsi="宋体" w:eastAsia="宋体" w:cs="宋体"/>
          <w:szCs w:val="21"/>
        </w:rPr>
        <w:t xml:space="preserve">投标人不足3家的，不得开标。</w:t>
      </w:r>
      <w:r>
        <w:rPr>
          <w:rFonts w:hint="eastAsia" w:ascii="宋体" w:hAnsi="宋体" w:eastAsia="宋体" w:cs="宋体"/>
          <w:szCs w:val="21"/>
        </w:rPr>
      </w:r>
      <w:r/>
    </w:p>
    <w:p>
      <w:pPr>
        <w:pStyle w:val="1053"/>
        <w:numPr>
          <w:ilvl w:val="0"/>
          <w:numId w:val="27"/>
        </w:numPr>
        <w:ind w:firstLine="420"/>
        <w:rPr>
          <w:rFonts w:hint="eastAsia" w:ascii="宋体" w:hAnsi="宋体" w:eastAsia="宋体" w:cs="宋体"/>
          <w:szCs w:val="21"/>
        </w:rPr>
      </w:pPr>
      <w:r/>
      <w:bookmarkEnd w:id="75"/>
      <w:r>
        <w:rPr>
          <w:rFonts w:hint="eastAsia" w:ascii="宋体" w:hAnsi="宋体" w:eastAsia="宋体" w:cs="宋体"/>
          <w:szCs w:val="21"/>
        </w:rPr>
        <w:t xml:space="preserve">投标人如果对开标过程和开标结果有疑义，应当根据《操作手册》规定提出，“苏采云”系统中《开标记录表》公布后5分钟内未提出的，视同认可开标结果。</w:t>
      </w:r>
      <w:r>
        <w:rPr>
          <w:rFonts w:hint="eastAsia" w:ascii="宋体" w:hAnsi="宋体" w:eastAsia="宋体" w:cs="宋体"/>
          <w:szCs w:val="21"/>
        </w:rPr>
      </w:r>
      <w:r/>
    </w:p>
    <w:p>
      <w:pPr>
        <w:pStyle w:val="1053"/>
        <w:numPr>
          <w:ilvl w:val="0"/>
          <w:numId w:val="26"/>
        </w:numPr>
        <w:ind w:firstLine="422"/>
        <w:rPr>
          <w:rFonts w:hint="eastAsia" w:ascii="宋体" w:hAnsi="宋体" w:eastAsia="宋体" w:cs="宋体"/>
          <w:b/>
          <w:bCs/>
          <w:szCs w:val="21"/>
        </w:rPr>
      </w:pPr>
      <w:r/>
      <w:bookmarkStart w:id="76" w:name="_Toc209510690"/>
      <w:r>
        <w:rPr>
          <w:rFonts w:hint="eastAsia" w:ascii="宋体" w:hAnsi="宋体" w:eastAsia="宋体" w:cs="宋体"/>
          <w:b/>
          <w:bCs/>
          <w:szCs w:val="21"/>
        </w:rPr>
        <w:t xml:space="preserve">评标</w:t>
      </w:r>
      <w:bookmarkEnd w:id="76"/>
      <w:r>
        <w:rPr>
          <w:rFonts w:hint="eastAsia" w:ascii="宋体" w:hAnsi="宋体" w:eastAsia="宋体" w:cs="宋体"/>
          <w:b/>
          <w:bCs/>
          <w:szCs w:val="21"/>
        </w:rPr>
      </w:r>
      <w:r/>
    </w:p>
    <w:p>
      <w:pPr>
        <w:pStyle w:val="1053"/>
        <w:numPr>
          <w:ilvl w:val="0"/>
          <w:numId w:val="28"/>
        </w:numPr>
        <w:ind w:firstLine="422"/>
        <w:rPr>
          <w:rFonts w:hint="eastAsia" w:ascii="宋体" w:hAnsi="宋体" w:eastAsia="宋体" w:cs="宋体"/>
          <w:b/>
          <w:bCs/>
          <w:szCs w:val="21"/>
        </w:rPr>
      </w:pPr>
      <w:r>
        <w:rPr>
          <w:rFonts w:hint="eastAsia" w:ascii="宋体" w:hAnsi="宋体" w:eastAsia="宋体" w:cs="宋体"/>
          <w:b/>
          <w:bCs/>
          <w:szCs w:val="21"/>
        </w:rPr>
        <w:t xml:space="preserve">评标委员会</w:t>
      </w:r>
      <w:r>
        <w:rPr>
          <w:rFonts w:hint="eastAsia" w:ascii="宋体" w:hAnsi="宋体" w:eastAsia="宋体" w:cs="宋体"/>
          <w:b/>
          <w:bCs/>
          <w:szCs w:val="21"/>
        </w:rPr>
      </w:r>
      <w:r/>
    </w:p>
    <w:p>
      <w:pPr>
        <w:pStyle w:val="1053"/>
        <w:numPr>
          <w:ilvl w:val="0"/>
          <w:numId w:val="29"/>
        </w:numPr>
        <w:ind w:firstLine="420"/>
        <w:rPr>
          <w:rFonts w:hint="eastAsia" w:ascii="宋体" w:hAnsi="宋体" w:eastAsia="宋体" w:cs="宋体"/>
          <w:bCs/>
          <w:szCs w:val="21"/>
        </w:rPr>
      </w:pPr>
      <w:r>
        <w:rPr>
          <w:rFonts w:hint="eastAsia" w:ascii="宋体" w:hAnsi="宋体" w:eastAsia="宋体" w:cs="宋体"/>
          <w:bCs/>
          <w:szCs w:val="21"/>
        </w:rPr>
        <w:t xml:space="preserve">评标由评标委员会（以下简称“评委会”）进行。</w:t>
      </w:r>
      <w:r>
        <w:rPr>
          <w:rFonts w:hint="eastAsia" w:ascii="宋体" w:hAnsi="宋体" w:eastAsia="宋体" w:cs="宋体"/>
          <w:bCs/>
          <w:szCs w:val="21"/>
        </w:rPr>
      </w:r>
      <w:r/>
    </w:p>
    <w:p>
      <w:pPr>
        <w:pStyle w:val="1053"/>
        <w:numPr>
          <w:ilvl w:val="0"/>
          <w:numId w:val="29"/>
        </w:numPr>
        <w:ind w:firstLine="420"/>
        <w:rPr>
          <w:rFonts w:hint="eastAsia" w:ascii="宋体" w:hAnsi="宋体" w:eastAsia="宋体" w:cs="宋体"/>
          <w:bCs/>
          <w:szCs w:val="21"/>
        </w:rPr>
      </w:pPr>
      <w:r>
        <w:rPr>
          <w:rFonts w:hint="eastAsia" w:ascii="宋体" w:hAnsi="宋体" w:eastAsia="宋体" w:cs="宋体"/>
          <w:bCs/>
          <w:szCs w:val="21"/>
        </w:rPr>
        <w:t xml:space="preserve">评委会由采购人代表和有关技术、经济等方面的专家组成，且人员构成符合政府采购有关规定。</w:t>
      </w:r>
      <w:r>
        <w:rPr>
          <w:rFonts w:hint="eastAsia" w:ascii="宋体" w:hAnsi="宋体" w:eastAsia="宋体" w:cs="宋体"/>
          <w:bCs/>
          <w:szCs w:val="21"/>
        </w:rPr>
      </w:r>
      <w:r/>
    </w:p>
    <w:p>
      <w:pPr>
        <w:pStyle w:val="1053"/>
        <w:numPr>
          <w:ilvl w:val="0"/>
          <w:numId w:val="29"/>
        </w:numPr>
        <w:ind w:firstLine="420"/>
        <w:rPr>
          <w:rFonts w:hint="eastAsia" w:ascii="宋体" w:hAnsi="宋体" w:eastAsia="宋体" w:cs="宋体"/>
          <w:bCs/>
          <w:szCs w:val="21"/>
        </w:rPr>
      </w:pPr>
      <w:r>
        <w:rPr>
          <w:rFonts w:hint="eastAsia" w:ascii="宋体" w:hAnsi="宋体" w:eastAsia="宋体" w:cs="宋体"/>
          <w:bCs/>
          <w:szCs w:val="21"/>
        </w:rPr>
        <w:t xml:space="preserve">评委会独立工作，负责评审所有投标文件并推荐中标候选人，或根据采购人授权直接确定中标人。</w:t>
      </w:r>
      <w:r>
        <w:rPr>
          <w:rFonts w:hint="eastAsia" w:ascii="宋体" w:hAnsi="宋体" w:eastAsia="宋体" w:cs="宋体"/>
          <w:bCs/>
          <w:szCs w:val="21"/>
        </w:rPr>
      </w:r>
      <w:r/>
    </w:p>
    <w:p>
      <w:pPr>
        <w:pStyle w:val="1053"/>
        <w:ind w:firstLine="420"/>
        <w:rPr>
          <w:rFonts w:hint="eastAsia" w:ascii="宋体" w:hAnsi="宋体" w:eastAsia="宋体" w:cs="宋体"/>
          <w:b/>
          <w:szCs w:val="21"/>
        </w:rPr>
      </w:pPr>
      <w:r>
        <w:rPr>
          <w:rFonts w:hint="eastAsia" w:ascii="宋体" w:hAnsi="宋体" w:eastAsia="宋体" w:cs="宋体"/>
          <w:szCs w:val="21"/>
        </w:rPr>
        <w:t xml:space="preserve">22.1.1评标委员会负责具体评标事务，并独立履行下列职责：</w:t>
      </w:r>
      <w:r>
        <w:rPr>
          <w:rFonts w:hint="eastAsia" w:ascii="宋体" w:hAnsi="宋体" w:eastAsia="宋体" w:cs="宋体"/>
          <w:b/>
          <w:szCs w:val="21"/>
        </w:rPr>
      </w:r>
      <w:r/>
    </w:p>
    <w:p>
      <w:pPr>
        <w:pStyle w:val="1053"/>
        <w:numPr>
          <w:ilvl w:val="0"/>
          <w:numId w:val="30"/>
        </w:numPr>
        <w:ind w:firstLine="420"/>
        <w:rPr>
          <w:rFonts w:hint="eastAsia" w:ascii="宋体" w:hAnsi="宋体" w:eastAsia="宋体" w:cs="宋体"/>
          <w:szCs w:val="21"/>
        </w:rPr>
      </w:pPr>
      <w:r>
        <w:rPr>
          <w:rFonts w:hint="eastAsia" w:ascii="宋体" w:hAnsi="宋体" w:eastAsia="宋体" w:cs="宋体"/>
          <w:szCs w:val="21"/>
        </w:rPr>
        <w:t xml:space="preserve">审查、评价投标文件是否符合招标文件的商务、技术等实质性要求；</w:t>
      </w:r>
      <w:r>
        <w:rPr>
          <w:rFonts w:hint="eastAsia" w:ascii="宋体" w:hAnsi="宋体" w:eastAsia="宋体" w:cs="宋体"/>
          <w:szCs w:val="21"/>
        </w:rPr>
      </w:r>
      <w:r/>
    </w:p>
    <w:p>
      <w:pPr>
        <w:pStyle w:val="1053"/>
        <w:numPr>
          <w:ilvl w:val="0"/>
          <w:numId w:val="30"/>
        </w:numPr>
        <w:ind w:firstLine="420"/>
        <w:rPr>
          <w:rFonts w:hint="eastAsia" w:ascii="宋体" w:hAnsi="宋体" w:eastAsia="宋体" w:cs="宋体"/>
          <w:szCs w:val="21"/>
        </w:rPr>
      </w:pPr>
      <w:r>
        <w:rPr>
          <w:rFonts w:hint="eastAsia" w:ascii="宋体" w:hAnsi="宋体" w:eastAsia="宋体" w:cs="宋体"/>
          <w:szCs w:val="21"/>
        </w:rPr>
        <w:t xml:space="preserve">要求投标人对投标文件有关事项作出澄清或者说明；</w:t>
      </w:r>
      <w:r>
        <w:rPr>
          <w:rFonts w:hint="eastAsia" w:ascii="宋体" w:hAnsi="宋体" w:eastAsia="宋体" w:cs="宋体"/>
          <w:szCs w:val="21"/>
        </w:rPr>
      </w:r>
      <w:r/>
    </w:p>
    <w:p>
      <w:pPr>
        <w:pStyle w:val="1053"/>
        <w:numPr>
          <w:ilvl w:val="0"/>
          <w:numId w:val="30"/>
        </w:numPr>
        <w:ind w:firstLine="420"/>
        <w:rPr>
          <w:rFonts w:hint="eastAsia" w:ascii="宋体" w:hAnsi="宋体" w:eastAsia="宋体" w:cs="宋体"/>
          <w:szCs w:val="21"/>
        </w:rPr>
      </w:pPr>
      <w:r>
        <w:rPr>
          <w:rFonts w:hint="eastAsia" w:ascii="宋体" w:hAnsi="宋体" w:eastAsia="宋体" w:cs="宋体"/>
          <w:szCs w:val="21"/>
        </w:rPr>
        <w:t xml:space="preserve">对投标文件进行比较和评价；</w:t>
      </w:r>
      <w:r>
        <w:rPr>
          <w:rFonts w:hint="eastAsia" w:ascii="宋体" w:hAnsi="宋体" w:eastAsia="宋体" w:cs="宋体"/>
          <w:szCs w:val="21"/>
        </w:rPr>
      </w:r>
      <w:r/>
    </w:p>
    <w:p>
      <w:pPr>
        <w:pStyle w:val="1053"/>
        <w:numPr>
          <w:ilvl w:val="0"/>
          <w:numId w:val="30"/>
        </w:numPr>
        <w:ind w:firstLine="420"/>
        <w:rPr>
          <w:rFonts w:hint="eastAsia" w:ascii="宋体" w:hAnsi="宋体" w:eastAsia="宋体" w:cs="宋体"/>
          <w:szCs w:val="21"/>
        </w:rPr>
      </w:pPr>
      <w:r>
        <w:rPr>
          <w:rFonts w:hint="eastAsia" w:ascii="宋体" w:hAnsi="宋体" w:eastAsia="宋体" w:cs="宋体"/>
          <w:szCs w:val="21"/>
        </w:rPr>
        <w:t xml:space="preserve">确定中标候选人名单，以及根据采购人委托直接确定中标人；</w:t>
      </w:r>
      <w:r>
        <w:rPr>
          <w:rFonts w:hint="eastAsia" w:ascii="宋体" w:hAnsi="宋体" w:eastAsia="宋体" w:cs="宋体"/>
          <w:szCs w:val="21"/>
        </w:rPr>
      </w:r>
      <w:r/>
    </w:p>
    <w:p>
      <w:pPr>
        <w:pStyle w:val="1053"/>
        <w:numPr>
          <w:ilvl w:val="0"/>
          <w:numId w:val="30"/>
        </w:numPr>
        <w:ind w:firstLine="420"/>
        <w:rPr>
          <w:rFonts w:hint="eastAsia" w:ascii="宋体" w:hAnsi="宋体" w:eastAsia="宋体" w:cs="宋体"/>
          <w:szCs w:val="21"/>
        </w:rPr>
      </w:pPr>
      <w:r>
        <w:rPr>
          <w:rFonts w:hint="eastAsia" w:ascii="宋体" w:hAnsi="宋体" w:eastAsia="宋体" w:cs="宋体"/>
          <w:szCs w:val="21"/>
        </w:rPr>
        <w:t xml:space="preserve">向采购人、采购代理机构或者有关部门报告评标中发现的违法行为。</w:t>
      </w:r>
      <w:r>
        <w:rPr>
          <w:rFonts w:hint="eastAsia" w:ascii="宋体" w:hAnsi="宋体" w:eastAsia="宋体" w:cs="宋体"/>
          <w:szCs w:val="21"/>
        </w:rPr>
      </w:r>
      <w:r/>
    </w:p>
    <w:p>
      <w:pPr>
        <w:pStyle w:val="1053"/>
        <w:numPr>
          <w:ilvl w:val="0"/>
          <w:numId w:val="28"/>
        </w:numPr>
        <w:ind w:firstLine="422"/>
        <w:rPr>
          <w:rFonts w:hint="eastAsia" w:ascii="宋体" w:hAnsi="宋体" w:eastAsia="宋体" w:cs="宋体"/>
          <w:b/>
          <w:bCs/>
          <w:szCs w:val="21"/>
        </w:rPr>
      </w:pPr>
      <w:r>
        <w:rPr>
          <w:rFonts w:hint="eastAsia" w:ascii="宋体" w:hAnsi="宋体" w:eastAsia="宋体" w:cs="宋体"/>
          <w:b/>
          <w:bCs/>
          <w:szCs w:val="21"/>
        </w:rPr>
        <w:t xml:space="preserve">评标程序</w:t>
      </w:r>
      <w:r>
        <w:rPr>
          <w:rFonts w:hint="eastAsia" w:ascii="宋体" w:hAnsi="宋体" w:eastAsia="宋体" w:cs="宋体"/>
          <w:b/>
          <w:bCs/>
          <w:szCs w:val="21"/>
        </w:rPr>
      </w:r>
      <w:r/>
    </w:p>
    <w:p>
      <w:pPr>
        <w:pStyle w:val="105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投标文件的资格性检查。</w:t>
      </w:r>
      <w:r>
        <w:rPr>
          <w:rFonts w:hint="eastAsia" w:ascii="宋体" w:hAnsi="宋体" w:eastAsia="宋体" w:cs="宋体"/>
          <w:szCs w:val="21"/>
        </w:rPr>
        <w:t xml:space="preserve">公开招标采购项目开标结束后，采购人或者采购代理机构应当依法对投标人的资格进行审查。合格投标人不足3家的，不得评标。</w:t>
      </w:r>
      <w:r>
        <w:rPr>
          <w:rFonts w:hint="eastAsia" w:ascii="宋体" w:hAnsi="宋体" w:eastAsia="宋体" w:cs="宋体"/>
          <w:b/>
          <w:szCs w:val="21"/>
        </w:rPr>
      </w:r>
      <w:r/>
    </w:p>
    <w:p>
      <w:pPr>
        <w:pStyle w:val="1053"/>
        <w:numPr>
          <w:ilvl w:val="0"/>
          <w:numId w:val="31"/>
        </w:numPr>
        <w:ind w:firstLine="422"/>
        <w:rPr>
          <w:rFonts w:hint="eastAsia" w:ascii="宋体" w:hAnsi="宋体" w:eastAsia="宋体" w:cs="宋体"/>
          <w:b/>
          <w:szCs w:val="21"/>
        </w:rPr>
      </w:pPr>
      <w:r>
        <w:rPr>
          <w:rFonts w:hint="eastAsia" w:ascii="宋体" w:hAnsi="宋体" w:eastAsia="宋体" w:cs="宋体"/>
          <w:b/>
          <w:szCs w:val="21"/>
        </w:rPr>
        <w:t xml:space="preserve">投标文件的符合性审查。评标委员会对通过资格性检查的投标人的投标文件进行符合性审查，以确定其是否满足招标文件的实质性要求。投标文件有下列情况之一的，在符合性检查时按照无效投标处理：</w:t>
      </w:r>
      <w:r>
        <w:rPr>
          <w:rFonts w:hint="eastAsia" w:ascii="宋体" w:hAnsi="宋体" w:eastAsia="宋体" w:cs="宋体"/>
          <w:b/>
          <w:szCs w:val="21"/>
        </w:rPr>
      </w:r>
      <w:r/>
    </w:p>
    <w:p>
      <w:pPr>
        <w:pStyle w:val="105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投标人在“苏采云”系统规定的时间内未成功解密电子投标文件的；</w:t>
      </w:r>
      <w:r>
        <w:rPr>
          <w:rFonts w:hint="eastAsia" w:ascii="宋体" w:hAnsi="宋体" w:eastAsia="宋体" w:cs="宋体"/>
          <w:b/>
          <w:szCs w:val="21"/>
        </w:rPr>
      </w:r>
      <w:r/>
    </w:p>
    <w:p>
      <w:pPr>
        <w:pStyle w:val="105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投标人未按照招标文件要求上传电子投标文件的；</w:t>
      </w:r>
      <w:r>
        <w:rPr>
          <w:rFonts w:hint="eastAsia" w:ascii="宋体" w:hAnsi="宋体" w:eastAsia="宋体" w:cs="宋体"/>
          <w:b/>
          <w:szCs w:val="21"/>
        </w:rPr>
      </w:r>
      <w:r/>
    </w:p>
    <w:p>
      <w:pPr>
        <w:pStyle w:val="105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同一投标人提交两个（含两个）以上不同的投标报价的；</w:t>
      </w:r>
      <w:r>
        <w:rPr>
          <w:rFonts w:hint="eastAsia" w:ascii="宋体" w:hAnsi="宋体" w:eastAsia="宋体" w:cs="宋体"/>
          <w:b/>
          <w:szCs w:val="21"/>
        </w:rPr>
      </w:r>
      <w:r/>
    </w:p>
    <w:p>
      <w:pPr>
        <w:pStyle w:val="105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投标文件未按照招标文件要求加盖电子公章的；</w:t>
      </w:r>
      <w:r>
        <w:rPr>
          <w:rFonts w:hint="eastAsia" w:ascii="宋体" w:hAnsi="宋体" w:eastAsia="宋体" w:cs="宋体"/>
          <w:b/>
          <w:szCs w:val="21"/>
        </w:rPr>
      </w:r>
      <w:r/>
    </w:p>
    <w:p>
      <w:pPr>
        <w:pStyle w:val="105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不具备招标文件中规定的资格要求的；</w:t>
      </w:r>
      <w:r>
        <w:rPr>
          <w:rFonts w:hint="eastAsia" w:ascii="宋体" w:hAnsi="宋体" w:eastAsia="宋体" w:cs="宋体"/>
          <w:b/>
          <w:szCs w:val="21"/>
        </w:rPr>
      </w:r>
      <w:r/>
    </w:p>
    <w:p>
      <w:pPr>
        <w:pStyle w:val="105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报价超过招标文件中规定的预算金额或者最高限价的；</w:t>
      </w:r>
      <w:r>
        <w:rPr>
          <w:rFonts w:hint="eastAsia" w:ascii="宋体" w:hAnsi="宋体" w:eastAsia="宋体" w:cs="宋体"/>
          <w:b/>
          <w:szCs w:val="21"/>
        </w:rPr>
      </w:r>
      <w:r/>
    </w:p>
    <w:p>
      <w:pPr>
        <w:pStyle w:val="105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投标文件含有采购人不能接受的附加条件的；</w:t>
      </w:r>
      <w:r>
        <w:rPr>
          <w:rFonts w:hint="eastAsia" w:ascii="宋体" w:hAnsi="宋体" w:eastAsia="宋体" w:cs="宋体"/>
          <w:b/>
          <w:szCs w:val="21"/>
        </w:rPr>
      </w:r>
      <w:r/>
    </w:p>
    <w:p>
      <w:pPr>
        <w:pStyle w:val="105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投标文件内容不全或不符合招标文件中规定的其他实质性要求的；</w:t>
      </w:r>
      <w:r>
        <w:rPr>
          <w:rFonts w:hint="eastAsia" w:ascii="宋体" w:hAnsi="宋体" w:eastAsia="宋体" w:cs="宋体"/>
          <w:b/>
          <w:szCs w:val="21"/>
        </w:rPr>
      </w:r>
      <w:r/>
    </w:p>
    <w:p>
      <w:pPr>
        <w:pStyle w:val="1053"/>
        <w:numPr>
          <w:ilvl w:val="0"/>
          <w:numId w:val="32"/>
        </w:numPr>
        <w:ind w:firstLine="422"/>
        <w:rPr>
          <w:rFonts w:hint="eastAsia" w:ascii="宋体" w:hAnsi="宋体" w:eastAsia="宋体" w:cs="宋体"/>
          <w:b/>
          <w:szCs w:val="21"/>
        </w:rPr>
      </w:pPr>
      <w:r>
        <w:rPr>
          <w:rFonts w:hint="eastAsia" w:ascii="宋体" w:hAnsi="宋体" w:eastAsia="宋体" w:cs="宋体"/>
          <w:b/>
          <w:szCs w:val="21"/>
        </w:rPr>
        <w:t xml:space="preserve">现行法律、法规、规章和招标文件规定的其他无效情形。</w:t>
      </w:r>
      <w:r>
        <w:rPr>
          <w:rFonts w:hint="eastAsia" w:ascii="宋体" w:hAnsi="宋体" w:eastAsia="宋体" w:cs="宋体"/>
          <w:b/>
          <w:szCs w:val="21"/>
        </w:rPr>
      </w:r>
      <w:r/>
    </w:p>
    <w:p>
      <w:pPr>
        <w:pStyle w:val="1053"/>
        <w:numPr>
          <w:ilvl w:val="0"/>
          <w:numId w:val="33"/>
        </w:numPr>
        <w:ind w:firstLine="422"/>
        <w:rPr>
          <w:rFonts w:hint="eastAsia" w:ascii="宋体" w:hAnsi="宋体" w:eastAsia="宋体" w:cs="宋体"/>
          <w:b/>
          <w:szCs w:val="21"/>
        </w:rPr>
      </w:pPr>
      <w:r>
        <w:rPr>
          <w:rFonts w:hint="eastAsia" w:ascii="宋体" w:hAnsi="宋体" w:eastAsia="宋体" w:cs="宋体"/>
          <w:b/>
          <w:szCs w:val="21"/>
        </w:rPr>
        <w:t xml:space="preserve">实质性要求是指本招标文件中用带星号（“★”）等或者其他明确要求的废标的商务和技术要求。</w:t>
      </w:r>
      <w:r>
        <w:rPr>
          <w:rFonts w:hint="eastAsia" w:ascii="宋体" w:hAnsi="宋体" w:eastAsia="宋体" w:cs="宋体"/>
          <w:b/>
          <w:szCs w:val="21"/>
        </w:rPr>
      </w:r>
      <w:r/>
    </w:p>
    <w:p>
      <w:pPr>
        <w:pStyle w:val="1053"/>
        <w:numPr>
          <w:ilvl w:val="0"/>
          <w:numId w:val="33"/>
        </w:numPr>
        <w:ind w:firstLine="422"/>
        <w:rPr>
          <w:rFonts w:hint="eastAsia" w:ascii="宋体" w:hAnsi="宋体" w:eastAsia="宋体" w:cs="宋体"/>
          <w:b/>
          <w:szCs w:val="21"/>
        </w:rPr>
      </w:pPr>
      <w:r>
        <w:rPr>
          <w:rFonts w:hint="eastAsia" w:ascii="宋体" w:hAnsi="宋体" w:eastAsia="宋体" w:cs="宋体"/>
          <w:b/>
          <w:szCs w:val="21"/>
        </w:rPr>
        <w:t xml:space="preserve">未通过资格审查或符合性审查的投标人，代理机构将通过“苏采云”系统告知其具体原因，评标结束后不再接受有关询问。</w:t>
      </w:r>
      <w:r>
        <w:rPr>
          <w:rFonts w:hint="eastAsia" w:ascii="宋体" w:hAnsi="宋体" w:eastAsia="宋体" w:cs="宋体"/>
          <w:b/>
          <w:szCs w:val="21"/>
        </w:rPr>
      </w:r>
      <w:r/>
    </w:p>
    <w:p>
      <w:pPr>
        <w:pStyle w:val="1053"/>
        <w:numPr>
          <w:ilvl w:val="0"/>
          <w:numId w:val="33"/>
        </w:numPr>
        <w:ind w:firstLine="422"/>
        <w:rPr>
          <w:rFonts w:hint="eastAsia" w:ascii="宋体" w:hAnsi="宋体" w:eastAsia="宋体" w:cs="宋体"/>
          <w:b/>
          <w:szCs w:val="21"/>
        </w:rPr>
      </w:pPr>
      <w:r>
        <w:rPr>
          <w:rFonts w:hint="eastAsia" w:ascii="宋体" w:hAnsi="宋体" w:eastAsia="宋体" w:cs="宋体"/>
          <w:b/>
          <w:szCs w:val="21"/>
        </w:rPr>
        <w:t xml:space="preserve">有下列情形之一的予以废标：</w:t>
      </w:r>
      <w:r>
        <w:rPr>
          <w:rFonts w:hint="eastAsia" w:ascii="宋体" w:hAnsi="宋体" w:eastAsia="宋体" w:cs="宋体"/>
          <w:b/>
          <w:szCs w:val="21"/>
        </w:rPr>
      </w:r>
      <w:r/>
    </w:p>
    <w:p>
      <w:pPr>
        <w:pStyle w:val="1053"/>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符合专业条件的投标人或者对招标文件作实质性响应的投标人不足三家的；</w:t>
      </w:r>
      <w:r>
        <w:rPr>
          <w:rFonts w:hint="eastAsia" w:ascii="宋体" w:hAnsi="宋体" w:eastAsia="宋体" w:cs="宋体"/>
          <w:szCs w:val="21"/>
        </w:rPr>
      </w:r>
      <w:r/>
    </w:p>
    <w:p>
      <w:pPr>
        <w:pStyle w:val="1053"/>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出现影响采购公正的违法、违规行为的；</w:t>
      </w:r>
      <w:r>
        <w:rPr>
          <w:rFonts w:hint="eastAsia" w:ascii="宋体" w:hAnsi="宋体" w:eastAsia="宋体" w:cs="宋体"/>
          <w:szCs w:val="21"/>
        </w:rPr>
      </w:r>
      <w:r/>
    </w:p>
    <w:p>
      <w:pPr>
        <w:pStyle w:val="1053"/>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投标人的报价均超过了采购预算，采购人不能支付的；</w:t>
      </w:r>
      <w:r>
        <w:rPr>
          <w:rFonts w:hint="eastAsia" w:ascii="宋体" w:hAnsi="宋体" w:eastAsia="宋体" w:cs="宋体"/>
          <w:szCs w:val="21"/>
        </w:rPr>
      </w:r>
      <w:r/>
    </w:p>
    <w:p>
      <w:pPr>
        <w:pStyle w:val="1053"/>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因苏采云系统故障造成开标不成功的；</w:t>
      </w:r>
      <w:r>
        <w:rPr>
          <w:rFonts w:hint="eastAsia" w:ascii="宋体" w:hAnsi="宋体" w:eastAsia="宋体" w:cs="宋体"/>
          <w:szCs w:val="21"/>
        </w:rPr>
      </w:r>
      <w:r/>
    </w:p>
    <w:p>
      <w:pPr>
        <w:pStyle w:val="1053"/>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因重大变故，采购任务取消的。</w:t>
      </w:r>
      <w:r>
        <w:rPr>
          <w:rFonts w:hint="eastAsia" w:ascii="宋体" w:hAnsi="宋体" w:eastAsia="宋体" w:cs="宋体"/>
          <w:szCs w:val="21"/>
        </w:rPr>
      </w:r>
      <w:r/>
    </w:p>
    <w:p>
      <w:pPr>
        <w:pStyle w:val="1053"/>
        <w:numPr>
          <w:ilvl w:val="0"/>
          <w:numId w:val="34"/>
        </w:numPr>
        <w:ind w:firstLine="420"/>
        <w:rPr>
          <w:rFonts w:hint="eastAsia" w:ascii="宋体" w:hAnsi="宋体" w:eastAsia="宋体" w:cs="宋体"/>
          <w:szCs w:val="21"/>
        </w:rPr>
      </w:pPr>
      <w:r>
        <w:rPr>
          <w:rFonts w:hint="eastAsia" w:ascii="宋体" w:hAnsi="宋体" w:eastAsia="宋体" w:cs="宋体"/>
          <w:szCs w:val="21"/>
        </w:rPr>
        <w:t xml:space="preserve">投标人以明显低于其他通过符合性审查投标人的报价，有可能影响产品质量或者不能诚信履约的，且不能证明其报价合理性的。</w:t>
      </w:r>
      <w:r>
        <w:rPr>
          <w:rFonts w:hint="eastAsia" w:ascii="宋体" w:hAnsi="宋体" w:eastAsia="宋体" w:cs="宋体"/>
          <w:szCs w:val="21"/>
        </w:rPr>
      </w:r>
      <w:r/>
    </w:p>
    <w:p>
      <w:pPr>
        <w:pStyle w:val="1053"/>
        <w:numPr>
          <w:ilvl w:val="0"/>
          <w:numId w:val="31"/>
        </w:numPr>
        <w:ind w:firstLine="422"/>
        <w:rPr>
          <w:rFonts w:hint="eastAsia" w:ascii="宋体" w:hAnsi="宋体" w:eastAsia="宋体" w:cs="宋体"/>
          <w:szCs w:val="21"/>
          <w:lang w:eastAsia="en-US"/>
        </w:rPr>
      </w:pPr>
      <w:r>
        <w:rPr>
          <w:rFonts w:hint="eastAsia" w:ascii="宋体" w:hAnsi="宋体" w:eastAsia="宋体" w:cs="宋体"/>
          <w:b/>
          <w:szCs w:val="21"/>
          <w:lang w:eastAsia="en-US"/>
        </w:rPr>
        <w:t xml:space="preserve">澄清有关问题</w:t>
      </w:r>
      <w:r>
        <w:rPr>
          <w:rFonts w:hint="eastAsia" w:ascii="宋体" w:hAnsi="宋体" w:eastAsia="宋体" w:cs="宋体"/>
          <w:szCs w:val="21"/>
          <w:lang w:eastAsia="en-US"/>
        </w:rPr>
        <w:t xml:space="preserve">。</w:t>
      </w:r>
      <w:r>
        <w:rPr>
          <w:rFonts w:hint="eastAsia" w:ascii="宋体" w:hAnsi="宋体" w:eastAsia="宋体" w:cs="宋体"/>
          <w:szCs w:val="21"/>
          <w:lang w:eastAsia="en-US"/>
        </w:rPr>
      </w:r>
      <w:r/>
    </w:p>
    <w:p>
      <w:pPr>
        <w:pStyle w:val="1053"/>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宋体"/>
          <w:szCs w:val="21"/>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投标人的澄清、说明或者补正不得超出投标文件的范围或者改变投标文件的实质性内容。</w:t>
      </w:r>
      <w:r>
        <w:rPr>
          <w:rFonts w:hint="eastAsia" w:ascii="宋体" w:hAnsi="宋体" w:eastAsia="宋体" w:cs="宋体"/>
          <w:szCs w:val="21"/>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评委会并非对每个投标人都作出澄清要求。</w:t>
      </w:r>
      <w:r>
        <w:rPr>
          <w:rFonts w:hint="eastAsia" w:ascii="宋体" w:hAnsi="宋体" w:eastAsia="宋体" w:cs="宋体"/>
          <w:szCs w:val="21"/>
        </w:rPr>
      </w:r>
      <w:r/>
    </w:p>
    <w:p>
      <w:pPr>
        <w:pStyle w:val="1053"/>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需要供应商进行澄清、说明和补正的，评委会将通过苏采云系统向投标人发出《澄清要求函》，接到《澄清要求函》的投标人应当按照要求在苏采云系统中提交《澄清响应函》并加盖电子公章。澄清、说明和补正的内容作为投标文件的补充部分，具体操作方式见《操作手册》。</w:t>
      </w:r>
      <w:r>
        <w:rPr>
          <w:rFonts w:hint="eastAsia" w:ascii="宋体" w:hAnsi="宋体" w:eastAsia="宋体" w:cs="宋体"/>
          <w:szCs w:val="21"/>
        </w:rPr>
      </w:r>
      <w:r/>
    </w:p>
    <w:p>
      <w:pPr>
        <w:pStyle w:val="1053"/>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接到评委会澄清、说明和补正要求的，投标人如未按规定作出澄清、说明和补正，其风险由投标人自行承担。</w:t>
      </w:r>
      <w:r>
        <w:rPr>
          <w:rFonts w:hint="eastAsia" w:ascii="宋体" w:hAnsi="宋体" w:eastAsia="宋体" w:cs="宋体"/>
          <w:szCs w:val="21"/>
        </w:rPr>
      </w:r>
      <w:r/>
    </w:p>
    <w:p>
      <w:pPr>
        <w:pStyle w:val="1053"/>
        <w:numPr>
          <w:ilvl w:val="0"/>
          <w:numId w:val="35"/>
        </w:numPr>
        <w:ind w:firstLine="420"/>
        <w:rPr>
          <w:rFonts w:hint="eastAsia" w:ascii="宋体" w:hAnsi="宋体" w:eastAsia="宋体" w:cs="宋体"/>
          <w:szCs w:val="21"/>
        </w:rPr>
      </w:pPr>
      <w:r>
        <w:rPr>
          <w:rFonts w:hint="eastAsia" w:ascii="宋体" w:hAnsi="宋体" w:eastAsia="宋体" w:cs="宋体"/>
          <w:szCs w:val="21"/>
        </w:rPr>
        <w:t xml:space="preserve">投标人在开、评标全过程中应保持通信畅通，及时登录苏采云系统查阅、答复相关信息，并安排专人与代理机构及评委会联系。</w:t>
      </w:r>
      <w:r>
        <w:rPr>
          <w:rFonts w:hint="eastAsia" w:ascii="宋体" w:hAnsi="宋体" w:eastAsia="宋体" w:cs="宋体"/>
          <w:szCs w:val="21"/>
        </w:rPr>
      </w:r>
      <w:r/>
    </w:p>
    <w:p>
      <w:pPr>
        <w:pStyle w:val="1053"/>
        <w:numPr>
          <w:ilvl w:val="0"/>
          <w:numId w:val="31"/>
        </w:numPr>
        <w:ind w:firstLine="420"/>
        <w:rPr>
          <w:rFonts w:hint="eastAsia" w:ascii="宋体" w:hAnsi="宋体" w:eastAsia="宋体" w:cs="宋体"/>
          <w:szCs w:val="21"/>
        </w:rPr>
      </w:pPr>
      <w:r>
        <w:rPr>
          <w:rFonts w:hint="eastAsia" w:ascii="宋体" w:hAnsi="宋体" w:eastAsia="宋体" w:cs="宋体"/>
          <w:szCs w:val="21"/>
        </w:rPr>
        <w:t xml:space="preserve">比较与评价。评标委员会应当按照招标文件中规定的评标方法和标准，对符合性审查合格的投标文件进行商务和技术评估，综合比较与评价。</w:t>
      </w:r>
      <w:r>
        <w:rPr>
          <w:rFonts w:hint="eastAsia" w:ascii="宋体" w:hAnsi="宋体" w:eastAsia="宋体" w:cs="宋体"/>
          <w:szCs w:val="21"/>
        </w:rPr>
      </w:r>
      <w:r/>
    </w:p>
    <w:p>
      <w:pPr>
        <w:pStyle w:val="1053"/>
        <w:numPr>
          <w:ilvl w:val="0"/>
          <w:numId w:val="31"/>
        </w:numPr>
        <w:ind w:firstLine="420"/>
        <w:rPr>
          <w:rFonts w:hint="eastAsia" w:ascii="宋体" w:hAnsi="宋体" w:eastAsia="宋体" w:cs="宋体"/>
          <w:szCs w:val="21"/>
          <w:lang w:eastAsia="en-US"/>
        </w:rPr>
      </w:pPr>
      <w:r>
        <w:rPr>
          <w:rFonts w:hint="eastAsia" w:ascii="宋体" w:hAnsi="宋体" w:eastAsia="宋体" w:cs="宋体"/>
          <w:szCs w:val="21"/>
          <w:lang w:eastAsia="en-US"/>
        </w:rPr>
        <w:t xml:space="preserve">相同品牌产品的投标</w:t>
      </w:r>
      <w:r>
        <w:rPr>
          <w:rFonts w:hint="eastAsia" w:ascii="宋体" w:hAnsi="宋体" w:eastAsia="宋体" w:cs="宋体"/>
          <w:szCs w:val="21"/>
          <w:lang w:eastAsia="en-US"/>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采用最低评标价法的采购项目，提供相同品牌产品的不同投标人参加同一合同项下投标的，以其中通过资格审查、符合性审查且报价最低的参加评标；报价相同的，由采购人委托评标委员会按照招标文件规定的方式确定一个参加评标的投标人，招标文件未规定的采取随机抽取方式确定，其他投标无效。</w:t>
      </w:r>
      <w:r>
        <w:rPr>
          <w:rFonts w:hint="eastAsia" w:ascii="宋体" w:hAnsi="宋体" w:eastAsia="宋体" w:cs="宋体"/>
          <w:szCs w:val="21"/>
        </w:rPr>
      </w:r>
      <w:r/>
    </w:p>
    <w:p>
      <w:pPr>
        <w:pStyle w:val="1053"/>
        <w:ind w:left="118" w:firstLine="422"/>
        <w:jc w:val="left"/>
        <w:rPr>
          <w:rFonts w:hint="eastAsia" w:ascii="宋体" w:hAnsi="宋体" w:eastAsia="宋体" w:cs="宋体"/>
          <w:szCs w:val="21"/>
        </w:rPr>
      </w:pPr>
      <w:r>
        <w:rPr>
          <w:rFonts w:hint="eastAsia" w:ascii="宋体" w:hAnsi="宋体" w:eastAsia="宋体" w:cs="宋体"/>
          <w:b/>
          <w:bCs/>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采购人委托评标委员会按照招标文件规定的方式确定一个投标人获得中标人推荐资格，招标文件未规定的采取随机抽取方式确定，其他同品牌投标人不作为中标候选人。</w:t>
      </w:r>
      <w:r>
        <w:rPr>
          <w:rFonts w:hint="eastAsia" w:ascii="宋体" w:hAnsi="宋体" w:eastAsia="宋体" w:cs="宋体"/>
          <w:szCs w:val="21"/>
        </w:rPr>
      </w:r>
      <w:r/>
    </w:p>
    <w:p>
      <w:pPr>
        <w:pStyle w:val="1053"/>
        <w:ind w:left="118" w:firstLine="422"/>
        <w:jc w:val="left"/>
        <w:rPr>
          <w:rFonts w:hint="eastAsia" w:ascii="宋体" w:hAnsi="宋体" w:eastAsia="宋体" w:cs="宋体"/>
          <w:b/>
          <w:bCs/>
          <w:szCs w:val="21"/>
        </w:rPr>
      </w:pPr>
      <w:r>
        <w:rPr>
          <w:rFonts w:hint="eastAsia" w:ascii="宋体" w:hAnsi="宋体" w:eastAsia="宋体" w:cs="宋体"/>
          <w:b/>
          <w:bCs/>
          <w:szCs w:val="21"/>
        </w:rPr>
        <w:t xml:space="preserve">非单一产品采购项目，确定核心产品的方法在招标文件技术需求中载明。多家投标人提供的核心产品品牌相同的，按前两款规定处理。</w:t>
      </w:r>
      <w:r>
        <w:rPr>
          <w:rFonts w:hint="eastAsia" w:ascii="宋体" w:hAnsi="宋体" w:eastAsia="宋体" w:cs="宋体"/>
          <w:b/>
          <w:bCs/>
          <w:szCs w:val="21"/>
        </w:rPr>
      </w:r>
      <w:r/>
    </w:p>
    <w:p>
      <w:pPr>
        <w:pStyle w:val="1053"/>
        <w:numPr>
          <w:ilvl w:val="0"/>
          <w:numId w:val="28"/>
        </w:numPr>
        <w:ind w:firstLine="422"/>
        <w:rPr>
          <w:rFonts w:hint="eastAsia" w:ascii="宋体" w:hAnsi="宋体" w:eastAsia="宋体" w:cs="宋体"/>
          <w:b/>
          <w:bCs/>
          <w:szCs w:val="21"/>
        </w:rPr>
      </w:pPr>
      <w:r>
        <w:rPr>
          <w:rFonts w:hint="eastAsia" w:ascii="宋体" w:hAnsi="宋体" w:eastAsia="宋体" w:cs="宋体"/>
          <w:b/>
          <w:bCs/>
          <w:szCs w:val="21"/>
        </w:rPr>
        <w:t xml:space="preserve">评标方法和标准</w:t>
      </w:r>
      <w:r>
        <w:rPr>
          <w:rFonts w:hint="eastAsia" w:ascii="宋体" w:hAnsi="宋体" w:eastAsia="宋体" w:cs="宋体"/>
          <w:b/>
          <w:bCs/>
          <w:szCs w:val="21"/>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22.3.1 采用综合评分法的，评标结果按评审后最终得分由高到低进行排名，得分相同的，按投标报价由低到高顺序排列。得分相同且投标报价相同的，按技术部分方案优劣顺序排列。</w:t>
      </w:r>
      <w:r>
        <w:rPr>
          <w:rFonts w:hint="eastAsia" w:ascii="宋体" w:hAnsi="宋体" w:eastAsia="宋体" w:cs="宋体"/>
          <w:szCs w:val="21"/>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22.3.2评审过程中出现下列情形之一的，评审委员会应当启动异常低价投标(响应)审查程序:</w:t>
      </w:r>
      <w:r>
        <w:rPr>
          <w:rFonts w:hint="eastAsia" w:ascii="宋体" w:hAnsi="宋体" w:eastAsia="宋体" w:cs="宋体"/>
          <w:szCs w:val="21"/>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szCs w:val="21"/>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szCs w:val="21"/>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（3）投标（响应）报价低于采购项目最高限价45%的，即投标（响应）报价&lt;采购项目最高限价×45%； </w:t>
      </w:r>
      <w:r>
        <w:rPr>
          <w:rFonts w:hint="eastAsia" w:ascii="宋体" w:hAnsi="宋体" w:eastAsia="宋体" w:cs="宋体"/>
          <w:szCs w:val="21"/>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（4）评审委员会基于专业判断，认为供应商报价过低，有可能影响产品质量或者不能诚信履约的其他情形。 </w:t>
      </w:r>
      <w:r>
        <w:rPr>
          <w:rFonts w:hint="eastAsia" w:ascii="宋体" w:hAnsi="宋体" w:eastAsia="宋体" w:cs="宋体"/>
          <w:szCs w:val="21"/>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22.3.3启动异常低价投标(响应)审查后，评审委员会应当要求相关供应商在评标现场合理的时间内，提供项目具体成本测算等与报价合理性相关的书面说明及相关证明材料，对投标(响应)价格作出解释，由评审委员会结合同类产品在主要电商平台的价格、该行业当地薪资水平等情况，依据专业经验对供应商报价合理性进行判断。投标(响应)供应商不提供书面说明、证明材料,或者提供的书面说明、证明材料不能证明其报价合理性的。评审委员会应当将其作为无效投标(响应)处理。</w:t>
      </w:r>
      <w:r>
        <w:rPr>
          <w:rFonts w:hint="eastAsia" w:ascii="宋体" w:hAnsi="宋体" w:eastAsia="宋体" w:cs="宋体"/>
          <w:szCs w:val="21"/>
        </w:rPr>
      </w:r>
      <w:r/>
    </w:p>
    <w:p>
      <w:pPr>
        <w:pStyle w:val="1053"/>
        <w:numPr>
          <w:ilvl w:val="0"/>
          <w:numId w:val="26"/>
        </w:numPr>
        <w:ind w:firstLine="422"/>
        <w:rPr>
          <w:rFonts w:hint="eastAsia" w:ascii="宋体" w:hAnsi="宋体" w:eastAsia="宋体" w:cs="宋体"/>
          <w:b/>
          <w:bCs/>
          <w:szCs w:val="21"/>
        </w:rPr>
      </w:pPr>
      <w:r/>
      <w:bookmarkStart w:id="77" w:name="_Toc209510691"/>
      <w:r>
        <w:rPr>
          <w:rFonts w:hint="eastAsia" w:ascii="宋体" w:hAnsi="宋体" w:eastAsia="宋体" w:cs="宋体"/>
          <w:b/>
          <w:bCs/>
          <w:szCs w:val="21"/>
        </w:rPr>
        <w:t xml:space="preserve">确定中标人</w:t>
      </w:r>
      <w:bookmarkEnd w:id="77"/>
      <w:r>
        <w:rPr>
          <w:rFonts w:hint="eastAsia" w:ascii="宋体" w:hAnsi="宋体" w:eastAsia="宋体" w:cs="宋体"/>
          <w:b/>
          <w:bCs/>
          <w:szCs w:val="21"/>
        </w:rPr>
      </w:r>
      <w:r/>
    </w:p>
    <w:p>
      <w:pPr>
        <w:pStyle w:val="1053"/>
        <w:numPr>
          <w:ilvl w:val="0"/>
          <w:numId w:val="36"/>
        </w:numPr>
        <w:ind w:firstLine="420"/>
        <w:rPr>
          <w:rFonts w:hint="eastAsia" w:ascii="宋体" w:hAnsi="宋体" w:eastAsia="宋体" w:cs="宋体"/>
          <w:szCs w:val="21"/>
        </w:rPr>
      </w:pPr>
      <w:r>
        <w:rPr>
          <w:rFonts w:hint="eastAsia" w:ascii="宋体" w:hAnsi="宋体" w:eastAsia="宋体" w:cs="宋体"/>
          <w:szCs w:val="21"/>
        </w:rPr>
        <w:t xml:space="preserve">采用综合评分法的，评委会将对确定为实质性响应招标文件要求的投标文件进行评价和比较，评标结果按评审后得分由高到低顺序排列。提供相同品牌产品且通过资格性审查、符合性审查的不同供应商参加本项目投标的，按一家供应商计算，评审后得分最高的同品牌供应商获得中标人推荐资格；评审得分相同的，由采购人或者采购人委托评标委员会按照随机抽取的方式确定中标人推荐资格，其他同品牌供应商不作为中标候选人。</w:t>
      </w:r>
      <w:r>
        <w:rPr>
          <w:rFonts w:hint="eastAsia" w:ascii="宋体" w:hAnsi="宋体" w:eastAsia="宋体" w:cs="宋体"/>
          <w:szCs w:val="21"/>
        </w:rPr>
      </w:r>
      <w:r/>
    </w:p>
    <w:p>
      <w:pPr>
        <w:pStyle w:val="1053"/>
        <w:numPr>
          <w:ilvl w:val="0"/>
          <w:numId w:val="36"/>
        </w:numPr>
        <w:ind w:firstLine="420"/>
        <w:rPr>
          <w:rFonts w:hint="eastAsia" w:ascii="宋体" w:hAnsi="宋体" w:eastAsia="宋体" w:cs="宋体"/>
          <w:szCs w:val="21"/>
        </w:rPr>
      </w:pPr>
      <w:r>
        <w:rPr>
          <w:rFonts w:hint="eastAsia" w:ascii="宋体" w:hAnsi="宋体" w:eastAsia="宋体" w:cs="宋体"/>
          <w:szCs w:val="21"/>
        </w:rPr>
        <w:t xml:space="preserve">按以下第（2）种方式确定中标人：</w:t>
      </w:r>
      <w:r>
        <w:rPr>
          <w:rFonts w:hint="eastAsia" w:ascii="宋体" w:hAnsi="宋体" w:eastAsia="宋体" w:cs="宋体"/>
          <w:szCs w:val="21"/>
        </w:rPr>
      </w:r>
      <w:r/>
    </w:p>
    <w:p>
      <w:pPr>
        <w:pStyle w:val="1053"/>
        <w:numPr>
          <w:ilvl w:val="0"/>
          <w:numId w:val="37"/>
        </w:numPr>
        <w:ind w:firstLine="420"/>
        <w:rPr>
          <w:rFonts w:hint="eastAsia" w:ascii="宋体" w:hAnsi="宋体" w:eastAsia="宋体" w:cs="宋体"/>
          <w:szCs w:val="21"/>
        </w:rPr>
      </w:pPr>
      <w:r>
        <w:rPr>
          <w:rFonts w:hint="eastAsia" w:ascii="宋体" w:hAnsi="宋体" w:eastAsia="宋体" w:cs="宋体"/>
          <w:szCs w:val="21"/>
        </w:rPr>
        <w:t xml:space="preserve">评委会直接确定排名第一的中标候选人为中标人；</w:t>
      </w:r>
      <w:r>
        <w:rPr>
          <w:rFonts w:hint="eastAsia" w:ascii="宋体" w:hAnsi="宋体" w:eastAsia="宋体" w:cs="宋体"/>
          <w:szCs w:val="21"/>
        </w:rPr>
      </w:r>
      <w:r/>
    </w:p>
    <w:p>
      <w:pPr>
        <w:pStyle w:val="1053"/>
        <w:numPr>
          <w:ilvl w:val="0"/>
          <w:numId w:val="37"/>
        </w:numPr>
        <w:ind w:firstLine="420"/>
        <w:rPr>
          <w:rFonts w:hint="eastAsia" w:ascii="宋体" w:hAnsi="宋体" w:eastAsia="宋体" w:cs="宋体"/>
          <w:szCs w:val="21"/>
        </w:rPr>
      </w:pPr>
      <w:r>
        <w:rPr>
          <w:rFonts w:hint="eastAsia" w:ascii="宋体" w:hAnsi="宋体" w:eastAsia="宋体" w:cs="宋体"/>
          <w:szCs w:val="21"/>
        </w:rPr>
        <w:t xml:space="preserve">采购人在评委会推荐的中标候选人中按顺序确定中标人。</w:t>
      </w:r>
      <w:r>
        <w:rPr>
          <w:rFonts w:hint="eastAsia" w:ascii="宋体" w:hAnsi="宋体" w:eastAsia="宋体" w:cs="宋体"/>
          <w:szCs w:val="21"/>
        </w:rPr>
      </w:r>
      <w:r/>
    </w:p>
    <w:p>
      <w:pPr>
        <w:pStyle w:val="1053"/>
        <w:ind w:left="118" w:firstLine="420"/>
        <w:jc w:val="left"/>
        <w:rPr>
          <w:rFonts w:hint="eastAsia" w:ascii="宋体" w:hAnsi="宋体" w:eastAsia="宋体" w:cs="宋体"/>
          <w:szCs w:val="21"/>
        </w:rPr>
      </w:pPr>
      <w:r>
        <w:rPr>
          <w:rFonts w:hint="eastAsia" w:ascii="宋体" w:hAnsi="宋体" w:eastAsia="宋体" w:cs="宋体"/>
          <w:szCs w:val="21"/>
        </w:rPr>
        <w:t xml:space="preserve">按第二种方式确定中标人的，招标代理机构自评审结束之日起两个工作日内将评审报告送达采购人，采购人自收到评审报告之日起五个工作日内，在评审报告推荐的中标候选人中按顺序确定中标人。</w:t>
      </w:r>
      <w:r>
        <w:rPr>
          <w:rFonts w:hint="eastAsia" w:ascii="宋体" w:hAnsi="宋体" w:eastAsia="宋体" w:cs="宋体"/>
          <w:szCs w:val="21"/>
        </w:rPr>
      </w:r>
      <w:r/>
    </w:p>
    <w:p>
      <w:pPr>
        <w:pStyle w:val="1053"/>
        <w:numPr>
          <w:ilvl w:val="0"/>
          <w:numId w:val="36"/>
        </w:numPr>
        <w:ind w:firstLine="420"/>
        <w:rPr>
          <w:rFonts w:hint="eastAsia" w:ascii="宋体" w:hAnsi="宋体" w:eastAsia="宋体" w:cs="宋体"/>
          <w:szCs w:val="21"/>
        </w:rPr>
      </w:pPr>
      <w:r>
        <w:rPr>
          <w:rFonts w:hint="eastAsia" w:ascii="宋体" w:hAnsi="宋体" w:eastAsia="宋体" w:cs="宋体"/>
          <w:szCs w:val="21"/>
        </w:rPr>
        <w:t xml:space="preserve">中标人确定后，将在“江苏政府采购网”发布中标公告，公告期限为1个工作日。</w:t>
      </w:r>
      <w:r>
        <w:rPr>
          <w:rFonts w:hint="eastAsia" w:ascii="宋体" w:hAnsi="宋体" w:eastAsia="宋体" w:cs="宋体"/>
          <w:szCs w:val="21"/>
        </w:rPr>
      </w:r>
      <w:r/>
    </w:p>
    <w:p>
      <w:pPr>
        <w:pStyle w:val="1053"/>
        <w:numPr>
          <w:ilvl w:val="0"/>
          <w:numId w:val="26"/>
        </w:numPr>
        <w:ind w:firstLine="422"/>
        <w:rPr>
          <w:rFonts w:hint="eastAsia" w:ascii="宋体" w:hAnsi="宋体" w:eastAsia="宋体" w:cs="宋体"/>
          <w:b/>
          <w:bCs/>
          <w:szCs w:val="21"/>
        </w:rPr>
      </w:pPr>
      <w:r/>
      <w:bookmarkStart w:id="78" w:name="_Toc209510692"/>
      <w:r>
        <w:rPr>
          <w:rFonts w:hint="eastAsia" w:ascii="宋体" w:hAnsi="宋体" w:eastAsia="宋体" w:cs="宋体"/>
          <w:b/>
          <w:bCs/>
          <w:szCs w:val="21"/>
        </w:rPr>
        <w:t xml:space="preserve">中标通知书</w:t>
      </w:r>
      <w:bookmarkEnd w:id="78"/>
      <w:r>
        <w:rPr>
          <w:rFonts w:hint="eastAsia" w:ascii="宋体" w:hAnsi="宋体" w:eastAsia="宋体" w:cs="宋体"/>
          <w:b/>
          <w:bCs/>
          <w:szCs w:val="21"/>
        </w:rPr>
      </w:r>
      <w:r/>
    </w:p>
    <w:p>
      <w:pPr>
        <w:pStyle w:val="1053"/>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中标结果确定后，将向中标人发出《中标通知书》。中标人可在中标结果公告届满之日起三十日内,登录苏采云系统下载。因系统存储空间有限，中标结果公告届满之日起三十日后，苏采云系统不再保证提供下载《中标通知书》服务，因未及时下载而造成的不利后果由中标人自行承担。</w:t>
      </w:r>
      <w:r>
        <w:rPr>
          <w:rFonts w:hint="eastAsia" w:ascii="宋体" w:hAnsi="宋体" w:eastAsia="宋体" w:cs="宋体"/>
          <w:szCs w:val="21"/>
        </w:rPr>
      </w:r>
      <w:r/>
    </w:p>
    <w:p>
      <w:pPr>
        <w:pStyle w:val="1053"/>
        <w:numPr>
          <w:ilvl w:val="0"/>
          <w:numId w:val="38"/>
        </w:numPr>
        <w:ind w:firstLine="420"/>
        <w:rPr>
          <w:rFonts w:hint="eastAsia" w:ascii="宋体" w:hAnsi="宋体" w:eastAsia="宋体" w:cs="宋体"/>
          <w:szCs w:val="21"/>
        </w:rPr>
      </w:pPr>
      <w:r>
        <w:rPr>
          <w:rFonts w:hint="eastAsia" w:ascii="宋体" w:hAnsi="宋体" w:eastAsia="宋体" w:cs="宋体"/>
          <w:szCs w:val="21"/>
        </w:rPr>
        <w:t xml:space="preserve">《中标通知书》是合同的一个组成部分，对采购人和中标人均具有法律效力。《中标通知书》发出后，采购人改变中标结果或者中标人放弃中标项目的，应当依法承担法律责任。</w:t>
      </w:r>
      <w:r>
        <w:rPr>
          <w:rFonts w:hint="eastAsia" w:ascii="宋体" w:hAnsi="宋体" w:eastAsia="宋体" w:cs="宋体"/>
          <w:szCs w:val="21"/>
        </w:rPr>
      </w:r>
      <w:r/>
    </w:p>
    <w:p>
      <w:pPr>
        <w:pStyle w:val="1053"/>
        <w:numPr>
          <w:ilvl w:val="0"/>
          <w:numId w:val="26"/>
        </w:numPr>
        <w:ind w:firstLine="422"/>
        <w:rPr>
          <w:rFonts w:hint="eastAsia" w:ascii="宋体" w:hAnsi="宋体" w:eastAsia="宋体" w:cs="宋体"/>
          <w:b/>
          <w:bCs/>
          <w:szCs w:val="21"/>
        </w:rPr>
      </w:pPr>
      <w:r/>
      <w:bookmarkStart w:id="79" w:name="_Toc209510693"/>
      <w:r>
        <w:rPr>
          <w:rFonts w:hint="eastAsia" w:ascii="宋体" w:hAnsi="宋体" w:eastAsia="宋体" w:cs="宋体"/>
          <w:b/>
          <w:bCs/>
          <w:szCs w:val="21"/>
        </w:rPr>
        <w:t xml:space="preserve">评标过程的保密性</w:t>
      </w:r>
      <w:bookmarkEnd w:id="79"/>
      <w:r>
        <w:rPr>
          <w:rFonts w:hint="eastAsia" w:ascii="宋体" w:hAnsi="宋体" w:eastAsia="宋体" w:cs="宋体"/>
          <w:b/>
          <w:bCs/>
          <w:szCs w:val="21"/>
        </w:rPr>
      </w:r>
      <w:r/>
    </w:p>
    <w:p>
      <w:pPr>
        <w:pStyle w:val="1053"/>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凡是与审查、澄清、评价和比较投标有关的资料以及投标建议等，采购人、评委均不得向投标人或与评标无关的其他人员透露。</w:t>
      </w:r>
      <w:r>
        <w:rPr>
          <w:rFonts w:hint="eastAsia" w:ascii="宋体" w:hAnsi="宋体" w:eastAsia="宋体" w:cs="宋体"/>
          <w:szCs w:val="21"/>
        </w:rPr>
      </w:r>
      <w:r/>
    </w:p>
    <w:p>
      <w:pPr>
        <w:pStyle w:val="1053"/>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投标人不得以任何方式影响评标，否则其投标文件将被作为无效投标文件。</w:t>
      </w:r>
      <w:r>
        <w:rPr>
          <w:rFonts w:hint="eastAsia" w:ascii="宋体" w:hAnsi="宋体" w:eastAsia="宋体" w:cs="宋体"/>
          <w:szCs w:val="21"/>
        </w:rPr>
      </w:r>
      <w:r/>
    </w:p>
    <w:p>
      <w:pPr>
        <w:pStyle w:val="1053"/>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采购人和评委会不向未中标的投标人解释未中标原因，也不公布评标过程中的相关细节。</w:t>
      </w:r>
      <w:r>
        <w:rPr>
          <w:rFonts w:hint="eastAsia" w:ascii="宋体" w:hAnsi="宋体" w:eastAsia="宋体" w:cs="宋体"/>
          <w:szCs w:val="21"/>
        </w:rPr>
      </w:r>
      <w:r/>
    </w:p>
    <w:p>
      <w:pPr>
        <w:pStyle w:val="1053"/>
        <w:numPr>
          <w:ilvl w:val="0"/>
          <w:numId w:val="39"/>
        </w:numPr>
        <w:ind w:firstLine="420"/>
        <w:rPr>
          <w:rFonts w:hint="eastAsia" w:ascii="宋体" w:hAnsi="宋体" w:eastAsia="宋体" w:cs="宋体"/>
          <w:szCs w:val="21"/>
        </w:rPr>
      </w:pPr>
      <w:r>
        <w:rPr>
          <w:rFonts w:hint="eastAsia" w:ascii="宋体" w:hAnsi="宋体" w:eastAsia="宋体" w:cs="宋体"/>
          <w:szCs w:val="21"/>
        </w:rPr>
        <w:t xml:space="preserve">采用综合评分法的项目，未中标的投标人可于中标结果公告期限届满之日起通过苏采云系统查看本单位的评审得分及排名情况。</w:t>
      </w:r>
      <w:r>
        <w:rPr>
          <w:rFonts w:hint="eastAsia" w:ascii="宋体" w:hAnsi="宋体" w:eastAsia="宋体" w:cs="宋体"/>
          <w:szCs w:val="21"/>
        </w:rPr>
      </w:r>
      <w:r/>
    </w:p>
    <w:p>
      <w:pPr>
        <w:pStyle w:val="1053"/>
        <w:numPr>
          <w:ilvl w:val="0"/>
          <w:numId w:val="5"/>
        </w:numPr>
        <w:ind w:firstLine="422"/>
        <w:rPr>
          <w:rFonts w:hint="eastAsia" w:ascii="宋体" w:hAnsi="宋体" w:eastAsia="宋体" w:cs="宋体"/>
          <w:b/>
          <w:bCs/>
          <w:szCs w:val="21"/>
        </w:rPr>
        <w:outlineLvl w:val="1"/>
      </w:pPr>
      <w:r/>
      <w:bookmarkStart w:id="80" w:name="_Toc15223"/>
      <w:r/>
      <w:bookmarkStart w:id="81" w:name="_Toc7293"/>
      <w:r/>
      <w:bookmarkStart w:id="82" w:name="_Toc464"/>
      <w:r/>
      <w:bookmarkStart w:id="83" w:name="_Toc22453"/>
      <w:r/>
      <w:bookmarkStart w:id="84" w:name="_Toc209510620"/>
      <w:r/>
      <w:bookmarkStart w:id="85" w:name="_Toc7387"/>
      <w:r/>
      <w:bookmarkStart w:id="86" w:name="_Toc17865"/>
      <w:r/>
      <w:bookmarkStart w:id="87" w:name="_Toc209510694"/>
      <w:r>
        <w:rPr>
          <w:rFonts w:hint="eastAsia" w:ascii="宋体" w:hAnsi="宋体" w:eastAsia="宋体" w:cs="宋体"/>
          <w:b/>
          <w:bCs/>
          <w:szCs w:val="21"/>
        </w:rPr>
        <w:t xml:space="preserve">签订合同</w:t>
      </w:r>
      <w:bookmarkEnd w:id="80"/>
      <w:r/>
      <w:bookmarkEnd w:id="81"/>
      <w:r/>
      <w:bookmarkEnd w:id="82"/>
      <w:r/>
      <w:bookmarkEnd w:id="83"/>
      <w:r/>
      <w:bookmarkEnd w:id="84"/>
      <w:r/>
      <w:bookmarkEnd w:id="85"/>
      <w:r/>
      <w:bookmarkEnd w:id="86"/>
      <w:r/>
      <w:bookmarkEnd w:id="87"/>
      <w:r>
        <w:rPr>
          <w:rFonts w:hint="eastAsia" w:ascii="宋体" w:hAnsi="宋体" w:eastAsia="宋体" w:cs="宋体"/>
          <w:b/>
          <w:bCs/>
          <w:szCs w:val="21"/>
        </w:rPr>
      </w:r>
      <w:r/>
    </w:p>
    <w:p>
      <w:pPr>
        <w:pStyle w:val="1053"/>
        <w:ind w:firstLine="422"/>
        <w:rPr>
          <w:rFonts w:hint="eastAsia" w:ascii="宋体" w:hAnsi="宋体" w:eastAsia="宋体" w:cs="宋体"/>
          <w:b/>
          <w:bCs/>
          <w:szCs w:val="21"/>
        </w:rPr>
      </w:pPr>
      <w:r/>
      <w:bookmarkStart w:id="88" w:name="_Toc209510695"/>
      <w:r>
        <w:rPr>
          <w:rFonts w:hint="eastAsia" w:ascii="宋体" w:hAnsi="宋体" w:eastAsia="宋体" w:cs="宋体"/>
          <w:b/>
          <w:bCs/>
          <w:szCs w:val="21"/>
        </w:rPr>
        <w:t xml:space="preserve">26、签订合同</w:t>
      </w:r>
      <w:bookmarkEnd w:id="88"/>
      <w:r>
        <w:rPr>
          <w:rFonts w:hint="eastAsia" w:ascii="宋体" w:hAnsi="宋体" w:eastAsia="宋体" w:cs="宋体"/>
          <w:b/>
          <w:bCs/>
          <w:szCs w:val="21"/>
        </w:rPr>
      </w:r>
      <w:r/>
    </w:p>
    <w:p>
      <w:pPr>
        <w:pStyle w:val="1053"/>
        <w:numPr>
          <w:ilvl w:val="0"/>
          <w:numId w:val="40"/>
        </w:numPr>
        <w:ind w:firstLine="420"/>
        <w:rPr>
          <w:rFonts w:hint="eastAsia" w:ascii="宋体" w:hAnsi="宋体" w:eastAsia="宋体" w:cs="宋体"/>
          <w:szCs w:val="21"/>
        </w:rPr>
      </w:pPr>
      <w:r>
        <w:rPr>
          <w:rFonts w:hint="eastAsia" w:ascii="宋体" w:hAnsi="宋体" w:eastAsia="宋体" w:cs="宋体"/>
          <w:szCs w:val="21"/>
        </w:rPr>
        <w:t xml:space="preserve">中标人应当在《中标通知书》发出之日起三十日内，按照招标文件确定的事项与采购人签订政府采购合同。</w:t>
      </w:r>
      <w:r>
        <w:rPr>
          <w:rFonts w:hint="eastAsia" w:ascii="宋体" w:hAnsi="宋体" w:eastAsia="宋体" w:cs="宋体"/>
          <w:szCs w:val="21"/>
        </w:rPr>
      </w:r>
      <w:r/>
    </w:p>
    <w:p>
      <w:pPr>
        <w:pStyle w:val="1053"/>
        <w:numPr>
          <w:ilvl w:val="0"/>
          <w:numId w:val="40"/>
        </w:numPr>
        <w:ind w:firstLine="420"/>
        <w:rPr>
          <w:rFonts w:hint="eastAsia" w:ascii="宋体" w:hAnsi="宋体" w:eastAsia="宋体" w:cs="宋体"/>
          <w:b/>
          <w:szCs w:val="21"/>
        </w:rPr>
      </w:pPr>
      <w:r>
        <w:rPr>
          <w:rFonts w:hint="eastAsia" w:ascii="宋体" w:hAnsi="宋体" w:eastAsia="宋体" w:cs="宋体"/>
          <w:szCs w:val="21"/>
        </w:rPr>
        <w:t xml:space="preserve">招标文件、中标人的投标文件及招标过程中有关澄清、承诺文件均作为合同附件</w:t>
      </w:r>
      <w:r>
        <w:rPr>
          <w:rFonts w:hint="eastAsia" w:ascii="宋体" w:hAnsi="宋体" w:eastAsia="宋体" w:cs="宋体"/>
          <w:b/>
          <w:szCs w:val="21"/>
        </w:rPr>
        <w:t xml:space="preserve">。</w:t>
      </w:r>
      <w:r>
        <w:rPr>
          <w:rFonts w:hint="eastAsia" w:ascii="宋体" w:hAnsi="宋体" w:eastAsia="宋体" w:cs="宋体"/>
          <w:b/>
          <w:szCs w:val="21"/>
        </w:rPr>
      </w:r>
      <w:r/>
    </w:p>
    <w:p>
      <w:pPr>
        <w:pStyle w:val="1053"/>
        <w:numPr>
          <w:ilvl w:val="0"/>
          <w:numId w:val="40"/>
        </w:numPr>
        <w:ind w:firstLine="420"/>
        <w:rPr>
          <w:rFonts w:hint="eastAsia" w:ascii="宋体" w:hAnsi="宋体" w:eastAsia="宋体" w:cs="宋体"/>
          <w:szCs w:val="21"/>
        </w:rPr>
      </w:pPr>
      <w:r>
        <w:rPr>
          <w:rFonts w:hint="eastAsia" w:ascii="宋体" w:hAnsi="宋体" w:eastAsia="宋体" w:cs="宋体"/>
          <w:szCs w:val="21"/>
        </w:rPr>
        <w:t xml:space="preserve">签订合同后，中标人不得将合同标的进行转包。未经采购人同意，中标人也不得采用分包的形式履行合同，否则采购人有权终止合同。转包或分包造成采购人损失的，中标人应承担相应赔偿责任。</w:t>
      </w:r>
      <w:r>
        <w:rPr>
          <w:rFonts w:hint="eastAsia" w:ascii="宋体" w:hAnsi="宋体" w:eastAsia="宋体" w:cs="宋体"/>
          <w:szCs w:val="21"/>
        </w:rPr>
      </w:r>
      <w:r/>
    </w:p>
    <w:p>
      <w:pPr>
        <w:pStyle w:val="1053"/>
        <w:numPr>
          <w:ilvl w:val="0"/>
          <w:numId w:val="40"/>
        </w:numPr>
        <w:ind w:firstLine="420"/>
        <w:rPr>
          <w:rFonts w:hint="eastAsia" w:ascii="宋体" w:hAnsi="宋体" w:eastAsia="宋体" w:cs="宋体"/>
          <w:szCs w:val="21"/>
        </w:rPr>
      </w:pPr>
      <w:r>
        <w:rPr>
          <w:rFonts w:hint="eastAsia" w:ascii="宋体" w:hAnsi="宋体" w:eastAsia="宋体" w:cs="宋体"/>
          <w:szCs w:val="21"/>
        </w:rPr>
        <w:t xml:space="preserve">中标人因自身原因拒绝与采购人签订合同的，不得参加采购人重新组织的采购活动，且可能被拒绝参加该采购人一年内的其他政府采购活动。</w:t>
      </w:r>
      <w:r>
        <w:rPr>
          <w:rFonts w:hint="eastAsia" w:ascii="宋体" w:hAnsi="宋体" w:eastAsia="宋体" w:cs="宋体"/>
          <w:szCs w:val="21"/>
        </w:rPr>
      </w:r>
      <w:r/>
    </w:p>
    <w:p>
      <w:pPr>
        <w:pStyle w:val="1053"/>
        <w:numPr>
          <w:ilvl w:val="0"/>
          <w:numId w:val="40"/>
        </w:numPr>
        <w:ind w:firstLine="420"/>
        <w:rPr>
          <w:rFonts w:hint="eastAsia" w:ascii="宋体" w:hAnsi="宋体" w:eastAsia="宋体" w:cs="宋体"/>
          <w:szCs w:val="21"/>
        </w:rPr>
      </w:pPr>
      <w:r>
        <w:rPr>
          <w:rFonts w:hint="eastAsia" w:ascii="宋体" w:hAnsi="宋体" w:eastAsia="宋体" w:cs="宋体"/>
          <w:szCs w:val="21"/>
        </w:rPr>
        <w:t xml:space="preserve">中标人因不可抗力或者自身原因不能履行合同的，采购人可以重新招标，也可以视情与排位在中标供应商之后第一位的中标候选人签订采购合同。</w:t>
      </w:r>
      <w:r>
        <w:rPr>
          <w:rFonts w:hint="eastAsia" w:ascii="宋体" w:hAnsi="宋体" w:eastAsia="宋体" w:cs="宋体"/>
          <w:szCs w:val="21"/>
        </w:rPr>
      </w:r>
      <w:r/>
    </w:p>
    <w:p>
      <w:pPr>
        <w:pStyle w:val="1053"/>
        <w:numPr>
          <w:ilvl w:val="0"/>
          <w:numId w:val="40"/>
        </w:numPr>
        <w:ind w:firstLine="420"/>
        <w:rPr>
          <w:rFonts w:hint="eastAsia" w:ascii="宋体" w:hAnsi="宋体" w:eastAsia="宋体" w:cs="宋体"/>
          <w:szCs w:val="21"/>
        </w:rPr>
      </w:pPr>
      <w:r>
        <w:rPr>
          <w:rFonts w:hint="eastAsia" w:ascii="宋体" w:hAnsi="宋体" w:eastAsia="宋体" w:cs="宋体"/>
          <w:szCs w:val="21"/>
        </w:rPr>
        <w:t xml:space="preserve">采购人与中标人应当根据合同的约定依法履行合同义务。</w:t>
      </w:r>
      <w:r>
        <w:rPr>
          <w:rFonts w:hint="eastAsia" w:ascii="宋体" w:hAnsi="宋体" w:eastAsia="宋体" w:cs="宋体"/>
          <w:szCs w:val="21"/>
        </w:rPr>
      </w:r>
      <w:r/>
    </w:p>
    <w:p>
      <w:pPr>
        <w:pStyle w:val="1053"/>
        <w:numPr>
          <w:ilvl w:val="0"/>
          <w:numId w:val="5"/>
        </w:numPr>
        <w:ind w:firstLine="422"/>
        <w:rPr>
          <w:rFonts w:hint="eastAsia" w:ascii="宋体" w:hAnsi="宋体" w:eastAsia="宋体" w:cs="宋体"/>
          <w:b/>
          <w:bCs/>
          <w:szCs w:val="21"/>
        </w:rPr>
        <w:outlineLvl w:val="1"/>
      </w:pPr>
      <w:r/>
      <w:bookmarkStart w:id="89" w:name="_Toc209510696"/>
      <w:r/>
      <w:bookmarkStart w:id="90" w:name="_Toc10685"/>
      <w:r/>
      <w:bookmarkStart w:id="91" w:name="_Toc32328"/>
      <w:r/>
      <w:bookmarkStart w:id="92" w:name="_Toc22926"/>
      <w:r/>
      <w:bookmarkStart w:id="93" w:name="_Toc24959"/>
      <w:r/>
      <w:bookmarkStart w:id="94" w:name="_Toc28967"/>
      <w:r/>
      <w:bookmarkStart w:id="95" w:name="_Toc8885"/>
      <w:r/>
      <w:bookmarkStart w:id="96" w:name="_Toc209510621"/>
      <w:r>
        <w:rPr>
          <w:rFonts w:hint="eastAsia" w:ascii="宋体" w:hAnsi="宋体" w:eastAsia="宋体" w:cs="宋体"/>
          <w:b/>
          <w:bCs/>
          <w:szCs w:val="21"/>
        </w:rPr>
        <w:t xml:space="preserve">质疑和投诉</w:t>
      </w:r>
      <w:bookmarkEnd w:id="89"/>
      <w:r/>
      <w:bookmarkEnd w:id="90"/>
      <w:r/>
      <w:bookmarkEnd w:id="91"/>
      <w:r/>
      <w:bookmarkEnd w:id="92"/>
      <w:r/>
      <w:bookmarkEnd w:id="93"/>
      <w:r/>
      <w:bookmarkEnd w:id="94"/>
      <w:r/>
      <w:bookmarkEnd w:id="95"/>
      <w:r/>
      <w:bookmarkEnd w:id="96"/>
      <w:r>
        <w:rPr>
          <w:rFonts w:hint="eastAsia" w:ascii="宋体" w:hAnsi="宋体" w:eastAsia="宋体" w:cs="宋体"/>
          <w:b/>
          <w:bCs/>
          <w:szCs w:val="21"/>
        </w:rPr>
      </w:r>
      <w:r/>
    </w:p>
    <w:p>
      <w:pPr>
        <w:pStyle w:val="1053"/>
        <w:ind w:firstLine="422"/>
        <w:rPr>
          <w:rFonts w:hint="eastAsia" w:ascii="宋体" w:hAnsi="宋体" w:eastAsia="宋体" w:cs="宋体"/>
          <w:b/>
          <w:bCs/>
          <w:szCs w:val="21"/>
        </w:rPr>
      </w:pPr>
      <w:r/>
      <w:bookmarkStart w:id="97" w:name="_Toc209510697"/>
      <w:r/>
      <w:bookmarkStart w:id="98" w:name="_Toc29346"/>
      <w:r/>
      <w:bookmarkStart w:id="99" w:name="_Toc209510622"/>
      <w:r/>
      <w:bookmarkStart w:id="100" w:name="_Toc7947"/>
      <w:r>
        <w:rPr>
          <w:rFonts w:hint="eastAsia" w:ascii="宋体" w:hAnsi="宋体" w:eastAsia="宋体" w:cs="宋体"/>
          <w:b/>
          <w:bCs/>
          <w:szCs w:val="21"/>
        </w:rPr>
        <w:t xml:space="preserve">27.询问</w:t>
      </w:r>
      <w:bookmarkEnd w:id="97"/>
      <w:r/>
      <w:bookmarkEnd w:id="98"/>
      <w:r/>
      <w:bookmarkEnd w:id="99"/>
      <w:r/>
      <w:bookmarkEnd w:id="100"/>
      <w:r>
        <w:rPr>
          <w:rFonts w:hint="eastAsia" w:ascii="宋体" w:hAnsi="宋体" w:eastAsia="宋体" w:cs="宋体"/>
          <w:b/>
          <w:bCs/>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27.1 供应商对招标活动事项有疑问的，可以向代理机构或采购人提出询问，代理机构或采购人将在两个工作日内作出答复，但答复的内容不涉及商业秘密。</w:t>
      </w:r>
      <w:r>
        <w:rPr>
          <w:rFonts w:hint="eastAsia" w:ascii="宋体" w:hAnsi="宋体" w:eastAsia="宋体" w:cs="宋体"/>
          <w:szCs w:val="21"/>
        </w:rPr>
      </w:r>
      <w:r/>
    </w:p>
    <w:p>
      <w:pPr>
        <w:pStyle w:val="1053"/>
        <w:ind w:firstLine="422"/>
        <w:rPr>
          <w:rFonts w:hint="eastAsia" w:ascii="宋体" w:hAnsi="宋体" w:eastAsia="宋体" w:cs="宋体"/>
          <w:b/>
          <w:bCs/>
          <w:szCs w:val="21"/>
        </w:rPr>
      </w:pPr>
      <w:r>
        <w:rPr>
          <w:rFonts w:hint="eastAsia" w:ascii="宋体" w:hAnsi="宋体" w:eastAsia="宋体" w:cs="宋体"/>
          <w:b/>
          <w:bCs/>
          <w:szCs w:val="21"/>
        </w:rPr>
        <w:t xml:space="preserve">28.质疑</w:t>
      </w:r>
      <w:r>
        <w:rPr>
          <w:rFonts w:hint="eastAsia" w:ascii="宋体" w:hAnsi="宋体" w:eastAsia="宋体" w:cs="宋体"/>
          <w:b/>
          <w:bCs/>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28.1供应商的质疑行为应符合《政府采购质疑和投诉办法》（财政部令第94号）相关规定，质疑供应商是指直接参加本次采购活动的供应商，对未参加采购活动的供应商或在采购活动中自身权益未受到损害的供应商所提出的质疑不予受理。</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28.2供应商认为招标文件、采购过程和中标/成交结果使自己的合法权益受到损害的，可以在知道或者应当知道其权益受到损害之日起七个工作日内，以书面形式向采购代理机构或采购人提出质疑。供应商应当在法定质疑期内一次性提出针对同一采购程序环节的质疑。供应商如在法定期限内对同一采购程序环节提出多次质疑的，招标代理机构、采购人将只对供应商第一次质疑作出答复。</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28.3上述应知其权益受到损害之日是指：</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（1）对招标文件提出质疑的，自招标文件公告期限届满之日起计算；</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（2）对采购过程提出质疑的，自采购程序环节结束之日起计算；</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（3）对中标/成交结果提出质疑的，自中标/成交结果公告期限届满之日起计算。  </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28.4 质疑文件应包括以下主要内容，并按照“谁主张、谁举证”的原则，附上相关证明材料。否则，代理人不予受理：</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（1）质疑项目名称、项目编号、采购公告发布时间、开标时间；</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（2）提起质疑的日期、具体的质疑事项及事实根据（具体条款）；</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（3）认为自己合法权益受到损害或可能受到损害的相关证据材料。</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（4）质疑供应商名称、地址、邮编、联系人、联系电话（包括座机、手机、传真号码等）；</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（5）质疑函应当署名，质疑人为自然人的，应当由本人签字并附有效身份证明；质疑人为法人或其他组织的，应当由法定代表人签字并加盖单位公章。</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（6）供应商委托代理质疑的，应当提交授权委托书，并载明委托代理的具体权限和事项。</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 28.5质疑材料接收信息：</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 （1）接收单位：江苏海外集团国际工程咨询有限公司</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 （2）联 系 人：方东</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 （3）联系电话：025-84795433/5991</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 （4）联系邮箱：fangdong@jocite.com</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 （5）接收地址：南京市建邺区云龙山路58号大唐科技大厦A座高区15楼</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 28.6 以下情形的质疑不予受理</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（1）内容不符合《政府采购质疑和投诉办法》第十二条规定的质疑。</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（2）超出政府采购法定期限的质疑。</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（3）以传真、电子邮件等方式递交的非原件形式的质疑。</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（4）未参加采购活动的供应商或在采购活动中自身权益未受到损害的供应商所提出的质疑。</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（5）供应商组成联合体参加投标，联合体中任何一方或多方未按要求签字、盖章、加盖公章的质疑。</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28.7供应商不得虚假质疑和恶意质疑，并对质疑内容的真实性承担责任。供应商或者其他利害关系人通过捏造事实、伪造证明材料等方式提出异议或投诉，阻碍采购活动正常进行的，属于严重不良行为，采购人（采购代理机构）将提请财政部门将其列入不良行为记录名单，并依法予以处罚。</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28.8采购人（采购代理机构）在收到供应商的书面质疑后将及时组织调查核实，在七个工作日内作出答复，并以书面形式通知质疑供应商和其他有关供应商，答复的内容不涉及商业秘密。</w:t>
      </w:r>
      <w:r>
        <w:rPr>
          <w:rFonts w:hint="eastAsia" w:ascii="宋体" w:hAnsi="宋体" w:eastAsia="宋体" w:cs="宋体"/>
          <w:szCs w:val="21"/>
        </w:rPr>
      </w:r>
      <w:r/>
    </w:p>
    <w:p>
      <w:pPr>
        <w:pStyle w:val="1053"/>
        <w:ind w:firstLine="422"/>
        <w:rPr>
          <w:rFonts w:hint="eastAsia" w:ascii="宋体" w:hAnsi="宋体" w:eastAsia="宋体" w:cs="宋体"/>
          <w:b/>
          <w:bCs/>
          <w:szCs w:val="21"/>
        </w:rPr>
      </w:pPr>
      <w:r>
        <w:rPr>
          <w:rFonts w:hint="eastAsia" w:ascii="宋体" w:hAnsi="宋体" w:eastAsia="宋体" w:cs="宋体"/>
          <w:b/>
          <w:bCs/>
          <w:szCs w:val="21"/>
        </w:rPr>
        <w:t xml:space="preserve">29.投诉</w:t>
      </w:r>
      <w:r>
        <w:rPr>
          <w:rFonts w:hint="eastAsia" w:ascii="宋体" w:hAnsi="宋体" w:eastAsia="宋体" w:cs="宋体"/>
          <w:b/>
          <w:bCs/>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29.1质疑供应商对采购人（采购代理机构）的答复不满意或者采购人（采购代理机构）未在规定的时间内作出答复的，可以在答复期满后十五个工作日内向同级政府采购监督管理部门投诉。</w:t>
      </w:r>
      <w:r>
        <w:rPr>
          <w:rFonts w:hint="eastAsia" w:ascii="宋体" w:hAnsi="宋体" w:eastAsia="宋体" w:cs="宋体"/>
          <w:szCs w:val="21"/>
        </w:rPr>
      </w:r>
      <w:r/>
    </w:p>
    <w:p>
      <w:pPr>
        <w:pStyle w:val="1053"/>
        <w:ind w:firstLine="420"/>
        <w:rPr>
          <w:rFonts w:hint="eastAsia" w:ascii="宋体" w:hAnsi="宋体" w:eastAsia="宋体" w:cs="宋体"/>
          <w:szCs w:val="21"/>
        </w:rPr>
      </w:pPr>
      <w:r>
        <w:rPr>
          <w:rFonts w:hint="eastAsia" w:ascii="宋体" w:hAnsi="宋体" w:eastAsia="宋体" w:cs="宋体"/>
          <w:szCs w:val="21"/>
        </w:rPr>
        <w:t xml:space="preserve">29.2质疑供应商的投诉应当有明确的请求和必要的证明材料，其投诉的事项不得超出已质疑事项的范围。</w:t>
      </w:r>
      <w:r>
        <w:rPr>
          <w:rFonts w:hint="eastAsia" w:ascii="宋体" w:hAnsi="宋体" w:eastAsia="宋体" w:cs="宋体"/>
          <w:szCs w:val="21"/>
        </w:rPr>
      </w:r>
      <w:r/>
    </w:p>
    <w:p>
      <w:pPr>
        <w:pStyle w:val="1053"/>
        <w:rPr>
          <w:rFonts w:hint="eastAsia" w:ascii="宋体" w:hAnsi="宋体" w:eastAsia="宋体" w:cs="宋体"/>
          <w:bCs/>
          <w:sz w:val="22"/>
          <w:szCs w:val="2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2"/>
          <w:szCs w:val="22"/>
        </w:rPr>
      </w:r>
      <w:r/>
    </w:p>
    <w:p>
      <w:pPr>
        <w:pStyle w:val="1054"/>
        <w:ind w:firstLine="0"/>
        <w:spacing w:before="480"/>
        <w:tabs>
          <w:tab w:val="left" w:pos="1440" w:leader="none"/>
          <w:tab w:val="left" w:pos="5670" w:leader="none"/>
        </w:tabs>
        <w:rPr>
          <w:rFonts w:hint="eastAsia" w:ascii="宋体" w:hAnsi="宋体" w:eastAsia="宋体" w:cs="宋体"/>
        </w:rPr>
      </w:pPr>
      <w:r/>
      <w:bookmarkStart w:id="101" w:name="_Toc14754"/>
      <w:r>
        <w:rPr>
          <w:rFonts w:hint="eastAsia" w:ascii="宋体" w:hAnsi="宋体" w:eastAsia="宋体" w:cs="宋体"/>
        </w:rPr>
        <w:t xml:space="preserve">第三章 评分标准</w:t>
      </w:r>
      <w:bookmarkEnd w:id="30"/>
      <w:r/>
      <w:bookmarkEnd w:id="31"/>
      <w:r/>
      <w:bookmarkEnd w:id="101"/>
      <w:r>
        <w:rPr>
          <w:rFonts w:hint="eastAsia" w:ascii="宋体" w:hAnsi="宋体" w:eastAsia="宋体" w:cs="宋体"/>
        </w:rPr>
      </w:r>
      <w:r/>
    </w:p>
    <w:p>
      <w:pPr>
        <w:pStyle w:val="1053"/>
        <w:ind w:firstLine="440"/>
        <w:rPr>
          <w:rFonts w:hint="eastAsia" w:ascii="宋体" w:hAnsi="宋体" w:eastAsia="宋体" w:cs="宋体"/>
          <w:sz w:val="22"/>
          <w:szCs w:val="22"/>
        </w:rPr>
      </w:pPr>
      <w:r/>
      <w:bookmarkStart w:id="102" w:name="OLE_LINK14"/>
      <w:r>
        <w:rPr>
          <w:rFonts w:hint="eastAsia" w:ascii="宋体" w:hAnsi="宋体" w:eastAsia="宋体" w:cs="宋体"/>
          <w:sz w:val="22"/>
          <w:szCs w:val="22"/>
        </w:rPr>
        <w:t xml:space="preserve">本项目采用综合评分法确定中标候选人（3名）。评标委员会将按以下评标办法和标准进行评分。总分值为100分，小数点后保留两位。评审后总得分由高到低顺序排列；总得分相同的，按投标报价由低到高顺序排列；总得分和投标报价都相同的，按技术部分指标优劣顺序排列。</w:t>
      </w:r>
      <w:r>
        <w:rPr>
          <w:rFonts w:hint="eastAsia" w:ascii="宋体" w:hAnsi="宋体" w:eastAsia="宋体" w:cs="宋体"/>
          <w:sz w:val="22"/>
          <w:szCs w:val="22"/>
        </w:rPr>
      </w:r>
      <w:r/>
    </w:p>
    <w:p>
      <w:pPr>
        <w:pStyle w:val="1053"/>
        <w:ind w:firstLine="440"/>
        <w:rPr>
          <w:rFonts w:hint="eastAsia" w:ascii="宋体" w:hAnsi="宋体" w:eastAsia="宋体" w:cs="宋体"/>
          <w:sz w:val="22"/>
          <w:szCs w:val="22"/>
        </w:rPr>
      </w:pPr>
      <w:r>
        <w:rPr>
          <w:rFonts w:hint="eastAsia" w:ascii="宋体" w:hAnsi="宋体" w:eastAsia="宋体" w:cs="宋体"/>
          <w:sz w:val="22"/>
          <w:szCs w:val="22"/>
        </w:rPr>
        <w:t xml:space="preserve">如供应商的报价明显低于其他通过资格及符合性审查供应商的报价，且未能提供相关价格构成，有可能影响服务质量或者不能诚信履约的，按无效响应处理。具体评审办法如下：</w:t>
      </w:r>
      <w:r>
        <w:rPr>
          <w:rFonts w:hint="eastAsia" w:ascii="宋体" w:hAnsi="宋体" w:eastAsia="宋体" w:cs="宋体"/>
          <w:sz w:val="22"/>
          <w:szCs w:val="22"/>
        </w:rPr>
      </w:r>
      <w:r/>
    </w:p>
    <w:p>
      <w:pPr>
        <w:pStyle w:val="1053"/>
        <w:ind w:firstLine="442"/>
        <w:rPr>
          <w:rFonts w:hint="eastAsia" w:ascii="宋体" w:hAnsi="宋体" w:eastAsia="宋体" w:cs="宋体"/>
          <w:sz w:val="22"/>
          <w:szCs w:val="22"/>
        </w:rPr>
      </w:pPr>
      <w:r/>
      <w:bookmarkEnd w:id="102"/>
      <w:r>
        <w:rPr>
          <w:rFonts w:hint="eastAsia" w:ascii="宋体" w:hAnsi="宋体" w:eastAsia="宋体" w:cs="宋体"/>
          <w:b/>
          <w:bCs/>
          <w:sz w:val="22"/>
          <w:szCs w:val="22"/>
          <w:lang w:val="zh-CN"/>
        </w:rPr>
        <w:t xml:space="preserve">评标细则</w:t>
      </w:r>
      <w:r>
        <w:rPr>
          <w:rFonts w:hint="eastAsia" w:ascii="宋体" w:hAnsi="宋体" w:eastAsia="宋体" w:cs="宋体"/>
          <w:sz w:val="22"/>
          <w:szCs w:val="22"/>
        </w:rPr>
      </w:r>
      <w:r/>
    </w:p>
    <w:p>
      <w:pPr>
        <w:pStyle w:val="1053"/>
        <w:ind w:firstLine="442"/>
        <w:rPr>
          <w:rFonts w:hint="eastAsia" w:ascii="宋体" w:hAnsi="宋体" w:eastAsia="宋体" w:cs="宋体"/>
          <w:b/>
          <w:sz w:val="22"/>
          <w:szCs w:val="22"/>
        </w:rPr>
        <w:outlineLvl w:val="1"/>
      </w:pPr>
      <w:r/>
      <w:bookmarkStart w:id="103" w:name="_Toc738"/>
      <w:r>
        <w:rPr>
          <w:rFonts w:hint="eastAsia" w:ascii="宋体" w:hAnsi="宋体" w:eastAsia="宋体" w:cs="宋体"/>
          <w:b/>
          <w:sz w:val="22"/>
          <w:szCs w:val="22"/>
        </w:rPr>
        <w:t xml:space="preserve">一、资格性审查</w:t>
      </w:r>
      <w:bookmarkEnd w:id="103"/>
      <w:r>
        <w:rPr>
          <w:rFonts w:hint="eastAsia" w:ascii="宋体" w:hAnsi="宋体" w:eastAsia="宋体" w:cs="宋体"/>
          <w:b/>
          <w:sz w:val="22"/>
          <w:szCs w:val="22"/>
        </w:rPr>
      </w:r>
      <w:r/>
    </w:p>
    <w:tbl>
      <w:tblPr>
        <w:tblW w:w="4997"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303"/>
        <w:gridCol w:w="5057"/>
        <w:gridCol w:w="1897"/>
        <w:gridCol w:w="1699"/>
      </w:tblGrid>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304"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58"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rPr>
              <w:t xml:space="preserve">投标人资质要求</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97"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9"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1053"/>
        <w:ind w:firstLine="442"/>
        <w:rPr>
          <w:rFonts w:hint="eastAsia" w:ascii="宋体" w:hAnsi="宋体" w:eastAsia="宋体" w:cs="宋体"/>
          <w:b/>
          <w:sz w:val="22"/>
          <w:szCs w:val="22"/>
        </w:rPr>
        <w:outlineLvl w:val="1"/>
      </w:pPr>
      <w:r/>
      <w:bookmarkStart w:id="104" w:name="_Toc9897"/>
      <w:r>
        <w:rPr>
          <w:rFonts w:hint="eastAsia" w:ascii="宋体" w:hAnsi="宋体" w:eastAsia="宋体" w:cs="宋体"/>
          <w:b/>
          <w:sz w:val="22"/>
          <w:szCs w:val="22"/>
        </w:rPr>
        <w:t xml:space="preserve">二、符合性审查</w:t>
      </w:r>
      <w:bookmarkEnd w:id="104"/>
      <w:r>
        <w:rPr>
          <w:rFonts w:hint="eastAsia" w:ascii="宋体" w:hAnsi="宋体" w:eastAsia="宋体" w:cs="宋体"/>
          <w:b/>
          <w:sz w:val="22"/>
          <w:szCs w:val="22"/>
        </w:rPr>
      </w:r>
      <w:r/>
    </w:p>
    <w:tbl>
      <w:tblPr>
        <w:tblW w:w="4998" w:type="pct"/>
        <w:jc w:val="center"/>
        <w:tblInd w:w="-108" w:type="dxa"/>
        <w:tblLayout w:type="autofit"/>
        <w:tblCellMar>
          <w:left w:w="108" w:type="dxa"/>
          <w:top w:w="0" w:type="dxa"/>
          <w:right w:w="108" w:type="dxa"/>
          <w:bottom w:w="0" w:type="dxa"/>
        </w:tblCellMar>
        <w:tblLook w:val="04A0" w:firstRow="1" w:lastRow="0" w:firstColumn="1" w:lastColumn="0" w:noHBand="0" w:noVBand="1"/>
      </w:tblPr>
      <w:tblGrid>
        <w:gridCol w:w="1295"/>
        <w:gridCol w:w="5092"/>
        <w:gridCol w:w="1877"/>
        <w:gridCol w:w="1694"/>
      </w:tblGrid>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序号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评定标准</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通过√</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未通过×</w:t>
            </w: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1</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投标报价是否超过采购预算或限价</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2</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投标文件的有效性（</w:t>
            </w:r>
            <w:r>
              <w:rPr>
                <w:rFonts w:hint="eastAsia" w:ascii="宋体" w:hAnsi="宋体" w:eastAsia="宋体" w:cs="宋体"/>
                <w:sz w:val="22"/>
              </w:rPr>
              <w:t xml:space="preserve">是否签字盖章）</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90"/>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3</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rPr>
            </w:pPr>
            <w:r>
              <w:rPr>
                <w:rFonts w:hint="eastAsia" w:ascii="宋体" w:hAnsi="宋体" w:eastAsia="宋体" w:cs="宋体"/>
                <w:sz w:val="22"/>
                <w:lang w:val="zh-CN"/>
              </w:rPr>
              <w:t xml:space="preserve">投标文件的完整性</w:t>
            </w:r>
            <w:r>
              <w:rPr>
                <w:rFonts w:hint="eastAsia" w:ascii="宋体" w:hAnsi="宋体" w:eastAsia="宋体" w:cs="宋体"/>
                <w:sz w:val="22"/>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4</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符合</w:t>
            </w:r>
            <w:r>
              <w:rPr>
                <w:rFonts w:hint="eastAsia" w:ascii="宋体" w:hAnsi="宋体" w:eastAsia="宋体" w:cs="宋体"/>
                <w:sz w:val="22"/>
              </w:rPr>
              <w:t xml:space="preserve">招标</w:t>
            </w:r>
            <w:r>
              <w:rPr>
                <w:rFonts w:hint="eastAsia" w:ascii="宋体" w:hAnsi="宋体" w:eastAsia="宋体" w:cs="宋体"/>
                <w:sz w:val="22"/>
                <w:lang w:val="zh-CN"/>
              </w:rPr>
              <w:t xml:space="preserve">文件第六章格式（1-</w:t>
            </w:r>
            <w:r>
              <w:rPr>
                <w:rFonts w:hint="eastAsia" w:ascii="宋体" w:hAnsi="宋体" w:eastAsia="宋体" w:cs="宋体"/>
                <w:sz w:val="22"/>
              </w:rPr>
              <w:t xml:space="preserve">6</w:t>
            </w:r>
            <w:r>
              <w:rPr>
                <w:rFonts w:hint="eastAsia" w:ascii="宋体" w:hAnsi="宋体" w:eastAsia="宋体" w:cs="宋体"/>
                <w:sz w:val="22"/>
                <w:lang w:val="zh-CN"/>
              </w:rPr>
              <w:t xml:space="preserve">）</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r>
        <w:trPr>
          <w:trHeight w:val="23"/>
        </w:trPr>
        <w:tc>
          <w:tcPr>
            <w:tcBorders>
              <w:top w:val="single" w:color="000000" w:sz="2" w:space="0"/>
              <w:left w:val="single" w:color="000000" w:sz="2" w:space="0"/>
              <w:bottom w:val="single" w:color="000000" w:sz="2" w:space="0"/>
              <w:right w:val="single" w:color="000000" w:sz="2" w:space="0"/>
            </w:tcBorders>
            <w:tcW w:w="1296"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rPr>
              <w:t xml:space="preserve">5</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5093"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t xml:space="preserve">不存在重大负偏离</w:t>
            </w: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877"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c>
          <w:tcPr>
            <w:tcBorders>
              <w:top w:val="single" w:color="000000" w:sz="2" w:space="0"/>
              <w:left w:val="single" w:color="000000" w:sz="2" w:space="0"/>
              <w:bottom w:val="single" w:color="000000" w:sz="2" w:space="0"/>
              <w:right w:val="single" w:color="000000" w:sz="2" w:space="0"/>
            </w:tcBorders>
            <w:tcW w:w="1694" w:type="dxa"/>
            <w:vAlign w:val="center"/>
            <w:textDirection w:val="lrTb"/>
            <w:noWrap w:val="false"/>
          </w:tcPr>
          <w:p>
            <w:pPr>
              <w:pStyle w:val="1053"/>
              <w:ind w:right="-130"/>
              <w:jc w:val="center"/>
              <w:spacing w:line="300" w:lineRule="auto"/>
              <w:tabs>
                <w:tab w:val="left" w:pos="709" w:leader="none"/>
              </w:tabs>
              <w:rPr>
                <w:rFonts w:hint="eastAsia" w:ascii="宋体" w:hAnsi="宋体" w:eastAsia="宋体" w:cs="宋体"/>
                <w:sz w:val="22"/>
                <w:lang w:val="zh-CN"/>
              </w:rPr>
            </w:pPr>
            <w:r>
              <w:rPr>
                <w:rFonts w:hint="eastAsia" w:ascii="宋体" w:hAnsi="宋体" w:eastAsia="宋体" w:cs="宋体"/>
                <w:sz w:val="22"/>
                <w:lang w:val="zh-CN"/>
              </w:rPr>
            </w:r>
            <w:r/>
          </w:p>
        </w:tc>
      </w:tr>
    </w:tbl>
    <w:p>
      <w:pPr>
        <w:pStyle w:val="1053"/>
        <w:ind w:firstLine="442"/>
        <w:rPr>
          <w:rFonts w:hint="eastAsia" w:ascii="宋体" w:hAnsi="宋体" w:eastAsia="宋体" w:cs="宋体"/>
          <w:b/>
          <w:sz w:val="22"/>
          <w:szCs w:val="22"/>
        </w:rPr>
        <w:outlineLvl w:val="1"/>
      </w:pPr>
      <w:r/>
      <w:bookmarkStart w:id="105" w:name="_Toc10350"/>
      <w:r/>
      <w:bookmarkStart w:id="106" w:name="_Toc7288"/>
      <w:r>
        <w:rPr>
          <w:rFonts w:hint="eastAsia" w:ascii="宋体" w:hAnsi="宋体" w:eastAsia="宋体" w:cs="宋体"/>
          <w:b/>
          <w:sz w:val="22"/>
          <w:szCs w:val="22"/>
        </w:rPr>
        <w:t xml:space="preserve">三、异常低价投标（响应）审查</w:t>
      </w:r>
      <w:bookmarkEnd w:id="105"/>
      <w:r/>
      <w:bookmarkEnd w:id="106"/>
      <w:r>
        <w:rPr>
          <w:rFonts w:hint="eastAsia" w:ascii="宋体" w:hAnsi="宋体" w:eastAsia="宋体" w:cs="宋体"/>
          <w:b/>
          <w:sz w:val="22"/>
          <w:szCs w:val="22"/>
        </w:rPr>
      </w:r>
      <w:r/>
    </w:p>
    <w:p>
      <w:pPr>
        <w:pStyle w:val="1053"/>
        <w:ind w:firstLine="440"/>
        <w:rPr>
          <w:rFonts w:hint="eastAsia" w:ascii="宋体" w:hAnsi="宋体" w:eastAsia="宋体" w:cs="宋体"/>
          <w:sz w:val="22"/>
          <w:szCs w:val="22"/>
        </w:rPr>
      </w:pPr>
      <w:r>
        <w:rPr>
          <w:rFonts w:hint="eastAsia" w:ascii="宋体" w:hAnsi="宋体" w:eastAsia="宋体" w:cs="宋体"/>
          <w:sz w:val="22"/>
          <w:szCs w:val="22"/>
        </w:rPr>
        <w:t xml:space="preserve">1.依据《关于推动解决政府采购异常低价问题的通知》（财库〔2026〕2号），政府采购评审中出现下列情形之一的，评审委员会应当启动异常低价投标（响应）审查程序：</w:t>
      </w:r>
      <w:r>
        <w:rPr>
          <w:rFonts w:hint="eastAsia" w:ascii="宋体" w:hAnsi="宋体" w:eastAsia="宋体" w:cs="宋体"/>
          <w:sz w:val="22"/>
          <w:szCs w:val="22"/>
        </w:rPr>
      </w:r>
      <w:r/>
    </w:p>
    <w:p>
      <w:pPr>
        <w:pStyle w:val="1053"/>
        <w:ind w:firstLine="440"/>
        <w:rPr>
          <w:rFonts w:hint="eastAsia" w:ascii="宋体" w:hAnsi="宋体" w:eastAsia="宋体" w:cs="宋体"/>
          <w:sz w:val="22"/>
          <w:szCs w:val="22"/>
        </w:rPr>
      </w:pPr>
      <w:r>
        <w:rPr>
          <w:rFonts w:hint="eastAsia" w:ascii="宋体" w:hAnsi="宋体" w:eastAsia="宋体" w:cs="宋体"/>
          <w:sz w:val="22"/>
          <w:szCs w:val="22"/>
        </w:rPr>
        <w:t xml:space="preserve">（1）投标（响应）报价低于全部通过符合性审查供应商投标（响应）报价平均值50%的，即投标（响应）报价&lt;全部通过符合性审查供应商投标（响应）报价平均值×50%； </w:t>
      </w:r>
      <w:r>
        <w:rPr>
          <w:rFonts w:hint="eastAsia" w:ascii="宋体" w:hAnsi="宋体" w:eastAsia="宋体" w:cs="宋体"/>
          <w:sz w:val="22"/>
          <w:szCs w:val="22"/>
        </w:rPr>
      </w:r>
      <w:r/>
    </w:p>
    <w:p>
      <w:pPr>
        <w:pStyle w:val="1053"/>
        <w:ind w:firstLine="440"/>
        <w:rPr>
          <w:rFonts w:hint="eastAsia" w:ascii="宋体" w:hAnsi="宋体" w:eastAsia="宋体" w:cs="宋体"/>
          <w:sz w:val="22"/>
          <w:szCs w:val="22"/>
        </w:rPr>
      </w:pPr>
      <w:r>
        <w:rPr>
          <w:rFonts w:hint="eastAsia" w:ascii="宋体" w:hAnsi="宋体" w:eastAsia="宋体" w:cs="宋体"/>
          <w:sz w:val="22"/>
          <w:szCs w:val="22"/>
        </w:rPr>
        <w:t xml:space="preserve">（2）投标（响应）报价低于通过符合性审查的次低报价供应商投标（响应）报价50%的，即投标（响应）报价&lt;通过符合性审查的次低报价供应商投标（响应）报价×50%； </w:t>
      </w:r>
      <w:r>
        <w:rPr>
          <w:rFonts w:hint="eastAsia" w:ascii="宋体" w:hAnsi="宋体" w:eastAsia="宋体" w:cs="宋体"/>
          <w:sz w:val="22"/>
          <w:szCs w:val="22"/>
        </w:rPr>
      </w:r>
      <w:r/>
    </w:p>
    <w:p>
      <w:pPr>
        <w:pStyle w:val="1053"/>
        <w:ind w:firstLine="440"/>
        <w:rPr>
          <w:rFonts w:hint="eastAsia" w:ascii="宋体" w:hAnsi="宋体" w:eastAsia="宋体" w:cs="宋体"/>
          <w:sz w:val="22"/>
          <w:szCs w:val="22"/>
        </w:rPr>
      </w:pPr>
      <w:r>
        <w:rPr>
          <w:rFonts w:hint="eastAsia" w:ascii="宋体" w:hAnsi="宋体" w:eastAsia="宋体" w:cs="宋体"/>
          <w:sz w:val="22"/>
          <w:szCs w:val="22"/>
        </w:rPr>
        <w:t xml:space="preserve">（3）投标（响应）报价低于采购项目最高限价45%的，即投标（响应）报价&lt;采购项目最高限价×45%； </w:t>
      </w:r>
      <w:r>
        <w:rPr>
          <w:rFonts w:hint="eastAsia" w:ascii="宋体" w:hAnsi="宋体" w:eastAsia="宋体" w:cs="宋体"/>
          <w:sz w:val="22"/>
          <w:szCs w:val="22"/>
        </w:rPr>
      </w:r>
      <w:r/>
    </w:p>
    <w:p>
      <w:pPr>
        <w:pStyle w:val="1053"/>
        <w:ind w:firstLine="440"/>
        <w:rPr>
          <w:rFonts w:hint="eastAsia" w:ascii="宋体" w:hAnsi="宋体" w:eastAsia="宋体" w:cs="宋体"/>
          <w:sz w:val="22"/>
          <w:szCs w:val="22"/>
        </w:rPr>
      </w:pPr>
      <w:r>
        <w:rPr>
          <w:rFonts w:hint="eastAsia" w:ascii="宋体" w:hAnsi="宋体" w:eastAsia="宋体" w:cs="宋体"/>
          <w:sz w:val="22"/>
          <w:szCs w:val="22"/>
        </w:rPr>
        <w:t xml:space="preserve">（4）评审委员会基于专业判断，认为供应商报价过低，有可能影响产品质量或者不能诚信履约的其他情形。 </w:t>
      </w:r>
      <w:r>
        <w:rPr>
          <w:rFonts w:hint="eastAsia" w:ascii="宋体" w:hAnsi="宋体" w:eastAsia="宋体" w:cs="宋体"/>
          <w:sz w:val="22"/>
          <w:szCs w:val="22"/>
        </w:rPr>
      </w:r>
      <w:r/>
    </w:p>
    <w:p>
      <w:pPr>
        <w:pStyle w:val="1053"/>
        <w:ind w:firstLine="440"/>
        <w:rPr>
          <w:rFonts w:hint="eastAsia" w:ascii="宋体" w:hAnsi="宋体" w:eastAsia="宋体" w:cs="宋体"/>
          <w:sz w:val="22"/>
          <w:szCs w:val="22"/>
        </w:rPr>
      </w:pPr>
      <w:r>
        <w:rPr>
          <w:rFonts w:hint="eastAsia" w:ascii="宋体" w:hAnsi="宋体" w:eastAsia="宋体" w:cs="宋体"/>
          <w:sz w:val="22"/>
          <w:szCs w:val="22"/>
        </w:rPr>
        <w:t xml:space="preserve">采购人可以结合具体项目实际情况，提高上述第（1）项至第（3）项中启动异常低价投标（响应）审查的数值标准，但是最高不得超过65%。 </w:t>
      </w:r>
      <w:r>
        <w:rPr>
          <w:rFonts w:hint="eastAsia" w:ascii="宋体" w:hAnsi="宋体" w:eastAsia="宋体" w:cs="宋体"/>
          <w:sz w:val="22"/>
          <w:szCs w:val="22"/>
        </w:rPr>
      </w:r>
      <w:r/>
    </w:p>
    <w:p>
      <w:pPr>
        <w:pStyle w:val="1053"/>
        <w:ind w:firstLine="440"/>
        <w:rPr>
          <w:rFonts w:hint="eastAsia" w:ascii="宋体" w:hAnsi="宋体" w:eastAsia="宋体" w:cs="宋体"/>
          <w:sz w:val="22"/>
          <w:szCs w:val="22"/>
        </w:rPr>
      </w:pPr>
      <w:r>
        <w:rPr>
          <w:rFonts w:hint="eastAsia" w:ascii="宋体" w:hAnsi="宋体" w:eastAsia="宋体" w:cs="宋体"/>
          <w:sz w:val="22"/>
          <w:szCs w:val="22"/>
        </w:rPr>
        <w:t xml:space="preserve">相关法律法规对供应商报价有规定的，从其规定。</w:t>
      </w:r>
      <w:r>
        <w:rPr>
          <w:rFonts w:hint="eastAsia" w:ascii="宋体" w:hAnsi="宋体" w:eastAsia="宋体" w:cs="宋体"/>
          <w:sz w:val="22"/>
          <w:szCs w:val="22"/>
        </w:rPr>
      </w:r>
      <w:r/>
    </w:p>
    <w:p>
      <w:pPr>
        <w:pStyle w:val="1053"/>
        <w:ind w:firstLine="440"/>
        <w:rPr>
          <w:rFonts w:hint="eastAsia" w:ascii="宋体" w:hAnsi="宋体" w:eastAsia="宋体" w:cs="宋体"/>
          <w:sz w:val="22"/>
          <w:szCs w:val="22"/>
        </w:rPr>
      </w:pPr>
      <w:r>
        <w:rPr>
          <w:rFonts w:hint="eastAsia" w:ascii="宋体" w:hAnsi="宋体" w:eastAsia="宋体" w:cs="宋体"/>
          <w:sz w:val="22"/>
          <w:szCs w:val="22"/>
        </w:rPr>
        <w:t xml:space="preserve">2.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 </w:t>
      </w:r>
      <w:r>
        <w:rPr>
          <w:rFonts w:hint="eastAsia" w:ascii="宋体" w:hAnsi="宋体" w:eastAsia="宋体" w:cs="宋体"/>
          <w:sz w:val="22"/>
          <w:szCs w:val="22"/>
        </w:rPr>
      </w:r>
      <w:r/>
    </w:p>
    <w:p>
      <w:pPr>
        <w:pStyle w:val="1053"/>
        <w:ind w:firstLine="440"/>
        <w:rPr>
          <w:rFonts w:hint="eastAsia" w:ascii="宋体" w:hAnsi="宋体" w:eastAsia="宋体" w:cs="宋体"/>
          <w:sz w:val="22"/>
          <w:szCs w:val="22"/>
        </w:rPr>
      </w:pPr>
      <w:r>
        <w:rPr>
          <w:rFonts w:hint="eastAsia" w:ascii="宋体" w:hAnsi="宋体" w:eastAsia="宋体" w:cs="宋体"/>
          <w:sz w:val="22"/>
          <w:szCs w:val="22"/>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 </w:t>
      </w:r>
      <w:r>
        <w:rPr>
          <w:rFonts w:hint="eastAsia" w:ascii="宋体" w:hAnsi="宋体" w:eastAsia="宋体" w:cs="宋体"/>
          <w:sz w:val="22"/>
          <w:szCs w:val="22"/>
        </w:rPr>
      </w:r>
      <w:r/>
    </w:p>
    <w:p>
      <w:pPr>
        <w:pStyle w:val="1053"/>
        <w:ind w:firstLine="440"/>
        <w:rPr>
          <w:rFonts w:hint="eastAsia" w:ascii="宋体" w:hAnsi="宋体" w:eastAsia="宋体" w:cs="宋体"/>
          <w:sz w:val="22"/>
          <w:szCs w:val="22"/>
        </w:rPr>
      </w:pPr>
      <w:r>
        <w:rPr>
          <w:rFonts w:hint="eastAsia" w:ascii="宋体" w:hAnsi="宋体" w:eastAsia="宋体" w:cs="宋体"/>
          <w:sz w:val="22"/>
          <w:szCs w:val="22"/>
        </w:rPr>
        <w:t xml:space="preserve">采购人、采购代理机构应当为评审委员会在评审现场及时获取同类项目中标（成交）价格、类似产品市场价格水平、行业人工费用标准、国家有关部门指导行业协会发布的行业平均成本等相关信息资料提供便利。评审委员会借助互联网等渠道查询相关信息的，应当严格遵守评审工作纪律，不得实施影响评审公正的行为。 </w:t>
      </w:r>
      <w:r>
        <w:rPr>
          <w:rFonts w:hint="eastAsia" w:ascii="宋体" w:hAnsi="宋体" w:eastAsia="宋体" w:cs="宋体"/>
          <w:sz w:val="22"/>
          <w:szCs w:val="22"/>
        </w:rPr>
      </w:r>
      <w:r/>
    </w:p>
    <w:p>
      <w:pPr>
        <w:pStyle w:val="1053"/>
        <w:ind w:firstLine="440"/>
        <w:rPr>
          <w:rFonts w:hint="eastAsia" w:ascii="宋体" w:hAnsi="宋体" w:eastAsia="宋体" w:cs="宋体"/>
          <w:sz w:val="22"/>
          <w:szCs w:val="22"/>
        </w:rPr>
      </w:pPr>
      <w:r>
        <w:rPr>
          <w:rFonts w:hint="eastAsia" w:ascii="宋体" w:hAnsi="宋体" w:eastAsia="宋体" w:cs="宋体"/>
          <w:sz w:val="22"/>
          <w:szCs w:val="22"/>
        </w:rPr>
        <w:t xml:space="preserve">异常低价投标（响应）审查的启动原因、审查意见和审查结果应当在评审报告中记录，并随供应商提供的相关书面说明及证明材料，以及评审委员会有关互联网浏览、查询历史一并归档。</w:t>
      </w:r>
      <w:r>
        <w:rPr>
          <w:rFonts w:hint="eastAsia" w:ascii="宋体" w:hAnsi="宋体" w:eastAsia="宋体" w:cs="宋体"/>
          <w:sz w:val="22"/>
          <w:szCs w:val="22"/>
        </w:rPr>
      </w:r>
      <w:r/>
    </w:p>
    <w:p>
      <w:pPr>
        <w:pStyle w:val="1053"/>
        <w:numPr>
          <w:ilvl w:val="0"/>
          <w:numId w:val="41"/>
        </w:numPr>
        <w:ind w:firstLine="442"/>
        <w:rPr>
          <w:rFonts w:hint="eastAsia" w:ascii="宋体" w:hAnsi="宋体" w:eastAsia="宋体" w:cs="宋体"/>
          <w:b/>
          <w:sz w:val="22"/>
          <w:szCs w:val="22"/>
        </w:rPr>
        <w:sectPr>
          <w:footnotePr/>
          <w:endnotePr/>
          <w:type w:val="nextPage"/>
          <w:pgSz w:w="11906" w:h="16838" w:orient="portrait"/>
          <w:pgMar w:top="1440" w:right="1080" w:bottom="1440" w:left="1080" w:header="851" w:footer="680" w:gutter="0"/>
          <w:cols w:num="1" w:sep="0" w:space="1701" w:equalWidth="1"/>
          <w:docGrid w:linePitch="360"/>
        </w:sectPr>
        <w:outlineLvl w:val="1"/>
      </w:pPr>
      <w:r>
        <w:rPr>
          <w:rFonts w:hint="eastAsia" w:ascii="宋体" w:hAnsi="宋体" w:eastAsia="宋体" w:cs="宋体"/>
          <w:b/>
          <w:sz w:val="22"/>
          <w:szCs w:val="22"/>
        </w:rPr>
      </w:r>
      <w:r/>
    </w:p>
    <w:p>
      <w:pPr>
        <w:pStyle w:val="1053"/>
        <w:rPr>
          <w:rFonts w:hint="eastAsia" w:ascii="宋体" w:hAnsi="宋体" w:eastAsia="宋体" w:cs="宋体"/>
          <w:b/>
          <w:sz w:val="22"/>
          <w:szCs w:val="22"/>
        </w:rPr>
        <w:outlineLvl w:val="1"/>
      </w:pPr>
      <w:r/>
      <w:bookmarkStart w:id="107" w:name="_Toc28697"/>
      <w:r>
        <w:rPr>
          <w:rFonts w:hint="eastAsia" w:ascii="宋体" w:hAnsi="宋体" w:eastAsia="宋体" w:cs="宋体"/>
          <w:b/>
          <w:sz w:val="22"/>
          <w:szCs w:val="22"/>
        </w:rPr>
        <w:t xml:space="preserve">四、评分表（综合评分法）</w:t>
      </w:r>
      <w:bookmarkEnd w:id="107"/>
      <w:r>
        <w:rPr>
          <w:rFonts w:hint="eastAsia" w:ascii="宋体" w:hAnsi="宋体" w:eastAsia="宋体" w:cs="宋体"/>
          <w:b/>
          <w:sz w:val="22"/>
          <w:szCs w:val="22"/>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1"/>
        <w:gridCol w:w="1406"/>
        <w:gridCol w:w="6968"/>
        <w:gridCol w:w="757"/>
      </w:tblGrid>
      <w:tr>
        <w:trPr/>
        <w:tc>
          <w:tcPr>
            <w:tcW w:w="831" w:type="dxa"/>
            <w:vAlign w:val="center"/>
            <w:textDirection w:val="lrTb"/>
            <w:noWrap/>
          </w:tcPr>
          <w:p>
            <w:pPr>
              <w:pStyle w:val="1053"/>
              <w:jc w:val="center"/>
              <w:rPr>
                <w:rFonts w:hint="eastAsia" w:ascii="宋体" w:hAnsi="宋体" w:eastAsia="宋体" w:cs="宋体"/>
                <w:b/>
                <w:bCs/>
                <w:szCs w:val="21"/>
              </w:rPr>
            </w:pPr>
            <w:r>
              <w:rPr>
                <w:rFonts w:hint="eastAsia" w:ascii="宋体" w:hAnsi="宋体" w:eastAsia="宋体" w:cs="宋体"/>
                <w:b/>
                <w:sz w:val="28"/>
                <w:szCs w:val="28"/>
              </w:rPr>
              <w:br w:type="page" w:clear="all"/>
            </w:r>
            <w:r>
              <w:rPr>
                <w:rFonts w:hint="eastAsia" w:ascii="宋体" w:hAnsi="宋体" w:eastAsia="宋体" w:cs="宋体"/>
                <w:b/>
                <w:bCs/>
                <w:szCs w:val="21"/>
              </w:rPr>
              <w:t xml:space="preserve">序号</w:t>
            </w:r>
            <w:r>
              <w:rPr>
                <w:rFonts w:hint="eastAsia" w:ascii="宋体" w:hAnsi="宋体" w:eastAsia="宋体" w:cs="宋体"/>
                <w:b/>
                <w:bCs/>
                <w:szCs w:val="21"/>
              </w:rPr>
            </w:r>
            <w:r/>
          </w:p>
        </w:tc>
        <w:tc>
          <w:tcPr>
            <w:tcW w:w="1406" w:type="dxa"/>
            <w:vAlign w:val="center"/>
            <w:textDirection w:val="lrTb"/>
            <w:noWrap/>
          </w:tcPr>
          <w:p>
            <w:pPr>
              <w:pStyle w:val="1053"/>
              <w:jc w:val="center"/>
              <w:rPr>
                <w:rFonts w:hint="eastAsia" w:ascii="宋体" w:hAnsi="宋体" w:eastAsia="宋体" w:cs="宋体"/>
                <w:b/>
                <w:bCs/>
                <w:szCs w:val="21"/>
              </w:rPr>
            </w:pPr>
            <w:r>
              <w:rPr>
                <w:rFonts w:hint="eastAsia" w:ascii="宋体" w:hAnsi="宋体" w:eastAsia="宋体" w:cs="宋体"/>
                <w:b/>
                <w:bCs/>
                <w:szCs w:val="21"/>
              </w:rPr>
              <w:t xml:space="preserve">评分因素</w:t>
            </w:r>
            <w:r>
              <w:rPr>
                <w:rFonts w:hint="eastAsia" w:ascii="宋体" w:hAnsi="宋体" w:eastAsia="宋体" w:cs="宋体"/>
                <w:b/>
                <w:bCs/>
                <w:szCs w:val="21"/>
              </w:rPr>
            </w:r>
            <w:r/>
          </w:p>
        </w:tc>
        <w:tc>
          <w:tcPr>
            <w:tcW w:w="6968" w:type="dxa"/>
            <w:vAlign w:val="center"/>
            <w:textDirection w:val="lrTb"/>
            <w:noWrap/>
          </w:tcPr>
          <w:p>
            <w:pPr>
              <w:pStyle w:val="1053"/>
              <w:jc w:val="center"/>
              <w:rPr>
                <w:rFonts w:hint="eastAsia" w:ascii="宋体" w:hAnsi="宋体" w:eastAsia="宋体" w:cs="宋体"/>
                <w:b/>
                <w:bCs/>
                <w:szCs w:val="21"/>
              </w:rPr>
            </w:pPr>
            <w:r>
              <w:rPr>
                <w:rFonts w:hint="eastAsia" w:ascii="宋体" w:hAnsi="宋体" w:eastAsia="宋体" w:cs="宋体"/>
                <w:b/>
                <w:bCs/>
                <w:szCs w:val="21"/>
              </w:rPr>
              <w:t xml:space="preserve">评审细则</w:t>
            </w:r>
            <w:r>
              <w:rPr>
                <w:rFonts w:hint="eastAsia" w:ascii="宋体" w:hAnsi="宋体" w:eastAsia="宋体" w:cs="宋体"/>
                <w:b/>
                <w:bCs/>
                <w:szCs w:val="21"/>
              </w:rPr>
            </w:r>
            <w:r/>
          </w:p>
        </w:tc>
        <w:tc>
          <w:tcPr>
            <w:tcW w:w="757" w:type="dxa"/>
            <w:vAlign w:val="center"/>
            <w:textDirection w:val="lrTb"/>
            <w:noWrap/>
          </w:tcPr>
          <w:p>
            <w:pPr>
              <w:pStyle w:val="1053"/>
              <w:jc w:val="center"/>
              <w:rPr>
                <w:rFonts w:hint="eastAsia" w:ascii="宋体" w:hAnsi="宋体" w:eastAsia="宋体" w:cs="宋体"/>
                <w:b/>
                <w:bCs/>
                <w:szCs w:val="21"/>
              </w:rPr>
            </w:pPr>
            <w:r>
              <w:rPr>
                <w:rFonts w:hint="eastAsia" w:ascii="宋体" w:hAnsi="宋体" w:eastAsia="宋体" w:cs="宋体"/>
                <w:b/>
                <w:bCs/>
                <w:szCs w:val="21"/>
              </w:rPr>
              <w:t xml:space="preserve">分值</w:t>
            </w:r>
            <w:r>
              <w:rPr>
                <w:rFonts w:hint="eastAsia" w:ascii="宋体" w:hAnsi="宋体" w:eastAsia="宋体" w:cs="宋体"/>
                <w:b/>
                <w:bCs/>
                <w:szCs w:val="21"/>
              </w:rPr>
            </w:r>
            <w:r/>
          </w:p>
        </w:tc>
      </w:tr>
      <w:tr>
        <w:trPr/>
        <w:tc>
          <w:tcPr>
            <w:tcW w:w="831" w:type="dxa"/>
            <w:vAlign w:val="center"/>
            <w:textDirection w:val="lrTb"/>
            <w:noWrap/>
          </w:tcPr>
          <w:p>
            <w:pPr>
              <w:pStyle w:val="1053"/>
              <w:jc w:val="center"/>
              <w:spacing w:line="480" w:lineRule="exact"/>
              <w:rPr>
                <w:rFonts w:hint="eastAsia" w:ascii="宋体" w:hAnsi="宋体" w:eastAsia="宋体" w:cs="宋体"/>
                <w:szCs w:val="21"/>
              </w:rPr>
            </w:pPr>
            <w:r>
              <w:rPr>
                <w:rFonts w:hint="eastAsia" w:ascii="宋体" w:hAnsi="宋体" w:eastAsia="宋体" w:cs="宋体"/>
                <w:szCs w:val="21"/>
              </w:rPr>
              <w:t xml:space="preserve">1</w:t>
            </w:r>
            <w:r>
              <w:rPr>
                <w:rFonts w:hint="eastAsia" w:ascii="宋体" w:hAnsi="宋体" w:eastAsia="宋体" w:cs="宋体"/>
                <w:szCs w:val="21"/>
              </w:rPr>
            </w:r>
            <w:r/>
          </w:p>
        </w:tc>
        <w:tc>
          <w:tcPr>
            <w:tcW w:w="1406" w:type="dxa"/>
            <w:vAlign w:val="center"/>
            <w:textDirection w:val="lrTb"/>
            <w:noWrap/>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投标报价</w:t>
            </w:r>
            <w:r>
              <w:rPr>
                <w:rFonts w:hint="eastAsia" w:ascii="宋体" w:hAnsi="宋体" w:eastAsia="宋体" w:cs="宋体"/>
                <w:szCs w:val="21"/>
              </w:rPr>
            </w:r>
            <w:r/>
          </w:p>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（30分）</w:t>
            </w:r>
            <w:r>
              <w:rPr>
                <w:rFonts w:hint="eastAsia" w:ascii="宋体" w:hAnsi="宋体" w:eastAsia="宋体" w:cs="宋体"/>
                <w:szCs w:val="21"/>
              </w:rPr>
            </w:r>
            <w:r/>
          </w:p>
        </w:tc>
        <w:tc>
          <w:tcPr>
            <w:tcW w:w="6968" w:type="dxa"/>
            <w:vAlign w:val="center"/>
            <w:textDirection w:val="lrTb"/>
            <w:noWrap/>
          </w:tcPr>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满足招标文件要求进入详细评审且投标报价最低的有效投标报价为评标基准价，其价格分为30分。其他供应商的价格分统一按照下列公式计算：投标报价得分=（评标基准价／投标报价）×30，小数点后保留两位。</w:t>
            </w:r>
            <w:r>
              <w:rPr>
                <w:rFonts w:hint="eastAsia" w:ascii="宋体" w:hAnsi="宋体" w:eastAsia="宋体" w:cs="宋体"/>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价格扣除说明：供应商需提供《中小企业声明函》、《残疾人福利性单位声明函》、《属于监狱企业的证明文件》、《关于符合本国产品标准的声明函》。如未按要求提供、填写，或相关内容表述不清的，不得享受价格扣除。</w:t>
            </w:r>
            <w:r>
              <w:rPr>
                <w:rFonts w:hint="eastAsia" w:ascii="宋体" w:hAnsi="宋体" w:eastAsia="宋体" w:cs="宋体"/>
                <w:szCs w:val="21"/>
              </w:rPr>
            </w:r>
            <w:r/>
          </w:p>
        </w:tc>
        <w:tc>
          <w:tcPr>
            <w:tcW w:w="757" w:type="dxa"/>
            <w:vAlign w:val="center"/>
            <w:textDirection w:val="lrTb"/>
            <w:noWrap/>
          </w:tcPr>
          <w:p>
            <w:pPr>
              <w:pStyle w:val="1053"/>
              <w:jc w:val="center"/>
              <w:spacing w:line="480" w:lineRule="exact"/>
              <w:rPr>
                <w:rFonts w:hint="eastAsia" w:ascii="宋体" w:hAnsi="宋体" w:eastAsia="宋体" w:cs="宋体"/>
                <w:szCs w:val="21"/>
              </w:rPr>
            </w:pPr>
            <w:r>
              <w:rPr>
                <w:rFonts w:hint="eastAsia" w:ascii="宋体" w:hAnsi="宋体" w:eastAsia="宋体" w:cs="宋体"/>
                <w:szCs w:val="21"/>
              </w:rPr>
              <w:t xml:space="preserve">30</w:t>
            </w:r>
            <w:r>
              <w:rPr>
                <w:rFonts w:hint="eastAsia" w:ascii="宋体" w:hAnsi="宋体" w:eastAsia="宋体" w:cs="宋体"/>
                <w:szCs w:val="21"/>
              </w:rPr>
            </w:r>
            <w:r/>
          </w:p>
        </w:tc>
      </w:tr>
      <w:tr>
        <w:trPr>
          <w:cantSplit/>
        </w:trPr>
        <w:tc>
          <w:tcPr>
            <w:tcW w:w="831" w:type="dxa"/>
            <w:vAlign w:val="center"/>
            <w:textDirection w:val="lrTb"/>
            <w:noWrap/>
          </w:tcPr>
          <w:p>
            <w:pPr>
              <w:pStyle w:val="1053"/>
              <w:jc w:val="center"/>
              <w:spacing w:line="480" w:lineRule="exact"/>
              <w:rPr>
                <w:rFonts w:hint="eastAsia" w:ascii="宋体" w:hAnsi="宋体" w:eastAsia="宋体" w:cs="宋体"/>
                <w:szCs w:val="21"/>
              </w:rPr>
            </w:pPr>
            <w:r>
              <w:rPr>
                <w:rFonts w:hint="eastAsia" w:ascii="宋体" w:hAnsi="宋体" w:eastAsia="宋体" w:cs="宋体"/>
                <w:szCs w:val="21"/>
              </w:rPr>
              <w:t xml:space="preserve">2.1</w:t>
            </w:r>
            <w:r>
              <w:rPr>
                <w:rFonts w:hint="eastAsia" w:ascii="宋体" w:hAnsi="宋体" w:eastAsia="宋体" w:cs="宋体"/>
                <w:szCs w:val="21"/>
              </w:rPr>
            </w:r>
            <w:r/>
          </w:p>
        </w:tc>
        <w:tc>
          <w:tcPr>
            <w:tcW w:w="1406" w:type="dxa"/>
            <w:vAlign w:val="center"/>
            <w:vMerge w:val="restart"/>
            <w:textDirection w:val="lrTb"/>
            <w:noWrap/>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技术响应（</w:t>
            </w:r>
            <w:r>
              <w:rPr>
                <w:rFonts w:ascii="宋体" w:hAnsi="宋体" w:eastAsia="宋体" w:cs="宋体"/>
                <w:szCs w:val="21"/>
              </w:rPr>
              <w:t xml:space="preserve">4</w:t>
            </w:r>
            <w:r>
              <w:rPr>
                <w:rFonts w:hint="eastAsia" w:ascii="宋体" w:hAnsi="宋体" w:eastAsia="宋体" w:cs="宋体"/>
                <w:szCs w:val="21"/>
                <w:lang w:val="en-US" w:eastAsia="zh-CN"/>
              </w:rPr>
              <w:t xml:space="preserve">4</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53"/>
              <w:spacing w:before="0" w:after="0" w:line="240" w:lineRule="auto"/>
              <w:rPr>
                <w:rFonts w:hint="eastAsia" w:ascii="宋体" w:hAnsi="宋体" w:eastAsia="宋体" w:cs="宋体"/>
                <w:szCs w:val="21"/>
              </w:rPr>
            </w:pPr>
            <w:r>
              <w:rPr>
                <w:rFonts w:hint="eastAsia" w:ascii="宋体" w:hAnsi="宋体" w:eastAsia="宋体" w:cs="宋体"/>
                <w:b/>
                <w:bCs/>
                <w:szCs w:val="21"/>
              </w:rPr>
              <w:t xml:space="preserve">采购分包1：</w:t>
            </w:r>
            <w:r>
              <w:rPr>
                <w:rFonts w:hint="eastAsia" w:ascii="宋体" w:hAnsi="宋体" w:eastAsia="宋体" w:cs="宋体"/>
                <w:szCs w:val="21"/>
              </w:rPr>
              <w:br w:type="textWrapping" w:clear="all"/>
            </w:r>
            <w:r>
              <w:rPr>
                <w:rFonts w:hint="eastAsia" w:ascii="宋体" w:hAnsi="宋体" w:eastAsia="宋体" w:cs="宋体"/>
                <w:szCs w:val="21"/>
              </w:rPr>
              <w:t xml:space="preserve">设备技术参数及商务要求全部满足招标要求的得满分</w:t>
            </w:r>
            <w:r>
              <w:rPr>
                <w:rFonts w:hint="eastAsia" w:ascii="宋体" w:hAnsi="宋体" w:eastAsia="宋体" w:cs="宋体"/>
                <w:b/>
                <w:bCs/>
                <w:szCs w:val="21"/>
              </w:rPr>
              <w:t xml:space="preserve">3</w:t>
            </w:r>
            <w:r>
              <w:rPr>
                <w:rFonts w:hint="eastAsia" w:ascii="宋体" w:hAnsi="宋体" w:eastAsia="宋体" w:cs="宋体"/>
                <w:b/>
                <w:bCs/>
                <w:szCs w:val="21"/>
                <w:lang w:val="en-US" w:eastAsia="zh-CN"/>
              </w:rPr>
              <w:t xml:space="preserve">4</w:t>
            </w:r>
            <w:r>
              <w:rPr>
                <w:rFonts w:hint="eastAsia" w:ascii="宋体" w:hAnsi="宋体" w:eastAsia="宋体" w:cs="宋体"/>
                <w:b/>
                <w:bCs/>
                <w:szCs w:val="21"/>
              </w:rPr>
              <w:t xml:space="preserve">分</w:t>
            </w:r>
            <w:r>
              <w:rPr>
                <w:rFonts w:hint="eastAsia" w:ascii="宋体" w:hAnsi="宋体" w:eastAsia="宋体" w:cs="宋体"/>
                <w:szCs w:val="21"/>
              </w:rPr>
              <w:t xml:space="preserve">；</w:t>
            </w:r>
            <w:r>
              <w:rPr>
                <w:rFonts w:hint="eastAsia" w:ascii="宋体" w:hAnsi="宋体" w:eastAsia="宋体" w:cs="宋体"/>
                <w:szCs w:val="21"/>
              </w:rPr>
            </w:r>
            <w:r/>
          </w:p>
          <w:p>
            <w:pPr>
              <w:pStyle w:val="1053"/>
              <w:spacing w:before="0" w:after="0" w:line="240" w:lineRule="auto"/>
              <w:rPr>
                <w:rFonts w:hint="eastAsia" w:ascii="宋体" w:hAnsi="宋体" w:eastAsia="宋体" w:cs="宋体"/>
                <w:b/>
                <w:bCs/>
                <w:color w:val="auto"/>
                <w:szCs w:val="21"/>
              </w:rPr>
            </w:pPr>
            <w:r>
              <w:rPr>
                <w:rFonts w:hint="eastAsia" w:ascii="宋体" w:hAnsi="宋体" w:eastAsia="宋体" w:cs="宋体"/>
                <w:szCs w:val="21"/>
              </w:rPr>
              <w:t xml:space="preserve">在此</w:t>
            </w:r>
            <w:r>
              <w:rPr>
                <w:rFonts w:hint="eastAsia" w:ascii="宋体" w:hAnsi="宋体" w:eastAsia="宋体" w:cs="宋体"/>
                <w:color w:val="auto"/>
                <w:szCs w:val="21"/>
              </w:rPr>
              <w:t xml:space="preserve">基础上，招标文件中标注“</w:t>
            </w:r>
            <w:r>
              <w:rPr>
                <w:rFonts w:hint="eastAsia" w:ascii="宋体" w:hAnsi="宋体" w:eastAsia="宋体" w:cs="宋体"/>
                <w:color w:val="auto"/>
                <w:szCs w:val="21"/>
              </w:rPr>
              <w:t xml:space="preserve">★”的</w:t>
            </w:r>
            <w:r>
              <w:rPr>
                <w:rFonts w:hint="eastAsia" w:ascii="宋体" w:hAnsi="宋体" w:eastAsia="宋体" w:cs="宋体"/>
                <w:b/>
                <w:bCs/>
                <w:color w:val="auto"/>
                <w:szCs w:val="21"/>
              </w:rPr>
              <w:t xml:space="preserve">条款为实质性要求，有一项负偏离，作无效投标处理。</w:t>
            </w:r>
            <w:r>
              <w:rPr>
                <w:rFonts w:ascii="宋体" w:hAnsi="宋体" w:eastAsia="宋体" w:cs="宋体"/>
                <w:b/>
                <w:bCs/>
                <w:color w:val="auto"/>
                <w:szCs w:val="21"/>
              </w:rPr>
              <w:t xml:space="preserve">招标文件中标注“▲”的为重要参数，每负偏离一项扣</w:t>
            </w:r>
            <w:r>
              <w:rPr>
                <w:rFonts w:hint="eastAsia" w:ascii="宋体" w:hAnsi="宋体" w:eastAsia="宋体"/>
                <w:b/>
                <w:color w:val="auto"/>
                <w:lang w:val="en-US" w:eastAsia="zh-CN"/>
              </w:rPr>
              <w:t xml:space="preserve">4</w:t>
            </w:r>
            <w:r>
              <w:rPr>
                <w:rFonts w:ascii="宋体" w:hAnsi="宋体" w:eastAsia="宋体" w:cs="宋体"/>
                <w:b/>
                <w:bCs/>
                <w:color w:val="auto"/>
                <w:szCs w:val="21"/>
              </w:rPr>
              <w:t xml:space="preserve">分</w:t>
            </w:r>
            <w:r>
              <w:rPr>
                <w:rFonts w:hint="eastAsia" w:ascii="宋体" w:hAnsi="宋体" w:eastAsia="宋体" w:cs="宋体"/>
                <w:b/>
                <w:bCs/>
                <w:color w:val="auto"/>
                <w:szCs w:val="21"/>
              </w:rPr>
              <w:t xml:space="preserve">。</w:t>
            </w:r>
            <w:r>
              <w:rPr>
                <w:rFonts w:hint="eastAsia" w:ascii="宋体" w:hAnsi="宋体" w:eastAsia="宋体" w:cs="宋体"/>
                <w:color w:val="auto"/>
                <w:szCs w:val="21"/>
              </w:rPr>
              <w:t xml:space="preserve">其他非重要技术条款每有一项负偏离扣</w:t>
            </w:r>
            <w:r>
              <w:rPr>
                <w:rFonts w:hint="eastAsia" w:ascii="宋体" w:hAnsi="宋体" w:eastAsia="宋体" w:cs="宋体"/>
                <w:b/>
                <w:bCs/>
                <w:color w:val="auto"/>
                <w:szCs w:val="21"/>
              </w:rPr>
              <w:t xml:space="preserve">0.</w:t>
            </w:r>
            <w:r>
              <w:rPr>
                <w:rFonts w:hint="eastAsia" w:ascii="宋体" w:hAnsi="宋体" w:eastAsia="宋体" w:cs="宋体"/>
                <w:b/>
                <w:bCs/>
                <w:color w:val="auto"/>
                <w:szCs w:val="21"/>
                <w:lang w:val="en-US" w:eastAsia="zh-CN"/>
              </w:rPr>
              <w:t xml:space="preserve">3</w:t>
            </w:r>
            <w:r>
              <w:rPr>
                <w:rFonts w:hint="eastAsia" w:ascii="宋体" w:hAnsi="宋体" w:eastAsia="宋体" w:cs="宋体"/>
                <w:b/>
                <w:bCs/>
                <w:color w:val="auto"/>
                <w:szCs w:val="21"/>
              </w:rPr>
              <w:t xml:space="preserve">5分</w:t>
            </w:r>
            <w:r>
              <w:rPr>
                <w:rFonts w:hint="eastAsia" w:ascii="宋体" w:hAnsi="宋体" w:eastAsia="宋体" w:cs="宋体"/>
                <w:color w:val="auto"/>
                <w:szCs w:val="21"/>
              </w:rPr>
              <w:t xml:space="preserve">，扣完为止。所有技术参数中，若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color w:val="auto"/>
              </w:rPr>
            </w:r>
            <w:r/>
          </w:p>
          <w:p>
            <w:pPr>
              <w:pStyle w:val="1053"/>
              <w:spacing w:before="0" w:after="0" w:line="240" w:lineRule="auto"/>
              <w:rPr>
                <w:rFonts w:hint="eastAsia" w:ascii="宋体" w:hAnsi="宋体" w:eastAsia="宋体" w:cs="宋体"/>
                <w:b/>
                <w:bCs/>
                <w:color w:val="auto"/>
                <w:szCs w:val="21"/>
              </w:rPr>
            </w:pPr>
            <w:r>
              <w:rPr>
                <w:rFonts w:hint="eastAsia" w:ascii="宋体" w:hAnsi="宋体" w:eastAsia="宋体" w:cs="宋体"/>
                <w:b/>
                <w:bCs/>
                <w:color w:val="auto"/>
                <w:szCs w:val="21"/>
              </w:rPr>
              <w:t xml:space="preserve">采购分包2：</w:t>
            </w:r>
            <w:r>
              <w:rPr>
                <w:color w:val="auto"/>
              </w:rPr>
            </w:r>
            <w:r/>
          </w:p>
          <w:p>
            <w:pPr>
              <w:pStyle w:val="1053"/>
              <w:spacing w:before="0" w:after="0" w:line="240" w:lineRule="auto"/>
              <w:rPr>
                <w:rFonts w:hint="eastAsia" w:ascii="宋体" w:hAnsi="宋体" w:eastAsia="宋体" w:cs="宋体"/>
                <w:szCs w:val="21"/>
              </w:rPr>
            </w:pPr>
            <w:r>
              <w:rPr>
                <w:rFonts w:hint="eastAsia" w:ascii="宋体" w:hAnsi="宋体" w:eastAsia="宋体" w:cs="宋体"/>
                <w:color w:val="auto"/>
                <w:szCs w:val="21"/>
              </w:rPr>
              <w:t xml:space="preserve">设备技术参数及商务要求全部满足招标要求的得满</w:t>
            </w:r>
            <w:r>
              <w:rPr>
                <w:rFonts w:hint="eastAsia" w:ascii="宋体" w:hAnsi="宋体" w:eastAsia="宋体" w:cs="宋体"/>
                <w:szCs w:val="21"/>
              </w:rPr>
              <w:t xml:space="preserve">分</w:t>
            </w:r>
            <w:r>
              <w:rPr>
                <w:rFonts w:hint="eastAsia" w:ascii="宋体" w:hAnsi="宋体" w:eastAsia="宋体" w:cs="宋体"/>
                <w:b/>
                <w:bCs/>
                <w:szCs w:val="21"/>
              </w:rPr>
              <w:t xml:space="preserve">3</w:t>
            </w:r>
            <w:r>
              <w:rPr>
                <w:rFonts w:hint="eastAsia" w:ascii="宋体" w:hAnsi="宋体" w:eastAsia="宋体" w:cs="宋体"/>
                <w:b/>
                <w:bCs/>
                <w:szCs w:val="21"/>
                <w:lang w:val="en-US" w:eastAsia="zh-CN"/>
              </w:rPr>
              <w:t xml:space="preserve">4</w:t>
            </w:r>
            <w:r>
              <w:rPr>
                <w:rFonts w:hint="eastAsia" w:ascii="宋体" w:hAnsi="宋体" w:eastAsia="宋体" w:cs="宋体"/>
                <w:b/>
                <w:bCs/>
                <w:szCs w:val="21"/>
              </w:rPr>
              <w:t xml:space="preserve">分</w:t>
            </w:r>
            <w:r>
              <w:rPr>
                <w:rFonts w:hint="eastAsia" w:ascii="宋体" w:hAnsi="宋体" w:eastAsia="宋体" w:cs="宋体"/>
                <w:szCs w:val="21"/>
              </w:rPr>
              <w:t xml:space="preserve">；</w:t>
            </w:r>
            <w:r>
              <w:rPr>
                <w:rFonts w:hint="eastAsia" w:ascii="宋体" w:hAnsi="宋体" w:eastAsia="宋体" w:cs="宋体"/>
                <w:szCs w:val="21"/>
              </w:rPr>
            </w:r>
            <w:r/>
          </w:p>
          <w:p>
            <w:pPr>
              <w:pStyle w:val="1053"/>
              <w:spacing w:before="0" w:after="0" w:line="240" w:lineRule="auto"/>
              <w:rPr>
                <w:rFonts w:hint="eastAsia" w:ascii="宋体" w:hAnsi="宋体" w:eastAsia="宋体" w:cs="宋体"/>
                <w:b/>
                <w:bCs/>
                <w:szCs w:val="21"/>
              </w:rPr>
            </w:pPr>
            <w:r>
              <w:rPr>
                <w:rFonts w:hint="eastAsia" w:ascii="宋体" w:hAnsi="宋体" w:eastAsia="宋体" w:cs="宋体"/>
                <w:szCs w:val="21"/>
              </w:rPr>
              <w:t xml:space="preserve">在此基础上，招标文件中标注“</w:t>
            </w:r>
            <w:r>
              <w:rPr>
                <w:rFonts w:hint="eastAsia" w:ascii="宋体" w:hAnsi="宋体" w:eastAsia="宋体" w:cs="宋体"/>
                <w:szCs w:val="21"/>
              </w:rPr>
              <w:t xml:space="preserve">★”的</w:t>
            </w:r>
            <w:r>
              <w:rPr>
                <w:rFonts w:hint="eastAsia" w:ascii="宋体" w:hAnsi="宋体" w:eastAsia="宋体" w:cs="宋体"/>
                <w:b/>
                <w:bCs/>
                <w:szCs w:val="21"/>
              </w:rPr>
              <w:t xml:space="preserve">条款为实质性要求，有一项负偏离，作无效投标处理。</w:t>
            </w:r>
            <w:r>
              <w:rPr>
                <w:rFonts w:ascii="宋体" w:hAnsi="宋体" w:eastAsia="宋体" w:cs="宋体"/>
                <w:b/>
                <w:bCs/>
                <w:szCs w:val="21"/>
              </w:rPr>
              <w:t xml:space="preserve">招标文件中标注“▲”的为重要参数，每负偏离一项扣</w:t>
            </w:r>
            <w:r>
              <w:rPr>
                <w:rFonts w:hint="eastAsia" w:ascii="宋体" w:hAnsi="宋体" w:eastAsia="宋体"/>
                <w:b/>
              </w:rPr>
              <w:t xml:space="preserve">1</w:t>
            </w:r>
            <w:r>
              <w:rPr>
                <w:rFonts w:ascii="宋体" w:hAnsi="宋体" w:eastAsia="宋体" w:cs="宋体"/>
                <w:b/>
                <w:bCs/>
                <w:szCs w:val="21"/>
              </w:rPr>
              <w:t xml:space="preserve">分</w:t>
            </w:r>
            <w:r>
              <w:rPr>
                <w:rFonts w:hint="eastAsia" w:ascii="宋体" w:hAnsi="宋体" w:eastAsia="宋体" w:cs="宋体"/>
                <w:b/>
                <w:bCs/>
                <w:szCs w:val="21"/>
              </w:rPr>
              <w:t xml:space="preserve">。</w:t>
            </w:r>
            <w:r>
              <w:rPr>
                <w:rFonts w:hint="eastAsia" w:ascii="宋体" w:hAnsi="宋体" w:eastAsia="宋体" w:cs="宋体"/>
                <w:szCs w:val="21"/>
              </w:rPr>
              <w:t xml:space="preserve">其他非重要技术条款每有一项负偏离扣</w:t>
            </w:r>
            <w:r>
              <w:rPr>
                <w:rFonts w:hint="eastAsia" w:ascii="宋体" w:hAnsi="宋体" w:eastAsia="宋体" w:cs="宋体"/>
                <w:b/>
                <w:bCs/>
                <w:szCs w:val="21"/>
              </w:rPr>
              <w:t xml:space="preserve">0.1分</w:t>
            </w:r>
            <w:r>
              <w:rPr>
                <w:rFonts w:hint="eastAsia" w:ascii="宋体" w:hAnsi="宋体" w:eastAsia="宋体" w:cs="宋体"/>
                <w:szCs w:val="21"/>
              </w:rPr>
              <w:t xml:space="preserve">，扣完为止。所有技术参数中，若简单复制招标文件并标注响应或无偏离，而又无相关完整技术支持资料证实，评审时评审委员会成员有权不予认可。对招标文件明确的需主观判定的功能性描述要求未做任何情况说明或响应承诺的，评标委员会有权予以否决或做负偏离处理。</w:t>
            </w:r>
            <w:r>
              <w:rPr>
                <w:rFonts w:hint="eastAsia" w:ascii="宋体" w:hAnsi="宋体" w:eastAsia="宋体" w:cs="宋体"/>
                <w:b/>
                <w:bCs/>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b/>
                <w:bCs/>
                <w:szCs w:val="21"/>
              </w:rPr>
              <w:t xml:space="preserve">注：</w:t>
            </w:r>
            <w:r>
              <w:rPr>
                <w:rFonts w:hint="eastAsia" w:ascii="宋体" w:hAnsi="宋体" w:eastAsia="宋体" w:cs="宋体"/>
                <w:b/>
                <w:szCs w:val="21"/>
              </w:rPr>
              <w:t xml:space="preserve">所有对招标文件标注</w:t>
            </w:r>
            <w:r>
              <w:rPr>
                <w:rFonts w:hint="eastAsia" w:ascii="宋体" w:hAnsi="宋体" w:eastAsia="宋体" w:cs="宋体"/>
                <w:szCs w:val="21"/>
              </w:rPr>
              <w:t xml:space="preserve">“</w:t>
            </w:r>
            <w:r>
              <w:rPr>
                <w:rFonts w:hint="eastAsia" w:ascii="宋体" w:hAnsi="宋体" w:eastAsia="宋体" w:cs="宋体"/>
                <w:szCs w:val="21"/>
              </w:rPr>
              <w:t xml:space="preserve">★”和</w:t>
            </w:r>
            <w:r>
              <w:rPr>
                <w:rFonts w:ascii="宋体" w:hAnsi="宋体" w:eastAsia="宋体" w:cs="宋体"/>
                <w:b/>
                <w:bCs/>
                <w:szCs w:val="21"/>
              </w:rPr>
              <w:t xml:space="preserve">“▲”</w:t>
            </w:r>
            <w:r>
              <w:rPr>
                <w:rFonts w:hint="eastAsia" w:ascii="宋体" w:hAnsi="宋体" w:eastAsia="宋体" w:cs="宋体"/>
                <w:b/>
                <w:szCs w:val="21"/>
              </w:rPr>
              <w:t xml:space="preserve">的具体要求、参数、数值指标的响应，要求投标供应商必须在投标文件中提供技术支持资料（技术支持资料种类以文件第四章要求为准，如无特殊要求，则为能明确说明该技术内容的公开发行的手册、彩页、官网截图、功能页面截图、检测报告或白皮书等证明材料）。</w:t>
            </w:r>
            <w:r>
              <w:rPr>
                <w:rFonts w:hint="eastAsia" w:ascii="宋体" w:hAnsi="宋体" w:eastAsia="宋体" w:cs="宋体"/>
                <w:szCs w:val="21"/>
              </w:rPr>
            </w:r>
            <w:r/>
          </w:p>
        </w:tc>
        <w:tc>
          <w:tcPr>
            <w:tcW w:w="757" w:type="dxa"/>
            <w:vAlign w:val="center"/>
            <w:textDirection w:val="lrTb"/>
            <w:noWrap/>
          </w:tcPr>
          <w:p>
            <w:pPr>
              <w:pStyle w:val="1053"/>
              <w:jc w:val="center"/>
              <w:spacing w:line="480" w:lineRule="exact"/>
              <w:rPr>
                <w:rFonts w:hint="eastAsia" w:ascii="宋体" w:hAnsi="宋体" w:eastAsia="宋体" w:cs="宋体"/>
                <w:szCs w:val="21"/>
                <w:lang w:eastAsia="zh-CN"/>
              </w:rPr>
            </w:pPr>
            <w:r>
              <w:rPr>
                <w:rFonts w:hint="eastAsia" w:ascii="宋体" w:hAnsi="宋体" w:eastAsia="宋体" w:cs="宋体"/>
                <w:szCs w:val="21"/>
              </w:rPr>
              <w:t xml:space="preserve">3</w:t>
            </w:r>
            <w:r>
              <w:rPr>
                <w:rFonts w:hint="eastAsia" w:ascii="宋体" w:hAnsi="宋体" w:eastAsia="宋体" w:cs="宋体"/>
                <w:szCs w:val="21"/>
                <w:lang w:val="en-US" w:eastAsia="zh-CN"/>
              </w:rPr>
              <w:t xml:space="preserve">4</w:t>
            </w:r>
            <w:r>
              <w:rPr>
                <w:rFonts w:hint="eastAsia" w:ascii="宋体" w:hAnsi="宋体" w:eastAsia="宋体" w:cs="宋体"/>
                <w:szCs w:val="21"/>
                <w:lang w:eastAsia="zh-CN"/>
              </w:rPr>
            </w:r>
            <w:r/>
          </w:p>
        </w:tc>
      </w:tr>
      <w:tr>
        <w:trPr>
          <w:cantSplit/>
        </w:trPr>
        <w:tc>
          <w:tcPr>
            <w:tcW w:w="831" w:type="dxa"/>
            <w:vAlign w:val="center"/>
            <w:textDirection w:val="lrTb"/>
            <w:noWrap/>
          </w:tcPr>
          <w:p>
            <w:pPr>
              <w:pStyle w:val="1053"/>
              <w:jc w:val="center"/>
              <w:spacing w:line="480" w:lineRule="exact"/>
              <w:rPr>
                <w:rFonts w:hint="eastAsia" w:ascii="宋体" w:hAnsi="宋体" w:eastAsia="宋体" w:cs="宋体"/>
                <w:szCs w:val="21"/>
              </w:rPr>
            </w:pPr>
            <w:r>
              <w:rPr>
                <w:rFonts w:hint="eastAsia" w:ascii="宋体" w:hAnsi="宋体" w:eastAsia="宋体" w:cs="宋体"/>
                <w:szCs w:val="21"/>
              </w:rPr>
              <w:t xml:space="preserve">2.2</w:t>
            </w:r>
            <w:r>
              <w:rPr>
                <w:rFonts w:hint="eastAsia" w:ascii="宋体" w:hAnsi="宋体" w:eastAsia="宋体" w:cs="宋体"/>
                <w:szCs w:val="21"/>
              </w:rPr>
            </w:r>
            <w:r/>
          </w:p>
        </w:tc>
        <w:tc>
          <w:tcPr>
            <w:tcW w:w="1406" w:type="dxa"/>
            <w:vAlign w:val="center"/>
            <w:vMerge w:val="continue"/>
            <w:textDirection w:val="lrTb"/>
            <w:noWrap/>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53"/>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产品科研前瞻性、可升级性：</w:t>
            </w:r>
            <w:r>
              <w:rPr>
                <w:rFonts w:hint="eastAsia" w:ascii="宋体" w:hAnsi="宋体" w:eastAsia="宋体" w:cs="宋体"/>
                <w:b/>
                <w:bCs/>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根据供应商提供产品的科研前瞻性、整机设备迭代升级拓展能力及对应佐证材料综合评审：</w:t>
            </w:r>
            <w:r>
              <w:rPr>
                <w:rFonts w:hint="eastAsia" w:ascii="宋体" w:hAnsi="宋体" w:eastAsia="宋体" w:cs="宋体"/>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提供完整、真实有效的证明材料，产品科研行业前瞻优势突出，软硬件架构开放性强，具备长期迭代、模块化升级、功能拓展、兼容新一代科研配套设备等成熟落地条件，前瞻性与可升级性表现优异的得5分；</w:t>
            </w:r>
            <w:r>
              <w:rPr>
                <w:rFonts w:hint="eastAsia" w:ascii="宋体" w:hAnsi="宋体" w:eastAsia="宋体" w:cs="宋体"/>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已提供有效佐证材料，产品科研前瞻性、整机可升级性二者其一表现良好，另一项水平普通，整体拓展升级空间常规，无明显短板但无突出领先优势的得3分；</w:t>
            </w:r>
            <w:r>
              <w:rPr>
                <w:rFonts w:hint="eastAsia" w:ascii="宋体" w:hAnsi="宋体" w:eastAsia="宋体" w:cs="宋体"/>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已提供佐证材料，但产品科研前瞻性偏弱，或是整机硬件、系统架构固化严重，升级改造难度高、拓展空间狭小的得1分；</w:t>
            </w:r>
            <w:r>
              <w:rPr>
                <w:rFonts w:hint="eastAsia" w:ascii="宋体" w:hAnsi="宋体" w:eastAsia="宋体" w:cs="宋体"/>
                <w:szCs w:val="21"/>
              </w:rPr>
            </w:r>
            <w:r/>
          </w:p>
          <w:p>
            <w:pPr>
              <w:pStyle w:val="1053"/>
              <w:spacing w:before="0" w:after="0" w:line="240" w:lineRule="auto"/>
              <w:rPr>
                <w:rFonts w:hint="eastAsia" w:ascii="宋体" w:hAnsi="宋体" w:eastAsia="宋体" w:cs="宋体"/>
                <w:b/>
                <w:bCs/>
                <w:szCs w:val="21"/>
              </w:rPr>
            </w:pPr>
            <w:r>
              <w:rPr>
                <w:rFonts w:hint="eastAsia" w:ascii="宋体" w:hAnsi="宋体" w:eastAsia="宋体" w:cs="宋体"/>
                <w:szCs w:val="21"/>
              </w:rPr>
              <w:t xml:space="preserve">未提供任何有效佐证材料；或产品无科研前瞻设计、整机完全不支持后期升级拓展不得分。</w:t>
            </w:r>
            <w:r>
              <w:rPr>
                <w:rFonts w:hint="eastAsia" w:ascii="宋体" w:hAnsi="宋体" w:eastAsia="宋体" w:cs="宋体"/>
                <w:b/>
                <w:bCs/>
                <w:szCs w:val="21"/>
              </w:rPr>
            </w:r>
            <w:r/>
          </w:p>
        </w:tc>
        <w:tc>
          <w:tcPr>
            <w:tcW w:w="757" w:type="dxa"/>
            <w:vAlign w:val="center"/>
            <w:textDirection w:val="lrTb"/>
            <w:noWrap/>
          </w:tcPr>
          <w:p>
            <w:pPr>
              <w:pStyle w:val="1053"/>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r>
      <w:tr>
        <w:trPr>
          <w:cantSplit/>
        </w:trPr>
        <w:tc>
          <w:tcPr>
            <w:tcW w:w="831" w:type="dxa"/>
            <w:vAlign w:val="center"/>
            <w:textDirection w:val="lrTb"/>
            <w:noWrap/>
          </w:tcPr>
          <w:p>
            <w:pPr>
              <w:pStyle w:val="1053"/>
              <w:jc w:val="center"/>
              <w:spacing w:line="480" w:lineRule="exact"/>
              <w:rPr>
                <w:rFonts w:hint="eastAsia" w:ascii="宋体" w:hAnsi="宋体" w:eastAsia="宋体" w:cs="宋体"/>
                <w:szCs w:val="21"/>
              </w:rPr>
            </w:pPr>
            <w:r>
              <w:rPr>
                <w:rFonts w:hint="eastAsia" w:ascii="宋体" w:hAnsi="宋体" w:eastAsia="宋体" w:cs="宋体"/>
                <w:szCs w:val="21"/>
              </w:rPr>
              <w:t xml:space="preserve">2.3</w:t>
            </w:r>
            <w:r>
              <w:rPr>
                <w:rFonts w:hint="eastAsia" w:ascii="宋体" w:hAnsi="宋体" w:eastAsia="宋体" w:cs="宋体"/>
                <w:szCs w:val="21"/>
              </w:rPr>
            </w:r>
            <w:r/>
          </w:p>
        </w:tc>
        <w:tc>
          <w:tcPr>
            <w:tcW w:w="1406" w:type="dxa"/>
            <w:vAlign w:val="center"/>
            <w:vMerge w:val="continue"/>
            <w:textDirection w:val="lrTb"/>
            <w:noWrap/>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53"/>
              <w:spacing w:before="0" w:after="0" w:line="240" w:lineRule="auto"/>
              <w:rPr>
                <w:rFonts w:hint="eastAsia" w:ascii="宋体" w:hAnsi="宋体" w:eastAsia="宋体" w:cs="宋体"/>
                <w:szCs w:val="21"/>
              </w:rPr>
            </w:pPr>
            <w:r>
              <w:rPr>
                <w:rFonts w:hint="eastAsia" w:ascii="宋体" w:hAnsi="宋体" w:eastAsia="宋体" w:cs="宋体"/>
                <w:b/>
                <w:bCs/>
                <w:szCs w:val="21"/>
              </w:rPr>
              <w:t xml:space="preserve">评委根据投标文件中产品技术方案进行打分：</w:t>
            </w:r>
            <w:r>
              <w:rPr>
                <w:rFonts w:hint="eastAsia" w:ascii="宋体" w:hAnsi="宋体" w:eastAsia="宋体" w:cs="宋体"/>
                <w:szCs w:val="21"/>
              </w:rPr>
              <w:br w:type="textWrapping" w:clear="all"/>
            </w:r>
            <w:r>
              <w:rPr>
                <w:rFonts w:hint="eastAsia" w:ascii="宋体" w:hAnsi="宋体" w:eastAsia="宋体" w:cs="宋体"/>
                <w:szCs w:val="21"/>
              </w:rPr>
              <w:t xml:space="preserve">产品选型与规格完全匹配项目需求；设计方案内容详实，执行标准明确；材质选用列明具体品牌、牌号或技术等级；制造工艺描述清晰，包含关键制造工艺工序的，得5分；</w:t>
            </w:r>
            <w:r>
              <w:rPr>
                <w:rFonts w:hint="eastAsia" w:ascii="宋体" w:hAnsi="宋体" w:eastAsia="宋体" w:cs="宋体"/>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产品选型与规格符合项目需求；设计方案完整；材质选用说明材质类型；制造工艺有基本描述，得3分；</w:t>
            </w:r>
            <w:r>
              <w:rPr>
                <w:rFonts w:hint="eastAsia" w:ascii="宋体" w:hAnsi="宋体" w:eastAsia="宋体" w:cs="宋体"/>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产品选型、规格、设计方案、性能、材质选用或制造工艺中有任一内容与采购文件要求存在负偏离，但不影响产品基本使用功能，得1分；</w:t>
            </w:r>
            <w:r>
              <w:rPr>
                <w:rFonts w:hint="eastAsia" w:ascii="宋体" w:hAnsi="宋体" w:eastAsia="宋体" w:cs="宋体"/>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未提供本项对应的产品技术方案、材质说明、制造工艺等相关响应资料的，本项不得分。</w:t>
            </w:r>
            <w:r>
              <w:rPr>
                <w:rFonts w:hint="eastAsia" w:ascii="宋体" w:hAnsi="宋体" w:eastAsia="宋体" w:cs="宋体"/>
                <w:szCs w:val="21"/>
              </w:rPr>
            </w:r>
            <w:r/>
          </w:p>
        </w:tc>
        <w:tc>
          <w:tcPr>
            <w:tcW w:w="757" w:type="dxa"/>
            <w:vAlign w:val="center"/>
            <w:textDirection w:val="lrTb"/>
            <w:noWrap/>
          </w:tcPr>
          <w:p>
            <w:pPr>
              <w:pStyle w:val="1053"/>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r>
      <w:tr>
        <w:trPr>
          <w:cantSplit/>
        </w:trPr>
        <w:tc>
          <w:tcPr>
            <w:tcW w:w="831" w:type="dxa"/>
            <w:vAlign w:val="center"/>
            <w:vMerge w:val="restart"/>
            <w:textDirection w:val="lrTb"/>
            <w:noWrap/>
          </w:tcPr>
          <w:p>
            <w:pPr>
              <w:pStyle w:val="1053"/>
              <w:jc w:val="center"/>
              <w:spacing w:line="480" w:lineRule="exact"/>
              <w:rPr>
                <w:rFonts w:hint="eastAsia" w:ascii="宋体" w:hAnsi="宋体" w:eastAsia="宋体" w:cs="宋体"/>
                <w:szCs w:val="21"/>
              </w:rPr>
            </w:pPr>
            <w:r>
              <w:rPr>
                <w:rFonts w:hint="eastAsia" w:ascii="宋体" w:hAnsi="宋体" w:eastAsia="宋体" w:cs="宋体"/>
                <w:szCs w:val="21"/>
              </w:rPr>
              <w:t xml:space="preserve">3</w:t>
            </w:r>
            <w:r>
              <w:rPr>
                <w:rFonts w:hint="eastAsia" w:ascii="宋体" w:hAnsi="宋体" w:eastAsia="宋体" w:cs="宋体"/>
                <w:szCs w:val="21"/>
              </w:rPr>
            </w:r>
            <w:r/>
          </w:p>
        </w:tc>
        <w:tc>
          <w:tcPr>
            <w:tcW w:w="1406" w:type="dxa"/>
            <w:vAlign w:val="center"/>
            <w:vMerge w:val="restart"/>
            <w:textDirection w:val="lrTb"/>
            <w:noWrap/>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实施方案</w:t>
            </w:r>
            <w:r>
              <w:rPr>
                <w:rFonts w:hint="eastAsia" w:ascii="宋体" w:hAnsi="宋体" w:eastAsia="宋体" w:cs="宋体"/>
                <w:szCs w:val="21"/>
              </w:rPr>
            </w:r>
            <w:r/>
          </w:p>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0</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53"/>
              <w:spacing w:before="0" w:after="0" w:line="240" w:lineRule="auto"/>
              <w:rPr>
                <w:rFonts w:hint="eastAsia" w:ascii="宋体" w:hAnsi="宋体" w:eastAsia="宋体" w:cs="宋体"/>
                <w:b/>
                <w:bCs/>
                <w:szCs w:val="21"/>
              </w:rPr>
            </w:pPr>
            <w:r>
              <w:rPr>
                <w:rFonts w:hint="eastAsia" w:ascii="宋体" w:hAnsi="宋体" w:eastAsia="宋体" w:cs="宋体"/>
                <w:b/>
                <w:bCs/>
                <w:szCs w:val="21"/>
                <w:lang w:bidi="ar"/>
              </w:rPr>
              <w:t xml:space="preserve">评委根据投标文件中实施方案的内容（</w:t>
            </w:r>
            <w:r>
              <w:rPr>
                <w:rFonts w:hint="eastAsia" w:ascii="宋体" w:hAnsi="宋体" w:eastAsia="宋体" w:cs="宋体"/>
                <w:b/>
                <w:bCs/>
                <w:szCs w:val="21"/>
              </w:rPr>
              <w:t xml:space="preserve">包括但不限于项目技术方案、供货计划、质量保障措施、风险控制管理措施等）</w:t>
            </w:r>
            <w:r>
              <w:rPr>
                <w:rFonts w:hint="eastAsia" w:ascii="宋体" w:hAnsi="宋体" w:eastAsia="宋体" w:cs="宋体"/>
                <w:b/>
                <w:bCs/>
                <w:szCs w:val="21"/>
                <w:lang w:bidi="ar"/>
              </w:rPr>
              <w:t xml:space="preserve">进行打分：</w:t>
            </w:r>
            <w:r>
              <w:rPr>
                <w:rFonts w:hint="eastAsia" w:ascii="宋体" w:hAnsi="宋体" w:eastAsia="宋体" w:cs="宋体"/>
                <w:b/>
                <w:bCs/>
                <w:szCs w:val="21"/>
              </w:rPr>
            </w:r>
            <w:r/>
          </w:p>
          <w:p>
            <w:pPr>
              <w:pStyle w:val="1053"/>
              <w:spacing w:before="0" w:after="0" w:line="240" w:lineRule="auto"/>
              <w:rPr>
                <w:rFonts w:hint="eastAsia" w:ascii="宋体" w:hAnsi="宋体" w:eastAsia="宋体" w:cs="宋体"/>
                <w:szCs w:val="21"/>
                <w:lang w:bidi="ar"/>
              </w:rPr>
            </w:pPr>
            <w:r>
              <w:rPr>
                <w:rFonts w:hint="eastAsia" w:ascii="宋体" w:hAnsi="宋体" w:eastAsia="宋体" w:cs="宋体"/>
                <w:szCs w:val="21"/>
                <w:lang w:bidi="ar"/>
              </w:rPr>
              <w:t xml:space="preserve">方案体系完整、内容详尽、落地性强，服务标准高于采购人要求，得</w:t>
            </w:r>
            <w:r>
              <w:rPr>
                <w:rFonts w:ascii="宋体" w:hAnsi="宋体" w:eastAsia="宋体" w:cs="宋体"/>
                <w:szCs w:val="21"/>
                <w:lang w:bidi="ar"/>
              </w:rPr>
              <w:t xml:space="preserve">5</w:t>
            </w:r>
            <w:r>
              <w:rPr>
                <w:rFonts w:hint="eastAsia" w:ascii="宋体" w:hAnsi="宋体" w:eastAsia="宋体" w:cs="宋体"/>
                <w:szCs w:val="21"/>
                <w:lang w:bidi="ar"/>
              </w:rPr>
              <w:t xml:space="preserve"> 分；</w:t>
            </w:r>
            <w:r>
              <w:rPr>
                <w:rFonts w:hint="eastAsia" w:ascii="宋体" w:hAnsi="宋体" w:eastAsia="宋体" w:cs="宋体"/>
                <w:szCs w:val="21"/>
                <w:lang w:bidi="ar"/>
              </w:rPr>
            </w:r>
            <w:r/>
          </w:p>
          <w:p>
            <w:pPr>
              <w:pStyle w:val="1053"/>
              <w:spacing w:before="0" w:after="0" w:line="240" w:lineRule="auto"/>
              <w:rPr>
                <w:rFonts w:hint="eastAsia" w:ascii="宋体" w:hAnsi="宋体" w:eastAsia="宋体" w:cs="宋体"/>
                <w:szCs w:val="21"/>
                <w:lang w:bidi="ar"/>
              </w:rPr>
            </w:pPr>
            <w:r>
              <w:rPr>
                <w:rFonts w:hint="eastAsia" w:ascii="宋体" w:hAnsi="宋体" w:eastAsia="宋体" w:cs="宋体"/>
                <w:szCs w:val="21"/>
                <w:lang w:bidi="ar"/>
              </w:rPr>
              <w:t xml:space="preserve">方案要素齐全、内容规范，可充分满足采购人各项需求，得 3 分；</w:t>
            </w:r>
            <w:r>
              <w:rPr>
                <w:rFonts w:hint="eastAsia" w:ascii="宋体" w:hAnsi="宋体" w:eastAsia="宋体" w:cs="宋体"/>
                <w:szCs w:val="21"/>
                <w:lang w:bidi="ar"/>
              </w:rPr>
            </w:r>
            <w:r/>
          </w:p>
          <w:p>
            <w:pPr>
              <w:pStyle w:val="1053"/>
              <w:spacing w:before="0" w:after="0" w:line="240" w:lineRule="auto"/>
              <w:rPr>
                <w:rFonts w:hint="eastAsia" w:ascii="宋体" w:hAnsi="宋体" w:eastAsia="宋体" w:cs="宋体"/>
                <w:szCs w:val="21"/>
                <w:lang w:bidi="ar"/>
              </w:rPr>
            </w:pPr>
            <w:r>
              <w:rPr>
                <w:rFonts w:hint="eastAsia" w:ascii="宋体" w:hAnsi="宋体" w:eastAsia="宋体" w:cs="宋体"/>
                <w:szCs w:val="21"/>
                <w:lang w:bidi="ar"/>
              </w:rPr>
              <w:t xml:space="preserve">方案内容简略、表述空泛，存在内容缺失，无法完全匹配采购要求，得 1 分；</w:t>
            </w:r>
            <w:r>
              <w:rPr>
                <w:rFonts w:hint="eastAsia" w:ascii="宋体" w:hAnsi="宋体" w:eastAsia="宋体" w:cs="宋体"/>
                <w:szCs w:val="21"/>
                <w:lang w:bidi="ar"/>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lang w:bidi="ar"/>
              </w:rPr>
              <w:t xml:space="preserve">投标文件未附实施方案，或方案逻辑混乱、不具备实际执行条件的，得 0 分。</w:t>
            </w:r>
            <w:r>
              <w:rPr>
                <w:rFonts w:hint="eastAsia" w:ascii="宋体" w:hAnsi="宋体" w:eastAsia="宋体" w:cs="宋体"/>
                <w:szCs w:val="21"/>
              </w:rPr>
            </w:r>
            <w:r/>
          </w:p>
        </w:tc>
        <w:tc>
          <w:tcPr>
            <w:tcW w:w="757" w:type="dxa"/>
            <w:vAlign w:val="center"/>
            <w:textDirection w:val="lrTb"/>
            <w:noWrap/>
          </w:tcPr>
          <w:p>
            <w:pPr>
              <w:pStyle w:val="1053"/>
              <w:jc w:val="center"/>
              <w:spacing w:line="480" w:lineRule="exact"/>
              <w:rPr>
                <w:rFonts w:hint="eastAsia" w:ascii="宋体" w:hAnsi="宋体" w:eastAsia="宋体" w:cs="宋体"/>
                <w:szCs w:val="21"/>
              </w:rPr>
            </w:pPr>
            <w:r>
              <w:rPr>
                <w:rFonts w:ascii="宋体" w:hAnsi="宋体" w:eastAsia="宋体" w:cs="宋体"/>
                <w:szCs w:val="21"/>
              </w:rPr>
              <w:t xml:space="preserve">5</w:t>
            </w:r>
            <w:r>
              <w:rPr>
                <w:rFonts w:hint="eastAsia" w:ascii="宋体" w:hAnsi="宋体" w:eastAsia="宋体" w:cs="宋体"/>
                <w:szCs w:val="21"/>
              </w:rPr>
            </w:r>
            <w:r/>
          </w:p>
        </w:tc>
      </w:tr>
      <w:tr>
        <w:trPr>
          <w:cantSplit/>
        </w:trPr>
        <w:tc>
          <w:tcPr>
            <w:tcW w:w="831" w:type="dxa"/>
            <w:vAlign w:val="center"/>
            <w:vMerge w:val="continue"/>
            <w:textDirection w:val="lrTb"/>
            <w:noWrap/>
          </w:tcPr>
          <w:p>
            <w:pPr>
              <w:pStyle w:val="1053"/>
              <w:jc w:val="center"/>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53"/>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评委根据投标文件中项目技术支撑和实施计划（包括但不限于人员配置、产品质量控制、设备安装调试验收进度、安全保障措施等方面）进行打分：</w:t>
            </w:r>
            <w:r>
              <w:rPr>
                <w:rFonts w:hint="eastAsia" w:ascii="宋体" w:hAnsi="宋体" w:eastAsia="宋体" w:cs="宋体"/>
                <w:b/>
                <w:bCs/>
                <w:szCs w:val="21"/>
              </w:rPr>
            </w:r>
            <w:r/>
          </w:p>
          <w:p>
            <w:pPr>
              <w:pStyle w:val="1053"/>
              <w:jc w:val="left"/>
              <w:spacing w:before="0" w:after="0" w:line="240" w:lineRule="auto"/>
              <w:widowControl/>
              <w:rPr>
                <w:rFonts w:hint="eastAsia" w:ascii="宋体" w:hAnsi="宋体" w:eastAsia="宋体" w:cs="宋体"/>
                <w:szCs w:val="21"/>
              </w:rPr>
            </w:pPr>
            <w:r>
              <w:rPr>
                <w:rFonts w:hint="eastAsia" w:ascii="宋体" w:hAnsi="宋体" w:eastAsia="宋体" w:cs="宋体"/>
                <w:szCs w:val="21"/>
              </w:rPr>
              <w:t xml:space="preserve">实施方案技术支撑配置优于采购人的要求，具有针对性，项目进度分析清晰具体的得</w:t>
            </w:r>
            <w:r>
              <w:rPr>
                <w:rFonts w:ascii="宋体" w:hAnsi="宋体" w:eastAsia="宋体" w:cs="宋体"/>
                <w:szCs w:val="21"/>
              </w:rPr>
              <w:t xml:space="preserve">5</w:t>
            </w:r>
            <w:r>
              <w:rPr>
                <w:rFonts w:hint="eastAsia" w:ascii="宋体" w:hAnsi="宋体" w:eastAsia="宋体" w:cs="宋体"/>
                <w:szCs w:val="21"/>
              </w:rPr>
              <w:t xml:space="preserve">分；</w:t>
            </w:r>
            <w:r>
              <w:rPr>
                <w:rFonts w:hint="eastAsia" w:ascii="宋体" w:hAnsi="宋体" w:eastAsia="宋体" w:cs="宋体"/>
                <w:szCs w:val="21"/>
              </w:rPr>
            </w:r>
            <w:r/>
          </w:p>
          <w:p>
            <w:pPr>
              <w:pStyle w:val="1053"/>
              <w:jc w:val="left"/>
              <w:spacing w:before="0" w:after="0" w:line="240" w:lineRule="auto"/>
              <w:widowControl/>
              <w:rPr>
                <w:rFonts w:hint="eastAsia" w:ascii="宋体" w:hAnsi="宋体" w:eastAsia="宋体" w:cs="宋体"/>
                <w:szCs w:val="21"/>
              </w:rPr>
            </w:pPr>
            <w:r>
              <w:rPr>
                <w:rFonts w:hint="eastAsia" w:ascii="宋体" w:hAnsi="宋体" w:eastAsia="宋体" w:cs="宋体"/>
                <w:szCs w:val="21"/>
              </w:rPr>
              <w:t xml:space="preserve">实施方案技术支撑配置满足采购人的要求，项目进度分析清晰的得3分；实施方案技术支撑配置不能完全满足采购人的要求，项目进度不清晰的得1分；</w:t>
            </w:r>
            <w:r>
              <w:rPr>
                <w:rFonts w:hint="eastAsia" w:ascii="宋体" w:hAnsi="宋体" w:eastAsia="宋体" w:cs="宋体"/>
                <w:szCs w:val="21"/>
              </w:rPr>
            </w:r>
            <w:r/>
          </w:p>
          <w:p>
            <w:pPr>
              <w:pStyle w:val="1053"/>
              <w:jc w:val="left"/>
              <w:spacing w:before="0" w:after="0" w:line="240" w:lineRule="auto"/>
              <w:widowControl/>
              <w:rPr>
                <w:rFonts w:hint="eastAsia" w:ascii="宋体" w:hAnsi="宋体" w:eastAsia="宋体" w:cs="宋体"/>
                <w:szCs w:val="21"/>
              </w:rPr>
            </w:pPr>
            <w:r>
              <w:rPr>
                <w:rFonts w:hint="eastAsia" w:ascii="宋体" w:hAnsi="宋体" w:eastAsia="宋体" w:cs="宋体"/>
                <w:szCs w:val="21"/>
              </w:rPr>
              <w:t xml:space="preserve">未针对本项进行阐述、未提供相应方案的，得0分。</w:t>
            </w:r>
            <w:r>
              <w:rPr>
                <w:rFonts w:hint="eastAsia" w:ascii="宋体" w:hAnsi="宋体" w:eastAsia="宋体" w:cs="宋体"/>
                <w:szCs w:val="21"/>
              </w:rPr>
            </w:r>
            <w:r/>
          </w:p>
        </w:tc>
        <w:tc>
          <w:tcPr>
            <w:tcW w:w="757" w:type="dxa"/>
            <w:vAlign w:val="center"/>
            <w:textDirection w:val="lrTb"/>
            <w:noWrap/>
          </w:tcPr>
          <w:p>
            <w:pPr>
              <w:pStyle w:val="1053"/>
              <w:jc w:val="center"/>
              <w:spacing w:line="480" w:lineRule="exact"/>
              <w:rPr>
                <w:rFonts w:hint="eastAsia" w:ascii="宋体" w:hAnsi="宋体" w:eastAsia="宋体" w:cs="宋体"/>
                <w:szCs w:val="21"/>
              </w:rPr>
            </w:pPr>
            <w:r>
              <w:rPr>
                <w:rFonts w:ascii="宋体" w:hAnsi="宋体" w:eastAsia="宋体" w:cs="宋体"/>
                <w:szCs w:val="21"/>
              </w:rPr>
              <w:t xml:space="preserve">5</w:t>
            </w:r>
            <w:r>
              <w:rPr>
                <w:rFonts w:hint="eastAsia" w:ascii="宋体" w:hAnsi="宋体" w:eastAsia="宋体" w:cs="宋体"/>
                <w:szCs w:val="21"/>
              </w:rPr>
            </w:r>
            <w:r/>
          </w:p>
        </w:tc>
      </w:tr>
      <w:tr>
        <w:trPr>
          <w:cantSplit/>
        </w:trPr>
        <w:tc>
          <w:tcPr>
            <w:tcW w:w="831" w:type="dxa"/>
            <w:vAlign w:val="center"/>
            <w:vMerge w:val="restart"/>
            <w:textDirection w:val="lrTb"/>
            <w:noWrap/>
          </w:tcPr>
          <w:p>
            <w:pPr>
              <w:pStyle w:val="1053"/>
              <w:jc w:val="center"/>
              <w:spacing w:line="480" w:lineRule="exact"/>
              <w:rPr>
                <w:rFonts w:hint="eastAsia" w:ascii="宋体" w:hAnsi="宋体" w:eastAsia="宋体" w:cs="宋体"/>
                <w:szCs w:val="21"/>
              </w:rPr>
            </w:pPr>
            <w:r>
              <w:rPr>
                <w:rFonts w:hint="eastAsia" w:ascii="宋体" w:hAnsi="宋体" w:eastAsia="宋体" w:cs="宋体"/>
                <w:szCs w:val="21"/>
              </w:rPr>
              <w:t xml:space="preserve">4</w:t>
            </w:r>
            <w:r>
              <w:rPr>
                <w:rFonts w:hint="eastAsia" w:ascii="宋体" w:hAnsi="宋体" w:eastAsia="宋体" w:cs="宋体"/>
                <w:szCs w:val="21"/>
              </w:rPr>
            </w:r>
            <w:r/>
          </w:p>
        </w:tc>
        <w:tc>
          <w:tcPr>
            <w:tcW w:w="1406" w:type="dxa"/>
            <w:vAlign w:val="center"/>
            <w:vMerge w:val="restart"/>
            <w:textDirection w:val="lrTb"/>
            <w:noWrap/>
          </w:tcPr>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售后服务方案</w:t>
            </w:r>
            <w:r>
              <w:rPr>
                <w:rFonts w:hint="eastAsia" w:ascii="宋体" w:hAnsi="宋体" w:eastAsia="宋体" w:cs="宋体"/>
                <w:szCs w:val="21"/>
              </w:rPr>
            </w:r>
            <w:r/>
          </w:p>
          <w:p>
            <w:pPr>
              <w:pStyle w:val="1053"/>
              <w:jc w:val="center"/>
              <w:spacing w:line="240" w:lineRule="auto"/>
              <w:rPr>
                <w:rFonts w:hint="eastAsia" w:ascii="宋体" w:hAnsi="宋体" w:eastAsia="宋体" w:cs="宋体"/>
                <w:szCs w:val="21"/>
              </w:rPr>
            </w:pPr>
            <w:r>
              <w:rPr>
                <w:rFonts w:hint="eastAsia" w:ascii="宋体" w:hAnsi="宋体" w:eastAsia="宋体" w:cs="宋体"/>
                <w:szCs w:val="21"/>
              </w:rPr>
              <w:t xml:space="preserve">（1</w:t>
            </w:r>
            <w:r>
              <w:rPr>
                <w:rFonts w:ascii="宋体" w:hAnsi="宋体" w:eastAsia="宋体" w:cs="宋体"/>
                <w:szCs w:val="21"/>
              </w:rPr>
              <w:t xml:space="preserve">0</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53"/>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评委根据投标文件中售后服务方案（包括但不限于服务体系、服务内容、故障解决方案、响应时间、专业技术人员保障及服务电话、备品备件保证、质保期外维保方案等方面）进行打分：</w:t>
            </w:r>
            <w:r>
              <w:rPr>
                <w:rFonts w:hint="eastAsia" w:ascii="宋体" w:hAnsi="宋体" w:eastAsia="宋体" w:cs="宋体"/>
                <w:b/>
                <w:bCs/>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售后服务方案完整详细，有明确的售后服务机构及人员、售后服务承诺、售后服务响应及处理时间，质保期内的售后服务范围、质保期满后的售后服务范围和收费情况清晰具体，</w:t>
            </w:r>
            <w:r>
              <w:rPr>
                <w:rFonts w:hint="eastAsia" w:ascii="宋体" w:hAnsi="宋体" w:eastAsia="宋体" w:cs="宋体"/>
                <w:szCs w:val="21"/>
                <w:lang w:bidi="ar"/>
              </w:rPr>
              <w:t xml:space="preserve">优于采购人要求的，</w:t>
            </w:r>
            <w:r>
              <w:rPr>
                <w:rFonts w:hint="eastAsia" w:ascii="宋体" w:hAnsi="宋体" w:eastAsia="宋体" w:cs="宋体"/>
                <w:bCs/>
                <w:szCs w:val="21"/>
              </w:rPr>
              <w:t xml:space="preserve">得</w:t>
            </w:r>
            <w:r>
              <w:rPr>
                <w:rFonts w:ascii="宋体" w:hAnsi="宋体" w:eastAsia="宋体" w:cs="宋体"/>
                <w:bCs/>
                <w:szCs w:val="21"/>
              </w:rPr>
              <w:t xml:space="preserve">5</w:t>
            </w:r>
            <w:r>
              <w:rPr>
                <w:rFonts w:hint="eastAsia" w:ascii="宋体" w:hAnsi="宋体" w:eastAsia="宋体" w:cs="宋体"/>
                <w:szCs w:val="21"/>
              </w:rPr>
              <w:t xml:space="preserve">分；</w:t>
            </w:r>
            <w:r>
              <w:rPr>
                <w:rFonts w:hint="eastAsia" w:ascii="宋体" w:hAnsi="宋体" w:eastAsia="宋体" w:cs="宋体"/>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售后服务方案完整，有明确的售后服务机构及人员、售后服务承诺、售后服务响应及处理时间，质保期内的售后服务范围、质保期满后的售后服务范围和收费情况满足</w:t>
            </w:r>
            <w:r>
              <w:rPr>
                <w:rFonts w:hint="eastAsia" w:ascii="宋体" w:hAnsi="宋体" w:eastAsia="宋体" w:cs="宋体"/>
                <w:szCs w:val="21"/>
                <w:lang w:bidi="ar"/>
              </w:rPr>
              <w:t xml:space="preserve">采购人要求，</w:t>
            </w:r>
            <w:r>
              <w:rPr>
                <w:rFonts w:hint="eastAsia" w:ascii="宋体" w:hAnsi="宋体" w:eastAsia="宋体" w:cs="宋体"/>
                <w:bCs/>
                <w:szCs w:val="21"/>
              </w:rPr>
              <w:t xml:space="preserve">得3</w:t>
            </w:r>
            <w:r>
              <w:rPr>
                <w:rFonts w:hint="eastAsia" w:ascii="宋体" w:hAnsi="宋体" w:eastAsia="宋体" w:cs="宋体"/>
                <w:szCs w:val="21"/>
              </w:rPr>
              <w:t xml:space="preserve">分；</w:t>
            </w:r>
            <w:r>
              <w:rPr>
                <w:rFonts w:hint="eastAsia" w:ascii="宋体" w:hAnsi="宋体" w:eastAsia="宋体" w:cs="宋体"/>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售后服务体系</w:t>
            </w:r>
            <w:r>
              <w:rPr>
                <w:rFonts w:hint="eastAsia" w:ascii="宋体" w:hAnsi="宋体" w:eastAsia="宋体" w:cs="宋体"/>
                <w:szCs w:val="21"/>
              </w:rPr>
              <w:t xml:space="preserve">薄弱</w:t>
            </w:r>
            <w:r>
              <w:rPr>
                <w:rFonts w:hint="eastAsia" w:ascii="宋体" w:hAnsi="宋体" w:eastAsia="宋体" w:cs="宋体"/>
                <w:szCs w:val="21"/>
              </w:rPr>
              <w:t xml:space="preserve">，售后服务方案各方面内容</w:t>
            </w:r>
            <w:r>
              <w:rPr>
                <w:rFonts w:hint="eastAsia" w:ascii="宋体" w:hAnsi="宋体" w:eastAsia="宋体" w:cs="宋体"/>
                <w:szCs w:val="21"/>
              </w:rPr>
              <w:t xml:space="preserve">介绍不明晰，</w:t>
            </w:r>
            <w:r>
              <w:rPr>
                <w:rFonts w:hint="eastAsia" w:ascii="宋体" w:hAnsi="宋体" w:eastAsia="宋体" w:cs="宋体"/>
                <w:bCs/>
                <w:szCs w:val="21"/>
              </w:rPr>
              <w:t xml:space="preserve">得1</w:t>
            </w:r>
            <w:r>
              <w:rPr>
                <w:rFonts w:hint="eastAsia" w:ascii="宋体" w:hAnsi="宋体" w:eastAsia="宋体" w:cs="宋体"/>
                <w:szCs w:val="21"/>
              </w:rPr>
              <w:t xml:space="preserve">分；</w:t>
            </w:r>
            <w:r>
              <w:rPr>
                <w:rFonts w:hint="eastAsia" w:ascii="宋体" w:hAnsi="宋体" w:eastAsia="宋体" w:cs="宋体"/>
                <w:szCs w:val="21"/>
              </w:rPr>
            </w:r>
            <w:r/>
          </w:p>
          <w:p>
            <w:pPr>
              <w:pStyle w:val="1053"/>
              <w:spacing w:before="0" w:after="0" w:line="240" w:lineRule="auto"/>
              <w:rPr>
                <w:rFonts w:ascii="宋体" w:hAnsi="宋体" w:eastAsia="宋体" w:cs="宋体"/>
                <w:szCs w:val="21"/>
              </w:rPr>
            </w:pPr>
            <w:r>
              <w:rPr>
                <w:rFonts w:hint="eastAsia" w:ascii="宋体" w:hAnsi="宋体" w:eastAsia="宋体" w:cs="宋体"/>
                <w:szCs w:val="21"/>
              </w:rPr>
              <w:t xml:space="preserve">未针对本项进行阐述、未提供相应方案的，得0分。</w:t>
            </w:r>
            <w:r>
              <w:rPr>
                <w:rFonts w:ascii="宋体" w:hAnsi="宋体" w:eastAsia="宋体" w:cs="宋体"/>
                <w:szCs w:val="21"/>
              </w:rPr>
            </w:r>
            <w:r/>
          </w:p>
        </w:tc>
        <w:tc>
          <w:tcPr>
            <w:tcW w:w="757" w:type="dxa"/>
            <w:vAlign w:val="center"/>
            <w:textDirection w:val="lrTb"/>
            <w:noWrap/>
          </w:tcPr>
          <w:p>
            <w:pPr>
              <w:pStyle w:val="1053"/>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r>
      <w:tr>
        <w:trPr>
          <w:cantSplit/>
          <w:trHeight w:val="2529"/>
        </w:trPr>
        <w:tc>
          <w:tcPr>
            <w:tcW w:w="831" w:type="dxa"/>
            <w:vAlign w:val="center"/>
            <w:vMerge w:val="continue"/>
            <w:textDirection w:val="lrTb"/>
            <w:noWrap/>
          </w:tcPr>
          <w:p>
            <w:pPr>
              <w:pStyle w:val="1053"/>
              <w:spacing w:line="480" w:lineRule="exact"/>
              <w:rPr>
                <w:rFonts w:hint="eastAsia" w:ascii="宋体" w:hAnsi="宋体" w:eastAsia="宋体" w:cs="宋体"/>
                <w:szCs w:val="21"/>
              </w:rPr>
            </w:pPr>
            <w:r>
              <w:rPr>
                <w:rFonts w:hint="eastAsia" w:ascii="宋体" w:hAnsi="宋体" w:eastAsia="宋体" w:cs="宋体"/>
                <w:szCs w:val="21"/>
              </w:rPr>
            </w:r>
            <w:r/>
          </w:p>
        </w:tc>
        <w:tc>
          <w:tcPr>
            <w:tcW w:w="1406" w:type="dxa"/>
            <w:vAlign w:val="center"/>
            <w:vMerge w:val="continue"/>
            <w:textDirection w:val="lrTb"/>
            <w:noWrap/>
          </w:tcPr>
          <w:p>
            <w:pPr>
              <w:pStyle w:val="1053"/>
              <w:spacing w:line="240" w:lineRule="auto"/>
              <w:rPr>
                <w:rFonts w:hint="eastAsia" w:ascii="宋体" w:hAnsi="宋体" w:eastAsia="宋体" w:cs="宋体"/>
                <w:szCs w:val="21"/>
              </w:rPr>
            </w:pPr>
            <w:r>
              <w:rPr>
                <w:rFonts w:hint="eastAsia" w:ascii="宋体" w:hAnsi="宋体" w:eastAsia="宋体" w:cs="宋体"/>
                <w:szCs w:val="21"/>
              </w:rPr>
            </w:r>
            <w:r/>
          </w:p>
        </w:tc>
        <w:tc>
          <w:tcPr>
            <w:tcW w:w="6968" w:type="dxa"/>
            <w:vAlign w:val="center"/>
            <w:textDirection w:val="lrTb"/>
            <w:noWrap/>
          </w:tcPr>
          <w:p>
            <w:pPr>
              <w:pStyle w:val="1053"/>
              <w:spacing w:before="0" w:after="0" w:line="240" w:lineRule="auto"/>
              <w:rPr>
                <w:rFonts w:hint="eastAsia" w:ascii="宋体" w:hAnsi="宋体" w:eastAsia="宋体" w:cs="宋体"/>
                <w:b/>
                <w:bCs/>
                <w:szCs w:val="21"/>
              </w:rPr>
            </w:pPr>
            <w:r>
              <w:rPr>
                <w:rFonts w:hint="eastAsia" w:ascii="宋体" w:hAnsi="宋体" w:eastAsia="宋体" w:cs="宋体"/>
                <w:b/>
                <w:bCs/>
                <w:szCs w:val="21"/>
              </w:rPr>
              <w:t xml:space="preserve">评委根据投标文件中培训方案（包括但不限于培训目标、培训方法、培训内容、培训师资力量、培训时间、拟提供的培训资料等方面）进行打分：</w:t>
            </w:r>
            <w:r>
              <w:rPr>
                <w:rFonts w:hint="eastAsia" w:ascii="宋体" w:hAnsi="宋体" w:eastAsia="宋体" w:cs="宋体"/>
                <w:b/>
                <w:bCs/>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培训内容详实丰富、科学贴合项目需求，培训形式多元灵活，方案落地性、可操作性强，培训计划详细，安排合理的，得</w:t>
            </w:r>
            <w:r>
              <w:rPr>
                <w:rFonts w:ascii="宋体" w:hAnsi="宋体" w:eastAsia="宋体" w:cs="宋体"/>
                <w:szCs w:val="21"/>
              </w:rPr>
              <w:t xml:space="preserve">5</w:t>
            </w:r>
            <w:r>
              <w:rPr>
                <w:rFonts w:hint="eastAsia" w:ascii="宋体" w:hAnsi="宋体" w:eastAsia="宋体" w:cs="宋体"/>
                <w:szCs w:val="21"/>
              </w:rPr>
              <w:t xml:space="preserve">分；</w:t>
            </w:r>
            <w:r>
              <w:rPr>
                <w:rFonts w:hint="eastAsia" w:ascii="宋体" w:hAnsi="宋体" w:eastAsia="宋体" w:cs="宋体"/>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培训内容较为丰富、设置合理合规，培训形式多样，方案可操作性强，培训计划明确，满足采购人要求的，得</w:t>
            </w:r>
            <w:r>
              <w:rPr>
                <w:rFonts w:ascii="宋体" w:hAnsi="宋体" w:eastAsia="宋体" w:cs="宋体"/>
                <w:szCs w:val="21"/>
              </w:rPr>
              <w:t xml:space="preserve">3</w:t>
            </w:r>
            <w:r>
              <w:rPr>
                <w:rFonts w:hint="eastAsia" w:ascii="宋体" w:hAnsi="宋体" w:eastAsia="宋体" w:cs="宋体"/>
                <w:szCs w:val="21"/>
              </w:rPr>
              <w:t xml:space="preserve">分；</w:t>
            </w:r>
            <w:r>
              <w:rPr>
                <w:rFonts w:hint="eastAsia" w:ascii="宋体" w:hAnsi="宋体" w:eastAsia="宋体" w:cs="宋体"/>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培训内容简略单薄、合理性一般，培训形式单一固化，培训计划简单，得1分；</w:t>
            </w:r>
            <w:r>
              <w:rPr>
                <w:rFonts w:hint="eastAsia" w:ascii="宋体" w:hAnsi="宋体" w:eastAsia="宋体" w:cs="宋体"/>
                <w:szCs w:val="21"/>
              </w:rPr>
            </w:r>
            <w:r/>
          </w:p>
          <w:p>
            <w:pPr>
              <w:pStyle w:val="1053"/>
              <w:spacing w:before="0" w:after="0" w:line="240" w:lineRule="auto"/>
              <w:rPr>
                <w:rFonts w:hint="eastAsia" w:ascii="宋体" w:hAnsi="宋体" w:eastAsia="宋体" w:cs="宋体"/>
                <w:szCs w:val="21"/>
              </w:rPr>
            </w:pPr>
            <w:r>
              <w:rPr>
                <w:rFonts w:hint="eastAsia" w:ascii="宋体" w:hAnsi="宋体" w:eastAsia="宋体" w:cs="宋体"/>
                <w:szCs w:val="21"/>
              </w:rPr>
              <w:t xml:space="preserve">未针对本项进行阐述、未提供相应方案的，得0分。</w:t>
            </w:r>
            <w:r>
              <w:rPr>
                <w:rFonts w:hint="eastAsia" w:ascii="宋体" w:hAnsi="宋体" w:eastAsia="宋体" w:cs="宋体"/>
                <w:szCs w:val="21"/>
              </w:rPr>
            </w:r>
            <w:r/>
          </w:p>
        </w:tc>
        <w:tc>
          <w:tcPr>
            <w:tcW w:w="757" w:type="dxa"/>
            <w:vAlign w:val="center"/>
            <w:textDirection w:val="lrTb"/>
            <w:noWrap/>
          </w:tcPr>
          <w:p>
            <w:pPr>
              <w:pStyle w:val="1053"/>
              <w:jc w:val="center"/>
              <w:spacing w:line="480" w:lineRule="exact"/>
              <w:rPr>
                <w:rFonts w:hint="eastAsia" w:ascii="宋体" w:hAnsi="宋体" w:eastAsia="宋体" w:cs="宋体"/>
                <w:szCs w:val="21"/>
              </w:rPr>
            </w:pPr>
            <w:r>
              <w:rPr>
                <w:rFonts w:ascii="宋体" w:hAnsi="宋体" w:eastAsia="宋体" w:cs="宋体"/>
                <w:szCs w:val="21"/>
              </w:rPr>
              <w:t xml:space="preserve">5</w:t>
            </w:r>
            <w:r>
              <w:rPr>
                <w:rFonts w:hint="eastAsia" w:ascii="宋体" w:hAnsi="宋体" w:eastAsia="宋体" w:cs="宋体"/>
                <w:szCs w:val="21"/>
              </w:rPr>
            </w:r>
            <w:r/>
          </w:p>
        </w:tc>
      </w:tr>
      <w:tr>
        <w:trPr>
          <w:trHeight w:val="90"/>
        </w:trPr>
        <w:tc>
          <w:tcPr>
            <w:tcW w:w="831" w:type="dxa"/>
            <w:vAlign w:val="center"/>
            <w:textDirection w:val="lrTb"/>
            <w:noWrap/>
          </w:tcPr>
          <w:p>
            <w:pPr>
              <w:pStyle w:val="1053"/>
              <w:jc w:val="center"/>
              <w:spacing w:line="480" w:lineRule="exact"/>
              <w:rPr>
                <w:rFonts w:hint="eastAsia" w:ascii="宋体" w:hAnsi="宋体" w:eastAsia="宋体" w:cs="宋体"/>
                <w:szCs w:val="21"/>
              </w:rPr>
            </w:pPr>
            <w:r>
              <w:rPr>
                <w:rFonts w:hint="eastAsia" w:ascii="宋体" w:hAnsi="宋体" w:eastAsia="宋体" w:cs="宋体"/>
                <w:szCs w:val="21"/>
              </w:rPr>
              <w:t xml:space="preserve">5</w:t>
            </w:r>
            <w:r>
              <w:rPr>
                <w:rFonts w:hint="eastAsia" w:ascii="宋体" w:hAnsi="宋体" w:eastAsia="宋体" w:cs="宋体"/>
                <w:szCs w:val="21"/>
              </w:rPr>
            </w:r>
            <w:r/>
          </w:p>
        </w:tc>
        <w:tc>
          <w:tcPr>
            <w:tcW w:w="1406" w:type="dxa"/>
            <w:vAlign w:val="center"/>
            <w:textDirection w:val="lrTb"/>
            <w:noWrap/>
          </w:tcPr>
          <w:p>
            <w:pPr>
              <w:pStyle w:val="1053"/>
              <w:ind w:right="-263"/>
              <w:jc w:val="center"/>
              <w:spacing w:line="240" w:lineRule="auto"/>
              <w:rPr>
                <w:rFonts w:hint="eastAsia" w:ascii="宋体" w:hAnsi="宋体" w:eastAsia="宋体" w:cs="宋体"/>
                <w:szCs w:val="21"/>
              </w:rPr>
            </w:pPr>
            <w:r>
              <w:rPr>
                <w:rFonts w:hint="eastAsia" w:ascii="宋体" w:hAnsi="宋体" w:eastAsia="宋体" w:cs="宋体"/>
                <w:szCs w:val="21"/>
              </w:rPr>
              <w:t xml:space="preserve">业绩</w:t>
            </w:r>
            <w:r>
              <w:rPr>
                <w:rFonts w:hint="eastAsia" w:ascii="宋体" w:hAnsi="宋体" w:eastAsia="宋体" w:cs="宋体"/>
                <w:szCs w:val="21"/>
              </w:rPr>
            </w:r>
            <w:r/>
          </w:p>
          <w:p>
            <w:pPr>
              <w:pStyle w:val="1053"/>
              <w:ind w:right="-263"/>
              <w:jc w:val="center"/>
              <w:spacing w:line="240" w:lineRule="auto"/>
              <w:rPr>
                <w:rFonts w:hint="eastAsia" w:ascii="宋体" w:hAnsi="宋体" w:eastAsia="宋体" w:cs="宋体"/>
                <w:szCs w:val="21"/>
              </w:rPr>
            </w:pPr>
            <w:r>
              <w:rPr>
                <w:rFonts w:hint="eastAsia" w:ascii="宋体" w:hAnsi="宋体" w:eastAsia="宋体" w:cs="宋体"/>
                <w:szCs w:val="21"/>
              </w:rPr>
              <w:t xml:space="preserve">（</w:t>
            </w:r>
            <w:r>
              <w:rPr>
                <w:rFonts w:ascii="宋体" w:hAnsi="宋体" w:eastAsia="宋体" w:cs="宋体"/>
                <w:szCs w:val="21"/>
              </w:rPr>
              <w:t xml:space="preserve">6</w:t>
            </w:r>
            <w:r>
              <w:rPr>
                <w:rFonts w:hint="eastAsia" w:ascii="宋体" w:hAnsi="宋体" w:eastAsia="宋体" w:cs="宋体"/>
                <w:szCs w:val="21"/>
              </w:rPr>
              <w:t xml:space="preserve">分）</w:t>
            </w:r>
            <w:r>
              <w:rPr>
                <w:rFonts w:hint="eastAsia" w:ascii="宋体" w:hAnsi="宋体" w:eastAsia="宋体" w:cs="宋体"/>
                <w:szCs w:val="21"/>
              </w:rPr>
            </w:r>
            <w:r/>
          </w:p>
        </w:tc>
        <w:tc>
          <w:tcPr>
            <w:tcW w:w="6968" w:type="dxa"/>
            <w:vAlign w:val="center"/>
            <w:textDirection w:val="lrTb"/>
            <w:noWrap/>
          </w:tcPr>
          <w:p>
            <w:pPr>
              <w:pStyle w:val="1053"/>
              <w:spacing w:before="0" w:after="0" w:line="240" w:lineRule="auto"/>
              <w:rPr>
                <w:rFonts w:hint="eastAsia" w:ascii="宋体" w:hAnsi="宋体" w:eastAsia="宋体" w:cs="宋体"/>
                <w:color w:val="ff0000"/>
                <w:szCs w:val="21"/>
              </w:rPr>
            </w:pPr>
            <w:r>
              <w:rPr>
                <w:rFonts w:hint="eastAsia" w:ascii="宋体" w:hAnsi="宋体" w:eastAsia="宋体" w:cs="宋体"/>
                <w:b/>
                <w:bCs/>
                <w:szCs w:val="21"/>
                <w:highlight w:val="none"/>
              </w:rPr>
              <w:t xml:space="preserve">提供 2023年1月1日（含）以来，投标人或所投核心产品制造商具有所投核心产品同品牌、与核心产品同类且技术指标不低于本次招标技术要求产品的国内销售业绩合同。每提供一份产品销售合同得2分，最高6分。须同时提供合同及合同对应发票复印件，发票金额可以是部分或全部金额；合同须能够体现产品名称、型号、关键技术参数、合同签订时间，未提供发票或合同或合同无法反映上述信息的均不得分，原件备查。</w:t>
            </w:r>
            <w:r>
              <w:rPr>
                <w:rFonts w:hint="eastAsia" w:ascii="宋体" w:hAnsi="宋体" w:eastAsia="宋体" w:cs="宋体"/>
                <w:color w:val="ff0000"/>
                <w:szCs w:val="21"/>
              </w:rPr>
            </w:r>
            <w:r/>
          </w:p>
        </w:tc>
        <w:tc>
          <w:tcPr>
            <w:tcW w:w="757" w:type="dxa"/>
            <w:vAlign w:val="center"/>
            <w:textDirection w:val="lrTb"/>
            <w:noWrap/>
          </w:tcPr>
          <w:p>
            <w:pPr>
              <w:pStyle w:val="1053"/>
              <w:jc w:val="center"/>
              <w:spacing w:line="480" w:lineRule="exact"/>
              <w:rPr>
                <w:rFonts w:hint="eastAsia" w:ascii="宋体" w:hAnsi="宋体" w:eastAsia="宋体" w:cs="宋体"/>
                <w:szCs w:val="21"/>
              </w:rPr>
            </w:pPr>
            <w:r>
              <w:rPr>
                <w:rFonts w:ascii="宋体" w:hAnsi="宋体" w:eastAsia="宋体" w:cs="宋体"/>
                <w:szCs w:val="21"/>
              </w:rPr>
              <w:t xml:space="preserve">6</w:t>
            </w:r>
            <w:r>
              <w:rPr>
                <w:rFonts w:hint="eastAsia" w:ascii="宋体" w:hAnsi="宋体" w:eastAsia="宋体" w:cs="宋体"/>
                <w:szCs w:val="21"/>
              </w:rPr>
            </w:r>
            <w:r/>
          </w:p>
        </w:tc>
      </w:tr>
    </w:tbl>
    <w:p>
      <w:pPr>
        <w:pStyle w:val="1053"/>
        <w:ind w:firstLine="480"/>
        <w:spacing w:before="0" w:after="0"/>
        <w:rPr>
          <w:rFonts w:hint="eastAsia" w:ascii="宋体" w:hAnsi="宋体" w:eastAsia="宋体" w:cs="宋体"/>
          <w:b/>
          <w:bCs/>
          <w:color w:val="c00000"/>
          <w:szCs w:val="21"/>
        </w:rPr>
        <w:pBdr>
          <w:top w:val="none" w:color="000000" w:sz="0" w:space="0"/>
          <w:left w:val="none" w:color="000000" w:sz="0" w:space="0"/>
          <w:bottom w:val="none" w:color="000000" w:sz="0" w:space="0"/>
          <w:right w:val="none" w:color="000000" w:sz="0" w:space="0"/>
        </w:pBdr>
      </w:pPr>
      <w:r/>
      <w:bookmarkStart w:id="108" w:name="_Toc5522"/>
      <w:r>
        <w:rPr>
          <w:rFonts w:hint="eastAsia" w:ascii="宋体" w:hAnsi="宋体" w:eastAsia="宋体" w:cs="宋体"/>
          <w:b/>
          <w:bCs/>
          <w:color w:val="c00000"/>
          <w:szCs w:val="21"/>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或白皮书等证明材料），否则将视为未响应▲号参数，作负偏离处理。</w:t>
      </w:r>
      <w:r>
        <w:rPr>
          <w:rFonts w:hint="eastAsia" w:ascii="宋体" w:hAnsi="宋体" w:eastAsia="宋体" w:cs="宋体"/>
          <w:b/>
          <w:bCs/>
          <w:color w:val="c00000"/>
          <w:szCs w:val="21"/>
        </w:rPr>
      </w:r>
      <w:r/>
    </w:p>
    <w:p>
      <w:pPr>
        <w:pStyle w:val="1053"/>
        <w:ind w:firstLine="480"/>
        <w:spacing w:before="0" w:after="0"/>
        <w:rPr>
          <w:rFonts w:hint="eastAsia" w:ascii="宋体" w:hAnsi="宋体" w:eastAsia="宋体" w:cs="宋体"/>
          <w:b/>
          <w:bCs/>
          <w:color w:val="c00000"/>
          <w:szCs w:val="21"/>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c00000"/>
          <w:szCs w:val="21"/>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或白皮书等证明材料），未提供技术支持资料的，或未对招标文件做出实质性响应，将导致投标文件被视为无效。</w:t>
      </w:r>
      <w:r>
        <w:rPr>
          <w:rFonts w:hint="eastAsia" w:ascii="宋体" w:hAnsi="宋体" w:eastAsia="宋体" w:cs="宋体"/>
          <w:b/>
          <w:bCs/>
          <w:color w:val="c00000"/>
          <w:szCs w:val="21"/>
        </w:rPr>
      </w:r>
      <w:r/>
    </w:p>
    <w:p>
      <w:pPr>
        <w:pStyle w:val="1053"/>
        <w:ind w:firstLine="480"/>
        <w:spacing w:before="0" w:after="0"/>
        <w:rPr>
          <w:rFonts w:hint="eastAsia" w:ascii="宋体" w:hAnsi="宋体" w:eastAsia="宋体" w:cs="宋体"/>
          <w:b/>
          <w:sz w:val="22"/>
          <w:szCs w:val="22"/>
        </w:rPr>
        <w:pBdr>
          <w:top w:val="none" w:color="000000" w:sz="0" w:space="0"/>
          <w:left w:val="none" w:color="000000" w:sz="0" w:space="0"/>
          <w:bottom w:val="none" w:color="000000" w:sz="0" w:space="0"/>
          <w:right w:val="none" w:color="000000" w:sz="0" w:space="0"/>
        </w:pBdr>
      </w:pPr>
      <w:r>
        <w:rPr>
          <w:rFonts w:hint="eastAsia" w:ascii="宋体" w:hAnsi="宋体" w:eastAsia="宋体" w:cs="宋体"/>
          <w:b/>
          <w:sz w:val="22"/>
          <w:szCs w:val="22"/>
        </w:rPr>
        <w:t xml:space="preserve">五、评分因素及分值说明</w:t>
      </w:r>
      <w:bookmarkEnd w:id="108"/>
      <w:r>
        <w:rPr>
          <w:rFonts w:hint="eastAsia" w:ascii="宋体" w:hAnsi="宋体" w:eastAsia="宋体" w:cs="宋体"/>
          <w:b/>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1.评审委员会成员按招标文件和本办法上述有关规定给各投标文件评分。</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2.各供应商的得分为各评委所评定分数的算术平均值。</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3.各项统计、评分结果均按四舍五入方法精确到小数点后两位。</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4.评审委员会根据各供应商投标文件的最终评分，按高低次序确定供应商最终排列名次，并按照招标文件规定推荐3名合格的中标候选人。如果供应商的最终评分相同，则投标报价低的供应商排名优先，得分相同且投标报价相同的，按技术部分指标优劣顺序排列，如报价及技术部分指标评分都相同则抽签决定。</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bookmarkStart w:id="109" w:name="_Toc462837790"/>
      <w:r>
        <w:rPr>
          <w:rFonts w:hint="eastAsia" w:ascii="宋体" w:hAnsi="宋体" w:eastAsia="宋体" w:cs="宋体"/>
          <w:sz w:val="22"/>
          <w:szCs w:val="22"/>
        </w:rPr>
        <w:t xml:space="preserve">5.</w:t>
      </w:r>
      <w:bookmarkEnd w:id="109"/>
      <w:r>
        <w:rPr>
          <w:rFonts w:hint="eastAsia" w:ascii="宋体" w:hAnsi="宋体" w:eastAsia="宋体" w:cs="宋体"/>
          <w:sz w:val="22"/>
          <w:szCs w:val="22"/>
        </w:rPr>
        <w:t xml:space="preserve">政府采购政策功能落实</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5.1小微型企业价格扣除</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（1）对小型和微型企业产品给予10%的扣除价格，用扣除后的价格参与评审。</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（2）供应商需按照招标文件的要求提供相应的《企业声明函》。</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（3）企业标准请参照《关于印发中小企业划型标准规定的通知》（工信部联企业〔2011〕300号）文件规定自行填写。</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5.2残疾人福利单位价格扣除</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（1）对残疾人福利性单位视同小型、微型企业，给予10%的价格扣除，用扣除后的价格参与评审。</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（2）残疾人福利单位需按照招标文件的要求提供《残疾人福利性单位声明函》。</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（3）残疾人福利单位标准请参照《关于促进残疾人就业政府采购政策的通知》（财库〔2017〕141号）。</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5.3监狱和戒毒企业价格扣除</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（1）对监狱和戒毒企业（简称监狱企业）视同小型、微型企业，给予10%的价格扣除，用扣除后的价格参与评审。</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（2）监狱企业参加政府采购活动时，需提供由省级以上监狱管理局、戒毒管理局（含新疆生产建设兵团）出具的属于监狱企业的证明文件。供应商如不提供上述证明文件，价格将不做相应扣除。</w:t>
      </w:r>
      <w:r>
        <w:rPr>
          <w:rFonts w:hint="eastAsia" w:ascii="宋体" w:hAnsi="宋体" w:eastAsia="宋体" w:cs="宋体"/>
          <w:sz w:val="22"/>
          <w:szCs w:val="22"/>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（3）监狱企业标准请参照《关于政府采购支持监狱企业发展有关问题的通知》（财库〔2014〕68号）。</w:t>
      </w:r>
      <w:r>
        <w:rPr>
          <w:rFonts w:hint="eastAsia" w:ascii="宋体" w:hAnsi="宋体" w:eastAsia="宋体" w:cs="宋体"/>
          <w:sz w:val="22"/>
          <w:szCs w:val="22"/>
        </w:rPr>
      </w:r>
      <w:r/>
    </w:p>
    <w:p>
      <w:pPr>
        <w:pStyle w:val="1053"/>
        <w:ind w:firstLine="440"/>
        <w:rPr>
          <w:rFonts w:hint="eastAsia" w:ascii="宋体" w:hAnsi="宋体" w:eastAsia="宋体" w:cs="宋体"/>
          <w:sz w:val="22"/>
          <w:szCs w:val="22"/>
        </w:rPr>
      </w:pPr>
      <w:r>
        <w:rPr>
          <w:rFonts w:hint="eastAsia" w:ascii="宋体" w:hAnsi="宋体" w:eastAsia="宋体" w:cs="宋体"/>
          <w:sz w:val="22"/>
          <w:szCs w:val="22"/>
        </w:rPr>
        <w:t xml:space="preserve">5.4残疾人福利单位、监狱企业属于小型、微型企业的，不重复享受政策。</w:t>
      </w:r>
      <w:bookmarkStart w:id="110" w:name="_Toc150538845"/>
      <w:r>
        <w:rPr>
          <w:rFonts w:hint="eastAsia" w:ascii="宋体" w:hAnsi="宋体" w:eastAsia="宋体" w:cs="宋体"/>
          <w:sz w:val="22"/>
          <w:szCs w:val="22"/>
        </w:rPr>
      </w:r>
      <w:r/>
    </w:p>
    <w:p>
      <w:pPr>
        <w:pStyle w:val="1053"/>
        <w:ind w:firstLine="440"/>
        <w:rPr>
          <w:rFonts w:hint="eastAsia" w:ascii="宋体" w:hAnsi="宋体" w:eastAsia="宋体" w:cs="宋体"/>
        </w:rPr>
      </w:pPr>
      <w:r>
        <w:rPr>
          <w:rFonts w:hint="eastAsia" w:ascii="宋体" w:hAnsi="宋体" w:eastAsia="宋体" w:cs="宋体"/>
          <w:sz w:val="22"/>
          <w:szCs w:val="22"/>
        </w:rPr>
        <w:t xml:space="preserve">5.5属于专门面向中小微企业的项目不适用以上“政府采购政策功能落实”价格扣除条款。</w:t>
      </w:r>
      <w:bookmarkStart w:id="111" w:name="_Toc649"/>
      <w:r>
        <w:rPr>
          <w:rFonts w:hint="eastAsia" w:ascii="宋体" w:hAnsi="宋体" w:eastAsia="宋体" w:cs="宋体"/>
        </w:rPr>
      </w:r>
      <w:r/>
    </w:p>
    <w:p>
      <w:pPr>
        <w:pStyle w:val="1053"/>
        <w:ind w:firstLine="440"/>
        <w:spacing w:before="0" w:after="0"/>
        <w:rPr>
          <w:rFonts w:hint="eastAsia" w:ascii="宋体" w:hAnsi="宋体" w:eastAsia="宋体" w:cs="宋体"/>
          <w:sz w:val="22"/>
          <w:szCs w:val="22"/>
        </w:rPr>
      </w:pPr>
      <w:r>
        <w:rPr>
          <w:rFonts w:hint="eastAsia" w:ascii="宋体" w:hAnsi="宋体" w:eastAsia="宋体" w:cs="宋体"/>
          <w:sz w:val="22"/>
          <w:szCs w:val="22"/>
        </w:rPr>
        <w:t xml:space="preserve">6.对本国产品的支持政策</w:t>
      </w:r>
      <w:r>
        <w:rPr>
          <w:rFonts w:hint="eastAsia" w:ascii="宋体" w:hAnsi="宋体" w:eastAsia="宋体" w:cs="宋体"/>
          <w:sz w:val="22"/>
          <w:szCs w:val="22"/>
        </w:rPr>
      </w:r>
      <w:r/>
    </w:p>
    <w:p>
      <w:pPr>
        <w:pStyle w:val="1053"/>
        <w:ind w:firstLine="420"/>
        <w:jc w:val="left"/>
        <w:rPr>
          <w:rFonts w:hint="eastAsia" w:ascii="宋体" w:hAnsi="宋体" w:eastAsia="宋体" w:cs="宋体"/>
        </w:rPr>
      </w:pPr>
      <w:r>
        <w:rPr>
          <w:rFonts w:hint="eastAsia" w:ascii="宋体" w:hAnsi="宋体" w:eastAsia="宋体" w:cs="宋体"/>
        </w:rPr>
        <w:t xml:space="preserve">6.1政府采购活动中既有本国产品又有非本国产品参与竞争的，依法对本国产品给予价格评审优惠，对本国产品的报价给予20%的价格扣除，用扣除后的价格参与评审。</w:t>
      </w:r>
      <w:r>
        <w:rPr>
          <w:rFonts w:hint="eastAsia" w:ascii="宋体" w:hAnsi="宋体" w:eastAsia="宋体" w:cs="宋体"/>
        </w:rPr>
      </w:r>
      <w:r/>
    </w:p>
    <w:p>
      <w:pPr>
        <w:pStyle w:val="1053"/>
        <w:ind w:firstLine="420"/>
        <w:jc w:val="left"/>
        <w:rPr>
          <w:rFonts w:hint="eastAsia" w:ascii="宋体" w:hAnsi="宋体" w:eastAsia="宋体" w:cs="宋体"/>
        </w:rPr>
      </w:pPr>
      <w:r>
        <w:rPr>
          <w:rFonts w:hint="eastAsia" w:ascii="宋体" w:hAnsi="宋体" w:eastAsia="宋体" w:cs="宋体"/>
        </w:rPr>
        <w:t xml:space="preserve">6.2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供应商对其提供的产品出具《关于符合本国产品标准的声明函》（格式详见附件）。</w:t>
      </w:r>
      <w:r>
        <w:rPr>
          <w:rFonts w:hint="eastAsia" w:ascii="宋体" w:hAnsi="宋体" w:eastAsia="宋体" w:cs="宋体"/>
        </w:rPr>
      </w:r>
      <w:r/>
    </w:p>
    <w:p>
      <w:pPr>
        <w:pStyle w:val="1053"/>
        <w:ind w:firstLine="420"/>
        <w:jc w:val="left"/>
        <w:rPr>
          <w:rFonts w:hint="eastAsia" w:ascii="宋体" w:hAnsi="宋体" w:eastAsia="宋体" w:cs="宋体"/>
        </w:rPr>
      </w:pPr>
      <w:r>
        <w:rPr>
          <w:rFonts w:hint="eastAsia" w:ascii="宋体" w:hAnsi="宋体" w:eastAsia="宋体" w:cs="宋体"/>
        </w:rPr>
        <w:t xml:space="preserve">6.3产品在中国境内生产的组件成本核算规则。产品在中国境内生产的组件成本，按照《中国境内生产的组件成本核算基本规则》计算，具体规则如下：产品在中国境内生产的组件成本，一般按照其二级组件的相关成本进行核算。按照产品的一级组件进行成本核算能够满足中国境内生产的组件成本判定需求的，可以按照一级组件的相关成本进行核算。</w:t>
      </w:r>
      <w:r>
        <w:rPr>
          <w:rFonts w:hint="eastAsia" w:ascii="宋体" w:hAnsi="宋体" w:eastAsia="宋体" w:cs="宋体"/>
        </w:rPr>
      </w:r>
      <w:r/>
    </w:p>
    <w:p>
      <w:pPr>
        <w:pStyle w:val="1053"/>
        <w:ind w:firstLine="420"/>
        <w:jc w:val="left"/>
        <w:rPr>
          <w:rFonts w:hint="eastAsia" w:ascii="宋体" w:hAnsi="宋体" w:eastAsia="宋体" w:cs="宋体"/>
        </w:rPr>
      </w:pPr>
      <w:r>
        <w:rPr>
          <w:rFonts w:hint="eastAsia" w:ascii="宋体" w:hAnsi="宋体" w:eastAsia="宋体" w:cs="宋体"/>
        </w:rPr>
        <w:t xml:space="preserve">（1）产品的一级组件是指直接组成产品的组件。产品的二级组件是指直接组成产品一级组件的组件。一级组件不可分解的，视同二级组件。</w:t>
      </w:r>
      <w:r>
        <w:rPr>
          <w:rFonts w:hint="eastAsia" w:ascii="宋体" w:hAnsi="宋体" w:eastAsia="宋体" w:cs="宋体"/>
        </w:rPr>
      </w:r>
      <w:r/>
    </w:p>
    <w:p>
      <w:pPr>
        <w:pStyle w:val="1053"/>
        <w:ind w:firstLine="420"/>
        <w:jc w:val="left"/>
        <w:rPr>
          <w:rFonts w:hint="eastAsia" w:ascii="宋体" w:hAnsi="宋体" w:eastAsia="宋体" w:cs="宋体"/>
        </w:rPr>
      </w:pPr>
      <w:r>
        <w:rPr>
          <w:rFonts w:hint="eastAsia" w:ascii="宋体" w:hAnsi="宋体" w:eastAsia="宋体" w:cs="宋体"/>
        </w:rPr>
        <w:t xml:space="preserve">（2）二级组件在中国境内生产的，其全部成本计入中国境内生产的组件成本；二级组件不在中国境内生产的，其成本不计入中国境内生产的组件成本。</w:t>
      </w:r>
      <w:r>
        <w:rPr>
          <w:rFonts w:hint="eastAsia" w:ascii="宋体" w:hAnsi="宋体" w:eastAsia="宋体" w:cs="宋体"/>
        </w:rPr>
      </w:r>
      <w:r/>
    </w:p>
    <w:p>
      <w:pPr>
        <w:pStyle w:val="1053"/>
        <w:ind w:firstLine="420"/>
        <w:jc w:val="left"/>
        <w:rPr>
          <w:rFonts w:hint="eastAsia" w:ascii="宋体" w:hAnsi="宋体" w:eastAsia="宋体" w:cs="宋体"/>
        </w:rPr>
      </w:pPr>
      <w:r>
        <w:rPr>
          <w:rFonts w:hint="eastAsia" w:ascii="宋体" w:hAnsi="宋体" w:eastAsia="宋体" w:cs="宋体"/>
        </w:rPr>
        <w:t xml:space="preserve">（3）产品总成本和组件成本以相关会计核算数据、采购合同、进货记录等为基础进行计算。</w:t>
      </w:r>
      <w:r>
        <w:rPr>
          <w:rFonts w:hint="eastAsia" w:ascii="宋体" w:hAnsi="宋体" w:eastAsia="宋体" w:cs="宋体"/>
        </w:rPr>
      </w:r>
      <w:r/>
    </w:p>
    <w:p>
      <w:pPr>
        <w:pStyle w:val="1053"/>
        <w:ind w:firstLine="420"/>
        <w:jc w:val="left"/>
        <w:rPr>
          <w:rFonts w:hint="eastAsia" w:ascii="宋体" w:hAnsi="宋体" w:eastAsia="宋体" w:cs="宋体"/>
        </w:rPr>
      </w:pPr>
      <w:r>
        <w:rPr>
          <w:rFonts w:hint="eastAsia" w:ascii="宋体" w:hAnsi="宋体" w:eastAsia="宋体" w:cs="宋体"/>
        </w:rPr>
        <w:t xml:space="preserve">（4）需要对成本核算规则予以进一步明确的其他有关事项，由财政部会同有关部门另行规定。</w:t>
      </w:r>
      <w:r>
        <w:rPr>
          <w:rFonts w:hint="eastAsia" w:ascii="宋体" w:hAnsi="宋体" w:eastAsia="宋体" w:cs="宋体"/>
        </w:rPr>
      </w:r>
      <w:r/>
    </w:p>
    <w:p>
      <w:pPr>
        <w:pStyle w:val="1053"/>
        <w:ind w:firstLine="420"/>
        <w:jc w:val="left"/>
        <w:rPr>
          <w:rFonts w:hint="eastAsia" w:ascii="宋体" w:hAnsi="宋体" w:eastAsia="宋体" w:cs="宋体"/>
        </w:rPr>
      </w:pPr>
      <w:r>
        <w:rPr>
          <w:rFonts w:hint="eastAsia" w:ascii="宋体" w:hAnsi="宋体" w:eastAsia="宋体" w:cs="宋体"/>
        </w:rPr>
        <w:t xml:space="preserve">6.4供应商需在《声明函》中逐一、准确填写产品名称、厂名、生产厂址三项信息，三项信息中任意一项未填写的视为该项产品不符合本国产品标准，不享受本国产品价格评审优惠。</w:t>
      </w:r>
      <w:r>
        <w:rPr>
          <w:rFonts w:hint="eastAsia" w:ascii="宋体" w:hAnsi="宋体" w:eastAsia="宋体" w:cs="宋体"/>
        </w:rPr>
      </w:r>
      <w:r/>
    </w:p>
    <w:p>
      <w:pPr>
        <w:pStyle w:val="1053"/>
        <w:ind w:firstLine="420"/>
        <w:jc w:val="left"/>
        <w:rPr>
          <w:rFonts w:hint="eastAsia" w:ascii="宋体" w:hAnsi="宋体" w:eastAsia="宋体" w:cs="宋体"/>
        </w:rPr>
      </w:pPr>
      <w:r>
        <w:rPr>
          <w:rFonts w:hint="eastAsia" w:ascii="宋体" w:hAnsi="宋体" w:eastAsia="宋体" w:cs="宋体"/>
        </w:rPr>
        <w:t xml:space="preserve">6.5评标过程中，如发现供应商在《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rPr>
          <w:rFonts w:hint="eastAsia" w:ascii="宋体" w:hAnsi="宋体" w:eastAsia="宋体" w:cs="宋体"/>
        </w:rPr>
      </w:r>
      <w:r/>
    </w:p>
    <w:p>
      <w:pPr>
        <w:pStyle w:val="1053"/>
        <w:ind w:firstLine="420"/>
        <w:jc w:val="left"/>
        <w:rPr>
          <w:rFonts w:hint="eastAsia" w:ascii="宋体" w:hAnsi="宋体" w:eastAsia="宋体" w:cs="宋体"/>
        </w:rPr>
      </w:pPr>
      <w:r>
        <w:rPr>
          <w:rFonts w:hint="eastAsia" w:ascii="宋体" w:hAnsi="宋体" w:eastAsia="宋体" w:cs="宋体"/>
        </w:rPr>
        <w:t xml:space="preserve">7.同品牌投标人的认定：</w:t>
      </w:r>
      <w:r>
        <w:rPr>
          <w:rFonts w:hint="eastAsia" w:ascii="宋体" w:hAnsi="宋体" w:eastAsia="宋体" w:cs="宋体"/>
        </w:rPr>
      </w:r>
      <w:r/>
    </w:p>
    <w:p>
      <w:pPr>
        <w:pStyle w:val="1053"/>
        <w:ind w:firstLine="420"/>
        <w:jc w:val="left"/>
        <w:rPr>
          <w:rFonts w:hint="eastAsia"/>
        </w:rPr>
      </w:pPr>
      <w:r>
        <w:rPr>
          <w:rFonts w:hint="eastAsia" w:ascii="宋体" w:hAnsi="宋体" w:eastAsia="宋体" w:cs="宋体"/>
        </w:rPr>
        <w:t xml:space="preserve">提供核心产品品牌相同且通过资格审查、符合性审查的不同投标供应商参加同一合同项下投标的，按一家投标供应商计算，评审后得分最高的同品牌投标供应商获得中标人推荐资格；评审得分相同的，采取最低价方式确定一个投标供应商获得中标人推荐资格，其他同品牌投标供应商不作为中标候选人（本项目中的同品牌特指核心产品，非核心产品不作要求）。</w:t>
      </w:r>
      <w:r>
        <w:rPr>
          <w:rFonts w:hint="eastAsia"/>
        </w:rPr>
      </w:r>
      <w:r/>
    </w:p>
    <w:p>
      <w:pPr>
        <w:pStyle w:val="1053"/>
        <w:ind w:firstLine="420"/>
        <w:jc w:val="left"/>
        <w:rPr>
          <w:rFonts w:hint="eastAsia" w:ascii="宋体" w:hAnsi="宋体" w:eastAsia="宋体" w:cs="宋体"/>
          <w:b/>
          <w:color w:val="ff0000"/>
        </w:rPr>
      </w:pPr>
      <w:r>
        <w:rPr>
          <w:rFonts w:hint="eastAsia" w:ascii="宋体" w:hAnsi="宋体" w:eastAsia="宋体" w:cs="宋体"/>
        </w:rPr>
        <w:t xml:space="preserve">8.本项目核心产品为：非单一产品，核心品牌详见“第四章 采购需求”。</w:t>
      </w:r>
      <w:r>
        <w:rPr>
          <w:rFonts w:hint="eastAsia" w:ascii="宋体" w:hAnsi="宋体" w:eastAsia="宋体" w:cs="宋体"/>
          <w:b/>
          <w:color w:val="ff0000"/>
        </w:rPr>
      </w:r>
      <w:r/>
    </w:p>
    <w:p>
      <w:pPr>
        <w:pStyle w:val="1053"/>
        <w:ind w:firstLine="422"/>
        <w:jc w:val="left"/>
        <w:rPr>
          <w:rFonts w:hint="eastAsia" w:ascii="宋体" w:hAnsi="宋体" w:eastAsia="宋体" w:cs="宋体"/>
          <w:b/>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rPr>
      </w:r>
      <w:r/>
    </w:p>
    <w:p>
      <w:pPr>
        <w:pStyle w:val="1054"/>
        <w:ind w:firstLine="0"/>
        <w:spacing w:before="480"/>
        <w:tabs>
          <w:tab w:val="left" w:pos="1440" w:leader="none"/>
          <w:tab w:val="left" w:pos="5670" w:leader="none"/>
        </w:tabs>
        <w:rPr>
          <w:rFonts w:hint="eastAsia"/>
        </w:rPr>
      </w:pPr>
      <w:r/>
      <w:bookmarkStart w:id="112" w:name="_Toc30025"/>
      <w:r>
        <w:rPr>
          <w:rFonts w:hint="eastAsia" w:ascii="宋体" w:hAnsi="宋体" w:eastAsia="宋体" w:cs="宋体"/>
        </w:rPr>
        <w:t xml:space="preserve">第四章 </w:t>
      </w:r>
      <w:bookmarkEnd w:id="110"/>
      <w:r/>
      <w:bookmarkEnd w:id="111"/>
      <w:r>
        <w:rPr>
          <w:rFonts w:hint="eastAsia" w:ascii="宋体" w:hAnsi="宋体" w:eastAsia="宋体" w:cs="宋体"/>
        </w:rPr>
        <w:t xml:space="preserve">采购需求</w:t>
      </w:r>
      <w:bookmarkEnd w:id="112"/>
      <w:r>
        <w:rPr>
          <w:rFonts w:hint="eastAsia"/>
        </w:rPr>
      </w:r>
      <w:r/>
    </w:p>
    <w:p>
      <w:pPr>
        <w:pStyle w:val="1053"/>
        <w:numPr>
          <w:ilvl w:val="0"/>
          <w:numId w:val="42"/>
        </w:numPr>
        <w:spacing w:after="5"/>
        <w:rPr>
          <w:rFonts w:hint="eastAsia" w:ascii="宋体" w:hAnsi="宋体" w:eastAsia="宋体" w:cs="宋体"/>
          <w:b/>
          <w:sz w:val="28"/>
          <w:szCs w:val="28"/>
        </w:rPr>
        <w:outlineLvl w:val="1"/>
      </w:pPr>
      <w:r/>
      <w:bookmarkStart w:id="113" w:name="_Toc28080"/>
      <w:r/>
      <w:bookmarkStart w:id="114" w:name="_Toc15398"/>
      <w:r/>
      <w:bookmarkStart w:id="115" w:name="_Toc22261"/>
      <w:r/>
      <w:bookmarkStart w:id="116" w:name="_Toc3459"/>
      <w:r>
        <w:rPr>
          <w:rFonts w:hint="eastAsia" w:ascii="宋体" w:hAnsi="宋体" w:eastAsia="宋体" w:cs="宋体"/>
          <w:b/>
          <w:sz w:val="28"/>
          <w:szCs w:val="28"/>
        </w:rPr>
        <w:t xml:space="preserve">项目概况：</w:t>
      </w:r>
      <w:bookmarkEnd w:id="113"/>
      <w:r/>
      <w:bookmarkEnd w:id="114"/>
      <w:r>
        <w:rPr>
          <w:rFonts w:hint="eastAsia" w:ascii="宋体" w:hAnsi="宋体" w:eastAsia="宋体" w:cs="宋体"/>
          <w:b/>
          <w:sz w:val="28"/>
          <w:szCs w:val="28"/>
        </w:rPr>
      </w:r>
      <w:r/>
    </w:p>
    <w:p>
      <w:pPr>
        <w:pStyle w:val="1053"/>
        <w:ind w:firstLine="480"/>
        <w:spacing w:before="0" w:after="0"/>
        <w:rPr>
          <w:rFonts w:hint="eastAsia"/>
        </w:rPr>
      </w:pPr>
      <w:r>
        <w:rPr>
          <w:rFonts w:hint="eastAsia" w:ascii="宋体" w:hAnsi="宋体" w:eastAsia="宋体" w:cs="宋体"/>
          <w:sz w:val="24"/>
          <w:szCs w:val="24"/>
        </w:rPr>
        <w:t xml:space="preserve">江苏省计量科学研究院能源计量设备采购项目分为2个分包（标段），相关要求详见技术要求及商务要求。</w:t>
      </w:r>
      <w:r>
        <w:rPr>
          <w:rFonts w:hint="eastAsia"/>
        </w:rPr>
      </w:r>
      <w:r/>
    </w:p>
    <w:p>
      <w:pPr>
        <w:pStyle w:val="1053"/>
        <w:numPr>
          <w:ilvl w:val="0"/>
          <w:numId w:val="42"/>
        </w:numPr>
        <w:rPr>
          <w:rFonts w:hint="eastAsia" w:ascii="宋体" w:hAnsi="宋体" w:eastAsia="宋体" w:cs="宋体"/>
          <w:b/>
          <w:sz w:val="28"/>
          <w:szCs w:val="28"/>
        </w:rPr>
        <w:outlineLvl w:val="1"/>
      </w:pPr>
      <w:r/>
      <w:bookmarkStart w:id="117" w:name="_Toc21425"/>
      <w:r/>
      <w:bookmarkStart w:id="118" w:name="_Toc26117"/>
      <w:r>
        <w:rPr>
          <w:rFonts w:hint="eastAsia" w:ascii="宋体" w:hAnsi="宋体" w:eastAsia="宋体" w:cs="宋体"/>
          <w:b/>
          <w:sz w:val="28"/>
          <w:szCs w:val="28"/>
        </w:rPr>
        <w:t xml:space="preserve">技术要求：</w:t>
      </w:r>
      <w:bookmarkEnd w:id="117"/>
      <w:r/>
      <w:bookmarkEnd w:id="118"/>
      <w:r>
        <w:rPr>
          <w:rFonts w:hint="eastAsia" w:ascii="宋体" w:hAnsi="宋体" w:eastAsia="宋体" w:cs="宋体"/>
          <w:b/>
          <w:sz w:val="28"/>
          <w:szCs w:val="28"/>
        </w:rPr>
      </w:r>
      <w:r/>
    </w:p>
    <w:p>
      <w:pPr>
        <w:pStyle w:val="1153"/>
        <w:ind w:firstLine="241"/>
        <w:rPr>
          <w:rFonts w:hint="eastAsia"/>
        </w:rPr>
      </w:pPr>
      <w:r>
        <w:rPr>
          <w:rFonts w:hint="eastAsia" w:ascii="宋体" w:hAnsi="宋体" w:eastAsia="宋体" w:cs="宋体"/>
          <w:b/>
          <w:bCs/>
          <w:szCs w:val="24"/>
        </w:rPr>
        <w:t xml:space="preserve">（一）采购清单：</w:t>
      </w:r>
      <w:r>
        <w:rPr>
          <w:rFonts w:hint="eastAsia"/>
        </w:rPr>
      </w:r>
      <w:r/>
    </w:p>
    <w:tbl>
      <w:tblPr>
        <w:tblW w:w="9809" w:type="dxa"/>
        <w:tblInd w:w="-15" w:type="dxa"/>
        <w:tblLayout w:type="autofit"/>
        <w:tblCellMar>
          <w:left w:w="108" w:type="dxa"/>
          <w:top w:w="0" w:type="dxa"/>
          <w:right w:w="108" w:type="dxa"/>
          <w:bottom w:w="0" w:type="dxa"/>
        </w:tblCellMar>
        <w:tblLook w:val="04A0" w:firstRow="1" w:lastRow="0" w:firstColumn="1" w:lastColumn="0" w:noHBand="0" w:noVBand="1"/>
      </w:tblPr>
      <w:tblGrid>
        <w:gridCol w:w="750"/>
        <w:gridCol w:w="988"/>
        <w:gridCol w:w="3099"/>
        <w:gridCol w:w="752"/>
        <w:gridCol w:w="765"/>
        <w:gridCol w:w="1345"/>
        <w:gridCol w:w="1305"/>
        <w:gridCol w:w="805"/>
      </w:tblGrid>
      <w:tr>
        <w:trPr>
          <w:trHeight w:val="56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b/>
                <w:bCs/>
                <w:sz w:val="24"/>
                <w:szCs w:val="24"/>
                <w:lang w:bidi="ar"/>
              </w:rPr>
            </w:pPr>
            <w:r>
              <w:rPr>
                <w:rFonts w:hint="eastAsia" w:ascii="宋体" w:hAnsi="宋体" w:eastAsia="宋体" w:cs="宋体"/>
                <w:b/>
                <w:bCs/>
                <w:sz w:val="24"/>
                <w:szCs w:val="24"/>
                <w:lang w:bidi="ar"/>
              </w:rPr>
              <w:t xml:space="preserve">序号</w:t>
            </w:r>
            <w:r>
              <w:rPr>
                <w:rFonts w:ascii="宋体" w:hAnsi="宋体" w:eastAsia="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988" w:type="dxa"/>
            <w:vAlign w:val="center"/>
            <w:textDirection w:val="lrTb"/>
            <w:noWrap w:val="false"/>
          </w:tcPr>
          <w:p>
            <w:pPr>
              <w:pStyle w:val="105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采购分包号</w:t>
            </w:r>
            <w:r>
              <w:rPr>
                <w:rFonts w:hint="eastAsia" w:ascii="宋体" w:hAnsi="宋体" w:eastAsia="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设备名称</w:t>
            </w:r>
            <w:r>
              <w:rPr>
                <w:rFonts w:hint="eastAsia" w:ascii="宋体" w:hAnsi="宋体" w:eastAsia="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单位</w:t>
            </w:r>
            <w:r>
              <w:rPr>
                <w:rFonts w:hint="eastAsia" w:ascii="宋体" w:hAnsi="宋体" w:eastAsia="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数量</w:t>
            </w:r>
            <w:r>
              <w:rPr>
                <w:rFonts w:hint="eastAsia" w:ascii="宋体" w:hAnsi="宋体" w:eastAsia="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预算金额</w:t>
            </w:r>
            <w:r>
              <w:rPr>
                <w:rFonts w:hint="eastAsia" w:ascii="宋体" w:hAnsi="宋体" w:eastAsia="宋体" w:cs="宋体"/>
                <w:b/>
                <w:bCs/>
                <w:sz w:val="24"/>
                <w:szCs w:val="24"/>
                <w:lang w:bidi="ar"/>
              </w:rPr>
              <w:br w:type="textWrapping" w:clear="all"/>
            </w:r>
            <w:r>
              <w:rPr>
                <w:rFonts w:hint="eastAsia" w:ascii="宋体" w:hAnsi="宋体" w:eastAsia="宋体" w:cs="宋体"/>
                <w:b/>
                <w:bCs/>
                <w:sz w:val="24"/>
                <w:szCs w:val="24"/>
                <w:lang w:bidi="ar"/>
              </w:rPr>
              <w:t xml:space="preserve">（万元）</w:t>
            </w:r>
            <w:r>
              <w:rPr>
                <w:rFonts w:hint="eastAsia" w:ascii="宋体" w:hAnsi="宋体" w:eastAsia="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b/>
                <w:bCs/>
                <w:sz w:val="24"/>
                <w:szCs w:val="24"/>
                <w:lang w:bidi="ar"/>
              </w:rPr>
            </w:pPr>
            <w:r>
              <w:rPr>
                <w:rFonts w:hint="eastAsia" w:ascii="宋体" w:hAnsi="宋体" w:eastAsia="宋体" w:cs="宋体"/>
                <w:b/>
                <w:bCs/>
                <w:sz w:val="24"/>
                <w:szCs w:val="24"/>
                <w:lang w:bidi="ar"/>
              </w:rPr>
              <w:t xml:space="preserve">是否接受进口设备投标</w:t>
            </w:r>
            <w:r>
              <w:rPr>
                <w:rFonts w:hint="eastAsia" w:ascii="宋体" w:hAnsi="宋体" w:eastAsia="宋体" w:cs="宋体"/>
                <w:b/>
                <w:bCs/>
                <w:sz w:val="24"/>
                <w:szCs w:val="24"/>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ascii="宋体" w:hAnsi="宋体" w:eastAsia="宋体" w:cs="宋体"/>
                <w:b/>
                <w:bCs/>
                <w:sz w:val="24"/>
                <w:szCs w:val="24"/>
                <w:lang w:bidi="ar"/>
              </w:rPr>
            </w:pPr>
            <w:r>
              <w:rPr>
                <w:rFonts w:hint="eastAsia" w:ascii="宋体" w:hAnsi="宋体" w:eastAsia="宋体" w:cs="宋体"/>
                <w:b/>
                <w:bCs/>
                <w:sz w:val="24"/>
                <w:szCs w:val="24"/>
                <w:lang w:bidi="ar"/>
              </w:rPr>
              <w:t xml:space="preserve">备注</w:t>
            </w:r>
            <w:r>
              <w:rPr>
                <w:rFonts w:ascii="宋体" w:hAnsi="宋体" w:eastAsia="宋体" w:cs="宋体"/>
                <w:b/>
                <w:bCs/>
                <w:sz w:val="24"/>
                <w:szCs w:val="24"/>
                <w:lang w:bidi="ar"/>
              </w:rPr>
            </w:r>
            <w:r/>
          </w:p>
        </w:tc>
      </w:tr>
      <w:tr>
        <w:trPr>
          <w:trHeight w:val="59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1</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pStyle w:val="1053"/>
              <w:jc w:val="center"/>
              <w:spacing w:before="0" w:after="0" w:line="240" w:lineRule="auto"/>
              <w:widowControl/>
              <w:rPr>
                <w:rFonts w:hint="eastAsia" w:ascii="宋体" w:hAnsi="宋体" w:eastAsia="宋体" w:cs="宋体"/>
                <w:color w:val="504050"/>
                <w:sz w:val="14"/>
                <w:szCs w:val="14"/>
              </w:rPr>
            </w:pPr>
            <w:r>
              <w:rPr>
                <w:rFonts w:hint="eastAsia" w:ascii="宋体" w:hAnsi="宋体" w:eastAsia="宋体" w:cs="宋体"/>
                <w:sz w:val="22"/>
                <w:lang w:bidi="ar"/>
              </w:rPr>
              <w:t xml:space="preserve">采购分包1</w:t>
            </w:r>
            <w:r>
              <w:rPr>
                <w:rFonts w:hint="eastAsia" w:ascii="宋体" w:hAnsi="宋体" w:eastAsia="宋体" w:cs="宋体"/>
                <w:color w:val="504050"/>
                <w:sz w:val="14"/>
                <w:szCs w:val="14"/>
              </w:rPr>
            </w:r>
            <w:r/>
          </w:p>
        </w:tc>
        <w:tc>
          <w:tcPr>
            <w:gridSpan w:val="6"/>
            <w:tcBorders>
              <w:top w:val="single" w:color="000000" w:sz="4" w:space="0"/>
              <w:left w:val="single" w:color="000000" w:sz="4" w:space="0"/>
              <w:bottom w:val="single" w:color="000000" w:sz="4" w:space="0"/>
              <w:right w:val="single" w:color="000000" w:sz="4" w:space="0"/>
            </w:tcBorders>
            <w:tcW w:w="8071" w:type="dxa"/>
            <w:vAlign w:val="center"/>
            <w:textDirection w:val="lrTb"/>
            <w:noWrap w:val="false"/>
          </w:tcPr>
          <w:p>
            <w:pPr>
              <w:pStyle w:val="1053"/>
              <w:jc w:val="left"/>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采购1套储能电站涉网性能测试系统，不得低于以下配置：</w:t>
            </w:r>
            <w:r>
              <w:rPr>
                <w:rFonts w:hint="eastAsia" w:ascii="宋体" w:hAnsi="宋体" w:eastAsia="宋体" w:cs="宋体"/>
                <w:sz w:val="22"/>
                <w:lang w:bidi="ar"/>
              </w:rPr>
            </w:r>
            <w:r/>
          </w:p>
        </w:tc>
      </w:tr>
      <w:tr>
        <w:trPr>
          <w:trHeight w:val="462"/>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1.1</w:t>
            </w:r>
            <w:r>
              <w:rPr>
                <w:rFonts w:hint="eastAsia" w:ascii="宋体" w:hAnsi="宋体" w:eastAsia="宋体" w:cs="宋体"/>
                <w:sz w:val="22"/>
                <w:lang w:bidi="ar"/>
              </w:rPr>
            </w:r>
            <w:r/>
          </w:p>
        </w:tc>
        <w:tc>
          <w:tcPr>
            <w:tcBorders>
              <w:top w:val="none" w:color="000000" w:sz="0" w:space="0"/>
              <w:left w:val="single" w:color="000000" w:sz="4" w:space="0"/>
              <w:bottom w:val="none" w:color="000000" w:sz="0"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电网模拟装置</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80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核心产品</w:t>
            </w:r>
            <w:r>
              <w:rPr>
                <w:rFonts w:hint="eastAsia" w:ascii="宋体" w:hAnsi="宋体" w:eastAsia="宋体" w:cs="宋体"/>
                <w:sz w:val="22"/>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rPr>
                <w:rFonts w:hint="eastAsia" w:ascii="宋体" w:hAnsi="宋体" w:eastAsia="宋体" w:cs="宋体"/>
                <w:color w:val="504050"/>
                <w:sz w:val="14"/>
                <w:szCs w:val="14"/>
              </w:rPr>
            </w:pPr>
            <w:r>
              <w:rPr>
                <w:rFonts w:hint="eastAsia" w:ascii="宋体" w:hAnsi="宋体" w:eastAsia="宋体" w:cs="宋体"/>
                <w:sz w:val="22"/>
                <w:lang w:bidi="ar"/>
              </w:rPr>
              <w:t xml:space="preserve">1.2</w:t>
            </w:r>
            <w:r>
              <w:rPr>
                <w:rFonts w:hint="eastAsia" w:ascii="宋体" w:hAnsi="宋体" w:eastAsia="宋体" w:cs="宋体"/>
                <w:color w:val="504050"/>
                <w:sz w:val="14"/>
                <w:szCs w:val="14"/>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rPr>
                <w:rFonts w:hint="eastAsia" w:ascii="宋体" w:hAnsi="宋体" w:eastAsia="宋体" w:cs="宋体"/>
                <w:color w:val="504050"/>
                <w:sz w:val="14"/>
                <w:szCs w:val="14"/>
              </w:rPr>
            </w:pPr>
            <w:r>
              <w:rPr>
                <w:rFonts w:hint="eastAsia" w:ascii="宋体" w:hAnsi="宋体" w:eastAsia="宋体" w:cs="宋体"/>
                <w:color w:val="504050"/>
                <w:sz w:val="14"/>
                <w:szCs w:val="14"/>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可编程多通道高精度数据采集仪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30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ascii="宋体" w:hAnsi="宋体" w:eastAsia="宋体" w:cs="宋体"/>
                <w:sz w:val="22"/>
                <w:lang w:bidi="ar"/>
              </w:rPr>
            </w:r>
            <w:r/>
          </w:p>
        </w:tc>
      </w:tr>
      <w:tr>
        <w:trPr>
          <w:trHeight w:val="9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rPr>
                <w:rFonts w:hint="eastAsia" w:ascii="宋体" w:hAnsi="宋体" w:eastAsia="宋体" w:cs="宋体"/>
                <w:color w:val="504050"/>
                <w:sz w:val="14"/>
                <w:szCs w:val="14"/>
              </w:rPr>
            </w:pPr>
            <w:r>
              <w:rPr>
                <w:rFonts w:hint="eastAsia" w:ascii="宋体" w:hAnsi="宋体" w:eastAsia="宋体" w:cs="宋体"/>
                <w:sz w:val="22"/>
                <w:lang w:bidi="ar"/>
              </w:rPr>
              <w:t xml:space="preserve">1.3</w:t>
            </w:r>
            <w:r>
              <w:rPr>
                <w:rFonts w:hint="eastAsia" w:ascii="宋体" w:hAnsi="宋体" w:eastAsia="宋体" w:cs="宋体"/>
                <w:color w:val="504050"/>
                <w:sz w:val="14"/>
                <w:szCs w:val="14"/>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rPr>
                <w:rFonts w:hint="eastAsia" w:ascii="宋体" w:hAnsi="宋体" w:eastAsia="宋体" w:cs="宋体"/>
                <w:color w:val="504050"/>
                <w:sz w:val="14"/>
                <w:szCs w:val="14"/>
              </w:rPr>
            </w:pPr>
            <w:r>
              <w:rPr>
                <w:rFonts w:hint="eastAsia" w:ascii="宋体" w:hAnsi="宋体" w:eastAsia="宋体" w:cs="宋体"/>
                <w:color w:val="504050"/>
                <w:sz w:val="14"/>
                <w:szCs w:val="14"/>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频率信号发生装置</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5</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528"/>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restart"/>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采购分包</w:t>
            </w:r>
            <w:r>
              <w:rPr>
                <w:rFonts w:ascii="宋体" w:hAnsi="宋体" w:eastAsia="宋体" w:cs="宋体"/>
                <w:sz w:val="22"/>
                <w:lang w:bidi="ar"/>
              </w:rPr>
              <w:t xml:space="preserve">2</w:t>
            </w:r>
            <w:r>
              <w:rPr>
                <w:rFonts w:hint="eastAsia" w:ascii="宋体" w:hAnsi="宋体" w:eastAsia="宋体" w:cs="宋体"/>
                <w:sz w:val="22"/>
                <w:lang w:bidi="ar"/>
              </w:rPr>
            </w:r>
            <w:r/>
          </w:p>
        </w:tc>
        <w:tc>
          <w:tcPr>
            <w:gridSpan w:val="6"/>
            <w:tcBorders>
              <w:top w:val="single" w:color="000000" w:sz="4" w:space="0"/>
              <w:left w:val="single" w:color="000000" w:sz="4" w:space="0"/>
              <w:bottom w:val="single" w:color="000000" w:sz="4" w:space="0"/>
              <w:right w:val="single" w:color="000000" w:sz="4" w:space="0"/>
            </w:tcBorders>
            <w:tcW w:w="8071" w:type="dxa"/>
            <w:vAlign w:val="center"/>
            <w:textDirection w:val="lrTb"/>
            <w:noWrap w:val="false"/>
          </w:tcPr>
          <w:p>
            <w:pPr>
              <w:pStyle w:val="1053"/>
              <w:jc w:val="left"/>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采购1套能源计量测试系统，不得低于以下配置：</w:t>
            </w:r>
            <w:r>
              <w:rPr>
                <w:rFonts w:hint="eastAsia" w:ascii="宋体" w:hAnsi="宋体" w:eastAsia="宋体" w:cs="宋体"/>
                <w:sz w:val="22"/>
                <w:lang w:bidi="ar"/>
              </w:rPr>
            </w:r>
            <w:r/>
          </w:p>
        </w:tc>
      </w:tr>
      <w:tr>
        <w:trPr>
          <w:trHeight w:val="2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2.1</w:t>
            </w:r>
            <w:r>
              <w:rPr>
                <w:rFonts w:hint="eastAsia" w:ascii="宋体" w:hAnsi="宋体" w:eastAsia="宋体" w:cs="宋体"/>
                <w:sz w:val="22"/>
                <w:lang w:bidi="ar"/>
              </w:rPr>
            </w:r>
            <w:r/>
          </w:p>
        </w:tc>
        <w:tc>
          <w:tcPr>
            <w:tcBorders>
              <w:top w:val="none" w:color="000000" w:sz="0" w:space="0"/>
              <w:left w:val="single" w:color="000000" w:sz="4" w:space="0"/>
              <w:bottom w:val="none" w:color="000000" w:sz="0"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氢能综合能源能效测量系统</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70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核心产品</w:t>
            </w:r>
            <w:r>
              <w:rPr>
                <w:rFonts w:hint="eastAsia" w:ascii="宋体" w:hAnsi="宋体" w:eastAsia="宋体" w:cs="宋体"/>
                <w:sz w:val="22"/>
                <w:lang w:bidi="ar"/>
              </w:rPr>
            </w:r>
            <w:r/>
          </w:p>
        </w:tc>
      </w:tr>
      <w:tr>
        <w:trPr>
          <w:trHeight w:val="527"/>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2.2</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碳捕集能耗测量系统</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60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2.3</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电机系统能效碳效测试分析仪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20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2.4</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变频系统能效碳效测试分析仪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2.5</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泵系统能效碳效测试分析仪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20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2.6</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风机系统能效碳效测试分析仪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20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2.7</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空压机能效碳效测试分析仪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50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2.8</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冷水及热泵机组能效碳效测试分析仪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2.9</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供配电系统能效碳效测试分析仪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4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2.10</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工业电热设备能效碳效测试分析仪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50</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r>
        <w:trPr>
          <w:trHeight w:val="250"/>
        </w:trPr>
        <w:tc>
          <w:tcPr>
            <w:tcBorders>
              <w:top w:val="single" w:color="000000" w:sz="4" w:space="0"/>
              <w:left w:val="single" w:color="000000" w:sz="4" w:space="0"/>
              <w:bottom w:val="single" w:color="000000" w:sz="4" w:space="0"/>
              <w:right w:val="single" w:color="000000" w:sz="4" w:space="0"/>
            </w:tcBorders>
            <w:tcW w:w="750" w:type="dxa"/>
            <w:vAlign w:val="center"/>
            <w:textDirection w:val="lrTb"/>
            <w:noWrap w:val="false"/>
          </w:tcPr>
          <w:p>
            <w:pPr>
              <w:pStyle w:val="1053"/>
              <w:jc w:val="center"/>
              <w:spacing w:before="0" w:after="0" w:line="240" w:lineRule="auto"/>
              <w:widowControl/>
              <w:rPr>
                <w:rFonts w:ascii="宋体" w:hAnsi="宋体" w:eastAsia="宋体" w:cs="宋体"/>
                <w:sz w:val="22"/>
                <w:lang w:bidi="ar"/>
              </w:rPr>
            </w:pPr>
            <w:r>
              <w:rPr>
                <w:rFonts w:hint="eastAsia" w:ascii="宋体" w:hAnsi="宋体" w:eastAsia="宋体" w:cs="宋体"/>
                <w:sz w:val="22"/>
                <w:lang w:bidi="ar"/>
              </w:rPr>
              <w:t xml:space="preserve">2.11</w:t>
            </w:r>
            <w:r>
              <w:rPr>
                <w:rFonts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988" w:type="dxa"/>
            <w:vAlign w:val="center"/>
            <w:vMerge w:val="continue"/>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3099"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热力输送系统能效碳效测试分析仪</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52"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台</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765" w:type="dxa"/>
            <w:vAlign w:val="center"/>
            <w:textDirection w:val="lrTb"/>
            <w:noWrap w:val="false"/>
          </w:tcPr>
          <w:p>
            <w:pPr>
              <w:pStyle w:val="1053"/>
              <w:jc w:val="center"/>
              <w:spacing w:line="240" w:lineRule="auto"/>
              <w:rPr>
                <w:rFonts w:hint="eastAsia" w:ascii="宋体" w:hAnsi="宋体" w:eastAsia="宋体" w:cs="宋体"/>
                <w:sz w:val="22"/>
                <w:lang w:bidi="ar"/>
              </w:rPr>
            </w:pPr>
            <w:r>
              <w:rPr>
                <w:rFonts w:hint="eastAsia" w:ascii="仿宋" w:hAnsi="仿宋" w:eastAsia="仿宋" w:cs="仿宋"/>
                <w:sz w:val="24"/>
                <w:szCs w:val="24"/>
              </w:rPr>
              <w:t xml:space="preserve">1</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4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15</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13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t xml:space="preserve">否</w:t>
            </w:r>
            <w:r>
              <w:rPr>
                <w:rFonts w:hint="eastAsia" w:ascii="宋体" w:hAnsi="宋体" w:eastAsia="宋体" w:cs="宋体"/>
                <w:sz w:val="22"/>
                <w:lang w:bidi="ar"/>
              </w:rPr>
            </w:r>
            <w:r/>
          </w:p>
        </w:tc>
        <w:tc>
          <w:tcPr>
            <w:tcBorders>
              <w:top w:val="single" w:color="000000" w:sz="4" w:space="0"/>
              <w:left w:val="single" w:color="000000" w:sz="4" w:space="0"/>
              <w:bottom w:val="single" w:color="000000" w:sz="4" w:space="0"/>
              <w:right w:val="single" w:color="000000" w:sz="4" w:space="0"/>
            </w:tcBorders>
            <w:tcW w:w="805" w:type="dxa"/>
            <w:vAlign w:val="center"/>
            <w:textDirection w:val="lrTb"/>
            <w:noWrap w:val="false"/>
          </w:tcPr>
          <w:p>
            <w:pPr>
              <w:pStyle w:val="1053"/>
              <w:jc w:val="center"/>
              <w:spacing w:before="0" w:after="0" w:line="240" w:lineRule="auto"/>
              <w:widowControl/>
              <w:rPr>
                <w:rFonts w:hint="eastAsia" w:ascii="宋体" w:hAnsi="宋体" w:eastAsia="宋体" w:cs="宋体"/>
                <w:sz w:val="22"/>
                <w:lang w:bidi="ar"/>
              </w:rPr>
            </w:pPr>
            <w:r>
              <w:rPr>
                <w:rFonts w:hint="eastAsia" w:ascii="宋体" w:hAnsi="宋体" w:eastAsia="宋体" w:cs="宋体"/>
                <w:sz w:val="22"/>
                <w:lang w:bidi="ar"/>
              </w:rPr>
            </w:r>
            <w:r/>
          </w:p>
        </w:tc>
      </w:tr>
    </w:tbl>
    <w:p>
      <w:pPr>
        <w:pStyle w:val="1153"/>
        <w:ind w:firstLine="241"/>
        <w:rPr>
          <w:rFonts w:hint="eastAsia" w:ascii="宋体" w:hAnsi="宋体" w:eastAsia="宋体" w:cs="宋体"/>
          <w:b/>
          <w:bCs/>
          <w:szCs w:val="24"/>
        </w:rPr>
      </w:pPr>
      <w:r>
        <w:rPr>
          <w:rFonts w:hint="eastAsia" w:ascii="宋体" w:hAnsi="宋体" w:eastAsia="宋体" w:cs="宋体"/>
          <w:b/>
          <w:bCs/>
          <w:szCs w:val="24"/>
        </w:rPr>
        <w:t xml:space="preserve">（二）技术参数（技术指标及功能要求）：</w:t>
      </w:r>
      <w:r>
        <w:rPr>
          <w:rFonts w:hint="eastAsia" w:ascii="宋体" w:hAnsi="宋体" w:eastAsia="宋体" w:cs="宋体"/>
          <w:b/>
          <w:bCs/>
          <w:szCs w:val="24"/>
        </w:rPr>
      </w:r>
      <w:r/>
    </w:p>
    <w:p>
      <w:pPr>
        <w:pStyle w:val="1055"/>
        <w:keepLines w:val="0"/>
        <w:spacing w:before="0" w:after="0"/>
        <w:widowControl/>
        <w:tabs>
          <w:tab w:val="left" w:pos="540" w:leader="none"/>
        </w:tabs>
        <w:rPr>
          <w:rFonts w:hint="eastAsia" w:eastAsia="宋体" w:cs="Arial"/>
          <w:bCs/>
          <w:szCs w:val="28"/>
        </w:rPr>
      </w:pPr>
      <w:r/>
      <w:bookmarkStart w:id="119" w:name="_Toc351107793"/>
      <w:r/>
      <w:bookmarkStart w:id="120" w:name="_Toc155151667"/>
      <w:r/>
      <w:bookmarkStart w:id="121" w:name="_Toc351107611"/>
      <w:r/>
      <w:bookmarkStart w:id="122" w:name="_Toc255074827"/>
      <w:r/>
      <w:bookmarkStart w:id="123" w:name="_Toc351107508"/>
      <w:r/>
      <w:bookmarkStart w:id="124" w:name="_Toc253150291"/>
      <w:r/>
      <w:bookmarkStart w:id="125" w:name="_Toc113485530"/>
      <w:r>
        <w:rPr>
          <w:rFonts w:hint="eastAsia" w:eastAsia="宋体" w:cs="Arial"/>
          <w:bCs/>
          <w:szCs w:val="28"/>
        </w:rPr>
        <w:t xml:space="preserve">采购分包1：</w:t>
      </w:r>
      <w:r>
        <w:rPr>
          <w:rFonts w:hint="eastAsia" w:eastAsia="宋体" w:cs="Arial"/>
          <w:bCs/>
          <w:szCs w:val="28"/>
        </w:rPr>
      </w:r>
      <w:r/>
    </w:p>
    <w:p>
      <w:pPr>
        <w:pStyle w:val="1055"/>
        <w:keepLines w:val="0"/>
        <w:spacing w:before="0" w:after="0"/>
        <w:widowControl/>
        <w:tabs>
          <w:tab w:val="left" w:pos="540" w:leader="none"/>
        </w:tabs>
        <w:rPr>
          <w:rFonts w:hint="eastAsia" w:eastAsia="宋体" w:cs="Arial"/>
          <w:sz w:val="24"/>
        </w:rPr>
      </w:pPr>
      <w:r>
        <w:rPr>
          <w:rFonts w:eastAsia="宋体" w:cs="Arial"/>
          <w:sz w:val="24"/>
        </w:rPr>
        <w:t xml:space="preserve">1.</w:t>
      </w:r>
      <w:r>
        <w:rPr>
          <w:rFonts w:hint="eastAsia" w:eastAsia="宋体" w:cs="Arial"/>
          <w:sz w:val="24"/>
        </w:rPr>
        <w:t xml:space="preserve"> 电网模拟装置</w:t>
      </w:r>
      <w:r>
        <w:rPr>
          <w:rFonts w:hint="eastAsia" w:eastAsia="宋体" w:cs="Arial"/>
          <w:sz w:val="24"/>
        </w:rPr>
      </w:r>
      <w:r/>
    </w:p>
    <w:p>
      <w:pPr>
        <w:pStyle w:val="1070"/>
        <w:ind w:left="420" w:firstLine="0"/>
        <w:rPr>
          <w:rFonts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.1</w:t>
      </w:r>
      <w:r>
        <w:rPr>
          <w:rFonts w:hint="eastAsia" w:ascii="Arial" w:hAnsi="Arial" w:eastAsia="仿宋_GB2312" w:cs="Arial"/>
          <w:sz w:val="24"/>
        </w:rPr>
        <w:t xml:space="preserve">功率：</w:t>
      </w:r>
      <w:r>
        <w:rPr>
          <w:rFonts w:hint="eastAsia" w:ascii="仿宋" w:hAnsi="仿宋" w:eastAsia="仿宋" w:cs="Arial"/>
          <w:sz w:val="24"/>
        </w:rPr>
        <w:t xml:space="preserve">≥</w:t>
      </w:r>
      <w:r>
        <w:rPr>
          <w:rFonts w:hint="eastAsia" w:ascii="Arial" w:hAnsi="Arial" w:eastAsia="仿宋_GB2312" w:cs="Arial"/>
          <w:sz w:val="24"/>
        </w:rPr>
        <w:t xml:space="preserve">3</w:t>
      </w:r>
      <w:r>
        <w:rPr>
          <w:rFonts w:ascii="Arial" w:hAnsi="Arial" w:eastAsia="仿宋_GB2312" w:cs="Arial"/>
          <w:sz w:val="24"/>
        </w:rPr>
        <w:t xml:space="preserve">00</w:t>
      </w:r>
      <w:r>
        <w:rPr>
          <w:rFonts w:hint="eastAsia" w:ascii="Arial" w:hAnsi="Arial" w:eastAsia="仿宋_GB2312" w:cs="Arial"/>
          <w:sz w:val="24"/>
        </w:rPr>
        <w:t xml:space="preserve">kVA</w:t>
      </w:r>
      <w:r>
        <w:rPr>
          <w:rFonts w:ascii="Arial" w:hAnsi="Arial" w:eastAsia="仿宋_GB2312" w:cs="Arial"/>
          <w:sz w:val="24"/>
        </w:rPr>
      </w:r>
      <w:r/>
    </w:p>
    <w:p>
      <w:pPr>
        <w:pStyle w:val="1070"/>
        <w:rPr>
          <w:rFonts w:hint="eastAsia" w:ascii="Arial" w:hAnsi="Arial" w:eastAsia="仿宋_GB2312" w:cs="Arial"/>
          <w:sz w:val="24"/>
        </w:rPr>
      </w:pPr>
      <w:r>
        <w:rPr>
          <w:rFonts w:ascii="Arial" w:hAnsi="Arial" w:eastAsia="仿宋_GB2312" w:cs="Arial"/>
          <w:sz w:val="24"/>
        </w:rPr>
        <w:t xml:space="preserve">1.2</w:t>
      </w:r>
      <w:r>
        <w:rPr>
          <w:rFonts w:hint="eastAsia" w:ascii="Arial" w:hAnsi="Arial" w:eastAsia="仿宋_GB2312" w:cs="Arial"/>
          <w:sz w:val="24"/>
        </w:rPr>
        <w:t xml:space="preserve">输出电压范围：0~</w:t>
      </w:r>
      <w:r>
        <w:rPr>
          <w:rFonts w:ascii="Arial" w:hAnsi="Arial" w:eastAsia="仿宋_GB2312" w:cs="Arial"/>
          <w:sz w:val="24"/>
        </w:rPr>
        <w:t xml:space="preserve">470</w:t>
      </w:r>
      <w:r>
        <w:rPr>
          <w:rFonts w:hint="eastAsia" w:ascii="Arial" w:hAnsi="Arial" w:eastAsia="仿宋_GB2312" w:cs="Arial"/>
          <w:sz w:val="24"/>
        </w:rPr>
        <w:t xml:space="preserve">V AC（相电压）/ </w:t>
      </w:r>
      <w:r>
        <w:rPr>
          <w:rFonts w:ascii="Arial" w:hAnsi="Arial" w:eastAsia="仿宋_GB2312" w:cs="Arial"/>
          <w:sz w:val="24"/>
        </w:rPr>
        <w:t xml:space="preserve">800</w:t>
      </w:r>
      <w:r>
        <w:rPr>
          <w:rFonts w:hint="eastAsia" w:ascii="Arial" w:hAnsi="Arial" w:eastAsia="仿宋_GB2312" w:cs="Arial"/>
          <w:sz w:val="24"/>
        </w:rPr>
        <w:t xml:space="preserve">V（线电压）</w:t>
      </w:r>
      <w:r>
        <w:rPr>
          <w:rFonts w:hint="eastAsia" w:ascii="Arial" w:hAnsi="Arial" w:eastAsia="仿宋_GB2312" w:cs="Arial"/>
          <w:sz w:val="24"/>
        </w:rPr>
      </w:r>
      <w:r/>
    </w:p>
    <w:p>
      <w:pPr>
        <w:pStyle w:val="1070"/>
        <w:rPr>
          <w:rFonts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.3</w:t>
      </w:r>
      <w:r>
        <w:rPr>
          <w:rFonts w:hint="eastAsia" w:ascii="Arial" w:hAnsi="Arial" w:eastAsia="仿宋_GB2312" w:cs="Arial"/>
          <w:sz w:val="24"/>
        </w:rPr>
        <w:t xml:space="preserve">输出电压精度：±（0</w:t>
      </w:r>
      <w:r>
        <w:rPr>
          <w:rFonts w:ascii="Arial" w:hAnsi="Arial" w:eastAsia="仿宋_GB2312" w:cs="Arial"/>
          <w:sz w:val="24"/>
        </w:rPr>
        <w:t xml:space="preserve">.05%</w:t>
      </w:r>
      <w:r>
        <w:rPr>
          <w:rFonts w:hint="eastAsia" w:ascii="Arial" w:hAnsi="Arial" w:eastAsia="仿宋_GB2312" w:cs="Arial"/>
          <w:sz w:val="24"/>
        </w:rPr>
        <w:t xml:space="preserve">rd</w:t>
      </w:r>
      <w:r>
        <w:rPr>
          <w:rFonts w:ascii="Arial" w:hAnsi="Arial" w:eastAsia="仿宋_GB2312" w:cs="Arial"/>
          <w:sz w:val="24"/>
        </w:rPr>
        <w:t xml:space="preserve">+0.05</w:t>
      </w:r>
      <w:r>
        <w:rPr>
          <w:rFonts w:hint="eastAsia" w:ascii="Arial" w:hAnsi="Arial" w:eastAsia="仿宋_GB2312" w:cs="Arial"/>
          <w:sz w:val="24"/>
        </w:rPr>
        <w:t xml:space="preserve">F</w:t>
      </w:r>
      <w:r>
        <w:rPr>
          <w:rFonts w:ascii="Arial" w:hAnsi="Arial" w:eastAsia="仿宋_GB2312" w:cs="Arial"/>
          <w:sz w:val="24"/>
        </w:rPr>
        <w:t xml:space="preserve">.S.</w:t>
      </w:r>
      <w:r>
        <w:rPr>
          <w:rFonts w:hint="eastAsia" w:ascii="Arial" w:hAnsi="Arial" w:eastAsia="仿宋_GB2312" w:cs="Arial"/>
          <w:sz w:val="24"/>
        </w:rPr>
        <w:t xml:space="preserve">）</w:t>
      </w:r>
      <w:r>
        <w:rPr>
          <w:rFonts w:ascii="Arial" w:hAnsi="Arial" w:eastAsia="仿宋_GB2312" w:cs="Arial"/>
          <w:sz w:val="24"/>
        </w:rPr>
      </w:r>
      <w:r/>
    </w:p>
    <w:p>
      <w:pPr>
        <w:pStyle w:val="1070"/>
        <w:rPr>
          <w:rFonts w:hint="eastAsia" w:ascii="Arial" w:hAnsi="Arial" w:eastAsia="仿宋_GB2312" w:cs="Arial"/>
          <w:sz w:val="24"/>
        </w:rPr>
      </w:pPr>
      <w:r>
        <w:rPr>
          <w:rFonts w:ascii="Arial" w:hAnsi="Arial" w:eastAsia="仿宋_GB2312" w:cs="Arial"/>
          <w:sz w:val="24"/>
        </w:rPr>
        <w:t xml:space="preserve">1.4</w:t>
      </w:r>
      <w:r>
        <w:rPr>
          <w:rFonts w:hint="eastAsia" w:ascii="Arial" w:hAnsi="Arial" w:eastAsia="仿宋_GB2312" w:cs="Arial"/>
          <w:sz w:val="24"/>
        </w:rPr>
        <w:t xml:space="preserve">输出电压分辨率：0.01V</w:t>
      </w:r>
      <w:r>
        <w:rPr>
          <w:rFonts w:hint="eastAsia"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.5</w:t>
      </w:r>
      <w:r>
        <w:rPr>
          <w:rFonts w:hint="eastAsia" w:ascii="Arial" w:hAnsi="Arial" w:eastAsia="仿宋_GB2312" w:cs="Arial"/>
          <w:sz w:val="24"/>
        </w:rPr>
        <w:t xml:space="preserve">输出电压摆率：AC&gt;1V/us </w:t>
      </w:r>
      <w:r>
        <w:rPr>
          <w:rFonts w:hint="eastAsia" w:ascii="Arial" w:hAnsi="Arial" w:eastAsia="仿宋_GB2312" w:cs="Arial"/>
          <w:sz w:val="24"/>
        </w:rPr>
      </w:r>
      <w:r/>
    </w:p>
    <w:p>
      <w:pPr>
        <w:pStyle w:val="1070"/>
        <w:rPr>
          <w:rFonts w:ascii="Arial" w:hAnsi="Arial" w:eastAsia="仿宋_GB2312" w:cs="Arial"/>
          <w:sz w:val="24"/>
        </w:rPr>
      </w:pPr>
      <w:r>
        <w:rPr>
          <w:rFonts w:ascii="Arial" w:hAnsi="Arial" w:eastAsia="仿宋_GB2312" w:cs="Arial"/>
          <w:sz w:val="24"/>
        </w:rPr>
        <w:t xml:space="preserve">1.6</w:t>
      </w:r>
      <w:r>
        <w:rPr>
          <w:rFonts w:hint="eastAsia" w:ascii="Arial" w:hAnsi="Arial" w:eastAsia="仿宋_GB2312" w:cs="Arial"/>
          <w:sz w:val="24"/>
        </w:rPr>
        <w:t xml:space="preserve">输出直流分量：≤50mV</w:t>
      </w:r>
      <w:r>
        <w:rPr>
          <w:rFonts w:ascii="Arial" w:hAnsi="Arial" w:eastAsia="仿宋_GB2312" w:cs="Arial"/>
          <w:sz w:val="24"/>
        </w:rPr>
      </w:r>
      <w:r/>
    </w:p>
    <w:p>
      <w:pPr>
        <w:pStyle w:val="1070"/>
        <w:rPr>
          <w:rFonts w:ascii="Arial" w:hAnsi="Arial" w:eastAsia="仿宋_GB2312" w:cs="Arial"/>
          <w:sz w:val="24"/>
        </w:rPr>
      </w:pPr>
      <w:r>
        <w:rPr>
          <w:rFonts w:ascii="Arial" w:hAnsi="Arial" w:eastAsia="仿宋_GB2312" w:cs="Arial"/>
          <w:sz w:val="24"/>
        </w:rPr>
        <w:t xml:space="preserve">1.7</w:t>
      </w:r>
      <w:r>
        <w:rPr>
          <w:rFonts w:hint="eastAsia" w:ascii="Arial" w:hAnsi="Arial" w:eastAsia="仿宋_GB2312" w:cs="Arial"/>
          <w:sz w:val="24"/>
        </w:rPr>
        <w:t xml:space="preserve">负载调整率：±</w:t>
      </w:r>
      <w:r>
        <w:rPr>
          <w:rFonts w:ascii="Arial" w:hAnsi="Arial" w:eastAsia="仿宋_GB2312" w:cs="Arial"/>
          <w:sz w:val="24"/>
        </w:rPr>
        <w:t xml:space="preserve">0.05%</w:t>
      </w:r>
      <w:r>
        <w:rPr>
          <w:rFonts w:hint="eastAsia" w:ascii="Arial" w:hAnsi="Arial" w:eastAsia="仿宋_GB2312" w:cs="Arial"/>
          <w:sz w:val="24"/>
        </w:rPr>
        <w:t xml:space="preserve">F.S.</w:t>
      </w:r>
      <w:r>
        <w:rPr>
          <w:rFonts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.8</w:t>
      </w:r>
      <w:r>
        <w:rPr>
          <w:rFonts w:hint="eastAsia" w:ascii="Arial" w:hAnsi="Arial" w:eastAsia="仿宋_GB2312" w:cs="Arial"/>
          <w:sz w:val="24"/>
        </w:rPr>
        <w:t xml:space="preserve">三相不平衡：不超过GB/T</w:t>
      </w:r>
      <w:r>
        <w:rPr>
          <w:rFonts w:ascii="Arial" w:hAnsi="Arial" w:eastAsia="仿宋_GB2312" w:cs="Arial"/>
          <w:sz w:val="24"/>
        </w:rPr>
        <w:t xml:space="preserve"> 15543-2008</w:t>
      </w:r>
      <w:r>
        <w:rPr>
          <w:rFonts w:hint="eastAsia" w:ascii="Arial" w:hAnsi="Arial" w:eastAsia="仿宋_GB2312" w:cs="Arial"/>
          <w:sz w:val="24"/>
        </w:rPr>
        <w:t xml:space="preserve">要求的1/</w:t>
      </w:r>
      <w:r>
        <w:rPr>
          <w:rFonts w:ascii="Arial" w:hAnsi="Arial" w:eastAsia="仿宋_GB2312" w:cs="Arial"/>
          <w:sz w:val="24"/>
        </w:rPr>
        <w:t xml:space="preserve">2</w:t>
      </w:r>
      <w:r>
        <w:rPr>
          <w:rFonts w:hint="eastAsia" w:ascii="Arial" w:hAnsi="Arial" w:eastAsia="仿宋_GB2312" w:cs="Arial"/>
          <w:sz w:val="24"/>
        </w:rPr>
        <w:t xml:space="preserve">，负序电压不超过1</w:t>
      </w:r>
      <w:r>
        <w:rPr>
          <w:rFonts w:ascii="Arial" w:hAnsi="Arial" w:eastAsia="仿宋_GB2312" w:cs="Arial"/>
          <w:sz w:val="24"/>
        </w:rPr>
        <w:t xml:space="preserve">%</w:t>
      </w:r>
      <w:r>
        <w:rPr>
          <w:rFonts w:hint="eastAsia" w:ascii="Arial" w:hAnsi="Arial" w:eastAsia="仿宋_GB2312" w:cs="Arial"/>
          <w:sz w:val="24"/>
        </w:rPr>
        <w:t xml:space="preserve">，短时不超过2</w:t>
      </w:r>
      <w:r>
        <w:rPr>
          <w:rFonts w:ascii="Arial" w:hAnsi="Arial" w:eastAsia="仿宋_GB2312" w:cs="Arial"/>
          <w:sz w:val="24"/>
        </w:rPr>
        <w:t xml:space="preserve">%</w:t>
      </w:r>
      <w:r>
        <w:rPr>
          <w:rFonts w:hint="eastAsia" w:ascii="Arial" w:hAnsi="Arial" w:eastAsia="仿宋_GB2312" w:cs="Arial"/>
          <w:sz w:val="24"/>
        </w:rPr>
      </w:r>
      <w:r/>
    </w:p>
    <w:p>
      <w:pPr>
        <w:pStyle w:val="1070"/>
        <w:rPr>
          <w:rFonts w:ascii="Arial" w:hAnsi="Arial" w:eastAsia="仿宋_GB2312" w:cs="Arial"/>
          <w:sz w:val="24"/>
        </w:rPr>
      </w:pPr>
      <w:r>
        <w:rPr>
          <w:rFonts w:ascii="Arial" w:hAnsi="Arial" w:eastAsia="仿宋_GB2312" w:cs="Arial"/>
          <w:sz w:val="24"/>
        </w:rPr>
        <w:t xml:space="preserve">1.9</w:t>
      </w:r>
      <w:r>
        <w:rPr>
          <w:rFonts w:hint="eastAsia" w:ascii="Arial" w:hAnsi="Arial" w:eastAsia="仿宋_GB2312" w:cs="Arial"/>
          <w:sz w:val="24"/>
        </w:rPr>
        <w:t xml:space="preserve">输出电流范围：0~</w:t>
      </w:r>
      <w:r>
        <w:rPr>
          <w:rFonts w:ascii="Arial" w:hAnsi="Arial" w:eastAsia="仿宋_GB2312" w:cs="Arial"/>
          <w:sz w:val="24"/>
        </w:rPr>
        <w:t xml:space="preserve">6</w:t>
      </w:r>
      <w:r>
        <w:rPr>
          <w:rFonts w:hint="eastAsia" w:ascii="Arial" w:hAnsi="Arial" w:eastAsia="仿宋_GB2312" w:cs="Arial"/>
          <w:sz w:val="24"/>
        </w:rPr>
        <w:t xml:space="preserve">00A</w:t>
      </w:r>
      <w:r>
        <w:rPr>
          <w:rFonts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.10</w:t>
      </w:r>
      <w:r>
        <w:rPr>
          <w:rFonts w:hint="eastAsia" w:ascii="Arial" w:hAnsi="Arial" w:eastAsia="仿宋_GB2312" w:cs="Arial"/>
          <w:sz w:val="24"/>
        </w:rPr>
        <w:t xml:space="preserve">输出电流分辨率：0.01A</w:t>
      </w:r>
      <w:r>
        <w:rPr>
          <w:rFonts w:hint="eastAsia"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.11</w:t>
      </w:r>
      <w:r>
        <w:rPr>
          <w:rFonts w:hint="eastAsia" w:ascii="Arial" w:hAnsi="Arial" w:eastAsia="仿宋_GB2312" w:cs="Arial"/>
          <w:sz w:val="24"/>
        </w:rPr>
        <w:t xml:space="preserve">电流精度：±0.1%rd+0.</w:t>
      </w:r>
      <w:r>
        <w:rPr>
          <w:rFonts w:ascii="Arial" w:hAnsi="Arial" w:eastAsia="仿宋_GB2312" w:cs="Arial"/>
          <w:sz w:val="24"/>
        </w:rPr>
        <w:t xml:space="preserve">1</w:t>
      </w:r>
      <w:r>
        <w:rPr>
          <w:rFonts w:hint="eastAsia" w:ascii="Arial" w:hAnsi="Arial" w:eastAsia="仿宋_GB2312" w:cs="Arial"/>
          <w:sz w:val="24"/>
        </w:rPr>
        <w:t xml:space="preserve">%FS</w:t>
      </w:r>
      <w:r>
        <w:rPr>
          <w:rFonts w:hint="eastAsia"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.12</w:t>
      </w:r>
      <w:r>
        <w:rPr>
          <w:rFonts w:hint="eastAsia" w:ascii="Arial" w:hAnsi="Arial" w:eastAsia="仿宋_GB2312" w:cs="Arial"/>
          <w:sz w:val="24"/>
        </w:rPr>
        <w:t xml:space="preserve">相位范围：0~359.99°</w:t>
      </w:r>
      <w:r>
        <w:rPr>
          <w:rFonts w:hint="eastAsia"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.13</w:t>
      </w:r>
      <w:r>
        <w:rPr>
          <w:rFonts w:hint="eastAsia" w:ascii="Arial" w:hAnsi="Arial" w:eastAsia="仿宋_GB2312" w:cs="Arial"/>
          <w:sz w:val="24"/>
        </w:rPr>
        <w:t xml:space="preserve">相位精度：±0.3°</w:t>
      </w:r>
      <w:r>
        <w:rPr>
          <w:rFonts w:hint="eastAsia" w:ascii="Arial" w:hAnsi="Arial" w:eastAsia="仿宋_GB2312" w:cs="Arial"/>
          <w:sz w:val="24"/>
        </w:rPr>
      </w:r>
      <w:r/>
    </w:p>
    <w:p>
      <w:pPr>
        <w:pStyle w:val="1070"/>
        <w:rPr>
          <w:rFonts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.14</w:t>
      </w:r>
      <w:r>
        <w:rPr>
          <w:rFonts w:hint="eastAsia" w:ascii="Arial" w:hAnsi="Arial" w:eastAsia="仿宋_GB2312" w:cs="Arial"/>
          <w:sz w:val="24"/>
        </w:rPr>
        <w:t xml:space="preserve">频率范围：</w:t>
      </w:r>
      <w:r>
        <w:rPr>
          <w:rFonts w:ascii="Arial" w:hAnsi="Arial" w:eastAsia="仿宋_GB2312" w:cs="Arial"/>
          <w:sz w:val="24"/>
        </w:rPr>
        <w:t xml:space="preserve">0.001Hz-200.0</w:t>
      </w:r>
      <w:r>
        <w:rPr>
          <w:rFonts w:hint="eastAsia" w:ascii="Arial" w:hAnsi="Arial" w:eastAsia="仿宋_GB2312" w:cs="Arial"/>
          <w:sz w:val="24"/>
        </w:rPr>
        <w:t xml:space="preserve">H</w:t>
      </w:r>
      <w:r>
        <w:rPr>
          <w:rFonts w:ascii="Arial" w:hAnsi="Arial" w:eastAsia="仿宋_GB2312" w:cs="Arial"/>
          <w:sz w:val="24"/>
        </w:rPr>
        <w:t xml:space="preserve">z</w:t>
      </w:r>
      <w:r>
        <w:rPr>
          <w:rFonts w:ascii="Arial" w:hAnsi="Arial" w:eastAsia="仿宋_GB2312" w:cs="Arial"/>
          <w:sz w:val="24"/>
        </w:rPr>
      </w:r>
      <w:r/>
    </w:p>
    <w:p>
      <w:pPr>
        <w:pStyle w:val="1070"/>
        <w:rPr>
          <w:rFonts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.15</w:t>
      </w:r>
      <w:r>
        <w:rPr>
          <w:rFonts w:hint="eastAsia" w:ascii="Arial" w:hAnsi="Arial" w:eastAsia="仿宋_GB2312" w:cs="Arial"/>
          <w:sz w:val="24"/>
        </w:rPr>
        <w:t xml:space="preserve">频率设定分辨率：0</w:t>
      </w:r>
      <w:r>
        <w:rPr>
          <w:rFonts w:ascii="Arial" w:hAnsi="Arial" w:eastAsia="仿宋_GB2312" w:cs="Arial"/>
          <w:sz w:val="24"/>
        </w:rPr>
        <w:t xml:space="preserve">.001</w:t>
      </w:r>
      <w:r>
        <w:rPr>
          <w:rFonts w:hint="eastAsia" w:ascii="Arial" w:hAnsi="Arial" w:eastAsia="仿宋_GB2312" w:cs="Arial"/>
          <w:sz w:val="24"/>
        </w:rPr>
        <w:t xml:space="preserve">Hz</w:t>
      </w:r>
      <w:r>
        <w:rPr>
          <w:rFonts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.16</w:t>
      </w:r>
      <w:r>
        <w:rPr>
          <w:rFonts w:hint="eastAsia" w:ascii="Arial" w:hAnsi="Arial" w:eastAsia="仿宋_GB2312" w:cs="Arial"/>
          <w:sz w:val="24"/>
        </w:rPr>
        <w:t xml:space="preserve">频率精度：0</w:t>
      </w:r>
      <w:r>
        <w:rPr>
          <w:rFonts w:ascii="Arial" w:hAnsi="Arial" w:eastAsia="仿宋_GB2312" w:cs="Arial"/>
          <w:sz w:val="24"/>
        </w:rPr>
        <w:t xml:space="preserve">.01%</w:t>
      </w:r>
      <w:r>
        <w:rPr>
          <w:rFonts w:hint="eastAsia" w:ascii="Arial" w:hAnsi="Arial" w:eastAsia="仿宋_GB2312" w:cs="Arial"/>
          <w:sz w:val="24"/>
        </w:rPr>
      </w:r>
      <w:r/>
    </w:p>
    <w:p>
      <w:pPr>
        <w:pStyle w:val="1070"/>
        <w:rPr>
          <w:rFonts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.17</w:t>
      </w:r>
      <w:r>
        <w:rPr>
          <w:rFonts w:hint="eastAsia" w:ascii="Arial" w:hAnsi="Arial" w:eastAsia="仿宋_GB2312" w:cs="Arial"/>
          <w:sz w:val="24"/>
        </w:rPr>
        <w:t xml:space="preserve">通讯接口：LAN、RS485、CAN</w:t>
      </w:r>
      <w:r>
        <w:rPr>
          <w:rFonts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.18</w:t>
      </w:r>
      <w:r>
        <w:rPr>
          <w:rFonts w:hint="eastAsia" w:ascii="Arial" w:hAnsi="Arial" w:eastAsia="仿宋_GB2312" w:cs="Arial"/>
          <w:sz w:val="24"/>
        </w:rPr>
        <w:t xml:space="preserve">谐波幅度误差：≤基波值的0</w:t>
      </w:r>
      <w:r>
        <w:rPr>
          <w:rFonts w:ascii="Arial" w:hAnsi="Arial" w:eastAsia="仿宋_GB2312" w:cs="Arial"/>
          <w:sz w:val="24"/>
        </w:rPr>
        <w:t xml:space="preserve">.1%</w:t>
      </w:r>
      <w:r>
        <w:rPr>
          <w:rFonts w:hint="eastAsia" w:ascii="Arial" w:hAnsi="Arial" w:eastAsia="仿宋_GB2312" w:cs="Arial"/>
          <w:sz w:val="24"/>
        </w:rPr>
      </w:r>
      <w:r/>
    </w:p>
    <w:p>
      <w:pPr>
        <w:pStyle w:val="1070"/>
        <w:rPr>
          <w:rFonts w:hint="eastAsia" w:ascii="Arial" w:hAnsi="Arial" w:eastAsia="仿宋_GB2312" w:cs="Arial"/>
          <w:sz w:val="24"/>
        </w:rPr>
      </w:pPr>
      <w:r>
        <w:rPr>
          <w:rFonts w:ascii="Arial" w:hAnsi="Arial" w:eastAsia="仿宋_GB2312" w:cs="Arial"/>
          <w:sz w:val="24"/>
        </w:rPr>
        <w:t xml:space="preserve">1.19</w:t>
      </w:r>
      <w:r>
        <w:rPr>
          <w:rFonts w:hint="eastAsia" w:ascii="Arial" w:hAnsi="Arial" w:eastAsia="仿宋_GB2312" w:cs="Arial"/>
          <w:sz w:val="24"/>
        </w:rPr>
        <w:t xml:space="preserve">实现方式：后续可实现扩容，满足5</w:t>
      </w:r>
      <w:r>
        <w:rPr>
          <w:rFonts w:ascii="Arial" w:hAnsi="Arial" w:eastAsia="仿宋_GB2312" w:cs="Arial"/>
          <w:sz w:val="24"/>
        </w:rPr>
        <w:t xml:space="preserve">00</w:t>
      </w:r>
      <w:r>
        <w:rPr>
          <w:rFonts w:hint="eastAsia" w:ascii="Arial" w:hAnsi="Arial" w:eastAsia="仿宋_GB2312" w:cs="Arial"/>
          <w:sz w:val="24"/>
        </w:rPr>
        <w:t xml:space="preserve">kVA以上的扩容</w:t>
      </w:r>
      <w:r>
        <w:rPr>
          <w:rFonts w:hint="eastAsia" w:ascii="Arial" w:hAnsi="Arial" w:eastAsia="仿宋_GB2312" w:cs="Arial"/>
          <w:sz w:val="24"/>
        </w:rPr>
      </w:r>
      <w:r/>
    </w:p>
    <w:p>
      <w:pPr>
        <w:pStyle w:val="1070"/>
        <w:rPr>
          <w:rFonts w:hint="eastAsia" w:ascii="Arial" w:hAnsi="Arial" w:eastAsia="仿宋_GB2312" w:cs="Arial"/>
          <w:sz w:val="24"/>
        </w:rPr>
      </w:pPr>
      <w:r>
        <w:rPr>
          <w:rFonts w:ascii="Arial" w:hAnsi="Arial" w:eastAsia="仿宋_GB2312" w:cs="Arial"/>
          <w:sz w:val="24"/>
        </w:rPr>
        <w:t xml:space="preserve">1.20</w:t>
      </w:r>
      <w:r>
        <w:rPr>
          <w:rFonts w:hint="eastAsia" w:ascii="Arial" w:hAnsi="Arial" w:eastAsia="仿宋_GB2312" w:cs="Arial"/>
          <w:sz w:val="24"/>
        </w:rPr>
        <w:t xml:space="preserve">三相不平衡模拟功能：具有三相独立运行模式，可针对每相独立设定幅值及相位，能实现各种不平衡的异常电网状态模拟</w:t>
      </w:r>
      <w:r>
        <w:rPr>
          <w:rFonts w:hint="eastAsia"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.21</w:t>
      </w:r>
      <w:r>
        <w:rPr>
          <w:rFonts w:hint="eastAsia" w:ascii="Arial" w:hAnsi="Arial" w:eastAsia="仿宋_GB2312" w:cs="Arial"/>
          <w:sz w:val="24"/>
        </w:rPr>
        <w:t xml:space="preserve">负载相数：三相三线ABC或三相四线ABCN</w:t>
      </w:r>
      <w:r>
        <w:rPr>
          <w:rFonts w:hint="eastAsia" w:ascii="Arial" w:hAnsi="Arial" w:eastAsia="仿宋_GB2312" w:cs="Arial"/>
          <w:sz w:val="24"/>
        </w:rPr>
      </w:r>
      <w:r/>
    </w:p>
    <w:p>
      <w:pPr>
        <w:pStyle w:val="1070"/>
        <w:rPr>
          <w:rFonts w:ascii="Arial" w:hAnsi="Arial" w:eastAsia="仿宋_GB2312" w:cs="Arial"/>
          <w:sz w:val="24"/>
        </w:rPr>
      </w:pPr>
      <w:r>
        <w:rPr>
          <w:rFonts w:ascii="Arial" w:hAnsi="Arial" w:eastAsia="仿宋_GB2312" w:cs="Arial"/>
          <w:sz w:val="24"/>
        </w:rPr>
        <w:t xml:space="preserve">1.22</w:t>
      </w:r>
      <w:r>
        <w:rPr>
          <w:rFonts w:hint="eastAsia" w:ascii="Arial" w:hAnsi="Arial" w:eastAsia="仿宋_GB2312" w:cs="Arial"/>
          <w:sz w:val="24"/>
        </w:rPr>
        <w:t xml:space="preserve">线性负载：</w:t>
      </w:r>
      <w:r>
        <w:rPr>
          <w:rFonts w:ascii="Arial" w:hAnsi="Arial" w:eastAsia="仿宋_GB2312" w:cs="Arial"/>
          <w:sz w:val="24"/>
        </w:rPr>
      </w:r>
      <w:r/>
    </w:p>
    <w:p>
      <w:pPr>
        <w:pStyle w:val="1070"/>
        <w:rPr>
          <w:rFonts w:hint="eastAsia" w:ascii="Arial" w:hAnsi="Arial" w:eastAsia="仿宋_GB2312" w:cs="Arial"/>
          <w:sz w:val="24"/>
          <w:lang w:eastAsia="zh-CN"/>
        </w:rPr>
      </w:pPr>
      <w:r>
        <w:rPr>
          <w:rFonts w:hint="eastAsia" w:ascii="Arial" w:hAnsi="Arial" w:eastAsia="仿宋_GB2312" w:cs="Arial"/>
          <w:sz w:val="24"/>
          <w:lang w:val="en-US" w:eastAsia="zh-CN"/>
        </w:rPr>
        <w:t xml:space="preserve">①</w:t>
      </w:r>
      <w:r>
        <w:rPr>
          <w:rFonts w:hint="eastAsia" w:ascii="Arial" w:hAnsi="Arial" w:eastAsia="仿宋_GB2312" w:cs="Arial"/>
          <w:sz w:val="24"/>
        </w:rPr>
        <w:t xml:space="preserve">恒流：电流、功率因数、负载类型、电流斜率、输出波形</w:t>
      </w:r>
      <w:r>
        <w:rPr>
          <w:rFonts w:hint="eastAsia" w:ascii="Arial" w:hAnsi="Arial" w:eastAsia="仿宋_GB2312" w:cs="Arial"/>
          <w:sz w:val="24"/>
          <w:lang w:eastAsia="zh-CN"/>
        </w:rPr>
        <w:t xml:space="preserve">；</w:t>
      </w:r>
      <w:r>
        <w:rPr>
          <w:rFonts w:hint="eastAsia" w:ascii="Arial" w:hAnsi="Arial" w:eastAsia="仿宋_GB2312" w:cs="Arial"/>
          <w:sz w:val="24"/>
          <w:lang w:eastAsia="zh-CN"/>
        </w:rPr>
      </w:r>
      <w:r/>
    </w:p>
    <w:p>
      <w:pPr>
        <w:pStyle w:val="1070"/>
        <w:rPr>
          <w:rFonts w:hint="eastAsia" w:ascii="Arial" w:hAnsi="Arial" w:eastAsia="仿宋_GB2312" w:cs="Arial"/>
          <w:sz w:val="24"/>
          <w:lang w:eastAsia="zh-CN"/>
        </w:rPr>
      </w:pPr>
      <w:r>
        <w:rPr>
          <w:rFonts w:hint="eastAsia" w:ascii="Arial" w:hAnsi="Arial" w:eastAsia="仿宋_GB2312" w:cs="Arial"/>
          <w:sz w:val="24"/>
          <w:lang w:val="en-US" w:eastAsia="zh-CN"/>
        </w:rPr>
        <w:t xml:space="preserve">②</w:t>
      </w:r>
      <w:r>
        <w:rPr>
          <w:rFonts w:hint="eastAsia" w:ascii="Arial" w:hAnsi="Arial" w:eastAsia="仿宋_GB2312" w:cs="Arial"/>
          <w:sz w:val="24"/>
        </w:rPr>
        <w:t xml:space="preserve">恒功率：视在功率、功率因数、负载类型、功率斜率、输出波形</w:t>
      </w:r>
      <w:r>
        <w:rPr>
          <w:rFonts w:hint="eastAsia" w:ascii="Arial" w:hAnsi="Arial" w:eastAsia="仿宋_GB2312" w:cs="Arial"/>
          <w:sz w:val="24"/>
          <w:lang w:eastAsia="zh-CN"/>
        </w:rPr>
        <w:t xml:space="preserve">；</w:t>
      </w:r>
      <w:r>
        <w:rPr>
          <w:rFonts w:hint="eastAsia" w:ascii="Arial" w:hAnsi="Arial" w:eastAsia="仿宋_GB2312" w:cs="Arial"/>
          <w:sz w:val="24"/>
          <w:lang w:eastAsia="zh-CN"/>
        </w:rPr>
      </w:r>
      <w:r/>
    </w:p>
    <w:p>
      <w:pPr>
        <w:pStyle w:val="1070"/>
        <w:rPr>
          <w:rFonts w:hint="eastAsia" w:ascii="Arial" w:hAnsi="Arial" w:eastAsia="仿宋_GB2312" w:cs="Arial"/>
          <w:sz w:val="24"/>
          <w:lang w:eastAsia="zh-CN"/>
        </w:rPr>
      </w:pPr>
      <w:r>
        <w:rPr>
          <w:rFonts w:hint="eastAsia" w:ascii="Arial" w:hAnsi="Arial" w:eastAsia="仿宋_GB2312" w:cs="Arial"/>
          <w:sz w:val="24"/>
          <w:lang w:val="en-US" w:eastAsia="zh-CN"/>
        </w:rPr>
        <w:t xml:space="preserve">③</w:t>
      </w:r>
      <w:r>
        <w:rPr>
          <w:rFonts w:hint="eastAsia" w:ascii="Arial" w:hAnsi="Arial" w:eastAsia="仿宋_GB2312" w:cs="Arial"/>
          <w:sz w:val="24"/>
        </w:rPr>
        <w:t xml:space="preserve">恒阻：电阻值</w:t>
      </w:r>
      <w:r>
        <w:rPr>
          <w:rFonts w:hint="eastAsia" w:ascii="Arial" w:hAnsi="Arial" w:eastAsia="仿宋_GB2312" w:cs="Arial"/>
          <w:sz w:val="24"/>
          <w:lang w:eastAsia="zh-CN"/>
        </w:rPr>
        <w:t xml:space="preserve">。</w:t>
      </w:r>
      <w:r>
        <w:rPr>
          <w:rFonts w:hint="eastAsia" w:ascii="Arial" w:hAnsi="Arial" w:eastAsia="仿宋_GB2312" w:cs="Arial"/>
          <w:sz w:val="24"/>
          <w:lang w:eastAsia="zh-CN"/>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.23</w:t>
      </w:r>
      <w:r>
        <w:rPr>
          <w:rFonts w:hint="eastAsia" w:ascii="Arial" w:hAnsi="Arial" w:eastAsia="仿宋_GB2312" w:cs="Arial"/>
          <w:sz w:val="24"/>
        </w:rPr>
        <w:t xml:space="preserve">非线性负载：电流、功率，峰值因数、电流斜率，功率斜率</w:t>
      </w:r>
      <w:r>
        <w:rPr>
          <w:rFonts w:hint="eastAsia" w:ascii="Arial" w:hAnsi="Arial" w:eastAsia="仿宋_GB2312" w:cs="Arial"/>
          <w:sz w:val="24"/>
        </w:rPr>
      </w:r>
      <w:r/>
    </w:p>
    <w:p>
      <w:pPr>
        <w:pStyle w:val="1070"/>
        <w:rPr>
          <w:rFonts w:hint="eastAsia" w:ascii="Arial" w:hAnsi="Arial" w:eastAsia="仿宋_GB2312" w:cs="Arial"/>
          <w:sz w:val="24"/>
        </w:rPr>
      </w:pPr>
      <w:r>
        <w:rPr>
          <w:rFonts w:ascii="Arial" w:hAnsi="Arial" w:eastAsia="仿宋_GB2312" w:cs="Arial"/>
          <w:sz w:val="24"/>
        </w:rPr>
        <w:t xml:space="preserve">1.24</w:t>
      </w:r>
      <w:r>
        <w:rPr>
          <w:rFonts w:hint="eastAsia" w:ascii="Arial" w:hAnsi="Arial" w:eastAsia="仿宋_GB2312" w:cs="Arial"/>
          <w:sz w:val="24"/>
        </w:rPr>
        <w:t xml:space="preserve">RLC模拟功能：支持RLC连接方式有R+L+C，R//L//C，(R//C)+L，(R+L)//C，(R+C)//L，电阻值、电感值、电容值可设</w:t>
      </w:r>
      <w:r>
        <w:rPr>
          <w:rFonts w:hint="eastAsia"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.25</w:t>
      </w:r>
      <w:r>
        <w:rPr>
          <w:rFonts w:hint="eastAsia" w:ascii="Arial" w:hAnsi="Arial" w:eastAsia="仿宋_GB2312" w:cs="Arial"/>
          <w:sz w:val="24"/>
        </w:rPr>
        <w:t xml:space="preserve">高低电压穿越功能：具备高穿、低穿、高低穿，联合测试功能，电源穿越最低电压需小于5V，典型上升/下降时间不大于1ms</w:t>
      </w:r>
      <w:r>
        <w:rPr>
          <w:rFonts w:hint="eastAsia"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.26</w:t>
      </w:r>
      <w:r>
        <w:rPr>
          <w:rFonts w:hint="eastAsia" w:ascii="Arial" w:hAnsi="Arial" w:eastAsia="仿宋_GB2312" w:cs="Arial"/>
          <w:sz w:val="24"/>
        </w:rPr>
        <w:t xml:space="preserve">暂降、中断测试：可通过电压、时间等参数的设置，实现电网暂降、中断等异常状态的模拟，适用于被试件对电网适应性的测试</w:t>
      </w:r>
      <w:r>
        <w:rPr>
          <w:rFonts w:hint="eastAsia"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.27</w:t>
      </w:r>
      <w:r>
        <w:rPr>
          <w:rFonts w:hint="eastAsia" w:ascii="Arial" w:hAnsi="Arial" w:eastAsia="仿宋_GB2312" w:cs="Arial"/>
          <w:sz w:val="24"/>
        </w:rPr>
        <w:t xml:space="preserve">电压谐波叠加功能：谐波叠加模式下可设定各次电压的谐波幅值，模拟异常的电网环境，以考验被测试设备的电网耐受能力，谐波叠加次数≥50次，总谐波含量≥40%，支持49种谐波同时叠加，且触发相位角可设</w:t>
      </w:r>
      <w:r>
        <w:rPr>
          <w:rFonts w:hint="eastAsia"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.28</w:t>
      </w:r>
      <w:r>
        <w:rPr>
          <w:rFonts w:hint="eastAsia" w:ascii="Arial" w:hAnsi="Arial" w:eastAsia="仿宋_GB2312" w:cs="Arial"/>
          <w:sz w:val="24"/>
        </w:rPr>
        <w:t xml:space="preserve">电流谐波叠加功能：谐波叠加模式下可设定各次电流的谐波幅值，模拟异常的电网环境，以考验被测试设备的电流谐波耐受能力，谐波叠加次数≥50次，总谐波含量≥40%</w:t>
      </w:r>
      <w:r>
        <w:rPr>
          <w:rFonts w:hint="eastAsia"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.29</w:t>
      </w:r>
      <w:r>
        <w:rPr>
          <w:rFonts w:hint="eastAsia" w:ascii="Arial" w:hAnsi="Arial" w:eastAsia="仿宋_GB2312" w:cs="Arial"/>
          <w:sz w:val="24"/>
        </w:rPr>
        <w:t xml:space="preserve">编程功能：设备具备编程功能，编程步数不小于100步，最小编程时间步长不大于100us ，具备LIST、STEP及PULSE等多种编程输出模式</w:t>
      </w:r>
      <w:r>
        <w:rPr>
          <w:rFonts w:hint="eastAsia" w:ascii="Arial" w:hAnsi="Arial" w:eastAsia="仿宋_GB2312" w:cs="Arial"/>
          <w:sz w:val="24"/>
        </w:rPr>
      </w:r>
      <w:r/>
    </w:p>
    <w:p>
      <w:pPr>
        <w:pStyle w:val="1070"/>
        <w:rPr>
          <w:rFonts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.30</w:t>
      </w:r>
      <w:r>
        <w:rPr>
          <w:rFonts w:hint="eastAsia" w:ascii="Arial" w:hAnsi="Arial" w:eastAsia="仿宋_GB2312" w:cs="Arial"/>
          <w:sz w:val="24"/>
        </w:rPr>
        <w:t xml:space="preserve">源载一体：同时电网模拟源和交流负载模拟的功能</w:t>
      </w:r>
      <w:r>
        <w:rPr>
          <w:rFonts w:ascii="Arial" w:hAnsi="Arial" w:eastAsia="仿宋_GB2312" w:cs="Arial"/>
          <w:sz w:val="24"/>
        </w:rPr>
      </w:r>
      <w:r/>
    </w:p>
    <w:p>
      <w:pPr>
        <w:pStyle w:val="1070"/>
        <w:rPr>
          <w:rFonts w:hint="eastAsia" w:ascii="Arial" w:hAnsi="Arial" w:eastAsia="仿宋_GB2312" w:cs="Arial"/>
          <w:sz w:val="24"/>
        </w:rPr>
      </w:pPr>
      <w:r>
        <w:rPr>
          <w:rFonts w:ascii="Arial" w:hAnsi="Arial" w:eastAsia="仿宋_GB2312" w:cs="Arial"/>
          <w:sz w:val="24"/>
        </w:rPr>
        <w:t xml:space="preserve">1.31</w:t>
      </w:r>
      <w:r>
        <w:rPr>
          <w:rFonts w:hint="eastAsia" w:ascii="Arial" w:hAnsi="Arial" w:eastAsia="仿宋_GB2312" w:cs="Arial"/>
          <w:sz w:val="24"/>
        </w:rPr>
        <w:t xml:space="preserve">具有在一个周波内进行±0.1%额定频率的调节能力</w:t>
      </w:r>
      <w:r>
        <w:rPr>
          <w:rFonts w:hint="eastAsia" w:ascii="Arial" w:hAnsi="Arial" w:eastAsia="仿宋_GB2312" w:cs="Arial"/>
          <w:sz w:val="24"/>
        </w:rPr>
      </w:r>
      <w:r/>
    </w:p>
    <w:p>
      <w:pPr>
        <w:pStyle w:val="1070"/>
        <w:rPr>
          <w:rFonts w:ascii="Arial" w:hAnsi="Arial" w:eastAsia="仿宋_GB2312" w:cs="Arial"/>
          <w:sz w:val="24"/>
        </w:rPr>
      </w:pPr>
      <w:r>
        <w:rPr>
          <w:rFonts w:hint="eastAsia" w:ascii="Arial" w:hAnsi="Arial" w:eastAsia="仿宋_GB2312" w:cs="Arial"/>
          <w:sz w:val="24"/>
        </w:rPr>
        <w:t xml:space="preserve">1</w:t>
      </w:r>
      <w:r>
        <w:rPr>
          <w:rFonts w:ascii="Arial" w:hAnsi="Arial" w:eastAsia="仿宋_GB2312" w:cs="Arial"/>
          <w:sz w:val="24"/>
        </w:rPr>
        <w:t xml:space="preserve">.32</w:t>
      </w:r>
      <w:r>
        <w:rPr>
          <w:rFonts w:hint="eastAsia" w:ascii="Arial" w:hAnsi="Arial" w:eastAsia="仿宋_GB2312" w:cs="Arial"/>
          <w:sz w:val="24"/>
        </w:rPr>
        <w:t xml:space="preserve">具有在一个周波内进行±1%标称电压的调节能力。</w:t>
      </w:r>
      <w:r>
        <w:rPr>
          <w:rFonts w:ascii="Arial" w:hAnsi="Arial" w:eastAsia="仿宋_GB2312" w:cs="Arial"/>
          <w:sz w:val="24"/>
        </w:rPr>
      </w:r>
      <w:r/>
    </w:p>
    <w:p>
      <w:pPr>
        <w:pStyle w:val="1055"/>
        <w:keepLines w:val="0"/>
        <w:spacing w:before="0" w:after="0"/>
        <w:widowControl/>
        <w:tabs>
          <w:tab w:val="left" w:pos="540" w:leader="none"/>
        </w:tabs>
        <w:rPr>
          <w:rFonts w:hint="eastAsia" w:eastAsia="宋体" w:cs="Arial"/>
          <w:sz w:val="24"/>
        </w:rPr>
      </w:pPr>
      <w:r>
        <w:rPr>
          <w:rFonts w:eastAsia="宋体" w:cs="Arial"/>
          <w:sz w:val="24"/>
        </w:rPr>
        <w:t xml:space="preserve">2.</w:t>
      </w:r>
      <w:r>
        <w:rPr>
          <w:rFonts w:hint="eastAsia" w:eastAsia="宋体" w:cs="Arial"/>
          <w:sz w:val="24"/>
        </w:rPr>
        <w:t xml:space="preserve"> 可编程多通道高精度数据采集仪</w:t>
      </w:r>
      <w:r>
        <w:rPr>
          <w:rFonts w:hint="eastAsia" w:eastAsia="宋体" w:cs="Arial"/>
          <w:sz w:val="24"/>
        </w:rPr>
      </w:r>
      <w:r/>
    </w:p>
    <w:p>
      <w:pPr>
        <w:pStyle w:val="1070"/>
        <w:ind w:firstLine="480"/>
        <w:rPr>
          <w:rFonts w:hint="eastAsia" w:ascii="Arial" w:hAnsi="Arial" w:eastAsia="仿宋_GB2312" w:cs="Arial"/>
          <w:sz w:val="24"/>
          <w:lang w:eastAsia="zh-CN"/>
        </w:rPr>
      </w:pPr>
      <w:r>
        <w:rPr>
          <w:rFonts w:hint="eastAsia" w:ascii="Arial" w:hAnsi="Arial" w:eastAsia="仿宋_GB2312" w:cs="Arial"/>
          <w:bCs/>
          <w:sz w:val="24"/>
          <w:szCs w:val="24"/>
        </w:rPr>
        <w:t xml:space="preserve">★</w:t>
      </w:r>
      <w:r>
        <w:rPr>
          <w:rFonts w:hint="eastAsia" w:ascii="Arial" w:hAnsi="Arial" w:eastAsia="仿宋_GB2312" w:cs="Arial"/>
          <w:sz w:val="24"/>
        </w:rPr>
        <w:t xml:space="preserve">2</w:t>
      </w:r>
      <w:r>
        <w:rPr>
          <w:rFonts w:ascii="Arial" w:hAnsi="Arial" w:eastAsia="仿宋_GB2312" w:cs="Arial"/>
          <w:sz w:val="24"/>
        </w:rPr>
        <w:t xml:space="preserve">.1 </w:t>
      </w:r>
      <w:r>
        <w:rPr>
          <w:rFonts w:hint="eastAsia" w:ascii="Arial" w:hAnsi="Arial" w:eastAsia="仿宋_GB2312" w:cs="Arial"/>
          <w:sz w:val="24"/>
        </w:rPr>
        <w:t xml:space="preserve">电压输入方式：三相四线；输入范围：0</w:t>
      </w:r>
      <w:r>
        <w:rPr>
          <w:rFonts w:ascii="Arial" w:hAnsi="Arial" w:eastAsia="仿宋_GB2312" w:cs="Arial"/>
          <w:sz w:val="24"/>
        </w:rPr>
        <w:t xml:space="preserve">~470</w:t>
      </w:r>
      <w:r>
        <w:rPr>
          <w:rFonts w:hint="eastAsia" w:ascii="Arial" w:hAnsi="Arial" w:eastAsia="仿宋_GB2312" w:cs="Arial"/>
          <w:sz w:val="24"/>
        </w:rPr>
        <w:t xml:space="preserve">V</w:t>
      </w:r>
      <w:r>
        <w:rPr>
          <w:rFonts w:ascii="Arial" w:hAnsi="Arial" w:eastAsia="仿宋_GB2312" w:cs="Arial"/>
          <w:sz w:val="24"/>
        </w:rPr>
        <w:t xml:space="preserve">(</w:t>
      </w:r>
      <w:r>
        <w:rPr>
          <w:rFonts w:hint="eastAsia" w:ascii="Arial" w:hAnsi="Arial" w:eastAsia="仿宋_GB2312" w:cs="Arial"/>
          <w:sz w:val="24"/>
        </w:rPr>
        <w:t xml:space="preserve">相电压)/</w:t>
      </w:r>
      <w:r>
        <w:rPr>
          <w:rFonts w:ascii="Arial" w:hAnsi="Arial" w:eastAsia="仿宋_GB2312" w:cs="Arial"/>
          <w:sz w:val="24"/>
        </w:rPr>
        <w:t xml:space="preserve">800</w:t>
      </w:r>
      <w:r>
        <w:rPr>
          <w:rFonts w:hint="eastAsia" w:ascii="Arial" w:hAnsi="Arial" w:eastAsia="仿宋_GB2312" w:cs="Arial"/>
          <w:sz w:val="24"/>
        </w:rPr>
        <w:t xml:space="preserve">V（线电压）；测量最大误差：≤</w:t>
      </w:r>
      <w:r>
        <w:rPr>
          <w:rFonts w:ascii="Arial" w:hAnsi="Arial" w:eastAsia="仿宋_GB2312" w:cs="Arial"/>
          <w:sz w:val="24"/>
        </w:rPr>
        <w:t xml:space="preserve">0.05%</w:t>
      </w:r>
      <w:r>
        <w:rPr>
          <w:rFonts w:hint="eastAsia" w:ascii="Arial" w:hAnsi="Arial" w:eastAsia="仿宋_GB2312" w:cs="Arial"/>
          <w:sz w:val="24"/>
        </w:rPr>
        <w:t xml:space="preserve">RD</w:t>
      </w:r>
      <w:r>
        <w:rPr>
          <w:rFonts w:ascii="Arial" w:hAnsi="Arial" w:eastAsia="仿宋_GB2312" w:cs="Arial"/>
          <w:sz w:val="24"/>
        </w:rPr>
        <w:t xml:space="preserve">(150V~470</w:t>
      </w:r>
      <w:r>
        <w:rPr>
          <w:rFonts w:hint="eastAsia" w:ascii="Arial" w:hAnsi="Arial" w:eastAsia="仿宋_GB2312" w:cs="Arial"/>
          <w:sz w:val="24"/>
        </w:rPr>
        <w:t xml:space="preserve">V</w:t>
      </w:r>
      <w:r>
        <w:rPr>
          <w:rFonts w:ascii="Arial" w:hAnsi="Arial" w:eastAsia="仿宋_GB2312" w:cs="Arial"/>
          <w:sz w:val="24"/>
        </w:rPr>
        <w:t xml:space="preserve">)</w:t>
      </w:r>
      <w:r>
        <w:rPr>
          <w:rFonts w:hint="eastAsia" w:ascii="Arial" w:hAnsi="Arial" w:eastAsia="仿宋_GB2312" w:cs="Arial"/>
          <w:b/>
          <w:bCs/>
          <w:color w:val="c00000"/>
          <w:sz w:val="24"/>
        </w:rPr>
        <w:t xml:space="preserve"> </w:t>
      </w:r>
      <w:r>
        <w:rPr>
          <w:rFonts w:hint="eastAsia" w:ascii="Arial" w:hAnsi="Arial" w:eastAsia="仿宋_GB2312" w:cs="Arial"/>
          <w:b/>
          <w:bCs/>
          <w:color w:val="c00000"/>
          <w:sz w:val="24"/>
          <w:lang w:eastAsia="zh-CN"/>
        </w:rPr>
        <w:t xml:space="preserve">（</w:t>
      </w:r>
      <w:r>
        <w:rPr>
          <w:rFonts w:hint="eastAsia" w:ascii="Arial" w:hAnsi="Arial" w:eastAsia="仿宋_GB2312" w:cs="Arial"/>
          <w:b/>
          <w:bCs/>
          <w:color w:val="c00000"/>
          <w:sz w:val="24"/>
          <w:lang w:val="en-US" w:eastAsia="zh-CN"/>
        </w:rPr>
        <w:t xml:space="preserve">投标文件中提供</w:t>
      </w:r>
      <w:r>
        <w:rPr>
          <w:rFonts w:hint="eastAsia" w:ascii="Arial" w:hAnsi="Arial" w:eastAsia="仿宋_GB2312" w:cs="Arial"/>
          <w:b/>
          <w:bCs/>
          <w:color w:val="c00000"/>
          <w:sz w:val="24"/>
          <w:lang w:eastAsia="zh-CN"/>
        </w:rPr>
        <w:t xml:space="preserve">公开发行的手册、彩页、官网截图、功能页面截图、检测报告或白皮书等证明材料）</w:t>
      </w:r>
      <w:r>
        <w:rPr>
          <w:rFonts w:hint="eastAsia" w:ascii="Arial" w:hAnsi="Arial" w:eastAsia="仿宋_GB2312" w:cs="Arial"/>
          <w:sz w:val="24"/>
          <w:lang w:eastAsia="zh-CN"/>
        </w:rPr>
      </w:r>
      <w:r/>
    </w:p>
    <w:p>
      <w:pPr>
        <w:pStyle w:val="1070"/>
        <w:ind w:firstLine="480"/>
        <w:rPr>
          <w:rFonts w:hint="eastAsia" w:ascii="Arial" w:hAnsi="Arial" w:eastAsia="仿宋_GB2312" w:cs="Arial"/>
          <w:sz w:val="24"/>
        </w:rPr>
      </w:pPr>
      <w:r>
        <w:rPr>
          <w:rFonts w:hint="eastAsia" w:ascii="Arial" w:hAnsi="Arial" w:eastAsia="仿宋_GB2312" w:cs="Arial"/>
          <w:bCs/>
          <w:sz w:val="24"/>
          <w:szCs w:val="24"/>
        </w:rPr>
        <w:t xml:space="preserve">★</w:t>
      </w:r>
      <w:r>
        <w:rPr>
          <w:rFonts w:hint="eastAsia" w:ascii="Arial" w:hAnsi="Arial" w:eastAsia="仿宋_GB2312" w:cs="Arial"/>
          <w:sz w:val="24"/>
        </w:rPr>
        <w:t xml:space="preserve">2</w:t>
      </w:r>
      <w:r>
        <w:rPr>
          <w:rFonts w:ascii="Arial" w:hAnsi="Arial" w:eastAsia="仿宋_GB2312" w:cs="Arial"/>
          <w:sz w:val="24"/>
        </w:rPr>
        <w:t xml:space="preserve">.2 </w:t>
      </w:r>
      <w:r>
        <w:rPr>
          <w:rFonts w:hint="eastAsia" w:ascii="Arial" w:hAnsi="Arial" w:eastAsia="仿宋_GB2312" w:cs="Arial"/>
          <w:sz w:val="24"/>
        </w:rPr>
        <w:t xml:space="preserve">电流输入范围：0A</w:t>
      </w:r>
      <w:r>
        <w:rPr>
          <w:rFonts w:ascii="Arial" w:hAnsi="Arial" w:eastAsia="仿宋_GB2312" w:cs="Arial"/>
          <w:sz w:val="24"/>
        </w:rPr>
        <w:t xml:space="preserve">~500A</w:t>
      </w:r>
      <w:r>
        <w:rPr>
          <w:rFonts w:hint="eastAsia" w:ascii="Arial" w:hAnsi="Arial" w:eastAsia="仿宋_GB2312" w:cs="Arial"/>
          <w:sz w:val="24"/>
        </w:rPr>
        <w:t xml:space="preserve">；测量最大误差：≤(</w:t>
      </w:r>
      <w:r>
        <w:rPr>
          <w:rFonts w:ascii="Arial" w:hAnsi="Arial" w:eastAsia="仿宋_GB2312" w:cs="Arial"/>
          <w:sz w:val="24"/>
        </w:rPr>
        <w:t xml:space="preserve">0.05%</w:t>
      </w:r>
      <w:r>
        <w:rPr>
          <w:rFonts w:hint="eastAsia" w:ascii="Arial" w:hAnsi="Arial" w:eastAsia="仿宋_GB2312" w:cs="Arial"/>
          <w:sz w:val="24"/>
        </w:rPr>
        <w:t xml:space="preserve">RD</w:t>
      </w:r>
      <w:r>
        <w:rPr>
          <w:rFonts w:ascii="Arial" w:hAnsi="Arial" w:eastAsia="仿宋_GB2312" w:cs="Arial"/>
          <w:sz w:val="24"/>
        </w:rPr>
        <w:t xml:space="preserve">+0.005%RG)</w:t>
      </w:r>
      <w:r>
        <w:rPr>
          <w:rFonts w:hint="eastAsia" w:ascii="Arial" w:hAnsi="Arial" w:eastAsia="仿宋_GB2312" w:cs="Arial"/>
          <w:b/>
          <w:bCs/>
          <w:color w:val="c00000"/>
          <w:sz w:val="24"/>
        </w:rPr>
        <w:t xml:space="preserve"> </w:t>
      </w:r>
      <w:r>
        <w:rPr>
          <w:rFonts w:hint="eastAsia" w:ascii="Arial" w:hAnsi="Arial" w:eastAsia="仿宋_GB2312" w:cs="Arial"/>
          <w:b/>
          <w:bCs/>
          <w:color w:val="c00000"/>
          <w:sz w:val="24"/>
          <w:lang w:eastAsia="zh-CN"/>
        </w:rPr>
        <w:t xml:space="preserve">（</w:t>
      </w:r>
      <w:r>
        <w:rPr>
          <w:rFonts w:hint="eastAsia" w:ascii="Arial" w:hAnsi="Arial" w:eastAsia="仿宋_GB2312" w:cs="Arial"/>
          <w:b/>
          <w:bCs/>
          <w:color w:val="c00000"/>
          <w:sz w:val="24"/>
          <w:lang w:val="en-US" w:eastAsia="zh-CN"/>
        </w:rPr>
        <w:t xml:space="preserve">投标文件中提供</w:t>
      </w:r>
      <w:r>
        <w:rPr>
          <w:rFonts w:hint="eastAsia" w:ascii="Arial" w:hAnsi="Arial" w:eastAsia="仿宋_GB2312" w:cs="Arial"/>
          <w:b/>
          <w:bCs/>
          <w:color w:val="c00000"/>
          <w:sz w:val="24"/>
          <w:lang w:eastAsia="zh-CN"/>
        </w:rPr>
        <w:t xml:space="preserve">公开发行的手册、彩页、官网截图、功能页面截图、检测报告或白皮书等证明材料）</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2</w:t>
      </w:r>
      <w:r>
        <w:rPr>
          <w:rFonts w:ascii="Arial" w:hAnsi="Arial" w:eastAsia="仿宋_GB2312" w:cs="Arial"/>
          <w:sz w:val="24"/>
        </w:rPr>
        <w:t xml:space="preserve">.3 </w:t>
      </w:r>
      <w:r>
        <w:rPr>
          <w:rFonts w:hint="eastAsia" w:ascii="Arial" w:hAnsi="Arial" w:eastAsia="仿宋_GB2312" w:cs="Arial"/>
          <w:sz w:val="24"/>
        </w:rPr>
        <w:t xml:space="preserve">数据采集装置采样频率：≥10kHz</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ascii="Arial" w:hAnsi="Arial" w:eastAsia="仿宋_GB2312" w:cs="Arial"/>
          <w:sz w:val="24"/>
        </w:rPr>
        <w:t xml:space="preserve">2.4 </w:t>
      </w:r>
      <w:r>
        <w:rPr>
          <w:rFonts w:hint="eastAsia" w:ascii="Arial" w:hAnsi="Arial" w:eastAsia="仿宋_GB2312" w:cs="Arial"/>
          <w:sz w:val="24"/>
        </w:rPr>
        <w:t xml:space="preserve">电能质量采样频率：≥20kHz</w:t>
      </w:r>
      <w:r>
        <w:rPr>
          <w:rFonts w:hint="eastAsia" w:ascii="Arial" w:hAnsi="Arial" w:eastAsia="仿宋_GB2312" w:cs="Arial"/>
          <w:sz w:val="24"/>
        </w:rPr>
      </w:r>
      <w:r/>
    </w:p>
    <w:p>
      <w:pPr>
        <w:pStyle w:val="1070"/>
        <w:ind w:firstLine="480"/>
        <w:rPr>
          <w:rFonts w:hint="eastAsia" w:ascii="Arial" w:hAnsi="Arial" w:eastAsia="仿宋_GB2312" w:cs="Arial"/>
          <w:sz w:val="24"/>
        </w:rPr>
      </w:pPr>
      <w:r>
        <w:rPr>
          <w:rStyle w:val="1499"/>
          <w:rFonts w:ascii="宋体" w:hAnsi="宋体" w:eastAsia="宋体" w:cs="Arial"/>
          <w:sz w:val="24"/>
          <w:szCs w:val="24"/>
        </w:rPr>
        <w:t xml:space="preserve">▲</w:t>
      </w:r>
      <w:r>
        <w:rPr>
          <w:rFonts w:ascii="Arial" w:hAnsi="Arial" w:eastAsia="仿宋_GB2312" w:cs="Arial"/>
          <w:sz w:val="24"/>
        </w:rPr>
        <w:t xml:space="preserve">2.5 </w:t>
      </w:r>
      <w:r>
        <w:rPr>
          <w:rFonts w:hint="eastAsia" w:ascii="Arial" w:hAnsi="Arial" w:eastAsia="仿宋_GB2312" w:cs="Arial"/>
          <w:sz w:val="24"/>
        </w:rPr>
        <w:t xml:space="preserve">频率测量精度：≤0.005Hz</w:t>
      </w:r>
      <w:r>
        <w:rPr>
          <w:rFonts w:hint="eastAsia" w:ascii="Arial" w:hAnsi="Arial" w:eastAsia="仿宋_GB2312" w:cs="Arial"/>
          <w:sz w:val="24"/>
        </w:rPr>
      </w:r>
      <w:r/>
    </w:p>
    <w:p>
      <w:pPr>
        <w:pStyle w:val="1070"/>
        <w:ind w:firstLine="480"/>
        <w:rPr>
          <w:rFonts w:hint="eastAsia" w:ascii="Arial" w:hAnsi="Arial" w:eastAsia="仿宋_GB2312" w:cs="Arial"/>
          <w:sz w:val="24"/>
        </w:rPr>
      </w:pPr>
      <w:r>
        <w:rPr>
          <w:rStyle w:val="1499"/>
          <w:rFonts w:ascii="宋体" w:hAnsi="宋体" w:cs="Arial"/>
          <w:sz w:val="24"/>
          <w:szCs w:val="24"/>
        </w:rPr>
        <w:t xml:space="preserve">▲</w:t>
      </w:r>
      <w:r>
        <w:rPr>
          <w:rFonts w:hint="eastAsia" w:ascii="Arial" w:hAnsi="Arial" w:eastAsia="仿宋_GB2312" w:cs="Arial"/>
          <w:sz w:val="24"/>
        </w:rPr>
        <w:t xml:space="preserve">2</w:t>
      </w:r>
      <w:r>
        <w:rPr>
          <w:rFonts w:ascii="Arial" w:hAnsi="Arial" w:eastAsia="仿宋_GB2312" w:cs="Arial"/>
          <w:sz w:val="24"/>
        </w:rPr>
        <w:t xml:space="preserve">.6 </w:t>
      </w:r>
      <w:r>
        <w:rPr>
          <w:rFonts w:hint="eastAsia" w:ascii="Arial" w:hAnsi="Arial" w:eastAsia="仿宋_GB2312" w:cs="Arial"/>
          <w:sz w:val="24"/>
        </w:rPr>
        <w:t xml:space="preserve">相位角测量最大误差：≤0</w:t>
      </w:r>
      <w:r>
        <w:rPr>
          <w:rFonts w:ascii="Arial" w:hAnsi="Arial" w:eastAsia="仿宋_GB2312" w:cs="Arial"/>
          <w:sz w:val="24"/>
        </w:rPr>
        <w:t xml:space="preserve">.02</w:t>
      </w:r>
      <w:r>
        <w:rPr>
          <w:rFonts w:hint="eastAsia" w:ascii="Arial" w:hAnsi="Arial" w:eastAsia="仿宋_GB2312" w:cs="Arial"/>
          <w:sz w:val="24"/>
        </w:rPr>
        <w:t xml:space="preserve">°</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2</w:t>
      </w:r>
      <w:r>
        <w:rPr>
          <w:rFonts w:ascii="Arial" w:hAnsi="Arial" w:eastAsia="仿宋_GB2312" w:cs="Arial"/>
          <w:sz w:val="24"/>
        </w:rPr>
        <w:t xml:space="preserve">.7 </w:t>
      </w:r>
      <w:r>
        <w:rPr>
          <w:rFonts w:hint="eastAsia" w:ascii="Arial" w:hAnsi="Arial" w:eastAsia="仿宋_GB2312" w:cs="Arial"/>
          <w:sz w:val="24"/>
        </w:rPr>
        <w:t xml:space="preserve">温度测量最大误差：≤0.5°C</w:t>
      </w:r>
      <w:r>
        <w:rPr>
          <w:rFonts w:hint="eastAsia" w:ascii="Arial" w:hAnsi="Arial" w:eastAsia="仿宋_GB2312" w:cs="Arial"/>
          <w:sz w:val="24"/>
        </w:rPr>
      </w:r>
      <w:r/>
    </w:p>
    <w:p>
      <w:pPr>
        <w:pStyle w:val="1070"/>
        <w:rPr>
          <w:rFonts w:ascii="Arial" w:hAnsi="Arial" w:eastAsia="仿宋_GB2312" w:cs="Arial"/>
          <w:sz w:val="24"/>
        </w:rPr>
      </w:pPr>
      <w:r>
        <w:rPr>
          <w:rFonts w:ascii="Arial" w:hAnsi="Arial" w:eastAsia="仿宋_GB2312" w:cs="Arial"/>
          <w:sz w:val="24"/>
        </w:rPr>
        <w:t xml:space="preserve">2.8 </w:t>
      </w:r>
      <w:r>
        <w:rPr>
          <w:rFonts w:hint="eastAsia" w:ascii="Arial" w:hAnsi="Arial" w:eastAsia="仿宋_GB2312" w:cs="Arial"/>
          <w:sz w:val="24"/>
        </w:rPr>
        <w:t xml:space="preserve">湿度计测量最大误差：≤3%</w:t>
      </w:r>
      <w:r>
        <w:rPr>
          <w:rFonts w:ascii="Arial" w:hAnsi="Arial" w:eastAsia="仿宋_GB2312" w:cs="Arial"/>
          <w:sz w:val="24"/>
        </w:rPr>
      </w:r>
      <w:r/>
    </w:p>
    <w:p>
      <w:pPr>
        <w:pStyle w:val="1070"/>
        <w:rPr>
          <w:rFonts w:ascii="Arial" w:hAnsi="Arial" w:eastAsia="仿宋_GB2312" w:cs="Arial"/>
          <w:sz w:val="24"/>
        </w:rPr>
      </w:pPr>
      <w:r>
        <w:rPr>
          <w:rFonts w:hint="eastAsia" w:ascii="Arial" w:hAnsi="Arial" w:eastAsia="仿宋_GB2312" w:cs="Arial"/>
          <w:sz w:val="24"/>
        </w:rPr>
        <w:t xml:space="preserve">2</w:t>
      </w:r>
      <w:r>
        <w:rPr>
          <w:rFonts w:ascii="Arial" w:hAnsi="Arial" w:eastAsia="仿宋_GB2312" w:cs="Arial"/>
          <w:sz w:val="24"/>
        </w:rPr>
        <w:t xml:space="preserve">.9 </w:t>
      </w:r>
      <w:r>
        <w:rPr>
          <w:rFonts w:hint="eastAsia" w:ascii="Arial" w:hAnsi="Arial" w:eastAsia="仿宋_GB2312" w:cs="Arial"/>
          <w:sz w:val="24"/>
        </w:rPr>
        <w:t xml:space="preserve">连续功率记录：0.2s有/无功功率测量连续记录时间＞2min</w:t>
      </w:r>
      <w:r>
        <w:rPr>
          <w:rFonts w:ascii="Arial" w:hAnsi="Arial" w:eastAsia="仿宋_GB2312" w:cs="Arial"/>
          <w:sz w:val="24"/>
        </w:rPr>
      </w:r>
      <w:r/>
    </w:p>
    <w:p>
      <w:pPr>
        <w:pStyle w:val="1070"/>
        <w:rPr>
          <w:rFonts w:ascii="Arial" w:hAnsi="Arial" w:eastAsia="仿宋_GB2312" w:cs="Arial"/>
          <w:sz w:val="24"/>
        </w:rPr>
      </w:pPr>
      <w:r>
        <w:rPr>
          <w:rFonts w:ascii="Arial" w:hAnsi="Arial" w:eastAsia="仿宋_GB2312" w:cs="Arial"/>
          <w:sz w:val="24"/>
        </w:rPr>
        <w:t xml:space="preserve">2.10 </w:t>
      </w:r>
      <w:r>
        <w:rPr>
          <w:rFonts w:hint="eastAsia" w:ascii="Arial" w:hAnsi="Arial" w:eastAsia="仿宋_GB2312" w:cs="Arial"/>
          <w:sz w:val="24"/>
        </w:rPr>
        <w:t xml:space="preserve">谐波测量：不低于1</w:t>
      </w:r>
      <w:r>
        <w:rPr>
          <w:rFonts w:ascii="Arial" w:hAnsi="Arial" w:eastAsia="仿宋_GB2312" w:cs="Arial"/>
          <w:sz w:val="24"/>
        </w:rPr>
        <w:t xml:space="preserve">00</w:t>
      </w:r>
      <w:r>
        <w:rPr>
          <w:rFonts w:hint="eastAsia" w:ascii="Arial" w:hAnsi="Arial" w:eastAsia="仿宋_GB2312" w:cs="Arial"/>
          <w:sz w:val="24"/>
        </w:rPr>
        <w:t xml:space="preserve">次谐波，谐波测量最大误差：≤0</w:t>
      </w:r>
      <w:r>
        <w:rPr>
          <w:rFonts w:ascii="Arial" w:hAnsi="Arial" w:eastAsia="仿宋_GB2312" w:cs="Arial"/>
          <w:sz w:val="24"/>
        </w:rPr>
        <w:t xml:space="preserve">.1%</w:t>
      </w:r>
      <w:r>
        <w:rPr>
          <w:rFonts w:hint="eastAsia" w:ascii="Arial" w:hAnsi="Arial" w:eastAsia="仿宋_GB2312" w:cs="Arial"/>
          <w:sz w:val="24"/>
        </w:rPr>
        <w:t xml:space="preserve">RD</w:t>
      </w:r>
      <w:r>
        <w:rPr>
          <w:rFonts w:ascii="Arial" w:hAnsi="Arial" w:eastAsia="仿宋_GB2312" w:cs="Arial"/>
          <w:sz w:val="24"/>
        </w:rPr>
        <w:t xml:space="preserve">(</w:t>
      </w:r>
      <w:r>
        <w:rPr>
          <w:rFonts w:hint="eastAsia" w:ascii="Arial" w:hAnsi="Arial" w:eastAsia="仿宋_GB2312" w:cs="Arial"/>
          <w:sz w:val="24"/>
        </w:rPr>
        <w:t xml:space="preserve">≤</w:t>
      </w:r>
      <w:r>
        <w:rPr>
          <w:rFonts w:ascii="Arial" w:hAnsi="Arial" w:eastAsia="仿宋_GB2312" w:cs="Arial"/>
          <w:sz w:val="24"/>
        </w:rPr>
        <w:t xml:space="preserve">25</w:t>
      </w:r>
      <w:r>
        <w:rPr>
          <w:rFonts w:hint="eastAsia" w:ascii="Arial" w:hAnsi="Arial" w:eastAsia="仿宋_GB2312" w:cs="Arial"/>
          <w:sz w:val="24"/>
        </w:rPr>
        <w:t xml:space="preserve">次)</w:t>
      </w:r>
      <w:r>
        <w:rPr>
          <w:rFonts w:ascii="Arial" w:hAnsi="Arial" w:eastAsia="仿宋_GB2312" w:cs="Arial"/>
          <w:sz w:val="24"/>
        </w:rPr>
      </w:r>
      <w:r/>
    </w:p>
    <w:p>
      <w:pPr>
        <w:pStyle w:val="1070"/>
        <w:rPr>
          <w:rFonts w:ascii="Arial" w:hAnsi="Arial" w:eastAsia="仿宋_GB2312" w:cs="Arial"/>
          <w:sz w:val="24"/>
        </w:rPr>
      </w:pPr>
      <w:r>
        <w:rPr>
          <w:rFonts w:ascii="Arial" w:hAnsi="Arial" w:eastAsia="仿宋_GB2312" w:cs="Arial"/>
          <w:sz w:val="24"/>
        </w:rPr>
        <w:t xml:space="preserve">2.11 </w:t>
      </w:r>
      <w:r>
        <w:rPr>
          <w:rFonts w:hint="eastAsia" w:ascii="Arial" w:hAnsi="Arial" w:eastAsia="仿宋_GB2312" w:cs="Arial"/>
          <w:sz w:val="24"/>
        </w:rPr>
        <w:t xml:space="preserve">短时间闪变测量最大误差：≤</w:t>
      </w:r>
      <w:r>
        <w:rPr>
          <w:rFonts w:ascii="Arial" w:hAnsi="Arial" w:eastAsia="仿宋_GB2312" w:cs="Arial"/>
          <w:sz w:val="24"/>
        </w:rPr>
        <w:t xml:space="preserve">5%</w:t>
      </w:r>
      <w:r>
        <w:rPr>
          <w:rFonts w:hint="eastAsia" w:ascii="Arial" w:hAnsi="Arial" w:eastAsia="仿宋_GB2312" w:cs="Arial"/>
          <w:sz w:val="24"/>
        </w:rPr>
        <w:t xml:space="preserve">（P</w:t>
      </w:r>
      <w:r>
        <w:rPr>
          <w:rFonts w:ascii="Arial" w:hAnsi="Arial" w:eastAsia="仿宋_GB2312" w:cs="Arial"/>
          <w:sz w:val="24"/>
          <w:vertAlign w:val="subscript"/>
        </w:rPr>
        <w:t xml:space="preserve">st</w:t>
      </w:r>
      <w:r>
        <w:rPr>
          <w:rFonts w:ascii="Arial" w:hAnsi="Arial" w:eastAsia="仿宋_GB2312" w:cs="Arial"/>
          <w:sz w:val="24"/>
        </w:rPr>
        <w:t xml:space="preserve">=1</w:t>
      </w:r>
      <w:r>
        <w:rPr>
          <w:rFonts w:hint="eastAsia" w:ascii="Arial" w:hAnsi="Arial" w:eastAsia="仿宋_GB2312" w:cs="Arial"/>
          <w:sz w:val="24"/>
        </w:rPr>
        <w:t xml:space="preserve">的点）</w:t>
      </w:r>
      <w:r>
        <w:rPr>
          <w:rFonts w:ascii="Arial" w:hAnsi="Arial" w:eastAsia="仿宋_GB2312" w:cs="Arial"/>
          <w:sz w:val="24"/>
        </w:rPr>
      </w:r>
      <w:r/>
    </w:p>
    <w:p>
      <w:pPr>
        <w:pStyle w:val="1070"/>
        <w:rPr>
          <w:rFonts w:hint="eastAsia" w:ascii="Arial" w:hAnsi="Arial" w:eastAsia="仿宋_GB2312" w:cs="Arial"/>
          <w:sz w:val="24"/>
        </w:rPr>
      </w:pPr>
      <w:r>
        <w:rPr>
          <w:rFonts w:hint="eastAsia" w:ascii="Arial" w:hAnsi="Arial" w:eastAsia="仿宋_GB2312" w:cs="Arial"/>
          <w:sz w:val="24"/>
        </w:rPr>
        <w:t xml:space="preserve">2</w:t>
      </w:r>
      <w:r>
        <w:rPr>
          <w:rFonts w:ascii="Arial" w:hAnsi="Arial" w:eastAsia="仿宋_GB2312" w:cs="Arial"/>
          <w:sz w:val="24"/>
        </w:rPr>
        <w:t xml:space="preserve">.12 </w:t>
      </w:r>
      <w:r>
        <w:rPr>
          <w:rFonts w:hint="eastAsia" w:ascii="Arial" w:hAnsi="Arial" w:eastAsia="仿宋_GB2312" w:cs="Arial"/>
          <w:sz w:val="24"/>
        </w:rPr>
        <w:t xml:space="preserve">电压波动测量最大误差：≤0</w:t>
      </w:r>
      <w:r>
        <w:rPr>
          <w:rFonts w:ascii="Arial" w:hAnsi="Arial" w:eastAsia="仿宋_GB2312" w:cs="Arial"/>
          <w:sz w:val="24"/>
        </w:rPr>
        <w:t xml:space="preserve">.5%</w:t>
      </w:r>
      <w:r>
        <w:rPr>
          <w:rFonts w:hint="eastAsia" w:ascii="Arial" w:hAnsi="Arial" w:eastAsia="仿宋_GB2312" w:cs="Arial"/>
          <w:sz w:val="24"/>
        </w:rPr>
      </w:r>
      <w:r/>
    </w:p>
    <w:p>
      <w:pPr>
        <w:pStyle w:val="1055"/>
        <w:keepLines w:val="0"/>
        <w:spacing w:before="0" w:after="0"/>
        <w:widowControl/>
        <w:tabs>
          <w:tab w:val="left" w:pos="540" w:leader="none"/>
        </w:tabs>
        <w:rPr>
          <w:rFonts w:hint="eastAsia" w:eastAsia="宋体" w:cs="Arial"/>
          <w:sz w:val="24"/>
        </w:rPr>
      </w:pPr>
      <w:r>
        <w:rPr>
          <w:rFonts w:eastAsia="宋体" w:cs="Arial"/>
          <w:sz w:val="24"/>
        </w:rPr>
        <w:t xml:space="preserve">3.</w:t>
      </w:r>
      <w:r>
        <w:rPr>
          <w:rFonts w:hint="eastAsia" w:eastAsia="宋体" w:cs="Arial"/>
          <w:sz w:val="24"/>
        </w:rPr>
        <w:t xml:space="preserve"> 频率信号发生装置</w:t>
      </w:r>
      <w:r>
        <w:rPr>
          <w:rFonts w:hint="eastAsia" w:eastAsia="宋体"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3</w:t>
      </w:r>
      <w:r>
        <w:rPr>
          <w:rFonts w:ascii="Arial" w:hAnsi="Arial" w:eastAsia="仿宋_GB2312" w:cs="Arial"/>
          <w:sz w:val="24"/>
        </w:rPr>
        <w:t xml:space="preserve">.1 </w:t>
      </w:r>
      <w:r>
        <w:rPr>
          <w:rFonts w:hint="eastAsia" w:ascii="Arial" w:hAnsi="Arial" w:eastAsia="仿宋_GB2312" w:cs="Arial"/>
          <w:sz w:val="24"/>
        </w:rPr>
        <w:t xml:space="preserve">相数：三相电压输出</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3</w:t>
      </w:r>
      <w:r>
        <w:rPr>
          <w:rFonts w:ascii="Arial" w:hAnsi="Arial" w:eastAsia="仿宋_GB2312" w:cs="Arial"/>
          <w:sz w:val="24"/>
        </w:rPr>
        <w:t xml:space="preserve">.2 </w:t>
      </w:r>
      <w:r>
        <w:rPr>
          <w:rFonts w:hint="eastAsia" w:ascii="Arial" w:hAnsi="Arial" w:eastAsia="仿宋_GB2312" w:cs="Arial"/>
          <w:sz w:val="24"/>
        </w:rPr>
        <w:t xml:space="preserve">交流输出范围：0</w:t>
      </w:r>
      <w:r>
        <w:rPr>
          <w:rFonts w:hint="eastAsia" w:ascii="仿宋" w:hAnsi="仿宋" w:eastAsia="仿宋" w:cs="Arial"/>
          <w:sz w:val="24"/>
        </w:rPr>
        <w:t xml:space="preserve">～</w:t>
      </w:r>
      <w:r>
        <w:rPr>
          <w:rFonts w:hint="eastAsia" w:ascii="Arial" w:hAnsi="Arial" w:eastAsia="仿宋_GB2312" w:cs="Arial"/>
          <w:sz w:val="24"/>
        </w:rPr>
        <w:t xml:space="preserve">130V AC</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3</w:t>
      </w:r>
      <w:r>
        <w:rPr>
          <w:rFonts w:ascii="Arial" w:hAnsi="Arial" w:eastAsia="仿宋_GB2312" w:cs="Arial"/>
          <w:sz w:val="24"/>
        </w:rPr>
        <w:t xml:space="preserve">.3 </w:t>
      </w:r>
      <w:r>
        <w:rPr>
          <w:rFonts w:hint="eastAsia" w:ascii="Arial" w:hAnsi="Arial" w:eastAsia="仿宋_GB2312" w:cs="Arial"/>
          <w:sz w:val="24"/>
        </w:rPr>
        <w:t xml:space="preserve">电压调节细度：0.005V</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3</w:t>
      </w:r>
      <w:r>
        <w:rPr>
          <w:rFonts w:ascii="Arial" w:hAnsi="Arial" w:eastAsia="仿宋_GB2312" w:cs="Arial"/>
          <w:sz w:val="24"/>
        </w:rPr>
        <w:t xml:space="preserve">.4 </w:t>
      </w:r>
      <w:r>
        <w:rPr>
          <w:rFonts w:hint="eastAsia" w:ascii="Arial" w:hAnsi="Arial" w:eastAsia="仿宋_GB2312" w:cs="Arial"/>
          <w:sz w:val="24"/>
        </w:rPr>
        <w:t xml:space="preserve">交流频率范围：</w:t>
      </w:r>
      <w:r>
        <w:rPr>
          <w:rFonts w:ascii="Arial" w:hAnsi="Arial" w:eastAsia="仿宋_GB2312" w:cs="Arial"/>
          <w:sz w:val="24"/>
        </w:rPr>
        <w:t xml:space="preserve">40</w:t>
      </w:r>
      <w:r>
        <w:rPr>
          <w:rFonts w:hint="eastAsia" w:ascii="Arial" w:hAnsi="Arial" w:eastAsia="仿宋_GB2312" w:cs="Arial"/>
          <w:sz w:val="24"/>
        </w:rPr>
        <w:t xml:space="preserve"> Hz</w:t>
      </w:r>
      <w:r>
        <w:rPr>
          <w:rFonts w:hint="eastAsia" w:ascii="仿宋" w:hAnsi="仿宋" w:eastAsia="仿宋" w:cs="Arial"/>
          <w:sz w:val="24"/>
        </w:rPr>
        <w:t xml:space="preserve">～</w:t>
      </w:r>
      <w:r>
        <w:rPr>
          <w:rFonts w:ascii="Arial" w:hAnsi="Arial" w:eastAsia="仿宋_GB2312" w:cs="Arial"/>
          <w:sz w:val="24"/>
        </w:rPr>
        <w:t xml:space="preserve">65</w:t>
      </w:r>
      <w:r>
        <w:rPr>
          <w:rFonts w:hint="eastAsia" w:ascii="Arial" w:hAnsi="Arial" w:eastAsia="仿宋_GB2312" w:cs="Arial"/>
          <w:sz w:val="24"/>
        </w:rPr>
        <w:t xml:space="preserve">Hz</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3</w:t>
      </w:r>
      <w:r>
        <w:rPr>
          <w:rFonts w:ascii="Arial" w:hAnsi="Arial" w:eastAsia="仿宋_GB2312" w:cs="Arial"/>
          <w:sz w:val="24"/>
        </w:rPr>
        <w:t xml:space="preserve">.5 </w:t>
      </w:r>
      <w:r>
        <w:rPr>
          <w:rFonts w:hint="eastAsia" w:ascii="Arial" w:hAnsi="Arial" w:eastAsia="仿宋_GB2312" w:cs="Arial"/>
          <w:sz w:val="24"/>
        </w:rPr>
        <w:t xml:space="preserve">频率调节细度：0.001Hz</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3</w:t>
      </w:r>
      <w:r>
        <w:rPr>
          <w:rFonts w:ascii="Arial" w:hAnsi="Arial" w:eastAsia="仿宋_GB2312" w:cs="Arial"/>
          <w:sz w:val="24"/>
        </w:rPr>
        <w:t xml:space="preserve">.6 </w:t>
      </w:r>
      <w:r>
        <w:rPr>
          <w:rFonts w:hint="eastAsia" w:ascii="Arial" w:hAnsi="Arial" w:eastAsia="仿宋_GB2312" w:cs="Arial"/>
          <w:sz w:val="24"/>
        </w:rPr>
        <w:t xml:space="preserve">频率准确度：0.002Hz</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3</w:t>
      </w:r>
      <w:r>
        <w:rPr>
          <w:rFonts w:ascii="Arial" w:hAnsi="Arial" w:eastAsia="仿宋_GB2312" w:cs="Arial"/>
          <w:sz w:val="24"/>
        </w:rPr>
        <w:t xml:space="preserve">.7</w:t>
      </w:r>
      <w:r>
        <w:rPr>
          <w:rFonts w:hint="eastAsia" w:ascii="Arial" w:hAnsi="Arial" w:eastAsia="仿宋_GB2312" w:cs="Arial"/>
          <w:sz w:val="24"/>
        </w:rPr>
        <w:t xml:space="preserve">调频最小间隔时间：5ms</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3</w:t>
      </w:r>
      <w:r>
        <w:rPr>
          <w:rFonts w:ascii="Arial" w:hAnsi="Arial" w:eastAsia="仿宋_GB2312" w:cs="Arial"/>
          <w:sz w:val="24"/>
        </w:rPr>
        <w:t xml:space="preserve">.8</w:t>
      </w:r>
      <w:r>
        <w:rPr>
          <w:rFonts w:hint="eastAsia" w:ascii="Arial" w:hAnsi="Arial" w:eastAsia="仿宋_GB2312" w:cs="Arial"/>
          <w:sz w:val="24"/>
        </w:rPr>
        <w:t xml:space="preserve">电压输出准确度：优于0.02%</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3</w:t>
      </w:r>
      <w:r>
        <w:rPr>
          <w:rFonts w:ascii="Arial" w:hAnsi="Arial" w:eastAsia="仿宋_GB2312" w:cs="Arial"/>
          <w:sz w:val="24"/>
        </w:rPr>
        <w:t xml:space="preserve">.9</w:t>
      </w:r>
      <w:r>
        <w:rPr>
          <w:rFonts w:hint="eastAsia" w:ascii="Arial" w:hAnsi="Arial" w:eastAsia="仿宋_GB2312" w:cs="Arial"/>
          <w:sz w:val="24"/>
        </w:rPr>
        <w:t xml:space="preserve">稳定度：优于0.005%</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3</w:t>
      </w:r>
      <w:r>
        <w:rPr>
          <w:rFonts w:ascii="Arial" w:hAnsi="Arial" w:eastAsia="仿宋_GB2312" w:cs="Arial"/>
          <w:sz w:val="24"/>
        </w:rPr>
        <w:t xml:space="preserve">.10</w:t>
      </w:r>
      <w:r>
        <w:rPr>
          <w:rFonts w:hint="eastAsia" w:ascii="Arial" w:hAnsi="Arial" w:eastAsia="仿宋_GB2312" w:cs="Arial"/>
          <w:sz w:val="24"/>
        </w:rPr>
        <w:t xml:space="preserve">相位调节范围：0</w:t>
      </w:r>
      <w:r>
        <w:rPr>
          <w:rFonts w:hint="eastAsia" w:ascii="仿宋" w:hAnsi="仿宋" w:eastAsia="仿宋" w:cs="Arial"/>
          <w:sz w:val="24"/>
        </w:rPr>
        <w:t xml:space="preserve">～</w:t>
      </w:r>
      <w:r>
        <w:rPr>
          <w:rFonts w:hint="eastAsia" w:ascii="Arial" w:hAnsi="Arial" w:eastAsia="仿宋_GB2312" w:cs="Arial"/>
          <w:sz w:val="24"/>
        </w:rPr>
        <w:t xml:space="preserve">360°</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3</w:t>
      </w:r>
      <w:r>
        <w:rPr>
          <w:rFonts w:ascii="Arial" w:hAnsi="Arial" w:eastAsia="仿宋_GB2312" w:cs="Arial"/>
          <w:sz w:val="24"/>
        </w:rPr>
        <w:t xml:space="preserve">.11</w:t>
      </w:r>
      <w:r>
        <w:rPr>
          <w:rFonts w:hint="eastAsia" w:ascii="Arial" w:hAnsi="Arial" w:eastAsia="仿宋_GB2312" w:cs="Arial"/>
          <w:sz w:val="24"/>
        </w:rPr>
        <w:t xml:space="preserve">相位调节细度：0.001°</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3</w:t>
      </w:r>
      <w:r>
        <w:rPr>
          <w:rFonts w:ascii="Arial" w:hAnsi="Arial" w:eastAsia="仿宋_GB2312" w:cs="Arial"/>
          <w:sz w:val="24"/>
        </w:rPr>
        <w:t xml:space="preserve">.12</w:t>
      </w:r>
      <w:r>
        <w:rPr>
          <w:rFonts w:hint="eastAsia" w:ascii="Arial" w:hAnsi="Arial" w:eastAsia="仿宋_GB2312" w:cs="Arial"/>
          <w:sz w:val="24"/>
        </w:rPr>
        <w:t xml:space="preserve">相位准确度：0.01°</w:t>
      </w:r>
      <w:r>
        <w:rPr>
          <w:rFonts w:hint="eastAsia" w:ascii="Arial" w:hAnsi="Arial" w:eastAsia="仿宋_GB2312" w:cs="Arial"/>
          <w:sz w:val="24"/>
        </w:rPr>
      </w:r>
      <w:r/>
    </w:p>
    <w:p>
      <w:pPr>
        <w:pStyle w:val="1070"/>
        <w:ind w:firstLine="480"/>
        <w:rPr>
          <w:rFonts w:ascii="Arial" w:hAnsi="Arial" w:eastAsia="仿宋_GB2312" w:cs="Arial"/>
          <w:sz w:val="24"/>
        </w:rPr>
      </w:pPr>
      <w:r>
        <w:rPr>
          <w:rFonts w:hint="eastAsia" w:ascii="Arial" w:hAnsi="Arial" w:eastAsia="仿宋_GB2312" w:cs="Arial"/>
          <w:sz w:val="24"/>
        </w:rPr>
        <w:t xml:space="preserve">3</w:t>
      </w:r>
      <w:r>
        <w:rPr>
          <w:rFonts w:ascii="Arial" w:hAnsi="Arial" w:eastAsia="仿宋_GB2312" w:cs="Arial"/>
          <w:sz w:val="24"/>
        </w:rPr>
        <w:t xml:space="preserve">.13</w:t>
      </w:r>
      <w:r>
        <w:rPr>
          <w:rFonts w:hint="eastAsia" w:ascii="Arial" w:hAnsi="Arial" w:eastAsia="仿宋_GB2312" w:cs="Arial"/>
          <w:sz w:val="24"/>
        </w:rPr>
        <w:t xml:space="preserve">电压输出带载能力：不小于60mA负载电流</w:t>
      </w:r>
      <w:r>
        <w:rPr>
          <w:rFonts w:ascii="Arial" w:hAnsi="Arial" w:eastAsia="仿宋_GB2312" w:cs="Arial"/>
          <w:sz w:val="24"/>
        </w:rPr>
      </w:r>
      <w:r/>
    </w:p>
    <w:p>
      <w:pPr>
        <w:pStyle w:val="1070"/>
        <w:ind w:firstLine="480"/>
        <w:rPr>
          <w:rFonts w:hint="eastAsia" w:ascii="Arial" w:hAnsi="Arial" w:eastAsia="仿宋_GB2312" w:cs="Arial"/>
          <w:sz w:val="24"/>
        </w:rPr>
      </w:pPr>
      <w:r>
        <w:rPr>
          <w:rFonts w:ascii="Arial" w:hAnsi="Arial" w:eastAsia="仿宋_GB2312" w:cs="Arial"/>
          <w:sz w:val="24"/>
        </w:rPr>
        <w:t xml:space="preserve">3.14 </w:t>
      </w:r>
      <w:r>
        <w:rPr>
          <w:rFonts w:hint="eastAsia" w:ascii="Arial" w:hAnsi="Arial" w:eastAsia="仿宋_GB2312" w:cs="Arial"/>
          <w:sz w:val="24"/>
        </w:rPr>
        <w:t xml:space="preserve">具备RS485，网口等通信接口、通信功能及波特率选择配置功能；</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ascii="Arial" w:hAnsi="Arial" w:eastAsia="仿宋_GB2312" w:cs="Arial"/>
          <w:sz w:val="24"/>
        </w:rPr>
        <w:t xml:space="preserve">3.15</w:t>
      </w:r>
      <w:r>
        <w:rPr>
          <w:rFonts w:hint="eastAsia" w:ascii="Arial" w:hAnsi="Arial" w:eastAsia="仿宋_GB2312" w:cs="Arial"/>
          <w:sz w:val="24"/>
        </w:rPr>
        <w:t xml:space="preserve">支持对应通信协议，下发控制信号；</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ascii="Arial" w:hAnsi="Arial" w:eastAsia="仿宋_GB2312" w:cs="Arial"/>
          <w:sz w:val="24"/>
        </w:rPr>
        <w:t xml:space="preserve">3.16 </w:t>
      </w:r>
      <w:r>
        <w:rPr>
          <w:rFonts w:hint="eastAsia" w:ascii="Arial" w:hAnsi="Arial" w:eastAsia="仿宋_GB2312" w:cs="Arial"/>
          <w:sz w:val="24"/>
        </w:rPr>
        <w:t xml:space="preserve">应能采集并显示通信数据；</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ascii="Arial" w:hAnsi="Arial" w:eastAsia="仿宋_GB2312" w:cs="Arial"/>
          <w:sz w:val="24"/>
        </w:rPr>
        <w:t xml:space="preserve">3.17 </w:t>
      </w:r>
      <w:r>
        <w:rPr>
          <w:rFonts w:hint="eastAsia" w:ascii="Arial" w:hAnsi="Arial" w:eastAsia="仿宋_GB2312" w:cs="Arial"/>
          <w:sz w:val="24"/>
        </w:rPr>
        <w:t xml:space="preserve">输出频率可编程控制调节，频率调节范围包含40Hz~65Hz，误差不大于0.002 Hz；</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ascii="Arial" w:hAnsi="Arial" w:eastAsia="仿宋_GB2312" w:cs="Arial"/>
          <w:sz w:val="24"/>
        </w:rPr>
        <w:t xml:space="preserve">3.18 </w:t>
      </w:r>
      <w:r>
        <w:rPr>
          <w:rFonts w:hint="eastAsia" w:ascii="Arial" w:hAnsi="Arial" w:eastAsia="仿宋_GB2312" w:cs="Arial"/>
          <w:sz w:val="24"/>
        </w:rPr>
        <w:t xml:space="preserve">在进行快速变频调节时，具有三相频率保持一致并同步变动的能力；</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hint="eastAsia" w:ascii="Arial" w:hAnsi="Arial" w:eastAsia="仿宋_GB2312" w:cs="Arial"/>
          <w:sz w:val="24"/>
        </w:rPr>
        <w:t xml:space="preserve">3</w:t>
      </w:r>
      <w:r>
        <w:rPr>
          <w:rFonts w:ascii="Arial" w:hAnsi="Arial" w:eastAsia="仿宋_GB2312" w:cs="Arial"/>
          <w:sz w:val="24"/>
        </w:rPr>
        <w:t xml:space="preserve">.19</w:t>
      </w:r>
      <w:r>
        <w:rPr>
          <w:rFonts w:hint="eastAsia" w:ascii="Arial" w:hAnsi="Arial" w:eastAsia="仿宋_GB2312" w:cs="Arial"/>
          <w:sz w:val="24"/>
        </w:rPr>
        <w:t xml:space="preserve">能够进行电压和频率扰动曲线编辑，并按编辑方案进行测试输出；</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ascii="Arial" w:hAnsi="Arial" w:eastAsia="仿宋_GB2312" w:cs="Arial"/>
          <w:sz w:val="24"/>
        </w:rPr>
        <w:t xml:space="preserve">3.20</w:t>
      </w:r>
      <w:r>
        <w:rPr>
          <w:rFonts w:hint="eastAsia" w:ascii="Arial" w:hAnsi="Arial" w:eastAsia="仿宋_GB2312" w:cs="Arial"/>
          <w:sz w:val="24"/>
        </w:rPr>
        <w:t xml:space="preserve">每一个频率扰动曲线方案的变频点数最大允许不低于2万个频率点，每个频率点间隔最小时间可以达到5mS；</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ascii="Arial" w:hAnsi="Arial" w:eastAsia="仿宋_GB2312" w:cs="Arial"/>
          <w:sz w:val="24"/>
        </w:rPr>
        <w:t xml:space="preserve">3.21</w:t>
      </w:r>
      <w:r>
        <w:rPr>
          <w:rFonts w:hint="eastAsia" w:ascii="Arial" w:hAnsi="Arial" w:eastAsia="仿宋_GB2312" w:cs="Arial"/>
          <w:sz w:val="24"/>
        </w:rPr>
        <w:t xml:space="preserve">可以进行频率阶跃扰动试验，内置常用频率阶跃波形，可编辑波形；</w:t>
      </w:r>
      <w:r>
        <w:rPr>
          <w:rFonts w:hint="eastAsia" w:ascii="Arial" w:hAnsi="Arial" w:eastAsia="仿宋_GB2312" w:cs="Arial"/>
          <w:sz w:val="24"/>
        </w:rPr>
      </w:r>
      <w:r/>
    </w:p>
    <w:p>
      <w:pPr>
        <w:pStyle w:val="1070"/>
        <w:ind w:firstLine="480"/>
        <w:rPr>
          <w:rFonts w:hint="eastAsia" w:ascii="Arial" w:hAnsi="Arial" w:eastAsia="仿宋_GB2312" w:cs="Arial"/>
          <w:sz w:val="24"/>
        </w:rPr>
      </w:pPr>
      <w:r>
        <w:rPr>
          <w:rFonts w:ascii="Arial" w:hAnsi="Arial" w:eastAsia="仿宋_GB2312" w:cs="Arial"/>
          <w:sz w:val="24"/>
        </w:rPr>
        <w:t xml:space="preserve">3.22</w:t>
      </w:r>
      <w:r>
        <w:rPr>
          <w:rFonts w:hint="eastAsia" w:ascii="Arial" w:hAnsi="Arial" w:eastAsia="仿宋_GB2312" w:cs="Arial"/>
          <w:sz w:val="24"/>
        </w:rPr>
        <w:t xml:space="preserve">可以模拟实际电网频率扰动试验，内置模拟电网频率波形，可编辑波形；</w:t>
      </w:r>
      <w:r>
        <w:rPr>
          <w:rFonts w:hint="eastAsia" w:ascii="Arial" w:hAnsi="Arial" w:eastAsia="仿宋_GB2312" w:cs="Arial"/>
          <w:sz w:val="24"/>
        </w:rPr>
      </w:r>
      <w:r/>
    </w:p>
    <w:p>
      <w:pPr>
        <w:pStyle w:val="1070"/>
        <w:rPr>
          <w:rFonts w:hint="eastAsia" w:ascii="Arial" w:hAnsi="Arial" w:eastAsia="仿宋_GB2312" w:cs="Arial"/>
          <w:sz w:val="24"/>
        </w:rPr>
      </w:pPr>
      <w:r>
        <w:rPr>
          <w:rFonts w:ascii="Arial" w:hAnsi="Arial" w:eastAsia="仿宋_GB2312" w:cs="Arial"/>
          <w:sz w:val="24"/>
        </w:rPr>
        <w:t xml:space="preserve">3.23 </w:t>
      </w:r>
      <w:r>
        <w:rPr>
          <w:rFonts w:hint="eastAsia" w:ascii="Arial" w:hAnsi="Arial" w:eastAsia="仿宋_GB2312" w:cs="Arial"/>
          <w:sz w:val="24"/>
        </w:rPr>
        <w:t xml:space="preserve">可以进行幅值阶跃试验，内置常用幅值阶跃波形，可编辑波形。</w:t>
      </w:r>
      <w:r>
        <w:rPr>
          <w:rFonts w:hint="eastAsia" w:ascii="Arial" w:hAnsi="Arial" w:eastAsia="仿宋_GB2312" w:cs="Arial"/>
          <w:sz w:val="24"/>
        </w:rPr>
      </w:r>
      <w:r/>
    </w:p>
    <w:p>
      <w:pPr>
        <w:pStyle w:val="1055"/>
        <w:keepLines w:val="0"/>
        <w:spacing w:before="0" w:after="0"/>
        <w:widowControl/>
        <w:tabs>
          <w:tab w:val="left" w:pos="540" w:leader="none"/>
        </w:tabs>
        <w:rPr>
          <w:rFonts w:hint="eastAsia" w:eastAsia="宋体" w:cs="Arial"/>
          <w:sz w:val="24"/>
        </w:rPr>
      </w:pPr>
      <w:r/>
      <w:bookmarkEnd w:id="119"/>
      <w:r/>
      <w:bookmarkEnd w:id="120"/>
      <w:r/>
      <w:bookmarkEnd w:id="121"/>
      <w:r/>
      <w:bookmarkEnd w:id="122"/>
      <w:r/>
      <w:bookmarkEnd w:id="123"/>
      <w:r/>
      <w:bookmarkEnd w:id="124"/>
      <w:r>
        <w:rPr>
          <w:rFonts w:eastAsia="宋体" w:cs="Arial"/>
          <w:sz w:val="24"/>
        </w:rPr>
        <w:t xml:space="preserve">4</w:t>
      </w:r>
      <w:r>
        <w:rPr>
          <w:rFonts w:hint="eastAsia" w:eastAsia="宋体" w:cs="Arial"/>
          <w:sz w:val="24"/>
        </w:rPr>
        <w:t xml:space="preserve">.储能电站涉网性能测试系统功能要求：</w:t>
      </w:r>
      <w:r>
        <w:rPr>
          <w:rFonts w:hint="eastAsia" w:eastAsia="宋体" w:cs="Arial"/>
          <w:sz w:val="24"/>
        </w:rPr>
      </w:r>
      <w:r/>
    </w:p>
    <w:p>
      <w:pPr>
        <w:pStyle w:val="1070"/>
        <w:ind w:firstLine="480"/>
        <w:rPr>
          <w:rFonts w:ascii="Arial" w:hAnsi="Arial" w:eastAsia="仿宋_GB2312" w:cs="Arial"/>
          <w:bCs/>
          <w:sz w:val="24"/>
          <w:szCs w:val="24"/>
        </w:rPr>
      </w:pPr>
      <w:r>
        <w:rPr>
          <w:rFonts w:ascii="Arial" w:hAnsi="Arial" w:eastAsia="仿宋_GB2312" w:cs="Arial"/>
          <w:bCs/>
          <w:sz w:val="24"/>
          <w:szCs w:val="24"/>
        </w:rPr>
        <w:t xml:space="preserve">4.1 </w:t>
      </w:r>
      <w:r>
        <w:rPr>
          <w:rFonts w:hint="eastAsia" w:ascii="Arial" w:hAnsi="Arial" w:eastAsia="仿宋_GB2312" w:cs="Arial"/>
          <w:bCs/>
          <w:sz w:val="24"/>
          <w:szCs w:val="24"/>
        </w:rPr>
        <w:t xml:space="preserve">提供整套的系统集成工作，包括上位机，测试软件，通信集成，设备集成等；</w:t>
      </w:r>
      <w:r>
        <w:rPr>
          <w:rFonts w:ascii="Arial" w:hAnsi="Arial" w:eastAsia="仿宋_GB2312" w:cs="Arial"/>
          <w:bCs/>
          <w:sz w:val="24"/>
          <w:szCs w:val="24"/>
        </w:rPr>
      </w:r>
      <w:r/>
    </w:p>
    <w:p>
      <w:pPr>
        <w:pStyle w:val="1070"/>
        <w:ind w:firstLine="480"/>
        <w:rPr>
          <w:rFonts w:ascii="Arial" w:hAnsi="Arial" w:eastAsia="仿宋_GB2312" w:cs="Arial"/>
          <w:bCs/>
          <w:sz w:val="24"/>
          <w:szCs w:val="24"/>
        </w:rPr>
      </w:pPr>
      <w:r>
        <w:rPr>
          <w:rFonts w:ascii="Arial" w:hAnsi="Arial" w:eastAsia="仿宋_GB2312" w:cs="Arial"/>
          <w:bCs/>
          <w:sz w:val="24"/>
          <w:szCs w:val="24"/>
        </w:rPr>
        <w:t xml:space="preserve">4.2 </w:t>
      </w:r>
      <w:r>
        <w:rPr>
          <w:rFonts w:hint="eastAsia" w:ascii="Arial" w:hAnsi="Arial" w:eastAsia="仿宋_GB2312" w:cs="Arial"/>
          <w:bCs/>
          <w:sz w:val="24"/>
          <w:szCs w:val="24"/>
        </w:rPr>
        <w:t xml:space="preserve">设备集成：对可编程多通道高精度数据采集仪和电网模拟装置以及频率信号发生装置进行设备集成；</w:t>
      </w:r>
      <w:r>
        <w:rPr>
          <w:rFonts w:ascii="Arial" w:hAnsi="Arial" w:eastAsia="仿宋_GB2312" w:cs="Arial"/>
          <w:bCs/>
          <w:sz w:val="24"/>
          <w:szCs w:val="24"/>
        </w:rPr>
      </w:r>
      <w:r/>
    </w:p>
    <w:p>
      <w:pPr>
        <w:pStyle w:val="1070"/>
        <w:ind w:firstLine="480"/>
        <w:rPr>
          <w:rFonts w:ascii="Arial" w:hAnsi="Arial" w:eastAsia="仿宋_GB2312" w:cs="Arial"/>
          <w:bCs/>
          <w:sz w:val="24"/>
          <w:szCs w:val="24"/>
        </w:rPr>
      </w:pPr>
      <w:r>
        <w:rPr>
          <w:rFonts w:ascii="Arial" w:hAnsi="Arial" w:eastAsia="仿宋_GB2312" w:cs="Arial"/>
          <w:bCs/>
          <w:sz w:val="24"/>
          <w:szCs w:val="24"/>
        </w:rPr>
        <w:t xml:space="preserve">4.3 </w:t>
      </w:r>
      <w:r>
        <w:rPr>
          <w:rFonts w:hint="eastAsia" w:ascii="Arial" w:hAnsi="Arial" w:eastAsia="仿宋_GB2312" w:cs="Arial"/>
          <w:bCs/>
          <w:sz w:val="24"/>
          <w:szCs w:val="24"/>
        </w:rPr>
        <w:t xml:space="preserve">提供上位机，满足人机交互和数据保存，报表生成的性能要求；</w:t>
      </w:r>
      <w:r>
        <w:rPr>
          <w:rFonts w:ascii="Arial" w:hAnsi="Arial" w:eastAsia="仿宋_GB2312" w:cs="Arial"/>
          <w:bCs/>
          <w:sz w:val="24"/>
          <w:szCs w:val="24"/>
        </w:rPr>
      </w:r>
      <w:r/>
    </w:p>
    <w:p>
      <w:pPr>
        <w:pStyle w:val="1070"/>
        <w:ind w:firstLine="480"/>
        <w:rPr>
          <w:rFonts w:ascii="Arial" w:hAnsi="Arial" w:eastAsia="仿宋_GB2312" w:cs="Arial"/>
          <w:bCs/>
          <w:sz w:val="24"/>
          <w:szCs w:val="24"/>
        </w:rPr>
      </w:pPr>
      <w:r>
        <w:rPr>
          <w:rFonts w:ascii="Arial" w:hAnsi="Arial" w:eastAsia="仿宋_GB2312" w:cs="Arial"/>
          <w:bCs/>
          <w:sz w:val="24"/>
          <w:szCs w:val="24"/>
        </w:rPr>
        <w:t xml:space="preserve">4.4 </w:t>
      </w:r>
      <w:r>
        <w:rPr>
          <w:rFonts w:hint="eastAsia" w:ascii="Arial" w:hAnsi="Arial" w:eastAsia="仿宋_GB2312" w:cs="Arial"/>
          <w:bCs/>
          <w:sz w:val="24"/>
          <w:szCs w:val="24"/>
        </w:rPr>
        <w:t xml:space="preserve">功能要求：满足以下列表的项目测试功能，部分功能需要其他设备辅助（如RLC负载等）才能完成的，先预留功能，后续配套设备到位后应可完成，项目如下：</w:t>
      </w:r>
      <w:r>
        <w:rPr>
          <w:rFonts w:ascii="Arial" w:hAnsi="Arial" w:eastAsia="仿宋_GB2312" w:cs="Arial"/>
          <w:bCs/>
          <w:sz w:val="24"/>
          <w:szCs w:val="24"/>
        </w:rPr>
      </w:r>
      <w:r/>
    </w:p>
    <w:p>
      <w:pPr>
        <w:pStyle w:val="1070"/>
        <w:ind w:firstLine="0"/>
        <w:jc w:val="center"/>
        <w:rPr>
          <w:rFonts w:ascii="Arial" w:hAnsi="Arial" w:eastAsia="仿宋_GB2312" w:cs="Arial"/>
          <w:bCs/>
          <w:sz w:val="24"/>
          <w:szCs w:val="24"/>
        </w:rPr>
      </w:pPr>
      <w:r>
        <w:rPr>
          <w:rFonts w:hint="eastAsia" w:ascii="Arial" w:hAnsi="Arial" w:eastAsia="仿宋_GB2312" w:cs="Arial"/>
          <w:bCs/>
          <w:sz w:val="24"/>
          <w:szCs w:val="24"/>
        </w:rPr>
        <w:t xml:space="preserve">表1</w:t>
      </w:r>
      <w:r>
        <w:rPr>
          <w:rFonts w:ascii="Arial" w:hAnsi="Arial" w:eastAsia="仿宋_GB2312" w:cs="Arial"/>
          <w:bCs/>
          <w:sz w:val="24"/>
          <w:szCs w:val="24"/>
        </w:rPr>
        <w:t xml:space="preserve"> </w:t>
      </w:r>
      <w:r>
        <w:rPr>
          <w:rFonts w:hint="eastAsia" w:ascii="Arial" w:hAnsi="Arial" w:eastAsia="仿宋_GB2312" w:cs="Arial"/>
          <w:bCs/>
          <w:sz w:val="24"/>
          <w:szCs w:val="24"/>
        </w:rPr>
        <w:t xml:space="preserve">GB/T 44114-2024《电化学储能系统接入低压配电网运行控制规范》</w:t>
      </w:r>
      <w:r>
        <w:rPr>
          <w:rFonts w:ascii="Arial" w:hAnsi="Arial" w:eastAsia="仿宋_GB2312" w:cs="Arial"/>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4584"/>
        <w:gridCol w:w="4019"/>
      </w:tblGrid>
      <w:tr>
        <w:trPr/>
        <w:tc>
          <w:tcPr>
            <w:tcW w:w="1101"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序号</w:t>
            </w: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项目</w:t>
            </w:r>
            <w:r>
              <w:rPr>
                <w:rFonts w:hint="eastAsia" w:ascii="Arial" w:hAnsi="Arial" w:eastAsia="仿宋_GB2312" w:cs="Arial"/>
                <w:bCs/>
                <w:sz w:val="24"/>
                <w:szCs w:val="24"/>
              </w:rPr>
            </w:r>
            <w:r/>
          </w:p>
        </w:tc>
        <w:tc>
          <w:tcPr>
            <w:tcW w:w="4019"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测试方法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3"/>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运行管理</w:t>
            </w:r>
            <w:r>
              <w:rPr>
                <w:rFonts w:hint="eastAsia" w:ascii="Arial" w:hAnsi="Arial" w:eastAsia="仿宋_GB2312" w:cs="Arial"/>
                <w:bCs/>
                <w:sz w:val="24"/>
                <w:szCs w:val="24"/>
              </w:rPr>
            </w:r>
            <w:r/>
          </w:p>
        </w:tc>
        <w:tc>
          <w:tcPr>
            <w:tcW w:w="4019"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资料核查</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3"/>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并/离网切换测试</w:t>
            </w:r>
            <w:r>
              <w:rPr>
                <w:rFonts w:hint="eastAsia" w:ascii="Arial" w:hAnsi="Arial" w:eastAsia="仿宋_GB2312" w:cs="Arial"/>
                <w:bCs/>
                <w:sz w:val="24"/>
                <w:szCs w:val="24"/>
              </w:rPr>
            </w:r>
            <w:r/>
          </w:p>
        </w:tc>
        <w:tc>
          <w:tcPr>
            <w:tcW w:w="4019"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3"/>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有功功率控制测试</w:t>
            </w:r>
            <w:r>
              <w:rPr>
                <w:rFonts w:hint="eastAsia" w:ascii="Arial" w:hAnsi="Arial" w:eastAsia="仿宋_GB2312" w:cs="Arial"/>
                <w:bCs/>
                <w:sz w:val="24"/>
                <w:szCs w:val="24"/>
              </w:rPr>
            </w:r>
            <w:r/>
          </w:p>
        </w:tc>
        <w:tc>
          <w:tcPr>
            <w:tcW w:w="4019"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3"/>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无功功率控制测试</w:t>
            </w:r>
            <w:r>
              <w:rPr>
                <w:rFonts w:hint="eastAsia" w:ascii="Arial" w:hAnsi="Arial" w:eastAsia="仿宋_GB2312" w:cs="Arial"/>
                <w:bCs/>
                <w:sz w:val="24"/>
                <w:szCs w:val="24"/>
              </w:rPr>
            </w:r>
            <w:r/>
          </w:p>
        </w:tc>
        <w:tc>
          <w:tcPr>
            <w:tcW w:w="4019"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3"/>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电压适应性测试</w:t>
            </w:r>
            <w:r>
              <w:rPr>
                <w:rFonts w:hint="eastAsia" w:ascii="Arial" w:hAnsi="Arial" w:eastAsia="仿宋_GB2312" w:cs="Arial"/>
                <w:bCs/>
                <w:sz w:val="24"/>
                <w:szCs w:val="24"/>
              </w:rPr>
            </w:r>
            <w:r/>
          </w:p>
        </w:tc>
        <w:tc>
          <w:tcPr>
            <w:tcW w:w="4019"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3"/>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频率适应性测试</w:t>
            </w:r>
            <w:r>
              <w:rPr>
                <w:rFonts w:hint="eastAsia" w:ascii="Arial" w:hAnsi="Arial" w:eastAsia="仿宋_GB2312" w:cs="Arial"/>
                <w:bCs/>
                <w:sz w:val="24"/>
                <w:szCs w:val="24"/>
              </w:rPr>
            </w:r>
            <w:r/>
          </w:p>
        </w:tc>
        <w:tc>
          <w:tcPr>
            <w:tcW w:w="4019"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3"/>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保护</w:t>
            </w:r>
            <w:r>
              <w:rPr>
                <w:rFonts w:hint="eastAsia" w:ascii="Arial" w:hAnsi="Arial" w:eastAsia="仿宋_GB2312" w:cs="Arial"/>
                <w:bCs/>
                <w:sz w:val="24"/>
                <w:szCs w:val="24"/>
              </w:rPr>
            </w:r>
            <w:r/>
          </w:p>
        </w:tc>
        <w:tc>
          <w:tcPr>
            <w:tcW w:w="4019"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资料核查</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3"/>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通信</w:t>
            </w:r>
            <w:r>
              <w:rPr>
                <w:rFonts w:hint="eastAsia" w:ascii="Arial" w:hAnsi="Arial" w:eastAsia="仿宋_GB2312" w:cs="Arial"/>
                <w:bCs/>
                <w:sz w:val="24"/>
                <w:szCs w:val="24"/>
              </w:rPr>
            </w:r>
            <w:r/>
          </w:p>
        </w:tc>
        <w:tc>
          <w:tcPr>
            <w:tcW w:w="4019"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资料核查</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3"/>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电能质量测试</w:t>
            </w:r>
            <w:r>
              <w:rPr>
                <w:rFonts w:hint="eastAsia" w:ascii="Arial" w:hAnsi="Arial" w:eastAsia="仿宋_GB2312" w:cs="Arial"/>
                <w:bCs/>
                <w:sz w:val="24"/>
                <w:szCs w:val="24"/>
              </w:rPr>
            </w:r>
            <w:r/>
          </w:p>
        </w:tc>
        <w:tc>
          <w:tcPr>
            <w:tcW w:w="4019"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3"/>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电能计量</w:t>
            </w:r>
            <w:r>
              <w:rPr>
                <w:rFonts w:hint="eastAsia" w:ascii="Arial" w:hAnsi="Arial" w:eastAsia="仿宋_GB2312" w:cs="Arial"/>
                <w:bCs/>
                <w:sz w:val="24"/>
                <w:szCs w:val="24"/>
              </w:rPr>
            </w:r>
            <w:r/>
          </w:p>
        </w:tc>
        <w:tc>
          <w:tcPr>
            <w:tcW w:w="4019"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资料核查</w:t>
            </w:r>
            <w:r>
              <w:rPr>
                <w:rFonts w:hint="eastAsia" w:ascii="Arial" w:hAnsi="Arial" w:eastAsia="仿宋_GB2312" w:cs="Arial"/>
                <w:bCs/>
                <w:sz w:val="24"/>
                <w:szCs w:val="24"/>
              </w:rPr>
            </w:r>
            <w:r/>
          </w:p>
        </w:tc>
      </w:tr>
    </w:tbl>
    <w:p>
      <w:pPr>
        <w:pStyle w:val="1070"/>
        <w:ind w:firstLine="0"/>
        <w:jc w:val="center"/>
        <w:rPr>
          <w:rFonts w:ascii="Arial" w:hAnsi="Arial" w:eastAsia="仿宋_GB2312" w:cs="Arial"/>
          <w:bCs/>
          <w:sz w:val="24"/>
          <w:szCs w:val="24"/>
        </w:rPr>
      </w:pPr>
      <w:r>
        <w:rPr>
          <w:rFonts w:hint="eastAsia" w:ascii="Arial" w:hAnsi="Arial" w:eastAsia="仿宋_GB2312" w:cs="Arial"/>
          <w:bCs/>
          <w:sz w:val="24"/>
          <w:szCs w:val="24"/>
        </w:rPr>
        <w:t xml:space="preserve">表</w:t>
      </w:r>
      <w:r>
        <w:rPr>
          <w:rFonts w:ascii="Arial" w:hAnsi="Arial" w:eastAsia="仿宋_GB2312" w:cs="Arial"/>
          <w:bCs/>
          <w:sz w:val="24"/>
          <w:szCs w:val="24"/>
        </w:rPr>
        <w:t xml:space="preserve">2 </w:t>
      </w:r>
      <w:r>
        <w:rPr>
          <w:rFonts w:hint="eastAsia" w:ascii="Arial" w:hAnsi="Arial" w:eastAsia="仿宋_GB2312" w:cs="Arial"/>
          <w:bCs/>
          <w:sz w:val="24"/>
          <w:szCs w:val="24"/>
        </w:rPr>
        <w:t xml:space="preserve">GB/T 36558《电力系统电化学储能系统通用技术条件》</w:t>
      </w:r>
      <w:r>
        <w:rPr>
          <w:rFonts w:ascii="Arial" w:hAnsi="Arial" w:eastAsia="仿宋_GB2312" w:cs="Arial"/>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4584"/>
        <w:gridCol w:w="3874"/>
      </w:tblGrid>
      <w:tr>
        <w:trPr/>
        <w:tc>
          <w:tcPr>
            <w:tcW w:w="1101"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序号</w:t>
            </w: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项目</w:t>
            </w:r>
            <w:r>
              <w:rPr>
                <w:rFonts w:hint="eastAsia" w:ascii="Arial" w:hAnsi="Arial" w:eastAsia="仿宋_GB2312" w:cs="Arial"/>
                <w:bCs/>
                <w:sz w:val="24"/>
                <w:szCs w:val="24"/>
              </w:rPr>
            </w:r>
            <w:r/>
          </w:p>
        </w:tc>
        <w:tc>
          <w:tcPr>
            <w:tcW w:w="387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测试方法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4"/>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一般要求</w:t>
            </w:r>
            <w:r>
              <w:rPr>
                <w:rFonts w:hint="eastAsia" w:ascii="Arial" w:hAnsi="Arial" w:eastAsia="仿宋_GB2312" w:cs="Arial"/>
                <w:bCs/>
                <w:sz w:val="24"/>
                <w:szCs w:val="24"/>
              </w:rPr>
            </w:r>
            <w:r/>
          </w:p>
        </w:tc>
        <w:tc>
          <w:tcPr>
            <w:tcW w:w="387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资料核查</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4"/>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有功功率控制测试</w:t>
            </w:r>
            <w:r>
              <w:rPr>
                <w:rFonts w:hint="eastAsia" w:ascii="Arial" w:hAnsi="Arial" w:eastAsia="仿宋_GB2312" w:cs="Arial"/>
                <w:bCs/>
                <w:sz w:val="24"/>
                <w:szCs w:val="24"/>
              </w:rPr>
            </w:r>
            <w:r/>
          </w:p>
        </w:tc>
        <w:tc>
          <w:tcPr>
            <w:tcW w:w="387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4"/>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无功功率控制测试</w:t>
            </w:r>
            <w:r>
              <w:rPr>
                <w:rFonts w:hint="eastAsia" w:ascii="Arial" w:hAnsi="Arial" w:eastAsia="仿宋_GB2312" w:cs="Arial"/>
                <w:bCs/>
                <w:sz w:val="24"/>
                <w:szCs w:val="24"/>
              </w:rPr>
            </w:r>
            <w:r/>
          </w:p>
        </w:tc>
        <w:tc>
          <w:tcPr>
            <w:tcW w:w="387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4"/>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过载能力测试</w:t>
            </w:r>
            <w:r>
              <w:rPr>
                <w:rFonts w:hint="eastAsia" w:ascii="Arial" w:hAnsi="Arial" w:eastAsia="仿宋_GB2312" w:cs="Arial"/>
                <w:bCs/>
                <w:sz w:val="24"/>
                <w:szCs w:val="24"/>
              </w:rPr>
            </w:r>
            <w:r/>
          </w:p>
        </w:tc>
        <w:tc>
          <w:tcPr>
            <w:tcW w:w="387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4"/>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电压适应性测试</w:t>
            </w:r>
            <w:r>
              <w:rPr>
                <w:rFonts w:hint="eastAsia" w:ascii="Arial" w:hAnsi="Arial" w:eastAsia="仿宋_GB2312" w:cs="Arial"/>
                <w:bCs/>
                <w:sz w:val="24"/>
                <w:szCs w:val="24"/>
              </w:rPr>
            </w:r>
            <w:r/>
          </w:p>
        </w:tc>
        <w:tc>
          <w:tcPr>
            <w:tcW w:w="387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4"/>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频率适应性测试</w:t>
            </w:r>
            <w:r>
              <w:rPr>
                <w:rFonts w:hint="eastAsia" w:ascii="Arial" w:hAnsi="Arial" w:eastAsia="仿宋_GB2312" w:cs="Arial"/>
                <w:bCs/>
                <w:sz w:val="24"/>
                <w:szCs w:val="24"/>
              </w:rPr>
            </w:r>
            <w:r/>
          </w:p>
        </w:tc>
        <w:tc>
          <w:tcPr>
            <w:tcW w:w="387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4"/>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电能质量适应性测试</w:t>
            </w:r>
            <w:r>
              <w:rPr>
                <w:rFonts w:hint="eastAsia" w:ascii="Arial" w:hAnsi="Arial" w:eastAsia="仿宋_GB2312" w:cs="Arial"/>
                <w:bCs/>
                <w:sz w:val="24"/>
                <w:szCs w:val="24"/>
              </w:rPr>
            </w:r>
            <w:r/>
          </w:p>
        </w:tc>
        <w:tc>
          <w:tcPr>
            <w:tcW w:w="387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4"/>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故障穿越</w:t>
            </w:r>
            <w:r>
              <w:rPr>
                <w:rFonts w:hint="eastAsia" w:ascii="Arial" w:hAnsi="Arial" w:eastAsia="仿宋_GB2312" w:cs="Arial"/>
                <w:bCs/>
                <w:sz w:val="24"/>
                <w:szCs w:val="24"/>
              </w:rPr>
            </w:r>
            <w:r/>
          </w:p>
        </w:tc>
        <w:tc>
          <w:tcPr>
            <w:tcW w:w="387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4"/>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电能质量测试</w:t>
            </w:r>
            <w:r>
              <w:rPr>
                <w:rFonts w:hint="eastAsia" w:ascii="Arial" w:hAnsi="Arial" w:eastAsia="仿宋_GB2312" w:cs="Arial"/>
                <w:bCs/>
                <w:sz w:val="24"/>
                <w:szCs w:val="24"/>
              </w:rPr>
            </w:r>
            <w:r/>
          </w:p>
        </w:tc>
        <w:tc>
          <w:tcPr>
            <w:tcW w:w="387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4"/>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保护</w:t>
            </w:r>
            <w:r>
              <w:rPr>
                <w:rFonts w:hint="eastAsia" w:ascii="Arial" w:hAnsi="Arial" w:eastAsia="仿宋_GB2312" w:cs="Arial"/>
                <w:bCs/>
                <w:sz w:val="24"/>
                <w:szCs w:val="24"/>
              </w:rPr>
            </w:r>
            <w:r/>
          </w:p>
        </w:tc>
        <w:tc>
          <w:tcPr>
            <w:tcW w:w="387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资料核查</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4"/>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电能计量</w:t>
            </w:r>
            <w:r>
              <w:rPr>
                <w:rFonts w:hint="eastAsia" w:ascii="Arial" w:hAnsi="Arial" w:eastAsia="仿宋_GB2312" w:cs="Arial"/>
                <w:bCs/>
                <w:sz w:val="24"/>
                <w:szCs w:val="24"/>
              </w:rPr>
            </w:r>
            <w:r/>
          </w:p>
        </w:tc>
        <w:tc>
          <w:tcPr>
            <w:tcW w:w="387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资料核查</w:t>
            </w:r>
            <w:r>
              <w:rPr>
                <w:rFonts w:hint="eastAsia" w:ascii="Arial" w:hAnsi="Arial" w:eastAsia="仿宋_GB2312" w:cs="Arial"/>
                <w:bCs/>
                <w:sz w:val="24"/>
                <w:szCs w:val="24"/>
              </w:rPr>
            </w:r>
            <w:r/>
          </w:p>
        </w:tc>
      </w:tr>
    </w:tbl>
    <w:p>
      <w:pPr>
        <w:pStyle w:val="1070"/>
        <w:ind w:firstLine="0"/>
        <w:jc w:val="center"/>
        <w:rPr>
          <w:rFonts w:ascii="Arial" w:hAnsi="Arial" w:eastAsia="仿宋_GB2312" w:cs="Arial"/>
          <w:bCs/>
          <w:sz w:val="24"/>
          <w:szCs w:val="24"/>
        </w:rPr>
      </w:pPr>
      <w:r>
        <w:rPr>
          <w:rFonts w:hint="eastAsia" w:ascii="Arial" w:hAnsi="Arial" w:eastAsia="仿宋_GB2312" w:cs="Arial"/>
          <w:bCs/>
          <w:sz w:val="24"/>
          <w:szCs w:val="24"/>
        </w:rPr>
        <w:t xml:space="preserve">表</w:t>
      </w:r>
      <w:r>
        <w:rPr>
          <w:rFonts w:ascii="Arial" w:hAnsi="Arial" w:eastAsia="仿宋_GB2312" w:cs="Arial"/>
          <w:bCs/>
          <w:sz w:val="24"/>
          <w:szCs w:val="24"/>
        </w:rPr>
        <w:t xml:space="preserve">3 </w:t>
      </w:r>
      <w:r>
        <w:rPr>
          <w:rFonts w:hint="eastAsia" w:ascii="Arial" w:hAnsi="Arial" w:eastAsia="仿宋_GB2312" w:cs="Arial"/>
          <w:bCs/>
          <w:sz w:val="24"/>
          <w:szCs w:val="24"/>
        </w:rPr>
        <w:t xml:space="preserve">GB/T 43526《用户侧电化学储能系统接入配电网技术规定》</w:t>
      </w:r>
      <w:r>
        <w:rPr>
          <w:rFonts w:ascii="Arial" w:hAnsi="Arial" w:eastAsia="仿宋_GB2312" w:cs="Arial"/>
          <w:bCs/>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01"/>
        <w:gridCol w:w="4584"/>
        <w:gridCol w:w="3768"/>
      </w:tblGrid>
      <w:tr>
        <w:trPr/>
        <w:tc>
          <w:tcPr>
            <w:tcW w:w="1101"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序号</w:t>
            </w: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项目</w:t>
            </w:r>
            <w:r>
              <w:rPr>
                <w:rFonts w:hint="eastAsia" w:ascii="Arial" w:hAnsi="Arial" w:eastAsia="仿宋_GB2312" w:cs="Arial"/>
                <w:bCs/>
                <w:sz w:val="24"/>
                <w:szCs w:val="24"/>
              </w:rPr>
            </w:r>
            <w:r/>
          </w:p>
        </w:tc>
        <w:tc>
          <w:tcPr>
            <w:tcW w:w="3768"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测试方法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5"/>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有功功率控制测试</w:t>
            </w:r>
            <w:r>
              <w:rPr>
                <w:rFonts w:hint="eastAsia" w:ascii="Arial" w:hAnsi="Arial" w:eastAsia="仿宋_GB2312" w:cs="Arial"/>
                <w:bCs/>
                <w:sz w:val="24"/>
                <w:szCs w:val="24"/>
              </w:rPr>
            </w:r>
            <w:r/>
          </w:p>
        </w:tc>
        <w:tc>
          <w:tcPr>
            <w:tcW w:w="3768"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5"/>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无功功率控制测试</w:t>
            </w:r>
            <w:r>
              <w:rPr>
                <w:rFonts w:hint="eastAsia" w:ascii="Arial" w:hAnsi="Arial" w:eastAsia="仿宋_GB2312" w:cs="Arial"/>
                <w:bCs/>
                <w:sz w:val="24"/>
                <w:szCs w:val="24"/>
              </w:rPr>
            </w:r>
            <w:r/>
          </w:p>
        </w:tc>
        <w:tc>
          <w:tcPr>
            <w:tcW w:w="3768"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5"/>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低电压穿越测试</w:t>
            </w:r>
            <w:r>
              <w:rPr>
                <w:rFonts w:hint="eastAsia" w:ascii="Arial" w:hAnsi="Arial" w:eastAsia="仿宋_GB2312" w:cs="Arial"/>
                <w:bCs/>
                <w:sz w:val="24"/>
                <w:szCs w:val="24"/>
              </w:rPr>
            </w:r>
            <w:r/>
          </w:p>
        </w:tc>
        <w:tc>
          <w:tcPr>
            <w:tcW w:w="3768"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5"/>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高电压穿越测试</w:t>
            </w:r>
            <w:r>
              <w:rPr>
                <w:rFonts w:hint="eastAsia" w:ascii="Arial" w:hAnsi="Arial" w:eastAsia="仿宋_GB2312" w:cs="Arial"/>
                <w:bCs/>
                <w:sz w:val="24"/>
                <w:szCs w:val="24"/>
              </w:rPr>
            </w:r>
            <w:r/>
          </w:p>
        </w:tc>
        <w:tc>
          <w:tcPr>
            <w:tcW w:w="3768"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5"/>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电压适应性测试</w:t>
            </w:r>
            <w:r>
              <w:rPr>
                <w:rFonts w:hint="eastAsia" w:ascii="Arial" w:hAnsi="Arial" w:eastAsia="仿宋_GB2312" w:cs="Arial"/>
                <w:bCs/>
                <w:sz w:val="24"/>
                <w:szCs w:val="24"/>
              </w:rPr>
            </w:r>
            <w:r/>
          </w:p>
        </w:tc>
        <w:tc>
          <w:tcPr>
            <w:tcW w:w="3768"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5"/>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频率适应性测试</w:t>
            </w:r>
            <w:r>
              <w:rPr>
                <w:rFonts w:hint="eastAsia" w:ascii="Arial" w:hAnsi="Arial" w:eastAsia="仿宋_GB2312" w:cs="Arial"/>
                <w:bCs/>
                <w:sz w:val="24"/>
                <w:szCs w:val="24"/>
              </w:rPr>
            </w:r>
            <w:r/>
          </w:p>
        </w:tc>
        <w:tc>
          <w:tcPr>
            <w:tcW w:w="3768"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5"/>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电能质量适应性测试</w:t>
            </w:r>
            <w:r>
              <w:rPr>
                <w:rFonts w:hint="eastAsia" w:ascii="Arial" w:hAnsi="Arial" w:eastAsia="仿宋_GB2312" w:cs="Arial"/>
                <w:bCs/>
                <w:sz w:val="24"/>
                <w:szCs w:val="24"/>
              </w:rPr>
            </w:r>
            <w:r/>
          </w:p>
        </w:tc>
        <w:tc>
          <w:tcPr>
            <w:tcW w:w="3768"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5"/>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电能质量测试</w:t>
            </w:r>
            <w:r>
              <w:rPr>
                <w:rFonts w:hint="eastAsia" w:ascii="Arial" w:hAnsi="Arial" w:eastAsia="仿宋_GB2312" w:cs="Arial"/>
                <w:bCs/>
                <w:sz w:val="24"/>
                <w:szCs w:val="24"/>
              </w:rPr>
            </w:r>
            <w:r/>
          </w:p>
        </w:tc>
        <w:tc>
          <w:tcPr>
            <w:tcW w:w="3768"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5"/>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启停测试</w:t>
            </w:r>
            <w:r>
              <w:rPr>
                <w:rFonts w:hint="eastAsia" w:ascii="Arial" w:hAnsi="Arial" w:eastAsia="仿宋_GB2312" w:cs="Arial"/>
                <w:bCs/>
                <w:sz w:val="24"/>
                <w:szCs w:val="24"/>
              </w:rPr>
            </w:r>
            <w:r/>
          </w:p>
        </w:tc>
        <w:tc>
          <w:tcPr>
            <w:tcW w:w="3768"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系统自动测试</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5"/>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继电保护</w:t>
            </w:r>
            <w:r>
              <w:rPr>
                <w:rFonts w:hint="eastAsia" w:ascii="Arial" w:hAnsi="Arial" w:eastAsia="仿宋_GB2312" w:cs="Arial"/>
                <w:bCs/>
                <w:sz w:val="24"/>
                <w:szCs w:val="24"/>
              </w:rPr>
            </w:r>
            <w:r/>
          </w:p>
        </w:tc>
        <w:tc>
          <w:tcPr>
            <w:tcW w:w="3768"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资料核查</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5"/>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信息与通信</w:t>
            </w:r>
            <w:r>
              <w:rPr>
                <w:rFonts w:hint="eastAsia" w:ascii="Arial" w:hAnsi="Arial" w:eastAsia="仿宋_GB2312" w:cs="Arial"/>
                <w:bCs/>
                <w:sz w:val="24"/>
                <w:szCs w:val="24"/>
              </w:rPr>
            </w:r>
            <w:r/>
          </w:p>
        </w:tc>
        <w:tc>
          <w:tcPr>
            <w:tcW w:w="3768"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资料核查</w:t>
            </w:r>
            <w:r>
              <w:rPr>
                <w:rFonts w:hint="eastAsia" w:ascii="Arial" w:hAnsi="Arial" w:eastAsia="仿宋_GB2312" w:cs="Arial"/>
                <w:bCs/>
                <w:sz w:val="24"/>
                <w:szCs w:val="24"/>
              </w:rPr>
            </w:r>
            <w:r/>
          </w:p>
        </w:tc>
      </w:tr>
      <w:tr>
        <w:trPr/>
        <w:tc>
          <w:tcPr>
            <w:tcW w:w="1101" w:type="dxa"/>
            <w:vAlign w:val="top"/>
            <w:textDirection w:val="lrTb"/>
            <w:noWrap w:val="false"/>
          </w:tcPr>
          <w:p>
            <w:pPr>
              <w:pStyle w:val="1070"/>
              <w:numPr>
                <w:ilvl w:val="0"/>
                <w:numId w:val="45"/>
              </w:numPr>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r>
            <w:r/>
          </w:p>
        </w:tc>
        <w:tc>
          <w:tcPr>
            <w:tcW w:w="4584"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电能计量</w:t>
            </w:r>
            <w:r>
              <w:rPr>
                <w:rFonts w:hint="eastAsia" w:ascii="Arial" w:hAnsi="Arial" w:eastAsia="仿宋_GB2312" w:cs="Arial"/>
                <w:bCs/>
                <w:sz w:val="24"/>
                <w:szCs w:val="24"/>
              </w:rPr>
            </w:r>
            <w:r/>
          </w:p>
        </w:tc>
        <w:tc>
          <w:tcPr>
            <w:tcW w:w="3768" w:type="dxa"/>
            <w:vAlign w:val="top"/>
            <w:textDirection w:val="lrTb"/>
            <w:noWrap w:val="false"/>
          </w:tcPr>
          <w:p>
            <w:pPr>
              <w:pStyle w:val="1070"/>
              <w:ind w:firstLine="0"/>
              <w:jc w:val="center"/>
              <w:spacing w:line="240" w:lineRule="auto"/>
              <w:rPr>
                <w:rFonts w:hint="eastAsia" w:ascii="Arial" w:hAnsi="Arial" w:eastAsia="仿宋_GB2312" w:cs="Arial"/>
                <w:bCs/>
                <w:sz w:val="24"/>
                <w:szCs w:val="24"/>
              </w:rPr>
            </w:pPr>
            <w:r>
              <w:rPr>
                <w:rFonts w:hint="eastAsia" w:ascii="Arial" w:hAnsi="Arial" w:eastAsia="仿宋_GB2312" w:cs="Arial"/>
                <w:bCs/>
                <w:sz w:val="24"/>
                <w:szCs w:val="24"/>
              </w:rPr>
              <w:t xml:space="preserve">资料核查</w:t>
            </w:r>
            <w:r>
              <w:rPr>
                <w:rFonts w:hint="eastAsia" w:ascii="Arial" w:hAnsi="Arial" w:eastAsia="仿宋_GB2312" w:cs="Arial"/>
                <w:bCs/>
                <w:sz w:val="24"/>
                <w:szCs w:val="24"/>
              </w:rPr>
            </w:r>
            <w:r/>
          </w:p>
        </w:tc>
      </w:tr>
    </w:tbl>
    <w:p>
      <w:pPr>
        <w:pStyle w:val="1070"/>
        <w:ind w:firstLine="480"/>
        <w:rPr>
          <w:rFonts w:ascii="Arial" w:hAnsi="Arial" w:eastAsia="仿宋_GB2312" w:cs="Arial"/>
          <w:bCs/>
          <w:sz w:val="24"/>
          <w:szCs w:val="24"/>
        </w:rPr>
      </w:pPr>
      <w:r>
        <w:rPr>
          <w:rFonts w:ascii="Arial" w:hAnsi="Arial" w:eastAsia="仿宋_GB2312" w:cs="Arial"/>
          <w:bCs/>
          <w:sz w:val="24"/>
          <w:szCs w:val="24"/>
        </w:rPr>
        <w:t xml:space="preserve">4.5 </w:t>
      </w:r>
      <w:r>
        <w:rPr>
          <w:rFonts w:hint="eastAsia" w:ascii="Arial" w:hAnsi="Arial" w:eastAsia="仿宋_GB2312" w:cs="Arial"/>
          <w:bCs/>
          <w:sz w:val="24"/>
          <w:szCs w:val="24"/>
        </w:rPr>
        <w:t xml:space="preserve">能够采集功率、功率因数等参数并生成曲线，曲线最小采集间隔1s；</w:t>
      </w:r>
      <w:r>
        <w:rPr>
          <w:rFonts w:ascii="Arial" w:hAnsi="Arial" w:eastAsia="仿宋_GB2312" w:cs="Arial"/>
          <w:bCs/>
          <w:sz w:val="24"/>
          <w:szCs w:val="24"/>
        </w:rPr>
      </w:r>
      <w:r/>
    </w:p>
    <w:p>
      <w:pPr>
        <w:pStyle w:val="1070"/>
        <w:ind w:firstLine="480"/>
        <w:rPr>
          <w:rFonts w:ascii="Arial" w:hAnsi="Arial" w:eastAsia="仿宋_GB2312" w:cs="Arial"/>
          <w:bCs/>
          <w:sz w:val="24"/>
          <w:szCs w:val="24"/>
        </w:rPr>
      </w:pPr>
      <w:r>
        <w:rPr>
          <w:rFonts w:ascii="Arial" w:hAnsi="Arial" w:eastAsia="仿宋_GB2312" w:cs="Arial"/>
          <w:bCs/>
          <w:sz w:val="24"/>
          <w:szCs w:val="24"/>
        </w:rPr>
        <w:t xml:space="preserve">4.6 </w:t>
      </w:r>
      <w:r>
        <w:rPr>
          <w:rFonts w:hint="eastAsia" w:ascii="Arial" w:hAnsi="Arial" w:eastAsia="仿宋_GB2312" w:cs="Arial"/>
          <w:bCs/>
          <w:sz w:val="24"/>
          <w:szCs w:val="24"/>
        </w:rPr>
        <w:t xml:space="preserve">具备手动和自动两种测试模式；</w:t>
      </w:r>
      <w:r>
        <w:rPr>
          <w:rFonts w:ascii="Arial" w:hAnsi="Arial" w:eastAsia="仿宋_GB2312" w:cs="Arial"/>
          <w:bCs/>
          <w:sz w:val="24"/>
          <w:szCs w:val="24"/>
        </w:rPr>
      </w:r>
      <w:r/>
    </w:p>
    <w:p>
      <w:pPr>
        <w:pStyle w:val="1070"/>
        <w:ind w:firstLine="480"/>
        <w:rPr>
          <w:rFonts w:ascii="Arial" w:hAnsi="Arial" w:eastAsia="仿宋_GB2312" w:cs="Arial"/>
          <w:bCs/>
          <w:sz w:val="24"/>
          <w:szCs w:val="24"/>
        </w:rPr>
      </w:pPr>
      <w:r>
        <w:rPr>
          <w:rFonts w:ascii="Arial" w:hAnsi="Arial" w:eastAsia="仿宋_GB2312" w:cs="Arial"/>
          <w:bCs/>
          <w:sz w:val="24"/>
          <w:szCs w:val="24"/>
        </w:rPr>
        <w:t xml:space="preserve">4.7 </w:t>
      </w:r>
      <w:r>
        <w:rPr>
          <w:rFonts w:hint="eastAsia" w:ascii="Arial" w:hAnsi="Arial" w:eastAsia="仿宋_GB2312" w:cs="Arial"/>
          <w:bCs/>
          <w:sz w:val="24"/>
          <w:szCs w:val="24"/>
        </w:rPr>
        <w:t xml:space="preserve">通过TCP</w:t>
      </w:r>
      <w:r>
        <w:rPr>
          <w:rFonts w:ascii="Arial" w:hAnsi="Arial" w:eastAsia="仿宋_GB2312" w:cs="Arial"/>
          <w:bCs/>
          <w:sz w:val="24"/>
          <w:szCs w:val="24"/>
        </w:rPr>
        <w:t xml:space="preserve">/</w:t>
      </w:r>
      <w:r>
        <w:rPr>
          <w:rFonts w:hint="eastAsia" w:ascii="Arial" w:hAnsi="Arial" w:eastAsia="仿宋_GB2312" w:cs="Arial"/>
          <w:bCs/>
          <w:sz w:val="24"/>
          <w:szCs w:val="24"/>
        </w:rPr>
        <w:t xml:space="preserve">IP的方式进行设备组网，远程可控。</w:t>
      </w:r>
      <w:r>
        <w:rPr>
          <w:rFonts w:ascii="Arial" w:hAnsi="Arial" w:eastAsia="仿宋_GB2312" w:cs="Arial"/>
          <w:bCs/>
          <w:sz w:val="24"/>
          <w:szCs w:val="24"/>
        </w:rPr>
      </w:r>
      <w:r/>
    </w:p>
    <w:p>
      <w:pPr>
        <w:pStyle w:val="1070"/>
        <w:ind w:firstLine="480"/>
        <w:rPr>
          <w:rFonts w:ascii="Arial" w:hAnsi="Arial" w:eastAsia="仿宋_GB2312" w:cs="Arial"/>
          <w:bCs/>
          <w:sz w:val="24"/>
          <w:szCs w:val="24"/>
        </w:rPr>
      </w:pPr>
      <w:r>
        <w:rPr>
          <w:rFonts w:ascii="Arial" w:hAnsi="Arial" w:eastAsia="仿宋_GB2312" w:cs="Arial"/>
          <w:bCs/>
          <w:sz w:val="24"/>
          <w:szCs w:val="24"/>
        </w:rPr>
        <w:t xml:space="preserve">4.8  控制软件应能通过买方提供的接口从业务系统获取该项目的检测任务及基本信息（json格式）、最新原始记录模板文件。</w:t>
      </w:r>
      <w:r>
        <w:rPr>
          <w:rFonts w:ascii="Arial" w:hAnsi="Arial" w:eastAsia="仿宋_GB2312" w:cs="Arial"/>
          <w:bCs/>
          <w:sz w:val="24"/>
          <w:szCs w:val="24"/>
        </w:rPr>
      </w:r>
      <w:r/>
    </w:p>
    <w:p>
      <w:pPr>
        <w:pStyle w:val="1070"/>
        <w:ind w:firstLine="480"/>
        <w:rPr>
          <w:rFonts w:ascii="Arial" w:hAnsi="Arial" w:eastAsia="仿宋_GB2312" w:cs="Arial"/>
          <w:bCs/>
          <w:sz w:val="24"/>
          <w:szCs w:val="24"/>
        </w:rPr>
      </w:pPr>
      <w:r>
        <w:rPr>
          <w:rFonts w:ascii="Arial" w:hAnsi="Arial" w:eastAsia="仿宋_GB2312" w:cs="Arial"/>
          <w:bCs/>
          <w:sz w:val="24"/>
          <w:szCs w:val="24"/>
        </w:rPr>
        <w:t xml:space="preserve">4.9 控制软件导出数据到原始记录模板文件（excel格式），生成电子原始记录文件。</w:t>
      </w:r>
      <w:r>
        <w:rPr>
          <w:rFonts w:ascii="Arial" w:hAnsi="Arial" w:eastAsia="仿宋_GB2312" w:cs="Arial"/>
          <w:bCs/>
          <w:sz w:val="24"/>
          <w:szCs w:val="24"/>
        </w:rPr>
      </w:r>
      <w:r/>
    </w:p>
    <w:p>
      <w:pPr>
        <w:pStyle w:val="1070"/>
        <w:ind w:firstLine="480"/>
        <w:rPr>
          <w:rFonts w:ascii="Arial" w:hAnsi="Arial" w:eastAsia="仿宋_GB2312" w:cs="Arial"/>
          <w:bCs/>
          <w:sz w:val="24"/>
          <w:szCs w:val="24"/>
        </w:rPr>
      </w:pPr>
      <w:r>
        <w:rPr>
          <w:rFonts w:ascii="Arial" w:hAnsi="Arial" w:eastAsia="仿宋_GB2312" w:cs="Arial"/>
          <w:bCs/>
          <w:sz w:val="24"/>
          <w:szCs w:val="24"/>
        </w:rPr>
        <w:t xml:space="preserve">4.10 控制软件通过将电子原始记录文件和唯一性号信息推送到业务系统。</w:t>
      </w:r>
      <w:r>
        <w:rPr>
          <w:rFonts w:ascii="Arial" w:hAnsi="Arial" w:eastAsia="仿宋_GB2312" w:cs="Arial"/>
          <w:bCs/>
          <w:sz w:val="24"/>
          <w:szCs w:val="24"/>
        </w:rPr>
      </w:r>
      <w:r/>
    </w:p>
    <w:p>
      <w:pPr>
        <w:pStyle w:val="1070"/>
        <w:ind w:firstLine="480"/>
        <w:rPr>
          <w:rFonts w:ascii="Arial" w:hAnsi="Arial" w:eastAsia="仿宋_GB2312" w:cs="Arial"/>
          <w:bCs/>
          <w:sz w:val="24"/>
          <w:szCs w:val="24"/>
        </w:rPr>
      </w:pPr>
      <w:r>
        <w:rPr>
          <w:rFonts w:ascii="Arial" w:hAnsi="Arial" w:eastAsia="仿宋_GB2312" w:cs="Arial"/>
          <w:bCs/>
          <w:sz w:val="24"/>
          <w:szCs w:val="24"/>
        </w:rPr>
        <w:t xml:space="preserve">4.11 控制软件配套工控机配置要求：</w:t>
      </w:r>
      <w:r>
        <w:rPr>
          <w:rFonts w:ascii="Arial" w:hAnsi="Arial" w:eastAsia="仿宋_GB2312" w:cs="Arial"/>
          <w:bCs/>
          <w:sz w:val="24"/>
          <w:szCs w:val="24"/>
        </w:rPr>
      </w:r>
      <w:r/>
    </w:p>
    <w:p>
      <w:pPr>
        <w:pStyle w:val="1153"/>
        <w:ind w:firstLine="240"/>
        <w:rPr>
          <w:rFonts w:ascii="Arial" w:hAnsi="Arial" w:eastAsia="仿宋_GB2312" w:cs="Arial"/>
          <w:bCs/>
          <w:szCs w:val="24"/>
        </w:rPr>
      </w:pPr>
      <w:r>
        <w:rPr>
          <w:rFonts w:ascii="Arial" w:hAnsi="Arial" w:eastAsia="仿宋_GB2312" w:cs="Arial"/>
          <w:bCs/>
          <w:szCs w:val="24"/>
        </w:rPr>
        <w:t xml:space="preserve">CPU：桌面混合架构处理器，总核心不小于20核，总线程不小于28线程，最大睿频不小于5.4GHz，三级缓存不小于33MB；内存：不小于16G DDR5；硬盘：不小于1TB SSD；操作系统：win11；显示器：不小于27英寸；配备无线外设。</w:t>
      </w:r>
      <w:r>
        <w:rPr>
          <w:rFonts w:ascii="Arial" w:hAnsi="Arial" w:eastAsia="仿宋_GB2312" w:cs="Arial"/>
          <w:bCs/>
          <w:szCs w:val="24"/>
        </w:rPr>
      </w:r>
      <w:r/>
    </w:p>
    <w:p>
      <w:pPr>
        <w:pStyle w:val="1053"/>
        <w:rPr>
          <w:rFonts w:ascii="Arial" w:hAnsi="Arial" w:eastAsia="仿宋_GB2312" w:cs="Arial"/>
          <w:bCs/>
          <w:sz w:val="24"/>
          <w:szCs w:val="24"/>
        </w:rPr>
      </w:pPr>
      <w:r>
        <w:rPr>
          <w:rFonts w:ascii="Arial" w:hAnsi="Arial" w:eastAsia="仿宋_GB2312" w:cs="Arial"/>
          <w:bCs/>
          <w:sz w:val="24"/>
          <w:szCs w:val="24"/>
        </w:rPr>
      </w:r>
      <w:r/>
    </w:p>
    <w:p>
      <w:pPr>
        <w:pStyle w:val="1055"/>
        <w:keepLines w:val="0"/>
        <w:spacing w:before="0" w:after="0"/>
        <w:widowControl/>
        <w:tabs>
          <w:tab w:val="left" w:pos="540" w:leader="none"/>
        </w:tabs>
        <w:rPr>
          <w:rFonts w:eastAsia="宋体"/>
          <w:b w:val="0"/>
          <w:sz w:val="24"/>
        </w:rPr>
      </w:pPr>
      <w:r>
        <w:rPr>
          <w:rFonts w:hint="eastAsia" w:eastAsia="宋体" w:cs="Arial"/>
          <w:bCs/>
          <w:szCs w:val="28"/>
        </w:rPr>
        <w:t xml:space="preserve">采</w:t>
      </w:r>
      <w:r>
        <w:rPr>
          <w:rFonts w:hint="eastAsia" w:eastAsia="宋体" w:cs="宋体"/>
          <w:bCs/>
          <w:szCs w:val="28"/>
        </w:rPr>
        <w:t xml:space="preserve">购</w:t>
      </w:r>
      <w:r>
        <w:rPr>
          <w:rFonts w:hint="eastAsia" w:eastAsia="宋体" w:cs="___WRD_EMBED_SUB_41"/>
          <w:bCs/>
          <w:szCs w:val="28"/>
        </w:rPr>
        <w:t xml:space="preserve">分包</w:t>
      </w:r>
      <w:r>
        <w:rPr>
          <w:rFonts w:hint="eastAsia" w:eastAsia="宋体" w:cs="Arial"/>
          <w:bCs/>
          <w:szCs w:val="28"/>
        </w:rPr>
        <w:t xml:space="preserve">2：</w:t>
      </w:r>
      <w:r>
        <w:rPr>
          <w:rFonts w:eastAsia="宋体"/>
          <w:b w:val="0"/>
          <w:sz w:val="24"/>
        </w:rPr>
      </w:r>
      <w:r/>
    </w:p>
    <w:p>
      <w:pPr>
        <w:pStyle w:val="1055"/>
        <w:keepLines w:val="0"/>
        <w:spacing w:before="0" w:after="0"/>
        <w:widowControl/>
        <w:tabs>
          <w:tab w:val="left" w:pos="540" w:leader="none"/>
        </w:tabs>
        <w:rPr>
          <w:rFonts w:eastAsia="宋体"/>
          <w:sz w:val="24"/>
        </w:rPr>
      </w:pPr>
      <w:r>
        <w:rPr>
          <w:rFonts w:eastAsia="宋体"/>
          <w:sz w:val="24"/>
        </w:rPr>
        <w:t xml:space="preserve">1. 氢能综合能源能效测量系统</w:t>
      </w:r>
      <w:r>
        <w:rPr>
          <w:rFonts w:eastAsia="宋体"/>
          <w:sz w:val="24"/>
        </w:rPr>
      </w:r>
      <w:r/>
    </w:p>
    <w:p>
      <w:pPr>
        <w:pStyle w:val="1070"/>
        <w:ind w:firstLine="480"/>
        <w:rPr>
          <w:sz w:val="24"/>
          <w:szCs w:val="24"/>
        </w:rPr>
      </w:pPr>
      <w:r>
        <w:rPr>
          <w:sz w:val="24"/>
          <w:szCs w:val="24"/>
        </w:rPr>
        <w:t xml:space="preserve">▲1.1总辐照度：测量范围：0～2000W/m²；光谱平坦度</w:t>
      </w:r>
      <w:r>
        <w:rPr>
          <w:rFonts w:hint="eastAsia"/>
          <w:sz w:val="24"/>
          <w:szCs w:val="24"/>
        </w:rPr>
        <w:t xml:space="preserve">（</w:t>
      </w:r>
      <w:r>
        <w:rPr>
          <w:sz w:val="24"/>
          <w:szCs w:val="24"/>
        </w:rPr>
        <w:t xml:space="preserve">ISO 9060:2018</w:t>
      </w:r>
      <w:r>
        <w:rPr>
          <w:rFonts w:hint="eastAsia"/>
          <w:sz w:val="24"/>
          <w:szCs w:val="24"/>
        </w:rPr>
        <w:t xml:space="preserve">）</w:t>
      </w:r>
      <w:r>
        <w:rPr>
          <w:sz w:val="24"/>
          <w:szCs w:val="24"/>
        </w:rPr>
        <w:t xml:space="preserve">：A级；非线性度（100～ 1000 W/m²）：≤ ±0.2%；</w:t>
      </w:r>
      <w:r>
        <w:rPr>
          <w:rFonts w:hint="eastAsia"/>
          <w:sz w:val="24"/>
          <w:szCs w:val="24"/>
        </w:rPr>
        <w:t xml:space="preserve">不</w:t>
      </w:r>
      <w:r>
        <w:rPr>
          <w:sz w:val="24"/>
          <w:szCs w:val="24"/>
        </w:rPr>
        <w:t xml:space="preserve">稳定性：≤ ±0.5% / </w:t>
      </w:r>
      <w:r>
        <w:rPr>
          <w:rFonts w:hint="eastAsia"/>
          <w:sz w:val="24"/>
          <w:szCs w:val="24"/>
        </w:rPr>
        <w:t xml:space="preserve">每</w:t>
      </w:r>
      <w:r>
        <w:rPr>
          <w:sz w:val="24"/>
          <w:szCs w:val="24"/>
        </w:rPr>
        <w:t xml:space="preserve">5年；方向响应（</w:t>
      </w:r>
      <w:r>
        <w:rPr>
          <w:rFonts w:hint="eastAsia"/>
          <w:sz w:val="24"/>
          <w:szCs w:val="24"/>
        </w:rPr>
        <w:t xml:space="preserve">最大</w:t>
      </w:r>
      <w:r>
        <w:rPr>
          <w:sz w:val="24"/>
          <w:szCs w:val="24"/>
        </w:rPr>
        <w:t xml:space="preserve">80°，</w:t>
      </w:r>
      <w:r>
        <w:rPr>
          <w:rFonts w:hint="eastAsia"/>
          <w:sz w:val="24"/>
          <w:szCs w:val="24"/>
        </w:rPr>
        <w:t xml:space="preserve">在</w:t>
      </w:r>
      <w:r>
        <w:rPr>
          <w:sz w:val="24"/>
          <w:szCs w:val="24"/>
        </w:rPr>
        <w:t xml:space="preserve">1000 W/m²</w:t>
      </w:r>
      <w:r>
        <w:rPr>
          <w:rFonts w:hint="eastAsia"/>
          <w:sz w:val="24"/>
          <w:szCs w:val="24"/>
        </w:rPr>
        <w:t xml:space="preserve">照射下</w:t>
      </w:r>
      <w:r>
        <w:rPr>
          <w:sz w:val="24"/>
          <w:szCs w:val="24"/>
        </w:rPr>
        <w:t xml:space="preserve">）：≤ ±10 W/m²；倾斜响应（0°～180°</w:t>
      </w:r>
      <w:r>
        <w:rPr>
          <w:rFonts w:hint="eastAsia"/>
          <w:sz w:val="24"/>
          <w:szCs w:val="24"/>
        </w:rPr>
        <w:t xml:space="preserve">@</w:t>
      </w:r>
      <w:r>
        <w:rPr>
          <w:sz w:val="24"/>
          <w:szCs w:val="24"/>
        </w:rPr>
        <w:t xml:space="preserve">1000 W/m²）：≤ ±0.2%；</w:t>
      </w:r>
      <w:r>
        <w:rPr>
          <w:rFonts w:hint="eastAsia"/>
          <w:sz w:val="24"/>
          <w:szCs w:val="24"/>
        </w:rPr>
        <w:t xml:space="preserve">晴空GHI</w:t>
      </w:r>
      <w:r>
        <w:rPr>
          <w:sz w:val="24"/>
          <w:szCs w:val="24"/>
        </w:rPr>
        <w:t xml:space="preserve">光谱误差：≤ ±0.2%</w:t>
      </w:r>
      <w:r>
        <w:rPr>
          <w:rFonts w:hint="eastAsia"/>
          <w:sz w:val="24"/>
          <w:szCs w:val="24"/>
        </w:rPr>
        <w:t xml:space="preserve">；</w:t>
      </w:r>
      <w:r>
        <w:rPr>
          <w:sz w:val="24"/>
          <w:szCs w:val="24"/>
        </w:rPr>
      </w:r>
      <w:r/>
    </w:p>
    <w:p>
      <w:pPr>
        <w:pStyle w:val="1070"/>
        <w:ind w:firstLine="480"/>
        <w:rPr>
          <w:sz w:val="24"/>
          <w:szCs w:val="24"/>
        </w:rPr>
      </w:pPr>
      <w:r>
        <w:rPr>
          <w:sz w:val="24"/>
          <w:szCs w:val="24"/>
        </w:rPr>
        <w:t xml:space="preserve">1.2 总辐照度传感器具备数据远传接口；    </w:t>
      </w:r>
      <w:r>
        <w:rPr>
          <w:sz w:val="24"/>
          <w:szCs w:val="24"/>
        </w:rPr>
      </w:r>
      <w:r/>
    </w:p>
    <w:p>
      <w:pPr>
        <w:pStyle w:val="1070"/>
        <w:ind w:firstLine="480"/>
        <w:rPr>
          <w:sz w:val="24"/>
          <w:szCs w:val="24"/>
        </w:rPr>
      </w:pPr>
      <w:r>
        <w:rPr>
          <w:sz w:val="24"/>
          <w:szCs w:val="24"/>
        </w:rPr>
        <w:t xml:space="preserve">1.3 环境温度：±0.5℃ (-40~85)℃；  </w:t>
      </w:r>
      <w:r>
        <w:rPr>
          <w:sz w:val="24"/>
          <w:szCs w:val="24"/>
        </w:rPr>
      </w:r>
      <w:r/>
    </w:p>
    <w:p>
      <w:pPr>
        <w:pStyle w:val="1070"/>
        <w:ind w:firstLine="480"/>
        <w:rPr>
          <w:sz w:val="24"/>
          <w:szCs w:val="24"/>
        </w:rPr>
      </w:pPr>
      <w:r>
        <w:rPr>
          <w:sz w:val="24"/>
          <w:szCs w:val="24"/>
        </w:rPr>
        <w:t xml:space="preserve">1.4 风速：0～60m/s；±0.2 m/s或读数的±2 %，二者中较大者；</w:t>
      </w:r>
      <w:r>
        <w:rPr>
          <w:sz w:val="24"/>
          <w:szCs w:val="24"/>
        </w:rPr>
      </w:r>
      <w:r/>
    </w:p>
    <w:p>
      <w:pPr>
        <w:pStyle w:val="1070"/>
        <w:ind w:firstLine="480"/>
        <w:rPr>
          <w:sz w:val="24"/>
          <w:szCs w:val="24"/>
        </w:rPr>
      </w:pPr>
      <w:r>
        <w:rPr>
          <w:sz w:val="24"/>
          <w:szCs w:val="24"/>
        </w:rPr>
        <w:t xml:space="preserve">1.5 风向：0～360°；精度：±2.5°；</w:t>
      </w:r>
      <w:r>
        <w:rPr>
          <w:rFonts w:hint="eastAsia"/>
          <w:sz w:val="24"/>
          <w:szCs w:val="24"/>
        </w:rPr>
        <w:t xml:space="preserve">分辨率：0</w:t>
      </w:r>
      <w:r>
        <w:rPr>
          <w:sz w:val="24"/>
          <w:szCs w:val="24"/>
        </w:rPr>
        <w:t xml:space="preserve">.1°</w:t>
      </w:r>
      <w:r>
        <w:rPr>
          <w:rFonts w:hint="eastAsia"/>
          <w:sz w:val="24"/>
          <w:szCs w:val="24"/>
        </w:rPr>
        <w:t xml:space="preserve">；</w:t>
      </w:r>
      <w:r>
        <w:rPr>
          <w:sz w:val="24"/>
          <w:szCs w:val="24"/>
        </w:rPr>
        <w:t xml:space="preserve">  </w:t>
      </w:r>
      <w:r>
        <w:rPr>
          <w:sz w:val="24"/>
          <w:szCs w:val="24"/>
        </w:rPr>
      </w:r>
      <w:r/>
    </w:p>
    <w:p>
      <w:pPr>
        <w:pStyle w:val="1070"/>
        <w:ind w:firstLine="480"/>
        <w:rPr>
          <w:sz w:val="24"/>
          <w:szCs w:val="24"/>
        </w:rPr>
      </w:pPr>
      <w:r>
        <w:rPr>
          <w:sz w:val="24"/>
          <w:szCs w:val="24"/>
        </w:rPr>
        <w:t xml:space="preserve">1.6 风速、风向传感器具备数据远传接口；</w:t>
      </w:r>
      <w:r>
        <w:rPr>
          <w:sz w:val="24"/>
          <w:szCs w:val="24"/>
        </w:rPr>
      </w:r>
      <w:r/>
    </w:p>
    <w:p>
      <w:pPr>
        <w:pStyle w:val="1070"/>
        <w:ind w:firstLine="480"/>
        <w:rPr>
          <w:sz w:val="24"/>
          <w:szCs w:val="24"/>
        </w:rPr>
      </w:pPr>
      <w:r>
        <w:rPr>
          <w:sz w:val="24"/>
          <w:szCs w:val="24"/>
        </w:rPr>
        <w:t xml:space="preserve">1.7 风机转速</w:t>
      </w:r>
      <w:r>
        <w:rPr>
          <w:rFonts w:hint="eastAsia"/>
          <w:sz w:val="24"/>
          <w:szCs w:val="24"/>
        </w:rPr>
        <w:t xml:space="preserve">测量</w:t>
      </w:r>
      <w:r>
        <w:rPr>
          <w:sz w:val="24"/>
          <w:szCs w:val="24"/>
        </w:rPr>
        <w:t xml:space="preserve">：</w:t>
      </w:r>
      <w:r>
        <w:rPr>
          <w:rFonts w:hint="eastAsia"/>
          <w:sz w:val="24"/>
        </w:rPr>
        <w:t xml:space="preserve">精度：</w:t>
      </w:r>
      <w:r>
        <w:rPr>
          <w:sz w:val="24"/>
          <w:szCs w:val="24"/>
        </w:rPr>
        <w:t xml:space="preserve">2%；</w:t>
      </w:r>
      <w:r>
        <w:rPr>
          <w:sz w:val="24"/>
          <w:szCs w:val="24"/>
        </w:rPr>
      </w:r>
      <w:r/>
    </w:p>
    <w:p>
      <w:pPr>
        <w:pStyle w:val="1070"/>
        <w:ind w:firstLine="480"/>
        <w:rPr>
          <w:sz w:val="24"/>
          <w:szCs w:val="24"/>
        </w:rPr>
      </w:pPr>
      <w:r>
        <w:rPr>
          <w:sz w:val="24"/>
          <w:szCs w:val="24"/>
        </w:rPr>
        <w:t xml:space="preserve">1.8 </w:t>
      </w:r>
      <w:r>
        <w:rPr>
          <w:rFonts w:hint="eastAsia"/>
          <w:sz w:val="24"/>
          <w:szCs w:val="24"/>
        </w:rPr>
        <w:t xml:space="preserve">电压测量：</w:t>
      </w:r>
      <w:r>
        <w:rPr>
          <w:sz w:val="24"/>
          <w:szCs w:val="24"/>
        </w:rPr>
        <w:t xml:space="preserve">4</w:t>
      </w:r>
      <w:r>
        <w:rPr>
          <w:rFonts w:hint="eastAsia"/>
          <w:sz w:val="24"/>
          <w:szCs w:val="24"/>
        </w:rPr>
        <w:t xml:space="preserve">通道；电流测量：4通道；</w:t>
      </w:r>
      <w:r>
        <w:rPr>
          <w:sz w:val="24"/>
          <w:szCs w:val="24"/>
        </w:rPr>
      </w:r>
      <w:r/>
    </w:p>
    <w:p>
      <w:pPr>
        <w:pStyle w:val="1070"/>
        <w:ind w:firstLine="480"/>
        <w:rPr>
          <w:sz w:val="24"/>
          <w:szCs w:val="24"/>
        </w:rPr>
      </w:pPr>
      <w:r>
        <w:rPr>
          <w:sz w:val="24"/>
          <w:szCs w:val="24"/>
        </w:rPr>
        <w:t xml:space="preserve">1.9 电压</w:t>
      </w:r>
      <w:r>
        <w:rPr>
          <w:rFonts w:hint="eastAsia"/>
          <w:sz w:val="24"/>
          <w:szCs w:val="24"/>
        </w:rPr>
        <w:t xml:space="preserve">（交流10Hz至1kHz及直流</w:t>
      </w:r>
      <w:r>
        <w:rPr>
          <w:sz w:val="24"/>
          <w:szCs w:val="24"/>
        </w:rPr>
        <w:t xml:space="preserve">）： 10V：0.1%读数+ 0.2%量程；100V：0.1%读数+ 0.1%量程；1000V：0.1%读数+ 0.1%量程；</w:t>
      </w:r>
      <w:r>
        <w:rPr>
          <w:sz w:val="24"/>
          <w:szCs w:val="24"/>
        </w:rPr>
      </w:r>
      <w:r/>
    </w:p>
    <w:p>
      <w:pPr>
        <w:pStyle w:val="1070"/>
        <w:ind w:firstLine="480"/>
        <w:rPr>
          <w:sz w:val="24"/>
          <w:szCs w:val="24"/>
        </w:rPr>
      </w:pPr>
      <w:r>
        <w:rPr>
          <w:sz w:val="24"/>
          <w:szCs w:val="24"/>
        </w:rPr>
        <w:t xml:space="preserve">1.10 电流</w:t>
      </w:r>
      <w:r>
        <w:rPr>
          <w:rFonts w:hint="eastAsia"/>
          <w:sz w:val="24"/>
          <w:szCs w:val="24"/>
        </w:rPr>
        <w:t xml:space="preserve">（交流10Hz至1kHz</w:t>
      </w:r>
      <w:r>
        <w:rPr>
          <w:sz w:val="24"/>
          <w:szCs w:val="24"/>
        </w:rPr>
        <w:t xml:space="preserve">）： 1A：0.1%读数+ 0.2%量程；10A：0.1%读数+ 0.1%量程；</w:t>
      </w:r>
      <w:r>
        <w:rPr>
          <w:sz w:val="24"/>
          <w:szCs w:val="24"/>
        </w:rPr>
      </w:r>
      <w:r/>
    </w:p>
    <w:p>
      <w:pPr>
        <w:pStyle w:val="1070"/>
        <w:rPr>
          <w:sz w:val="24"/>
          <w:szCs w:val="24"/>
        </w:rPr>
      </w:pPr>
      <w:r>
        <w:t xml:space="preserve">▲</w:t>
      </w:r>
      <w:r>
        <w:rPr>
          <w:sz w:val="24"/>
          <w:szCs w:val="24"/>
        </w:rPr>
        <w:t xml:space="preserve">1.11 电流</w:t>
      </w:r>
      <w:r>
        <w:rPr>
          <w:rFonts w:hint="eastAsia"/>
          <w:sz w:val="24"/>
          <w:szCs w:val="24"/>
        </w:rPr>
        <w:t xml:space="preserve">（直流</w:t>
      </w:r>
      <w:r>
        <w:rPr>
          <w:sz w:val="24"/>
          <w:szCs w:val="24"/>
        </w:rPr>
        <w:t xml:space="preserve">）：1A：0.1%读数+ 0.5%量程；10A：0.1%读数+ 0.2%量程；   </w:t>
      </w:r>
      <w:r>
        <w:rPr>
          <w:sz w:val="24"/>
          <w:szCs w:val="24"/>
        </w:rPr>
      </w:r>
      <w:r/>
    </w:p>
    <w:p>
      <w:pPr>
        <w:pStyle w:val="1070"/>
        <w:ind w:firstLine="480"/>
        <w:rPr>
          <w:sz w:val="24"/>
          <w:szCs w:val="24"/>
        </w:rPr>
      </w:pPr>
      <w:r>
        <w:rPr>
          <w:sz w:val="24"/>
          <w:szCs w:val="24"/>
        </w:rPr>
        <w:t xml:space="preserve">1.12 </w:t>
      </w:r>
      <w:r>
        <w:rPr>
          <w:rFonts w:hint="eastAsia"/>
          <w:sz w:val="24"/>
          <w:szCs w:val="24"/>
        </w:rPr>
        <w:t xml:space="preserve">有功</w:t>
      </w:r>
      <w:r>
        <w:rPr>
          <w:sz w:val="24"/>
          <w:szCs w:val="24"/>
        </w:rPr>
        <w:t xml:space="preserve">功率</w:t>
      </w:r>
      <w:r>
        <w:rPr>
          <w:rFonts w:hint="eastAsia"/>
          <w:sz w:val="24"/>
          <w:szCs w:val="24"/>
        </w:rPr>
        <w:t xml:space="preserve">（交流10Hz至1kHz</w:t>
      </w:r>
      <w:r>
        <w:rPr>
          <w:sz w:val="24"/>
          <w:szCs w:val="24"/>
        </w:rPr>
        <w:t xml:space="preserve">）：0.2%读数+ 0.01%功率量程；</w:t>
      </w:r>
      <w:r>
        <w:rPr>
          <w:sz w:val="24"/>
          <w:szCs w:val="24"/>
        </w:rPr>
      </w:r>
      <w:r/>
    </w:p>
    <w:p>
      <w:pPr>
        <w:pStyle w:val="1070"/>
        <w:ind w:firstLine="480"/>
        <w:rPr>
          <w:sz w:val="24"/>
          <w:szCs w:val="24"/>
        </w:rPr>
      </w:pPr>
      <w:r>
        <w:rPr>
          <w:sz w:val="24"/>
          <w:szCs w:val="24"/>
        </w:rPr>
        <w:t xml:space="preserve">1.13 电压、电流、功率测量设备具有数据远传接口；</w:t>
      </w:r>
      <w:r>
        <w:rPr>
          <w:sz w:val="24"/>
          <w:szCs w:val="24"/>
        </w:rPr>
      </w:r>
      <w:r/>
    </w:p>
    <w:p>
      <w:pPr>
        <w:pStyle w:val="1070"/>
        <w:ind w:firstLine="480"/>
        <w:rPr>
          <w:sz w:val="24"/>
          <w:szCs w:val="24"/>
        </w:rPr>
      </w:pPr>
      <w:r>
        <w:rPr>
          <w:sz w:val="24"/>
          <w:szCs w:val="24"/>
        </w:rPr>
        <w:t xml:space="preserve">1.1</w:t>
      </w:r>
      <w:r>
        <w:rPr>
          <w:rFonts w:hint="eastAsia"/>
          <w:sz w:val="24"/>
          <w:szCs w:val="24"/>
        </w:rPr>
        <w:t xml:space="preserve">4</w:t>
      </w:r>
      <w:r>
        <w:rPr>
          <w:sz w:val="24"/>
          <w:szCs w:val="24"/>
        </w:rPr>
        <w:t xml:space="preserve"> 氢气压力</w:t>
      </w:r>
      <w:r>
        <w:rPr>
          <w:rFonts w:hint="eastAsia"/>
          <w:sz w:val="24"/>
          <w:szCs w:val="24"/>
        </w:rPr>
        <w:t xml:space="preserve">测量</w:t>
      </w:r>
      <w:r>
        <w:rPr>
          <w:sz w:val="24"/>
          <w:szCs w:val="24"/>
        </w:rPr>
        <w:t xml:space="preserve">：1.6MPa～3.0MPa，0.5级；</w:t>
      </w:r>
      <w:r>
        <w:rPr>
          <w:sz w:val="24"/>
          <w:szCs w:val="24"/>
        </w:rPr>
      </w:r>
      <w:r/>
    </w:p>
    <w:p>
      <w:pPr>
        <w:pStyle w:val="1070"/>
        <w:ind w:firstLine="480"/>
        <w:rPr>
          <w:sz w:val="24"/>
          <w:szCs w:val="24"/>
        </w:rPr>
      </w:pPr>
      <w:r>
        <w:rPr>
          <w:sz w:val="24"/>
          <w:szCs w:val="24"/>
        </w:rPr>
        <w:t xml:space="preserve">1.15 氢气温度：±1℃ (0 ~ +100 ℃)；</w:t>
      </w:r>
      <w:r>
        <w:rPr>
          <w:sz w:val="24"/>
          <w:szCs w:val="24"/>
        </w:rPr>
      </w:r>
      <w:r/>
    </w:p>
    <w:p>
      <w:pPr>
        <w:pStyle w:val="1070"/>
        <w:rPr>
          <w:sz w:val="24"/>
          <w:szCs w:val="24"/>
        </w:rPr>
      </w:pPr>
      <w:r>
        <w:t xml:space="preserve">▲</w:t>
      </w:r>
      <w:r>
        <w:rPr>
          <w:sz w:val="24"/>
          <w:szCs w:val="24"/>
        </w:rPr>
        <w:t xml:space="preserve">1.16 氢气流量测量方式：便携式；超声波；</w:t>
      </w:r>
      <w:r>
        <w:rPr>
          <w:sz w:val="24"/>
          <w:szCs w:val="24"/>
        </w:rPr>
      </w:r>
      <w:r/>
    </w:p>
    <w:p>
      <w:pPr>
        <w:pStyle w:val="1070"/>
        <w:ind w:firstLine="480"/>
        <w:rPr>
          <w:sz w:val="24"/>
          <w:szCs w:val="24"/>
        </w:rPr>
      </w:pPr>
      <w:r>
        <w:rPr>
          <w:sz w:val="24"/>
          <w:szCs w:val="24"/>
        </w:rPr>
        <w:t xml:space="preserve">1.17 氢气流量：管径：DN80～DN300；测量准确度：读数的±1%；</w:t>
      </w:r>
      <w:r>
        <w:rPr>
          <w:sz w:val="24"/>
          <w:szCs w:val="24"/>
        </w:rPr>
      </w:r>
      <w:r/>
    </w:p>
    <w:p>
      <w:pPr>
        <w:pStyle w:val="1070"/>
        <w:ind w:firstLine="480"/>
        <w:rPr>
          <w:sz w:val="24"/>
          <w:szCs w:val="24"/>
        </w:rPr>
      </w:pPr>
      <w:r>
        <w:rPr>
          <w:sz w:val="24"/>
          <w:szCs w:val="24"/>
        </w:rPr>
        <w:t xml:space="preserve">1.18 </w:t>
      </w:r>
      <w:r>
        <w:rPr>
          <w:rFonts w:hint="eastAsia"/>
          <w:sz w:val="24"/>
          <w:szCs w:val="24"/>
        </w:rPr>
        <w:t xml:space="preserve">气体</w:t>
      </w:r>
      <w:r>
        <w:rPr>
          <w:sz w:val="24"/>
          <w:szCs w:val="24"/>
        </w:rPr>
        <w:t xml:space="preserve">流量计具有数据远传接口；</w:t>
      </w:r>
      <w:r>
        <w:rPr>
          <w:sz w:val="24"/>
          <w:szCs w:val="24"/>
        </w:rPr>
      </w:r>
      <w:r/>
    </w:p>
    <w:p>
      <w:pPr>
        <w:pStyle w:val="1070"/>
        <w:rPr>
          <w:sz w:val="24"/>
          <w:szCs w:val="24"/>
        </w:rPr>
      </w:pPr>
      <w:r>
        <w:t xml:space="preserve">▲</w:t>
      </w:r>
      <w:r>
        <w:rPr>
          <w:rFonts w:hint="eastAsia"/>
          <w:sz w:val="24"/>
          <w:szCs w:val="24"/>
        </w:rPr>
        <w:t xml:space="preserve">1</w:t>
      </w:r>
      <w:r>
        <w:rPr>
          <w:sz w:val="24"/>
          <w:szCs w:val="24"/>
        </w:rPr>
        <w:t xml:space="preserve">.</w:t>
      </w:r>
      <w:r>
        <w:rPr>
          <w:rFonts w:hint="eastAsia"/>
          <w:sz w:val="24"/>
          <w:szCs w:val="24"/>
        </w:rPr>
        <w:t xml:space="preserve">19</w:t>
      </w:r>
      <w:r>
        <w:rPr>
          <w:sz w:val="24"/>
          <w:szCs w:val="24"/>
        </w:rPr>
        <w:t xml:space="preserve"> </w:t>
      </w:r>
      <w:r>
        <w:rPr>
          <w:rFonts w:hint="eastAsia"/>
          <w:sz w:val="24"/>
          <w:szCs w:val="24"/>
        </w:rPr>
        <w:t xml:space="preserve">气体流量计支持体积流量，质量流量，流速测量；</w:t>
      </w:r>
      <w:r>
        <w:rPr>
          <w:sz w:val="24"/>
          <w:szCs w:val="24"/>
        </w:rPr>
      </w:r>
      <w:r/>
    </w:p>
    <w:p>
      <w:pPr>
        <w:pStyle w:val="1070"/>
        <w:rPr>
          <w:sz w:val="24"/>
          <w:szCs w:val="24"/>
        </w:rPr>
      </w:pPr>
      <w:r>
        <w:t xml:space="preserve">▲</w:t>
      </w:r>
      <w:r>
        <w:rPr>
          <w:sz w:val="24"/>
          <w:szCs w:val="24"/>
        </w:rPr>
        <w:t xml:space="preserve">1.20 氢气纯度分析：量程：98</w:t>
      </w:r>
      <w:r>
        <w:rPr>
          <w:rFonts w:hint="eastAsia"/>
          <w:sz w:val="24"/>
          <w:szCs w:val="24"/>
        </w:rPr>
        <w:t xml:space="preserve">%</w:t>
      </w:r>
      <w:r>
        <w:rPr>
          <w:sz w:val="24"/>
          <w:szCs w:val="24"/>
        </w:rPr>
        <w:t xml:space="preserve">～100%；精度：±2%F.S；分辨率：0.001%；</w:t>
      </w:r>
      <w:r>
        <w:rPr>
          <w:sz w:val="24"/>
          <w:szCs w:val="24"/>
        </w:rPr>
      </w:r>
      <w:r/>
    </w:p>
    <w:p>
      <w:pPr>
        <w:pStyle w:val="1070"/>
        <w:ind w:firstLine="480"/>
        <w:rPr>
          <w:sz w:val="24"/>
          <w:szCs w:val="24"/>
        </w:rPr>
      </w:pPr>
      <w:r>
        <w:rPr>
          <w:sz w:val="24"/>
          <w:szCs w:val="24"/>
        </w:rPr>
        <w:t xml:space="preserve">1.21 氢气泄漏检测报警：测量范围：0%～100%LEL；分辨率：0.1%LEL;</w:t>
      </w:r>
      <w:r>
        <w:rPr>
          <w:rFonts w:hint="eastAsia"/>
          <w:sz w:val="24"/>
          <w:szCs w:val="24"/>
        </w:rPr>
        <w:t xml:space="preserve">精</w:t>
      </w:r>
      <w:r>
        <w:rPr>
          <w:sz w:val="24"/>
          <w:szCs w:val="24"/>
        </w:rPr>
        <w:t xml:space="preserve">度：±3%F.S；；</w:t>
      </w:r>
      <w:r>
        <w:rPr>
          <w:sz w:val="24"/>
          <w:szCs w:val="24"/>
        </w:rPr>
      </w:r>
      <w:r/>
    </w:p>
    <w:p>
      <w:pPr>
        <w:pStyle w:val="1070"/>
        <w:ind w:firstLine="480"/>
        <w:rPr>
          <w:sz w:val="24"/>
          <w:szCs w:val="24"/>
        </w:rPr>
      </w:pPr>
      <w:r>
        <w:rPr>
          <w:sz w:val="24"/>
          <w:szCs w:val="24"/>
        </w:rPr>
        <w:t xml:space="preserve">1.22 数据采集卡/模块：4端口多用途输入（电压、电流、热电偶）端口；32路通用电压输入端口；采集卡配套的正版开发软件；</w:t>
      </w:r>
      <w:r>
        <w:rPr>
          <w:sz w:val="24"/>
          <w:szCs w:val="24"/>
        </w:rPr>
      </w:r>
      <w:r/>
    </w:p>
    <w:p>
      <w:pPr>
        <w:pStyle w:val="1070"/>
        <w:ind w:firstLine="480"/>
        <w:rPr>
          <w:sz w:val="24"/>
          <w:szCs w:val="24"/>
        </w:rPr>
      </w:pPr>
      <w:r>
        <w:rPr>
          <w:sz w:val="24"/>
          <w:szCs w:val="24"/>
        </w:rPr>
        <w:t xml:space="preserve">1.23 氢能综合能源能效测量系统分析软件：支持氢能综合能源能效测量系统相关数据采集、能效碳效分析及能源利用效率计算（按标准公式），具备选择默认的碳折算因子和根据用户现场需求输入实际的碳折算因子进行计算的功能；</w:t>
      </w:r>
      <w:r>
        <w:rPr>
          <w:sz w:val="24"/>
          <w:szCs w:val="24"/>
        </w:rPr>
      </w:r>
      <w:r/>
    </w:p>
    <w:p>
      <w:pPr>
        <w:pStyle w:val="1070"/>
        <w:ind w:firstLine="480"/>
        <w:rPr>
          <w:sz w:val="24"/>
          <w:szCs w:val="24"/>
        </w:rPr>
      </w:pPr>
      <w:r>
        <w:rPr>
          <w:sz w:val="24"/>
          <w:szCs w:val="24"/>
        </w:rPr>
        <w:t xml:space="preserve">1.24 氢能综合能源能效测量系统其功能和测试指标应能够满足GB/T 26916-2011《小型氢能综合能源系统性能评价方法》以及相关引用标准项目开展的要求。</w:t>
      </w:r>
      <w:r>
        <w:rPr>
          <w:sz w:val="24"/>
          <w:szCs w:val="24"/>
        </w:rPr>
      </w:r>
      <w:r/>
    </w:p>
    <w:p>
      <w:pPr>
        <w:pStyle w:val="1055"/>
        <w:keepLines w:val="0"/>
        <w:spacing w:before="0" w:after="0"/>
        <w:widowControl/>
        <w:tabs>
          <w:tab w:val="left" w:pos="540" w:leader="none"/>
        </w:tabs>
        <w:rPr>
          <w:rFonts w:eastAsia="宋体"/>
          <w:sz w:val="24"/>
        </w:rPr>
      </w:pPr>
      <w:r>
        <w:rPr>
          <w:rFonts w:eastAsia="宋体"/>
          <w:sz w:val="24"/>
        </w:rPr>
        <w:t xml:space="preserve">2. 碳捕集能耗测量系统</w:t>
      </w:r>
      <w:r>
        <w:rPr>
          <w:rFonts w:eastAsia="宋体"/>
          <w:sz w:val="24"/>
        </w:rPr>
      </w:r>
      <w:r/>
    </w:p>
    <w:p>
      <w:pPr>
        <w:pStyle w:val="1070"/>
        <w:ind w:firstLine="480"/>
        <w:rPr>
          <w:sz w:val="24"/>
          <w:szCs w:val="24"/>
        </w:rPr>
      </w:pPr>
      <w:r>
        <w:rPr>
          <w:sz w:val="24"/>
          <w:szCs w:val="24"/>
        </w:rPr>
        <w:t xml:space="preserve">2.1 压力</w:t>
      </w:r>
      <w:r>
        <w:rPr>
          <w:rFonts w:hint="eastAsia"/>
          <w:sz w:val="24"/>
          <w:szCs w:val="24"/>
        </w:rPr>
        <w:t xml:space="preserve">测量</w:t>
      </w:r>
      <w:r>
        <w:rPr>
          <w:sz w:val="24"/>
          <w:szCs w:val="24"/>
        </w:rPr>
        <w:t xml:space="preserve">：-0.1MPa～10.0MPa，0.5级；</w:t>
      </w:r>
      <w:r>
        <w:rPr>
          <w:sz w:val="24"/>
          <w:szCs w:val="24"/>
        </w:rPr>
      </w:r>
      <w:r/>
    </w:p>
    <w:p>
      <w:pPr>
        <w:pStyle w:val="1070"/>
        <w:ind w:firstLine="480"/>
        <w:rPr>
          <w:sz w:val="24"/>
          <w:szCs w:val="24"/>
        </w:rPr>
      </w:pPr>
      <w:r>
        <w:rPr>
          <w:sz w:val="24"/>
          <w:szCs w:val="24"/>
        </w:rPr>
        <w:t xml:space="preserve">2.2 温度：±0.2℃ (0~150)℃；</w:t>
      </w:r>
      <w:r>
        <w:rPr>
          <w:sz w:val="24"/>
          <w:szCs w:val="24"/>
        </w:rPr>
      </w:r>
      <w:r/>
    </w:p>
    <w:p>
      <w:pPr>
        <w:pStyle w:val="1070"/>
        <w:ind w:firstLine="480"/>
        <w:rPr>
          <w:sz w:val="24"/>
          <w:szCs w:val="24"/>
        </w:rPr>
      </w:pPr>
      <w:r>
        <w:rPr>
          <w:sz w:val="24"/>
          <w:szCs w:val="24"/>
        </w:rPr>
        <w:t xml:space="preserve">2.3 环境大气压：±55Pa (60～120)kPa.a；</w:t>
      </w:r>
      <w:r>
        <w:rPr>
          <w:sz w:val="24"/>
          <w:szCs w:val="24"/>
        </w:rPr>
      </w:r>
      <w:r/>
    </w:p>
    <w:p>
      <w:pPr>
        <w:pStyle w:val="1070"/>
        <w:ind w:firstLine="480"/>
        <w:rPr>
          <w:sz w:val="24"/>
          <w:szCs w:val="24"/>
        </w:rPr>
      </w:pPr>
      <w:r>
        <w:rPr>
          <w:sz w:val="24"/>
          <w:szCs w:val="24"/>
        </w:rPr>
        <w:t xml:space="preserve">2.4 液体流量测量方式：便携式；超声波；   </w:t>
      </w:r>
      <w:r>
        <w:rPr>
          <w:sz w:val="24"/>
          <w:szCs w:val="24"/>
        </w:rPr>
      </w:r>
      <w:r/>
    </w:p>
    <w:p>
      <w:pPr>
        <w:pStyle w:val="1070"/>
        <w:ind w:firstLine="480"/>
        <w:rPr>
          <w:sz w:val="24"/>
          <w:szCs w:val="24"/>
        </w:rPr>
      </w:pPr>
      <w:r>
        <w:rPr>
          <w:sz w:val="24"/>
          <w:szCs w:val="24"/>
        </w:rPr>
        <w:t xml:space="preserve">2.5 液体流量：管径：DN100～DN300；测量准确度：读数的±1%；</w:t>
      </w:r>
      <w:r>
        <w:rPr>
          <w:sz w:val="24"/>
          <w:szCs w:val="24"/>
        </w:rPr>
      </w:r>
      <w:r/>
    </w:p>
    <w:p>
      <w:pPr>
        <w:pStyle w:val="1070"/>
        <w:ind w:firstLine="480"/>
        <w:rPr>
          <w:sz w:val="24"/>
          <w:szCs w:val="24"/>
        </w:rPr>
      </w:pPr>
      <w:r>
        <w:rPr>
          <w:sz w:val="24"/>
          <w:szCs w:val="24"/>
        </w:rPr>
        <w:t xml:space="preserve">2.6 液体流量计具有数据远传接口；</w:t>
      </w:r>
      <w:r>
        <w:rPr>
          <w:sz w:val="24"/>
          <w:szCs w:val="24"/>
        </w:rPr>
      </w:r>
      <w:r/>
    </w:p>
    <w:p>
      <w:pPr>
        <w:pStyle w:val="1070"/>
        <w:rPr>
          <w:sz w:val="24"/>
          <w:szCs w:val="24"/>
        </w:rPr>
      </w:pPr>
      <w:r>
        <w:t xml:space="preserve">▲</w:t>
      </w:r>
      <w:r>
        <w:rPr>
          <w:sz w:val="24"/>
          <w:szCs w:val="24"/>
        </w:rPr>
        <w:t xml:space="preserve">2.7 蒸汽流量测量方式：便携式；超声波；</w:t>
      </w:r>
      <w:r>
        <w:rPr>
          <w:sz w:val="24"/>
          <w:szCs w:val="24"/>
        </w:rPr>
      </w:r>
      <w:r/>
    </w:p>
    <w:p>
      <w:pPr>
        <w:pStyle w:val="1070"/>
        <w:ind w:firstLine="480"/>
        <w:rPr>
          <w:sz w:val="24"/>
          <w:szCs w:val="24"/>
        </w:rPr>
      </w:pPr>
      <w:r>
        <w:rPr>
          <w:sz w:val="24"/>
          <w:szCs w:val="24"/>
        </w:rPr>
        <w:t xml:space="preserve">2.8 蒸汽流量：管径：DN100～DN300；测量准确度：读数的±3%；</w:t>
      </w:r>
      <w:r>
        <w:rPr>
          <w:sz w:val="24"/>
          <w:szCs w:val="24"/>
        </w:rPr>
      </w:r>
      <w:r/>
    </w:p>
    <w:p>
      <w:pPr>
        <w:pStyle w:val="1070"/>
        <w:ind w:firstLine="480"/>
        <w:rPr>
          <w:sz w:val="24"/>
          <w:szCs w:val="24"/>
        </w:rPr>
      </w:pPr>
      <w:r>
        <w:rPr>
          <w:sz w:val="24"/>
          <w:szCs w:val="24"/>
        </w:rPr>
        <w:t xml:space="preserve">2.9 蒸汽流量计具有数据远传接口；</w:t>
      </w:r>
      <w:r>
        <w:rPr>
          <w:sz w:val="24"/>
          <w:szCs w:val="24"/>
        </w:rPr>
      </w:r>
      <w:r/>
    </w:p>
    <w:p>
      <w:pPr>
        <w:pStyle w:val="1070"/>
        <w:rPr>
          <w:sz w:val="24"/>
          <w:szCs w:val="24"/>
        </w:rPr>
      </w:pPr>
      <w:r>
        <w:rPr>
          <w:sz w:val="24"/>
          <w:szCs w:val="24"/>
        </w:rPr>
        <w:t xml:space="preserve">2.10 烟气差压：量程：-200 ~ +200 hPa；精度：±0.5 hPa (-49.9 ~ +49.9 hPa)；±1.5 %测量值 (其余量程)；                   </w:t>
      </w:r>
      <w:r>
        <w:rPr>
          <w:sz w:val="24"/>
          <w:szCs w:val="24"/>
        </w:rPr>
      </w:r>
      <w:r/>
    </w:p>
    <w:p>
      <w:pPr>
        <w:pStyle w:val="1070"/>
        <w:ind w:firstLine="480"/>
        <w:rPr>
          <w:sz w:val="24"/>
          <w:szCs w:val="24"/>
        </w:rPr>
      </w:pPr>
      <w:r>
        <w:rPr>
          <w:sz w:val="24"/>
          <w:szCs w:val="24"/>
        </w:rPr>
        <w:t xml:space="preserve">2.11 烟气温度：±1 ℃ (0 ~ +500 ℃) ； </w:t>
      </w:r>
      <w:r>
        <w:rPr>
          <w:sz w:val="24"/>
          <w:szCs w:val="24"/>
        </w:rPr>
      </w:r>
      <w:r/>
    </w:p>
    <w:p>
      <w:pPr>
        <w:pStyle w:val="1070"/>
        <w:rPr>
          <w:sz w:val="24"/>
          <w:szCs w:val="24"/>
        </w:rPr>
      </w:pPr>
      <w:r>
        <w:t xml:space="preserve">▲</w:t>
      </w:r>
      <w:r>
        <w:rPr>
          <w:rFonts w:hint="eastAsia"/>
          <w:sz w:val="24"/>
          <w:szCs w:val="24"/>
        </w:rPr>
        <w:t xml:space="preserve">2.12 烟气分析：</w:t>
      </w:r>
      <w:r>
        <w:rPr>
          <w:sz w:val="24"/>
          <w:szCs w:val="24"/>
        </w:rPr>
      </w:r>
      <w:r/>
    </w:p>
    <w:p>
      <w:pPr>
        <w:pStyle w:val="1070"/>
        <w:ind w:firstLine="480"/>
        <w:jc w:val="left"/>
        <w:rPr>
          <w:sz w:val="24"/>
          <w:szCs w:val="24"/>
        </w:rPr>
      </w:pPr>
      <w:r>
        <w:rPr>
          <w:sz w:val="24"/>
          <w:szCs w:val="24"/>
        </w:rPr>
        <w:t xml:space="preserve">O</w:t>
      </w:r>
      <w:r>
        <w:rPr>
          <w:sz w:val="24"/>
          <w:szCs w:val="24"/>
          <w:vertAlign w:val="subscript"/>
        </w:rPr>
        <w:t xml:space="preserve">2</w:t>
      </w:r>
      <w:r>
        <w:rPr>
          <w:sz w:val="24"/>
          <w:szCs w:val="24"/>
        </w:rPr>
        <w:t xml:space="preserve">测量：量程：0 ~ +25 Vol%；精度：±0.2 Vol%； CO测量：量程：0 ~ +10,000 ppm；精度：±10 ppm (0 ~ +199 ppm)；±5%测量值 (其余量程)；NO测量：量程：0 ~ +4,000 ppm；精度：±5 ppm (0 ~ +99 ppm)；±5%测量值 (其余量程)；NO</w:t>
      </w:r>
      <w:r>
        <w:rPr>
          <w:sz w:val="24"/>
          <w:szCs w:val="24"/>
          <w:vertAlign w:val="subscript"/>
        </w:rPr>
        <w:t xml:space="preserve">2</w:t>
      </w:r>
      <w:r>
        <w:rPr>
          <w:sz w:val="24"/>
          <w:szCs w:val="24"/>
        </w:rPr>
        <w:t xml:space="preserve">测量：量程：0 ~ +500 ppm；精度：±5%测量值 (+100 ~ +500 ppm)；±5 ppm (0 ~ +9.99 ppm)；SO</w:t>
      </w:r>
      <w:r>
        <w:rPr>
          <w:sz w:val="24"/>
          <w:szCs w:val="24"/>
          <w:vertAlign w:val="subscript"/>
        </w:rPr>
        <w:t xml:space="preserve">2</w:t>
      </w:r>
      <w:r>
        <w:rPr>
          <w:sz w:val="24"/>
          <w:szCs w:val="24"/>
        </w:rPr>
        <w:t xml:space="preserve">测量：量程：0 ~ +5,000 ppm；精度：±5 ppm (0 ~ +99 ppm)；±5%测量值 (其余量程)；CO</w:t>
      </w:r>
      <w:r>
        <w:rPr>
          <w:sz w:val="24"/>
          <w:szCs w:val="24"/>
          <w:vertAlign w:val="subscript"/>
        </w:rPr>
        <w:t xml:space="preserve">2</w:t>
      </w:r>
      <w:r>
        <w:rPr>
          <w:sz w:val="24"/>
          <w:szCs w:val="24"/>
        </w:rPr>
        <w:t xml:space="preserve">测量：量程：0 ~ +50 Vol%；精度：±0.3 Vol% + 1%测量值(0 ~ 25 Vol%)；±0.5 Vol% + 1.5%测量值（&gt;25 ~ 50 Vol%) ；                                                                                        </w:t>
      </w:r>
      <w:r>
        <w:rPr>
          <w:sz w:val="24"/>
          <w:szCs w:val="24"/>
        </w:rPr>
      </w:r>
      <w:r/>
    </w:p>
    <w:p>
      <w:pPr>
        <w:pStyle w:val="1070"/>
        <w:ind w:firstLine="480"/>
        <w:rPr>
          <w:rFonts w:ascii="Arial" w:hAnsi="Arial" w:eastAsia="仿宋_GB2312" w:cs="Arial"/>
          <w:b/>
          <w:bCs/>
          <w:color w:val="c00000"/>
          <w:sz w:val="24"/>
        </w:rPr>
      </w:pPr>
      <w:r>
        <w:rPr>
          <w:rFonts w:hint="eastAsia"/>
          <w:sz w:val="24"/>
          <w:szCs w:val="24"/>
        </w:rPr>
        <w:t xml:space="preserve">★</w:t>
      </w:r>
      <w:r>
        <w:rPr>
          <w:sz w:val="24"/>
          <w:szCs w:val="24"/>
        </w:rPr>
        <w:t xml:space="preserve">2.13 烟气流速：量程：0~+40 m/s；</w:t>
      </w:r>
      <w:r>
        <w:rPr>
          <w:rFonts w:hint="eastAsia"/>
          <w:sz w:val="24"/>
          <w:szCs w:val="24"/>
        </w:rPr>
        <w:t xml:space="preserve">分辨率</w:t>
      </w:r>
      <w:r>
        <w:rPr>
          <w:sz w:val="24"/>
          <w:szCs w:val="24"/>
        </w:rPr>
        <w:t xml:space="preserve">：0.1 m/s；</w:t>
      </w:r>
      <w:r>
        <w:rPr>
          <w:rFonts w:hint="eastAsia" w:ascii="Arial" w:hAnsi="Arial" w:eastAsia="仿宋_GB2312" w:cs="Arial"/>
          <w:b/>
          <w:bCs/>
          <w:color w:val="c00000"/>
          <w:sz w:val="24"/>
        </w:rPr>
        <w:t xml:space="preserve"> </w:t>
      </w:r>
      <w:r>
        <w:rPr>
          <w:rFonts w:hint="eastAsia" w:ascii="Arial" w:hAnsi="Arial" w:eastAsia="仿宋_GB2312" w:cs="Arial"/>
          <w:b/>
          <w:bCs/>
          <w:color w:val="c00000"/>
          <w:sz w:val="24"/>
          <w:lang w:eastAsia="zh-CN"/>
        </w:rPr>
        <w:t xml:space="preserve">（</w:t>
      </w:r>
      <w:r>
        <w:rPr>
          <w:rFonts w:hint="eastAsia" w:ascii="Arial" w:hAnsi="Arial" w:eastAsia="仿宋_GB2312" w:cs="Arial"/>
          <w:b/>
          <w:bCs/>
          <w:color w:val="c00000"/>
          <w:sz w:val="24"/>
          <w:lang w:val="en-US" w:eastAsia="zh-CN"/>
        </w:rPr>
        <w:t xml:space="preserve">投标文件中提供</w:t>
      </w:r>
      <w:r>
        <w:rPr>
          <w:rFonts w:hint="eastAsia" w:ascii="Arial" w:hAnsi="Arial" w:eastAsia="仿宋_GB2312" w:cs="Arial"/>
          <w:b/>
          <w:bCs/>
          <w:color w:val="c00000"/>
          <w:sz w:val="24"/>
          <w:lang w:eastAsia="zh-CN"/>
        </w:rPr>
        <w:t xml:space="preserve">公开发行的手册、彩页、官网截图、功能页面截图、检测报告或白皮书等证明材料）</w:t>
      </w:r>
      <w:r>
        <w:rPr>
          <w:rFonts w:ascii="Arial" w:hAnsi="Arial" w:eastAsia="仿宋_GB2312" w:cs="Arial"/>
          <w:b/>
          <w:bCs/>
          <w:color w:val="c00000"/>
          <w:sz w:val="24"/>
        </w:rPr>
      </w:r>
      <w:r/>
    </w:p>
    <w:p>
      <w:pPr>
        <w:pStyle w:val="1070"/>
        <w:ind w:firstLine="480"/>
        <w:rPr>
          <w:sz w:val="24"/>
          <w:szCs w:val="24"/>
        </w:rPr>
      </w:pPr>
      <w:r>
        <w:rPr>
          <w:sz w:val="24"/>
          <w:szCs w:val="24"/>
        </w:rPr>
        <w:t xml:space="preserve">2.14 烟气分析设备具有数据远传接口；</w:t>
      </w:r>
      <w:r>
        <w:rPr>
          <w:sz w:val="24"/>
          <w:szCs w:val="24"/>
        </w:rPr>
      </w:r>
      <w:r/>
    </w:p>
    <w:p>
      <w:pPr>
        <w:pStyle w:val="1070"/>
        <w:ind w:firstLine="480"/>
        <w:rPr>
          <w:sz w:val="24"/>
          <w:szCs w:val="24"/>
        </w:rPr>
      </w:pPr>
      <w:r>
        <w:rPr>
          <w:sz w:val="24"/>
          <w:szCs w:val="24"/>
        </w:rPr>
        <w:t xml:space="preserve">2.15 电压</w:t>
      </w:r>
      <w:r>
        <w:rPr>
          <w:rFonts w:hint="eastAsia"/>
          <w:sz w:val="24"/>
          <w:szCs w:val="24"/>
        </w:rPr>
        <w:t xml:space="preserve">（交流10Hz至1kHz</w:t>
      </w:r>
      <w:r>
        <w:rPr>
          <w:sz w:val="24"/>
          <w:szCs w:val="24"/>
        </w:rPr>
        <w:t xml:space="preserve">）：4通道；10V：0.1%读数+ 0.2%量程；100V：0.1%读数+ 0.1%量程；1000V：0.1%读数+ 0.1%量程；</w:t>
      </w:r>
      <w:r>
        <w:rPr>
          <w:sz w:val="24"/>
          <w:szCs w:val="24"/>
        </w:rPr>
      </w:r>
      <w:r/>
    </w:p>
    <w:p>
      <w:pPr>
        <w:pStyle w:val="1070"/>
        <w:ind w:firstLine="480"/>
        <w:rPr>
          <w:sz w:val="24"/>
          <w:szCs w:val="24"/>
        </w:rPr>
      </w:pPr>
      <w:r>
        <w:rPr>
          <w:sz w:val="24"/>
          <w:szCs w:val="24"/>
        </w:rPr>
        <w:t xml:space="preserve">2.16 电流</w:t>
      </w:r>
      <w:r>
        <w:rPr>
          <w:rFonts w:hint="eastAsia"/>
          <w:sz w:val="24"/>
          <w:szCs w:val="24"/>
        </w:rPr>
        <w:t xml:space="preserve">（交流10Hz至1kHz</w:t>
      </w:r>
      <w:r>
        <w:rPr>
          <w:sz w:val="24"/>
          <w:szCs w:val="24"/>
        </w:rPr>
        <w:t xml:space="preserve">）：4通道；1A：0.1%读数+ 0.2%量程；10A：0.1%读数+ 0.1%量程；</w:t>
      </w:r>
      <w:r>
        <w:rPr>
          <w:sz w:val="24"/>
          <w:szCs w:val="24"/>
        </w:rPr>
      </w:r>
      <w:r/>
    </w:p>
    <w:p>
      <w:pPr>
        <w:pStyle w:val="1070"/>
        <w:ind w:firstLine="480"/>
        <w:rPr>
          <w:sz w:val="24"/>
          <w:szCs w:val="24"/>
        </w:rPr>
      </w:pPr>
      <w:r>
        <w:rPr>
          <w:sz w:val="24"/>
          <w:szCs w:val="24"/>
        </w:rPr>
        <w:t xml:space="preserve">2.</w:t>
      </w:r>
      <w:r>
        <w:rPr>
          <w:rFonts w:hint="eastAsia"/>
          <w:sz w:val="24"/>
          <w:szCs w:val="24"/>
        </w:rPr>
        <w:t xml:space="preserve">17</w:t>
      </w:r>
      <w:r>
        <w:rPr>
          <w:sz w:val="24"/>
          <w:szCs w:val="24"/>
        </w:rPr>
        <w:t xml:space="preserve"> </w:t>
      </w:r>
      <w:r>
        <w:rPr>
          <w:rFonts w:hint="eastAsia"/>
          <w:sz w:val="24"/>
          <w:szCs w:val="24"/>
        </w:rPr>
        <w:t xml:space="preserve">有功</w:t>
      </w:r>
      <w:r>
        <w:rPr>
          <w:sz w:val="24"/>
          <w:szCs w:val="24"/>
        </w:rPr>
        <w:t xml:space="preserve">功率</w:t>
      </w:r>
      <w:r>
        <w:rPr>
          <w:rFonts w:hint="eastAsia"/>
          <w:sz w:val="24"/>
          <w:szCs w:val="24"/>
        </w:rPr>
        <w:t xml:space="preserve">（交流10Hz至1kHz</w:t>
      </w:r>
      <w:r>
        <w:rPr>
          <w:sz w:val="24"/>
          <w:szCs w:val="24"/>
        </w:rPr>
        <w:t xml:space="preserve">）：0.2%读数+ 0.01%功率量程；  </w:t>
      </w:r>
      <w:r>
        <w:rPr>
          <w:sz w:val="24"/>
          <w:szCs w:val="24"/>
        </w:rPr>
      </w:r>
      <w:r/>
    </w:p>
    <w:p>
      <w:pPr>
        <w:pStyle w:val="1070"/>
        <w:ind w:firstLine="480"/>
        <w:rPr>
          <w:sz w:val="24"/>
          <w:szCs w:val="24"/>
        </w:rPr>
      </w:pPr>
      <w:r>
        <w:rPr>
          <w:sz w:val="24"/>
          <w:szCs w:val="24"/>
        </w:rPr>
        <w:t xml:space="preserve">2.</w:t>
      </w:r>
      <w:r>
        <w:rPr>
          <w:rFonts w:hint="eastAsia"/>
          <w:sz w:val="24"/>
          <w:szCs w:val="24"/>
        </w:rPr>
        <w:t xml:space="preserve">18</w:t>
      </w:r>
      <w:r>
        <w:rPr>
          <w:sz w:val="24"/>
          <w:szCs w:val="24"/>
        </w:rPr>
        <w:t xml:space="preserve"> 电压、电流</w:t>
      </w:r>
      <w:r>
        <w:rPr>
          <w:rFonts w:hint="eastAsia"/>
          <w:sz w:val="24"/>
          <w:szCs w:val="24"/>
        </w:rPr>
        <w:t xml:space="preserve">、</w:t>
      </w:r>
      <w:r>
        <w:rPr>
          <w:sz w:val="24"/>
          <w:szCs w:val="24"/>
        </w:rPr>
        <w:t xml:space="preserve">功率测量设备具有数据远传接口； </w:t>
      </w:r>
      <w:r>
        <w:rPr>
          <w:sz w:val="24"/>
          <w:szCs w:val="24"/>
        </w:rPr>
      </w:r>
      <w:r/>
    </w:p>
    <w:p>
      <w:pPr>
        <w:pStyle w:val="1070"/>
        <w:ind w:firstLine="480"/>
        <w:rPr>
          <w:sz w:val="24"/>
          <w:szCs w:val="24"/>
        </w:rPr>
      </w:pPr>
      <w:r>
        <w:rPr>
          <w:sz w:val="24"/>
          <w:szCs w:val="24"/>
        </w:rPr>
        <w:t xml:space="preserve">2.19 碳捕捉能耗测量系统分析软件：支持碳捕集能耗测量系统设备现场测试数据记录与能效碳效分析；支持测试报告的自动生成与导出；具备选择默认的碳折算因子和根据用户现场需求输入实际的碳折算因子进行计算的功能；</w:t>
      </w:r>
      <w:r>
        <w:rPr>
          <w:sz w:val="24"/>
          <w:szCs w:val="24"/>
        </w:rPr>
      </w:r>
      <w:r/>
    </w:p>
    <w:p>
      <w:pPr>
        <w:pStyle w:val="1070"/>
        <w:ind w:firstLine="480"/>
        <w:rPr>
          <w:sz w:val="24"/>
          <w:szCs w:val="24"/>
        </w:rPr>
      </w:pPr>
      <w:r>
        <w:rPr>
          <w:sz w:val="24"/>
          <w:szCs w:val="24"/>
        </w:rPr>
        <w:t xml:space="preserve">2.20 碳捕集能耗测量系统其功能和测试指标应能够满足GB/T 45121-2024《火力发电厂烟气二氧化碳捕集系统能耗测定技术规范》项目开展的要求。</w:t>
      </w:r>
      <w:r>
        <w:rPr>
          <w:sz w:val="24"/>
          <w:szCs w:val="24"/>
        </w:rPr>
      </w:r>
      <w:r/>
    </w:p>
    <w:p>
      <w:pPr>
        <w:pStyle w:val="1055"/>
        <w:keepLines w:val="0"/>
        <w:spacing w:before="0" w:after="0"/>
        <w:widowControl/>
        <w:tabs>
          <w:tab w:val="left" w:pos="540" w:leader="none"/>
        </w:tabs>
        <w:rPr>
          <w:rFonts w:eastAsia="宋体"/>
          <w:sz w:val="24"/>
        </w:rPr>
      </w:pPr>
      <w:r>
        <w:rPr>
          <w:rFonts w:eastAsia="宋体"/>
          <w:sz w:val="24"/>
        </w:rPr>
        <w:t xml:space="preserve">3. 电机系统能效碳效测试分析仪</w:t>
      </w:r>
      <w:r>
        <w:rPr>
          <w:rFonts w:eastAsia="宋体"/>
          <w:sz w:val="24"/>
        </w:rPr>
      </w:r>
      <w:r/>
    </w:p>
    <w:p>
      <w:pPr>
        <w:pStyle w:val="1070"/>
        <w:ind w:firstLine="480"/>
        <w:rPr>
          <w:sz w:val="24"/>
          <w:szCs w:val="24"/>
        </w:rPr>
      </w:pPr>
      <w:r>
        <w:rPr>
          <w:sz w:val="24"/>
          <w:szCs w:val="24"/>
        </w:rPr>
        <w:t xml:space="preserve">3.1 电压</w:t>
      </w:r>
      <w:r>
        <w:rPr>
          <w:rFonts w:hint="eastAsia"/>
          <w:sz w:val="24"/>
          <w:szCs w:val="24"/>
        </w:rPr>
        <w:t xml:space="preserve">（交流10Hz至1kHz</w:t>
      </w:r>
      <w:r>
        <w:rPr>
          <w:sz w:val="24"/>
          <w:szCs w:val="24"/>
        </w:rPr>
        <w:t xml:space="preserve">）：4通道；10V：0.1%读数+ 0.2%量程；100V：0.1%读数+ 0.1%量程；1000V：0.1%读数+ 0.1%量程；</w:t>
      </w:r>
      <w:r>
        <w:rPr>
          <w:sz w:val="24"/>
          <w:szCs w:val="24"/>
        </w:rPr>
      </w:r>
      <w:r/>
    </w:p>
    <w:p>
      <w:pPr>
        <w:pStyle w:val="1070"/>
        <w:ind w:firstLine="480"/>
        <w:rPr>
          <w:sz w:val="24"/>
          <w:szCs w:val="24"/>
        </w:rPr>
      </w:pPr>
      <w:r>
        <w:rPr>
          <w:sz w:val="24"/>
          <w:szCs w:val="24"/>
        </w:rPr>
        <w:t xml:space="preserve">3.2 电流</w:t>
      </w:r>
      <w:r>
        <w:rPr>
          <w:rFonts w:hint="eastAsia"/>
          <w:sz w:val="24"/>
          <w:szCs w:val="24"/>
        </w:rPr>
        <w:t xml:space="preserve">（交流10Hz至1kHz</w:t>
      </w:r>
      <w:r>
        <w:rPr>
          <w:sz w:val="24"/>
          <w:szCs w:val="24"/>
        </w:rPr>
        <w:t xml:space="preserve">）：4通道；1A：0.1%读数+ 0.2%量程；10A：0.1%读数+ 0.1%量程； </w:t>
      </w:r>
      <w:r>
        <w:rPr>
          <w:sz w:val="24"/>
          <w:szCs w:val="24"/>
        </w:rPr>
      </w:r>
      <w:r/>
    </w:p>
    <w:p>
      <w:pPr>
        <w:pStyle w:val="1070"/>
        <w:ind w:firstLine="480"/>
        <w:rPr>
          <w:sz w:val="24"/>
          <w:szCs w:val="24"/>
        </w:rPr>
      </w:pPr>
      <w:r>
        <w:rPr>
          <w:sz w:val="24"/>
          <w:szCs w:val="24"/>
        </w:rPr>
        <w:t xml:space="preserve">3.3 </w:t>
      </w:r>
      <w:r>
        <w:rPr>
          <w:rFonts w:hint="eastAsia"/>
          <w:sz w:val="24"/>
          <w:szCs w:val="24"/>
        </w:rPr>
        <w:t xml:space="preserve">有功</w:t>
      </w:r>
      <w:r>
        <w:rPr>
          <w:sz w:val="24"/>
          <w:szCs w:val="24"/>
        </w:rPr>
        <w:t xml:space="preserve">功率</w:t>
      </w:r>
      <w:r>
        <w:rPr>
          <w:rFonts w:hint="eastAsia"/>
          <w:sz w:val="24"/>
          <w:szCs w:val="24"/>
        </w:rPr>
        <w:t xml:space="preserve">（交流10Hz至1kHz</w:t>
      </w:r>
      <w:r>
        <w:rPr>
          <w:sz w:val="24"/>
          <w:szCs w:val="24"/>
        </w:rPr>
        <w:t xml:space="preserve">）：0.2%读数+ 0.01%功率量程；</w:t>
      </w:r>
      <w:r>
        <w:rPr>
          <w:sz w:val="24"/>
          <w:szCs w:val="24"/>
        </w:rPr>
      </w:r>
      <w:r/>
    </w:p>
    <w:p>
      <w:pPr>
        <w:pStyle w:val="1070"/>
        <w:ind w:firstLine="480"/>
        <w:rPr>
          <w:sz w:val="24"/>
          <w:szCs w:val="24"/>
        </w:rPr>
      </w:pPr>
      <w:r>
        <w:rPr>
          <w:sz w:val="24"/>
          <w:szCs w:val="24"/>
        </w:rPr>
        <w:t xml:space="preserve">3.4 电压、电流、功率测量设备具有数据远传接口；</w:t>
      </w:r>
      <w:r>
        <w:rPr>
          <w:sz w:val="24"/>
          <w:szCs w:val="24"/>
        </w:rPr>
      </w:r>
      <w:r/>
    </w:p>
    <w:p>
      <w:pPr>
        <w:pStyle w:val="1070"/>
        <w:rPr>
          <w:sz w:val="24"/>
          <w:szCs w:val="24"/>
        </w:rPr>
      </w:pPr>
      <w:r>
        <w:t xml:space="preserve">▲</w:t>
      </w:r>
      <w:r>
        <w:rPr>
          <w:rFonts w:hint="eastAsia"/>
          <w:sz w:val="24"/>
          <w:szCs w:val="24"/>
        </w:rPr>
        <w:t xml:space="preserve">3</w:t>
      </w:r>
      <w:r>
        <w:rPr>
          <w:sz w:val="24"/>
          <w:szCs w:val="24"/>
        </w:rPr>
        <w:t xml:space="preserve">.5 </w:t>
      </w:r>
      <w:r>
        <w:rPr>
          <w:rFonts w:hint="eastAsia"/>
          <w:sz w:val="24"/>
          <w:szCs w:val="24"/>
        </w:rPr>
        <w:t xml:space="preserve">电压、电流、功率测</w:t>
      </w:r>
      <w:r>
        <w:rPr>
          <w:sz w:val="24"/>
          <w:szCs w:val="24"/>
        </w:rPr>
        <w:t xml:space="preserve">量</w:t>
      </w:r>
      <w:r>
        <w:rPr>
          <w:rFonts w:hint="eastAsia"/>
          <w:sz w:val="24"/>
          <w:szCs w:val="24"/>
        </w:rPr>
        <w:t xml:space="preserve">设备支持双机同步模式，可扩展至8通道；</w:t>
      </w:r>
      <w:r>
        <w:rPr>
          <w:sz w:val="24"/>
          <w:szCs w:val="24"/>
        </w:rPr>
      </w:r>
      <w:r/>
    </w:p>
    <w:p>
      <w:pPr>
        <w:pStyle w:val="1070"/>
        <w:rPr>
          <w:sz w:val="24"/>
          <w:szCs w:val="24"/>
        </w:rPr>
      </w:pPr>
      <w:r>
        <w:t xml:space="preserve">▲</w:t>
      </w:r>
      <w:r>
        <w:rPr>
          <w:sz w:val="24"/>
          <w:szCs w:val="24"/>
        </w:rPr>
        <w:t xml:space="preserve">3.6 </w:t>
      </w:r>
      <w:r>
        <w:rPr>
          <w:rFonts w:hint="eastAsia"/>
          <w:sz w:val="24"/>
          <w:szCs w:val="24"/>
        </w:rPr>
        <w:t xml:space="preserve">具备电机转速和扭矩测量、机械功率和机械能测量功能；</w:t>
      </w:r>
      <w:r>
        <w:rPr>
          <w:sz w:val="24"/>
          <w:szCs w:val="24"/>
        </w:rPr>
      </w:r>
      <w:r/>
    </w:p>
    <w:p>
      <w:pPr>
        <w:pStyle w:val="1070"/>
        <w:ind w:firstLine="480"/>
        <w:rPr>
          <w:sz w:val="24"/>
          <w:szCs w:val="24"/>
        </w:rPr>
      </w:pPr>
      <w:r>
        <w:rPr>
          <w:sz w:val="24"/>
          <w:szCs w:val="24"/>
        </w:rPr>
        <w:t xml:space="preserve">3.7 电机系统能效碳效分析软件：支持电机系统现场测试数据记录与能效碳效分析；支持测试报告的自动生成与导出；具备选择默认的碳折算因子和根据用户现场需求输入实际的碳折算因子进行计算的功能；</w:t>
      </w:r>
      <w:r>
        <w:rPr>
          <w:sz w:val="24"/>
          <w:szCs w:val="24"/>
        </w:rPr>
      </w:r>
      <w:r/>
    </w:p>
    <w:p>
      <w:pPr>
        <w:pStyle w:val="1070"/>
        <w:ind w:firstLine="480"/>
        <w:rPr>
          <w:sz w:val="24"/>
          <w:szCs w:val="24"/>
        </w:rPr>
      </w:pPr>
      <w:r>
        <w:rPr>
          <w:sz w:val="24"/>
          <w:szCs w:val="24"/>
        </w:rPr>
        <w:t xml:space="preserve">3.8电机系统能效碳效测试分析仪其功能和测试指标应能够满足GB/T 41013-2021《电机系统能效评价》、GB/T 34867.1-2017《电动机系统节能量测量和验证方法第1部分：电动机现场能效测试方法》项目开展的要求。</w:t>
      </w:r>
      <w:r>
        <w:rPr>
          <w:sz w:val="24"/>
          <w:szCs w:val="24"/>
        </w:rPr>
      </w:r>
      <w:r/>
    </w:p>
    <w:p>
      <w:pPr>
        <w:pStyle w:val="1055"/>
        <w:keepLines w:val="0"/>
        <w:spacing w:before="0" w:after="0"/>
        <w:widowControl/>
        <w:tabs>
          <w:tab w:val="left" w:pos="540" w:leader="none"/>
        </w:tabs>
        <w:rPr>
          <w:rFonts w:eastAsia="宋体"/>
          <w:sz w:val="24"/>
        </w:rPr>
      </w:pPr>
      <w:r>
        <w:rPr>
          <w:rFonts w:eastAsia="宋体"/>
          <w:sz w:val="24"/>
        </w:rPr>
        <w:t xml:space="preserve">4. 变频系统能效碳效测试分析仪</w:t>
      </w:r>
      <w:r>
        <w:rPr>
          <w:rFonts w:eastAsia="宋体"/>
          <w:sz w:val="24"/>
        </w:rPr>
      </w:r>
      <w:r/>
    </w:p>
    <w:p>
      <w:pPr>
        <w:pStyle w:val="1070"/>
        <w:ind w:firstLine="480"/>
        <w:rPr>
          <w:sz w:val="24"/>
          <w:szCs w:val="24"/>
        </w:rPr>
      </w:pPr>
      <w:r>
        <w:rPr>
          <w:sz w:val="24"/>
          <w:szCs w:val="24"/>
        </w:rPr>
        <w:t xml:space="preserve">4.1 电压</w:t>
      </w:r>
      <w:r>
        <w:rPr>
          <w:rFonts w:hint="eastAsia"/>
          <w:sz w:val="24"/>
          <w:szCs w:val="24"/>
        </w:rPr>
        <w:t xml:space="preserve">（交流10Hz至1kHz</w:t>
      </w:r>
      <w:r>
        <w:rPr>
          <w:sz w:val="24"/>
          <w:szCs w:val="24"/>
        </w:rPr>
        <w:t xml:space="preserve">）：4通道；100V：0.1%读数+ 0.1%量程；1000V：0.1%读数+ 0.1%量程；</w:t>
      </w:r>
      <w:r>
        <w:rPr>
          <w:sz w:val="24"/>
          <w:szCs w:val="24"/>
        </w:rPr>
      </w:r>
      <w:r/>
    </w:p>
    <w:p>
      <w:pPr>
        <w:pStyle w:val="1070"/>
        <w:ind w:firstLine="480"/>
        <w:rPr>
          <w:sz w:val="24"/>
          <w:szCs w:val="24"/>
        </w:rPr>
      </w:pPr>
      <w:r>
        <w:rPr>
          <w:sz w:val="24"/>
          <w:szCs w:val="24"/>
        </w:rPr>
        <w:t xml:space="preserve">4.2 电流</w:t>
      </w:r>
      <w:r>
        <w:rPr>
          <w:rFonts w:hint="eastAsia"/>
          <w:sz w:val="24"/>
          <w:szCs w:val="24"/>
        </w:rPr>
        <w:t xml:space="preserve">（交流10Hz至1kHz</w:t>
      </w:r>
      <w:r>
        <w:rPr>
          <w:sz w:val="24"/>
          <w:szCs w:val="24"/>
        </w:rPr>
        <w:t xml:space="preserve">）：4通道；10A：0.1%读数+ 0.1%量程； </w:t>
      </w:r>
      <w:r>
        <w:rPr>
          <w:sz w:val="24"/>
          <w:szCs w:val="24"/>
        </w:rPr>
      </w:r>
      <w:r/>
    </w:p>
    <w:p>
      <w:pPr>
        <w:pStyle w:val="1070"/>
        <w:ind w:firstLine="480"/>
        <w:rPr>
          <w:sz w:val="24"/>
          <w:szCs w:val="24"/>
        </w:rPr>
      </w:pPr>
      <w:r>
        <w:rPr>
          <w:sz w:val="24"/>
          <w:szCs w:val="24"/>
        </w:rPr>
        <w:t xml:space="preserve">4.3 </w:t>
      </w:r>
      <w:r>
        <w:rPr>
          <w:rFonts w:hint="eastAsia"/>
          <w:sz w:val="24"/>
          <w:szCs w:val="24"/>
        </w:rPr>
        <w:t xml:space="preserve">有功</w:t>
      </w:r>
      <w:r>
        <w:rPr>
          <w:sz w:val="24"/>
          <w:szCs w:val="24"/>
        </w:rPr>
        <w:t xml:space="preserve">功率</w:t>
      </w:r>
      <w:r>
        <w:rPr>
          <w:rFonts w:hint="eastAsia"/>
          <w:sz w:val="24"/>
          <w:szCs w:val="24"/>
        </w:rPr>
        <w:t xml:space="preserve">（交流10Hz至1kHz</w:t>
      </w:r>
      <w:r>
        <w:rPr>
          <w:sz w:val="24"/>
          <w:szCs w:val="24"/>
        </w:rPr>
        <w:t xml:space="preserve">）：0.2%读数+ 0.01%功率量程；</w:t>
      </w:r>
      <w:r>
        <w:rPr>
          <w:sz w:val="24"/>
          <w:szCs w:val="24"/>
        </w:rPr>
      </w:r>
      <w:r/>
    </w:p>
    <w:p>
      <w:pPr>
        <w:pStyle w:val="1070"/>
        <w:ind w:firstLine="480"/>
        <w:rPr>
          <w:sz w:val="24"/>
          <w:szCs w:val="24"/>
        </w:rPr>
      </w:pPr>
      <w:r>
        <w:rPr>
          <w:sz w:val="24"/>
          <w:szCs w:val="24"/>
        </w:rPr>
        <w:t xml:space="preserve">▲4.4 频率：0.05%读数+ 0.05%量程；</w:t>
      </w:r>
      <w:r>
        <w:rPr>
          <w:sz w:val="24"/>
          <w:szCs w:val="24"/>
        </w:rPr>
      </w:r>
      <w:r/>
    </w:p>
    <w:p>
      <w:pPr>
        <w:pStyle w:val="1070"/>
        <w:ind w:firstLine="480"/>
        <w:rPr>
          <w:sz w:val="24"/>
          <w:szCs w:val="24"/>
        </w:rPr>
      </w:pPr>
      <w:r>
        <w:rPr>
          <w:sz w:val="24"/>
          <w:szCs w:val="24"/>
        </w:rPr>
        <w:t xml:space="preserve">4.5 电压、电流、功率测量设备具有数据远传接口； </w:t>
      </w:r>
      <w:r>
        <w:rPr>
          <w:sz w:val="24"/>
          <w:szCs w:val="24"/>
        </w:rPr>
      </w:r>
      <w:r/>
    </w:p>
    <w:p>
      <w:pPr>
        <w:pStyle w:val="1070"/>
        <w:ind w:firstLine="480"/>
        <w:rPr>
          <w:sz w:val="24"/>
          <w:szCs w:val="24"/>
        </w:rPr>
      </w:pPr>
      <w:r>
        <w:rPr>
          <w:sz w:val="24"/>
          <w:szCs w:val="24"/>
        </w:rPr>
        <w:t xml:space="preserve">4.6 变频系统能效碳效分析软件：支持变频系统现场测试数据记录与能效碳效分析；支持测试报告的自动生成与导出；具备选择默认的碳折算因子和根据用户现场需求输入实际的碳折算因子进行计算的功能；</w:t>
      </w:r>
      <w:r>
        <w:rPr>
          <w:sz w:val="24"/>
          <w:szCs w:val="24"/>
        </w:rPr>
      </w:r>
      <w:r/>
    </w:p>
    <w:p>
      <w:pPr>
        <w:pStyle w:val="1070"/>
        <w:ind w:firstLine="480"/>
        <w:rPr>
          <w:sz w:val="24"/>
          <w:szCs w:val="24"/>
        </w:rPr>
      </w:pPr>
      <w:r>
        <w:rPr>
          <w:sz w:val="24"/>
          <w:szCs w:val="24"/>
        </w:rPr>
        <w:t xml:space="preserve">4.7 变频系统能效碳效测试分析仪其功能和测试指标应能够满足GB/T 41013-2021《电机系统能效评价》、GB/T 21056-2007《风机、泵类负载变频调速节电传动系统及其应用技术条件》中变频器项目开展的要求。</w:t>
      </w:r>
      <w:r>
        <w:rPr>
          <w:sz w:val="24"/>
          <w:szCs w:val="24"/>
        </w:rPr>
      </w:r>
      <w:r/>
    </w:p>
    <w:p>
      <w:pPr>
        <w:pStyle w:val="1055"/>
        <w:keepLines w:val="0"/>
        <w:spacing w:before="0" w:after="0"/>
        <w:widowControl/>
        <w:tabs>
          <w:tab w:val="left" w:pos="540" w:leader="none"/>
        </w:tabs>
        <w:rPr>
          <w:rFonts w:eastAsia="宋体"/>
          <w:sz w:val="24"/>
        </w:rPr>
      </w:pPr>
      <w:r>
        <w:rPr>
          <w:rFonts w:eastAsia="宋体"/>
          <w:sz w:val="24"/>
        </w:rPr>
        <w:t xml:space="preserve">5. 泵系统能效碳效测试分析仪</w:t>
      </w:r>
      <w:r>
        <w:rPr>
          <w:rFonts w:eastAsia="宋体"/>
          <w:sz w:val="24"/>
        </w:rPr>
      </w:r>
      <w:r/>
    </w:p>
    <w:p>
      <w:pPr>
        <w:pStyle w:val="1070"/>
        <w:ind w:firstLine="480"/>
        <w:rPr>
          <w:sz w:val="24"/>
          <w:szCs w:val="24"/>
        </w:rPr>
      </w:pPr>
      <w:r>
        <w:rPr>
          <w:sz w:val="24"/>
          <w:szCs w:val="24"/>
        </w:rPr>
        <w:t xml:space="preserve">5.1 压力</w:t>
      </w:r>
      <w:r>
        <w:rPr>
          <w:rFonts w:hint="eastAsia"/>
          <w:sz w:val="24"/>
          <w:szCs w:val="24"/>
        </w:rPr>
        <w:t xml:space="preserve">测量</w:t>
      </w:r>
      <w:r>
        <w:rPr>
          <w:sz w:val="24"/>
          <w:szCs w:val="24"/>
        </w:rPr>
        <w:t xml:space="preserve">：</w:t>
      </w:r>
      <w:r>
        <w:rPr>
          <w:rFonts w:hint="eastAsia"/>
          <w:sz w:val="24"/>
          <w:szCs w:val="24"/>
        </w:rPr>
        <w:t xml:space="preserve">-</w:t>
      </w:r>
      <w:r>
        <w:rPr>
          <w:sz w:val="24"/>
          <w:szCs w:val="24"/>
        </w:rPr>
        <w:t xml:space="preserve">0.1MPa～10.0MPa，0.5级；   </w:t>
      </w:r>
      <w:r>
        <w:rPr>
          <w:sz w:val="24"/>
          <w:szCs w:val="24"/>
        </w:rPr>
      </w:r>
      <w:r/>
    </w:p>
    <w:p>
      <w:pPr>
        <w:pStyle w:val="1070"/>
        <w:ind w:firstLine="480"/>
        <w:rPr>
          <w:sz w:val="24"/>
          <w:szCs w:val="24"/>
        </w:rPr>
      </w:pPr>
      <w:r>
        <w:rPr>
          <w:rFonts w:ascii="Segoe UI Symbol" w:hAnsi="Segoe UI Symbol" w:cs="Segoe UI Symbol"/>
          <w:sz w:val="24"/>
          <w:szCs w:val="24"/>
        </w:rPr>
        <w:t xml:space="preserve">★</w:t>
      </w:r>
      <w:r>
        <w:rPr>
          <w:sz w:val="24"/>
          <w:szCs w:val="24"/>
        </w:rPr>
        <w:t xml:space="preserve">5.2 液体流量测量方式：便携式；超声波；</w:t>
      </w:r>
      <w:r>
        <w:rPr>
          <w:rFonts w:hint="eastAsia" w:ascii="Arial" w:hAnsi="Arial" w:eastAsia="仿宋_GB2312" w:cs="Arial"/>
          <w:b/>
          <w:bCs/>
          <w:color w:val="c00000"/>
          <w:sz w:val="24"/>
        </w:rPr>
        <w:t xml:space="preserve"> </w:t>
      </w:r>
      <w:r>
        <w:rPr>
          <w:rFonts w:hint="eastAsia" w:ascii="Arial" w:hAnsi="Arial" w:eastAsia="仿宋_GB2312" w:cs="Arial"/>
          <w:b/>
          <w:bCs/>
          <w:color w:val="c00000"/>
          <w:sz w:val="24"/>
          <w:lang w:eastAsia="zh-CN"/>
        </w:rPr>
        <w:t xml:space="preserve">（</w:t>
      </w:r>
      <w:r>
        <w:rPr>
          <w:rFonts w:hint="eastAsia" w:ascii="Arial" w:hAnsi="Arial" w:eastAsia="仿宋_GB2312" w:cs="Arial"/>
          <w:b/>
          <w:bCs/>
          <w:color w:val="c00000"/>
          <w:sz w:val="24"/>
          <w:lang w:val="en-US" w:eastAsia="zh-CN"/>
        </w:rPr>
        <w:t xml:space="preserve">投标文件中提供</w:t>
      </w:r>
      <w:r>
        <w:rPr>
          <w:rFonts w:hint="eastAsia" w:ascii="Arial" w:hAnsi="Arial" w:eastAsia="仿宋_GB2312" w:cs="Arial"/>
          <w:b/>
          <w:bCs/>
          <w:color w:val="c00000"/>
          <w:sz w:val="24"/>
          <w:lang w:eastAsia="zh-CN"/>
        </w:rPr>
        <w:t xml:space="preserve">公开发行的手册、彩页、官网截图、功能页面截图、检测报告或白皮书等证明材料）</w:t>
      </w:r>
      <w:r>
        <w:rPr>
          <w:sz w:val="24"/>
          <w:szCs w:val="24"/>
        </w:rPr>
      </w:r>
      <w:r/>
    </w:p>
    <w:p>
      <w:pPr>
        <w:pStyle w:val="1070"/>
        <w:ind w:firstLine="480"/>
        <w:rPr>
          <w:sz w:val="24"/>
          <w:szCs w:val="24"/>
        </w:rPr>
      </w:pPr>
      <w:r>
        <w:t xml:space="preserve">▲</w:t>
      </w:r>
      <w:r>
        <w:rPr>
          <w:sz w:val="24"/>
          <w:szCs w:val="24"/>
        </w:rPr>
        <w:t xml:space="preserve">5.3 液体流量：管径：DN100～DN300；测量准确度：读数的±1%；经过标定可达到±0.5%；</w:t>
      </w:r>
      <w:r>
        <w:rPr>
          <w:sz w:val="24"/>
          <w:szCs w:val="24"/>
        </w:rPr>
      </w:r>
      <w:r/>
    </w:p>
    <w:p>
      <w:pPr>
        <w:pStyle w:val="1070"/>
        <w:ind w:firstLine="480"/>
        <w:rPr>
          <w:sz w:val="24"/>
          <w:szCs w:val="24"/>
        </w:rPr>
      </w:pPr>
      <w:r>
        <w:rPr>
          <w:sz w:val="24"/>
          <w:szCs w:val="24"/>
        </w:rPr>
        <w:t xml:space="preserve">5.4 流量计具有数据远传接口；</w:t>
      </w:r>
      <w:r>
        <w:rPr>
          <w:sz w:val="24"/>
          <w:szCs w:val="24"/>
        </w:rPr>
      </w:r>
      <w:r/>
    </w:p>
    <w:p>
      <w:pPr>
        <w:pStyle w:val="1070"/>
        <w:ind w:firstLine="480"/>
        <w:rPr>
          <w:sz w:val="24"/>
          <w:szCs w:val="24"/>
        </w:rPr>
      </w:pPr>
      <w:r>
        <w:rPr>
          <w:sz w:val="24"/>
          <w:szCs w:val="24"/>
        </w:rPr>
        <w:t xml:space="preserve">5.5 </w:t>
      </w:r>
      <w:r>
        <w:rPr>
          <w:rFonts w:hint="eastAsia"/>
          <w:sz w:val="24"/>
          <w:szCs w:val="24"/>
        </w:rPr>
        <w:t xml:space="preserve">有功</w:t>
      </w:r>
      <w:r>
        <w:rPr>
          <w:sz w:val="24"/>
          <w:szCs w:val="24"/>
        </w:rPr>
        <w:t xml:space="preserve">功率</w:t>
      </w:r>
      <w:r>
        <w:rPr>
          <w:rFonts w:hint="eastAsia"/>
          <w:sz w:val="24"/>
          <w:szCs w:val="24"/>
        </w:rPr>
        <w:t xml:space="preserve">（交流</w:t>
      </w:r>
      <w:r>
        <w:rPr>
          <w:sz w:val="24"/>
          <w:szCs w:val="24"/>
        </w:rPr>
        <w:t xml:space="preserve">10Hz至1kHz）：0.2%读数 + 0.01%功率量程；</w:t>
      </w:r>
      <w:r>
        <w:rPr>
          <w:sz w:val="24"/>
          <w:szCs w:val="24"/>
        </w:rPr>
      </w:r>
      <w:r/>
    </w:p>
    <w:p>
      <w:pPr>
        <w:pStyle w:val="1070"/>
        <w:ind w:firstLine="480"/>
        <w:rPr>
          <w:sz w:val="24"/>
          <w:szCs w:val="24"/>
        </w:rPr>
      </w:pPr>
      <w:r>
        <w:rPr>
          <w:sz w:val="24"/>
          <w:szCs w:val="24"/>
        </w:rPr>
        <w:t xml:space="preserve">5.6 泵系统能效碳效分析软件：支持泵系统现场测试数据记录与能效碳效分析；支持测试报告的自动生成与导出；具备选择默认的碳折算因子和根据用户现场需求输入实际的碳折算因子进行计算的功能；</w:t>
      </w:r>
      <w:r>
        <w:rPr>
          <w:sz w:val="24"/>
          <w:szCs w:val="24"/>
        </w:rPr>
      </w:r>
      <w:r/>
    </w:p>
    <w:p>
      <w:pPr>
        <w:pStyle w:val="1070"/>
        <w:ind w:firstLine="480"/>
        <w:rPr>
          <w:sz w:val="24"/>
          <w:szCs w:val="24"/>
        </w:rPr>
      </w:pPr>
      <w:r>
        <w:rPr>
          <w:sz w:val="24"/>
          <w:szCs w:val="24"/>
        </w:rPr>
        <w:t xml:space="preserve">5.7 泵系统能效碳效测试分析仪其功能和测试指标应能够满足GB∕T 39984-2021《泵系统能耗评估》项目开展的要求。</w:t>
      </w:r>
      <w:r>
        <w:rPr>
          <w:sz w:val="24"/>
          <w:szCs w:val="24"/>
        </w:rPr>
      </w:r>
      <w:r/>
    </w:p>
    <w:p>
      <w:pPr>
        <w:pStyle w:val="1055"/>
        <w:keepLines w:val="0"/>
        <w:spacing w:before="0" w:after="0"/>
        <w:widowControl/>
        <w:tabs>
          <w:tab w:val="left" w:pos="540" w:leader="none"/>
        </w:tabs>
        <w:rPr>
          <w:rFonts w:eastAsia="宋体"/>
          <w:sz w:val="24"/>
        </w:rPr>
      </w:pPr>
      <w:r>
        <w:rPr>
          <w:rFonts w:eastAsia="宋体"/>
          <w:sz w:val="24"/>
        </w:rPr>
        <w:t xml:space="preserve">6. 风机系统能效碳效测试分析仪</w:t>
      </w:r>
      <w:r>
        <w:rPr>
          <w:rFonts w:eastAsia="宋体"/>
          <w:sz w:val="24"/>
        </w:rPr>
      </w:r>
      <w:r/>
    </w:p>
    <w:p>
      <w:pPr>
        <w:pStyle w:val="1070"/>
        <w:rPr>
          <w:sz w:val="24"/>
          <w:szCs w:val="24"/>
        </w:rPr>
      </w:pPr>
      <w:r>
        <w:t xml:space="preserve">▲</w:t>
      </w:r>
      <w:r>
        <w:rPr>
          <w:sz w:val="24"/>
          <w:szCs w:val="24"/>
        </w:rPr>
        <w:t xml:space="preserve">6.1 分布式环境参数</w:t>
      </w:r>
      <w:r>
        <w:rPr>
          <w:rFonts w:hint="eastAsia"/>
          <w:sz w:val="24"/>
          <w:szCs w:val="24"/>
        </w:rPr>
        <w:t xml:space="preserve">测量</w:t>
      </w:r>
      <w:r>
        <w:rPr>
          <w:sz w:val="24"/>
          <w:szCs w:val="24"/>
        </w:rPr>
        <w:t xml:space="preserve">：支持温度、温湿度、大气压三类测试探头；</w:t>
      </w:r>
      <w:r>
        <w:rPr>
          <w:rFonts w:hint="eastAsia"/>
          <w:sz w:val="24"/>
          <w:szCs w:val="24"/>
        </w:rPr>
        <w:t xml:space="preserve">提供两个探头通道</w:t>
      </w:r>
      <w:r>
        <w:rPr>
          <w:sz w:val="24"/>
          <w:szCs w:val="24"/>
        </w:rPr>
        <w:t xml:space="preserve">；数量：4</w:t>
      </w:r>
      <w:r>
        <w:rPr>
          <w:rFonts w:hint="eastAsia"/>
          <w:sz w:val="24"/>
          <w:szCs w:val="24"/>
        </w:rPr>
        <w:t xml:space="preserve">台</w:t>
      </w:r>
      <w:r>
        <w:rPr>
          <w:sz w:val="24"/>
          <w:szCs w:val="24"/>
        </w:rPr>
        <w:t xml:space="preserve">；支持无线自组网，可通过配套主机进行远程监控；可查看当前电量、</w:t>
      </w:r>
      <w:r>
        <w:rPr>
          <w:rFonts w:hint="eastAsia"/>
          <w:sz w:val="24"/>
          <w:szCs w:val="24"/>
        </w:rPr>
        <w:t xml:space="preserve">通讯</w:t>
      </w:r>
      <w:r>
        <w:rPr>
          <w:sz w:val="24"/>
          <w:szCs w:val="24"/>
        </w:rPr>
        <w:t xml:space="preserve">信号强度、存储空间、记录状态、测量值；支持记录数据报告生成与导出，支持用户根据需求添加</w:t>
      </w:r>
      <w:r>
        <w:rPr>
          <w:rFonts w:hint="eastAsia"/>
          <w:sz w:val="24"/>
          <w:szCs w:val="24"/>
        </w:rPr>
        <w:t xml:space="preserve">修改</w:t>
      </w:r>
      <w:r>
        <w:rPr>
          <w:sz w:val="24"/>
          <w:szCs w:val="24"/>
        </w:rPr>
        <w:t xml:space="preserve">报告模</w:t>
      </w:r>
      <w:r>
        <w:rPr>
          <w:rFonts w:hint="eastAsia"/>
          <w:sz w:val="24"/>
          <w:szCs w:val="24"/>
        </w:rPr>
        <w:t xml:space="preserve">板</w:t>
      </w:r>
      <w:r>
        <w:rPr>
          <w:sz w:val="24"/>
          <w:szCs w:val="24"/>
        </w:rPr>
        <w:t xml:space="preserve">；</w:t>
      </w:r>
      <w:r>
        <w:rPr>
          <w:sz w:val="24"/>
          <w:szCs w:val="24"/>
        </w:rPr>
      </w:r>
      <w:r/>
    </w:p>
    <w:p>
      <w:pPr>
        <w:pStyle w:val="1070"/>
        <w:ind w:firstLine="480"/>
        <w:rPr>
          <w:sz w:val="24"/>
          <w:szCs w:val="24"/>
        </w:rPr>
      </w:pPr>
      <w:r>
        <w:rPr>
          <w:sz w:val="24"/>
          <w:szCs w:val="24"/>
        </w:rPr>
        <w:t xml:space="preserve">6.2环境温度：±0.5℃(-40~85)℃； </w:t>
      </w:r>
      <w:r>
        <w:rPr>
          <w:sz w:val="24"/>
          <w:szCs w:val="24"/>
        </w:rPr>
      </w:r>
      <w:r/>
    </w:p>
    <w:p>
      <w:pPr>
        <w:pStyle w:val="1070"/>
        <w:ind w:firstLine="480"/>
        <w:rPr>
          <w:sz w:val="24"/>
          <w:szCs w:val="24"/>
        </w:rPr>
      </w:pPr>
      <w:r>
        <w:rPr>
          <w:sz w:val="24"/>
          <w:szCs w:val="24"/>
        </w:rPr>
        <w:t xml:space="preserve">6.3环境温湿度：±2%RH(10%~90%) RH@20°C；±0.25°C（15~35）°C；</w:t>
      </w:r>
      <w:r>
        <w:rPr>
          <w:sz w:val="24"/>
          <w:szCs w:val="24"/>
        </w:rPr>
      </w:r>
      <w:r/>
    </w:p>
    <w:p>
      <w:pPr>
        <w:pStyle w:val="1070"/>
        <w:ind w:firstLine="480"/>
        <w:rPr>
          <w:sz w:val="24"/>
          <w:szCs w:val="24"/>
        </w:rPr>
      </w:pPr>
      <w:r>
        <w:rPr>
          <w:sz w:val="24"/>
          <w:szCs w:val="24"/>
        </w:rPr>
        <w:t xml:space="preserve">6.4</w:t>
      </w:r>
      <w:r>
        <w:rPr>
          <w:rFonts w:hint="eastAsia"/>
          <w:sz w:val="24"/>
          <w:szCs w:val="24"/>
        </w:rPr>
        <w:t xml:space="preserve">环境</w:t>
      </w:r>
      <w:r>
        <w:rPr>
          <w:sz w:val="24"/>
          <w:szCs w:val="24"/>
        </w:rPr>
        <w:t xml:space="preserve">大气压：±55Pa (60~120)kPa.a；</w:t>
      </w:r>
      <w:r>
        <w:rPr>
          <w:sz w:val="24"/>
          <w:szCs w:val="24"/>
        </w:rPr>
      </w:r>
      <w:r/>
    </w:p>
    <w:p>
      <w:pPr>
        <w:pStyle w:val="1070"/>
        <w:ind w:firstLine="480"/>
        <w:rPr>
          <w:sz w:val="24"/>
          <w:szCs w:val="24"/>
        </w:rPr>
      </w:pPr>
      <w:r>
        <w:rPr>
          <w:sz w:val="24"/>
          <w:szCs w:val="24"/>
        </w:rPr>
        <w:t xml:space="preserve">6.5 压力</w:t>
      </w:r>
      <w:r>
        <w:rPr>
          <w:rFonts w:hint="eastAsia"/>
          <w:sz w:val="24"/>
          <w:szCs w:val="24"/>
        </w:rPr>
        <w:t xml:space="preserve">测量</w:t>
      </w:r>
      <w:r>
        <w:rPr>
          <w:sz w:val="24"/>
          <w:szCs w:val="24"/>
        </w:rPr>
        <w:t xml:space="preserve">：-0.1MPa～10.0MPa，0.5级；</w:t>
      </w:r>
      <w:r>
        <w:rPr>
          <w:sz w:val="24"/>
          <w:szCs w:val="24"/>
        </w:rPr>
      </w:r>
      <w:r/>
    </w:p>
    <w:p>
      <w:pPr>
        <w:pStyle w:val="1070"/>
        <w:ind w:firstLine="480"/>
        <w:rPr>
          <w:sz w:val="24"/>
          <w:szCs w:val="24"/>
        </w:rPr>
      </w:pPr>
      <w:r>
        <w:rPr>
          <w:sz w:val="24"/>
          <w:szCs w:val="24"/>
        </w:rPr>
        <w:t xml:space="preserve">6.6 气体流量测量方式：便携式；超声波；      </w:t>
      </w:r>
      <w:r>
        <w:rPr>
          <w:sz w:val="24"/>
          <w:szCs w:val="24"/>
        </w:rPr>
      </w:r>
      <w:r/>
    </w:p>
    <w:p>
      <w:pPr>
        <w:pStyle w:val="1070"/>
        <w:ind w:firstLine="480"/>
        <w:rPr>
          <w:sz w:val="24"/>
          <w:szCs w:val="24"/>
        </w:rPr>
      </w:pPr>
      <w:r>
        <w:rPr>
          <w:sz w:val="24"/>
          <w:szCs w:val="24"/>
        </w:rPr>
        <w:t xml:space="preserve">6.7 气体流量：管径：DN80～DN300；测量准确度：读数的±1%；  </w:t>
      </w:r>
      <w:r>
        <w:rPr>
          <w:sz w:val="24"/>
          <w:szCs w:val="24"/>
        </w:rPr>
      </w:r>
      <w:r/>
    </w:p>
    <w:p>
      <w:pPr>
        <w:pStyle w:val="1070"/>
        <w:ind w:firstLine="480"/>
        <w:rPr>
          <w:sz w:val="24"/>
          <w:szCs w:val="24"/>
        </w:rPr>
      </w:pPr>
      <w:r>
        <w:rPr>
          <w:sz w:val="24"/>
          <w:szCs w:val="24"/>
        </w:rPr>
        <w:t xml:space="preserve">6.8 流量计具有数据远传接口；</w:t>
      </w:r>
      <w:r>
        <w:rPr>
          <w:sz w:val="24"/>
          <w:szCs w:val="24"/>
        </w:rPr>
      </w:r>
      <w:r/>
    </w:p>
    <w:p>
      <w:pPr>
        <w:pStyle w:val="1070"/>
        <w:ind w:firstLine="480"/>
        <w:rPr>
          <w:sz w:val="24"/>
          <w:szCs w:val="24"/>
        </w:rPr>
      </w:pPr>
      <w:r>
        <w:rPr>
          <w:sz w:val="24"/>
          <w:szCs w:val="24"/>
        </w:rPr>
        <w:t xml:space="preserve">6.9</w:t>
      </w:r>
      <w:r>
        <w:rPr>
          <w:rFonts w:hint="eastAsia"/>
          <w:sz w:val="24"/>
          <w:szCs w:val="24"/>
        </w:rPr>
        <w:t xml:space="preserve">有功</w:t>
      </w:r>
      <w:r>
        <w:rPr>
          <w:sz w:val="24"/>
          <w:szCs w:val="24"/>
        </w:rPr>
        <w:t xml:space="preserve">功率</w:t>
      </w:r>
      <w:r>
        <w:rPr>
          <w:rFonts w:hint="eastAsia"/>
          <w:sz w:val="24"/>
          <w:szCs w:val="24"/>
        </w:rPr>
        <w:t xml:space="preserve">（交流10Hz至1kHz</w:t>
      </w:r>
      <w:r>
        <w:rPr>
          <w:sz w:val="24"/>
          <w:szCs w:val="24"/>
        </w:rPr>
        <w:t xml:space="preserve">）：0.2%读数 + 0.01%功率量程；</w:t>
      </w:r>
      <w:r>
        <w:rPr>
          <w:sz w:val="24"/>
          <w:szCs w:val="24"/>
        </w:rPr>
      </w:r>
      <w:r/>
    </w:p>
    <w:p>
      <w:pPr>
        <w:pStyle w:val="1070"/>
        <w:ind w:firstLine="480"/>
        <w:rPr>
          <w:sz w:val="24"/>
          <w:szCs w:val="24"/>
        </w:rPr>
      </w:pPr>
      <w:r>
        <w:rPr>
          <w:sz w:val="24"/>
          <w:szCs w:val="24"/>
        </w:rPr>
        <w:t xml:space="preserve">6.10 风机系统能效碳效分析软件：支持风机系统现场测试数据记录与能效碳效分析；支持测试报告的自动生成与导出；具备选择默认的碳折算因子和根据用户现场需求输入实际的碳折算因子进行计算的功能；</w:t>
      </w:r>
      <w:r>
        <w:rPr>
          <w:sz w:val="24"/>
          <w:szCs w:val="24"/>
        </w:rPr>
      </w:r>
      <w:r/>
    </w:p>
    <w:p>
      <w:pPr>
        <w:pStyle w:val="1070"/>
        <w:ind w:firstLine="480"/>
        <w:rPr>
          <w:sz w:val="24"/>
          <w:szCs w:val="24"/>
        </w:rPr>
      </w:pPr>
      <w:r>
        <w:rPr>
          <w:sz w:val="24"/>
          <w:szCs w:val="24"/>
        </w:rPr>
        <w:t xml:space="preserve">6.11 风机系统能效碳效测试分析仪其功能和测试指标应能够满足GB/T 15913-2022《风机机组与管网系统节能监测》项目开展的要求。</w:t>
      </w:r>
      <w:r>
        <w:rPr>
          <w:sz w:val="24"/>
          <w:szCs w:val="24"/>
        </w:rPr>
      </w:r>
      <w:r/>
    </w:p>
    <w:p>
      <w:pPr>
        <w:pStyle w:val="1055"/>
        <w:keepLines w:val="0"/>
        <w:spacing w:before="0" w:after="0"/>
        <w:widowControl/>
        <w:tabs>
          <w:tab w:val="left" w:pos="540" w:leader="none"/>
        </w:tabs>
        <w:rPr>
          <w:rFonts w:eastAsia="宋体"/>
          <w:sz w:val="24"/>
        </w:rPr>
      </w:pPr>
      <w:r>
        <w:rPr>
          <w:rFonts w:eastAsia="宋体"/>
          <w:sz w:val="24"/>
        </w:rPr>
        <w:t xml:space="preserve">7. 空压机能效碳效测试分析仪</w:t>
      </w:r>
      <w:r>
        <w:rPr>
          <w:rFonts w:eastAsia="宋体"/>
          <w:sz w:val="24"/>
        </w:rPr>
      </w:r>
      <w:r/>
    </w:p>
    <w:p>
      <w:pPr>
        <w:pStyle w:val="1070"/>
        <w:ind w:firstLine="480"/>
        <w:rPr>
          <w:sz w:val="24"/>
          <w:szCs w:val="24"/>
        </w:rPr>
      </w:pPr>
      <w:r>
        <w:rPr>
          <w:sz w:val="24"/>
          <w:szCs w:val="24"/>
        </w:rPr>
        <w:t xml:space="preserve">7.1 温度：≤±0.5℃</w:t>
      </w:r>
      <w:r>
        <w:rPr>
          <w:rFonts w:hint="eastAsia"/>
          <w:sz w:val="24"/>
          <w:szCs w:val="24"/>
        </w:rPr>
        <w:t xml:space="preserve">(-40~85)℃</w:t>
      </w:r>
      <w:r>
        <w:rPr>
          <w:sz w:val="24"/>
          <w:szCs w:val="24"/>
        </w:rPr>
        <w:t xml:space="preserve">； </w:t>
      </w:r>
      <w:r>
        <w:rPr>
          <w:sz w:val="24"/>
          <w:szCs w:val="24"/>
        </w:rPr>
      </w:r>
      <w:r/>
    </w:p>
    <w:p>
      <w:pPr>
        <w:pStyle w:val="1070"/>
        <w:ind w:firstLine="480"/>
        <w:rPr>
          <w:sz w:val="24"/>
          <w:szCs w:val="24"/>
        </w:rPr>
      </w:pPr>
      <w:r>
        <w:rPr>
          <w:sz w:val="24"/>
          <w:szCs w:val="24"/>
        </w:rPr>
        <w:t xml:space="preserve">7.2 </w:t>
      </w:r>
      <w:r>
        <w:rPr>
          <w:rFonts w:hint="eastAsia"/>
          <w:sz w:val="24"/>
          <w:szCs w:val="24"/>
        </w:rPr>
        <w:t xml:space="preserve">环境</w:t>
      </w:r>
      <w:r>
        <w:rPr>
          <w:sz w:val="24"/>
          <w:szCs w:val="24"/>
        </w:rPr>
        <w:t xml:space="preserve">大气压：±55Pa (60~120)kPa.a；      </w:t>
      </w:r>
      <w:r>
        <w:rPr>
          <w:sz w:val="24"/>
          <w:szCs w:val="24"/>
        </w:rPr>
      </w:r>
      <w:r/>
    </w:p>
    <w:p>
      <w:pPr>
        <w:pStyle w:val="1070"/>
        <w:rPr>
          <w:sz w:val="24"/>
          <w:szCs w:val="24"/>
        </w:rPr>
      </w:pPr>
      <w:r>
        <w:t xml:space="preserve">▲</w:t>
      </w:r>
      <w:r>
        <w:rPr>
          <w:sz w:val="24"/>
          <w:szCs w:val="24"/>
        </w:rPr>
        <w:t xml:space="preserve">7.3 压力校验压力自动发生范围：(-0.085~2.5)MPa；控制稳定性：0.005%FS；</w:t>
      </w:r>
      <w:r>
        <w:rPr>
          <w:sz w:val="24"/>
          <w:szCs w:val="24"/>
        </w:rPr>
      </w:r>
      <w:r/>
    </w:p>
    <w:p>
      <w:pPr>
        <w:pStyle w:val="1070"/>
        <w:ind w:firstLine="480"/>
        <w:rPr>
          <w:sz w:val="24"/>
          <w:szCs w:val="24"/>
        </w:rPr>
      </w:pPr>
      <w:r>
        <w:rPr>
          <w:sz w:val="24"/>
          <w:szCs w:val="24"/>
        </w:rPr>
        <w:t xml:space="preserve">7.4 压力控制模块：0.5级，可扩展支持0.01级模块；</w:t>
      </w:r>
      <w:r>
        <w:rPr>
          <w:sz w:val="24"/>
          <w:szCs w:val="24"/>
        </w:rPr>
      </w:r>
      <w:r/>
    </w:p>
    <w:p>
      <w:pPr>
        <w:pStyle w:val="1070"/>
        <w:ind w:firstLine="480"/>
        <w:rPr>
          <w:sz w:val="24"/>
          <w:szCs w:val="24"/>
        </w:rPr>
      </w:pPr>
      <w:r>
        <w:rPr>
          <w:sz w:val="24"/>
          <w:szCs w:val="24"/>
        </w:rPr>
        <w:t xml:space="preserve">7.5 压力校验配套压力模块：(-0.1~2.5)MPa，0.02级；   </w:t>
      </w:r>
      <w:r>
        <w:rPr>
          <w:sz w:val="24"/>
          <w:szCs w:val="24"/>
        </w:rPr>
      </w:r>
      <w:r/>
    </w:p>
    <w:p>
      <w:pPr>
        <w:pStyle w:val="1070"/>
        <w:ind w:firstLine="480"/>
        <w:rPr>
          <w:sz w:val="24"/>
          <w:szCs w:val="24"/>
        </w:rPr>
      </w:pPr>
      <w:r>
        <w:rPr>
          <w:sz w:val="24"/>
          <w:szCs w:val="24"/>
        </w:rPr>
        <w:t xml:space="preserve">7.6 气体流量测量方式：便携式；</w:t>
      </w:r>
      <w:r>
        <w:rPr>
          <w:rFonts w:hint="eastAsia"/>
          <w:sz w:val="24"/>
          <w:szCs w:val="24"/>
        </w:rPr>
        <w:t xml:space="preserve">超声波</w:t>
      </w:r>
      <w:r>
        <w:rPr>
          <w:sz w:val="24"/>
          <w:szCs w:val="24"/>
        </w:rPr>
        <w:t xml:space="preserve">；</w:t>
      </w:r>
      <w:r>
        <w:rPr>
          <w:sz w:val="24"/>
          <w:szCs w:val="24"/>
        </w:rPr>
      </w:r>
      <w:r/>
    </w:p>
    <w:p>
      <w:pPr>
        <w:pStyle w:val="1070"/>
        <w:ind w:firstLine="480"/>
        <w:rPr>
          <w:sz w:val="24"/>
          <w:szCs w:val="24"/>
        </w:rPr>
      </w:pPr>
      <w:r>
        <w:rPr>
          <w:sz w:val="24"/>
          <w:szCs w:val="24"/>
        </w:rPr>
        <w:t xml:space="preserve">7.7 气体流量：管径：DN80～DN300；测量准确度：读数的±1.5%； </w:t>
      </w:r>
      <w:r>
        <w:rPr>
          <w:sz w:val="24"/>
          <w:szCs w:val="24"/>
        </w:rPr>
      </w:r>
      <w:r/>
    </w:p>
    <w:p>
      <w:pPr>
        <w:pStyle w:val="1070"/>
        <w:ind w:firstLine="480"/>
        <w:rPr>
          <w:sz w:val="24"/>
          <w:szCs w:val="24"/>
        </w:rPr>
      </w:pPr>
      <w:r>
        <w:rPr>
          <w:sz w:val="24"/>
          <w:szCs w:val="24"/>
        </w:rPr>
        <w:t xml:space="preserve">7.8 流量计具备数据远传接口；</w:t>
      </w:r>
      <w:r>
        <w:rPr>
          <w:sz w:val="24"/>
          <w:szCs w:val="24"/>
        </w:rPr>
      </w:r>
      <w:r/>
    </w:p>
    <w:p>
      <w:pPr>
        <w:pStyle w:val="1070"/>
        <w:ind w:firstLine="480"/>
        <w:rPr>
          <w:sz w:val="24"/>
          <w:szCs w:val="24"/>
        </w:rPr>
      </w:pPr>
      <w:r>
        <w:rPr>
          <w:sz w:val="24"/>
          <w:szCs w:val="24"/>
        </w:rPr>
        <w:t xml:space="preserve">7.9 计时：0.5级；   </w:t>
      </w:r>
      <w:r>
        <w:rPr>
          <w:sz w:val="24"/>
          <w:szCs w:val="24"/>
        </w:rPr>
      </w:r>
      <w:r/>
    </w:p>
    <w:p>
      <w:pPr>
        <w:pStyle w:val="1070"/>
        <w:ind w:firstLine="480"/>
        <w:rPr>
          <w:sz w:val="24"/>
          <w:szCs w:val="24"/>
        </w:rPr>
      </w:pPr>
      <w:r>
        <w:rPr>
          <w:rFonts w:ascii="Arial" w:hAnsi="Arial" w:cs="Arial"/>
          <w:sz w:val="24"/>
          <w:szCs w:val="24"/>
        </w:rPr>
        <w:t xml:space="preserve">▲</w:t>
      </w:r>
      <w:r>
        <w:rPr>
          <w:sz w:val="24"/>
          <w:szCs w:val="24"/>
        </w:rPr>
        <w:t xml:space="preserve">7.1</w:t>
      </w:r>
      <w:r>
        <w:rPr>
          <w:rFonts w:hint="eastAsia"/>
          <w:sz w:val="24"/>
          <w:szCs w:val="24"/>
        </w:rPr>
        <w:t xml:space="preserve">0</w:t>
      </w:r>
      <w:r>
        <w:rPr>
          <w:sz w:val="24"/>
          <w:szCs w:val="24"/>
        </w:rPr>
        <w:t xml:space="preserve"> 电压</w:t>
      </w:r>
      <w:r>
        <w:rPr>
          <w:rFonts w:hint="eastAsia"/>
          <w:sz w:val="24"/>
          <w:szCs w:val="24"/>
        </w:rPr>
        <w:t xml:space="preserve">（交流10Hz至1kHz</w:t>
      </w:r>
      <w:r>
        <w:rPr>
          <w:sz w:val="24"/>
          <w:szCs w:val="24"/>
        </w:rPr>
        <w:t xml:space="preserve">）：4通道；10V：0.1%读数 + 0.2%量程；100V：0.1%读数 + 0.1%量程；1000V：0.1%读数 + 0.1%量程；</w:t>
      </w:r>
      <w:r>
        <w:rPr>
          <w:sz w:val="24"/>
          <w:szCs w:val="24"/>
        </w:rPr>
      </w:r>
      <w:r/>
    </w:p>
    <w:p>
      <w:pPr>
        <w:pStyle w:val="1070"/>
        <w:ind w:firstLine="480"/>
        <w:rPr>
          <w:sz w:val="24"/>
          <w:szCs w:val="24"/>
        </w:rPr>
      </w:pPr>
      <w:r>
        <w:rPr>
          <w:rFonts w:ascii="Arial" w:hAnsi="Arial" w:cs="Arial"/>
          <w:sz w:val="24"/>
          <w:szCs w:val="24"/>
        </w:rPr>
        <w:t xml:space="preserve">▲</w:t>
      </w:r>
      <w:r>
        <w:rPr>
          <w:sz w:val="24"/>
          <w:szCs w:val="24"/>
        </w:rPr>
        <w:t xml:space="preserve">7.1</w:t>
      </w:r>
      <w:r>
        <w:rPr>
          <w:rFonts w:hint="eastAsia"/>
          <w:sz w:val="24"/>
          <w:szCs w:val="24"/>
        </w:rPr>
        <w:t xml:space="preserve">1</w:t>
      </w:r>
      <w:r>
        <w:rPr>
          <w:sz w:val="24"/>
          <w:szCs w:val="24"/>
        </w:rPr>
        <w:t xml:space="preserve"> 电流</w:t>
      </w:r>
      <w:r>
        <w:rPr>
          <w:rFonts w:hint="eastAsia"/>
          <w:sz w:val="24"/>
          <w:szCs w:val="24"/>
        </w:rPr>
        <w:t xml:space="preserve">（交流10Hz至1kHz</w:t>
      </w:r>
      <w:r>
        <w:rPr>
          <w:sz w:val="24"/>
          <w:szCs w:val="24"/>
        </w:rPr>
        <w:t xml:space="preserve">）：4通道；1A：0.1%读数 + 0.2%量程；10A：0.1%读数 + 0.1%量程； </w:t>
      </w:r>
      <w:r>
        <w:rPr>
          <w:sz w:val="24"/>
          <w:szCs w:val="24"/>
        </w:rPr>
      </w:r>
      <w:r/>
    </w:p>
    <w:p>
      <w:pPr>
        <w:pStyle w:val="1070"/>
        <w:ind w:firstLine="480"/>
        <w:rPr>
          <w:sz w:val="24"/>
          <w:szCs w:val="24"/>
        </w:rPr>
      </w:pPr>
      <w:r>
        <w:rPr>
          <w:sz w:val="24"/>
          <w:szCs w:val="24"/>
        </w:rPr>
        <w:t xml:space="preserve">7.1</w:t>
      </w:r>
      <w:r>
        <w:rPr>
          <w:rFonts w:hint="eastAsia"/>
          <w:sz w:val="24"/>
          <w:szCs w:val="24"/>
        </w:rPr>
        <w:t xml:space="preserve">2</w:t>
      </w:r>
      <w:r>
        <w:rPr>
          <w:sz w:val="24"/>
          <w:szCs w:val="24"/>
        </w:rPr>
        <w:t xml:space="preserve"> </w:t>
      </w:r>
      <w:r>
        <w:rPr>
          <w:rFonts w:hint="eastAsia"/>
          <w:sz w:val="24"/>
          <w:szCs w:val="24"/>
        </w:rPr>
        <w:t xml:space="preserve">有功</w:t>
      </w:r>
      <w:r>
        <w:rPr>
          <w:sz w:val="24"/>
          <w:szCs w:val="24"/>
        </w:rPr>
        <w:t xml:space="preserve">功率</w:t>
      </w:r>
      <w:r>
        <w:rPr>
          <w:rFonts w:hint="eastAsia"/>
          <w:sz w:val="24"/>
          <w:szCs w:val="24"/>
        </w:rPr>
        <w:t xml:space="preserve">（交流10Hz至1kHz</w:t>
      </w:r>
      <w:r>
        <w:rPr>
          <w:sz w:val="24"/>
          <w:szCs w:val="24"/>
        </w:rPr>
        <w:t xml:space="preserve">）：0.2%读数 + 0.01%功率量程；</w:t>
      </w:r>
      <w:r>
        <w:rPr>
          <w:sz w:val="24"/>
          <w:szCs w:val="24"/>
        </w:rPr>
      </w:r>
      <w:r/>
    </w:p>
    <w:p>
      <w:pPr>
        <w:pStyle w:val="1070"/>
        <w:ind w:firstLine="480"/>
        <w:rPr>
          <w:sz w:val="24"/>
          <w:szCs w:val="24"/>
        </w:rPr>
      </w:pPr>
      <w:r>
        <w:rPr>
          <w:sz w:val="24"/>
          <w:szCs w:val="24"/>
        </w:rPr>
        <w:t xml:space="preserve">7.1</w:t>
      </w:r>
      <w:r>
        <w:rPr>
          <w:rFonts w:hint="eastAsia"/>
          <w:sz w:val="24"/>
          <w:szCs w:val="24"/>
        </w:rPr>
        <w:t xml:space="preserve">3</w:t>
      </w:r>
      <w:r>
        <w:rPr>
          <w:sz w:val="24"/>
          <w:szCs w:val="24"/>
        </w:rPr>
        <w:t xml:space="preserve"> 电压、电流、功率测量设备具有数据远传接口；</w:t>
      </w:r>
      <w:r>
        <w:rPr>
          <w:sz w:val="24"/>
          <w:szCs w:val="24"/>
        </w:rPr>
      </w:r>
      <w:r/>
    </w:p>
    <w:p>
      <w:pPr>
        <w:pStyle w:val="1070"/>
        <w:ind w:firstLine="480"/>
        <w:rPr>
          <w:sz w:val="24"/>
          <w:szCs w:val="24"/>
        </w:rPr>
      </w:pPr>
      <w:r>
        <w:rPr>
          <w:sz w:val="24"/>
          <w:szCs w:val="24"/>
        </w:rPr>
        <w:t xml:space="preserve">7.14 手持露点仪：露点：±2℃；</w:t>
      </w:r>
      <w:r>
        <w:rPr>
          <w:sz w:val="24"/>
          <w:szCs w:val="24"/>
        </w:rPr>
      </w:r>
      <w:r/>
    </w:p>
    <w:p>
      <w:pPr>
        <w:pStyle w:val="1070"/>
        <w:ind w:firstLine="480"/>
        <w:rPr>
          <w:sz w:val="24"/>
          <w:szCs w:val="24"/>
        </w:rPr>
      </w:pPr>
      <w:r>
        <w:rPr>
          <w:sz w:val="24"/>
          <w:szCs w:val="24"/>
        </w:rPr>
        <w:t xml:space="preserve">7.15 空压机能效碳效分析软件：支持空气压缩机组及供气系统现场测试数据记录与能效碳效分析；支持测试报告的自动生成与导出；具备选择默认的碳折算因子和根据用户现场需求输入实际的碳折算因子进行计算的功能；</w:t>
      </w:r>
      <w:r>
        <w:rPr>
          <w:sz w:val="24"/>
          <w:szCs w:val="24"/>
        </w:rPr>
      </w:r>
      <w:r/>
    </w:p>
    <w:p>
      <w:pPr>
        <w:pStyle w:val="1070"/>
        <w:ind w:firstLine="480"/>
        <w:rPr>
          <w:sz w:val="24"/>
          <w:szCs w:val="24"/>
        </w:rPr>
      </w:pPr>
      <w:r>
        <w:rPr>
          <w:sz w:val="24"/>
          <w:szCs w:val="24"/>
        </w:rPr>
        <w:t xml:space="preserve">7.16 空压机能效碳效测试分析仪其功能和测试指标应能够满足GB/T 16665-2017《空气压缩机组及供气系统节能监测方法》项目开展的要求。</w:t>
      </w:r>
      <w:r>
        <w:rPr>
          <w:sz w:val="24"/>
          <w:szCs w:val="24"/>
        </w:rPr>
      </w:r>
      <w:r/>
    </w:p>
    <w:p>
      <w:pPr>
        <w:pStyle w:val="1055"/>
        <w:keepLines w:val="0"/>
        <w:spacing w:before="0" w:after="0"/>
        <w:widowControl/>
        <w:tabs>
          <w:tab w:val="left" w:pos="540" w:leader="none"/>
        </w:tabs>
        <w:rPr>
          <w:rFonts w:eastAsia="宋体"/>
          <w:sz w:val="24"/>
        </w:rPr>
      </w:pPr>
      <w:r>
        <w:rPr>
          <w:rFonts w:eastAsia="宋体"/>
          <w:sz w:val="24"/>
        </w:rPr>
        <w:t xml:space="preserve">8. 冷水及热泵机组能效碳效测试分析仪</w:t>
      </w:r>
      <w:r>
        <w:rPr>
          <w:rFonts w:eastAsia="宋体"/>
          <w:sz w:val="24"/>
        </w:rPr>
      </w:r>
      <w:r/>
    </w:p>
    <w:p>
      <w:pPr>
        <w:pStyle w:val="1070"/>
        <w:ind w:firstLine="480"/>
        <w:rPr>
          <w:sz w:val="24"/>
          <w:szCs w:val="24"/>
        </w:rPr>
      </w:pPr>
      <w:r>
        <w:rPr>
          <w:sz w:val="24"/>
          <w:szCs w:val="24"/>
        </w:rPr>
        <w:t xml:space="preserve">8.1 液体流量测量方式：便携式；</w:t>
      </w:r>
      <w:r>
        <w:rPr>
          <w:rFonts w:hint="eastAsia"/>
          <w:sz w:val="24"/>
          <w:szCs w:val="24"/>
        </w:rPr>
        <w:t xml:space="preserve">超声波</w:t>
      </w:r>
      <w:r>
        <w:rPr>
          <w:sz w:val="24"/>
          <w:szCs w:val="24"/>
        </w:rPr>
        <w:t xml:space="preserve">；</w:t>
      </w:r>
      <w:r>
        <w:rPr>
          <w:sz w:val="24"/>
          <w:szCs w:val="24"/>
        </w:rPr>
      </w:r>
      <w:r/>
    </w:p>
    <w:p>
      <w:pPr>
        <w:pStyle w:val="1070"/>
        <w:ind w:firstLine="480"/>
        <w:rPr>
          <w:sz w:val="24"/>
          <w:szCs w:val="24"/>
        </w:rPr>
      </w:pPr>
      <w:r>
        <w:rPr>
          <w:sz w:val="24"/>
          <w:szCs w:val="24"/>
        </w:rPr>
        <w:t xml:space="preserve">8.2 液体流量：管径：DN100～DN300；测量准确度：读数的±1%；  </w:t>
      </w:r>
      <w:r>
        <w:rPr>
          <w:sz w:val="24"/>
          <w:szCs w:val="24"/>
        </w:rPr>
      </w:r>
      <w:r/>
    </w:p>
    <w:p>
      <w:pPr>
        <w:pStyle w:val="1070"/>
        <w:ind w:firstLine="480"/>
        <w:rPr>
          <w:sz w:val="24"/>
          <w:szCs w:val="24"/>
        </w:rPr>
      </w:pPr>
      <w:r>
        <w:rPr>
          <w:sz w:val="24"/>
          <w:szCs w:val="24"/>
        </w:rPr>
        <w:t xml:space="preserve">8.3 流量计具有数据远传接口；</w:t>
      </w:r>
      <w:r>
        <w:rPr>
          <w:sz w:val="24"/>
          <w:szCs w:val="24"/>
        </w:rPr>
      </w:r>
      <w:r/>
    </w:p>
    <w:p>
      <w:pPr>
        <w:pStyle w:val="1070"/>
        <w:ind w:firstLine="480"/>
        <w:rPr>
          <w:sz w:val="24"/>
          <w:szCs w:val="24"/>
        </w:rPr>
      </w:pPr>
      <w:r>
        <w:rPr>
          <w:sz w:val="24"/>
          <w:szCs w:val="24"/>
        </w:rPr>
        <w:t xml:space="preserve">8.4 环境温度：≤±0.5 ℃</w:t>
      </w:r>
      <w:r>
        <w:rPr>
          <w:rFonts w:hint="eastAsia"/>
          <w:sz w:val="24"/>
          <w:szCs w:val="24"/>
        </w:rPr>
        <w:t xml:space="preserve">(-40~85)℃</w:t>
      </w:r>
      <w:r>
        <w:rPr>
          <w:sz w:val="24"/>
          <w:szCs w:val="24"/>
        </w:rPr>
        <w:t xml:space="preserve">；                    </w:t>
      </w:r>
      <w:r>
        <w:rPr>
          <w:sz w:val="24"/>
          <w:szCs w:val="24"/>
        </w:rPr>
      </w:r>
      <w:r/>
    </w:p>
    <w:p>
      <w:pPr>
        <w:pStyle w:val="1070"/>
        <w:ind w:firstLine="480"/>
        <w:rPr>
          <w:sz w:val="24"/>
          <w:szCs w:val="24"/>
        </w:rPr>
      </w:pPr>
      <w:r>
        <w:rPr>
          <w:sz w:val="24"/>
          <w:szCs w:val="24"/>
        </w:rPr>
        <w:t xml:space="preserve">8.5 </w:t>
      </w:r>
      <w:r>
        <w:rPr>
          <w:rFonts w:hint="eastAsia"/>
          <w:sz w:val="24"/>
          <w:szCs w:val="24"/>
        </w:rPr>
        <w:t xml:space="preserve">有功</w:t>
      </w:r>
      <w:r>
        <w:rPr>
          <w:sz w:val="24"/>
          <w:szCs w:val="24"/>
        </w:rPr>
        <w:t xml:space="preserve">电能：0.5级；</w:t>
      </w:r>
      <w:r>
        <w:rPr>
          <w:sz w:val="24"/>
          <w:szCs w:val="24"/>
        </w:rPr>
      </w:r>
      <w:r/>
    </w:p>
    <w:p>
      <w:pPr>
        <w:pStyle w:val="1070"/>
        <w:ind w:firstLine="480"/>
        <w:rPr>
          <w:sz w:val="24"/>
          <w:szCs w:val="24"/>
        </w:rPr>
      </w:pPr>
      <w:r>
        <w:rPr>
          <w:sz w:val="24"/>
          <w:szCs w:val="24"/>
        </w:rPr>
        <w:t xml:space="preserve">8.6 冷水与热泵机组能效碳效分析软件：支持冷水及热泵机组能现场测试数据记录与能效碳效分析；支持测试报告的自动生成与导出；具备选择默认的碳折算因子和根据用户现场需求输入实际的碳折算因子进行计算的功能；</w:t>
      </w:r>
      <w:r>
        <w:rPr>
          <w:sz w:val="24"/>
          <w:szCs w:val="24"/>
        </w:rPr>
      </w:r>
      <w:r/>
    </w:p>
    <w:p>
      <w:pPr>
        <w:pStyle w:val="1070"/>
        <w:ind w:firstLine="480"/>
        <w:rPr>
          <w:sz w:val="24"/>
          <w:szCs w:val="24"/>
        </w:rPr>
      </w:pPr>
      <w:r>
        <w:rPr>
          <w:sz w:val="24"/>
          <w:szCs w:val="24"/>
        </w:rPr>
        <w:t xml:space="preserve">8.7 冷水与热泵机组能效碳效测试分析仪其功能和测试指标应能够满足GB 19577-2024《热泵和冷水机组能效限定值及能效等级》项目开展的要求。</w:t>
      </w:r>
      <w:r>
        <w:rPr>
          <w:sz w:val="24"/>
          <w:szCs w:val="24"/>
        </w:rPr>
      </w:r>
      <w:r/>
    </w:p>
    <w:p>
      <w:pPr>
        <w:pStyle w:val="1055"/>
        <w:keepLines w:val="0"/>
        <w:spacing w:before="0" w:after="0"/>
        <w:widowControl/>
        <w:tabs>
          <w:tab w:val="left" w:pos="540" w:leader="none"/>
        </w:tabs>
        <w:rPr>
          <w:rFonts w:eastAsia="宋体"/>
          <w:sz w:val="24"/>
        </w:rPr>
      </w:pPr>
      <w:r>
        <w:rPr>
          <w:rFonts w:eastAsia="宋体"/>
          <w:sz w:val="24"/>
        </w:rPr>
        <w:t xml:space="preserve">9. 供配电系统能效碳效测试分析仪</w:t>
      </w:r>
      <w:r>
        <w:rPr>
          <w:rFonts w:eastAsia="宋体"/>
          <w:sz w:val="24"/>
        </w:rPr>
      </w:r>
      <w:r/>
    </w:p>
    <w:p>
      <w:pPr>
        <w:pStyle w:val="1070"/>
        <w:ind w:firstLine="480"/>
        <w:rPr>
          <w:sz w:val="24"/>
          <w:szCs w:val="24"/>
        </w:rPr>
      </w:pPr>
      <w:r>
        <w:rPr>
          <w:sz w:val="24"/>
          <w:szCs w:val="24"/>
        </w:rPr>
        <w:t xml:space="preserve">9.1 电压</w:t>
      </w:r>
      <w:r>
        <w:rPr>
          <w:rFonts w:hint="eastAsia"/>
          <w:sz w:val="24"/>
          <w:szCs w:val="24"/>
        </w:rPr>
        <w:t xml:space="preserve">（交流10Hz至1kHz</w:t>
      </w:r>
      <w:r>
        <w:rPr>
          <w:sz w:val="24"/>
          <w:szCs w:val="24"/>
        </w:rPr>
        <w:t xml:space="preserve">）：4通道；10V：0.1%读数 + 0.2%量程；100V：0.1%读数 + 0.1%量程；1000V：0.1%读数 + 0.1%量程；</w:t>
      </w:r>
      <w:r>
        <w:rPr>
          <w:sz w:val="24"/>
          <w:szCs w:val="24"/>
        </w:rPr>
      </w:r>
      <w:r/>
    </w:p>
    <w:p>
      <w:pPr>
        <w:pStyle w:val="1070"/>
        <w:ind w:firstLine="480"/>
        <w:rPr>
          <w:sz w:val="24"/>
          <w:szCs w:val="24"/>
        </w:rPr>
      </w:pPr>
      <w:r>
        <w:rPr>
          <w:sz w:val="24"/>
          <w:szCs w:val="24"/>
        </w:rPr>
        <w:t xml:space="preserve">9.2 电流</w:t>
      </w:r>
      <w:r>
        <w:rPr>
          <w:rFonts w:hint="eastAsia"/>
          <w:sz w:val="24"/>
          <w:szCs w:val="24"/>
        </w:rPr>
        <w:t xml:space="preserve">（交流10Hz至1kHz</w:t>
      </w:r>
      <w:r>
        <w:rPr>
          <w:sz w:val="24"/>
          <w:szCs w:val="24"/>
        </w:rPr>
        <w:t xml:space="preserve">）：4通道；1A：0.1%读数 + 0.2%量程；10A：0.1%读数 + 0.1%量程；</w:t>
      </w:r>
      <w:r>
        <w:rPr>
          <w:sz w:val="24"/>
          <w:szCs w:val="24"/>
        </w:rPr>
      </w:r>
      <w:r/>
    </w:p>
    <w:p>
      <w:pPr>
        <w:pStyle w:val="1070"/>
        <w:ind w:firstLine="480"/>
        <w:rPr>
          <w:sz w:val="24"/>
          <w:szCs w:val="24"/>
        </w:rPr>
      </w:pPr>
      <w:r>
        <w:rPr>
          <w:sz w:val="24"/>
          <w:szCs w:val="24"/>
        </w:rPr>
        <w:t xml:space="preserve">9.3 </w:t>
      </w:r>
      <w:r>
        <w:rPr>
          <w:rFonts w:hint="eastAsia"/>
          <w:sz w:val="24"/>
          <w:szCs w:val="24"/>
        </w:rPr>
        <w:t xml:space="preserve">有功</w:t>
      </w:r>
      <w:r>
        <w:rPr>
          <w:sz w:val="24"/>
          <w:szCs w:val="24"/>
        </w:rPr>
        <w:t xml:space="preserve">功率</w:t>
      </w:r>
      <w:r>
        <w:rPr>
          <w:rFonts w:hint="eastAsia"/>
          <w:sz w:val="24"/>
          <w:szCs w:val="24"/>
        </w:rPr>
        <w:t xml:space="preserve">（交流10Hz至1kHz</w:t>
      </w:r>
      <w:r>
        <w:rPr>
          <w:sz w:val="24"/>
          <w:szCs w:val="24"/>
        </w:rPr>
        <w:t xml:space="preserve">）：0.2%读数 + 0.01%功率量程；</w:t>
      </w:r>
      <w:r>
        <w:rPr>
          <w:sz w:val="24"/>
          <w:szCs w:val="24"/>
        </w:rPr>
      </w:r>
      <w:r/>
    </w:p>
    <w:p>
      <w:pPr>
        <w:pStyle w:val="1070"/>
        <w:ind w:firstLine="480"/>
        <w:rPr>
          <w:sz w:val="24"/>
          <w:szCs w:val="24"/>
        </w:rPr>
      </w:pPr>
      <w:r>
        <w:rPr>
          <w:sz w:val="24"/>
          <w:szCs w:val="24"/>
        </w:rPr>
        <w:t xml:space="preserve">9.4 电压、电流、功率测量设备具有数据远传接口；</w:t>
      </w:r>
      <w:r>
        <w:rPr>
          <w:sz w:val="24"/>
          <w:szCs w:val="24"/>
        </w:rPr>
      </w:r>
      <w:r/>
    </w:p>
    <w:p>
      <w:pPr>
        <w:pStyle w:val="1070"/>
        <w:ind w:firstLine="480"/>
        <w:rPr>
          <w:sz w:val="24"/>
          <w:szCs w:val="24"/>
        </w:rPr>
      </w:pPr>
      <w:r>
        <w:rPr>
          <w:sz w:val="24"/>
          <w:szCs w:val="24"/>
        </w:rPr>
        <w:t xml:space="preserve">9.5 谐波：100次（50Hz/60Hz）；</w:t>
      </w:r>
      <w:r>
        <w:rPr>
          <w:sz w:val="24"/>
          <w:szCs w:val="24"/>
        </w:rPr>
      </w:r>
      <w:r/>
    </w:p>
    <w:p>
      <w:pPr>
        <w:pStyle w:val="1070"/>
        <w:rPr>
          <w:sz w:val="24"/>
          <w:szCs w:val="24"/>
        </w:rPr>
      </w:pPr>
      <w:r>
        <w:t xml:space="preserve">▲</w:t>
      </w:r>
      <w:r>
        <w:rPr>
          <w:sz w:val="24"/>
          <w:szCs w:val="24"/>
        </w:rPr>
        <w:t xml:space="preserve">9.6 </w:t>
      </w:r>
      <w:r>
        <w:rPr>
          <w:rFonts w:hint="eastAsia"/>
          <w:sz w:val="24"/>
          <w:szCs w:val="24"/>
        </w:rPr>
        <w:t xml:space="preserve">配套交直流两用的电流钳</w:t>
      </w:r>
      <w:r>
        <w:rPr>
          <w:sz w:val="24"/>
          <w:szCs w:val="24"/>
        </w:rPr>
        <w:t xml:space="preserve">：4</w:t>
      </w:r>
      <w:r>
        <w:rPr>
          <w:rFonts w:hint="eastAsia"/>
          <w:sz w:val="24"/>
          <w:szCs w:val="24"/>
        </w:rPr>
        <w:t xml:space="preserve">把</w:t>
      </w:r>
      <w:r>
        <w:rPr>
          <w:sz w:val="24"/>
          <w:szCs w:val="24"/>
        </w:rPr>
        <w:t xml:space="preserve">；量程：2000A；准确度：±（1.0 % 读数 +0.5 % 量程）；</w:t>
      </w:r>
      <w:r>
        <w:rPr>
          <w:sz w:val="24"/>
          <w:szCs w:val="24"/>
        </w:rPr>
      </w:r>
      <w:r/>
    </w:p>
    <w:p>
      <w:pPr>
        <w:pStyle w:val="1070"/>
        <w:ind w:firstLine="480"/>
        <w:rPr>
          <w:sz w:val="24"/>
          <w:szCs w:val="24"/>
        </w:rPr>
      </w:pPr>
      <w:r>
        <w:rPr>
          <w:rFonts w:ascii="Arial" w:hAnsi="Arial" w:cs="Arial"/>
          <w:sz w:val="24"/>
          <w:szCs w:val="24"/>
        </w:rPr>
        <w:t xml:space="preserve">▲</w:t>
      </w:r>
      <w:r>
        <w:rPr>
          <w:sz w:val="24"/>
          <w:szCs w:val="24"/>
        </w:rPr>
        <w:t xml:space="preserve">9.7 </w:t>
      </w:r>
      <w:r>
        <w:rPr>
          <w:rFonts w:hint="eastAsia"/>
          <w:sz w:val="24"/>
          <w:szCs w:val="24"/>
        </w:rPr>
        <w:t xml:space="preserve">配套</w:t>
      </w:r>
      <w:r>
        <w:rPr>
          <w:sz w:val="24"/>
          <w:szCs w:val="24"/>
        </w:rPr>
        <w:t xml:space="preserve">高电压分压探头：1000 Vac rms, 持续, 1500 V dc：±（0.1 % 读数 +0.1 % 量程）；</w:t>
      </w:r>
      <w:r>
        <w:rPr>
          <w:sz w:val="24"/>
          <w:szCs w:val="24"/>
        </w:rPr>
      </w:r>
      <w:r/>
    </w:p>
    <w:p>
      <w:pPr>
        <w:pStyle w:val="1070"/>
        <w:ind w:firstLine="480"/>
        <w:rPr>
          <w:sz w:val="24"/>
          <w:szCs w:val="24"/>
        </w:rPr>
      </w:pPr>
      <w:r>
        <w:rPr>
          <w:sz w:val="24"/>
          <w:szCs w:val="24"/>
        </w:rPr>
        <w:t xml:space="preserve">9.8 有功电能</w:t>
      </w:r>
      <w:r>
        <w:rPr>
          <w:rFonts w:hint="eastAsia"/>
          <w:sz w:val="24"/>
          <w:szCs w:val="24"/>
        </w:rPr>
        <w:t xml:space="preserve">：</w:t>
      </w:r>
      <w:r>
        <w:rPr>
          <w:sz w:val="24"/>
          <w:szCs w:val="24"/>
        </w:rPr>
        <w:t xml:space="preserve">0.5级；</w:t>
      </w:r>
      <w:r>
        <w:rPr>
          <w:sz w:val="24"/>
          <w:szCs w:val="24"/>
        </w:rPr>
      </w:r>
      <w:r/>
    </w:p>
    <w:p>
      <w:pPr>
        <w:pStyle w:val="1070"/>
        <w:rPr>
          <w:sz w:val="24"/>
          <w:szCs w:val="24"/>
        </w:rPr>
      </w:pPr>
      <w:r>
        <w:t xml:space="preserve">▲</w:t>
      </w:r>
      <w:r>
        <w:rPr>
          <w:sz w:val="24"/>
          <w:szCs w:val="24"/>
        </w:rPr>
        <w:t xml:space="preserve">9.9 应至少包含以下测量功能：电压电流有效值、直流成分、交流成分、整流平均值、峰值、峰峰值、波峰因数、波形系数、基波成分、基波含量、谐波失真、谐波含量、谐波因数、有功功率、无功功率、视在功率、功率因数、相移、效率、阻抗、电能、电量、频率；</w:t>
      </w:r>
      <w:r>
        <w:rPr>
          <w:sz w:val="24"/>
          <w:szCs w:val="24"/>
        </w:rPr>
      </w:r>
      <w:r/>
    </w:p>
    <w:p>
      <w:pPr>
        <w:pStyle w:val="1070"/>
        <w:ind w:firstLine="480"/>
        <w:rPr>
          <w:sz w:val="24"/>
          <w:szCs w:val="24"/>
        </w:rPr>
      </w:pPr>
      <w:r>
        <w:rPr>
          <w:sz w:val="24"/>
          <w:szCs w:val="24"/>
        </w:rPr>
        <w:t xml:space="preserve">9.10 供配电系统能效碳效分析软件：支持供配电系统现场测试数据记录与能效碳效分析；支持测试报告的自动生成与导出；具备选择默认的碳折算因子和根据用户现场需求输入实际的碳折算因子进行计算的功能；</w:t>
      </w:r>
      <w:r>
        <w:rPr>
          <w:sz w:val="24"/>
          <w:szCs w:val="24"/>
        </w:rPr>
      </w:r>
      <w:r/>
    </w:p>
    <w:p>
      <w:pPr>
        <w:pStyle w:val="1070"/>
        <w:ind w:firstLine="480"/>
        <w:rPr>
          <w:sz w:val="24"/>
          <w:szCs w:val="24"/>
        </w:rPr>
      </w:pPr>
      <w:r>
        <w:rPr>
          <w:sz w:val="24"/>
          <w:szCs w:val="24"/>
        </w:rPr>
        <w:t xml:space="preserve">9.11 供配电系统能效碳效测试分析仪其功能和测试指标应能够满足GB/T 16664-1996《企业供配电系统节能监测方法》项目开展的要求。</w:t>
      </w:r>
      <w:r>
        <w:rPr>
          <w:sz w:val="24"/>
          <w:szCs w:val="24"/>
        </w:rPr>
      </w:r>
      <w:r/>
    </w:p>
    <w:p>
      <w:pPr>
        <w:pStyle w:val="1055"/>
        <w:keepLines w:val="0"/>
        <w:spacing w:before="0" w:after="0"/>
        <w:widowControl/>
        <w:tabs>
          <w:tab w:val="left" w:pos="540" w:leader="none"/>
        </w:tabs>
        <w:rPr>
          <w:rFonts w:eastAsia="宋体"/>
          <w:sz w:val="24"/>
        </w:rPr>
      </w:pPr>
      <w:r>
        <w:rPr>
          <w:rFonts w:eastAsia="宋体"/>
          <w:sz w:val="24"/>
        </w:rPr>
        <w:t xml:space="preserve">10. 工业电热设备能效碳效测试分析仪</w:t>
      </w:r>
      <w:r>
        <w:rPr>
          <w:rFonts w:eastAsia="宋体"/>
          <w:sz w:val="24"/>
        </w:rPr>
      </w:r>
      <w:r/>
    </w:p>
    <w:p>
      <w:pPr>
        <w:pStyle w:val="1070"/>
        <w:ind w:firstLine="480"/>
        <w:rPr>
          <w:sz w:val="24"/>
          <w:szCs w:val="24"/>
        </w:rPr>
      </w:pPr>
      <w:r>
        <w:rPr>
          <w:sz w:val="24"/>
          <w:szCs w:val="24"/>
        </w:rPr>
        <w:t xml:space="preserve">10.1 电压</w:t>
      </w:r>
      <w:r>
        <w:rPr>
          <w:rFonts w:hint="eastAsia"/>
          <w:sz w:val="24"/>
          <w:szCs w:val="24"/>
        </w:rPr>
        <w:t xml:space="preserve">（交流10Hz至1kHz</w:t>
      </w:r>
      <w:r>
        <w:rPr>
          <w:sz w:val="24"/>
          <w:szCs w:val="24"/>
        </w:rPr>
        <w:t xml:space="preserve">）：4通道；100V：0.1%读数 + 0.1%量程；1000V：0.1%读数 + 0.1%量程；</w:t>
      </w:r>
      <w:r>
        <w:rPr>
          <w:sz w:val="24"/>
          <w:szCs w:val="24"/>
        </w:rPr>
      </w:r>
      <w:r/>
    </w:p>
    <w:p>
      <w:pPr>
        <w:pStyle w:val="1070"/>
        <w:ind w:firstLine="480"/>
        <w:rPr>
          <w:sz w:val="24"/>
          <w:szCs w:val="24"/>
        </w:rPr>
      </w:pPr>
      <w:r>
        <w:rPr>
          <w:sz w:val="24"/>
          <w:szCs w:val="24"/>
        </w:rPr>
        <w:t xml:space="preserve">10.2 电流</w:t>
      </w:r>
      <w:r>
        <w:rPr>
          <w:rFonts w:hint="eastAsia"/>
          <w:sz w:val="24"/>
          <w:szCs w:val="24"/>
        </w:rPr>
        <w:t xml:space="preserve">（交流10Hz至1kHz</w:t>
      </w:r>
      <w:r>
        <w:rPr>
          <w:sz w:val="24"/>
          <w:szCs w:val="24"/>
        </w:rPr>
        <w:t xml:space="preserve">）：4通道；</w:t>
      </w:r>
      <w:r>
        <w:rPr>
          <w:rFonts w:hint="eastAsia"/>
          <w:sz w:val="24"/>
          <w:szCs w:val="24"/>
        </w:rPr>
        <w:t xml:space="preserve">10A：0.1%读数 + 0.</w:t>
      </w:r>
      <w:r>
        <w:rPr>
          <w:sz w:val="24"/>
          <w:szCs w:val="24"/>
        </w:rPr>
        <w:t xml:space="preserve">1</w:t>
      </w:r>
      <w:r>
        <w:rPr>
          <w:rFonts w:hint="eastAsia"/>
          <w:sz w:val="24"/>
          <w:szCs w:val="24"/>
        </w:rPr>
        <w:t xml:space="preserve">%量程；</w:t>
      </w:r>
      <w:r>
        <w:rPr>
          <w:sz w:val="24"/>
          <w:szCs w:val="24"/>
        </w:rPr>
      </w:r>
      <w:r/>
    </w:p>
    <w:p>
      <w:pPr>
        <w:pStyle w:val="1070"/>
        <w:ind w:firstLine="480"/>
        <w:rPr>
          <w:sz w:val="24"/>
          <w:szCs w:val="24"/>
        </w:rPr>
      </w:pPr>
      <w:r>
        <w:rPr>
          <w:sz w:val="24"/>
          <w:szCs w:val="24"/>
        </w:rPr>
        <w:t xml:space="preserve">10.3 有功功率（交流10Hz至1kHz）：0.2%读数 + 0.01%功率量程；</w:t>
      </w:r>
      <w:r>
        <w:rPr>
          <w:sz w:val="24"/>
          <w:szCs w:val="24"/>
        </w:rPr>
      </w:r>
      <w:r/>
    </w:p>
    <w:p>
      <w:pPr>
        <w:pStyle w:val="1070"/>
        <w:ind w:firstLine="480"/>
        <w:rPr>
          <w:sz w:val="24"/>
          <w:szCs w:val="24"/>
        </w:rPr>
      </w:pPr>
      <w:r>
        <w:rPr>
          <w:sz w:val="24"/>
          <w:szCs w:val="24"/>
        </w:rPr>
        <w:t xml:space="preserve">10.4</w:t>
      </w:r>
      <w:r>
        <w:rPr>
          <w:rFonts w:hint="eastAsia"/>
          <w:sz w:val="24"/>
          <w:szCs w:val="24"/>
        </w:rPr>
        <w:t xml:space="preserve">配套交直流两用的电流钳</w:t>
      </w:r>
      <w:r>
        <w:rPr>
          <w:sz w:val="24"/>
          <w:szCs w:val="24"/>
        </w:rPr>
        <w:t xml:space="preserve">：4</w:t>
      </w:r>
      <w:r>
        <w:rPr>
          <w:rFonts w:hint="eastAsia"/>
          <w:sz w:val="24"/>
          <w:szCs w:val="24"/>
        </w:rPr>
        <w:t xml:space="preserve">把</w:t>
      </w:r>
      <w:r>
        <w:rPr>
          <w:sz w:val="24"/>
          <w:szCs w:val="24"/>
        </w:rPr>
        <w:t xml:space="preserve">；量程：2000A；准确度：±（1.0 % 读数 +0.5 % 量程）；</w:t>
      </w:r>
      <w:r>
        <w:rPr>
          <w:sz w:val="24"/>
          <w:szCs w:val="24"/>
        </w:rPr>
      </w:r>
      <w:r/>
    </w:p>
    <w:p>
      <w:pPr>
        <w:pStyle w:val="1070"/>
        <w:ind w:firstLine="480"/>
        <w:rPr>
          <w:sz w:val="24"/>
          <w:szCs w:val="24"/>
        </w:rPr>
      </w:pPr>
      <w:r>
        <w:rPr>
          <w:sz w:val="24"/>
          <w:szCs w:val="24"/>
        </w:rPr>
        <w:t xml:space="preserve">10.5 有功电能：0.5级；</w:t>
      </w:r>
      <w:r>
        <w:rPr>
          <w:sz w:val="24"/>
          <w:szCs w:val="24"/>
        </w:rPr>
      </w:r>
      <w:r/>
    </w:p>
    <w:p>
      <w:pPr>
        <w:pStyle w:val="1070"/>
        <w:ind w:firstLine="480"/>
        <w:rPr>
          <w:sz w:val="24"/>
          <w:szCs w:val="24"/>
        </w:rPr>
      </w:pPr>
      <w:r>
        <w:rPr>
          <w:sz w:val="24"/>
          <w:szCs w:val="24"/>
        </w:rPr>
        <w:t xml:space="preserve">10.6 温度采集器：精度：5%（100℃-1000℃），通道数不少于6路；支持二次开发；</w:t>
      </w:r>
      <w:r>
        <w:rPr>
          <w:sz w:val="24"/>
          <w:szCs w:val="24"/>
        </w:rPr>
      </w:r>
      <w:r/>
    </w:p>
    <w:p>
      <w:pPr>
        <w:pStyle w:val="1070"/>
        <w:ind w:firstLine="480"/>
        <w:rPr>
          <w:sz w:val="24"/>
          <w:szCs w:val="24"/>
        </w:rPr>
      </w:pPr>
      <w:r>
        <w:rPr>
          <w:sz w:val="24"/>
          <w:szCs w:val="24"/>
        </w:rPr>
        <w:t xml:space="preserve">10.7 炉温-记录：12通道，精度：≤±0.5℃（500℃以内），≤±1.0℃（1000℃以内）；记录数据可导出进行分析处理；</w:t>
      </w:r>
      <w:r>
        <w:rPr>
          <w:sz w:val="24"/>
          <w:szCs w:val="24"/>
        </w:rPr>
      </w:r>
      <w:r/>
    </w:p>
    <w:p>
      <w:pPr>
        <w:pStyle w:val="1070"/>
        <w:ind w:firstLine="480"/>
        <w:rPr>
          <w:sz w:val="24"/>
          <w:szCs w:val="24"/>
        </w:rPr>
      </w:pPr>
      <w:r>
        <w:rPr>
          <w:rFonts w:hint="eastAsia"/>
          <w:sz w:val="24"/>
          <w:szCs w:val="24"/>
        </w:rPr>
        <w:t xml:space="preserve">★</w:t>
      </w:r>
      <w:r>
        <w:rPr>
          <w:sz w:val="24"/>
          <w:szCs w:val="24"/>
        </w:rPr>
        <w:t xml:space="preserve">10.8 红外热</w:t>
      </w:r>
      <w:r>
        <w:rPr>
          <w:rFonts w:hint="eastAsia"/>
          <w:sz w:val="24"/>
          <w:szCs w:val="24"/>
        </w:rPr>
        <w:t xml:space="preserve">成</w:t>
      </w:r>
      <w:r>
        <w:rPr>
          <w:sz w:val="24"/>
          <w:szCs w:val="24"/>
        </w:rPr>
        <w:t xml:space="preserve">像仪</w:t>
      </w:r>
      <w:r>
        <w:rPr>
          <w:rFonts w:hint="eastAsia"/>
          <w:sz w:val="24"/>
          <w:szCs w:val="24"/>
        </w:rPr>
        <w:t xml:space="preserve">：测温范围</w:t>
      </w:r>
      <w:r>
        <w:rPr>
          <w:sz w:val="24"/>
          <w:szCs w:val="24"/>
        </w:rPr>
        <w:t xml:space="preserve">(-40～+2000)℃，</w:t>
      </w:r>
      <w:r>
        <w:rPr>
          <w:rFonts w:hint="eastAsia"/>
          <w:sz w:val="24"/>
          <w:szCs w:val="24"/>
        </w:rPr>
        <w:t xml:space="preserve">精度：</w:t>
      </w:r>
      <w:r>
        <w:rPr>
          <w:sz w:val="24"/>
          <w:szCs w:val="24"/>
        </w:rPr>
        <w:t xml:space="preserve">±2℃或±2%, 取大值；</w:t>
      </w:r>
      <w:r>
        <w:rPr>
          <w:rFonts w:hint="eastAsia" w:ascii="Arial" w:hAnsi="Arial" w:eastAsia="仿宋_GB2312" w:cs="Arial"/>
          <w:b/>
          <w:bCs/>
          <w:color w:val="c00000"/>
          <w:sz w:val="24"/>
          <w:lang w:eastAsia="zh-CN"/>
        </w:rPr>
        <w:t xml:space="preserve">（</w:t>
      </w:r>
      <w:r>
        <w:rPr>
          <w:rFonts w:hint="eastAsia" w:ascii="Arial" w:hAnsi="Arial" w:eastAsia="仿宋_GB2312" w:cs="Arial"/>
          <w:b/>
          <w:bCs/>
          <w:color w:val="c00000"/>
          <w:sz w:val="24"/>
          <w:lang w:val="en-US" w:eastAsia="zh-CN"/>
        </w:rPr>
        <w:t xml:space="preserve">投标文件中提供</w:t>
      </w:r>
      <w:r>
        <w:rPr>
          <w:rFonts w:hint="eastAsia" w:ascii="Arial" w:hAnsi="Arial" w:eastAsia="仿宋_GB2312" w:cs="Arial"/>
          <w:b/>
          <w:bCs/>
          <w:color w:val="c00000"/>
          <w:sz w:val="24"/>
          <w:lang w:eastAsia="zh-CN"/>
        </w:rPr>
        <w:t xml:space="preserve">公开发行的手册、彩页、官网截图、功能页面截图、检测报告或白皮书等证明材料）</w:t>
      </w:r>
      <w:r>
        <w:rPr>
          <w:sz w:val="24"/>
          <w:szCs w:val="24"/>
        </w:rPr>
        <w:t xml:space="preserve"> </w:t>
      </w:r>
      <w:r>
        <w:rPr>
          <w:sz w:val="24"/>
          <w:szCs w:val="24"/>
        </w:rPr>
      </w:r>
      <w:r/>
    </w:p>
    <w:p>
      <w:pPr>
        <w:pStyle w:val="1070"/>
        <w:ind w:firstLine="480"/>
        <w:rPr>
          <w:sz w:val="24"/>
          <w:szCs w:val="24"/>
        </w:rPr>
      </w:pPr>
      <w:r>
        <w:rPr>
          <w:sz w:val="24"/>
          <w:szCs w:val="24"/>
        </w:rPr>
        <w:t xml:space="preserve">10.9 红外热</w:t>
      </w:r>
      <w:r>
        <w:rPr>
          <w:rFonts w:hint="eastAsia"/>
          <w:sz w:val="24"/>
          <w:szCs w:val="24"/>
        </w:rPr>
        <w:t xml:space="preserve">成</w:t>
      </w:r>
      <w:r>
        <w:rPr>
          <w:sz w:val="24"/>
          <w:szCs w:val="24"/>
        </w:rPr>
        <w:t xml:space="preserve">像仪</w:t>
      </w:r>
      <w:r>
        <w:rPr>
          <w:rFonts w:hint="eastAsia"/>
          <w:sz w:val="24"/>
          <w:szCs w:val="24"/>
        </w:rPr>
        <w:t xml:space="preserve">：数字变倍：</w:t>
      </w:r>
      <w:r>
        <w:rPr>
          <w:sz w:val="24"/>
          <w:szCs w:val="24"/>
        </w:rPr>
        <w:t xml:space="preserve">1.1</w:t>
      </w:r>
      <w:r>
        <w:rPr>
          <w:rFonts w:hint="eastAsia"/>
          <w:sz w:val="24"/>
          <w:szCs w:val="24"/>
        </w:rPr>
        <w:t xml:space="preserve">x</w:t>
      </w:r>
      <w:r>
        <w:rPr>
          <w:sz w:val="24"/>
          <w:szCs w:val="24"/>
        </w:rPr>
        <w:t xml:space="preserve">~40x；</w:t>
      </w:r>
      <w:r>
        <w:rPr>
          <w:sz w:val="24"/>
          <w:szCs w:val="24"/>
        </w:rPr>
      </w:r>
      <w:r/>
    </w:p>
    <w:p>
      <w:pPr>
        <w:pStyle w:val="1070"/>
        <w:ind w:firstLine="480"/>
        <w:rPr>
          <w:sz w:val="24"/>
          <w:szCs w:val="24"/>
        </w:rPr>
      </w:pPr>
      <w:r>
        <w:rPr>
          <w:sz w:val="24"/>
          <w:szCs w:val="24"/>
        </w:rPr>
        <w:t xml:space="preserve">▲10.10 红外热</w:t>
      </w:r>
      <w:r>
        <w:rPr>
          <w:rFonts w:hint="eastAsia"/>
          <w:sz w:val="24"/>
          <w:szCs w:val="24"/>
        </w:rPr>
        <w:t xml:space="preserve">成</w:t>
      </w:r>
      <w:r>
        <w:rPr>
          <w:sz w:val="24"/>
          <w:szCs w:val="24"/>
        </w:rPr>
        <w:t xml:space="preserve">像仪: </w:t>
      </w:r>
      <w:r>
        <w:rPr>
          <w:rFonts w:hint="eastAsia"/>
          <w:sz w:val="24"/>
          <w:szCs w:val="24"/>
        </w:rPr>
        <w:t xml:space="preserve">分析对象：测温点30个；测温线30个；测温区域30个</w:t>
      </w:r>
      <w:r>
        <w:rPr>
          <w:sz w:val="24"/>
          <w:szCs w:val="24"/>
        </w:rPr>
        <w:t xml:space="preserve">；</w:t>
      </w:r>
      <w:r>
        <w:rPr>
          <w:sz w:val="24"/>
          <w:szCs w:val="24"/>
        </w:rPr>
      </w:r>
      <w:r/>
    </w:p>
    <w:p>
      <w:pPr>
        <w:pStyle w:val="1070"/>
        <w:ind w:firstLine="480"/>
        <w:rPr>
          <w:sz w:val="24"/>
          <w:szCs w:val="24"/>
        </w:rPr>
      </w:pPr>
      <w:r>
        <w:rPr>
          <w:sz w:val="24"/>
          <w:szCs w:val="24"/>
        </w:rPr>
        <w:t xml:space="preserve">10.11 红外热</w:t>
      </w:r>
      <w:r>
        <w:rPr>
          <w:rFonts w:hint="eastAsia"/>
          <w:sz w:val="24"/>
          <w:szCs w:val="24"/>
        </w:rPr>
        <w:t xml:space="preserve">成</w:t>
      </w:r>
      <w:r>
        <w:rPr>
          <w:sz w:val="24"/>
          <w:szCs w:val="24"/>
        </w:rPr>
        <w:t xml:space="preserve">像仪:</w:t>
      </w:r>
      <w:r>
        <w:rPr>
          <w:rFonts w:hint="eastAsia"/>
        </w:rPr>
        <w:t xml:space="preserve"> </w:t>
      </w:r>
      <w:r>
        <w:rPr>
          <w:rFonts w:hint="eastAsia"/>
          <w:sz w:val="24"/>
          <w:szCs w:val="24"/>
        </w:rPr>
        <w:t xml:space="preserve">显示屏：不小于5.5寸1920×1080高亮触摸LCD屏；目镜：不小于1920×1080 OLED；肩屏：可显示电量，存储容量等信息；</w:t>
      </w:r>
      <w:r>
        <w:rPr>
          <w:sz w:val="24"/>
          <w:szCs w:val="24"/>
        </w:rPr>
        <w:t xml:space="preserve">                                          </w:t>
      </w:r>
      <w:r>
        <w:rPr>
          <w:sz w:val="24"/>
          <w:szCs w:val="24"/>
        </w:rPr>
      </w:r>
      <w:r/>
    </w:p>
    <w:p>
      <w:pPr>
        <w:pStyle w:val="1070"/>
        <w:ind w:firstLine="480"/>
        <w:rPr>
          <w:sz w:val="24"/>
          <w:szCs w:val="24"/>
        </w:rPr>
      </w:pPr>
      <w:r>
        <w:rPr>
          <w:sz w:val="24"/>
          <w:szCs w:val="24"/>
        </w:rPr>
        <w:t xml:space="preserve">▲10.12 质量：0～6kg 线性偏差典型值：60mg；0～300kg 检定分度数等级 III：6000e，e=50g；</w:t>
      </w:r>
      <w:r>
        <w:rPr>
          <w:sz w:val="24"/>
          <w:szCs w:val="24"/>
        </w:rPr>
      </w:r>
      <w:r/>
    </w:p>
    <w:p>
      <w:pPr>
        <w:pStyle w:val="1070"/>
        <w:ind w:firstLine="480"/>
        <w:rPr>
          <w:sz w:val="24"/>
          <w:szCs w:val="24"/>
        </w:rPr>
      </w:pPr>
      <w:r>
        <w:rPr>
          <w:sz w:val="24"/>
          <w:szCs w:val="24"/>
        </w:rPr>
        <w:t xml:space="preserve">10.13 工业热电设备能效碳效分析软件：支持工业电热设备现场测试数据记录与能效碳效分析；支持测试报告的自动生成与导出；具备选择默认的碳折算因子和根据用户现场需求输入实际的碳折算因子进行计算的功能；</w:t>
      </w:r>
      <w:r>
        <w:rPr>
          <w:sz w:val="24"/>
          <w:szCs w:val="24"/>
        </w:rPr>
      </w:r>
      <w:r/>
    </w:p>
    <w:p>
      <w:pPr>
        <w:pStyle w:val="1070"/>
        <w:ind w:firstLine="480"/>
        <w:rPr>
          <w:sz w:val="24"/>
          <w:szCs w:val="24"/>
        </w:rPr>
      </w:pPr>
      <w:r>
        <w:rPr>
          <w:sz w:val="24"/>
          <w:szCs w:val="24"/>
        </w:rPr>
        <w:t xml:space="preserve">10.14 工业热电设备能效碳效测试分析仪其功能和测试指标应能够满足GB/T 15911-2021《工业电热设备节能监测方法》项目开展的要求。</w:t>
      </w:r>
      <w:r>
        <w:rPr>
          <w:sz w:val="24"/>
          <w:szCs w:val="24"/>
        </w:rPr>
      </w:r>
      <w:r/>
    </w:p>
    <w:p>
      <w:pPr>
        <w:pStyle w:val="1055"/>
        <w:keepLines w:val="0"/>
        <w:spacing w:before="0" w:after="0"/>
        <w:widowControl/>
        <w:tabs>
          <w:tab w:val="left" w:pos="540" w:leader="none"/>
        </w:tabs>
        <w:rPr>
          <w:rFonts w:eastAsia="宋体"/>
          <w:sz w:val="24"/>
        </w:rPr>
      </w:pPr>
      <w:r>
        <w:rPr>
          <w:rFonts w:eastAsia="宋体"/>
          <w:sz w:val="24"/>
        </w:rPr>
        <w:t xml:space="preserve">11. 热力输送系统能效碳效测试分析仪</w:t>
      </w:r>
      <w:r>
        <w:rPr>
          <w:rFonts w:eastAsia="宋体"/>
          <w:sz w:val="24"/>
        </w:rPr>
      </w:r>
      <w:r/>
    </w:p>
    <w:p>
      <w:pPr>
        <w:pStyle w:val="1070"/>
        <w:ind w:firstLine="480"/>
        <w:rPr>
          <w:sz w:val="24"/>
          <w:szCs w:val="24"/>
        </w:rPr>
      </w:pPr>
      <w:r>
        <w:rPr>
          <w:sz w:val="24"/>
          <w:szCs w:val="24"/>
        </w:rPr>
        <w:t xml:space="preserve">11.1 温度采集</w:t>
      </w:r>
      <w:r>
        <w:rPr>
          <w:rFonts w:hint="eastAsia"/>
          <w:sz w:val="24"/>
          <w:szCs w:val="24"/>
        </w:rPr>
        <w:t xml:space="preserve">器</w:t>
      </w:r>
      <w:r>
        <w:rPr>
          <w:sz w:val="24"/>
          <w:szCs w:val="24"/>
        </w:rPr>
        <w:t xml:space="preserve">：2.0级，通道数不少于30路；支持二次开发；</w:t>
      </w:r>
      <w:r>
        <w:rPr>
          <w:sz w:val="24"/>
          <w:szCs w:val="24"/>
        </w:rPr>
      </w:r>
      <w:r/>
    </w:p>
    <w:p>
      <w:pPr>
        <w:pStyle w:val="1070"/>
        <w:ind w:firstLine="480"/>
        <w:rPr>
          <w:sz w:val="24"/>
          <w:szCs w:val="24"/>
        </w:rPr>
      </w:pPr>
      <w:r>
        <w:rPr>
          <w:rFonts w:ascii="Arial" w:hAnsi="Arial" w:cs="Arial"/>
          <w:sz w:val="24"/>
          <w:szCs w:val="24"/>
        </w:rPr>
        <w:t xml:space="preserve">▲</w:t>
      </w:r>
      <w:r>
        <w:rPr>
          <w:sz w:val="24"/>
          <w:szCs w:val="24"/>
        </w:rPr>
        <w:t xml:space="preserve">11.</w:t>
      </w:r>
      <w:r>
        <w:rPr>
          <w:rFonts w:hint="eastAsia"/>
          <w:sz w:val="24"/>
          <w:szCs w:val="24"/>
        </w:rPr>
        <w:t xml:space="preserve">2</w:t>
      </w:r>
      <w:r>
        <w:rPr>
          <w:sz w:val="24"/>
          <w:szCs w:val="24"/>
        </w:rPr>
        <w:t xml:space="preserve"> </w:t>
      </w:r>
      <w:r>
        <w:rPr>
          <w:rFonts w:hint="eastAsia"/>
          <w:sz w:val="24"/>
          <w:szCs w:val="24"/>
        </w:rPr>
        <w:t xml:space="preserve">热式</w:t>
      </w:r>
      <w:r>
        <w:rPr>
          <w:sz w:val="24"/>
          <w:szCs w:val="24"/>
        </w:rPr>
        <w:t xml:space="preserve">风速</w:t>
      </w:r>
      <w:r>
        <w:rPr>
          <w:rFonts w:hint="eastAsia"/>
          <w:sz w:val="24"/>
          <w:szCs w:val="24"/>
        </w:rPr>
        <w:t xml:space="preserve">仪</w:t>
      </w:r>
      <w:r>
        <w:rPr>
          <w:sz w:val="24"/>
          <w:szCs w:val="24"/>
        </w:rPr>
        <w:t xml:space="preserve">：0.00~50.0 m/s；读数值的±3%和0.015m/s两者取大值；</w:t>
      </w:r>
      <w:r>
        <w:rPr>
          <w:sz w:val="24"/>
          <w:szCs w:val="24"/>
        </w:rPr>
      </w:r>
      <w:r/>
    </w:p>
    <w:p>
      <w:pPr>
        <w:pStyle w:val="1070"/>
        <w:ind w:firstLine="480"/>
        <w:rPr>
          <w:sz w:val="24"/>
          <w:szCs w:val="24"/>
        </w:rPr>
      </w:pPr>
      <w:r>
        <w:rPr>
          <w:sz w:val="24"/>
          <w:szCs w:val="24"/>
        </w:rPr>
        <w:t xml:space="preserve">11.3热力输送系统能效碳效分析软件：支持</w:t>
      </w:r>
      <w:r>
        <w:rPr>
          <w:sz w:val="24"/>
        </w:rPr>
        <w:t xml:space="preserve">热力输送系统</w:t>
      </w:r>
      <w:r>
        <w:rPr>
          <w:sz w:val="24"/>
          <w:szCs w:val="24"/>
        </w:rPr>
        <w:t xml:space="preserve">现场测试数据记录与能效碳效分析；支持测试报告的自动生成与导出；具备选择默认的碳折算因子和根据用户现场需求输入实际的碳折算因子进行计算的功能；</w:t>
      </w:r>
      <w:r>
        <w:rPr>
          <w:sz w:val="24"/>
          <w:szCs w:val="24"/>
        </w:rPr>
      </w:r>
      <w:r/>
    </w:p>
    <w:p>
      <w:pPr>
        <w:pStyle w:val="1070"/>
        <w:ind w:firstLine="480"/>
        <w:rPr>
          <w:sz w:val="24"/>
          <w:szCs w:val="24"/>
        </w:rPr>
      </w:pPr>
      <w:r>
        <w:rPr>
          <w:sz w:val="24"/>
          <w:szCs w:val="24"/>
        </w:rPr>
        <w:t xml:space="preserve">11.4 热力输送系统能效碳效测试分析仪其功能和测试指标应能够满足GB/T 15910-2009《热力输送系统节能监测》项目开展的要求。</w:t>
      </w:r>
      <w:r>
        <w:rPr>
          <w:sz w:val="24"/>
          <w:szCs w:val="24"/>
        </w:rPr>
      </w:r>
      <w:r/>
    </w:p>
    <w:p>
      <w:pPr>
        <w:pStyle w:val="1070"/>
        <w:ind w:firstLine="480"/>
        <w:rPr>
          <w:rFonts w:hint="eastAsia" w:ascii="宋体" w:hAnsi="宋体"/>
          <w:b/>
          <w:bCs/>
          <w:sz w:val="24"/>
          <w:szCs w:val="24"/>
        </w:rPr>
      </w:pPr>
      <w:r>
        <w:rPr>
          <w:rFonts w:ascii="宋体" w:hAnsi="宋体"/>
          <w:b/>
          <w:bCs/>
          <w:sz w:val="24"/>
          <w:szCs w:val="24"/>
        </w:rPr>
        <w:t xml:space="preserve">12.能源计量测试系统功能要求</w:t>
      </w:r>
      <w:r>
        <w:rPr>
          <w:rFonts w:hint="eastAsia" w:ascii="宋体" w:hAnsi="宋体"/>
          <w:b/>
          <w:bCs/>
          <w:sz w:val="24"/>
          <w:szCs w:val="24"/>
        </w:rPr>
      </w:r>
      <w:r/>
    </w:p>
    <w:p>
      <w:pPr>
        <w:pStyle w:val="1070"/>
        <w:ind w:firstLine="480"/>
        <w:rPr>
          <w:sz w:val="24"/>
          <w:szCs w:val="24"/>
        </w:rPr>
      </w:pPr>
      <w:r>
        <w:rPr>
          <w:sz w:val="24"/>
          <w:szCs w:val="24"/>
        </w:rPr>
        <w:t xml:space="preserve">12.1 气体、液体、蒸汽流量计可在上述能效碳效测试分析仪/系统之间共享复用，技术指标须符合各系统技术规范要求，且具备智能交互接口能够实现与各涉及流量参数的能效碳效系统对接集成。</w:t>
      </w:r>
      <w:r>
        <w:rPr>
          <w:sz w:val="24"/>
          <w:szCs w:val="24"/>
        </w:rPr>
      </w:r>
      <w:r/>
    </w:p>
    <w:p>
      <w:pPr>
        <w:pStyle w:val="1070"/>
        <w:ind w:firstLine="480"/>
        <w:rPr>
          <w:sz w:val="24"/>
          <w:szCs w:val="24"/>
        </w:rPr>
      </w:pPr>
      <w:r>
        <w:rPr>
          <w:sz w:val="24"/>
          <w:szCs w:val="24"/>
        </w:rPr>
        <w:t xml:space="preserve">12.2 电压、电流、功率及电能测量设备可在上述能效碳效测试分析仪/系统间可以共享复用，测试系统整体须配置2套电参数测量设备，技术指标须符合各系统技术规范要求，且具备智能交互接口能够实现与各涉及电参数测量的能效碳效系统对接集成。</w:t>
      </w:r>
      <w:r>
        <w:rPr>
          <w:sz w:val="24"/>
          <w:szCs w:val="24"/>
        </w:rPr>
      </w:r>
      <w:r/>
    </w:p>
    <w:p>
      <w:pPr>
        <w:pStyle w:val="1070"/>
        <w:ind w:firstLine="480"/>
        <w:rPr>
          <w:sz w:val="24"/>
          <w:szCs w:val="24"/>
        </w:rPr>
      </w:pPr>
      <w:r>
        <w:rPr>
          <w:sz w:val="24"/>
          <w:szCs w:val="24"/>
        </w:rPr>
        <w:t xml:space="preserve">12.3  控制软件应能通过买方提供的接口从业务系统获取该项目的检测任务及基本信息（json格式）、最新原始记录模板文件。</w:t>
      </w:r>
      <w:r>
        <w:rPr>
          <w:sz w:val="24"/>
          <w:szCs w:val="24"/>
        </w:rPr>
      </w:r>
      <w:r/>
    </w:p>
    <w:p>
      <w:pPr>
        <w:pStyle w:val="1070"/>
        <w:ind w:firstLine="480"/>
        <w:rPr>
          <w:sz w:val="24"/>
          <w:szCs w:val="24"/>
        </w:rPr>
      </w:pPr>
      <w:r>
        <w:rPr>
          <w:sz w:val="24"/>
          <w:szCs w:val="24"/>
        </w:rPr>
        <w:t xml:space="preserve">12.4 控制软件导出数据到原始记录模板文件（excel格式），生成电子原始记录文件。</w:t>
      </w:r>
      <w:r>
        <w:rPr>
          <w:sz w:val="24"/>
          <w:szCs w:val="24"/>
        </w:rPr>
      </w:r>
      <w:r/>
    </w:p>
    <w:p>
      <w:pPr>
        <w:pStyle w:val="1070"/>
        <w:ind w:firstLine="480"/>
        <w:rPr>
          <w:sz w:val="24"/>
          <w:szCs w:val="24"/>
        </w:rPr>
      </w:pPr>
      <w:r>
        <w:rPr>
          <w:sz w:val="24"/>
          <w:szCs w:val="24"/>
        </w:rPr>
        <w:t xml:space="preserve">12.5 控制软件通过将电子原始记录文件和唯一性号信息推送到业务系统。</w:t>
      </w:r>
      <w:r>
        <w:rPr>
          <w:sz w:val="24"/>
          <w:szCs w:val="24"/>
        </w:rPr>
      </w:r>
      <w:r/>
    </w:p>
    <w:p>
      <w:pPr>
        <w:pStyle w:val="1070"/>
        <w:rPr>
          <w:sz w:val="24"/>
          <w:szCs w:val="24"/>
        </w:rPr>
      </w:pPr>
      <w:r>
        <w:t xml:space="preserve">▲</w:t>
      </w:r>
      <w:r>
        <w:rPr>
          <w:rFonts w:hint="eastAsia"/>
          <w:sz w:val="24"/>
          <w:szCs w:val="24"/>
        </w:rPr>
        <w:t xml:space="preserve">12.6 </w:t>
      </w:r>
      <w:r>
        <w:rPr>
          <w:sz w:val="24"/>
          <w:szCs w:val="24"/>
        </w:rPr>
        <w:t xml:space="preserve">能效碳效测试分析仪/系统</w:t>
      </w:r>
      <w:r>
        <w:rPr>
          <w:rFonts w:hint="eastAsia"/>
          <w:sz w:val="24"/>
          <w:szCs w:val="24"/>
        </w:rPr>
        <w:t xml:space="preserve">具备智能交互接口，支持4G无线远程通信，</w:t>
      </w:r>
      <w:r>
        <w:rPr>
          <w:rFonts w:hint="eastAsia" w:ascii="宋体" w:hAnsi="宋体" w:cs="宋体"/>
          <w:sz w:val="24"/>
          <w:szCs w:val="24"/>
        </w:rPr>
        <w:t xml:space="preserve">能够实现与买方已有基于物联网与云平台技术的试验设备远程监控平台集成，提供明确的集成方案与技术路线。</w:t>
      </w:r>
      <w:r>
        <w:rPr>
          <w:sz w:val="24"/>
          <w:szCs w:val="24"/>
        </w:rPr>
      </w:r>
      <w:r/>
    </w:p>
    <w:p>
      <w:pPr>
        <w:pStyle w:val="1053"/>
        <w:rPr>
          <w:rFonts w:ascii="Arial" w:hAnsi="Arial" w:eastAsia="仿宋_GB2312" w:cs="Arial"/>
          <w:bCs/>
          <w:sz w:val="24"/>
          <w:szCs w:val="24"/>
        </w:rPr>
      </w:pPr>
      <w:r>
        <w:rPr>
          <w:rFonts w:ascii="Arial" w:hAnsi="Arial" w:eastAsia="仿宋_GB2312" w:cs="Arial"/>
          <w:bCs/>
          <w:sz w:val="24"/>
          <w:szCs w:val="24"/>
        </w:rPr>
      </w:r>
      <w:r/>
    </w:p>
    <w:p>
      <w:pPr>
        <w:pStyle w:val="1153"/>
        <w:ind w:firstLine="241"/>
        <w:rPr>
          <w:rFonts w:hint="eastAsia" w:ascii="宋体" w:hAnsi="宋体" w:eastAsia="宋体" w:cs="宋体"/>
          <w:b/>
          <w:bCs/>
          <w:szCs w:val="24"/>
        </w:rPr>
      </w:pPr>
      <w:r>
        <w:rPr>
          <w:rFonts w:hint="eastAsia" w:ascii="宋体" w:hAnsi="宋体" w:eastAsia="宋体" w:cs="宋体"/>
          <w:b/>
          <w:bCs/>
          <w:szCs w:val="24"/>
        </w:rPr>
        <w:t xml:space="preserve">（三）说明：</w:t>
      </w:r>
      <w:r>
        <w:rPr>
          <w:rFonts w:hint="eastAsia" w:ascii="宋体" w:hAnsi="宋体" w:eastAsia="宋体" w:cs="宋体"/>
          <w:b/>
          <w:bCs/>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t xml:space="preserve">1.本项目</w:t>
      </w:r>
      <w:r>
        <w:rPr>
          <w:rFonts w:hint="eastAsia" w:ascii="宋体" w:hAnsi="宋体" w:eastAsia="宋体" w:cs="宋体"/>
          <w:b/>
          <w:bCs/>
          <w:sz w:val="24"/>
          <w:szCs w:val="24"/>
        </w:rPr>
        <w:t xml:space="preserve">不接受</w:t>
      </w:r>
      <w:r>
        <w:rPr>
          <w:rFonts w:hint="eastAsia" w:ascii="宋体" w:hAnsi="宋体" w:eastAsia="宋体" w:cs="宋体"/>
          <w:sz w:val="24"/>
          <w:szCs w:val="24"/>
        </w:rPr>
        <w:t xml:space="preserve">进口产品投标（注：本文件所称进口品牌是指通过中国海关报关验放进入中国境内且产自关境外的品牌）。</w:t>
      </w:r>
      <w:r>
        <w:rPr>
          <w:rFonts w:hint="eastAsia" w:ascii="宋体" w:hAnsi="宋体" w:eastAsia="宋体" w:cs="宋体"/>
          <w:sz w:val="24"/>
          <w:szCs w:val="24"/>
        </w:rPr>
      </w:r>
      <w:r/>
    </w:p>
    <w:p>
      <w:pPr>
        <w:pStyle w:val="1053"/>
        <w:ind w:firstLine="480"/>
        <w:jc w:val="left"/>
        <w:rPr>
          <w:rFonts w:hint="eastAsia" w:ascii="宋体" w:hAnsi="宋体" w:eastAsia="宋体" w:cs="宋体"/>
          <w:b/>
          <w:sz w:val="24"/>
          <w:szCs w:val="24"/>
        </w:rPr>
      </w:pPr>
      <w:r>
        <w:rPr>
          <w:rFonts w:hint="eastAsia" w:ascii="宋体" w:hAnsi="宋体" w:eastAsia="宋体" w:cs="宋体"/>
          <w:sz w:val="24"/>
          <w:szCs w:val="24"/>
        </w:rPr>
        <w:t xml:space="preserve">2.供应商需根据招标文件要求，并结合本项目特点，制订完善的项目实施方案、培训计划，方案至少需包括全部产品的安装部署、联合调试方案、人员安排、供货期、验收方案等；方案应做到完整全面、科学可行，并有针对性，配备具有相应资质和经验的项目经理及技术服务人员，服从采购人管理要求，确保在规定的交付时限内完成。</w:t>
      </w:r>
      <w:r>
        <w:rPr>
          <w:rFonts w:hint="eastAsia" w:ascii="宋体" w:hAnsi="宋体" w:eastAsia="宋体" w:cs="宋体"/>
          <w:b/>
          <w:sz w:val="24"/>
          <w:szCs w:val="24"/>
        </w:rPr>
      </w:r>
      <w:r/>
    </w:p>
    <w:p>
      <w:pPr>
        <w:pStyle w:val="1053"/>
        <w:spacing w:after="5"/>
        <w:rPr>
          <w:rFonts w:hint="eastAsia" w:ascii="宋体" w:hAnsi="宋体" w:eastAsia="宋体" w:cs="宋体"/>
          <w:b/>
          <w:sz w:val="24"/>
          <w:szCs w:val="24"/>
        </w:rPr>
        <w:outlineLvl w:val="1"/>
      </w:pPr>
      <w:r/>
      <w:bookmarkStart w:id="126" w:name="_Toc32321"/>
      <w:r/>
      <w:bookmarkStart w:id="127" w:name="_Toc8149"/>
      <w:r>
        <w:rPr>
          <w:rFonts w:hint="eastAsia" w:ascii="宋体" w:hAnsi="宋体" w:eastAsia="宋体" w:cs="宋体"/>
          <w:b/>
          <w:sz w:val="24"/>
          <w:szCs w:val="24"/>
        </w:rPr>
        <w:t xml:space="preserve">三、 商务要求：</w:t>
      </w:r>
      <w:bookmarkEnd w:id="125"/>
      <w:r/>
      <w:bookmarkEnd w:id="126"/>
      <w:r/>
      <w:bookmarkEnd w:id="127"/>
      <w:r>
        <w:rPr>
          <w:rFonts w:hint="eastAsia" w:ascii="宋体" w:hAnsi="宋体" w:eastAsia="宋体" w:cs="宋体"/>
          <w:b/>
          <w:sz w:val="24"/>
          <w:szCs w:val="24"/>
        </w:rPr>
      </w:r>
      <w:r/>
    </w:p>
    <w:p>
      <w:pPr>
        <w:pStyle w:val="1053"/>
        <w:ind w:firstLine="482"/>
        <w:rPr>
          <w:rFonts w:hint="eastAsia" w:ascii="宋体" w:hAnsi="宋体" w:eastAsia="宋体" w:cs="宋体"/>
          <w:b/>
          <w:bCs/>
          <w:sz w:val="24"/>
          <w:szCs w:val="24"/>
        </w:rPr>
      </w:pPr>
      <w:r>
        <w:rPr>
          <w:rFonts w:hint="eastAsia" w:ascii="宋体" w:hAnsi="宋体" w:eastAsia="宋体" w:cs="宋体"/>
          <w:b/>
          <w:sz w:val="24"/>
          <w:szCs w:val="24"/>
        </w:rPr>
        <w:t xml:space="preserve">（一）</w:t>
      </w:r>
      <w:r>
        <w:rPr>
          <w:rFonts w:hint="eastAsia" w:ascii="宋体" w:hAnsi="宋体" w:eastAsia="宋体" w:cs="宋体"/>
          <w:b/>
          <w:bCs/>
          <w:sz w:val="24"/>
          <w:szCs w:val="24"/>
        </w:rPr>
        <w:t xml:space="preserve">交货期及交货地点：</w:t>
      </w:r>
      <w:r>
        <w:rPr>
          <w:rFonts w:hint="eastAsia" w:ascii="宋体" w:hAnsi="宋体" w:eastAsia="宋体" w:cs="宋体"/>
          <w:b/>
          <w:bCs/>
          <w:sz w:val="24"/>
          <w:szCs w:val="24"/>
        </w:rPr>
      </w:r>
      <w:r/>
    </w:p>
    <w:p>
      <w:pPr>
        <w:pStyle w:val="1053"/>
        <w:ind w:firstLine="480"/>
        <w:rPr>
          <w:rFonts w:hint="eastAsia" w:ascii="宋体" w:hAnsi="宋体" w:eastAsia="宋体" w:cs="宋体"/>
          <w:color w:val="ff0000"/>
          <w:sz w:val="24"/>
          <w:szCs w:val="24"/>
        </w:rPr>
      </w:pPr>
      <w:r>
        <w:rPr>
          <w:rFonts w:hint="eastAsia" w:ascii="宋体" w:hAnsi="宋体" w:eastAsia="宋体" w:cs="宋体"/>
          <w:sz w:val="24"/>
          <w:szCs w:val="24"/>
        </w:rPr>
        <w:t xml:space="preserve">（1）交货时间：合同签订后12个月为备货期，备货期内或备货期满后（以接到采购人具体通知为准）6个月内将货物运输到买方指定地点并完成安装、调试、计量检测以及取得计量溯源合格证书。</w:t>
      </w:r>
      <w:r>
        <w:rPr>
          <w:rFonts w:hint="eastAsia" w:ascii="宋体" w:hAnsi="宋体" w:eastAsia="宋体" w:cs="宋体"/>
          <w:color w:val="ff0000"/>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sz w:val="24"/>
          <w:szCs w:val="24"/>
        </w:rPr>
        <w:t xml:space="preserve">（2）交货地点：</w:t>
      </w:r>
      <w:r>
        <w:rPr>
          <w:rFonts w:hint="eastAsia" w:ascii="宋体" w:hAnsi="宋体" w:eastAsia="宋体" w:cs="宋体"/>
          <w:bCs/>
          <w:sz w:val="24"/>
          <w:szCs w:val="24"/>
        </w:rPr>
        <w:t xml:space="preserve">江苏省计量科学研究院（江苏省能源计量数据中心）（南京市栖霞区文澜路95号）或买方指定地点。</w:t>
      </w:r>
      <w:r>
        <w:rPr>
          <w:rFonts w:hint="eastAsia" w:ascii="宋体" w:hAnsi="宋体" w:eastAsia="宋体" w:cs="宋体"/>
          <w:bCs/>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bCs/>
          <w:sz w:val="24"/>
          <w:szCs w:val="24"/>
        </w:rPr>
        <w:t xml:space="preserve">（3）设备包装要求：供应商必须按照采购人要求在指定的时间内完成采购人订购货物的制作（或订货），并在采购人规定时间内将货物运送到指定地点。供应商负责设备的包装，包装箱必须坚固，并做到防潮、密封，防水、防火、防锈和防震，并防止因运输而发生损坏，适于海、陆、空运输。</w:t>
      </w:r>
      <w:r>
        <w:rPr>
          <w:rFonts w:hint="eastAsia" w:ascii="宋体" w:hAnsi="宋体" w:eastAsia="宋体" w:cs="宋体"/>
          <w:bCs/>
          <w:sz w:val="24"/>
          <w:szCs w:val="24"/>
        </w:rPr>
      </w:r>
      <w:r/>
    </w:p>
    <w:p>
      <w:pPr>
        <w:pStyle w:val="1053"/>
        <w:ind w:firstLine="482"/>
        <w:rPr>
          <w:rFonts w:hint="eastAsia" w:ascii="宋体" w:hAnsi="宋体" w:eastAsia="宋体" w:cs="宋体"/>
          <w:b/>
          <w:sz w:val="24"/>
          <w:szCs w:val="24"/>
        </w:rPr>
      </w:pPr>
      <w:r>
        <w:rPr>
          <w:rFonts w:hint="eastAsia" w:ascii="宋体" w:hAnsi="宋体" w:eastAsia="宋体" w:cs="宋体"/>
          <w:b/>
          <w:sz w:val="24"/>
          <w:szCs w:val="24"/>
        </w:rPr>
        <w:t xml:space="preserve">（二）付款方式：</w:t>
      </w:r>
      <w:r>
        <w:rPr>
          <w:rFonts w:hint="eastAsia" w:ascii="宋体" w:hAnsi="宋体" w:eastAsia="宋体" w:cs="宋体"/>
          <w:b/>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合同签订生效后一个月内，采购人向供应商支付合同金额3</w:t>
      </w:r>
      <w:r>
        <w:rPr>
          <w:rFonts w:ascii="宋体" w:hAnsi="宋体" w:eastAsia="宋体" w:cs="宋体"/>
          <w:bCs/>
          <w:sz w:val="24"/>
          <w:szCs w:val="24"/>
        </w:rPr>
        <w:t xml:space="preserve">0</w:t>
      </w:r>
      <w:r>
        <w:rPr>
          <w:rFonts w:hint="eastAsia" w:ascii="宋体" w:hAnsi="宋体" w:eastAsia="宋体" w:cs="宋体"/>
          <w:bCs/>
          <w:sz w:val="24"/>
          <w:szCs w:val="24"/>
        </w:rPr>
        <w:t xml:space="preserve">%的预付款，设备、材料全部运抵采购人指定地点，安装、调试完毕，并验收合格、供应商向采购人开具合同金额10%的银行保函（作为履约保证金）后，采购人向供应商支付合同金额</w:t>
      </w:r>
      <w:r>
        <w:rPr>
          <w:rFonts w:ascii="宋体" w:hAnsi="宋体" w:eastAsia="宋体" w:cs="宋体"/>
          <w:bCs/>
          <w:sz w:val="24"/>
          <w:szCs w:val="24"/>
        </w:rPr>
        <w:t xml:space="preserve">70</w:t>
      </w:r>
      <w:r>
        <w:rPr>
          <w:rFonts w:hint="eastAsia" w:ascii="宋体" w:hAnsi="宋体" w:eastAsia="宋体" w:cs="宋体"/>
          <w:bCs/>
          <w:sz w:val="24"/>
          <w:szCs w:val="24"/>
        </w:rPr>
        <w:t xml:space="preserve">%的货款。保函在合同履行完毕后无息退回。如供应商未能履行合同规定的义务，采购人有权从履约保证金中取得补偿。</w:t>
      </w:r>
      <w:r>
        <w:rPr>
          <w:rFonts w:hint="eastAsia" w:ascii="宋体" w:hAnsi="宋体" w:eastAsia="宋体" w:cs="宋体"/>
          <w:bCs/>
          <w:sz w:val="24"/>
          <w:szCs w:val="24"/>
        </w:rPr>
      </w:r>
      <w:r/>
    </w:p>
    <w:p>
      <w:pPr>
        <w:pStyle w:val="1053"/>
        <w:ind w:firstLine="482"/>
        <w:rPr>
          <w:rFonts w:ascii="宋体" w:hAnsi="宋体" w:eastAsia="宋体" w:cs="宋体"/>
          <w:bCs/>
          <w:sz w:val="24"/>
          <w:szCs w:val="24"/>
        </w:rPr>
      </w:pPr>
      <w:r>
        <w:rPr>
          <w:rFonts w:hint="eastAsia" w:ascii="宋体" w:hAnsi="宋体" w:eastAsia="宋体" w:cs="宋体"/>
          <w:bCs/>
          <w:sz w:val="24"/>
          <w:szCs w:val="24"/>
        </w:rPr>
        <w:t xml:space="preserve">因供应商原因没有按期提供银行保函和发票，致使采购人未能及时付款所产生的责任由供应商承担，采购人不承担违约责任。</w:t>
      </w:r>
      <w:r>
        <w:rPr>
          <w:rFonts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供应商应在收到采购人通知后开具合法有效发票，采购人收到发票后支付相应款项。若因发票瑕疵导致付款延误，责任由供应商承担。若产品存在质量问题，则不受该付款条件约束，应按照本合同条款其他要求以及民法典有关规定执行。</w:t>
      </w:r>
      <w:r>
        <w:rPr>
          <w:rFonts w:hint="eastAsia" w:ascii="宋体" w:hAnsi="宋体" w:eastAsia="宋体" w:cs="宋体"/>
          <w:bCs/>
          <w:sz w:val="24"/>
          <w:szCs w:val="24"/>
        </w:rPr>
      </w:r>
      <w:r/>
    </w:p>
    <w:p>
      <w:pPr>
        <w:pStyle w:val="1053"/>
        <w:ind w:firstLine="482"/>
        <w:rPr>
          <w:rFonts w:hint="eastAsia" w:ascii="宋体" w:hAnsi="宋体" w:eastAsia="宋体" w:cs="宋体"/>
          <w:b/>
          <w:sz w:val="24"/>
          <w:szCs w:val="24"/>
        </w:rPr>
      </w:pPr>
      <w:r>
        <w:rPr>
          <w:rFonts w:hint="eastAsia" w:ascii="宋体" w:hAnsi="宋体" w:eastAsia="宋体" w:cs="宋体"/>
          <w:b/>
          <w:sz w:val="24"/>
          <w:szCs w:val="24"/>
        </w:rPr>
        <w:t xml:space="preserve">（三）验收依据、方法及单位</w:t>
      </w:r>
      <w:r>
        <w:rPr>
          <w:rFonts w:hint="eastAsia" w:ascii="宋体" w:hAnsi="宋体" w:eastAsia="宋体" w:cs="宋体"/>
          <w:b/>
          <w:sz w:val="24"/>
          <w:szCs w:val="24"/>
        </w:rPr>
      </w:r>
      <w:r/>
    </w:p>
    <w:p>
      <w:pPr>
        <w:pStyle w:val="1053"/>
        <w:ind w:firstLine="482"/>
        <w:rPr>
          <w:rFonts w:hint="eastAsia" w:ascii="宋体" w:hAnsi="宋体" w:eastAsia="宋体" w:cs="宋体"/>
          <w:b/>
          <w:sz w:val="24"/>
          <w:szCs w:val="24"/>
        </w:rPr>
      </w:pPr>
      <w:r>
        <w:rPr>
          <w:rFonts w:hint="eastAsia" w:ascii="宋体" w:hAnsi="宋体" w:eastAsia="宋体" w:cs="宋体"/>
          <w:b/>
          <w:sz w:val="24"/>
          <w:szCs w:val="24"/>
        </w:rPr>
        <w:t xml:space="preserve">分包</w:t>
      </w:r>
      <w:r>
        <w:rPr>
          <w:rFonts w:ascii="宋体" w:hAnsi="宋体" w:eastAsia="宋体" w:cs="宋体"/>
          <w:b/>
          <w:sz w:val="24"/>
          <w:szCs w:val="24"/>
        </w:rPr>
        <w:t xml:space="preserve">1</w:t>
      </w:r>
      <w:r>
        <w:rPr>
          <w:rFonts w:hint="eastAsia" w:ascii="宋体" w:hAnsi="宋体" w:eastAsia="宋体" w:cs="宋体"/>
          <w:b/>
          <w:sz w:val="24"/>
          <w:szCs w:val="24"/>
        </w:rPr>
        <w:t xml:space="preserve">：</w:t>
      </w:r>
      <w:r>
        <w:rPr>
          <w:rFonts w:hint="eastAsia" w:ascii="宋体" w:hAnsi="宋体" w:eastAsia="宋体" w:cs="宋体"/>
          <w:b/>
          <w:sz w:val="24"/>
          <w:szCs w:val="24"/>
        </w:rPr>
      </w:r>
      <w:r/>
    </w:p>
    <w:p>
      <w:pPr>
        <w:pStyle w:val="1053"/>
        <w:ind w:firstLine="480"/>
        <w:rPr>
          <w:rFonts w:ascii="宋体" w:hAnsi="宋体" w:eastAsia="宋体" w:cs="宋体"/>
          <w:bCs/>
          <w:sz w:val="24"/>
          <w:szCs w:val="24"/>
        </w:rPr>
      </w:pPr>
      <w:r>
        <w:rPr>
          <w:rFonts w:ascii="宋体" w:hAnsi="宋体" w:eastAsia="宋体" w:cs="宋体"/>
          <w:bCs/>
          <w:sz w:val="24"/>
          <w:szCs w:val="24"/>
        </w:rPr>
        <w:t xml:space="preserve">1.储能电站涉网性能测试系统的集成工作，应满足GB/T 44114-2024《电化学储能系统接入低压配电网运行控制规范》、GB/T 36558《电力系统电化学储能系统通用技术条件》、GB/T 43526《用户侧电化学储能系统接入配电网技术规定》的测试要求，相关项目参考本</w:t>
      </w:r>
      <w:r>
        <w:rPr>
          <w:rFonts w:hint="eastAsia" w:ascii="宋体" w:hAnsi="宋体" w:eastAsia="宋体" w:cs="宋体"/>
          <w:bCs/>
          <w:sz w:val="24"/>
          <w:szCs w:val="24"/>
        </w:rPr>
        <w:t xml:space="preserve">文件</w:t>
      </w:r>
      <w:r>
        <w:rPr>
          <w:rFonts w:ascii="宋体" w:hAnsi="宋体" w:eastAsia="宋体" w:cs="宋体"/>
          <w:bCs/>
          <w:sz w:val="24"/>
          <w:szCs w:val="24"/>
        </w:rPr>
        <w:t xml:space="preserve">表1，表2，表3；</w:t>
      </w:r>
      <w:r>
        <w:rPr>
          <w:rFonts w:ascii="宋体" w:hAnsi="宋体" w:eastAsia="宋体" w:cs="宋体"/>
          <w:bCs/>
          <w:sz w:val="24"/>
          <w:szCs w:val="24"/>
        </w:rPr>
      </w:r>
      <w:r/>
    </w:p>
    <w:p>
      <w:pPr>
        <w:pStyle w:val="1053"/>
        <w:ind w:firstLine="480"/>
        <w:rPr>
          <w:rFonts w:ascii="宋体" w:hAnsi="宋体" w:eastAsia="宋体" w:cs="宋体"/>
          <w:bCs/>
          <w:sz w:val="24"/>
          <w:szCs w:val="24"/>
        </w:rPr>
      </w:pPr>
      <w:r>
        <w:rPr>
          <w:rFonts w:ascii="宋体" w:hAnsi="宋体" w:eastAsia="宋体" w:cs="宋体"/>
          <w:bCs/>
          <w:sz w:val="24"/>
          <w:szCs w:val="24"/>
        </w:rPr>
        <w:t xml:space="preserve">2.卖方负责将可编程多通道高精度数据采集仪、频率信号发生装置和电网模拟装置送检至省级及以上计量技术机构进行检定/校准，并出具检定/校准证书（对不具备检定和校准条件的可出具测试报告），检测费用由卖方承担。</w:t>
      </w:r>
      <w:r>
        <w:rPr>
          <w:rFonts w:ascii="宋体" w:hAnsi="宋体" w:eastAsia="宋体" w:cs="宋体"/>
          <w:bCs/>
          <w:sz w:val="24"/>
          <w:szCs w:val="24"/>
        </w:rPr>
      </w:r>
      <w:r/>
    </w:p>
    <w:p>
      <w:pPr>
        <w:pStyle w:val="1053"/>
        <w:ind w:firstLine="480"/>
        <w:rPr>
          <w:rFonts w:ascii="宋体" w:hAnsi="宋体" w:eastAsia="宋体" w:cs="宋体"/>
          <w:bCs/>
          <w:sz w:val="24"/>
          <w:szCs w:val="24"/>
        </w:rPr>
      </w:pPr>
      <w:r>
        <w:rPr>
          <w:rFonts w:ascii="宋体" w:hAnsi="宋体" w:eastAsia="宋体" w:cs="宋体"/>
          <w:bCs/>
          <w:sz w:val="24"/>
          <w:szCs w:val="24"/>
        </w:rPr>
        <w:t xml:space="preserve">3.江苏省计量科学研究院依据上述所有证书/报告、本技术文件和仪器说明书对整套系统的各项配置、功能和技术指标进行验收。</w:t>
      </w:r>
      <w:r>
        <w:rPr>
          <w:rFonts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
          <w:sz w:val="24"/>
          <w:szCs w:val="24"/>
        </w:rPr>
        <w:t xml:space="preserve">分包</w:t>
      </w:r>
      <w:r>
        <w:rPr>
          <w:rFonts w:ascii="宋体" w:hAnsi="宋体" w:eastAsia="宋体" w:cs="宋体"/>
          <w:b/>
          <w:sz w:val="24"/>
          <w:szCs w:val="24"/>
        </w:rPr>
        <w:t xml:space="preserve">2</w:t>
      </w:r>
      <w:r>
        <w:rPr>
          <w:rFonts w:hint="eastAsia" w:ascii="宋体" w:hAnsi="宋体" w:eastAsia="宋体" w:cs="宋体"/>
          <w:b/>
          <w:sz w:val="24"/>
          <w:szCs w:val="24"/>
        </w:rPr>
        <w:t xml:space="preserve">：</w:t>
      </w:r>
      <w:r>
        <w:rPr>
          <w:rFonts w:hint="eastAsia"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1．测试系统依据其对应标准规范所列举的相关技术指标、仪器说明书上的各项技术指标及本技术文件进行验收；具体各系统遵循的标准规范如下：</w:t>
      </w:r>
      <w:r>
        <w:rPr>
          <w:rFonts w:hint="eastAsia"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1.1 氢能综合能源能效测量系统依据GB/T 26916-2011《小型氢能综合能源系统性能评价方法》；</w:t>
      </w:r>
      <w:r>
        <w:rPr>
          <w:rFonts w:hint="eastAsia"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1.2 碳捕集能耗测量系统依据GB/T 45121-2024《火力发电厂烟气二氧化碳捕集系统能耗测定技术规范》；</w:t>
      </w:r>
      <w:r>
        <w:rPr>
          <w:rFonts w:hint="eastAsia"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1.3 电机系统能效碳效测试分析仪依据GB/T 41013-2021《电机系统能效评价》、GB/T 34867.1-2017《电动机系统节能量测量和验证方法第1部分：电动机现场能效测试方法》；</w:t>
      </w:r>
      <w:r>
        <w:rPr>
          <w:rFonts w:hint="eastAsia"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1.4 变频系统能效碳效测试分析仪依据GB/T 41013-2021《电机系统能效评价》、GB/T 21056-2007《风机、泵类负载变频调速节电传动系统及其应用技术条件》；</w:t>
      </w:r>
      <w:r>
        <w:rPr>
          <w:rFonts w:hint="eastAsia"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1.5 泵系统能效碳效测试分析仪依据GB∕T 39984-2021《泵系统能耗评估》；</w:t>
      </w:r>
      <w:r>
        <w:rPr>
          <w:rFonts w:hint="eastAsia"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1.6 风机系统能效碳效测试分析仪依据GB/T 15913-2022《风机机组与管网系统节能监测》；</w:t>
      </w:r>
      <w:r>
        <w:rPr>
          <w:rFonts w:hint="eastAsia"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1.7 空压机能效碳效测试分析仪依据GB/T 16665-2017《空气压缩机组及供气系统节能监测方法》；</w:t>
      </w:r>
      <w:r>
        <w:rPr>
          <w:rFonts w:hint="eastAsia"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1.8 冷水及热泵机组能效碳效测试分析仪依据GB 19577-2024《热泵和冷水机组能效限定值及能效等级》；</w:t>
      </w:r>
      <w:r>
        <w:rPr>
          <w:rFonts w:hint="eastAsia"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1.9 供配电系统能效碳效测试分析仪依据GB/T 16664-1996《企业供配电系统节能监测方法》；</w:t>
      </w:r>
      <w:r>
        <w:rPr>
          <w:rFonts w:hint="eastAsia"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1.10 工业电热设备能效碳效测试分析仪依据GB/T 15911-2021《工业电热设备节能监测方法》；</w:t>
      </w:r>
      <w:r>
        <w:rPr>
          <w:rFonts w:hint="eastAsia"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1.11 热力输送系统能效碳效测试分析仪依据GB/T 15910-2009《热力输送系统节能监测》；</w:t>
      </w:r>
      <w:r>
        <w:rPr>
          <w:rFonts w:hint="eastAsia"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2．卖方负责将设备送检至江苏省计量科学研究院进行校准/检测，并出具校准证书/检测报告。检测费用由卖方承担。</w:t>
      </w:r>
      <w:r>
        <w:rPr>
          <w:rFonts w:hint="eastAsia" w:ascii="宋体" w:hAnsi="宋体" w:eastAsia="宋体" w:cs="宋体"/>
          <w:bCs/>
          <w:sz w:val="24"/>
          <w:szCs w:val="24"/>
        </w:rPr>
      </w:r>
      <w:r/>
    </w:p>
    <w:p>
      <w:pPr>
        <w:pStyle w:val="1053"/>
        <w:ind w:firstLine="482"/>
        <w:rPr>
          <w:rFonts w:hint="eastAsia" w:ascii="宋体" w:hAnsi="宋体" w:eastAsia="宋体" w:cs="宋体"/>
          <w:bCs/>
          <w:sz w:val="24"/>
          <w:szCs w:val="24"/>
        </w:rPr>
      </w:pPr>
      <w:r>
        <w:rPr>
          <w:rFonts w:hint="eastAsia" w:ascii="宋体" w:hAnsi="宋体" w:eastAsia="宋体" w:cs="宋体"/>
          <w:bCs/>
          <w:sz w:val="24"/>
          <w:szCs w:val="24"/>
        </w:rPr>
        <w:t xml:space="preserve">3．江苏省计量科学研究院依据上述所有证书/报告、本技术文件和仪器说明书对设备的各项配置、功能和技术指标进行验收。</w:t>
      </w:r>
      <w:r>
        <w:rPr>
          <w:rFonts w:hint="eastAsia" w:ascii="宋体" w:hAnsi="宋体" w:eastAsia="宋体" w:cs="宋体"/>
          <w:bCs/>
          <w:sz w:val="24"/>
          <w:szCs w:val="24"/>
        </w:rPr>
      </w:r>
      <w:r/>
    </w:p>
    <w:p>
      <w:pPr>
        <w:pStyle w:val="1053"/>
        <w:ind w:firstLine="482"/>
        <w:rPr>
          <w:rFonts w:hint="eastAsia" w:ascii="宋体" w:hAnsi="宋体" w:eastAsia="宋体" w:cs="宋体"/>
          <w:b/>
          <w:sz w:val="24"/>
          <w:szCs w:val="24"/>
        </w:rPr>
      </w:pPr>
      <w:r>
        <w:rPr>
          <w:rFonts w:hint="eastAsia" w:ascii="宋体" w:hAnsi="宋体" w:eastAsia="宋体" w:cs="宋体"/>
          <w:b/>
          <w:sz w:val="24"/>
          <w:szCs w:val="24"/>
        </w:rPr>
        <w:t xml:space="preserve">（四）安装调试</w:t>
      </w:r>
      <w:r>
        <w:rPr>
          <w:rFonts w:hint="eastAsia" w:ascii="宋体" w:hAnsi="宋体" w:eastAsia="宋体" w:cs="宋体"/>
          <w:b/>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bCs/>
          <w:sz w:val="24"/>
          <w:szCs w:val="24"/>
        </w:rPr>
        <w:t xml:space="preserve">1.卖方向买方提供设备供货清单，由买方确认。当货物到达买方指定的交货地点后，买卖双方依据设备供货清单共同对设备进行开箱查验，并对设备的数量、品质进行逐项检查。如买方发现所提供设备的品质和技术规范不符合合同要求时，或有明显损坏，买方有权向卖方提出退、换和索赔；</w:t>
      </w:r>
      <w:r>
        <w:rPr>
          <w:rFonts w:hint="eastAsia" w:ascii="宋体" w:hAnsi="宋体" w:eastAsia="宋体" w:cs="宋体"/>
          <w:bCs/>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bCs/>
          <w:sz w:val="24"/>
          <w:szCs w:val="24"/>
        </w:rPr>
        <w:t xml:space="preserve">2.在设备到达交货地点后，卖方应尽快组织技术人员完成整套设备的安装调试，安装调试完毕并取得计量溯源合格证书后方可进行验收；</w:t>
      </w:r>
      <w:r>
        <w:rPr>
          <w:rFonts w:hint="eastAsia" w:ascii="宋体" w:hAnsi="宋体" w:eastAsia="宋体" w:cs="宋体"/>
          <w:bCs/>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bCs/>
          <w:sz w:val="24"/>
          <w:szCs w:val="24"/>
        </w:rPr>
        <w:t xml:space="preserve">3.在安装、调试过程中如有任何软、硬件故障发生，卖方必须更换不合格的部件，并重新进行安装调试，由此引起的全部费用由卖方承担。</w:t>
      </w:r>
      <w:r>
        <w:rPr>
          <w:rFonts w:hint="eastAsia" w:ascii="宋体" w:hAnsi="宋体" w:eastAsia="宋体" w:cs="宋体"/>
          <w:bCs/>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bCs/>
          <w:sz w:val="24"/>
          <w:szCs w:val="24"/>
        </w:rPr>
        <w:t xml:space="preserve">4.在安装、调试过程中，卖方应对买方技术人员所提出的技术问题给予满意的答复，并向买方提供完整的技术说明书、用户手册及维修手册等相关技术文档资料。。</w:t>
      </w:r>
      <w:r>
        <w:rPr>
          <w:rFonts w:hint="eastAsia" w:ascii="宋体" w:hAnsi="宋体" w:eastAsia="宋体" w:cs="宋体"/>
          <w:bCs/>
          <w:sz w:val="24"/>
          <w:szCs w:val="24"/>
        </w:rPr>
      </w:r>
      <w:r/>
    </w:p>
    <w:p>
      <w:pPr>
        <w:pStyle w:val="1053"/>
        <w:ind w:firstLine="482"/>
        <w:rPr>
          <w:rFonts w:hint="eastAsia" w:ascii="宋体" w:hAnsi="宋体" w:eastAsia="宋体" w:cs="宋体"/>
          <w:b/>
          <w:sz w:val="24"/>
          <w:szCs w:val="24"/>
        </w:rPr>
      </w:pPr>
      <w:r>
        <w:rPr>
          <w:rFonts w:hint="eastAsia" w:ascii="宋体" w:hAnsi="宋体" w:eastAsia="宋体" w:cs="宋体"/>
          <w:b/>
          <w:sz w:val="24"/>
          <w:szCs w:val="24"/>
        </w:rPr>
        <w:t xml:space="preserve">（五）人员培训要求</w:t>
      </w:r>
      <w:r>
        <w:rPr>
          <w:rFonts w:hint="eastAsia" w:ascii="宋体" w:hAnsi="宋体" w:eastAsia="宋体" w:cs="宋体"/>
          <w:b/>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bCs/>
          <w:sz w:val="24"/>
          <w:szCs w:val="24"/>
        </w:rPr>
        <w:t xml:space="preserve">1.卖方应派技术工程师对买方人员进行不少于3天的技术培训，使买方人员能掌握有关设备的使用、维护和管理，达到能独立进行操作、日常测试、运行维护等工作的目的。</w:t>
      </w:r>
      <w:r>
        <w:rPr>
          <w:rFonts w:hint="eastAsia" w:ascii="宋体" w:hAnsi="宋体" w:eastAsia="宋体" w:cs="宋体"/>
          <w:bCs/>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bCs/>
          <w:sz w:val="24"/>
          <w:szCs w:val="24"/>
        </w:rPr>
        <w:t xml:space="preserve">2.卖方在培训时应提供详细的培训文件。</w:t>
      </w:r>
      <w:r>
        <w:rPr>
          <w:rFonts w:hint="eastAsia" w:ascii="宋体" w:hAnsi="宋体" w:eastAsia="宋体" w:cs="宋体"/>
          <w:bCs/>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bCs/>
          <w:sz w:val="24"/>
          <w:szCs w:val="24"/>
        </w:rPr>
        <w:t xml:space="preserve">3.培训内容包括：基本理论、实验方法原理、实验操作、仪器的使用、仪器维护、安全要点以及其他相关内容。</w:t>
      </w:r>
      <w:r>
        <w:rPr>
          <w:rFonts w:hint="eastAsia" w:ascii="宋体" w:hAnsi="宋体" w:eastAsia="宋体" w:cs="宋体"/>
          <w:bCs/>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bCs/>
          <w:sz w:val="24"/>
          <w:szCs w:val="24"/>
        </w:rPr>
        <w:t xml:space="preserve">4.培训费用：所发生的培训费用由卖方承担。</w:t>
      </w:r>
      <w:r>
        <w:rPr>
          <w:rFonts w:hint="eastAsia" w:ascii="宋体" w:hAnsi="宋体" w:eastAsia="宋体" w:cs="宋体"/>
          <w:bCs/>
          <w:sz w:val="24"/>
          <w:szCs w:val="24"/>
        </w:rPr>
      </w:r>
      <w:r/>
    </w:p>
    <w:p>
      <w:pPr>
        <w:pStyle w:val="1053"/>
        <w:ind w:firstLine="482"/>
        <w:rPr>
          <w:rFonts w:hint="eastAsia" w:ascii="宋体" w:hAnsi="宋体" w:eastAsia="宋体" w:cs="宋体"/>
          <w:b/>
          <w:sz w:val="24"/>
          <w:szCs w:val="24"/>
        </w:rPr>
      </w:pPr>
      <w:r>
        <w:rPr>
          <w:rFonts w:hint="eastAsia" w:ascii="宋体" w:hAnsi="宋体" w:eastAsia="宋体" w:cs="宋体"/>
          <w:b/>
          <w:sz w:val="24"/>
          <w:szCs w:val="24"/>
        </w:rPr>
        <w:t xml:space="preserve">（六）技术支持以及售后服务</w:t>
      </w:r>
      <w:r>
        <w:rPr>
          <w:rFonts w:hint="eastAsia" w:ascii="宋体" w:hAnsi="宋体" w:eastAsia="宋体" w:cs="宋体"/>
          <w:b/>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bCs/>
          <w:sz w:val="24"/>
          <w:szCs w:val="24"/>
        </w:rPr>
        <w:t xml:space="preserve">1．本项目整体质保期为验收合格之日起2年。</w:t>
      </w:r>
      <w:r>
        <w:rPr>
          <w:rFonts w:hint="eastAsia" w:ascii="宋体" w:hAnsi="宋体" w:eastAsia="宋体" w:cs="宋体"/>
          <w:bCs/>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bCs/>
          <w:sz w:val="24"/>
          <w:szCs w:val="24"/>
        </w:rPr>
        <w:t xml:space="preserve">2、质保期内，卖方提供免费包修、包换、包退服务，承担所有维修费用。质保期满后，原则上卖方技术人员上门维修只收取更换的零部费，不另收取工时费。</w:t>
      </w:r>
      <w:r>
        <w:rPr>
          <w:rFonts w:hint="eastAsia" w:ascii="宋体" w:hAnsi="宋体" w:eastAsia="宋体" w:cs="宋体"/>
          <w:bCs/>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bCs/>
          <w:sz w:val="24"/>
          <w:szCs w:val="24"/>
        </w:rPr>
        <w:t xml:space="preserve">3、卖方提供持续、广泛的技术支持，以及优惠的维修保养等售后服务，及时对买方遇到的技术问题或故障予以答复和修复。买方报修后，卖方应在24小时内作出响应，如果电话支持无法解决问题，则2天内卖方技术人员到现场进行维修。</w:t>
      </w:r>
      <w:r>
        <w:rPr>
          <w:rFonts w:hint="eastAsia" w:ascii="宋体" w:hAnsi="宋体" w:eastAsia="宋体" w:cs="宋体"/>
          <w:bCs/>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bCs/>
          <w:sz w:val="24"/>
          <w:szCs w:val="24"/>
        </w:rPr>
        <w:t xml:space="preserve">4、提供备用设备服务，如买方仪器发生故障，无法在短时间内修复，而买方急需使用仪器，如卖方有类似的设备, 卖方将无偿提供计量合格的备用设备，直到产品修理完成为止。</w:t>
      </w:r>
      <w:r>
        <w:rPr>
          <w:rFonts w:hint="eastAsia" w:ascii="宋体" w:hAnsi="宋体" w:eastAsia="宋体" w:cs="宋体"/>
          <w:bCs/>
          <w:sz w:val="24"/>
          <w:szCs w:val="24"/>
        </w:rPr>
      </w:r>
      <w:r/>
    </w:p>
    <w:p>
      <w:pPr>
        <w:pStyle w:val="1053"/>
        <w:ind w:firstLine="480"/>
        <w:rPr>
          <w:rFonts w:hint="eastAsia" w:ascii="宋体" w:hAnsi="宋体" w:eastAsia="宋体" w:cs="宋体"/>
          <w:bCs/>
          <w:sz w:val="24"/>
          <w:szCs w:val="24"/>
        </w:rPr>
      </w:pPr>
      <w:r>
        <w:rPr>
          <w:rFonts w:hint="eastAsia" w:ascii="宋体" w:hAnsi="宋体" w:eastAsia="宋体" w:cs="宋体"/>
          <w:bCs/>
          <w:sz w:val="24"/>
          <w:szCs w:val="24"/>
        </w:rPr>
        <w:t xml:space="preserve">5.卖方提供系统软件终生免费升级服务；如相应计量规范、标准发生变更，免费升级软件。 </w:t>
      </w:r>
      <w:r>
        <w:rPr>
          <w:rFonts w:hint="eastAsia" w:ascii="宋体" w:hAnsi="宋体" w:eastAsia="宋体" w:cs="宋体"/>
          <w:bCs/>
          <w:sz w:val="24"/>
          <w:szCs w:val="24"/>
        </w:rPr>
      </w:r>
      <w:r/>
    </w:p>
    <w:p>
      <w:pPr>
        <w:pStyle w:val="1053"/>
        <w:ind w:firstLine="422"/>
        <w:tabs>
          <w:tab w:val="left" w:pos="1050" w:leader="none"/>
        </w:tabs>
        <w:rPr>
          <w:rFonts w:hint="eastAsia" w:ascii="宋体" w:hAnsi="宋体" w:eastAsia="宋体" w:cs="宋体"/>
          <w:b/>
          <w:sz w:val="24"/>
          <w:szCs w:val="24"/>
        </w:rPr>
      </w:pPr>
      <w:r>
        <w:rPr>
          <w:rFonts w:hint="eastAsia" w:ascii="宋体" w:hAnsi="宋体" w:eastAsia="宋体" w:cs="宋体"/>
          <w:b/>
          <w:sz w:val="24"/>
          <w:szCs w:val="24"/>
        </w:rPr>
        <w:t xml:space="preserve">（七）报价要求及违约责任：</w:t>
      </w:r>
      <w:r>
        <w:rPr>
          <w:rFonts w:hint="eastAsia" w:ascii="宋体" w:hAnsi="宋体" w:eastAsia="宋体" w:cs="宋体"/>
          <w:b/>
          <w:sz w:val="24"/>
          <w:szCs w:val="24"/>
        </w:rPr>
      </w:r>
      <w:r/>
    </w:p>
    <w:p>
      <w:pPr>
        <w:pStyle w:val="1053"/>
        <w:ind w:firstLine="42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1.本项目报价，应包括本次采购范围内全部设备、材料、随设备提供的备品配件及专用工具的价格、全部税费、包装费、运杂费（运抵甲方项目现场）、保险费、安装费、调试费、甲方操作维护人员培训费、及供应商认为需要的其他费用等，本合同执行期间合同总价款不变。</w:t>
      </w:r>
      <w:r>
        <w:rPr>
          <w:rFonts w:hint="eastAsia" w:ascii="宋体" w:hAnsi="宋体" w:eastAsia="宋体" w:cs="宋体"/>
          <w:sz w:val="24"/>
          <w:szCs w:val="24"/>
        </w:rPr>
      </w:r>
      <w:r/>
    </w:p>
    <w:p>
      <w:pPr>
        <w:pStyle w:val="1053"/>
        <w:ind w:firstLine="42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2.在安装、调试、验收过程中，如发现有漏项、缺件，卖方应无条件、无偿补齐，所发生的一切费用，视为已包含在乙方投标时的投标报价之中，且并不因此而影响交付甲方使用的时间。</w:t>
      </w:r>
      <w:r>
        <w:rPr>
          <w:rFonts w:hint="eastAsia" w:ascii="宋体" w:hAnsi="宋体" w:eastAsia="宋体" w:cs="宋体"/>
          <w:sz w:val="24"/>
          <w:szCs w:val="24"/>
        </w:rPr>
      </w:r>
      <w:r/>
    </w:p>
    <w:p>
      <w:pPr>
        <w:pStyle w:val="1053"/>
        <w:ind w:firstLine="42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3.供应商的任何错漏、优惠、竞争性报价不得作为减轻责任、减少服务、增加收费、降低质量的理由。</w:t>
      </w:r>
      <w:r>
        <w:rPr>
          <w:rFonts w:hint="eastAsia" w:ascii="宋体" w:hAnsi="宋体" w:eastAsia="宋体" w:cs="宋体"/>
          <w:sz w:val="24"/>
          <w:szCs w:val="24"/>
        </w:rPr>
      </w:r>
      <w:r/>
    </w:p>
    <w:p>
      <w:pPr>
        <w:pStyle w:val="1053"/>
        <w:ind w:firstLine="42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4.供应商报价除包含招标文件中列明的项目外还应包括保障服务正常运行应当具有的物资和服务，对服务正常运行应当具有的物资和服务理解不一致的以采购人理解为准。</w:t>
      </w:r>
      <w:r>
        <w:rPr>
          <w:rFonts w:hint="eastAsia" w:ascii="宋体" w:hAnsi="宋体" w:eastAsia="宋体" w:cs="宋体"/>
          <w:sz w:val="24"/>
          <w:szCs w:val="24"/>
        </w:rPr>
      </w:r>
      <w:r/>
    </w:p>
    <w:p>
      <w:pPr>
        <w:pStyle w:val="1053"/>
        <w:ind w:firstLine="420"/>
        <w:tabs>
          <w:tab w:val="left" w:pos="1050" w:leader="none"/>
        </w:tabs>
        <w:rPr>
          <w:rFonts w:hint="eastAsia" w:ascii="宋体" w:hAnsi="宋体" w:eastAsia="宋体" w:cs="宋体"/>
          <w:sz w:val="24"/>
          <w:szCs w:val="24"/>
        </w:rPr>
      </w:pPr>
      <w:r>
        <w:rPr>
          <w:rFonts w:hint="eastAsia" w:ascii="宋体" w:hAnsi="宋体" w:eastAsia="宋体" w:cs="宋体"/>
          <w:sz w:val="24"/>
          <w:szCs w:val="24"/>
        </w:rPr>
        <w:t xml:space="preserve">5.中标供应商必须按照招标文件要求、投标文件中的承诺以及采购合同内容严格履行本项目。双方无正当理由不得无故终止和解除合同，否则违约方应向对方支付合同总额10%的违约金。</w:t>
      </w:r>
      <w:r>
        <w:rPr>
          <w:rFonts w:hint="eastAsia" w:ascii="宋体" w:hAnsi="宋体" w:eastAsia="宋体" w:cs="宋体"/>
          <w:sz w:val="24"/>
          <w:szCs w:val="24"/>
        </w:rPr>
      </w:r>
      <w:r/>
    </w:p>
    <w:p>
      <w:pPr>
        <w:pStyle w:val="1053"/>
        <w:numPr>
          <w:ilvl w:val="0"/>
          <w:numId w:val="42"/>
        </w:numPr>
        <w:rPr>
          <w:rFonts w:hint="eastAsia" w:ascii="宋体" w:hAnsi="宋体" w:eastAsia="宋体" w:cs="宋体"/>
          <w:b/>
          <w:color w:val="c00000"/>
          <w:sz w:val="28"/>
          <w:szCs w:val="28"/>
        </w:rPr>
        <w:outlineLvl w:val="1"/>
      </w:pPr>
      <w:r>
        <w:rPr>
          <w:rFonts w:hint="eastAsia" w:ascii="宋体" w:hAnsi="宋体" w:eastAsia="宋体" w:cs="宋体"/>
          <w:b/>
          <w:color w:val="c00000"/>
          <w:sz w:val="28"/>
          <w:szCs w:val="28"/>
        </w:rPr>
        <w:t xml:space="preserve">备注：</w:t>
      </w:r>
      <w:r>
        <w:rPr>
          <w:rFonts w:hint="eastAsia" w:ascii="宋体" w:hAnsi="宋体" w:eastAsia="宋体" w:cs="宋体"/>
          <w:b/>
          <w:color w:val="c00000"/>
          <w:sz w:val="28"/>
          <w:szCs w:val="28"/>
        </w:rPr>
      </w:r>
      <w:r/>
    </w:p>
    <w:p>
      <w:pPr>
        <w:pStyle w:val="1053"/>
        <w:ind w:firstLine="480"/>
        <w:spacing w:before="0" w:after="0"/>
        <w:rPr>
          <w:rFonts w:hint="eastAsia" w:ascii="宋体" w:hAnsi="宋体" w:eastAsia="宋体" w:cs="宋体"/>
          <w:b/>
          <w:bCs/>
          <w:color w:val="c00000"/>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宋体"/>
          <w:b/>
          <w:bCs/>
          <w:color w:val="c00000"/>
          <w:sz w:val="24"/>
          <w:szCs w:val="24"/>
        </w:rPr>
        <w:t xml:space="preserve">1.▲号参数指标（如有）为主要技术参数要求，提供的招标文件技术参数中所要求（如有）的技术支持资料（技术支持资料种类以文件第四章要求为准，如无特殊要求则为明确说明该技术内容的公开发行的手册、彩页、官网截图、功能页面截图、检测报告或白皮书等证明材料），否则将视为未响应▲号参数，作负偏离处理。</w:t>
      </w:r>
      <w:r>
        <w:rPr>
          <w:rFonts w:hint="eastAsia" w:ascii="宋体" w:hAnsi="宋体" w:eastAsia="宋体" w:cs="宋体"/>
          <w:b/>
          <w:bCs/>
          <w:color w:val="c00000"/>
          <w:sz w:val="24"/>
          <w:szCs w:val="24"/>
        </w:rPr>
      </w:r>
      <w:r/>
    </w:p>
    <w:p>
      <w:pPr>
        <w:pStyle w:val="1053"/>
        <w:ind w:firstLine="480"/>
        <w:spacing w:before="0" w:after="0"/>
        <w:rPr>
          <w:rFonts w:ascii="宋体" w:hAnsi="宋体" w:eastAsia="宋体" w:cs="宋体"/>
          <w:b/>
          <w:bCs/>
          <w:color w:val="c00000"/>
        </w:rPr>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color w:val="c00000"/>
          <w:sz w:val="24"/>
          <w:szCs w:val="24"/>
        </w:rPr>
        <w:t xml:space="preserve">2.带星号（“★”）的技术条款，要求投标供应商必须在投标文件中提供技术支持资料（技术支持资料种类以文件第四章要求为准，如无特殊要求则为明确说明该技术内容的公开发行的手册、彩页、官网截图、功能页面截图、检测报告或白皮书等证明材料），未提供技术支持资料的，或未对招标文件做出实质性响应，将导致投标文件被视为无效。</w:t>
      </w:r>
      <w:r>
        <w:rPr>
          <w:rFonts w:ascii="宋体" w:hAnsi="宋体" w:eastAsia="宋体" w:cs="宋体"/>
          <w:b/>
          <w:bCs/>
          <w:color w:val="c00000"/>
        </w:rPr>
      </w:r>
      <w:r/>
    </w:p>
    <w:p>
      <w:pPr>
        <w:pStyle w:val="1054"/>
        <w:ind w:firstLine="0"/>
        <w:tabs>
          <w:tab w:val="left" w:pos="1440" w:leader="none"/>
          <w:tab w:val="left" w:pos="5670" w:leader="none"/>
        </w:tabs>
        <w:rPr>
          <w:rFonts w:hint="eastAsia" w:ascii="宋体" w:hAnsi="宋体" w:eastAsia="宋体" w:cs="宋体"/>
          <w:b w:val="0"/>
          <w:sz w:val="28"/>
        </w:rPr>
      </w:pPr>
      <w:r/>
      <w:bookmarkStart w:id="128" w:name="_Toc29611"/>
      <w:r>
        <w:rPr>
          <w:rFonts w:hint="eastAsia" w:ascii="宋体" w:hAnsi="宋体" w:eastAsia="宋体" w:cs="宋体"/>
        </w:rPr>
        <w:t xml:space="preserve">第五章 </w:t>
      </w:r>
      <w:bookmarkEnd w:id="115"/>
      <w:r>
        <w:rPr>
          <w:rFonts w:hint="eastAsia" w:ascii="宋体" w:hAnsi="宋体" w:eastAsia="宋体" w:cs="宋体"/>
        </w:rPr>
        <w:t xml:space="preserve">拟签订的合同文本</w:t>
      </w:r>
      <w:bookmarkEnd w:id="116"/>
      <w:r/>
      <w:bookmarkEnd w:id="128"/>
      <w:r>
        <w:rPr>
          <w:rFonts w:hint="eastAsia" w:ascii="宋体" w:hAnsi="宋体" w:eastAsia="宋体" w:cs="宋体"/>
          <w:b w:val="0"/>
          <w:sz w:val="28"/>
        </w:rPr>
      </w:r>
      <w:r/>
    </w:p>
    <w:p>
      <w:pPr>
        <w:pStyle w:val="1053"/>
        <w:ind w:left="108" w:firstLine="482"/>
        <w:jc w:val="left"/>
        <w:spacing w:line="480" w:lineRule="exact"/>
        <w:tabs>
          <w:tab w:val="left" w:pos="4785" w:leader="none"/>
        </w:tabs>
        <w:rPr>
          <w:rFonts w:ascii="宋体" w:hAnsi="宋体" w:eastAsia="宋体" w:cs="宋体"/>
          <w:b/>
          <w:bCs/>
          <w:i/>
          <w:iCs/>
          <w:sz w:val="24"/>
          <w:szCs w:val="24"/>
        </w:rPr>
      </w:pPr>
      <w:r>
        <w:rPr>
          <w:rFonts w:hint="eastAsia" w:ascii="宋体" w:hAnsi="宋体" w:eastAsia="宋体" w:cs="宋体"/>
          <w:b/>
          <w:bCs/>
          <w:i/>
          <w:iCs/>
          <w:sz w:val="24"/>
          <w:szCs w:val="24"/>
        </w:rPr>
        <w:t xml:space="preserve">（货物类采购合同参考格式，本合同内容条款在正式签署前可具体补充细化，仅作参考，最终合同以采购人法务审查通过的版本为准）</w:t>
      </w:r>
      <w:bookmarkStart w:id="129" w:name="_Toc4445"/>
      <w:r>
        <w:rPr>
          <w:rFonts w:ascii="宋体" w:hAnsi="宋体" w:eastAsia="宋体" w:cs="宋体"/>
          <w:b/>
          <w:bCs/>
          <w:i/>
          <w:iCs/>
          <w:sz w:val="24"/>
          <w:szCs w:val="24"/>
        </w:rPr>
      </w:r>
      <w:r/>
    </w:p>
    <w:p>
      <w:pPr>
        <w:pStyle w:val="1053"/>
        <w:ind w:left="108" w:firstLine="480"/>
        <w:jc w:val="left"/>
        <w:spacing w:line="480" w:lineRule="exact"/>
        <w:tabs>
          <w:tab w:val="left" w:pos="4785" w:leader="none"/>
        </w:tabs>
        <w:rPr>
          <w:rFonts w:ascii="宋体" w:hAnsi="宋体" w:eastAsia="宋体" w:cs="宋体"/>
          <w:sz w:val="24"/>
          <w:szCs w:val="24"/>
        </w:rPr>
      </w:pPr>
      <w:r>
        <w:rPr>
          <w:rFonts w:ascii="宋体" w:hAnsi="宋体" w:eastAsia="宋体" w:cs="宋体"/>
          <w:sz w:val="24"/>
          <w:szCs w:val="24"/>
        </w:rPr>
      </w:r>
      <w:r/>
    </w:p>
    <w:p>
      <w:pPr>
        <w:pStyle w:val="1053"/>
        <w:ind w:left="108" w:firstLine="480"/>
        <w:jc w:val="left"/>
        <w:spacing w:line="48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买方（甲方）：江苏省计量科学研究院（江苏省能源计量数据中心）</w:t>
      </w:r>
      <w:r>
        <w:rPr>
          <w:rFonts w:hint="eastAsia" w:ascii="宋体" w:hAnsi="宋体" w:eastAsia="宋体" w:cs="宋体"/>
          <w:sz w:val="24"/>
          <w:szCs w:val="24"/>
        </w:rPr>
      </w:r>
      <w:r/>
    </w:p>
    <w:p>
      <w:pPr>
        <w:pStyle w:val="1053"/>
        <w:ind w:left="108" w:firstLine="480"/>
        <w:jc w:val="left"/>
        <w:spacing w:line="48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卖方（乙方）： </w:t>
      </w:r>
      <w:r>
        <w:rPr>
          <w:rFonts w:hint="eastAsia" w:ascii="宋体" w:hAnsi="宋体" w:eastAsia="宋体" w:cs="宋体"/>
          <w:sz w:val="24"/>
          <w:szCs w:val="24"/>
        </w:rPr>
      </w:r>
      <w:r/>
    </w:p>
    <w:p>
      <w:pPr>
        <w:pStyle w:val="1053"/>
        <w:ind w:left="108" w:firstLine="480"/>
        <w:jc w:val="left"/>
        <w:spacing w:line="48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采购代理机构： 江苏海外集团国际工程咨询有限公司</w:t>
      </w:r>
      <w:r>
        <w:rPr>
          <w:rFonts w:hint="eastAsia" w:ascii="宋体" w:hAnsi="宋体" w:eastAsia="宋体" w:cs="宋体"/>
          <w:sz w:val="24"/>
          <w:szCs w:val="24"/>
        </w:rPr>
      </w:r>
      <w:r/>
    </w:p>
    <w:p>
      <w:pPr>
        <w:pStyle w:val="1053"/>
        <w:ind w:left="108" w:firstLine="480"/>
        <w:jc w:val="left"/>
        <w:spacing w:line="48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一、说明：</w:t>
      </w:r>
      <w:r>
        <w:rPr>
          <w:rFonts w:hint="eastAsia" w:ascii="宋体" w:hAnsi="宋体" w:eastAsia="宋体" w:cs="宋体"/>
          <w:sz w:val="24"/>
          <w:szCs w:val="24"/>
        </w:rPr>
      </w:r>
      <w:r/>
    </w:p>
    <w:p>
      <w:pPr>
        <w:pStyle w:val="1053"/>
        <w:ind w:left="108" w:firstLine="480"/>
        <w:jc w:val="left"/>
        <w:spacing w:line="48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受买方委托，采购代理机构于2026年 月 日组织了江苏省计量科学研究院（江苏省能源计量数据中心）所需</w:t>
      </w:r>
      <w:r>
        <w:rPr>
          <w:rFonts w:hint="eastAsia" w:ascii="宋体" w:hAnsi="宋体" w:eastAsia="宋体" w:cs="宋体"/>
          <w:sz w:val="24"/>
          <w:szCs w:val="24"/>
        </w:rPr>
        <w:t xml:space="preserve">检测设备</w:t>
      </w:r>
      <w:r>
        <w:rPr>
          <w:rFonts w:hint="eastAsia" w:ascii="宋体" w:hAnsi="宋体" w:eastAsia="宋体" w:cs="宋体"/>
          <w:sz w:val="24"/>
          <w:szCs w:val="24"/>
        </w:rPr>
        <w:t xml:space="preserve">采购项目（项目编号：</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 ）的评审活动，经评委认真严格地评审，确定由卖方成交。</w:t>
      </w:r>
      <w:r>
        <w:rPr>
          <w:rFonts w:hint="eastAsia" w:ascii="宋体" w:hAnsi="宋体" w:eastAsia="宋体" w:cs="宋体"/>
          <w:sz w:val="24"/>
          <w:szCs w:val="24"/>
        </w:rPr>
      </w:r>
      <w:r/>
    </w:p>
    <w:p>
      <w:pPr>
        <w:pStyle w:val="1053"/>
        <w:ind w:left="108" w:firstLine="480"/>
        <w:jc w:val="left"/>
        <w:spacing w:line="48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二、合同条款：</w:t>
      </w:r>
      <w:r>
        <w:rPr>
          <w:rFonts w:hint="eastAsia" w:ascii="宋体" w:hAnsi="宋体" w:eastAsia="宋体" w:cs="宋体"/>
          <w:sz w:val="24"/>
          <w:szCs w:val="24"/>
        </w:rPr>
      </w:r>
      <w:r/>
    </w:p>
    <w:p>
      <w:pPr>
        <w:pStyle w:val="1053"/>
        <w:ind w:left="108" w:firstLine="480"/>
        <w:jc w:val="left"/>
        <w:spacing w:line="48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合同由买卖双方签订，并依据本项目采购文件规定，按下列合同条款买方同意购入，卖方同意卖出下列设备及服务。</w:t>
      </w:r>
      <w:r>
        <w:rPr>
          <w:rFonts w:hint="eastAsia" w:ascii="宋体" w:hAnsi="宋体" w:eastAsia="宋体" w:cs="宋体"/>
          <w:sz w:val="24"/>
          <w:szCs w:val="24"/>
        </w:rPr>
      </w:r>
      <w:r/>
    </w:p>
    <w:p>
      <w:pPr>
        <w:pStyle w:val="1053"/>
        <w:contextualSpacing/>
        <w:ind w:left="720" w:hanging="80"/>
        <w:jc w:val="left"/>
        <w:spacing w:before="100" w:after="100" w:line="480" w:lineRule="exact"/>
        <w:widowControl/>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1.设备名称、型号规格、数量及服务内容。</w:t>
      </w:r>
      <w:r>
        <w:rPr>
          <w:rFonts w:hint="eastAsia" w:ascii="宋体" w:hAnsi="宋体" w:eastAsia="宋体" w:cs="宋体"/>
          <w:sz w:val="24"/>
          <w:szCs w:val="24"/>
        </w:rPr>
      </w:r>
      <w:r/>
    </w:p>
    <w:tbl>
      <w:tblPr>
        <w:tblW w:w="4745"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55"/>
        <w:gridCol w:w="2513"/>
        <w:gridCol w:w="1239"/>
        <w:gridCol w:w="938"/>
        <w:gridCol w:w="953"/>
        <w:gridCol w:w="1566"/>
        <w:gridCol w:w="1390"/>
      </w:tblGrid>
      <w:tr>
        <w:trPr>
          <w:trHeight w:val="19"/>
        </w:trPr>
        <w:tc>
          <w:tcPr>
            <w:tcW w:w="452" w:type="dxa"/>
            <w:vAlign w:val="center"/>
            <w:textDirection w:val="lrTb"/>
            <w:noWrap w:val="false"/>
          </w:tcPr>
          <w:p>
            <w:pPr>
              <w:pStyle w:val="1053"/>
              <w:jc w:val="center"/>
              <w:spacing w:before="0" w:after="0"/>
              <w:tabs>
                <w:tab w:val="left" w:pos="-235" w:leader="none"/>
              </w:tabs>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329" w:type="dxa"/>
            <w:vAlign w:val="center"/>
            <w:textDirection w:val="lrTb"/>
            <w:noWrap w:val="false"/>
          </w:tcPr>
          <w:p>
            <w:pPr>
              <w:pStyle w:val="1053"/>
              <w:jc w:val="center"/>
              <w:spacing w:before="0" w:after="0"/>
              <w:tabs>
                <w:tab w:val="left" w:pos="-235" w:leader="none"/>
              </w:tabs>
              <w:rPr>
                <w:rFonts w:hint="eastAsia" w:ascii="宋体" w:hAnsi="宋体" w:eastAsia="宋体" w:cs="宋体"/>
                <w:sz w:val="24"/>
                <w:szCs w:val="24"/>
              </w:rPr>
            </w:pPr>
            <w:r>
              <w:rPr>
                <w:rFonts w:hint="eastAsia" w:ascii="宋体" w:hAnsi="宋体" w:eastAsia="宋体" w:cs="宋体"/>
                <w:sz w:val="24"/>
                <w:szCs w:val="24"/>
              </w:rPr>
              <w:t xml:space="preserve">产品名称</w:t>
            </w:r>
            <w:r>
              <w:rPr>
                <w:rFonts w:hint="eastAsia" w:ascii="宋体" w:hAnsi="宋体" w:eastAsia="宋体" w:cs="宋体"/>
                <w:sz w:val="24"/>
                <w:szCs w:val="24"/>
              </w:rPr>
            </w:r>
            <w:r/>
          </w:p>
        </w:tc>
        <w:tc>
          <w:tcPr>
            <w:tcW w:w="655" w:type="dxa"/>
            <w:vAlign w:val="center"/>
            <w:textDirection w:val="lrTb"/>
            <w:noWrap w:val="false"/>
          </w:tcPr>
          <w:p>
            <w:pPr>
              <w:pStyle w:val="1053"/>
              <w:jc w:val="center"/>
              <w:spacing w:before="0" w:after="0"/>
              <w:tabs>
                <w:tab w:val="left" w:pos="-235" w:leader="none"/>
              </w:tabs>
              <w:rPr>
                <w:rFonts w:hint="eastAsia" w:ascii="宋体" w:hAnsi="宋体" w:eastAsia="宋体" w:cs="宋体"/>
                <w:sz w:val="24"/>
                <w:szCs w:val="24"/>
              </w:rPr>
            </w:pPr>
            <w:r>
              <w:rPr>
                <w:rFonts w:hint="eastAsia" w:ascii="宋体" w:hAnsi="宋体" w:eastAsia="宋体" w:cs="宋体"/>
                <w:sz w:val="24"/>
                <w:szCs w:val="24"/>
              </w:rPr>
              <w:t xml:space="preserve">型号</w:t>
            </w:r>
            <w:r>
              <w:rPr>
                <w:rFonts w:hint="eastAsia" w:ascii="宋体" w:hAnsi="宋体" w:eastAsia="宋体" w:cs="宋体"/>
                <w:sz w:val="24"/>
                <w:szCs w:val="24"/>
              </w:rPr>
            </w:r>
            <w:r/>
          </w:p>
        </w:tc>
        <w:tc>
          <w:tcPr>
            <w:tcW w:w="494" w:type="dxa"/>
            <w:vAlign w:val="center"/>
            <w:textDirection w:val="lrTb"/>
            <w:noWrap w:val="false"/>
          </w:tcPr>
          <w:p>
            <w:pPr>
              <w:pStyle w:val="1053"/>
              <w:jc w:val="center"/>
              <w:spacing w:before="0" w:after="0"/>
              <w:tabs>
                <w:tab w:val="left" w:pos="-235" w:leader="none"/>
              </w:tabs>
              <w:rPr>
                <w:rFonts w:hint="eastAsia" w:ascii="宋体" w:hAnsi="宋体" w:eastAsia="宋体" w:cs="宋体"/>
                <w:sz w:val="24"/>
                <w:szCs w:val="24"/>
              </w:rPr>
            </w:pPr>
            <w:r>
              <w:rPr>
                <w:rFonts w:hint="eastAsia" w:ascii="宋体" w:hAnsi="宋体" w:eastAsia="宋体" w:cs="宋体"/>
                <w:sz w:val="24"/>
                <w:szCs w:val="24"/>
              </w:rPr>
              <w:t xml:space="preserve">单位</w:t>
            </w:r>
            <w:r>
              <w:rPr>
                <w:rFonts w:hint="eastAsia" w:ascii="宋体" w:hAnsi="宋体" w:eastAsia="宋体" w:cs="宋体"/>
                <w:sz w:val="24"/>
                <w:szCs w:val="24"/>
              </w:rPr>
            </w:r>
            <w:r/>
          </w:p>
        </w:tc>
        <w:tc>
          <w:tcPr>
            <w:tcW w:w="504" w:type="dxa"/>
            <w:vAlign w:val="center"/>
            <w:textDirection w:val="lrTb"/>
            <w:noWrap w:val="false"/>
          </w:tcPr>
          <w:p>
            <w:pPr>
              <w:pStyle w:val="1053"/>
              <w:jc w:val="center"/>
              <w:spacing w:before="0" w:after="0"/>
              <w:tabs>
                <w:tab w:val="left" w:pos="-235" w:leader="none"/>
              </w:tabs>
              <w:rPr>
                <w:rFonts w:hint="eastAsia" w:ascii="宋体" w:hAnsi="宋体" w:eastAsia="宋体" w:cs="宋体"/>
                <w:sz w:val="24"/>
                <w:szCs w:val="24"/>
              </w:rPr>
            </w:pPr>
            <w:r>
              <w:rPr>
                <w:rFonts w:hint="eastAsia" w:ascii="宋体" w:hAnsi="宋体" w:eastAsia="宋体" w:cs="宋体"/>
                <w:sz w:val="24"/>
                <w:szCs w:val="24"/>
              </w:rPr>
              <w:t xml:space="preserve">数量</w:t>
            </w:r>
            <w:r>
              <w:rPr>
                <w:rFonts w:hint="eastAsia" w:ascii="宋体" w:hAnsi="宋体" w:eastAsia="宋体" w:cs="宋体"/>
                <w:sz w:val="24"/>
                <w:szCs w:val="24"/>
              </w:rPr>
            </w:r>
            <w:r/>
          </w:p>
        </w:tc>
        <w:tc>
          <w:tcPr>
            <w:tcW w:w="828" w:type="dxa"/>
            <w:vAlign w:val="center"/>
            <w:textDirection w:val="lrTb"/>
            <w:noWrap w:val="false"/>
          </w:tcPr>
          <w:p>
            <w:pPr>
              <w:pStyle w:val="1053"/>
              <w:jc w:val="center"/>
              <w:spacing w:before="0" w:after="0"/>
              <w:tabs>
                <w:tab w:val="left" w:pos="-235" w:leader="none"/>
              </w:tabs>
              <w:rPr>
                <w:rFonts w:hint="eastAsia" w:ascii="宋体" w:hAnsi="宋体" w:eastAsia="宋体" w:cs="宋体"/>
                <w:sz w:val="24"/>
                <w:szCs w:val="24"/>
              </w:rPr>
            </w:pPr>
            <w:r>
              <w:rPr>
                <w:rFonts w:hint="eastAsia" w:ascii="宋体" w:hAnsi="宋体" w:eastAsia="宋体" w:cs="宋体"/>
                <w:sz w:val="24"/>
                <w:szCs w:val="24"/>
              </w:rPr>
              <w:t xml:space="preserve">单价（元）</w:t>
            </w:r>
            <w:r>
              <w:rPr>
                <w:rFonts w:hint="eastAsia" w:ascii="宋体" w:hAnsi="宋体" w:eastAsia="宋体" w:cs="宋体"/>
                <w:sz w:val="24"/>
                <w:szCs w:val="24"/>
              </w:rPr>
            </w:r>
            <w:r/>
          </w:p>
        </w:tc>
        <w:tc>
          <w:tcPr>
            <w:tcW w:w="735" w:type="dxa"/>
            <w:vAlign w:val="center"/>
            <w:textDirection w:val="lrTb"/>
            <w:noWrap w:val="false"/>
          </w:tcPr>
          <w:p>
            <w:pPr>
              <w:pStyle w:val="1053"/>
              <w:jc w:val="center"/>
              <w:spacing w:before="0" w:after="0"/>
              <w:tabs>
                <w:tab w:val="left" w:pos="-235" w:leader="none"/>
              </w:tabs>
              <w:rPr>
                <w:rFonts w:hint="eastAsia" w:ascii="宋体" w:hAnsi="宋体" w:eastAsia="宋体" w:cs="宋体"/>
                <w:sz w:val="24"/>
                <w:szCs w:val="24"/>
              </w:rPr>
            </w:pPr>
            <w:r>
              <w:rPr>
                <w:rFonts w:hint="eastAsia" w:ascii="宋体" w:hAnsi="宋体" w:eastAsia="宋体" w:cs="宋体"/>
                <w:sz w:val="24"/>
                <w:szCs w:val="24"/>
              </w:rPr>
              <w:t xml:space="preserve">总价（元）</w:t>
            </w:r>
            <w:r>
              <w:rPr>
                <w:rFonts w:hint="eastAsia" w:ascii="宋体" w:hAnsi="宋体" w:eastAsia="宋体" w:cs="宋体"/>
                <w:sz w:val="24"/>
                <w:szCs w:val="24"/>
              </w:rPr>
            </w:r>
            <w:r/>
          </w:p>
        </w:tc>
      </w:tr>
      <w:tr>
        <w:trPr>
          <w:trHeight w:val="19"/>
        </w:trPr>
        <w:tc>
          <w:tcPr>
            <w:tcW w:w="452" w:type="dxa"/>
            <w:vAlign w:val="center"/>
            <w:textDirection w:val="lrTb"/>
            <w:noWrap w:val="false"/>
          </w:tcPr>
          <w:p>
            <w:pPr>
              <w:pStyle w:val="1053"/>
              <w:ind w:firstLine="420"/>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sz w:val="24"/>
                <w:szCs w:val="24"/>
              </w:rPr>
            </w:r>
            <w:r/>
          </w:p>
        </w:tc>
        <w:tc>
          <w:tcPr>
            <w:tcW w:w="1329" w:type="dxa"/>
            <w:vAlign w:val="center"/>
            <w:textDirection w:val="lrTb"/>
            <w:noWrap w:val="false"/>
          </w:tcPr>
          <w:p>
            <w:pPr>
              <w:pStyle w:val="1053"/>
              <w:ind w:firstLine="420"/>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sz w:val="24"/>
                <w:szCs w:val="24"/>
              </w:rPr>
            </w:r>
            <w:r/>
          </w:p>
        </w:tc>
        <w:tc>
          <w:tcPr>
            <w:tcW w:w="655" w:type="dxa"/>
            <w:vAlign w:val="center"/>
            <w:textDirection w:val="lrTb"/>
            <w:noWrap w:val="false"/>
          </w:tcPr>
          <w:p>
            <w:pPr>
              <w:pStyle w:val="1053"/>
              <w:ind w:firstLine="420"/>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sz w:val="24"/>
                <w:szCs w:val="24"/>
              </w:rPr>
            </w:r>
            <w:r/>
          </w:p>
        </w:tc>
        <w:tc>
          <w:tcPr>
            <w:tcW w:w="494" w:type="dxa"/>
            <w:vAlign w:val="center"/>
            <w:textDirection w:val="lrTb"/>
            <w:noWrap w:val="false"/>
          </w:tcPr>
          <w:p>
            <w:pPr>
              <w:pStyle w:val="1053"/>
              <w:ind w:firstLine="420"/>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sz w:val="24"/>
                <w:szCs w:val="24"/>
              </w:rPr>
            </w:r>
            <w:r/>
          </w:p>
        </w:tc>
        <w:tc>
          <w:tcPr>
            <w:tcW w:w="504" w:type="dxa"/>
            <w:vAlign w:val="center"/>
            <w:textDirection w:val="lrTb"/>
            <w:noWrap w:val="false"/>
          </w:tcPr>
          <w:p>
            <w:pPr>
              <w:pStyle w:val="1053"/>
              <w:ind w:firstLine="420"/>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sz w:val="24"/>
                <w:szCs w:val="24"/>
              </w:rPr>
            </w:r>
            <w:r/>
          </w:p>
        </w:tc>
        <w:tc>
          <w:tcPr>
            <w:tcW w:w="828" w:type="dxa"/>
            <w:vAlign w:val="center"/>
            <w:textDirection w:val="lrTb"/>
            <w:noWrap w:val="false"/>
          </w:tcPr>
          <w:p>
            <w:pPr>
              <w:pStyle w:val="1053"/>
              <w:ind w:firstLine="420"/>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sz w:val="24"/>
                <w:szCs w:val="24"/>
              </w:rPr>
            </w:r>
            <w:r/>
          </w:p>
        </w:tc>
        <w:tc>
          <w:tcPr>
            <w:tcW w:w="735" w:type="dxa"/>
            <w:vAlign w:val="center"/>
            <w:textDirection w:val="lrTb"/>
            <w:noWrap w:val="false"/>
          </w:tcPr>
          <w:p>
            <w:pPr>
              <w:pStyle w:val="1053"/>
              <w:ind w:firstLine="420"/>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9"/>
        </w:trPr>
        <w:tc>
          <w:tcPr>
            <w:tcW w:w="452" w:type="dxa"/>
            <w:vAlign w:val="center"/>
            <w:textDirection w:val="lrTb"/>
            <w:noWrap w:val="false"/>
          </w:tcPr>
          <w:p>
            <w:pPr>
              <w:pStyle w:val="1053"/>
              <w:ind w:firstLine="420"/>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sz w:val="24"/>
                <w:szCs w:val="24"/>
              </w:rPr>
            </w:r>
            <w:r/>
          </w:p>
        </w:tc>
        <w:tc>
          <w:tcPr>
            <w:tcW w:w="1329" w:type="dxa"/>
            <w:vAlign w:val="center"/>
            <w:textDirection w:val="lrTb"/>
            <w:noWrap w:val="false"/>
          </w:tcPr>
          <w:p>
            <w:pPr>
              <w:pStyle w:val="1053"/>
              <w:ind w:firstLine="420"/>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sz w:val="24"/>
                <w:szCs w:val="24"/>
              </w:rPr>
            </w:r>
            <w:r/>
          </w:p>
        </w:tc>
        <w:tc>
          <w:tcPr>
            <w:tcW w:w="655" w:type="dxa"/>
            <w:vAlign w:val="center"/>
            <w:textDirection w:val="lrTb"/>
            <w:noWrap w:val="false"/>
          </w:tcPr>
          <w:p>
            <w:pPr>
              <w:pStyle w:val="1053"/>
              <w:ind w:firstLine="420"/>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sz w:val="24"/>
                <w:szCs w:val="24"/>
              </w:rPr>
            </w:r>
            <w:r/>
          </w:p>
        </w:tc>
        <w:tc>
          <w:tcPr>
            <w:tcW w:w="494" w:type="dxa"/>
            <w:vAlign w:val="center"/>
            <w:textDirection w:val="lrTb"/>
            <w:noWrap w:val="false"/>
          </w:tcPr>
          <w:p>
            <w:pPr>
              <w:pStyle w:val="1053"/>
              <w:ind w:firstLine="420"/>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sz w:val="24"/>
                <w:szCs w:val="24"/>
              </w:rPr>
            </w:r>
            <w:r/>
          </w:p>
        </w:tc>
        <w:tc>
          <w:tcPr>
            <w:tcW w:w="504" w:type="dxa"/>
            <w:vAlign w:val="center"/>
            <w:textDirection w:val="lrTb"/>
            <w:noWrap w:val="false"/>
          </w:tcPr>
          <w:p>
            <w:pPr>
              <w:pStyle w:val="1053"/>
              <w:ind w:firstLine="420"/>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sz w:val="24"/>
                <w:szCs w:val="24"/>
              </w:rPr>
            </w:r>
            <w:r/>
          </w:p>
        </w:tc>
        <w:tc>
          <w:tcPr>
            <w:tcW w:w="828" w:type="dxa"/>
            <w:vAlign w:val="center"/>
            <w:textDirection w:val="lrTb"/>
            <w:noWrap w:val="false"/>
          </w:tcPr>
          <w:p>
            <w:pPr>
              <w:pStyle w:val="1053"/>
              <w:ind w:firstLine="420"/>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sz w:val="24"/>
                <w:szCs w:val="24"/>
              </w:rPr>
            </w:r>
            <w:r/>
          </w:p>
        </w:tc>
        <w:tc>
          <w:tcPr>
            <w:tcW w:w="735" w:type="dxa"/>
            <w:vAlign w:val="center"/>
            <w:textDirection w:val="lrTb"/>
            <w:noWrap w:val="false"/>
          </w:tcPr>
          <w:p>
            <w:pPr>
              <w:pStyle w:val="1053"/>
              <w:ind w:firstLine="420"/>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sz w:val="24"/>
                <w:szCs w:val="24"/>
              </w:rPr>
            </w:r>
            <w:r/>
          </w:p>
        </w:tc>
      </w:tr>
      <w:tr>
        <w:trPr>
          <w:trHeight w:val="19"/>
        </w:trPr>
        <w:tc>
          <w:tcPr>
            <w:gridSpan w:val="4"/>
            <w:tcW w:w="5545" w:type="dxa"/>
            <w:vAlign w:val="center"/>
            <w:textDirection w:val="lrTb"/>
            <w:noWrap w:val="false"/>
          </w:tcPr>
          <w:p>
            <w:pPr>
              <w:pStyle w:val="1053"/>
              <w:ind w:firstLine="422"/>
              <w:jc w:val="center"/>
              <w:spacing w:line="480" w:lineRule="exact"/>
              <w:tabs>
                <w:tab w:val="left" w:pos="-235" w:leader="none"/>
              </w:tabs>
              <w:rPr>
                <w:rFonts w:hint="eastAsia" w:ascii="宋体" w:hAnsi="宋体" w:eastAsia="宋体" w:cs="宋体"/>
                <w:sz w:val="24"/>
                <w:szCs w:val="24"/>
              </w:rPr>
            </w:pPr>
            <w:r>
              <w:rPr>
                <w:rFonts w:hint="eastAsia" w:ascii="宋体" w:hAnsi="宋体" w:eastAsia="宋体" w:cs="宋体"/>
                <w:b/>
                <w:bCs/>
                <w:sz w:val="24"/>
                <w:szCs w:val="24"/>
              </w:rPr>
              <w:t xml:space="preserve">合计（元）</w:t>
            </w:r>
            <w:r>
              <w:rPr>
                <w:rFonts w:hint="eastAsia" w:ascii="宋体" w:hAnsi="宋体" w:eastAsia="宋体" w:cs="宋体"/>
                <w:sz w:val="24"/>
                <w:szCs w:val="24"/>
              </w:rPr>
            </w:r>
            <w:r/>
          </w:p>
        </w:tc>
        <w:tc>
          <w:tcPr>
            <w:gridSpan w:val="3"/>
            <w:tcW w:w="3909" w:type="dxa"/>
            <w:vAlign w:val="center"/>
            <w:textDirection w:val="lrTb"/>
            <w:noWrap w:val="false"/>
          </w:tcPr>
          <w:p>
            <w:pPr>
              <w:pStyle w:val="1053"/>
              <w:ind w:firstLine="422"/>
              <w:spacing w:line="480" w:lineRule="exact"/>
              <w:tabs>
                <w:tab w:val="left" w:pos="-235" w:leader="none"/>
              </w:tabs>
              <w:rPr>
                <w:rFonts w:hint="eastAsia" w:ascii="宋体" w:hAnsi="宋体" w:eastAsia="宋体" w:cs="宋体"/>
                <w:sz w:val="24"/>
                <w:szCs w:val="24"/>
              </w:rPr>
            </w:pPr>
            <w:r>
              <w:rPr>
                <w:rFonts w:hint="eastAsia" w:ascii="宋体" w:hAnsi="宋体" w:eastAsia="宋体" w:cs="宋体"/>
                <w:b/>
                <w:sz w:val="24"/>
                <w:szCs w:val="24"/>
              </w:rPr>
              <w:t xml:space="preserve">￥</w:t>
            </w:r>
            <w:r>
              <w:rPr>
                <w:rFonts w:hint="eastAsia" w:ascii="宋体" w:hAnsi="宋体" w:eastAsia="宋体" w:cs="宋体"/>
                <w:sz w:val="24"/>
                <w:szCs w:val="24"/>
              </w:rPr>
            </w:r>
            <w:r/>
          </w:p>
        </w:tc>
      </w:tr>
    </w:tbl>
    <w:p>
      <w:pPr>
        <w:pStyle w:val="1053"/>
        <w:ind w:left="108" w:firstLine="480"/>
        <w:jc w:val="left"/>
        <w:spacing w:line="480" w:lineRule="exact"/>
        <w:tabs>
          <w:tab w:val="left" w:pos="4785" w:leader="none"/>
        </w:tabs>
        <w:rPr>
          <w:rFonts w:hint="eastAsia" w:ascii="宋体" w:hAnsi="宋体" w:eastAsia="宋体" w:cs="宋体"/>
          <w:bCs/>
          <w:sz w:val="24"/>
          <w:szCs w:val="24"/>
        </w:rPr>
      </w:pPr>
      <w:r>
        <w:rPr>
          <w:rFonts w:hint="eastAsia" w:ascii="宋体" w:hAnsi="宋体" w:eastAsia="宋体" w:cs="宋体"/>
          <w:sz w:val="24"/>
          <w:szCs w:val="24"/>
        </w:rPr>
        <w:t xml:space="preserve">2.合同总价（大写）：</w:t>
      </w:r>
      <w:r>
        <w:rPr>
          <w:rFonts w:hint="eastAsia" w:ascii="宋体" w:hAnsi="宋体" w:eastAsia="宋体" w:cs="宋体"/>
          <w:b/>
          <w:bCs/>
          <w:sz w:val="24"/>
          <w:szCs w:val="24"/>
          <w:u w:val="single"/>
        </w:rPr>
        <w:t xml:space="preserve">人民币           </w:t>
      </w:r>
      <w:r>
        <w:rPr>
          <w:rFonts w:hint="eastAsia" w:ascii="宋体" w:hAnsi="宋体" w:eastAsia="宋体" w:cs="宋体"/>
          <w:sz w:val="24"/>
          <w:szCs w:val="24"/>
        </w:rPr>
        <w:t xml:space="preserve">。</w:t>
      </w:r>
      <w:r>
        <w:rPr>
          <w:rFonts w:hint="eastAsia" w:ascii="宋体" w:hAnsi="宋体" w:eastAsia="宋体" w:cs="宋体"/>
          <w:bCs/>
          <w:sz w:val="24"/>
          <w:szCs w:val="24"/>
        </w:rPr>
        <w:t xml:space="preserve">（含税）</w:t>
      </w:r>
      <w:r>
        <w:rPr>
          <w:rFonts w:hint="eastAsia" w:ascii="宋体" w:hAnsi="宋体" w:eastAsia="宋体" w:cs="宋体"/>
          <w:bCs/>
          <w:sz w:val="24"/>
          <w:szCs w:val="24"/>
        </w:rPr>
      </w:r>
      <w:r/>
    </w:p>
    <w:p>
      <w:pPr>
        <w:pStyle w:val="1053"/>
        <w:ind w:left="108" w:firstLine="1680"/>
        <w:jc w:val="left"/>
        <w:spacing w:line="480" w:lineRule="exact"/>
        <w:tabs>
          <w:tab w:val="left" w:pos="4785" w:leader="none"/>
        </w:tabs>
        <w:rPr>
          <w:rFonts w:hint="eastAsia" w:ascii="宋体" w:hAnsi="宋体" w:eastAsia="宋体" w:cs="宋体"/>
          <w:bCs/>
          <w:sz w:val="24"/>
          <w:szCs w:val="24"/>
        </w:rPr>
      </w:pPr>
      <w:r>
        <w:rPr>
          <w:rFonts w:hint="eastAsia" w:ascii="宋体" w:hAnsi="宋体" w:eastAsia="宋体" w:cs="宋体"/>
          <w:bCs/>
          <w:sz w:val="24"/>
          <w:szCs w:val="24"/>
        </w:rPr>
        <w:t xml:space="preserve">（小写）：</w:t>
      </w:r>
      <w:r>
        <w:rPr>
          <w:rFonts w:hint="eastAsia" w:ascii="宋体" w:hAnsi="宋体" w:eastAsia="宋体" w:cs="宋体"/>
          <w:b/>
          <w:bCs/>
          <w:sz w:val="24"/>
          <w:szCs w:val="24"/>
          <w:u w:val="single"/>
        </w:rPr>
        <w:t xml:space="preserve">￥            元。</w:t>
      </w:r>
      <w:r>
        <w:rPr>
          <w:rFonts w:hint="eastAsia" w:ascii="宋体" w:hAnsi="宋体" w:eastAsia="宋体" w:cs="宋体"/>
          <w:bCs/>
          <w:sz w:val="24"/>
          <w:szCs w:val="24"/>
        </w:rPr>
      </w:r>
      <w:r/>
    </w:p>
    <w:p>
      <w:pPr>
        <w:pStyle w:val="1053"/>
        <w:ind w:firstLine="480"/>
        <w:spacing w:line="480" w:lineRule="exact"/>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bCs/>
          <w:sz w:val="24"/>
          <w:szCs w:val="24"/>
        </w:rPr>
        <w:t xml:space="preserve">投标报价，应包括本次招标范围内全部设备、材料、随设备提供的备品配件及专用工具的价格、全部税费、包装费、运杂费（运抵买方项目现场）、保险费、安装费、调试费、买方操作维护人员培训费、验收检定费（取得法定计量检定机构有效溯源证书并证明合格）及投标人认为需要的其他费用等。发现漏项、缺项，供应方应无条件无偿补齐，必须保证各系统正常运行，所发生的一切费用，视为已包含在投标人投标报价中，且并不因此而影响交付使用时间</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53"/>
        <w:ind w:left="108" w:firstLine="480"/>
        <w:jc w:val="left"/>
        <w:spacing w:line="48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2.2在安装、调试、验收过程中，如发现有漏项、缺件，卖方应无条件、无偿补齐，所发生的一切费用，视为已包含在卖方投标时的投标报价之中，且并不因此而影响交付买方使用的时间。</w:t>
      </w:r>
      <w:r>
        <w:rPr>
          <w:rFonts w:hint="eastAsia" w:ascii="宋体" w:hAnsi="宋体" w:eastAsia="宋体" w:cs="宋体"/>
          <w:sz w:val="24"/>
          <w:szCs w:val="24"/>
        </w:rPr>
      </w:r>
      <w:r/>
    </w:p>
    <w:p>
      <w:pPr>
        <w:pStyle w:val="1053"/>
        <w:ind w:left="108" w:firstLine="480"/>
        <w:jc w:val="left"/>
        <w:spacing w:line="48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3.交付使用时间：</w:t>
      </w:r>
      <w:r>
        <w:rPr>
          <w:rFonts w:hint="eastAsia" w:ascii="宋体" w:hAnsi="宋体" w:eastAsia="宋体" w:cs="宋体"/>
          <w:sz w:val="24"/>
          <w:szCs w:val="24"/>
          <w:u w:val="single"/>
        </w:rPr>
        <w:t xml:space="preserve">详见投标文件。</w:t>
      </w:r>
      <w:r>
        <w:rPr>
          <w:rFonts w:hint="eastAsia" w:ascii="宋体" w:hAnsi="宋体" w:eastAsia="宋体" w:cs="宋体"/>
          <w:sz w:val="24"/>
          <w:szCs w:val="24"/>
        </w:rPr>
      </w:r>
      <w:r/>
    </w:p>
    <w:p>
      <w:pPr>
        <w:pStyle w:val="1053"/>
        <w:ind w:firstLine="600"/>
        <w:spacing w:line="480" w:lineRule="exact"/>
        <w:rPr>
          <w:rFonts w:hint="eastAsia" w:ascii="宋体" w:hAnsi="宋体" w:eastAsia="宋体" w:cs="宋体"/>
          <w:sz w:val="24"/>
          <w:szCs w:val="24"/>
        </w:rPr>
      </w:pPr>
      <w:r>
        <w:rPr>
          <w:rFonts w:hint="eastAsia" w:ascii="宋体" w:hAnsi="宋体" w:eastAsia="宋体" w:cs="宋体"/>
          <w:sz w:val="24"/>
          <w:szCs w:val="24"/>
        </w:rPr>
        <w:t xml:space="preserve">4.收货人：</w:t>
      </w:r>
      <w:r>
        <w:rPr>
          <w:rFonts w:hint="eastAsia" w:ascii="宋体" w:hAnsi="宋体" w:eastAsia="宋体" w:cs="宋体"/>
          <w:b/>
          <w:sz w:val="24"/>
          <w:szCs w:val="24"/>
          <w:u w:val="single"/>
        </w:rPr>
        <w:t xml:space="preserve">江苏省计量科学研究院（江苏省能源计量数据中心）</w:t>
      </w:r>
      <w:r>
        <w:rPr>
          <w:rFonts w:hint="eastAsia" w:ascii="宋体" w:hAnsi="宋体" w:eastAsia="宋体" w:cs="宋体"/>
          <w:sz w:val="24"/>
          <w:szCs w:val="24"/>
          <w:u w:val="single"/>
        </w:rPr>
        <w:t xml:space="preserve">。</w:t>
      </w:r>
      <w:r>
        <w:rPr>
          <w:rFonts w:hint="eastAsia" w:ascii="宋体" w:hAnsi="宋体" w:eastAsia="宋体" w:cs="宋体"/>
          <w:sz w:val="24"/>
          <w:szCs w:val="24"/>
        </w:rPr>
      </w:r>
      <w:r/>
    </w:p>
    <w:p>
      <w:pPr>
        <w:pStyle w:val="1053"/>
        <w:ind w:firstLine="600"/>
        <w:spacing w:line="480" w:lineRule="exact"/>
        <w:tabs>
          <w:tab w:val="left" w:pos="-235" w:leader="none"/>
        </w:tabs>
        <w:rPr>
          <w:rFonts w:hint="eastAsia" w:ascii="宋体" w:hAnsi="宋体" w:eastAsia="宋体" w:cs="宋体"/>
          <w:b/>
          <w:sz w:val="24"/>
          <w:szCs w:val="24"/>
          <w:u w:val="single"/>
        </w:rPr>
      </w:pPr>
      <w:r>
        <w:rPr>
          <w:rFonts w:hint="eastAsia" w:ascii="宋体" w:hAnsi="宋体" w:eastAsia="宋体" w:cs="宋体"/>
          <w:sz w:val="24"/>
          <w:szCs w:val="24"/>
        </w:rPr>
        <w:t xml:space="preserve">5.交货地点：</w:t>
      </w:r>
      <w:r>
        <w:rPr>
          <w:rFonts w:hint="eastAsia" w:ascii="宋体" w:hAnsi="宋体" w:eastAsia="宋体" w:cs="宋体"/>
          <w:b/>
          <w:sz w:val="24"/>
          <w:szCs w:val="24"/>
          <w:u w:val="single"/>
        </w:rPr>
        <w:t xml:space="preserve">买方指定地点。</w:t>
      </w:r>
      <w:r>
        <w:rPr>
          <w:rFonts w:hint="eastAsia" w:ascii="宋体" w:hAnsi="宋体" w:eastAsia="宋体" w:cs="宋体"/>
          <w:b/>
          <w:sz w:val="24"/>
          <w:szCs w:val="24"/>
          <w:u w:val="single"/>
        </w:rPr>
      </w:r>
      <w:r/>
    </w:p>
    <w:p>
      <w:pPr>
        <w:pStyle w:val="1053"/>
        <w:ind w:firstLine="600"/>
        <w:spacing w:line="480" w:lineRule="exact"/>
        <w:tabs>
          <w:tab w:val="left" w:pos="-235" w:leader="none"/>
        </w:tabs>
        <w:rPr>
          <w:rFonts w:hint="eastAsia" w:ascii="宋体" w:hAnsi="宋体" w:eastAsia="宋体" w:cs="宋体"/>
          <w:sz w:val="24"/>
          <w:szCs w:val="24"/>
          <w:u w:val="single"/>
        </w:rPr>
      </w:pPr>
      <w:r>
        <w:rPr>
          <w:rFonts w:hint="eastAsia" w:ascii="宋体" w:hAnsi="宋体" w:eastAsia="宋体" w:cs="宋体"/>
          <w:sz w:val="24"/>
          <w:szCs w:val="24"/>
        </w:rPr>
        <w:t xml:space="preserve">6.设备的制造应符合下列标准或规范并据此验收：</w:t>
      </w:r>
      <w:r>
        <w:rPr>
          <w:rFonts w:hint="eastAsia" w:ascii="宋体" w:hAnsi="宋体" w:eastAsia="宋体" w:cs="宋体"/>
          <w:b/>
          <w:sz w:val="24"/>
          <w:szCs w:val="24"/>
          <w:u w:val="single"/>
        </w:rPr>
        <w:t xml:space="preserve">招标文件、投标文件、双方签订的技术协议和国家的相关标准。</w:t>
      </w:r>
      <w:r>
        <w:rPr>
          <w:rFonts w:hint="eastAsia" w:ascii="宋体" w:hAnsi="宋体" w:eastAsia="宋体" w:cs="宋体"/>
          <w:sz w:val="24"/>
          <w:szCs w:val="24"/>
          <w:u w:val="single"/>
        </w:rPr>
      </w:r>
      <w:r/>
    </w:p>
    <w:p>
      <w:pPr>
        <w:pStyle w:val="1053"/>
        <w:ind w:left="108" w:firstLine="480"/>
        <w:jc w:val="left"/>
        <w:spacing w:line="48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7.包装要求：全部货物的外包装，必须采用防漏、防潮、防震、防锈、防盗和考虑到可能会发生的野蛮装卸等长途内陆运输及多次装卸之需要。</w:t>
      </w:r>
      <w:r>
        <w:rPr>
          <w:rFonts w:hint="eastAsia" w:ascii="宋体" w:hAnsi="宋体" w:eastAsia="宋体" w:cs="宋体"/>
          <w:sz w:val="24"/>
          <w:szCs w:val="24"/>
        </w:rPr>
      </w:r>
      <w:r/>
    </w:p>
    <w:p>
      <w:pPr>
        <w:pStyle w:val="1053"/>
        <w:ind w:left="108" w:firstLine="480"/>
        <w:jc w:val="left"/>
        <w:spacing w:line="48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8.买方付款方式及期限：</w:t>
      </w:r>
      <w:r>
        <w:rPr>
          <w:rFonts w:hint="eastAsia" w:ascii="宋体" w:hAnsi="宋体" w:eastAsia="宋体" w:cs="宋体"/>
          <w:sz w:val="24"/>
          <w:szCs w:val="24"/>
        </w:rPr>
      </w:r>
      <w:r/>
    </w:p>
    <w:p>
      <w:pPr>
        <w:pStyle w:val="1053"/>
        <w:ind w:left="108" w:firstLine="480"/>
        <w:jc w:val="left"/>
        <w:spacing w:line="48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合同签订生效后一个月内，买方向卖方支付合同金额3</w:t>
      </w:r>
      <w:r>
        <w:rPr>
          <w:rFonts w:ascii="宋体" w:hAnsi="宋体" w:eastAsia="宋体" w:cs="宋体"/>
          <w:sz w:val="24"/>
          <w:szCs w:val="24"/>
        </w:rPr>
        <w:t xml:space="preserve">0</w:t>
      </w:r>
      <w:r>
        <w:rPr>
          <w:rFonts w:hint="eastAsia" w:ascii="宋体" w:hAnsi="宋体" w:eastAsia="宋体" w:cs="宋体"/>
          <w:sz w:val="24"/>
          <w:szCs w:val="24"/>
        </w:rPr>
        <w:t xml:space="preserve">%的预付款；设备、材料全部运抵买方指定地点，安装、调试完毕，并全部设备验收合格、卖方向买方开具合同金额10%的银行保函（作为履约保证金）后，买方向卖方支付合同金额</w:t>
      </w:r>
      <w:r>
        <w:rPr>
          <w:rFonts w:ascii="宋体" w:hAnsi="宋体" w:eastAsia="宋体" w:cs="宋体"/>
          <w:sz w:val="24"/>
          <w:szCs w:val="24"/>
        </w:rPr>
        <w:t xml:space="preserve">70</w:t>
      </w:r>
      <w:r>
        <w:rPr>
          <w:rFonts w:hint="eastAsia" w:ascii="宋体" w:hAnsi="宋体" w:eastAsia="宋体" w:cs="宋体"/>
          <w:sz w:val="24"/>
          <w:szCs w:val="24"/>
        </w:rPr>
        <w:t xml:space="preserve">%的货款。履约保证金在设备验收合格并稳定运行满一年后无息退回。如卖方未能履行合同规定的义务，买方有权从履约保证金中取得补偿。</w:t>
      </w:r>
      <w:r>
        <w:rPr>
          <w:rFonts w:hint="eastAsia" w:ascii="宋体" w:hAnsi="宋体" w:eastAsia="宋体" w:cs="宋体"/>
          <w:sz w:val="24"/>
          <w:szCs w:val="24"/>
        </w:rPr>
      </w:r>
      <w:r/>
    </w:p>
    <w:p>
      <w:pPr>
        <w:pStyle w:val="1053"/>
        <w:ind w:left="108" w:firstLine="480"/>
        <w:jc w:val="left"/>
        <w:spacing w:line="48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因卖方原因没有按期提供银行保函和发票的，致使买方未能及时付款所产生的责任由卖方负责，买方不承担违约责任。</w:t>
      </w:r>
      <w:r>
        <w:rPr>
          <w:rFonts w:hint="eastAsia" w:ascii="宋体" w:hAnsi="宋体" w:eastAsia="宋体" w:cs="宋体"/>
          <w:sz w:val="24"/>
          <w:szCs w:val="24"/>
        </w:rPr>
      </w:r>
      <w:r/>
    </w:p>
    <w:p>
      <w:pPr>
        <w:pStyle w:val="1053"/>
        <w:ind w:left="108" w:firstLine="480"/>
        <w:jc w:val="left"/>
        <w:spacing w:line="480" w:lineRule="exact"/>
        <w:tabs>
          <w:tab w:val="left" w:pos="4785" w:leader="none"/>
        </w:tabs>
        <w:rPr>
          <w:rFonts w:ascii="宋体" w:hAnsi="宋体" w:eastAsia="宋体" w:cs="宋体"/>
          <w:sz w:val="24"/>
          <w:szCs w:val="24"/>
        </w:rPr>
      </w:pPr>
      <w:r>
        <w:rPr>
          <w:rFonts w:hint="eastAsia" w:ascii="宋体" w:hAnsi="宋体" w:eastAsia="宋体" w:cs="宋体"/>
          <w:sz w:val="24"/>
          <w:szCs w:val="24"/>
        </w:rPr>
        <w:t xml:space="preserve">卖方应在收到买方通知后开具合法有效发票，买方收到发票后支付相应款项。若因发票瑕疵导致付款延误，责任由卖方承担。若产品存在质量问题，则不受该付款条件约束，应按照本合同条款其他要求以及民法典有关规定执行。</w:t>
      </w:r>
      <w:r>
        <w:rPr>
          <w:rFonts w:ascii="宋体" w:hAnsi="宋体" w:eastAsia="宋体" w:cs="宋体"/>
          <w:sz w:val="24"/>
          <w:szCs w:val="24"/>
        </w:rPr>
      </w:r>
      <w:r/>
    </w:p>
    <w:p>
      <w:pPr>
        <w:pStyle w:val="1053"/>
        <w:ind w:left="108" w:firstLine="480"/>
        <w:jc w:val="left"/>
        <w:spacing w:line="48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9.验收</w:t>
      </w:r>
      <w:r>
        <w:rPr>
          <w:rFonts w:hint="eastAsia" w:ascii="宋体" w:hAnsi="宋体" w:eastAsia="宋体" w:cs="宋体"/>
          <w:sz w:val="24"/>
          <w:szCs w:val="24"/>
        </w:rPr>
      </w:r>
      <w:r/>
    </w:p>
    <w:p>
      <w:pPr>
        <w:pStyle w:val="1053"/>
        <w:ind w:left="8" w:firstLine="650"/>
        <w:jc w:val="left"/>
        <w:spacing w:line="480" w:lineRule="exact"/>
        <w:tabs>
          <w:tab w:val="left" w:pos="4785" w:leader="none"/>
        </w:tabs>
        <w:rPr>
          <w:rFonts w:hint="eastAsia" w:ascii="宋体" w:hAnsi="宋体" w:eastAsia="宋体" w:cs="宋体"/>
          <w:b/>
          <w:sz w:val="24"/>
          <w:szCs w:val="24"/>
          <w:u w:val="single"/>
        </w:rPr>
      </w:pPr>
      <w:r>
        <w:rPr>
          <w:rFonts w:hint="eastAsia" w:ascii="宋体" w:hAnsi="宋体" w:eastAsia="宋体" w:cs="宋体"/>
          <w:sz w:val="24"/>
          <w:szCs w:val="24"/>
        </w:rPr>
        <w:t xml:space="preserve">验收标准及方式：符合招标文件、投标文件、双方签订的技术协议、国家的相关标准和规范；经采购人项目负责人确认是否达到验收标准，若符合验收标准则验收合格。</w:t>
      </w:r>
      <w:r>
        <w:rPr>
          <w:rFonts w:hint="eastAsia" w:ascii="宋体" w:hAnsi="宋体" w:eastAsia="宋体" w:cs="宋体"/>
          <w:b/>
          <w:sz w:val="24"/>
          <w:szCs w:val="24"/>
          <w:u w:val="single"/>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10.质保期及售后服务</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10.1 卖方所供设备、材料及安装的质量保证期：</w:t>
      </w:r>
      <w:r>
        <w:rPr>
          <w:rFonts w:hint="eastAsia" w:ascii="宋体" w:hAnsi="宋体" w:eastAsia="宋体" w:cs="宋体"/>
          <w:sz w:val="24"/>
          <w:szCs w:val="24"/>
          <w:u w:val="single"/>
        </w:rPr>
        <w:t xml:space="preserve">详见投标文件要求</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10.2 在质保期内，因卖方所供设备、材料制造质量或安装问题出现设备故障时，卖方在接到买方通知后，24小时内响应，并安排设备厂家工程师三个工作日内赶到买方现场，免费予以排除故障、修复，无法修复应更换所供设备。卖方还应支付因更换所发生的运输、保险、安装、检测等有关的全部费用。</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10.3 在质保期内，因买方使用不当原因出现设备故障时，卖方在接到买方通知后，设备厂家工程师应在10.2条款中所述的时限内赶到买方现场，帮助排除故障、修复或更换零部件，需购买零部件时，仅收取成本费。</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10.4 质保期满后，如设备出现故障，设备厂家在接到买方通知后，设备厂家工程师仍应在上述时间内响应、派人赶到买方现场，帮助排除故障、修复或更换零部件，需购买零部件时，酌情收取成本费。</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11.技术资料</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按投标文件技术规格、参数及其他要求中的要求提供相关资料（见附件）。</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12.货物风险承担</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12.1卖方应当按照买方指定的地点交货，需要运输的货物，卖方应当妥善保障货物在运输过程中的安全。</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12.2卖方将货物运输至买方指定的地点后，应当及时通知买方进行接收，由买方进行检验。</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12.3在货物验收合格之前毁损、灭失的风险由卖方承担，因买方原因造成货物毁损、灭失的除外。</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13.卖方的违约责任</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13.1卖方未按合同规定的质量要求交货，买方有权拒收，由此造成的直接损失和间接损失由卖方赔偿。</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13.2卖方逾期交付（包括整修、返工、补交或由买方提出更改、卖方承诺，但未在承诺的工期内完成等）应向买方偿付违约金，每逾期1天，按合同总价的万分之五支付违约金。</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13.3货物有合格证及说明书等资料的，在交付货物时，卖方应当一并交付合格证及说明书等资料，未交付的买方有权拒绝接收。因此造成的损失由卖方承担。</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13.4卖方不能交付或不能完成合同，买方有权解除本合同并要求卖方双倍返还买方已支付的货款。</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13.5本合同所有货物的制造及安装，都必须由卖方自己或响应文件中明确的单位承担，不得分包给其他单位。否则，买方有权按卖方不能交付或不能完成合同处理。</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13.6货物经买方验收不符合要求的，卖方应当在买方指定的时间内调换，调换后仍不符合要求的，买方有权解除合同并要求卖方赔偿因此造成的损失。</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13.7卖方履行义务不符合合同约定时，买方将扣减10%合同款。</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13.8在合同约定的质保期内，卖方未能履行合同约定的义务，卖方应按合同总价的10%支付违约金，导致买方遭受损失的，卖方应承担因此造成的全部损失。</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14.买方的违约责任：</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14.1买方未按合同规定的时间和要求向卖方提供技术资料等，卖方交付时间顺延。</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15.卖方供给买方的设备、材料及卖方自己的施工用具，进入买方工地现场后的保管，由卖方负责；卖方在买方工地现场安装、调试、验收人员的安全、保险、食宿、交通由卖方负责。</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16.卖方在设备安装、调试、验收过程中，买方提供下列条件和配合，超出下列范围的由卖方自理：无</w:t>
      </w:r>
      <w:r>
        <w:rPr>
          <w:rFonts w:hint="eastAsia" w:ascii="宋体" w:hAnsi="宋体" w:eastAsia="宋体" w:cs="宋体"/>
          <w:sz w:val="24"/>
          <w:szCs w:val="24"/>
        </w:rPr>
      </w:r>
      <w:r/>
    </w:p>
    <w:p>
      <w:pPr>
        <w:pStyle w:val="1053"/>
        <w:ind w:firstLine="480"/>
        <w:jc w:val="left"/>
        <w:spacing w:line="440" w:lineRule="exact"/>
        <w:tabs>
          <w:tab w:val="left" w:pos="4785" w:leader="none"/>
        </w:tabs>
        <w:rPr>
          <w:rFonts w:ascii="宋体" w:hAnsi="宋体" w:eastAsia="宋体" w:cs="宋体"/>
          <w:sz w:val="24"/>
          <w:szCs w:val="24"/>
        </w:rPr>
      </w:pPr>
      <w:r>
        <w:rPr>
          <w:rFonts w:hint="eastAsia" w:ascii="宋体" w:hAnsi="宋体" w:eastAsia="宋体" w:cs="宋体"/>
          <w:sz w:val="24"/>
          <w:szCs w:val="24"/>
        </w:rPr>
        <w:t xml:space="preserve">17.卖方应保证提供的货物、设备不存在所有权、抵押权、使用权、知识产权等权利瑕疵。买方使用卖方提供的设备，当受到第三方提出的侵犯其专利权、商标权或工业设计权等知识产权的起诉时，一切后果由卖方负责。</w:t>
      </w:r>
      <w:r>
        <w:rPr>
          <w:rFonts w:ascii="宋体" w:hAnsi="宋体" w:eastAsia="宋体" w:cs="宋体"/>
          <w:sz w:val="24"/>
          <w:szCs w:val="24"/>
        </w:rPr>
      </w:r>
      <w:r/>
    </w:p>
    <w:p>
      <w:pPr>
        <w:pStyle w:val="1053"/>
        <w:ind w:firstLine="480"/>
        <w:jc w:val="left"/>
        <w:spacing w:line="440" w:lineRule="exact"/>
        <w:tabs>
          <w:tab w:val="left" w:pos="4785" w:leader="none"/>
        </w:tabs>
        <w:rPr>
          <w:rFonts w:ascii="宋体" w:hAnsi="宋体" w:eastAsia="宋体" w:cs="宋体"/>
          <w:sz w:val="24"/>
          <w:szCs w:val="24"/>
        </w:rPr>
      </w:pPr>
      <w:r>
        <w:rPr>
          <w:rFonts w:hint="eastAsia" w:ascii="宋体" w:hAnsi="宋体" w:eastAsia="宋体" w:cs="宋体"/>
          <w:sz w:val="24"/>
          <w:szCs w:val="24"/>
        </w:rPr>
        <w:t xml:space="preserve">18.合同的生效：本合同一式陆份，各份具有同等法律效力，自买卖双方签字、盖章并加盖骑缝章之日起生效。</w:t>
      </w:r>
      <w:r>
        <w:rPr>
          <w:rFonts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1</w:t>
      </w:r>
      <w:r>
        <w:rPr>
          <w:rFonts w:ascii="宋体" w:hAnsi="宋体" w:eastAsia="宋体" w:cs="宋体"/>
          <w:sz w:val="24"/>
          <w:szCs w:val="24"/>
        </w:rPr>
        <w:t xml:space="preserve">9.</w:t>
      </w:r>
      <w:r>
        <w:rPr>
          <w:rFonts w:hint="eastAsia" w:ascii="宋体" w:hAnsi="宋体" w:eastAsia="宋体" w:cs="宋体"/>
          <w:sz w:val="24"/>
          <w:szCs w:val="24"/>
        </w:rPr>
        <w:t xml:space="preserve">合同的变更和终止：除《中华人民共和国政府采购法》第五十条第二款规定的情形外，本合同一经签订，买卖双方不得擅自变更、中止或终止合同。除发生法律规定的不能预见、不能避免并不能克服的客观情况外，买卖双方不得放弃或拒绝履行合同。</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ascii="宋体" w:hAnsi="宋体" w:eastAsia="宋体" w:cs="宋体"/>
          <w:sz w:val="24"/>
          <w:szCs w:val="24"/>
        </w:rPr>
        <w:t xml:space="preserve">20.</w:t>
      </w:r>
      <w:r>
        <w:rPr>
          <w:rFonts w:hint="eastAsia" w:ascii="宋体" w:hAnsi="宋体" w:eastAsia="宋体" w:cs="宋体"/>
          <w:sz w:val="24"/>
          <w:szCs w:val="24"/>
        </w:rPr>
        <w:t xml:space="preserve">合同权利义务的转让：合同履行过程中，卖方未经买方书面同意，不得将合同权利义务转让给第三方，否则买方有权解除合同，同时卖方应当向买方支付合同总价款10%的违约金，造成买方损失的还应当进行赔偿。</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ascii="宋体" w:hAnsi="宋体" w:eastAsia="宋体" w:cs="宋体"/>
          <w:sz w:val="24"/>
          <w:szCs w:val="24"/>
        </w:rPr>
        <w:t xml:space="preserve">21</w:t>
      </w:r>
      <w:r>
        <w:rPr>
          <w:rFonts w:hint="eastAsia" w:ascii="宋体" w:hAnsi="宋体" w:eastAsia="宋体" w:cs="宋体"/>
          <w:sz w:val="24"/>
          <w:szCs w:val="24"/>
        </w:rPr>
        <w:t xml:space="preserve">.未尽事宜、双方协商解决，并按《中华人民共和国民法典》的规定调整。约定履行本合同发生争议，协商不成的，交由南京仲裁委员会仲裁裁决。仲裁产生的仲裁费、鉴定费、保全费、担保费、律师费等合理支出由违约方承担。</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2</w:t>
      </w:r>
      <w:r>
        <w:rPr>
          <w:rFonts w:ascii="宋体" w:hAnsi="宋体" w:eastAsia="宋体" w:cs="宋体"/>
          <w:sz w:val="24"/>
          <w:szCs w:val="24"/>
        </w:rPr>
        <w:t xml:space="preserve">2</w:t>
      </w:r>
      <w:r>
        <w:rPr>
          <w:rFonts w:hint="eastAsia" w:ascii="宋体" w:hAnsi="宋体" w:eastAsia="宋体" w:cs="宋体"/>
          <w:sz w:val="24"/>
          <w:szCs w:val="24"/>
        </w:rPr>
        <w:t xml:space="preserve">.招标文件、中标通知书、卖方的投标文件及投标承诺书是签订本合同的依据，本合同未尽事项首先依据招标文件、中标（成交）通知书、卖方的投标文件及投标承诺书进行履行，双方也可以在不违背本合同实质性内容的基础上达成补充协议，补充协议与本合同具有相同的法律效力。</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三、廉洁条款</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合同签订前、履行期间及履行完毕后，卖方应当遵守廉洁原则，不得向买方工作人员行贿、变相行贿，不得以任何理由向买方工作人员及第三方赠送礼品、礼金、各种有价证券及其他支付凭证，不得以任何理由为买方工作人员报销应由个人支付的费用。一旦发生上述事由，买方有权无条件解除本合同。</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四、保密条款</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双方应当对合同的内容、因履行合同期间获得的或收到的对方的商务、财务、技术、产品的信息、用户资料或其他标明保密的文件或信息的内容保守秘密，未经信息披露方书面事先同意，不得向合同以外的任何第三方披露。双方均不得将合同中的内容及在合同执行过程中获得的对方的商业信息向任何第三方泄露。本保密义务应在本合同期满、解除或终止后仍然有效。</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五、送达条款</w:t>
      </w:r>
      <w:r>
        <w:rPr>
          <w:rFonts w:hint="eastAsia" w:ascii="宋体" w:hAnsi="宋体" w:eastAsia="宋体" w:cs="宋体"/>
          <w:sz w:val="24"/>
          <w:szCs w:val="24"/>
        </w:rPr>
      </w:r>
      <w:r/>
    </w:p>
    <w:p>
      <w:pPr>
        <w:pStyle w:val="1053"/>
        <w:ind w:firstLine="480"/>
        <w:jc w:val="left"/>
        <w:spacing w:line="440" w:lineRule="exact"/>
        <w:tabs>
          <w:tab w:val="left" w:pos="4785" w:leader="none"/>
        </w:tabs>
        <w:rPr>
          <w:rFonts w:hint="eastAsia" w:ascii="宋体" w:hAnsi="宋体" w:eastAsia="宋体" w:cs="宋体"/>
          <w:sz w:val="24"/>
          <w:szCs w:val="24"/>
        </w:rPr>
      </w:pPr>
      <w:r>
        <w:rPr>
          <w:rFonts w:hint="eastAsia" w:ascii="宋体" w:hAnsi="宋体" w:eastAsia="宋体" w:cs="宋体"/>
          <w:sz w:val="24"/>
          <w:szCs w:val="24"/>
        </w:rPr>
        <w:t xml:space="preserve">合同尾部联系方式和联系信息适用于双方往来联系、书面文件送达及争议解决时法律文书送达，送达文书的效力及于本合同纠纷所引发的仲裁、诉讼程序和执行程序。卖方确认的最后送达地址如发生变更等情形，应在三日内重新确认填写最后送达地址并以书面方式予以通知买方，否则原确认的最后送达地址继续有效，卖方自行承担由此可能产生的法律后果。</w:t>
      </w:r>
      <w:r>
        <w:rPr>
          <w:rFonts w:hint="eastAsia" w:ascii="宋体" w:hAnsi="宋体" w:eastAsia="宋体" w:cs="宋体"/>
          <w:sz w:val="24"/>
          <w:szCs w:val="24"/>
        </w:rPr>
      </w:r>
      <w:r/>
    </w:p>
    <w:p>
      <w:pPr>
        <w:pStyle w:val="1053"/>
        <w:ind w:firstLine="480"/>
        <w:jc w:val="left"/>
        <w:spacing w:line="440" w:lineRule="exact"/>
        <w:widowControl/>
        <w:rPr>
          <w:rFonts w:hint="eastAsia" w:ascii="宋体" w:hAnsi="宋体" w:eastAsia="宋体" w:cs="宋体"/>
          <w:sz w:val="24"/>
          <w:szCs w:val="24"/>
        </w:rPr>
      </w:pPr>
      <w:r/>
      <w:bookmarkEnd w:id="129"/>
      <w:r>
        <w:rPr>
          <w:rFonts w:hint="eastAsia" w:ascii="宋体" w:hAnsi="宋体" w:eastAsia="宋体" w:cs="宋体"/>
          <w:sz w:val="24"/>
          <w:szCs w:val="24"/>
        </w:rPr>
      </w:r>
      <w:r/>
    </w:p>
    <w:tbl>
      <w:tblPr>
        <w:tblW w:w="9630"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946"/>
        <w:gridCol w:w="4684"/>
      </w:tblGrid>
      <w:tr>
        <w:trPr>
          <w:trHeight w:val="4651"/>
        </w:trPr>
        <w:tc>
          <w:tcPr>
            <w:tcW w:w="4946" w:type="dxa"/>
            <w:vAlign w:val="top"/>
            <w:textDirection w:val="lrTb"/>
            <w:noWrap w:val="false"/>
          </w:tcPr>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买方（盖章）：</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单位名称：江苏省计量科学研究院（江苏省能源计量数据中心）</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单位地址：</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委托代理人（签字）：</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联系方式：</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签订日期：  年  月  日</w:t>
            </w:r>
            <w:r>
              <w:rPr>
                <w:rFonts w:hint="eastAsia" w:ascii="宋体" w:hAnsi="宋体" w:eastAsia="宋体" w:cs="宋体"/>
                <w:szCs w:val="21"/>
              </w:rPr>
            </w:r>
            <w:r/>
          </w:p>
        </w:tc>
        <w:tc>
          <w:tcPr>
            <w:tcW w:w="4684" w:type="dxa"/>
            <w:vAlign w:val="top"/>
            <w:textDirection w:val="lrTb"/>
            <w:noWrap w:val="false"/>
          </w:tcPr>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卖方（盖章）：</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单位名称：</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单位地址：</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法定代表人：</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委托代理人（签字）：</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电话：</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传真：</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开户银行：</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帐号：</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税号：</w:t>
            </w:r>
            <w:r>
              <w:rPr>
                <w:rFonts w:hint="eastAsia" w:ascii="宋体" w:hAnsi="宋体" w:eastAsia="宋体" w:cs="宋体"/>
                <w:szCs w:val="21"/>
              </w:rPr>
            </w:r>
            <w:r/>
          </w:p>
          <w:p>
            <w:pPr>
              <w:pStyle w:val="1053"/>
              <w:spacing w:line="400" w:lineRule="exact"/>
              <w:rPr>
                <w:rFonts w:hint="eastAsia" w:ascii="宋体" w:hAnsi="宋体" w:eastAsia="宋体" w:cs="宋体"/>
                <w:szCs w:val="21"/>
              </w:rPr>
            </w:pPr>
            <w:r>
              <w:rPr>
                <w:rFonts w:hint="eastAsia" w:ascii="宋体" w:hAnsi="宋体" w:eastAsia="宋体" w:cs="宋体"/>
                <w:szCs w:val="21"/>
              </w:rPr>
              <w:t xml:space="preserve">签订日期：  年  月  日</w:t>
            </w:r>
            <w:r>
              <w:rPr>
                <w:rFonts w:hint="eastAsia" w:ascii="宋体" w:hAnsi="宋体" w:eastAsia="宋体" w:cs="宋体"/>
                <w:szCs w:val="21"/>
              </w:rPr>
            </w:r>
            <w:r/>
          </w:p>
        </w:tc>
      </w:tr>
    </w:tbl>
    <w:p>
      <w:pPr>
        <w:pStyle w:val="1053"/>
        <w:spacing w:line="240" w:lineRule="auto"/>
        <w:rPr>
          <w:rFonts w:hint="eastAsia" w:ascii="宋体" w:hAnsi="宋体" w:eastAsia="宋体" w:cs="宋体"/>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eastAsia="仿宋_GB2312" w:cs="仿宋_GB2312"/>
          <w:sz w:val="24"/>
          <w:szCs w:val="24"/>
        </w:rPr>
        <w:t xml:space="preserve">     </w:t>
      </w:r>
      <w:bookmarkStart w:id="130" w:name="_Toc27786"/>
      <w:r/>
      <w:bookmarkStart w:id="131" w:name="_Toc15343"/>
      <w:r/>
      <w:bookmarkStart w:id="132" w:name="OLE_LINK6"/>
      <w:r>
        <w:rPr>
          <w:rFonts w:hint="eastAsia" w:ascii="宋体" w:hAnsi="宋体" w:eastAsia="宋体" w:cs="宋体"/>
        </w:rPr>
      </w:r>
      <w:r/>
    </w:p>
    <w:p>
      <w:pPr>
        <w:pStyle w:val="1054"/>
        <w:ind w:firstLine="0"/>
        <w:tabs>
          <w:tab w:val="left" w:pos="1440" w:leader="none"/>
          <w:tab w:val="left" w:pos="5670" w:leader="none"/>
        </w:tabs>
        <w:rPr>
          <w:rFonts w:hint="eastAsia" w:ascii="宋体" w:hAnsi="宋体" w:eastAsia="宋体" w:cs="宋体"/>
        </w:rPr>
      </w:pPr>
      <w:r/>
      <w:bookmarkStart w:id="133" w:name="_Toc30540"/>
      <w:r>
        <w:rPr>
          <w:rFonts w:hint="eastAsia" w:ascii="宋体" w:hAnsi="宋体" w:eastAsia="宋体" w:cs="宋体"/>
        </w:rPr>
        <w:t xml:space="preserve">第六章 </w:t>
      </w:r>
      <w:bookmarkEnd w:id="130"/>
      <w:r>
        <w:rPr>
          <w:rFonts w:hint="eastAsia" w:ascii="宋体" w:hAnsi="宋体" w:eastAsia="宋体" w:cs="宋体"/>
        </w:rPr>
        <w:t xml:space="preserve">投标文件格式及附件</w:t>
      </w:r>
      <w:bookmarkEnd w:id="131"/>
      <w:r/>
      <w:bookmarkEnd w:id="133"/>
      <w:r>
        <w:rPr>
          <w:rFonts w:hint="eastAsia" w:ascii="宋体" w:hAnsi="宋体" w:eastAsia="宋体" w:cs="宋体"/>
        </w:rPr>
      </w:r>
      <w:r/>
    </w:p>
    <w:p>
      <w:pPr>
        <w:pStyle w:val="105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5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53"/>
        <w:jc w:val="center"/>
        <w:rPr>
          <w:rFonts w:hint="eastAsia" w:ascii="宋体" w:hAnsi="宋体" w:eastAsia="宋体" w:cs="宋体"/>
          <w:bCs/>
          <w:sz w:val="40"/>
          <w:szCs w:val="40"/>
        </w:rPr>
      </w:pPr>
      <w:r>
        <w:rPr>
          <w:rFonts w:hint="eastAsia" w:ascii="宋体" w:hAnsi="宋体" w:eastAsia="宋体" w:cs="宋体"/>
          <w:bCs/>
          <w:sz w:val="40"/>
          <w:szCs w:val="40"/>
        </w:rPr>
        <w:t xml:space="preserve">江苏省计量科学研究院能源计量设备采购</w:t>
      </w:r>
      <w:r>
        <w:rPr>
          <w:rFonts w:hint="eastAsia" w:ascii="宋体" w:hAnsi="宋体" w:eastAsia="宋体" w:cs="宋体"/>
          <w:bCs/>
          <w:sz w:val="40"/>
          <w:szCs w:val="40"/>
        </w:rPr>
      </w:r>
      <w:r/>
    </w:p>
    <w:p>
      <w:pPr>
        <w:pStyle w:val="105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53"/>
        <w:jc w:val="center"/>
        <w:rPr>
          <w:rFonts w:hint="eastAsia" w:ascii="宋体" w:hAnsi="宋体" w:eastAsia="宋体" w:cs="宋体"/>
          <w:sz w:val="44"/>
          <w:szCs w:val="44"/>
        </w:rPr>
      </w:pPr>
      <w:r>
        <w:rPr>
          <w:rFonts w:hint="eastAsia" w:ascii="宋体" w:hAnsi="宋体" w:eastAsia="宋体" w:cs="宋体"/>
          <w:sz w:val="44"/>
          <w:szCs w:val="44"/>
        </w:rPr>
        <w:t xml:space="preserve">投标文件</w:t>
      </w:r>
      <w:r>
        <w:rPr>
          <w:rFonts w:hint="eastAsia" w:ascii="宋体" w:hAnsi="宋体" w:eastAsia="宋体" w:cs="宋体"/>
          <w:sz w:val="44"/>
          <w:szCs w:val="44"/>
        </w:rPr>
      </w:r>
      <w:r/>
    </w:p>
    <w:p>
      <w:pPr>
        <w:pStyle w:val="105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53"/>
        <w:jc w:val="center"/>
        <w:rPr>
          <w:rFonts w:hint="eastAsia" w:ascii="宋体" w:hAnsi="宋体" w:eastAsia="宋体" w:cs="宋体"/>
          <w:bCs/>
          <w:sz w:val="32"/>
          <w:szCs w:val="32"/>
        </w:rPr>
      </w:pPr>
      <w:r>
        <w:rPr>
          <w:rFonts w:hint="eastAsia" w:ascii="宋体" w:hAnsi="宋体" w:eastAsia="宋体" w:cs="宋体"/>
          <w:bCs/>
          <w:sz w:val="32"/>
          <w:szCs w:val="32"/>
        </w:rPr>
      </w:r>
      <w:r/>
    </w:p>
    <w:p>
      <w:pPr>
        <w:pStyle w:val="1053"/>
        <w:ind w:firstLine="1386"/>
        <w:rPr>
          <w:rFonts w:hint="eastAsia" w:ascii="宋体" w:hAnsi="宋体" w:eastAsia="宋体" w:cs="宋体"/>
          <w:sz w:val="30"/>
          <w:szCs w:val="30"/>
        </w:rPr>
      </w:pPr>
      <w:r>
        <w:rPr>
          <w:rFonts w:hint="eastAsia" w:ascii="宋体" w:hAnsi="宋体" w:eastAsia="宋体" w:cs="宋体"/>
          <w:sz w:val="30"/>
          <w:szCs w:val="30"/>
        </w:rPr>
        <w:t xml:space="preserve">项目编号：</w:t>
      </w:r>
      <w:r>
        <w:rPr>
          <w:rFonts w:hint="eastAsia" w:ascii="宋体" w:hAnsi="宋体" w:eastAsia="宋体" w:cs="宋体"/>
          <w:sz w:val="30"/>
          <w:szCs w:val="30"/>
        </w:rPr>
      </w:r>
      <w:r/>
    </w:p>
    <w:p>
      <w:pPr>
        <w:pStyle w:val="1053"/>
        <w:ind w:firstLine="1386"/>
        <w:rPr>
          <w:rFonts w:hint="eastAsia" w:ascii="宋体" w:hAnsi="宋体" w:eastAsia="宋体" w:cs="宋体"/>
          <w:sz w:val="30"/>
          <w:szCs w:val="30"/>
        </w:rPr>
      </w:pPr>
      <w:r>
        <w:rPr>
          <w:rFonts w:hint="eastAsia" w:ascii="宋体" w:hAnsi="宋体" w:eastAsia="宋体" w:cs="宋体"/>
          <w:sz w:val="30"/>
          <w:szCs w:val="30"/>
        </w:rPr>
        <w:t xml:space="preserve">分包号（标段号）：</w:t>
      </w:r>
      <w:r>
        <w:rPr>
          <w:rFonts w:hint="eastAsia" w:ascii="宋体" w:hAnsi="宋体" w:eastAsia="宋体" w:cs="宋体"/>
          <w:sz w:val="30"/>
          <w:szCs w:val="30"/>
        </w:rPr>
      </w:r>
      <w:r/>
    </w:p>
    <w:p>
      <w:pPr>
        <w:pStyle w:val="1053"/>
        <w:ind w:firstLine="1386"/>
        <w:rPr>
          <w:rFonts w:hint="eastAsia" w:ascii="宋体" w:hAnsi="宋体" w:eastAsia="宋体" w:cs="宋体"/>
          <w:sz w:val="30"/>
          <w:szCs w:val="30"/>
        </w:rPr>
      </w:pPr>
      <w:r>
        <w:rPr>
          <w:rFonts w:hint="eastAsia" w:ascii="宋体" w:hAnsi="宋体" w:eastAsia="宋体" w:cs="宋体"/>
          <w:sz w:val="30"/>
          <w:szCs w:val="30"/>
        </w:rPr>
        <w:t xml:space="preserve">投标人名称：（加盖单位公章）</w:t>
      </w:r>
      <w:r>
        <w:rPr>
          <w:rFonts w:hint="eastAsia" w:ascii="宋体" w:hAnsi="宋体" w:eastAsia="宋体" w:cs="宋体"/>
          <w:sz w:val="30"/>
          <w:szCs w:val="30"/>
        </w:rPr>
      </w:r>
      <w:r/>
    </w:p>
    <w:p>
      <w:pPr>
        <w:pStyle w:val="1053"/>
        <w:ind w:firstLine="1386"/>
        <w:rPr>
          <w:rFonts w:hint="eastAsia" w:ascii="宋体" w:hAnsi="宋体" w:eastAsia="宋体" w:cs="宋体"/>
          <w:bCs/>
          <w:sz w:val="30"/>
          <w:szCs w:val="30"/>
        </w:rPr>
      </w:pPr>
      <w:r>
        <w:rPr>
          <w:rFonts w:hint="eastAsia" w:ascii="宋体" w:hAnsi="宋体" w:eastAsia="宋体" w:cs="宋体"/>
          <w:sz w:val="30"/>
          <w:szCs w:val="30"/>
        </w:rPr>
        <w:t xml:space="preserve">联系人：</w:t>
      </w:r>
      <w:r>
        <w:rPr>
          <w:rFonts w:hint="eastAsia" w:ascii="宋体" w:hAnsi="宋体" w:eastAsia="宋体" w:cs="宋体"/>
          <w:bCs/>
          <w:sz w:val="30"/>
          <w:szCs w:val="30"/>
        </w:rPr>
      </w:r>
      <w:r/>
    </w:p>
    <w:p>
      <w:pPr>
        <w:pStyle w:val="1053"/>
        <w:ind w:firstLine="1386"/>
        <w:rPr>
          <w:rFonts w:hint="eastAsia" w:ascii="宋体" w:hAnsi="宋体" w:eastAsia="宋体" w:cs="宋体"/>
          <w:sz w:val="30"/>
          <w:szCs w:val="30"/>
        </w:rPr>
      </w:pPr>
      <w:r>
        <w:rPr>
          <w:rFonts w:hint="eastAsia" w:ascii="宋体" w:hAnsi="宋体" w:eastAsia="宋体" w:cs="宋体"/>
          <w:sz w:val="30"/>
          <w:szCs w:val="30"/>
        </w:rPr>
        <w:t xml:space="preserve">联系方式：</w:t>
      </w:r>
      <w:r>
        <w:rPr>
          <w:rFonts w:hint="eastAsia" w:ascii="宋体" w:hAnsi="宋体" w:eastAsia="宋体" w:cs="宋体"/>
          <w:sz w:val="30"/>
          <w:szCs w:val="30"/>
        </w:rPr>
      </w:r>
      <w:r/>
    </w:p>
    <w:p>
      <w:pPr>
        <w:pStyle w:val="1053"/>
        <w:ind w:firstLine="1386"/>
        <w:rPr>
          <w:rFonts w:hint="eastAsia" w:ascii="宋体" w:hAnsi="宋体" w:eastAsia="宋体" w:cs="宋体"/>
          <w:sz w:val="30"/>
          <w:szCs w:val="30"/>
        </w:rPr>
      </w:pPr>
      <w:r>
        <w:rPr>
          <w:rFonts w:hint="eastAsia" w:ascii="宋体" w:hAnsi="宋体" w:eastAsia="宋体" w:cs="宋体"/>
          <w:sz w:val="30"/>
          <w:szCs w:val="30"/>
        </w:rPr>
        <w:t xml:space="preserve">单位地址：</w:t>
      </w:r>
      <w:r>
        <w:rPr>
          <w:rFonts w:hint="eastAsia" w:ascii="宋体" w:hAnsi="宋体" w:eastAsia="宋体" w:cs="宋体"/>
          <w:sz w:val="30"/>
          <w:szCs w:val="30"/>
        </w:rPr>
      </w:r>
      <w:r/>
    </w:p>
    <w:p>
      <w:pPr>
        <w:pStyle w:val="1053"/>
        <w:jc w:val="center"/>
        <w:rPr>
          <w:rFonts w:hint="eastAsia" w:ascii="宋体" w:hAnsi="宋体" w:eastAsia="宋体" w:cs="宋体"/>
          <w:sz w:val="30"/>
          <w:szCs w:val="30"/>
        </w:rPr>
      </w:pPr>
      <w:r>
        <w:rPr>
          <w:rFonts w:hint="eastAsia" w:ascii="宋体" w:hAnsi="宋体" w:eastAsia="宋体" w:cs="宋体"/>
          <w:sz w:val="30"/>
          <w:szCs w:val="30"/>
        </w:rPr>
        <w:t xml:space="preserve">  年  月  日</w:t>
      </w:r>
      <w:r>
        <w:rPr>
          <w:rFonts w:hint="eastAsia" w:ascii="宋体" w:hAnsi="宋体" w:eastAsia="宋体" w:cs="宋体"/>
          <w:sz w:val="30"/>
          <w:szCs w:val="30"/>
        </w:rPr>
      </w:r>
      <w:r/>
    </w:p>
    <w:p>
      <w:pPr>
        <w:pStyle w:val="1094"/>
        <w:ind w:left="0"/>
        <w:rPr>
          <w:rFonts w:hint="eastAsia" w:ascii="宋体" w:hAnsi="宋体" w:cs="宋体"/>
        </w:rPr>
      </w:pPr>
      <w:r>
        <w:rPr>
          <w:rFonts w:hint="eastAsia" w:ascii="宋体" w:hAnsi="宋体" w:cs="宋体"/>
        </w:rPr>
        <w:br w:type="page" w:clear="all"/>
      </w:r>
      <w:r>
        <w:rPr>
          <w:rFonts w:hint="eastAsia" w:ascii="宋体" w:hAnsi="宋体" w:cs="宋体"/>
        </w:rPr>
      </w:r>
      <w:r/>
    </w:p>
    <w:p>
      <w:pPr>
        <w:pStyle w:val="1053"/>
        <w:jc w:val="center"/>
        <w:rPr>
          <w:rFonts w:hint="eastAsia" w:ascii="宋体" w:hAnsi="宋体" w:eastAsia="宋体" w:cs="宋体"/>
          <w:b/>
          <w:bCs/>
          <w:sz w:val="30"/>
          <w:szCs w:val="30"/>
        </w:rPr>
      </w:pPr>
      <w:r/>
      <w:bookmarkStart w:id="134" w:name="_Toc22602"/>
      <w:r/>
      <w:bookmarkStart w:id="135" w:name="_Toc23512"/>
      <w:r/>
      <w:bookmarkStart w:id="136" w:name="_Toc489655320"/>
      <w:r>
        <w:rPr>
          <w:rFonts w:hint="eastAsia" w:ascii="宋体" w:hAnsi="宋体" w:eastAsia="宋体" w:cs="宋体"/>
          <w:b/>
          <w:bCs/>
          <w:sz w:val="30"/>
          <w:szCs w:val="30"/>
        </w:rPr>
        <w:t xml:space="preserve">评分索引表</w:t>
      </w:r>
      <w:bookmarkEnd w:id="134"/>
      <w:r/>
      <w:bookmarkEnd w:id="135"/>
      <w:r>
        <w:rPr>
          <w:rFonts w:hint="eastAsia" w:ascii="宋体" w:hAnsi="宋体" w:eastAsia="宋体" w:cs="宋体"/>
          <w:b/>
          <w:bCs/>
          <w:sz w:val="30"/>
          <w:szCs w:val="30"/>
        </w:rPr>
      </w:r>
      <w:r/>
    </w:p>
    <w:tbl>
      <w:tblPr>
        <w:tblW w:w="471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758"/>
        <w:gridCol w:w="5391"/>
        <w:gridCol w:w="1769"/>
        <w:gridCol w:w="1472"/>
      </w:tblGrid>
      <w:tr>
        <w:trPr>
          <w:trHeight w:val="803"/>
        </w:trPr>
        <w:tc>
          <w:tcPr>
            <w:tcW w:w="759" w:type="dxa"/>
            <w:vAlign w:val="center"/>
            <w:textDirection w:val="lrTb"/>
            <w:noWrap w:val="false"/>
          </w:tcPr>
          <w:p>
            <w:pPr>
              <w:pStyle w:val="1053"/>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5392" w:type="dxa"/>
            <w:vAlign w:val="center"/>
            <w:textDirection w:val="lrTb"/>
            <w:noWrap w:val="false"/>
          </w:tcPr>
          <w:p>
            <w:pPr>
              <w:pStyle w:val="1053"/>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769" w:type="dxa"/>
            <w:vAlign w:val="center"/>
            <w:textDirection w:val="lrTb"/>
            <w:noWrap w:val="false"/>
          </w:tcPr>
          <w:p>
            <w:pPr>
              <w:pStyle w:val="105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472" w:type="dxa"/>
            <w:vAlign w:val="center"/>
            <w:textDirection w:val="lrTb"/>
            <w:noWrap w:val="false"/>
          </w:tcPr>
          <w:p>
            <w:pPr>
              <w:pStyle w:val="105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5392"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5392"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5392"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5392"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5392"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5392"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5392"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5392"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759"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5392"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769"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472"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bl>
    <w:p>
      <w:pPr>
        <w:pStyle w:val="1053"/>
        <w:spacing w:line="460" w:lineRule="exact"/>
        <w:rPr>
          <w:rFonts w:hint="eastAsia" w:ascii="宋体" w:hAnsi="宋体" w:eastAsia="宋体" w:cs="宋体"/>
          <w:b/>
          <w:sz w:val="30"/>
          <w:szCs w:val="30"/>
        </w:rPr>
      </w:pPr>
      <w:r>
        <w:rPr>
          <w:rFonts w:hint="eastAsia" w:ascii="宋体" w:hAnsi="宋体" w:eastAsia="宋体" w:cs="宋体"/>
          <w:szCs w:val="21"/>
        </w:rPr>
        <w:t xml:space="preserve">注：此表为表样，供应商需根据第三章“评分表”自行调整，行数可自行添加，但表式不变。</w:t>
      </w:r>
      <w:r>
        <w:rPr>
          <w:rFonts w:hint="eastAsia" w:ascii="宋体" w:hAnsi="宋体" w:eastAsia="宋体" w:cs="宋体"/>
          <w:b/>
          <w:sz w:val="30"/>
          <w:szCs w:val="30"/>
        </w:rPr>
      </w:r>
      <w:r/>
    </w:p>
    <w:p>
      <w:pPr>
        <w:pStyle w:val="1053"/>
        <w:jc w:val="center"/>
        <w:rPr>
          <w:rFonts w:hint="eastAsia" w:ascii="宋体" w:hAnsi="宋体" w:eastAsia="宋体" w:cs="宋体"/>
          <w:sz w:val="30"/>
          <w:szCs w:val="30"/>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0"/>
          <w:szCs w:val="30"/>
        </w:rPr>
      </w:r>
      <w:r/>
    </w:p>
    <w:p>
      <w:pPr>
        <w:pStyle w:val="1053"/>
        <w:jc w:val="center"/>
        <w:rPr>
          <w:rFonts w:hint="eastAsia" w:ascii="宋体" w:hAnsi="宋体" w:eastAsia="宋体" w:cs="宋体"/>
          <w:sz w:val="30"/>
          <w:szCs w:val="30"/>
        </w:rPr>
      </w:pPr>
      <w:r>
        <w:rPr>
          <w:rFonts w:hint="eastAsia" w:ascii="宋体" w:hAnsi="宋体" w:eastAsia="宋体" w:cs="宋体"/>
          <w:sz w:val="30"/>
          <w:szCs w:val="30"/>
        </w:rPr>
        <w:t xml:space="preserve">资格审查索引表</w:t>
      </w:r>
      <w:r>
        <w:rPr>
          <w:rFonts w:hint="eastAsia" w:ascii="宋体" w:hAnsi="宋体" w:eastAsia="宋体" w:cs="宋体"/>
          <w:sz w:val="30"/>
          <w:szCs w:val="30"/>
        </w:rPr>
      </w:r>
      <w:r/>
    </w:p>
    <w:tbl>
      <w:tblPr>
        <w:tblW w:w="4703"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78"/>
        <w:gridCol w:w="6112"/>
        <w:gridCol w:w="1236"/>
        <w:gridCol w:w="1144"/>
      </w:tblGrid>
      <w:tr>
        <w:trPr>
          <w:trHeight w:val="803"/>
        </w:trPr>
        <w:tc>
          <w:tcPr>
            <w:tcW w:w="878" w:type="dxa"/>
            <w:vAlign w:val="center"/>
            <w:textDirection w:val="lrTb"/>
            <w:noWrap w:val="false"/>
          </w:tcPr>
          <w:p>
            <w:pPr>
              <w:pStyle w:val="1053"/>
              <w:jc w:val="center"/>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6114" w:type="dxa"/>
            <w:vAlign w:val="center"/>
            <w:textDirection w:val="lrTb"/>
            <w:noWrap w:val="false"/>
          </w:tcPr>
          <w:p>
            <w:pPr>
              <w:pStyle w:val="1053"/>
              <w:jc w:val="center"/>
              <w:rPr>
                <w:rFonts w:hint="eastAsia" w:ascii="宋体" w:hAnsi="宋体" w:eastAsia="宋体" w:cs="宋体"/>
                <w:sz w:val="24"/>
                <w:szCs w:val="24"/>
              </w:rPr>
            </w:pPr>
            <w:r>
              <w:rPr>
                <w:rFonts w:hint="eastAsia" w:ascii="宋体" w:hAnsi="宋体" w:eastAsia="宋体" w:cs="宋体"/>
                <w:sz w:val="24"/>
                <w:szCs w:val="24"/>
              </w:rPr>
              <w:t xml:space="preserve">评审标准</w:t>
            </w:r>
            <w:r>
              <w:rPr>
                <w:rFonts w:hint="eastAsia" w:ascii="宋体" w:hAnsi="宋体" w:eastAsia="宋体" w:cs="宋体"/>
                <w:sz w:val="24"/>
                <w:szCs w:val="24"/>
              </w:rPr>
            </w:r>
            <w:r/>
          </w:p>
        </w:tc>
        <w:tc>
          <w:tcPr>
            <w:tcW w:w="1236" w:type="dxa"/>
            <w:vAlign w:val="center"/>
            <w:textDirection w:val="lrTb"/>
            <w:noWrap w:val="false"/>
          </w:tcPr>
          <w:p>
            <w:pPr>
              <w:pStyle w:val="105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是否响应（填写“是”或“否”）</w:t>
            </w:r>
            <w:r>
              <w:rPr>
                <w:rFonts w:hint="eastAsia" w:ascii="宋体" w:hAnsi="宋体" w:eastAsia="宋体" w:cs="宋体"/>
                <w:sz w:val="24"/>
                <w:szCs w:val="24"/>
              </w:rPr>
            </w:r>
            <w:r/>
          </w:p>
        </w:tc>
        <w:tc>
          <w:tcPr>
            <w:tcW w:w="1144" w:type="dxa"/>
            <w:vAlign w:val="center"/>
            <w:textDirection w:val="lrTb"/>
            <w:noWrap w:val="false"/>
          </w:tcPr>
          <w:p>
            <w:pPr>
              <w:pStyle w:val="1053"/>
              <w:jc w:val="center"/>
              <w:spacing w:line="240" w:lineRule="auto"/>
              <w:rPr>
                <w:rFonts w:hint="eastAsia" w:ascii="宋体" w:hAnsi="宋体" w:eastAsia="宋体" w:cs="宋体"/>
                <w:sz w:val="24"/>
                <w:szCs w:val="24"/>
              </w:rPr>
            </w:pPr>
            <w:r>
              <w:rPr>
                <w:rFonts w:hint="eastAsia" w:ascii="宋体" w:hAnsi="宋体" w:eastAsia="宋体" w:cs="宋体"/>
                <w:sz w:val="24"/>
                <w:szCs w:val="24"/>
              </w:rPr>
              <w:t xml:space="preserve">在投标文件中的页码位置</w:t>
            </w: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6114"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6114"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6114"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6114"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6114"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6114"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7</w:t>
            </w:r>
            <w:r>
              <w:rPr>
                <w:rFonts w:hint="eastAsia" w:ascii="宋体" w:hAnsi="宋体" w:eastAsia="宋体" w:cs="宋体"/>
                <w:sz w:val="24"/>
                <w:szCs w:val="24"/>
              </w:rPr>
            </w:r>
            <w:r/>
          </w:p>
        </w:tc>
        <w:tc>
          <w:tcPr>
            <w:tcW w:w="6114"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8</w:t>
            </w:r>
            <w:r>
              <w:rPr>
                <w:rFonts w:hint="eastAsia" w:ascii="宋体" w:hAnsi="宋体" w:eastAsia="宋体" w:cs="宋体"/>
                <w:sz w:val="24"/>
                <w:szCs w:val="24"/>
              </w:rPr>
            </w:r>
            <w:r/>
          </w:p>
        </w:tc>
        <w:tc>
          <w:tcPr>
            <w:tcW w:w="6114"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9</w:t>
            </w:r>
            <w:r>
              <w:rPr>
                <w:rFonts w:hint="eastAsia" w:ascii="宋体" w:hAnsi="宋体" w:eastAsia="宋体" w:cs="宋体"/>
                <w:sz w:val="24"/>
                <w:szCs w:val="24"/>
              </w:rPr>
            </w:r>
            <w:r/>
          </w:p>
        </w:tc>
        <w:tc>
          <w:tcPr>
            <w:tcW w:w="6114"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t xml:space="preserve">10</w:t>
            </w:r>
            <w:r>
              <w:rPr>
                <w:rFonts w:hint="eastAsia" w:ascii="宋体" w:hAnsi="宋体" w:eastAsia="宋体" w:cs="宋体"/>
                <w:sz w:val="24"/>
                <w:szCs w:val="24"/>
              </w:rPr>
            </w:r>
            <w:r/>
          </w:p>
        </w:tc>
        <w:tc>
          <w:tcPr>
            <w:tcW w:w="6114"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r>
        <w:trPr>
          <w:trHeight w:val="363"/>
        </w:trPr>
        <w:tc>
          <w:tcPr>
            <w:tcW w:w="878" w:type="dxa"/>
            <w:vAlign w:val="center"/>
            <w:textDirection w:val="lrTb"/>
            <w:noWrap w:val="false"/>
          </w:tcPr>
          <w:p>
            <w:pPr>
              <w:pStyle w:val="1053"/>
              <w:jc w:val="center"/>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6114" w:type="dxa"/>
            <w:vAlign w:val="center"/>
            <w:textDirection w:val="lrTb"/>
            <w:noWrap w:val="false"/>
          </w:tcPr>
          <w:p>
            <w:pPr>
              <w:pStyle w:val="1053"/>
              <w:spacing w:line="276" w:lineRule="auto"/>
              <w:rPr>
                <w:rFonts w:hint="eastAsia" w:ascii="宋体" w:hAnsi="宋体" w:eastAsia="宋体" w:cs="宋体"/>
                <w:sz w:val="24"/>
                <w:szCs w:val="24"/>
              </w:rPr>
            </w:pPr>
            <w:r>
              <w:rPr>
                <w:rFonts w:hint="eastAsia" w:ascii="宋体" w:hAnsi="宋体" w:eastAsia="宋体" w:cs="宋体"/>
                <w:sz w:val="24"/>
                <w:szCs w:val="24"/>
              </w:rPr>
            </w:r>
            <w:r/>
          </w:p>
        </w:tc>
        <w:tc>
          <w:tcPr>
            <w:tcW w:w="1236"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c>
          <w:tcPr>
            <w:tcW w:w="1144" w:type="dxa"/>
            <w:vAlign w:val="top"/>
            <w:textDirection w:val="lrTb"/>
            <w:noWrap w:val="false"/>
          </w:tcPr>
          <w:p>
            <w:pPr>
              <w:pStyle w:val="1053"/>
              <w:rPr>
                <w:rFonts w:hint="eastAsia" w:ascii="宋体" w:hAnsi="宋体" w:eastAsia="宋体" w:cs="宋体"/>
                <w:sz w:val="24"/>
                <w:szCs w:val="24"/>
              </w:rPr>
            </w:pPr>
            <w:r>
              <w:rPr>
                <w:rFonts w:hint="eastAsia" w:ascii="宋体" w:hAnsi="宋体" w:eastAsia="宋体" w:cs="宋体"/>
                <w:sz w:val="24"/>
                <w:szCs w:val="24"/>
              </w:rPr>
            </w:r>
            <w:r/>
          </w:p>
        </w:tc>
      </w:tr>
    </w:tbl>
    <w:p>
      <w:pPr>
        <w:pStyle w:val="1053"/>
        <w:jc w:val="left"/>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End w:id="136"/>
      <w:r/>
      <w:bookmarkStart w:id="137" w:name="_Toc19767"/>
      <w:r/>
      <w:bookmarkStart w:id="138" w:name="_Toc25564"/>
      <w:r>
        <w:rPr>
          <w:rFonts w:hint="eastAsia" w:ascii="宋体" w:hAnsi="宋体" w:eastAsia="宋体" w:cs="宋体"/>
          <w:szCs w:val="21"/>
        </w:rPr>
        <w:t xml:space="preserve">注：此表为表样，供应商需根据第一章“招标公告”中“投标人资质要求”自行调整，行数可自行添加，但表式不变。</w:t>
      </w:r>
      <w:r>
        <w:rPr>
          <w:rFonts w:hint="eastAsia" w:ascii="宋体" w:hAnsi="宋体" w:eastAsia="宋体" w:cs="宋体"/>
          <w:sz w:val="32"/>
          <w:szCs w:val="32"/>
        </w:rPr>
      </w:r>
      <w:r/>
    </w:p>
    <w:p>
      <w:pPr>
        <w:pStyle w:val="1053"/>
        <w:jc w:val="center"/>
        <w:rPr>
          <w:rFonts w:hint="eastAsia" w:ascii="宋体" w:hAnsi="宋体" w:eastAsia="宋体" w:cs="宋体"/>
          <w:sz w:val="32"/>
          <w:szCs w:val="32"/>
        </w:rPr>
      </w:pPr>
      <w:r>
        <w:rPr>
          <w:rFonts w:hint="eastAsia" w:ascii="宋体" w:hAnsi="宋体" w:eastAsia="宋体" w:cs="宋体"/>
          <w:sz w:val="32"/>
          <w:szCs w:val="32"/>
        </w:rPr>
        <w:t xml:space="preserve">1.投标申请及声明</w:t>
      </w:r>
      <w:bookmarkEnd w:id="137"/>
      <w:r/>
      <w:bookmarkEnd w:id="138"/>
      <w:r>
        <w:rPr>
          <w:rFonts w:hint="eastAsia" w:ascii="宋体" w:hAnsi="宋体" w:eastAsia="宋体" w:cs="宋体"/>
          <w:sz w:val="32"/>
          <w:szCs w:val="32"/>
        </w:rPr>
      </w:r>
      <w:r/>
    </w:p>
    <w:p>
      <w:pPr>
        <w:pStyle w:val="1053"/>
        <w:spacing w:before="0" w:after="0"/>
        <w:rPr>
          <w:rFonts w:hint="eastAsia" w:ascii="宋体" w:hAnsi="宋体" w:eastAsia="宋体" w:cs="宋体"/>
          <w:sz w:val="24"/>
          <w:szCs w:val="24"/>
        </w:rPr>
      </w:pPr>
      <w:r>
        <w:rPr>
          <w:rFonts w:hint="eastAsia" w:ascii="宋体" w:hAnsi="宋体" w:eastAsia="宋体" w:cs="宋体"/>
          <w:sz w:val="24"/>
          <w:szCs w:val="24"/>
        </w:rPr>
        <w:t xml:space="preserve">致：江苏省计量科学研究院（江苏省能源计量数据中心）、江苏海外集团国际工程咨询有限公司</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（项目编号）招标邀请，正式授权下述签字人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（姓名和职务）代表</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（投标人名称），提交投标文件并参加投标。</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据此函，签字人兹宣布同意如下：</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1.我们的资格条件完全符合本次采购要求，我们同意并向贵方提供了与本次采购活动有关的所有证据和资料。</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2.项目名称：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，我们的报价：</w:t>
      </w:r>
      <w:r>
        <w:rPr>
          <w:rFonts w:hint="eastAsia" w:ascii="宋体" w:hAnsi="宋体" w:eastAsia="宋体" w:cs="宋体"/>
          <w:sz w:val="24"/>
          <w:szCs w:val="24"/>
          <w:u w:val="single"/>
        </w:rPr>
        <w:t xml:space="preserve">详见报价一览表</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3.我们已详细审核全部招标文件及其有效补充文件，我们放弃对招标文件任何误解的权利，在提交投标文件后，不对招标文件本身提出质疑。否则，属于不诚信和故意扰乱采购活动行为，我们将无条件接受处罚。</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4.一旦我方中标，我方将根据招标文件的规定，严格履行合同，保证在规定的时间内完成本项目规定的服务内容。</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5.我方决不提供虚假材料谋取中标、决不采取不正当手段诋毁、排挤其他供应商、决不与采购人、其他供应商或者采购代理机构恶意串通、决不向采购人、采购代理机构工作人员和评审小组进行商业贿赂、决不拒绝有关部门监督检查或提供虚假情况，如有违反，无条件接受贵方及相关管理部门的处罚。</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6.我方正式通讯方式为：</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地址：</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电话：</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传真：</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7.我方正式开户银行和账号为：</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开户银行：</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账号：</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53"/>
        <w:numPr>
          <w:ilvl w:val="0"/>
          <w:numId w:val="46"/>
        </w:numPr>
        <w:jc w:val="center"/>
        <w:tabs>
          <w:tab w:val="left" w:pos="312" w:leader="none"/>
        </w:tabs>
        <w:rPr>
          <w:rFonts w:hint="eastAsia" w:ascii="宋体" w:hAnsi="宋体" w:eastAsia="宋体" w:cs="宋体"/>
          <w:sz w:val="32"/>
          <w:szCs w:val="32"/>
        </w:rPr>
      </w:pPr>
      <w:r>
        <w:rPr>
          <w:rFonts w:hint="eastAsia" w:ascii="宋体" w:hAnsi="宋体" w:eastAsia="宋体" w:cs="宋体"/>
        </w:rPr>
        <w:br w:type="page" w:clear="all"/>
      </w:r>
      <w:bookmarkStart w:id="139" w:name="_Toc3313"/>
      <w:r/>
      <w:bookmarkStart w:id="140" w:name="_Toc7351"/>
      <w:r>
        <w:rPr>
          <w:rFonts w:hint="eastAsia" w:ascii="宋体" w:hAnsi="宋体" w:eastAsia="宋体" w:cs="宋体"/>
          <w:sz w:val="32"/>
          <w:szCs w:val="32"/>
        </w:rPr>
        <w:t xml:space="preserve">授权委托书</w:t>
      </w:r>
      <w:bookmarkEnd w:id="139"/>
      <w:r/>
      <w:bookmarkEnd w:id="140"/>
      <w:r>
        <w:rPr>
          <w:rFonts w:hint="eastAsia" w:ascii="宋体" w:hAnsi="宋体" w:eastAsia="宋体" w:cs="宋体"/>
          <w:sz w:val="32"/>
          <w:szCs w:val="32"/>
        </w:rPr>
      </w:r>
      <w:r/>
    </w:p>
    <w:p>
      <w:pPr>
        <w:pStyle w:val="1053"/>
        <w:jc w:val="center"/>
        <w:rPr>
          <w:rFonts w:hint="eastAsia" w:ascii="宋体" w:hAnsi="宋体" w:eastAsia="宋体" w:cs="宋体"/>
          <w:sz w:val="28"/>
          <w:szCs w:val="28"/>
        </w:rPr>
      </w:pPr>
      <w:r>
        <w:rPr>
          <w:rFonts w:hint="eastAsia" w:ascii="宋体" w:hAnsi="宋体" w:eastAsia="宋体" w:cs="宋体"/>
          <w:sz w:val="28"/>
          <w:szCs w:val="28"/>
        </w:rPr>
        <w:t xml:space="preserve">法人授权委托书</w:t>
      </w:r>
      <w:r>
        <w:rPr>
          <w:rFonts w:hint="eastAsia" w:ascii="宋体" w:hAnsi="宋体" w:eastAsia="宋体" w:cs="宋体"/>
          <w:sz w:val="28"/>
          <w:szCs w:val="28"/>
        </w:rPr>
      </w:r>
      <w:r/>
    </w:p>
    <w:p>
      <w:pPr>
        <w:pStyle w:val="1053"/>
        <w:spacing w:before="0" w:after="0"/>
        <w:rPr>
          <w:rFonts w:hint="eastAsia" w:ascii="宋体" w:hAnsi="宋体" w:eastAsia="宋体" w:cs="宋体"/>
          <w:sz w:val="24"/>
          <w:szCs w:val="24"/>
        </w:rPr>
      </w:pPr>
      <w:r>
        <w:rPr>
          <w:rFonts w:hint="eastAsia" w:ascii="宋体" w:hAnsi="宋体" w:eastAsia="宋体" w:cs="宋体"/>
          <w:sz w:val="24"/>
          <w:szCs w:val="24"/>
        </w:rPr>
        <w:t xml:space="preserve">致：江苏省计量科学研究院（江苏省能源计量数据中心）、</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江苏海外集团国际工程咨询有限公司</w:t>
      </w:r>
      <w:r>
        <w:rPr>
          <w:rFonts w:hint="eastAsia" w:ascii="宋体" w:hAnsi="宋体" w:eastAsia="宋体" w:cs="宋体"/>
          <w:sz w:val="24"/>
          <w:szCs w:val="24"/>
        </w:rPr>
      </w:r>
      <w:r/>
    </w:p>
    <w:p>
      <w:pPr>
        <w:pStyle w:val="105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5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本授权书声明：注册于</w:t>
      </w:r>
      <w:r>
        <w:rPr>
          <w:rFonts w:hint="eastAsia" w:ascii="宋体" w:hAnsi="宋体" w:eastAsia="宋体" w:cs="宋体"/>
          <w:sz w:val="24"/>
          <w:szCs w:val="24"/>
          <w:u w:val="single"/>
        </w:rPr>
        <w:t xml:space="preserve">       （供应商住址）</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（投标人名称）</w:t>
      </w:r>
      <w:r>
        <w:rPr>
          <w:rFonts w:hint="eastAsia" w:ascii="宋体" w:hAnsi="宋体" w:eastAsia="宋体" w:cs="宋体"/>
          <w:sz w:val="24"/>
          <w:szCs w:val="24"/>
        </w:rPr>
        <w:t xml:space="preserve">法定代表人</w:t>
      </w:r>
      <w:r>
        <w:rPr>
          <w:rFonts w:hint="eastAsia" w:ascii="宋体" w:hAnsi="宋体" w:eastAsia="宋体" w:cs="宋体"/>
          <w:sz w:val="24"/>
          <w:szCs w:val="24"/>
          <w:u w:val="single"/>
        </w:rPr>
        <w:t xml:space="preserve">    （法定代表人姓名、职务）</w:t>
      </w:r>
      <w:r>
        <w:rPr>
          <w:rFonts w:hint="eastAsia" w:ascii="宋体" w:hAnsi="宋体" w:eastAsia="宋体" w:cs="宋体"/>
          <w:sz w:val="24"/>
          <w:szCs w:val="24"/>
        </w:rPr>
        <w:t xml:space="preserve">代表本公司授权在下面签字的</w:t>
      </w:r>
      <w:r>
        <w:rPr>
          <w:rFonts w:hint="eastAsia" w:ascii="宋体" w:hAnsi="宋体" w:eastAsia="宋体" w:cs="宋体"/>
          <w:sz w:val="24"/>
          <w:szCs w:val="24"/>
          <w:u w:val="single"/>
        </w:rPr>
        <w:t xml:space="preserve">          （供应商代表姓名、职务）</w:t>
      </w:r>
      <w:r>
        <w:rPr>
          <w:rFonts w:hint="eastAsia" w:ascii="宋体" w:hAnsi="宋体" w:eastAsia="宋体" w:cs="宋体"/>
          <w:sz w:val="24"/>
          <w:szCs w:val="24"/>
        </w:rPr>
        <w:t xml:space="preserve">为本公司的合法代理人，就贵方组织的</w:t>
      </w:r>
      <w:r>
        <w:rPr>
          <w:rFonts w:hint="eastAsia" w:ascii="宋体" w:hAnsi="宋体" w:eastAsia="宋体" w:cs="宋体"/>
          <w:sz w:val="24"/>
          <w:szCs w:val="24"/>
          <w:u w:val="single"/>
        </w:rPr>
        <w:t xml:space="preserve">      （项目名称）（项目编号）</w:t>
      </w:r>
      <w:r>
        <w:rPr>
          <w:rFonts w:hint="eastAsia" w:ascii="宋体" w:hAnsi="宋体" w:eastAsia="宋体" w:cs="宋体"/>
          <w:sz w:val="24"/>
          <w:szCs w:val="24"/>
        </w:rPr>
        <w:t xml:space="preserve">公开招标活动，以本公司名义处理一切与之有关的事务。</w:t>
      </w:r>
      <w:r>
        <w:rPr>
          <w:rFonts w:hint="eastAsia" w:ascii="宋体" w:hAnsi="宋体" w:eastAsia="宋体" w:cs="宋体"/>
          <w:sz w:val="24"/>
          <w:szCs w:val="24"/>
        </w:rPr>
      </w:r>
      <w:r/>
    </w:p>
    <w:p>
      <w:pPr>
        <w:pStyle w:val="105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本授权书于    年  月  日签字生效，特此声明。</w:t>
      </w:r>
      <w:r>
        <w:rPr>
          <w:rFonts w:hint="eastAsia" w:ascii="宋体" w:hAnsi="宋体" w:eastAsia="宋体" w:cs="宋体"/>
          <w:sz w:val="24"/>
          <w:szCs w:val="24"/>
        </w:rPr>
      </w:r>
      <w:r/>
    </w:p>
    <w:p>
      <w:pPr>
        <w:pStyle w:val="1053"/>
        <w:ind w:firstLine="480"/>
        <w:spacing w:after="0"/>
        <w:rPr>
          <w:rFonts w:hint="eastAsia" w:ascii="宋体" w:hAnsi="宋体" w:eastAsia="宋体" w:cs="宋体"/>
          <w:sz w:val="24"/>
          <w:szCs w:val="24"/>
        </w:rPr>
      </w:pPr>
      <w:r>
        <w:rPr>
          <w:rFonts w:hint="eastAsia" w:ascii="宋体" w:hAnsi="宋体" w:eastAsia="宋体" w:cs="宋体"/>
          <w:sz w:val="24"/>
          <w:szCs w:val="24"/>
        </w:rPr>
        <w:t xml:space="preserve">附：法定代表人身份证复印件：</w:t>
      </w:r>
      <w:r>
        <w:rPr>
          <w:rFonts w:hint="eastAsia" w:ascii="宋体" w:hAnsi="宋体" w:eastAsia="宋体" w:cs="宋体"/>
          <w:sz w:val="24"/>
          <w:szCs w:val="24"/>
        </w:rPr>
      </w:r>
      <w:r/>
    </w:p>
    <w:tbl>
      <w:tblPr>
        <w:tblW w:w="0" w:type="auto"/>
        <w:tblInd w:w="2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20"/>
        <w:gridCol w:w="4705"/>
      </w:tblGrid>
      <w:tr>
        <w:trPr>
          <w:trHeight w:val="2366"/>
        </w:trPr>
        <w:tc>
          <w:tcPr>
            <w:tcW w:w="4920" w:type="dxa"/>
            <w:vAlign w:val="top"/>
            <w:textDirection w:val="lrTb"/>
            <w:noWrap w:val="false"/>
          </w:tcPr>
          <w:p>
            <w:pPr>
              <w:pStyle w:val="1053"/>
              <w:rPr>
                <w:rFonts w:hint="eastAsia" w:ascii="宋体" w:hAnsi="宋体" w:eastAsia="宋体" w:cs="宋体"/>
              </w:rPr>
            </w:pPr>
            <w:r>
              <w:rPr>
                <w:rFonts w:hint="eastAsia" w:ascii="宋体" w:hAnsi="宋体" w:eastAsia="宋体" w:cs="宋体"/>
              </w:rPr>
            </w:r>
            <w:r/>
          </w:p>
        </w:tc>
        <w:tc>
          <w:tcPr>
            <w:tcW w:w="4705" w:type="dxa"/>
            <w:vAlign w:val="top"/>
            <w:textDirection w:val="lrTb"/>
            <w:noWrap w:val="false"/>
          </w:tcPr>
          <w:p>
            <w:pPr>
              <w:pStyle w:val="1053"/>
              <w:rPr>
                <w:rFonts w:hint="eastAsia" w:ascii="宋体" w:hAnsi="宋体" w:eastAsia="宋体" w:cs="宋体"/>
              </w:rPr>
            </w:pPr>
            <w:r>
              <w:rPr>
                <w:rFonts w:hint="eastAsia" w:ascii="宋体" w:hAnsi="宋体" w:eastAsia="宋体" w:cs="宋体"/>
              </w:rPr>
            </w:r>
            <w:r/>
          </w:p>
        </w:tc>
      </w:tr>
    </w:tbl>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授权代表身份证复印件：</w:t>
      </w:r>
      <w:r>
        <w:rPr>
          <w:rFonts w:hint="eastAsia" w:ascii="宋体" w:hAnsi="宋体" w:eastAsia="宋体" w:cs="宋体"/>
          <w:sz w:val="24"/>
          <w:szCs w:val="24"/>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932"/>
        <w:gridCol w:w="4718"/>
      </w:tblGrid>
      <w:tr>
        <w:trPr>
          <w:trHeight w:val="2222"/>
        </w:trPr>
        <w:tc>
          <w:tcPr>
            <w:tcW w:w="4932" w:type="dxa"/>
            <w:vAlign w:val="top"/>
            <w:textDirection w:val="lrTb"/>
            <w:noWrap w:val="false"/>
          </w:tcPr>
          <w:p>
            <w:pPr>
              <w:pStyle w:val="1053"/>
              <w:rPr>
                <w:rFonts w:hint="eastAsia" w:ascii="宋体" w:hAnsi="宋体" w:eastAsia="宋体" w:cs="宋体"/>
              </w:rPr>
            </w:pPr>
            <w:r>
              <w:rPr>
                <w:rFonts w:hint="eastAsia" w:ascii="宋体" w:hAnsi="宋体" w:eastAsia="宋体" w:cs="宋体"/>
              </w:rPr>
            </w:r>
            <w:r/>
          </w:p>
        </w:tc>
        <w:tc>
          <w:tcPr>
            <w:tcW w:w="4718" w:type="dxa"/>
            <w:vAlign w:val="top"/>
            <w:textDirection w:val="lrTb"/>
            <w:noWrap w:val="false"/>
          </w:tcPr>
          <w:p>
            <w:pPr>
              <w:pStyle w:val="1053"/>
              <w:rPr>
                <w:rFonts w:hint="eastAsia" w:ascii="宋体" w:hAnsi="宋体" w:eastAsia="宋体" w:cs="宋体"/>
              </w:rPr>
            </w:pPr>
            <w:r>
              <w:rPr>
                <w:rFonts w:hint="eastAsia" w:ascii="宋体" w:hAnsi="宋体" w:eastAsia="宋体" w:cs="宋体"/>
              </w:rPr>
            </w:r>
            <w:r/>
          </w:p>
        </w:tc>
      </w:tr>
    </w:tbl>
    <w:p>
      <w:pPr>
        <w:pStyle w:val="1053"/>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53"/>
        <w:rPr>
          <w:rFonts w:hint="eastAsia" w:ascii="宋体" w:hAnsi="宋体" w:eastAsia="宋体" w:cs="宋体"/>
          <w:sz w:val="24"/>
          <w:szCs w:val="24"/>
        </w:rPr>
      </w:pPr>
      <w:r>
        <w:rPr>
          <w:rFonts w:hint="eastAsia" w:ascii="宋体" w:hAnsi="宋体" w:eastAsia="宋体" w:cs="宋体"/>
          <w:sz w:val="24"/>
          <w:szCs w:val="24"/>
        </w:rPr>
        <w:t xml:space="preserve">法定代表人签章：</w:t>
      </w:r>
      <w:r>
        <w:rPr>
          <w:rFonts w:hint="eastAsia" w:ascii="宋体" w:hAnsi="宋体" w:eastAsia="宋体" w:cs="宋体"/>
          <w:sz w:val="24"/>
          <w:szCs w:val="24"/>
        </w:rPr>
      </w:r>
      <w:r/>
    </w:p>
    <w:p>
      <w:pPr>
        <w:pStyle w:val="1053"/>
        <w:jc w:val="left"/>
        <w:rPr>
          <w:rFonts w:hint="eastAsia" w:ascii="宋体" w:hAnsi="宋体" w:eastAsia="宋体" w:cs="宋体"/>
          <w:sz w:val="24"/>
          <w:szCs w:val="24"/>
        </w:rPr>
      </w:pPr>
      <w:r>
        <w:rPr>
          <w:rFonts w:hint="eastAsia" w:ascii="宋体" w:hAnsi="宋体" w:eastAsia="宋体" w:cs="宋体"/>
          <w:sz w:val="24"/>
          <w:szCs w:val="24"/>
        </w:rPr>
        <w:t xml:space="preserve">授权代表（签字）：</w:t>
      </w:r>
      <w:r>
        <w:rPr>
          <w:rFonts w:hint="eastAsia" w:ascii="宋体" w:hAnsi="宋体" w:eastAsia="宋体" w:cs="宋体"/>
          <w:sz w:val="24"/>
          <w:szCs w:val="24"/>
        </w:rPr>
      </w:r>
      <w:r/>
    </w:p>
    <w:p>
      <w:pPr>
        <w:pStyle w:val="1053"/>
        <w:spacing w:before="0" w:after="0"/>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53"/>
        <w:spacing w:before="0" w:after="0"/>
        <w:rPr>
          <w:rFonts w:hint="eastAsia" w:ascii="宋体" w:hAnsi="宋体" w:eastAsia="宋体" w:cs="宋体"/>
          <w:sz w:val="24"/>
          <w:szCs w:val="24"/>
        </w:rPr>
      </w:pPr>
      <w:r>
        <w:rPr>
          <w:rFonts w:hint="eastAsia" w:ascii="宋体" w:hAnsi="宋体" w:eastAsia="宋体" w:cs="宋体"/>
          <w:sz w:val="24"/>
          <w:szCs w:val="24"/>
        </w:rPr>
      </w:r>
      <w:r/>
    </w:p>
    <w:p>
      <w:pPr>
        <w:pStyle w:val="1053"/>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r>
      <w:r/>
    </w:p>
    <w:p>
      <w:pPr>
        <w:pStyle w:val="1053"/>
        <w:spacing w:before="0" w:after="0"/>
        <w:rPr>
          <w:rFonts w:hint="eastAsia" w:ascii="宋体" w:hAnsi="宋体" w:eastAsia="宋体" w:cs="宋体"/>
          <w:b/>
          <w:bCs/>
          <w:sz w:val="24"/>
          <w:szCs w:val="24"/>
        </w:rPr>
      </w:pPr>
      <w:r>
        <w:rPr>
          <w:rFonts w:hint="eastAsia" w:ascii="宋体" w:hAnsi="宋体" w:eastAsia="宋体" w:cs="宋体"/>
          <w:b/>
          <w:bCs/>
          <w:sz w:val="24"/>
          <w:szCs w:val="24"/>
        </w:rPr>
        <w:t xml:space="preserve">授权委托书附件：</w:t>
      </w:r>
      <w:r>
        <w:rPr>
          <w:rFonts w:hint="eastAsia" w:ascii="宋体" w:hAnsi="宋体" w:eastAsia="宋体" w:cs="宋体"/>
          <w:b/>
          <w:bCs/>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授权代表社保证明：</w:t>
      </w:r>
      <w:r>
        <w:rPr>
          <w:rFonts w:hint="eastAsia" w:ascii="宋体" w:hAnsi="宋体" w:eastAsia="宋体" w:cs="宋体"/>
          <w:sz w:val="24"/>
          <w:szCs w:val="24"/>
        </w:rPr>
      </w:r>
      <w:r/>
    </w:p>
    <w:tbl>
      <w:tblPr>
        <w:tblW w:w="0" w:type="auto"/>
        <w:tblInd w:w="17"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650"/>
      </w:tblGrid>
      <w:tr>
        <w:trPr>
          <w:trHeight w:val="5747"/>
        </w:trPr>
        <w:tc>
          <w:tcPr>
            <w:tcW w:w="9650" w:type="dxa"/>
            <w:vAlign w:val="top"/>
            <w:textDirection w:val="lrTb"/>
            <w:noWrap w:val="false"/>
          </w:tcPr>
          <w:p>
            <w:pPr>
              <w:pStyle w:val="1053"/>
            </w:pPr>
            <w:r/>
            <w:r/>
          </w:p>
        </w:tc>
      </w:tr>
    </w:tbl>
    <w:p>
      <w:pPr>
        <w:pStyle w:val="1053"/>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注：提供投标截止时间前近六个月内任一个月社保证明（加盖社保中心章或社保中心参保缴费证明电子专用章），若授权代表属企业退休人员、现役军人等客观原因无法提供养老保险金缴费证明，需在投标文件内提供具体情况说明及证明。</w:t>
      </w:r>
      <w:r>
        <w:rPr>
          <w:rFonts w:hint="eastAsia" w:ascii="宋体" w:hAnsi="宋体" w:eastAsia="宋体" w:cs="宋体"/>
          <w:sz w:val="24"/>
          <w:szCs w:val="24"/>
        </w:rPr>
      </w:r>
      <w:r/>
    </w:p>
    <w:p>
      <w:pPr>
        <w:pStyle w:val="1053"/>
        <w:jc w:val="center"/>
        <w:rPr>
          <w:rFonts w:hint="eastAsia" w:ascii="宋体" w:hAnsi="宋体" w:eastAsia="宋体" w:cs="宋体"/>
          <w:sz w:val="32"/>
          <w:szCs w:val="32"/>
        </w:rPr>
      </w:pPr>
      <w:r/>
      <w:bookmarkStart w:id="141" w:name="_Toc23857"/>
      <w:r/>
      <w:bookmarkStart w:id="142" w:name="_Toc19427"/>
      <w:r>
        <w:rPr>
          <w:rFonts w:hint="eastAsia" w:ascii="宋体" w:hAnsi="宋体" w:eastAsia="宋体" w:cs="宋体"/>
          <w:sz w:val="32"/>
          <w:szCs w:val="32"/>
        </w:rPr>
        <w:t xml:space="preserve">3.报价表格格式</w:t>
      </w:r>
      <w:r>
        <w:rPr>
          <w:rFonts w:hint="eastAsia" w:ascii="宋体" w:hAnsi="宋体" w:eastAsia="宋体" w:cs="宋体"/>
          <w:sz w:val="32"/>
          <w:szCs w:val="32"/>
        </w:rPr>
      </w:r>
      <w:r/>
    </w:p>
    <w:p>
      <w:pPr>
        <w:pStyle w:val="1053"/>
        <w:jc w:val="center"/>
        <w:widowControl/>
        <w:rPr>
          <w:rFonts w:hint="eastAsia" w:ascii="宋体" w:hAnsi="宋体" w:eastAsia="宋体" w:cs="宋体"/>
          <w:bCs/>
          <w:szCs w:val="21"/>
        </w:rPr>
      </w:pPr>
      <w:r>
        <w:rPr>
          <w:rFonts w:hint="eastAsia" w:ascii="宋体" w:hAnsi="宋体" w:eastAsia="宋体" w:cs="宋体"/>
          <w:b/>
          <w:sz w:val="24"/>
          <w:szCs w:val="24"/>
        </w:rPr>
        <w:t xml:space="preserve">（1）报价一览表</w:t>
      </w:r>
      <w:bookmarkEnd w:id="141"/>
      <w:r/>
      <w:bookmarkEnd w:id="142"/>
      <w:r>
        <w:rPr>
          <w:rFonts w:hint="eastAsia" w:ascii="宋体" w:hAnsi="宋体" w:eastAsia="宋体" w:cs="宋体"/>
          <w:b/>
          <w:sz w:val="24"/>
          <w:szCs w:val="24"/>
        </w:rPr>
        <w:t xml:space="preserve">（格式）</w:t>
      </w:r>
      <w:r>
        <w:rPr>
          <w:rFonts w:hint="eastAsia" w:ascii="宋体" w:hAnsi="宋体" w:eastAsia="宋体" w:cs="宋体"/>
          <w:bCs/>
          <w:szCs w:val="21"/>
        </w:rPr>
      </w:r>
      <w:r/>
    </w:p>
    <w:tbl>
      <w:tblPr>
        <w:tblW w:w="0" w:type="auto"/>
        <w:tblInd w:w="-2"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988"/>
        <w:gridCol w:w="3345"/>
        <w:gridCol w:w="9"/>
        <w:gridCol w:w="4241"/>
      </w:tblGrid>
      <w:tr>
        <w:trPr>
          <w:cantSplit/>
          <w:trHeight w:val="555"/>
        </w:trPr>
        <w:tc>
          <w:tcPr>
            <w:tcW w:w="1988" w:type="dxa"/>
            <w:vAlign w:val="center"/>
            <w:textDirection w:val="lrTb"/>
            <w:noWrap w:val="false"/>
          </w:tcPr>
          <w:p>
            <w:pPr>
              <w:pStyle w:val="1053"/>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项目名称</w:t>
            </w:r>
            <w:r>
              <w:rPr>
                <w:rFonts w:hint="eastAsia" w:ascii="宋体" w:hAnsi="宋体" w:eastAsia="宋体" w:cs="宋体"/>
                <w:b/>
                <w:bCs/>
              </w:rPr>
            </w:r>
            <w:r/>
          </w:p>
        </w:tc>
        <w:tc>
          <w:tcPr>
            <w:gridSpan w:val="3"/>
            <w:tcW w:w="7595" w:type="dxa"/>
            <w:vAlign w:val="center"/>
            <w:textDirection w:val="lrTb"/>
            <w:noWrap w:val="false"/>
          </w:tcPr>
          <w:p>
            <w:pPr>
              <w:pStyle w:val="1053"/>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15"/>
        </w:trPr>
        <w:tc>
          <w:tcPr>
            <w:tcW w:w="1988" w:type="dxa"/>
            <w:vAlign w:val="center"/>
            <w:textDirection w:val="lrTb"/>
            <w:noWrap w:val="false"/>
          </w:tcPr>
          <w:p>
            <w:pPr>
              <w:pStyle w:val="1053"/>
              <w:jc w:val="center"/>
              <w:spacing w:before="0" w:after="0" w:line="240" w:lineRule="auto"/>
              <w:rPr>
                <w:rFonts w:hint="eastAsia" w:ascii="宋体" w:hAnsi="宋体" w:eastAsia="宋体" w:cs="宋体"/>
                <w:b/>
                <w:bCs/>
              </w:rPr>
            </w:pPr>
            <w:r>
              <w:rPr>
                <w:rFonts w:hint="eastAsia" w:ascii="宋体" w:hAnsi="宋体" w:eastAsia="宋体" w:cs="宋体"/>
                <w:b/>
                <w:bCs/>
              </w:rPr>
              <w:t xml:space="preserve">项目编号</w:t>
            </w:r>
            <w:r>
              <w:rPr>
                <w:rFonts w:hint="eastAsia" w:ascii="宋体" w:hAnsi="宋体" w:eastAsia="宋体" w:cs="宋体"/>
                <w:b/>
                <w:bCs/>
              </w:rPr>
            </w:r>
            <w:r/>
          </w:p>
        </w:tc>
        <w:tc>
          <w:tcPr>
            <w:gridSpan w:val="3"/>
            <w:tcW w:w="7595" w:type="dxa"/>
            <w:vAlign w:val="center"/>
            <w:textDirection w:val="lrTb"/>
            <w:noWrap w:val="false"/>
          </w:tcPr>
          <w:p>
            <w:pPr>
              <w:pStyle w:val="1053"/>
              <w:spacing w:before="0" w:after="0" w:line="440" w:lineRule="exact"/>
              <w:rPr>
                <w:rFonts w:hint="eastAsia" w:ascii="宋体" w:hAnsi="宋体" w:eastAsia="宋体" w:cs="宋体"/>
              </w:rPr>
            </w:pPr>
            <w:r>
              <w:rPr>
                <w:rFonts w:hint="eastAsia" w:ascii="宋体" w:hAnsi="宋体" w:eastAsia="宋体" w:cs="宋体"/>
              </w:rPr>
            </w:r>
            <w:r/>
          </w:p>
        </w:tc>
      </w:tr>
      <w:tr>
        <w:trPr>
          <w:cantSplit/>
          <w:trHeight w:val="485"/>
        </w:trPr>
        <w:tc>
          <w:tcPr>
            <w:tcW w:w="1988" w:type="dxa"/>
            <w:vAlign w:val="center"/>
            <w:textDirection w:val="lrTb"/>
            <w:noWrap w:val="false"/>
          </w:tcPr>
          <w:p>
            <w:pPr>
              <w:pStyle w:val="1053"/>
              <w:jc w:val="center"/>
              <w:spacing w:before="0" w:after="0" w:line="240" w:lineRule="auto"/>
              <w:rPr>
                <w:rFonts w:hint="eastAsia" w:ascii="宋体" w:hAnsi="宋体" w:eastAsia="宋体" w:cs="宋体"/>
                <w:b/>
                <w:bCs/>
              </w:rPr>
            </w:pPr>
            <w:r>
              <w:rPr>
                <w:rFonts w:hint="eastAsia" w:ascii="宋体" w:hAnsi="宋体" w:eastAsia="宋体" w:cs="宋体"/>
                <w:b/>
                <w:bCs/>
              </w:rPr>
              <w:t xml:space="preserve">分包号（标段号）</w:t>
            </w:r>
            <w:r>
              <w:rPr>
                <w:rFonts w:hint="eastAsia" w:ascii="宋体" w:hAnsi="宋体" w:eastAsia="宋体" w:cs="宋体"/>
                <w:b/>
                <w:bCs/>
              </w:rPr>
            </w:r>
            <w:r/>
          </w:p>
        </w:tc>
        <w:tc>
          <w:tcPr>
            <w:gridSpan w:val="3"/>
            <w:tcW w:w="7595" w:type="dxa"/>
            <w:vAlign w:val="center"/>
            <w:textDirection w:val="lrTb"/>
            <w:noWrap w:val="false"/>
          </w:tcPr>
          <w:p>
            <w:pPr>
              <w:pStyle w:val="1053"/>
              <w:spacing w:before="0" w:after="0" w:line="440" w:lineRule="exact"/>
              <w:rPr>
                <w:rFonts w:hint="eastAsia" w:ascii="宋体" w:hAnsi="宋体" w:eastAsia="宋体" w:cs="宋体"/>
              </w:rPr>
            </w:pPr>
            <w:r>
              <w:rPr>
                <w:rFonts w:hint="eastAsia" w:ascii="宋体" w:hAnsi="宋体" w:eastAsia="宋体" w:cs="宋体"/>
              </w:rPr>
            </w:r>
            <w:r/>
          </w:p>
        </w:tc>
      </w:tr>
      <w:tr>
        <w:trPr>
          <w:cantSplit/>
          <w:trHeight w:val="505"/>
        </w:trPr>
        <w:tc>
          <w:tcPr>
            <w:tcW w:w="1988" w:type="dxa"/>
            <w:vAlign w:val="center"/>
            <w:textDirection w:val="lrTb"/>
            <w:noWrap w:val="false"/>
          </w:tcPr>
          <w:p>
            <w:pPr>
              <w:pStyle w:val="1053"/>
              <w:jc w:val="center"/>
              <w:spacing w:before="0" w:after="0" w:line="240" w:lineRule="auto"/>
              <w:rPr>
                <w:rFonts w:hint="eastAsia" w:ascii="宋体" w:hAnsi="宋体" w:eastAsia="宋体" w:cs="宋体"/>
                <w:b/>
                <w:bCs/>
              </w:rPr>
            </w:pPr>
            <w:r>
              <w:rPr>
                <w:rFonts w:hint="eastAsia" w:ascii="宋体" w:hAnsi="宋体" w:eastAsia="宋体" w:cs="宋体"/>
                <w:b/>
                <w:bCs/>
              </w:rPr>
              <w:t xml:space="preserve">投标报价（含税）</w:t>
            </w:r>
            <w:r>
              <w:rPr>
                <w:rFonts w:hint="eastAsia" w:ascii="宋体" w:hAnsi="宋体" w:eastAsia="宋体" w:cs="宋体"/>
                <w:b/>
                <w:bCs/>
              </w:rPr>
            </w:r>
            <w:r/>
          </w:p>
        </w:tc>
        <w:tc>
          <w:tcPr>
            <w:gridSpan w:val="2"/>
            <w:tcW w:w="3354" w:type="dxa"/>
            <w:vAlign w:val="center"/>
            <w:textDirection w:val="lrTb"/>
            <w:noWrap w:val="false"/>
          </w:tcPr>
          <w:p>
            <w:pPr>
              <w:pStyle w:val="1053"/>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lang w:val="zh-CN"/>
              </w:rPr>
            </w:r>
            <w:r/>
          </w:p>
        </w:tc>
        <w:tc>
          <w:tcPr>
            <w:tcW w:w="4241" w:type="dxa"/>
            <w:vAlign w:val="center"/>
            <w:textDirection w:val="lrTb"/>
            <w:noWrap w:val="false"/>
          </w:tcPr>
          <w:p>
            <w:pPr>
              <w:pStyle w:val="1053"/>
              <w:jc w:val="center"/>
              <w:spacing w:before="0" w:after="0" w:line="240" w:lineRule="auto"/>
              <w:rPr>
                <w:rFonts w:hint="eastAsia" w:ascii="宋体" w:hAnsi="宋体" w:eastAsia="宋体" w:cs="宋体"/>
                <w:u w:val="single"/>
              </w:rPr>
            </w:pPr>
            <w:r>
              <w:rPr>
                <w:rFonts w:hint="eastAsia" w:ascii="宋体" w:hAnsi="宋体" w:eastAsia="宋体" w:cs="宋体"/>
                <w:u w:val="single"/>
              </w:rPr>
              <w:t xml:space="preserve">      </w:t>
            </w:r>
            <w:r>
              <w:rPr>
                <w:rFonts w:hint="eastAsia" w:ascii="宋体" w:hAnsi="宋体" w:eastAsia="宋体" w:cs="宋体"/>
              </w:rPr>
              <w:t xml:space="preserve">元</w:t>
            </w:r>
            <w:r>
              <w:rPr>
                <w:rFonts w:hint="eastAsia" w:ascii="宋体" w:hAnsi="宋体" w:eastAsia="宋体" w:cs="宋体"/>
                <w:u w:val="single"/>
              </w:rPr>
            </w:r>
            <w:r/>
          </w:p>
        </w:tc>
      </w:tr>
      <w:tr>
        <w:trPr>
          <w:cantSplit/>
          <w:trHeight w:val="505"/>
        </w:trPr>
        <w:tc>
          <w:tcPr>
            <w:tcW w:w="1988" w:type="dxa"/>
            <w:vAlign w:val="center"/>
            <w:textDirection w:val="lrTb"/>
            <w:noWrap w:val="false"/>
          </w:tcPr>
          <w:p>
            <w:pPr>
              <w:pStyle w:val="1053"/>
              <w:jc w:val="center"/>
              <w:spacing w:before="0" w:after="0" w:line="240" w:lineRule="auto"/>
              <w:rPr>
                <w:rFonts w:hint="eastAsia" w:ascii="宋体" w:hAnsi="宋体" w:eastAsia="宋体" w:cs="宋体"/>
                <w:b/>
                <w:bCs/>
              </w:rPr>
            </w:pPr>
            <w:r>
              <w:rPr>
                <w:rFonts w:hint="eastAsia" w:ascii="宋体" w:hAnsi="宋体" w:eastAsia="宋体" w:cs="宋体"/>
                <w:b/>
                <w:bCs/>
              </w:rPr>
              <w:t xml:space="preserve">税率</w:t>
            </w:r>
            <w:r>
              <w:rPr>
                <w:rFonts w:hint="eastAsia" w:ascii="宋体" w:hAnsi="宋体" w:eastAsia="宋体" w:cs="宋体"/>
                <w:b/>
                <w:bCs/>
              </w:rPr>
            </w:r>
            <w:r/>
          </w:p>
        </w:tc>
        <w:tc>
          <w:tcPr>
            <w:gridSpan w:val="3"/>
            <w:tcW w:w="7595" w:type="dxa"/>
            <w:vAlign w:val="center"/>
            <w:textDirection w:val="lrTb"/>
            <w:noWrap w:val="false"/>
          </w:tcPr>
          <w:p>
            <w:pPr>
              <w:pStyle w:val="1053"/>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rPr>
              <w:t xml:space="preserve">%</w:t>
            </w:r>
            <w:r>
              <w:rPr>
                <w:rFonts w:hint="eastAsia" w:ascii="宋体" w:hAnsi="宋体" w:eastAsia="宋体" w:cs="宋体"/>
                <w:lang w:val="zh-CN"/>
              </w:rPr>
            </w:r>
            <w:r/>
          </w:p>
        </w:tc>
      </w:tr>
      <w:tr>
        <w:trPr>
          <w:cantSplit/>
          <w:trHeight w:val="495"/>
        </w:trPr>
        <w:tc>
          <w:tcPr>
            <w:tcW w:w="1988" w:type="dxa"/>
            <w:vAlign w:val="center"/>
            <w:textDirection w:val="lrTb"/>
            <w:noWrap w:val="false"/>
          </w:tcPr>
          <w:p>
            <w:pPr>
              <w:pStyle w:val="1053"/>
              <w:jc w:val="center"/>
              <w:spacing w:before="0" w:after="0" w:line="240" w:lineRule="auto"/>
              <w:rPr>
                <w:rFonts w:hint="eastAsia" w:ascii="宋体" w:hAnsi="宋体" w:eastAsia="宋体" w:cs="宋体"/>
                <w:b/>
                <w:bCs/>
              </w:rPr>
            </w:pPr>
            <w:r>
              <w:rPr>
                <w:rFonts w:hint="eastAsia" w:ascii="宋体" w:hAnsi="宋体" w:eastAsia="宋体" w:cs="宋体"/>
                <w:b/>
                <w:bCs/>
              </w:rPr>
              <w:t xml:space="preserve">交货期</w:t>
            </w:r>
            <w:r>
              <w:rPr>
                <w:rFonts w:hint="eastAsia" w:ascii="宋体" w:hAnsi="宋体" w:eastAsia="宋体" w:cs="宋体"/>
                <w:b/>
                <w:bCs/>
              </w:rPr>
            </w:r>
            <w:r/>
          </w:p>
        </w:tc>
        <w:tc>
          <w:tcPr>
            <w:gridSpan w:val="3"/>
            <w:tcW w:w="7595" w:type="dxa"/>
            <w:vAlign w:val="center"/>
            <w:textDirection w:val="lrTb"/>
            <w:noWrap w:val="false"/>
          </w:tcPr>
          <w:p>
            <w:pPr>
              <w:pStyle w:val="1053"/>
              <w:jc w:val="center"/>
              <w:spacing w:before="0" w:after="0" w:line="240" w:lineRule="auto"/>
              <w:rPr>
                <w:rFonts w:hint="eastAsia" w:ascii="宋体" w:hAnsi="宋体" w:eastAsia="宋体" w:cs="宋体"/>
                <w:lang w:val="zh-CN"/>
              </w:rPr>
            </w:pPr>
            <w:r>
              <w:rPr>
                <w:rFonts w:hint="eastAsia" w:ascii="宋体" w:hAnsi="宋体" w:eastAsia="宋体" w:cs="宋体"/>
                <w:u w:val="single"/>
              </w:rPr>
              <w:t xml:space="preserve">   </w:t>
            </w:r>
            <w:r>
              <w:rPr>
                <w:rFonts w:hint="eastAsia" w:ascii="宋体" w:hAnsi="宋体" w:eastAsia="宋体" w:cs="宋体"/>
                <w:lang w:val="zh-CN"/>
              </w:rPr>
            </w:r>
            <w:r/>
          </w:p>
        </w:tc>
      </w:tr>
      <w:tr>
        <w:trPr>
          <w:cantSplit/>
          <w:trHeight w:val="648"/>
        </w:trPr>
        <w:tc>
          <w:tcPr>
            <w:tcW w:w="1988" w:type="dxa"/>
            <w:vAlign w:val="center"/>
            <w:vMerge w:val="restart"/>
            <w:textDirection w:val="lrTb"/>
            <w:noWrap w:val="false"/>
          </w:tcPr>
          <w:p>
            <w:pPr>
              <w:pStyle w:val="1053"/>
              <w:jc w:val="center"/>
              <w:spacing w:before="0" w:after="0" w:line="240" w:lineRule="auto"/>
              <w:rPr>
                <w:rFonts w:hint="eastAsia" w:ascii="宋体" w:hAnsi="宋体" w:eastAsia="宋体" w:cs="宋体"/>
                <w:b/>
                <w:bCs/>
              </w:rPr>
            </w:pPr>
            <w:r>
              <w:rPr>
                <w:rFonts w:hint="eastAsia" w:ascii="宋体" w:hAnsi="宋体" w:eastAsia="宋体" w:cs="宋体"/>
                <w:b/>
                <w:bCs/>
              </w:rPr>
              <w:t xml:space="preserve">企业类型</w:t>
            </w:r>
            <w:r>
              <w:rPr>
                <w:rFonts w:hint="eastAsia" w:ascii="宋体" w:hAnsi="宋体" w:eastAsia="宋体" w:cs="宋体"/>
                <w:b/>
                <w:bCs/>
              </w:rPr>
            </w:r>
            <w:r/>
          </w:p>
        </w:tc>
        <w:tc>
          <w:tcPr>
            <w:tcW w:w="3345" w:type="dxa"/>
            <w:vAlign w:val="center"/>
            <w:textDirection w:val="lrTb"/>
            <w:noWrap w:val="false"/>
          </w:tcPr>
          <w:p>
            <w:pPr>
              <w:pStyle w:val="1053"/>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是否属于小微型企业</w:t>
            </w:r>
            <w:r>
              <w:rPr>
                <w:rFonts w:hint="eastAsia" w:ascii="宋体" w:hAnsi="宋体" w:eastAsia="宋体" w:cs="宋体"/>
              </w:rPr>
            </w:r>
            <w:r/>
          </w:p>
        </w:tc>
        <w:tc>
          <w:tcPr>
            <w:gridSpan w:val="2"/>
            <w:tcW w:w="4250" w:type="dxa"/>
            <w:vAlign w:val="center"/>
            <w:textDirection w:val="lrTb"/>
            <w:noWrap w:val="false"/>
          </w:tcPr>
          <w:p>
            <w:pPr>
              <w:pStyle w:val="1053"/>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27"/>
        </w:trPr>
        <w:tc>
          <w:tcPr>
            <w:tcW w:w="1988" w:type="dxa"/>
            <w:vAlign w:val="center"/>
            <w:vMerge w:val="continue"/>
            <w:textDirection w:val="lrTb"/>
            <w:noWrap w:val="false"/>
          </w:tcPr>
          <w:p>
            <w:pPr>
              <w:pStyle w:val="1053"/>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W w:w="3345" w:type="dxa"/>
            <w:vAlign w:val="center"/>
            <w:textDirection w:val="lrTb"/>
            <w:noWrap w:val="false"/>
          </w:tcPr>
          <w:p>
            <w:pPr>
              <w:pStyle w:val="1053"/>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是否属于残疾人福利性单位</w:t>
            </w:r>
            <w:r>
              <w:rPr>
                <w:rFonts w:hint="eastAsia" w:ascii="宋体" w:hAnsi="宋体" w:eastAsia="宋体" w:cs="宋体"/>
              </w:rPr>
            </w:r>
            <w:r/>
          </w:p>
        </w:tc>
        <w:tc>
          <w:tcPr>
            <w:gridSpan w:val="2"/>
            <w:tcW w:w="4250" w:type="dxa"/>
            <w:vAlign w:val="center"/>
            <w:textDirection w:val="lrTb"/>
            <w:noWrap w:val="false"/>
          </w:tcPr>
          <w:p>
            <w:pPr>
              <w:pStyle w:val="1053"/>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12"/>
        </w:trPr>
        <w:tc>
          <w:tcPr>
            <w:tcW w:w="1988" w:type="dxa"/>
            <w:vAlign w:val="center"/>
            <w:vMerge w:val="continue"/>
            <w:textDirection w:val="lrTb"/>
            <w:noWrap w:val="false"/>
          </w:tcPr>
          <w:p>
            <w:pPr>
              <w:pStyle w:val="1053"/>
              <w:jc w:val="center"/>
              <w:spacing w:before="0" w:after="0" w:line="240" w:lineRule="auto"/>
              <w:rPr>
                <w:rFonts w:hint="eastAsia" w:ascii="宋体" w:hAnsi="宋体" w:eastAsia="宋体" w:cs="宋体"/>
                <w:b/>
                <w:bCs/>
              </w:rPr>
            </w:pPr>
            <w:r>
              <w:rPr>
                <w:rFonts w:hint="eastAsia" w:ascii="宋体" w:hAnsi="宋体" w:eastAsia="宋体" w:cs="宋体"/>
                <w:b/>
                <w:bCs/>
              </w:rPr>
            </w:r>
            <w:r/>
          </w:p>
        </w:tc>
        <w:tc>
          <w:tcPr>
            <w:tcW w:w="3345" w:type="dxa"/>
            <w:vAlign w:val="center"/>
            <w:textDirection w:val="lrTb"/>
            <w:noWrap w:val="false"/>
          </w:tcPr>
          <w:p>
            <w:pPr>
              <w:pStyle w:val="1053"/>
              <w:jc w:val="center"/>
              <w:spacing w:before="0" w:after="0" w:line="240" w:lineRule="auto"/>
              <w:rPr>
                <w:rFonts w:hint="eastAsia" w:ascii="宋体" w:hAnsi="宋体" w:eastAsia="宋体" w:cs="宋体"/>
              </w:rPr>
            </w:pPr>
            <w:r>
              <w:rPr>
                <w:rFonts w:hint="eastAsia" w:ascii="宋体" w:hAnsi="宋体" w:eastAsia="宋体" w:cs="宋体"/>
                <w:lang w:val="zh-CN"/>
              </w:rPr>
              <w:t xml:space="preserve">是否属于监狱企业</w:t>
            </w:r>
            <w:r>
              <w:rPr>
                <w:rFonts w:hint="eastAsia" w:ascii="宋体" w:hAnsi="宋体" w:eastAsia="宋体" w:cs="宋体"/>
              </w:rPr>
            </w:r>
            <w:r/>
          </w:p>
        </w:tc>
        <w:tc>
          <w:tcPr>
            <w:gridSpan w:val="2"/>
            <w:tcW w:w="4250" w:type="dxa"/>
            <w:vAlign w:val="center"/>
            <w:textDirection w:val="lrTb"/>
            <w:noWrap w:val="false"/>
          </w:tcPr>
          <w:p>
            <w:pPr>
              <w:pStyle w:val="1053"/>
              <w:jc w:val="center"/>
              <w:spacing w:before="0" w:after="0" w:line="240" w:lineRule="auto"/>
              <w:rPr>
                <w:rFonts w:hint="eastAsia" w:ascii="宋体" w:hAnsi="宋体" w:eastAsia="宋体" w:cs="宋体"/>
                <w:sz w:val="24"/>
                <w:szCs w:val="24"/>
              </w:rPr>
            </w:pPr>
            <w:r>
              <w:rPr>
                <w:rFonts w:hint="eastAsia" w:ascii="宋体" w:hAnsi="宋体" w:eastAsia="宋体" w:cs="宋体"/>
                <w:sz w:val="24"/>
                <w:szCs w:val="24"/>
                <w:lang w:val="zh-CN"/>
              </w:rPr>
              <w:t xml:space="preserve">是</w:t>
            </w:r>
            <w:r>
              <w:rPr>
                <w:rFonts w:hint="eastAsia" w:ascii="宋体" w:hAnsi="宋体" w:eastAsia="宋体" w:cs="宋体"/>
                <w:sz w:val="24"/>
                <w:szCs w:val="24"/>
              </w:rPr>
              <w:t xml:space="preserve">（  ）</w:t>
            </w:r>
            <w:r>
              <w:rPr>
                <w:rFonts w:hint="eastAsia" w:ascii="宋体" w:hAnsi="宋体" w:eastAsia="宋体" w:cs="宋体"/>
                <w:sz w:val="24"/>
                <w:szCs w:val="24"/>
                <w:lang w:val="zh-CN"/>
              </w:rPr>
              <w:t xml:space="preserve">否</w:t>
            </w:r>
            <w:r>
              <w:rPr>
                <w:rFonts w:hint="eastAsia" w:ascii="宋体" w:hAnsi="宋体" w:eastAsia="宋体" w:cs="宋体"/>
                <w:sz w:val="24"/>
                <w:szCs w:val="24"/>
              </w:rPr>
              <w:t xml:space="preserve">（  ）</w:t>
            </w:r>
            <w:r>
              <w:rPr>
                <w:rFonts w:hint="eastAsia" w:ascii="宋体" w:hAnsi="宋体" w:eastAsia="宋体" w:cs="宋体"/>
                <w:sz w:val="24"/>
                <w:szCs w:val="24"/>
              </w:rPr>
            </w:r>
            <w:r/>
          </w:p>
        </w:tc>
      </w:tr>
      <w:tr>
        <w:trPr>
          <w:cantSplit/>
          <w:trHeight w:val="680"/>
        </w:trPr>
        <w:tc>
          <w:tcPr>
            <w:tcW w:w="1988" w:type="dxa"/>
            <w:vAlign w:val="center"/>
            <w:textDirection w:val="lrTb"/>
            <w:noWrap w:val="false"/>
          </w:tcPr>
          <w:p>
            <w:pPr>
              <w:pStyle w:val="1053"/>
              <w:jc w:val="center"/>
              <w:spacing w:before="0" w:after="0" w:line="240" w:lineRule="auto"/>
              <w:rPr>
                <w:rFonts w:hint="eastAsia" w:ascii="宋体" w:hAnsi="宋体" w:eastAsia="宋体" w:cs="宋体"/>
                <w:b/>
                <w:bCs/>
              </w:rPr>
            </w:pPr>
            <w:r>
              <w:rPr>
                <w:rFonts w:hint="eastAsia" w:ascii="宋体" w:hAnsi="宋体" w:eastAsia="宋体" w:cs="宋体"/>
                <w:b/>
                <w:bCs/>
              </w:rPr>
              <w:t xml:space="preserve">售后服务承诺</w:t>
            </w:r>
            <w:r>
              <w:rPr>
                <w:rFonts w:hint="eastAsia" w:ascii="宋体" w:hAnsi="宋体" w:eastAsia="宋体" w:cs="宋体"/>
                <w:b/>
                <w:bCs/>
              </w:rPr>
            </w:r>
            <w:r/>
          </w:p>
        </w:tc>
        <w:tc>
          <w:tcPr>
            <w:gridSpan w:val="3"/>
            <w:tcW w:w="7595" w:type="dxa"/>
            <w:vAlign w:val="center"/>
            <w:textDirection w:val="lrTb"/>
            <w:noWrap w:val="false"/>
          </w:tcPr>
          <w:p>
            <w:pPr>
              <w:pStyle w:val="1053"/>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80"/>
        </w:trPr>
        <w:tc>
          <w:tcPr>
            <w:tcW w:w="1988" w:type="dxa"/>
            <w:vAlign w:val="center"/>
            <w:textDirection w:val="lrTb"/>
            <w:noWrap w:val="false"/>
          </w:tcPr>
          <w:p>
            <w:pPr>
              <w:pStyle w:val="1053"/>
              <w:jc w:val="center"/>
              <w:spacing w:before="0" w:after="0" w:line="240" w:lineRule="auto"/>
              <w:rPr>
                <w:rFonts w:hint="eastAsia" w:ascii="宋体" w:hAnsi="宋体" w:eastAsia="宋体" w:cs="宋体"/>
                <w:b/>
                <w:bCs/>
              </w:rPr>
            </w:pPr>
            <w:r>
              <w:rPr>
                <w:rFonts w:hint="eastAsia" w:ascii="宋体" w:hAnsi="宋体" w:eastAsia="宋体" w:cs="宋体"/>
                <w:b/>
                <w:bCs/>
              </w:rPr>
              <w:t xml:space="preserve">优惠条件承诺</w:t>
            </w:r>
            <w:r>
              <w:rPr>
                <w:rFonts w:hint="eastAsia" w:ascii="宋体" w:hAnsi="宋体" w:eastAsia="宋体" w:cs="宋体"/>
                <w:b/>
                <w:bCs/>
              </w:rPr>
            </w:r>
            <w:r/>
          </w:p>
        </w:tc>
        <w:tc>
          <w:tcPr>
            <w:gridSpan w:val="3"/>
            <w:tcW w:w="7595" w:type="dxa"/>
            <w:vAlign w:val="center"/>
            <w:textDirection w:val="lrTb"/>
            <w:noWrap w:val="false"/>
          </w:tcPr>
          <w:p>
            <w:pPr>
              <w:pStyle w:val="1053"/>
              <w:jc w:val="left"/>
              <w:spacing w:before="0" w:after="0" w:line="240" w:lineRule="auto"/>
              <w:rPr>
                <w:rFonts w:hint="eastAsia" w:ascii="宋体" w:hAnsi="宋体" w:eastAsia="宋体" w:cs="宋体"/>
                <w:sz w:val="24"/>
                <w:szCs w:val="24"/>
                <w:lang w:val="zh-CN"/>
              </w:rPr>
            </w:pPr>
            <w:r>
              <w:rPr>
                <w:rFonts w:hint="eastAsia" w:ascii="宋体" w:hAnsi="宋体" w:eastAsia="宋体" w:cs="宋体"/>
                <w:sz w:val="24"/>
                <w:szCs w:val="24"/>
                <w:lang w:val="zh-CN"/>
              </w:rPr>
            </w:r>
            <w:r/>
          </w:p>
        </w:tc>
      </w:tr>
      <w:tr>
        <w:trPr>
          <w:cantSplit/>
          <w:trHeight w:val="698"/>
        </w:trPr>
        <w:tc>
          <w:tcPr>
            <w:tcW w:w="1988" w:type="dxa"/>
            <w:vAlign w:val="center"/>
            <w:textDirection w:val="lrTb"/>
            <w:noWrap w:val="false"/>
          </w:tcPr>
          <w:p>
            <w:pPr>
              <w:pStyle w:val="1053"/>
              <w:jc w:val="center"/>
              <w:spacing w:before="0" w:after="0" w:line="240" w:lineRule="auto"/>
              <w:rPr>
                <w:rFonts w:hint="eastAsia" w:ascii="宋体" w:hAnsi="宋体" w:eastAsia="宋体" w:cs="宋体"/>
                <w:b/>
                <w:bCs/>
              </w:rPr>
            </w:pPr>
            <w:r>
              <w:rPr>
                <w:rFonts w:hint="eastAsia" w:ascii="宋体" w:hAnsi="宋体" w:eastAsia="宋体" w:cs="宋体"/>
                <w:b/>
                <w:bCs/>
              </w:rPr>
              <w:t xml:space="preserve">备注</w:t>
            </w:r>
            <w:r>
              <w:rPr>
                <w:rFonts w:hint="eastAsia" w:ascii="宋体" w:hAnsi="宋体" w:eastAsia="宋体" w:cs="宋体"/>
                <w:b/>
                <w:bCs/>
              </w:rPr>
            </w:r>
            <w:r/>
          </w:p>
        </w:tc>
        <w:tc>
          <w:tcPr>
            <w:gridSpan w:val="3"/>
            <w:tcW w:w="7595" w:type="dxa"/>
            <w:vAlign w:val="top"/>
            <w:textDirection w:val="lrTb"/>
            <w:noWrap w:val="false"/>
          </w:tcPr>
          <w:p>
            <w:pPr>
              <w:pStyle w:val="1053"/>
              <w:spacing w:before="0" w:after="0" w:line="240" w:lineRule="auto"/>
              <w:rPr>
                <w:rFonts w:hint="eastAsia" w:ascii="宋体" w:hAnsi="宋体" w:eastAsia="宋体" w:cs="宋体"/>
                <w:szCs w:val="21"/>
              </w:rPr>
            </w:pPr>
            <w:r>
              <w:rPr>
                <w:rFonts w:hint="eastAsia" w:ascii="宋体" w:hAnsi="宋体" w:eastAsia="宋体" w:cs="宋体"/>
                <w:szCs w:val="21"/>
              </w:rPr>
            </w:r>
            <w:r/>
          </w:p>
        </w:tc>
      </w:tr>
    </w:tbl>
    <w:p>
      <w:pPr>
        <w:pStyle w:val="1053"/>
        <w:spacing w:line="240" w:lineRule="auto"/>
        <w:rPr>
          <w:rFonts w:hint="eastAsia" w:ascii="宋体" w:hAnsi="宋体" w:eastAsia="宋体" w:cs="宋体"/>
          <w:bCs/>
          <w:szCs w:val="21"/>
        </w:rPr>
      </w:pPr>
      <w:r>
        <w:rPr>
          <w:rFonts w:hint="eastAsia" w:ascii="宋体" w:hAnsi="宋体" w:eastAsia="宋体" w:cs="宋体"/>
          <w:bCs/>
          <w:szCs w:val="21"/>
        </w:rPr>
        <w:t xml:space="preserve">说明：</w:t>
      </w:r>
      <w:r>
        <w:rPr>
          <w:rFonts w:hint="eastAsia" w:ascii="宋体" w:hAnsi="宋体" w:eastAsia="宋体" w:cs="宋体"/>
          <w:bCs/>
          <w:szCs w:val="21"/>
        </w:rPr>
      </w:r>
      <w:r/>
    </w:p>
    <w:p>
      <w:pPr>
        <w:pStyle w:val="1053"/>
        <w:spacing w:line="240" w:lineRule="auto"/>
        <w:rPr>
          <w:rFonts w:hint="eastAsia" w:ascii="宋体" w:hAnsi="宋体" w:eastAsia="宋体" w:cs="宋体"/>
          <w:bCs/>
          <w:szCs w:val="21"/>
        </w:rPr>
      </w:pPr>
      <w:r>
        <w:rPr>
          <w:rFonts w:hint="eastAsia" w:ascii="宋体" w:hAnsi="宋体" w:eastAsia="宋体" w:cs="宋体"/>
          <w:bCs/>
          <w:szCs w:val="21"/>
        </w:rPr>
        <w:t xml:space="preserve">1.报价币种：人民币。</w:t>
      </w:r>
      <w:r>
        <w:rPr>
          <w:rFonts w:hint="eastAsia" w:ascii="宋体" w:hAnsi="宋体" w:eastAsia="宋体" w:cs="宋体"/>
          <w:bCs/>
          <w:szCs w:val="21"/>
        </w:rPr>
      </w:r>
      <w:r/>
    </w:p>
    <w:p>
      <w:pPr>
        <w:pStyle w:val="1053"/>
        <w:spacing w:line="240" w:lineRule="auto"/>
        <w:rPr>
          <w:rFonts w:hint="eastAsia" w:ascii="宋体" w:hAnsi="宋体" w:eastAsia="宋体" w:cs="宋体"/>
          <w:b/>
          <w:szCs w:val="21"/>
        </w:rPr>
      </w:pPr>
      <w:r>
        <w:rPr>
          <w:rFonts w:hint="eastAsia" w:ascii="宋体" w:hAnsi="宋体" w:eastAsia="宋体" w:cs="宋体"/>
          <w:bCs/>
          <w:szCs w:val="21"/>
        </w:rPr>
        <w:t xml:space="preserve">2.</w:t>
      </w:r>
      <w:r>
        <w:rPr>
          <w:rFonts w:hint="eastAsia" w:ascii="宋体" w:hAnsi="宋体" w:eastAsia="宋体" w:cs="宋体"/>
          <w:b/>
          <w:szCs w:val="21"/>
        </w:rPr>
        <w:t xml:space="preserve">在供应商“是否属于小和微型企业”、“</w:t>
      </w:r>
      <w:r>
        <w:rPr>
          <w:rFonts w:hint="eastAsia" w:ascii="宋体" w:hAnsi="宋体" w:eastAsia="宋体" w:cs="宋体"/>
          <w:b/>
          <w:szCs w:val="21"/>
          <w:lang w:val="zh-CN"/>
        </w:rPr>
        <w:t xml:space="preserve">是否属于残疾人福利性单位</w:t>
      </w:r>
      <w:r>
        <w:rPr>
          <w:rFonts w:hint="eastAsia" w:ascii="宋体" w:hAnsi="宋体" w:eastAsia="宋体" w:cs="宋体"/>
          <w:b/>
          <w:szCs w:val="21"/>
        </w:rPr>
        <w:t xml:space="preserve">”、“</w:t>
      </w:r>
      <w:r>
        <w:rPr>
          <w:rFonts w:hint="eastAsia" w:ascii="宋体" w:hAnsi="宋体" w:eastAsia="宋体" w:cs="宋体"/>
          <w:b/>
          <w:szCs w:val="21"/>
          <w:lang w:val="zh-CN"/>
        </w:rPr>
        <w:t xml:space="preserve">是否属于监狱企业</w:t>
      </w:r>
      <w:r>
        <w:rPr>
          <w:rFonts w:hint="eastAsia" w:ascii="宋体" w:hAnsi="宋体" w:eastAsia="宋体" w:cs="宋体"/>
          <w:b/>
          <w:szCs w:val="21"/>
        </w:rPr>
        <w:t xml:space="preserve">”栏后“是”或“否”上打“√”,并按要求提供分项报价表及中小企业声明函。评审过程中，如果小、微型企业报价无法划分计算的，将不予认可。</w:t>
      </w:r>
      <w:r>
        <w:rPr>
          <w:rFonts w:hint="eastAsia" w:ascii="宋体" w:hAnsi="宋体" w:eastAsia="宋体" w:cs="宋体"/>
          <w:b/>
          <w:szCs w:val="21"/>
        </w:rPr>
      </w:r>
      <w:r/>
    </w:p>
    <w:p>
      <w:pPr>
        <w:pStyle w:val="1053"/>
        <w:spacing w:line="240" w:lineRule="auto"/>
        <w:rPr>
          <w:rFonts w:hint="eastAsia" w:ascii="宋体" w:hAnsi="宋体" w:eastAsia="宋体" w:cs="宋体"/>
          <w:bCs/>
          <w:szCs w:val="21"/>
        </w:rPr>
      </w:pPr>
      <w:r>
        <w:rPr>
          <w:rFonts w:hint="eastAsia" w:ascii="宋体" w:hAnsi="宋体" w:eastAsia="宋体" w:cs="宋体"/>
          <w:bCs/>
          <w:szCs w:val="21"/>
        </w:rPr>
        <w:t xml:space="preserve">3.本项目仅接受一个价格，不得填报有选择性报价方案。如有优惠条款须注明，但不得影响报价，影响项目履约交付。</w:t>
      </w:r>
      <w:r>
        <w:rPr>
          <w:rFonts w:hint="eastAsia" w:ascii="宋体" w:hAnsi="宋体" w:eastAsia="宋体" w:cs="宋体"/>
          <w:bCs/>
          <w:szCs w:val="21"/>
        </w:rPr>
      </w:r>
      <w:r/>
    </w:p>
    <w:p>
      <w:pPr>
        <w:pStyle w:val="1053"/>
        <w:spacing w:line="240" w:lineRule="auto"/>
        <w:rPr>
          <w:rFonts w:hint="eastAsia" w:ascii="宋体" w:hAnsi="宋体" w:eastAsia="宋体" w:cs="宋体"/>
          <w:bCs/>
          <w:szCs w:val="21"/>
        </w:rPr>
      </w:pPr>
      <w:r>
        <w:rPr>
          <w:rFonts w:hint="eastAsia" w:ascii="宋体" w:hAnsi="宋体" w:eastAsia="宋体" w:cs="宋体"/>
          <w:bCs/>
          <w:szCs w:val="21"/>
        </w:rPr>
        <w:t xml:space="preserve">4.供应商应报出最具有竞争力的价格，项目总报价中包含的所有要求提供货物和服务本身已支付或将支付的各种税费及其他相关费用。</w:t>
      </w:r>
      <w:r>
        <w:rPr>
          <w:rFonts w:hint="eastAsia" w:ascii="宋体" w:hAnsi="宋体" w:eastAsia="宋体" w:cs="宋体"/>
          <w:bCs/>
          <w:szCs w:val="21"/>
        </w:rPr>
      </w:r>
      <w:r/>
    </w:p>
    <w:p>
      <w:pPr>
        <w:pStyle w:val="1053"/>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53"/>
        <w:jc w:val="left"/>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53"/>
        <w:jc w:val="left"/>
        <w:spacing w:before="0" w:after="0"/>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bookmarkStart w:id="143" w:name="_Toc25567"/>
      <w:r/>
      <w:bookmarkStart w:id="144" w:name="_Toc403725575"/>
      <w:r/>
      <w:bookmarkStart w:id="145" w:name="_Toc467065082"/>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53"/>
        <w:jc w:val="center"/>
        <w:widowControl/>
        <w:rPr>
          <w:rFonts w:hint="eastAsia" w:ascii="宋体" w:hAnsi="宋体" w:eastAsia="宋体" w:cs="宋体"/>
          <w:b/>
          <w:sz w:val="24"/>
        </w:rPr>
      </w:pPr>
      <w:r>
        <w:rPr>
          <w:rFonts w:hint="eastAsia" w:ascii="宋体" w:hAnsi="宋体" w:eastAsia="宋体" w:cs="宋体"/>
          <w:b/>
          <w:sz w:val="24"/>
        </w:rPr>
        <w:t xml:space="preserve">（2）分项价格表（格式）</w:t>
      </w:r>
      <w:r>
        <w:rPr>
          <w:rFonts w:hint="eastAsia" w:ascii="宋体" w:hAnsi="宋体" w:eastAsia="宋体" w:cs="宋体"/>
          <w:b/>
          <w:sz w:val="24"/>
        </w:rPr>
      </w:r>
      <w:r/>
    </w:p>
    <w:p>
      <w:pPr>
        <w:pStyle w:val="1053"/>
        <w:spacing w:line="240" w:lineRule="auto"/>
        <w:rPr>
          <w:rFonts w:hint="eastAsia" w:ascii="宋体" w:hAnsi="宋体" w:eastAsia="宋体" w:cs="宋体"/>
          <w:sz w:val="24"/>
        </w:rPr>
      </w:pPr>
      <w:r>
        <w:rPr>
          <w:rFonts w:hint="eastAsia" w:ascii="宋体" w:hAnsi="宋体" w:eastAsia="宋体" w:cs="宋体"/>
          <w:sz w:val="24"/>
        </w:rPr>
        <w:t xml:space="preserve">项目编号：</w:t>
      </w:r>
      <w:r>
        <w:rPr>
          <w:rFonts w:hint="eastAsia" w:ascii="宋体" w:hAnsi="宋体" w:eastAsia="宋体" w:cs="宋体"/>
          <w:sz w:val="24"/>
          <w:u w:val="single"/>
        </w:rPr>
        <w:t xml:space="preserve">   （项目编号）</w:t>
      </w:r>
      <w:r>
        <w:rPr>
          <w:rFonts w:hint="eastAsia" w:ascii="宋体" w:hAnsi="宋体" w:eastAsia="宋体" w:cs="宋体"/>
          <w:sz w:val="24"/>
        </w:rPr>
        <w:t xml:space="preserve">                         货币单位：人民币（元）</w:t>
      </w:r>
      <w:r>
        <w:rPr>
          <w:rFonts w:hint="eastAsia" w:ascii="宋体" w:hAnsi="宋体" w:eastAsia="宋体" w:cs="宋体"/>
          <w:sz w:val="24"/>
        </w:rPr>
      </w:r>
      <w:r/>
    </w:p>
    <w:p>
      <w:pPr>
        <w:pStyle w:val="1053"/>
        <w:spacing w:line="240" w:lineRule="auto"/>
        <w:rPr>
          <w:rFonts w:hint="eastAsia" w:ascii="宋体" w:hAnsi="宋体" w:eastAsia="宋体" w:cs="宋体"/>
          <w:sz w:val="24"/>
        </w:rPr>
      </w:pPr>
      <w:r>
        <w:rPr>
          <w:rFonts w:hint="eastAsia" w:ascii="宋体" w:hAnsi="宋体" w:eastAsia="宋体" w:cs="宋体"/>
          <w:sz w:val="24"/>
        </w:rPr>
        <w:t xml:space="preserve">分包号（标段号）：</w:t>
      </w:r>
      <w:r>
        <w:rPr>
          <w:rFonts w:hint="eastAsia" w:ascii="宋体" w:hAnsi="宋体" w:eastAsia="宋体" w:cs="宋体"/>
          <w:sz w:val="24"/>
          <w:u w:val="single"/>
        </w:rPr>
        <w:t xml:space="preserve">   （标段号）   </w:t>
      </w:r>
      <w:r>
        <w:rPr>
          <w:rFonts w:hint="eastAsia" w:ascii="宋体" w:hAnsi="宋体" w:eastAsia="宋体" w:cs="宋体"/>
          <w:sz w:val="24"/>
        </w:rPr>
        <w:t xml:space="preserve">   </w:t>
      </w:r>
      <w:r>
        <w:rPr>
          <w:rFonts w:hint="eastAsia" w:ascii="宋体" w:hAnsi="宋体" w:eastAsia="宋体" w:cs="宋体"/>
          <w:sz w:val="24"/>
        </w:rPr>
      </w:r>
      <w:r/>
    </w:p>
    <w:p>
      <w:pPr>
        <w:pStyle w:val="1053"/>
        <w:spacing w:line="240" w:lineRule="auto"/>
        <w:rPr>
          <w:rFonts w:hint="eastAsia" w:ascii="宋体" w:hAnsi="宋体" w:eastAsia="宋体" w:cs="宋体"/>
          <w:sz w:val="24"/>
        </w:rPr>
      </w:pPr>
      <w:r>
        <w:rPr>
          <w:rFonts w:hint="eastAsia" w:ascii="宋体" w:hAnsi="宋体" w:eastAsia="宋体" w:cs="宋体"/>
          <w:sz w:val="24"/>
        </w:rPr>
        <w:t xml:space="preserve">项目名称：</w:t>
      </w:r>
      <w:r>
        <w:rPr>
          <w:rFonts w:hint="eastAsia" w:ascii="宋体" w:hAnsi="宋体" w:eastAsia="宋体" w:cs="宋体"/>
          <w:sz w:val="24"/>
          <w:u w:val="single"/>
        </w:rPr>
        <w:t xml:space="preserve">   （项目名称）  </w:t>
      </w:r>
      <w:r>
        <w:rPr>
          <w:rFonts w:hint="eastAsia" w:ascii="宋体" w:hAnsi="宋体" w:eastAsia="宋体" w:cs="宋体"/>
          <w:sz w:val="24"/>
        </w:rPr>
        <w:t xml:space="preserve">                          </w:t>
      </w:r>
      <w:r>
        <w:rPr>
          <w:rFonts w:hint="eastAsia" w:ascii="宋体" w:hAnsi="宋体" w:eastAsia="宋体" w:cs="宋体"/>
          <w:sz w:val="24"/>
        </w:rPr>
      </w:r>
      <w:r/>
    </w:p>
    <w:p>
      <w:pPr>
        <w:pStyle w:val="1053"/>
        <w:rPr>
          <w:rFonts w:hint="eastAsia" w:ascii="宋体" w:hAnsi="宋体" w:eastAsia="宋体" w:cs="宋体"/>
          <w:b/>
          <w:bCs/>
          <w:sz w:val="24"/>
        </w:rPr>
      </w:pPr>
      <w:r>
        <w:rPr>
          <w:rFonts w:hint="eastAsia" w:ascii="宋体" w:hAnsi="宋体" w:eastAsia="宋体" w:cs="宋体"/>
          <w:b/>
          <w:bCs/>
          <w:sz w:val="24"/>
        </w:rPr>
        <w:t xml:space="preserve">分项报价清单：</w:t>
      </w:r>
      <w:r>
        <w:rPr>
          <w:rFonts w:hint="eastAsia" w:ascii="宋体" w:hAnsi="宋体" w:eastAsia="宋体" w:cs="宋体"/>
          <w:b/>
          <w:bCs/>
          <w:sz w:val="24"/>
        </w:rPr>
      </w:r>
      <w:r/>
    </w:p>
    <w:tbl>
      <w:tblPr>
        <w:tblW w:w="10076" w:type="dxa"/>
        <w:jc w:val="center"/>
        <w:tblInd w:w="-15" w:type="dxa"/>
        <w:tblBorders>
          <w:top w:val="single" w:color="000000" w:sz="8" w:space="0"/>
          <w:left w:val="single" w:color="000000" w:sz="8" w:space="0"/>
          <w:bottom w:val="single" w:color="000000" w:sz="4" w:space="0"/>
          <w:right w:val="single" w:color="000000" w:sz="4" w:space="0"/>
          <w:insideH w:val="single" w:color="000000" w:sz="4" w:space="0"/>
          <w:insideV w:val="single" w:color="000000" w:sz="4" w:space="0"/>
        </w:tblBorders>
        <w:tblLayout w:type="fixed"/>
        <w:tblCellMar>
          <w:left w:w="15" w:type="dxa"/>
          <w:top w:w="15" w:type="dxa"/>
          <w:right w:w="15" w:type="dxa"/>
          <w:bottom w:w="0" w:type="dxa"/>
        </w:tblCellMar>
        <w:tblLook w:val="04A0" w:firstRow="1" w:lastRow="0" w:firstColumn="1" w:lastColumn="0" w:noHBand="0" w:noVBand="1"/>
      </w:tblPr>
      <w:tblGrid>
        <w:gridCol w:w="680"/>
        <w:gridCol w:w="1161"/>
        <w:gridCol w:w="1005"/>
        <w:gridCol w:w="1800"/>
        <w:gridCol w:w="1659"/>
        <w:gridCol w:w="691"/>
        <w:gridCol w:w="742"/>
        <w:gridCol w:w="756"/>
        <w:gridCol w:w="664"/>
        <w:gridCol w:w="918"/>
      </w:tblGrid>
      <w:tr>
        <w:trPr>
          <w:trHeight w:val="2317"/>
        </w:trPr>
        <w:tc>
          <w:tcPr>
            <w:tcMar>
              <w:left w:w="15" w:type="dxa"/>
              <w:top w:w="15" w:type="dxa"/>
              <w:right w:w="15" w:type="dxa"/>
              <w:bottom w:w="0" w:type="dxa"/>
            </w:tcMar>
            <w:tcW w:w="680" w:type="dxa"/>
            <w:vAlign w:val="center"/>
            <w:textDirection w:val="lrTb"/>
            <w:noWrap w:val="false"/>
          </w:tcPr>
          <w:p>
            <w:pPr>
              <w:pStyle w:val="1053"/>
              <w:jc w:val="center"/>
              <w:rPr>
                <w:rFonts w:hint="eastAsia" w:ascii="宋体" w:hAnsi="宋体" w:eastAsia="宋体" w:cs="宋体"/>
                <w:sz w:val="24"/>
              </w:rPr>
            </w:pPr>
            <w:r>
              <w:rPr>
                <w:rFonts w:hint="eastAsia" w:ascii="宋体" w:hAnsi="宋体" w:eastAsia="宋体" w:cs="宋体"/>
                <w:sz w:val="24"/>
              </w:rPr>
              <w:t xml:space="preserve">序号</w:t>
            </w:r>
            <w:r>
              <w:rPr>
                <w:rFonts w:hint="eastAsia" w:ascii="宋体" w:hAnsi="宋体" w:eastAsia="宋体" w:cs="宋体"/>
                <w:sz w:val="24"/>
              </w:rPr>
            </w:r>
            <w:r/>
          </w:p>
        </w:tc>
        <w:tc>
          <w:tcPr>
            <w:tcMar>
              <w:left w:w="15" w:type="dxa"/>
              <w:top w:w="15" w:type="dxa"/>
              <w:right w:w="15" w:type="dxa"/>
              <w:bottom w:w="0" w:type="dxa"/>
            </w:tcMar>
            <w:tcW w:w="1161" w:type="dxa"/>
            <w:vAlign w:val="center"/>
            <w:textDirection w:val="lrTb"/>
            <w:noWrap w:val="false"/>
          </w:tcPr>
          <w:p>
            <w:pPr>
              <w:pStyle w:val="1053"/>
              <w:jc w:val="center"/>
              <w:rPr>
                <w:rFonts w:hint="eastAsia" w:ascii="宋体" w:hAnsi="宋体" w:eastAsia="宋体" w:cs="宋体"/>
                <w:sz w:val="24"/>
              </w:rPr>
            </w:pPr>
            <w:r>
              <w:rPr>
                <w:rFonts w:hint="eastAsia" w:ascii="宋体" w:hAnsi="宋体" w:eastAsia="宋体" w:cs="宋体"/>
                <w:sz w:val="24"/>
              </w:rPr>
              <w:t xml:space="preserve">名称（标的名称）</w:t>
            </w:r>
            <w:r>
              <w:rPr>
                <w:rFonts w:hint="eastAsia" w:ascii="宋体" w:hAnsi="宋体" w:eastAsia="宋体" w:cs="宋体"/>
                <w:sz w:val="24"/>
              </w:rPr>
            </w:r>
            <w:r/>
          </w:p>
        </w:tc>
        <w:tc>
          <w:tcPr>
            <w:tcMar>
              <w:left w:w="15" w:type="dxa"/>
              <w:top w:w="15" w:type="dxa"/>
              <w:right w:w="15" w:type="dxa"/>
              <w:bottom w:w="0" w:type="dxa"/>
            </w:tcMar>
            <w:tcW w:w="1005" w:type="dxa"/>
            <w:vAlign w:val="center"/>
            <w:textDirection w:val="lrTb"/>
            <w:noWrap w:val="false"/>
          </w:tcPr>
          <w:p>
            <w:pPr>
              <w:pStyle w:val="1053"/>
              <w:jc w:val="center"/>
              <w:rPr>
                <w:rFonts w:hint="eastAsia" w:ascii="宋体" w:hAnsi="宋体" w:eastAsia="宋体" w:cs="宋体"/>
                <w:sz w:val="24"/>
              </w:rPr>
            </w:pPr>
            <w:r>
              <w:rPr>
                <w:rFonts w:hint="eastAsia" w:ascii="宋体" w:hAnsi="宋体" w:eastAsia="宋体" w:cs="宋体"/>
                <w:sz w:val="24"/>
              </w:rPr>
              <w:t xml:space="preserve">品牌、规格、型号</w:t>
            </w:r>
            <w:r>
              <w:rPr>
                <w:rFonts w:hint="eastAsia" w:ascii="宋体" w:hAnsi="宋体" w:eastAsia="宋体" w:cs="宋体"/>
                <w:sz w:val="24"/>
              </w:rPr>
            </w:r>
            <w:r/>
          </w:p>
        </w:tc>
        <w:tc>
          <w:tcPr>
            <w:tcMar>
              <w:left w:w="15" w:type="dxa"/>
              <w:top w:w="15" w:type="dxa"/>
              <w:right w:w="15" w:type="dxa"/>
              <w:bottom w:w="0" w:type="dxa"/>
            </w:tcMar>
            <w:tcW w:w="1800" w:type="dxa"/>
            <w:vAlign w:val="center"/>
            <w:textDirection w:val="lrTb"/>
            <w:noWrap w:val="false"/>
          </w:tcPr>
          <w:p>
            <w:pPr>
              <w:pStyle w:val="1053"/>
              <w:jc w:val="center"/>
              <w:rPr>
                <w:rFonts w:hint="eastAsia" w:ascii="宋体" w:hAnsi="宋体" w:eastAsia="宋体" w:cs="宋体"/>
                <w:sz w:val="24"/>
              </w:rPr>
            </w:pPr>
            <w:r>
              <w:rPr>
                <w:rFonts w:hint="eastAsia" w:ascii="宋体" w:hAnsi="宋体" w:eastAsia="宋体" w:cs="宋体"/>
                <w:sz w:val="24"/>
              </w:rPr>
              <w:t xml:space="preserve">产品制造企业名称（全称）</w:t>
            </w:r>
            <w:r>
              <w:rPr>
                <w:rFonts w:hint="eastAsia" w:ascii="宋体" w:hAnsi="宋体" w:eastAsia="宋体" w:cs="宋体"/>
                <w:sz w:val="24"/>
              </w:rPr>
            </w:r>
            <w:r/>
          </w:p>
        </w:tc>
        <w:tc>
          <w:tcPr>
            <w:tcMar>
              <w:left w:w="15" w:type="dxa"/>
              <w:top w:w="15" w:type="dxa"/>
              <w:right w:w="15" w:type="dxa"/>
              <w:bottom w:w="0" w:type="dxa"/>
            </w:tcMar>
            <w:tcW w:w="1659" w:type="dxa"/>
            <w:vAlign w:val="top"/>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t xml:space="preserve">产品制造企业的划分（注明：大型、中型、小型、微型、监狱企业、残疾人福利性单位）</w:t>
            </w:r>
            <w:r>
              <w:rPr>
                <w:rFonts w:hint="eastAsia" w:ascii="宋体" w:hAnsi="宋体" w:eastAsia="宋体" w:cs="宋体"/>
                <w:sz w:val="24"/>
              </w:rPr>
            </w:r>
            <w:r/>
          </w:p>
        </w:tc>
        <w:tc>
          <w:tcPr>
            <w:tcMar>
              <w:left w:w="15" w:type="dxa"/>
              <w:top w:w="15" w:type="dxa"/>
              <w:right w:w="15" w:type="dxa"/>
              <w:bottom w:w="0" w:type="dxa"/>
            </w:tcMar>
            <w:tcW w:w="691" w:type="dxa"/>
            <w:vAlign w:val="center"/>
            <w:textDirection w:val="lrTb"/>
            <w:noWrap w:val="false"/>
          </w:tcPr>
          <w:p>
            <w:pPr>
              <w:pStyle w:val="1053"/>
              <w:jc w:val="center"/>
              <w:rPr>
                <w:rFonts w:hint="eastAsia" w:ascii="宋体" w:hAnsi="宋体" w:eastAsia="宋体" w:cs="宋体"/>
                <w:sz w:val="24"/>
              </w:rPr>
            </w:pPr>
            <w:r>
              <w:rPr>
                <w:rFonts w:hint="eastAsia" w:ascii="宋体" w:hAnsi="宋体" w:eastAsia="宋体" w:cs="宋体"/>
                <w:sz w:val="24"/>
              </w:rPr>
              <w:t xml:space="preserve">单位</w:t>
            </w:r>
            <w:r>
              <w:rPr>
                <w:rFonts w:hint="eastAsia" w:ascii="宋体" w:hAnsi="宋体" w:eastAsia="宋体" w:cs="宋体"/>
                <w:sz w:val="24"/>
              </w:rPr>
            </w:r>
            <w:r/>
          </w:p>
        </w:tc>
        <w:tc>
          <w:tcPr>
            <w:tcMar>
              <w:left w:w="15" w:type="dxa"/>
              <w:top w:w="15" w:type="dxa"/>
              <w:right w:w="15" w:type="dxa"/>
              <w:bottom w:w="0" w:type="dxa"/>
            </w:tcMar>
            <w:tcW w:w="742" w:type="dxa"/>
            <w:vAlign w:val="center"/>
            <w:textDirection w:val="lrTb"/>
            <w:noWrap w:val="false"/>
          </w:tcPr>
          <w:p>
            <w:pPr>
              <w:pStyle w:val="1053"/>
              <w:jc w:val="center"/>
              <w:rPr>
                <w:rFonts w:hint="eastAsia" w:ascii="宋体" w:hAnsi="宋体" w:eastAsia="宋体" w:cs="宋体"/>
                <w:sz w:val="24"/>
              </w:rPr>
            </w:pPr>
            <w:r>
              <w:rPr>
                <w:rFonts w:hint="eastAsia" w:ascii="宋体" w:hAnsi="宋体" w:eastAsia="宋体" w:cs="宋体"/>
                <w:sz w:val="24"/>
              </w:rPr>
              <w:t xml:space="preserve">数量</w:t>
            </w:r>
            <w:r>
              <w:rPr>
                <w:rFonts w:hint="eastAsia" w:ascii="宋体" w:hAnsi="宋体" w:eastAsia="宋体" w:cs="宋体"/>
                <w:sz w:val="24"/>
              </w:rPr>
            </w:r>
            <w:r/>
          </w:p>
        </w:tc>
        <w:tc>
          <w:tcPr>
            <w:tcMar>
              <w:left w:w="15" w:type="dxa"/>
              <w:top w:w="15" w:type="dxa"/>
              <w:right w:w="15" w:type="dxa"/>
              <w:bottom w:w="0" w:type="dxa"/>
            </w:tcMar>
            <w:tcW w:w="756" w:type="dxa"/>
            <w:vAlign w:val="center"/>
            <w:textDirection w:val="lrTb"/>
            <w:noWrap w:val="false"/>
          </w:tcPr>
          <w:p>
            <w:pPr>
              <w:pStyle w:val="1053"/>
              <w:jc w:val="center"/>
              <w:rPr>
                <w:rFonts w:hint="eastAsia" w:ascii="宋体" w:hAnsi="宋体" w:eastAsia="宋体" w:cs="宋体"/>
                <w:sz w:val="24"/>
              </w:rPr>
            </w:pPr>
            <w:r>
              <w:rPr>
                <w:rFonts w:hint="eastAsia" w:ascii="宋体" w:hAnsi="宋体" w:eastAsia="宋体" w:cs="宋体"/>
                <w:sz w:val="24"/>
              </w:rPr>
              <w:t xml:space="preserve">含税单价（元）</w:t>
            </w:r>
            <w:r>
              <w:rPr>
                <w:rFonts w:hint="eastAsia" w:ascii="宋体" w:hAnsi="宋体" w:eastAsia="宋体" w:cs="宋体"/>
                <w:sz w:val="24"/>
              </w:rPr>
            </w:r>
            <w:r/>
          </w:p>
        </w:tc>
        <w:tc>
          <w:tcPr>
            <w:tcMar>
              <w:left w:w="15" w:type="dxa"/>
              <w:top w:w="15" w:type="dxa"/>
              <w:right w:w="15" w:type="dxa"/>
              <w:bottom w:w="0" w:type="dxa"/>
            </w:tcMar>
            <w:tcW w:w="664" w:type="dxa"/>
            <w:vAlign w:val="center"/>
            <w:textDirection w:val="lrTb"/>
            <w:noWrap w:val="false"/>
          </w:tcPr>
          <w:p>
            <w:pPr>
              <w:pStyle w:val="1053"/>
              <w:jc w:val="center"/>
              <w:rPr>
                <w:rFonts w:hint="eastAsia" w:ascii="宋体" w:hAnsi="宋体" w:eastAsia="宋体" w:cs="宋体"/>
                <w:sz w:val="24"/>
              </w:rPr>
            </w:pPr>
            <w:r>
              <w:rPr>
                <w:rFonts w:hint="eastAsia" w:ascii="宋体" w:hAnsi="宋体" w:eastAsia="宋体" w:cs="宋体"/>
                <w:sz w:val="24"/>
              </w:rPr>
              <w:t xml:space="preserve">小计（元）</w:t>
            </w:r>
            <w:r>
              <w:rPr>
                <w:rFonts w:hint="eastAsia" w:ascii="宋体" w:hAnsi="宋体" w:eastAsia="宋体" w:cs="宋体"/>
                <w:sz w:val="24"/>
              </w:rPr>
            </w:r>
            <w:r/>
          </w:p>
        </w:tc>
        <w:tc>
          <w:tcPr>
            <w:tcMar>
              <w:left w:w="15" w:type="dxa"/>
              <w:top w:w="15" w:type="dxa"/>
              <w:right w:w="15" w:type="dxa"/>
              <w:bottom w:w="0" w:type="dxa"/>
            </w:tcMar>
            <w:tcW w:w="918"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eastAsia="宋体" w:cs="宋体"/>
                <w:sz w:val="24"/>
              </w:rPr>
            </w:r>
            <w:r/>
          </w:p>
        </w:tc>
      </w:tr>
      <w:tr>
        <w:trPr>
          <w:trHeight w:val="551"/>
        </w:trPr>
        <w:tc>
          <w:tcPr>
            <w:tcMar>
              <w:left w:w="15" w:type="dxa"/>
              <w:top w:w="15" w:type="dxa"/>
              <w:right w:w="15" w:type="dxa"/>
              <w:bottom w:w="0" w:type="dxa"/>
            </w:tcMar>
            <w:tcW w:w="68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1</w:t>
            </w:r>
            <w:r>
              <w:rPr>
                <w:rFonts w:hint="eastAsia" w:ascii="仿宋" w:hAnsi="仿宋" w:eastAsia="仿宋" w:cs="仿宋"/>
                <w:sz w:val="24"/>
                <w:szCs w:val="24"/>
              </w:rPr>
            </w:r>
            <w:r/>
          </w:p>
        </w:tc>
        <w:tc>
          <w:tcPr>
            <w:tcMar>
              <w:left w:w="15" w:type="dxa"/>
              <w:top w:w="15" w:type="dxa"/>
              <w:right w:w="15" w:type="dxa"/>
              <w:bottom w:w="0" w:type="dxa"/>
            </w:tcMar>
            <w:tcW w:w="116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0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659"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9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42"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5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4"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18"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68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2</w:t>
            </w:r>
            <w:r>
              <w:rPr>
                <w:rFonts w:hint="eastAsia" w:ascii="仿宋" w:hAnsi="仿宋" w:eastAsia="仿宋" w:cs="仿宋"/>
                <w:sz w:val="24"/>
                <w:szCs w:val="24"/>
              </w:rPr>
            </w:r>
            <w:r/>
          </w:p>
        </w:tc>
        <w:tc>
          <w:tcPr>
            <w:tcMar>
              <w:left w:w="15" w:type="dxa"/>
              <w:top w:w="15" w:type="dxa"/>
              <w:right w:w="15" w:type="dxa"/>
              <w:bottom w:w="0" w:type="dxa"/>
            </w:tcMar>
            <w:tcW w:w="116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0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659"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9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42"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5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4"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18"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68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3</w:t>
            </w:r>
            <w:r>
              <w:rPr>
                <w:rFonts w:hint="eastAsia" w:ascii="仿宋" w:hAnsi="仿宋" w:eastAsia="仿宋" w:cs="仿宋"/>
                <w:sz w:val="24"/>
                <w:szCs w:val="24"/>
              </w:rPr>
            </w:r>
            <w:r/>
          </w:p>
        </w:tc>
        <w:tc>
          <w:tcPr>
            <w:tcMar>
              <w:left w:w="15" w:type="dxa"/>
              <w:top w:w="15" w:type="dxa"/>
              <w:right w:w="15" w:type="dxa"/>
              <w:bottom w:w="0" w:type="dxa"/>
            </w:tcMar>
            <w:tcW w:w="116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0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659"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9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42"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5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4"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18"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68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4</w:t>
            </w:r>
            <w:r>
              <w:rPr>
                <w:rFonts w:hint="eastAsia" w:ascii="仿宋" w:hAnsi="仿宋" w:eastAsia="仿宋" w:cs="仿宋"/>
                <w:sz w:val="24"/>
                <w:szCs w:val="24"/>
              </w:rPr>
            </w:r>
            <w:r/>
          </w:p>
        </w:tc>
        <w:tc>
          <w:tcPr>
            <w:tcMar>
              <w:left w:w="15" w:type="dxa"/>
              <w:top w:w="15" w:type="dxa"/>
              <w:right w:w="15" w:type="dxa"/>
              <w:bottom w:w="0" w:type="dxa"/>
            </w:tcMar>
            <w:tcW w:w="116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0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659"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9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42"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5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4"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18"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68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5</w:t>
            </w:r>
            <w:r>
              <w:rPr>
                <w:rFonts w:hint="eastAsia" w:ascii="仿宋" w:hAnsi="仿宋" w:eastAsia="仿宋" w:cs="仿宋"/>
                <w:sz w:val="24"/>
                <w:szCs w:val="24"/>
              </w:rPr>
            </w:r>
            <w:r/>
          </w:p>
        </w:tc>
        <w:tc>
          <w:tcPr>
            <w:tcMar>
              <w:left w:w="15" w:type="dxa"/>
              <w:top w:w="15" w:type="dxa"/>
              <w:right w:w="15" w:type="dxa"/>
              <w:bottom w:w="0" w:type="dxa"/>
            </w:tcMar>
            <w:tcW w:w="116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0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659"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9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42"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5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4"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18"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68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6</w:t>
            </w:r>
            <w:r>
              <w:rPr>
                <w:rFonts w:hint="eastAsia" w:ascii="仿宋" w:hAnsi="仿宋" w:eastAsia="仿宋" w:cs="仿宋"/>
                <w:sz w:val="24"/>
                <w:szCs w:val="24"/>
              </w:rPr>
            </w:r>
            <w:r/>
          </w:p>
        </w:tc>
        <w:tc>
          <w:tcPr>
            <w:tcMar>
              <w:left w:w="15" w:type="dxa"/>
              <w:top w:w="15" w:type="dxa"/>
              <w:right w:w="15" w:type="dxa"/>
              <w:bottom w:w="0" w:type="dxa"/>
            </w:tcMar>
            <w:tcW w:w="116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0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659"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9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42"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5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4"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18"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68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7</w:t>
            </w:r>
            <w:r>
              <w:rPr>
                <w:rFonts w:hint="eastAsia" w:ascii="仿宋" w:hAnsi="仿宋" w:eastAsia="仿宋" w:cs="仿宋"/>
                <w:sz w:val="24"/>
                <w:szCs w:val="24"/>
              </w:rPr>
            </w:r>
            <w:r/>
          </w:p>
        </w:tc>
        <w:tc>
          <w:tcPr>
            <w:tcMar>
              <w:left w:w="15" w:type="dxa"/>
              <w:top w:w="15" w:type="dxa"/>
              <w:right w:w="15" w:type="dxa"/>
              <w:bottom w:w="0" w:type="dxa"/>
            </w:tcMar>
            <w:tcW w:w="116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0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659"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9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42"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5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4"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18"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68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8</w:t>
            </w:r>
            <w:r>
              <w:rPr>
                <w:rFonts w:hint="eastAsia" w:ascii="仿宋" w:hAnsi="仿宋" w:eastAsia="仿宋" w:cs="仿宋"/>
                <w:sz w:val="24"/>
                <w:szCs w:val="24"/>
              </w:rPr>
            </w:r>
            <w:r/>
          </w:p>
        </w:tc>
        <w:tc>
          <w:tcPr>
            <w:tcMar>
              <w:left w:w="15" w:type="dxa"/>
              <w:top w:w="15" w:type="dxa"/>
              <w:right w:w="15" w:type="dxa"/>
              <w:bottom w:w="0" w:type="dxa"/>
            </w:tcMar>
            <w:tcW w:w="116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0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659"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9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42"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5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4"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18"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68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9</w:t>
            </w:r>
            <w:r>
              <w:rPr>
                <w:rFonts w:hint="eastAsia" w:ascii="仿宋" w:hAnsi="仿宋" w:eastAsia="仿宋" w:cs="仿宋"/>
                <w:sz w:val="24"/>
                <w:szCs w:val="24"/>
              </w:rPr>
            </w:r>
            <w:r/>
          </w:p>
        </w:tc>
        <w:tc>
          <w:tcPr>
            <w:tcMar>
              <w:left w:w="15" w:type="dxa"/>
              <w:top w:w="15" w:type="dxa"/>
              <w:right w:w="15" w:type="dxa"/>
              <w:bottom w:w="0" w:type="dxa"/>
            </w:tcMar>
            <w:tcW w:w="116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0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659"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9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42"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5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4"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18"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68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10</w:t>
            </w:r>
            <w:r>
              <w:rPr>
                <w:rFonts w:hint="eastAsia" w:ascii="仿宋" w:hAnsi="仿宋" w:eastAsia="仿宋" w:cs="仿宋"/>
                <w:sz w:val="24"/>
                <w:szCs w:val="24"/>
              </w:rPr>
            </w:r>
            <w:r/>
          </w:p>
        </w:tc>
        <w:tc>
          <w:tcPr>
            <w:tcMar>
              <w:left w:w="15" w:type="dxa"/>
              <w:top w:w="15" w:type="dxa"/>
              <w:right w:w="15" w:type="dxa"/>
              <w:bottom w:w="0" w:type="dxa"/>
            </w:tcMar>
            <w:tcW w:w="116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0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659"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9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42"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5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4"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18"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68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11</w:t>
            </w:r>
            <w:r>
              <w:rPr>
                <w:rFonts w:hint="eastAsia" w:ascii="仿宋" w:hAnsi="仿宋" w:eastAsia="仿宋" w:cs="仿宋"/>
                <w:sz w:val="24"/>
                <w:szCs w:val="24"/>
              </w:rPr>
            </w:r>
            <w:r/>
          </w:p>
        </w:tc>
        <w:tc>
          <w:tcPr>
            <w:tcMar>
              <w:left w:w="15" w:type="dxa"/>
              <w:top w:w="15" w:type="dxa"/>
              <w:right w:w="15" w:type="dxa"/>
              <w:bottom w:w="0" w:type="dxa"/>
            </w:tcMar>
            <w:tcW w:w="116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0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659"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9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42"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5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4"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18"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551"/>
        </w:trPr>
        <w:tc>
          <w:tcPr>
            <w:tcMar>
              <w:left w:w="15" w:type="dxa"/>
              <w:top w:w="15" w:type="dxa"/>
              <w:right w:w="15" w:type="dxa"/>
              <w:bottom w:w="0" w:type="dxa"/>
            </w:tcMar>
            <w:tcW w:w="68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t xml:space="preserve">12</w:t>
            </w:r>
            <w:r>
              <w:rPr>
                <w:rFonts w:hint="eastAsia" w:ascii="仿宋" w:hAnsi="仿宋" w:eastAsia="仿宋" w:cs="仿宋"/>
                <w:sz w:val="24"/>
                <w:szCs w:val="24"/>
              </w:rPr>
            </w:r>
            <w:r/>
          </w:p>
        </w:tc>
        <w:tc>
          <w:tcPr>
            <w:tcMar>
              <w:left w:w="15" w:type="dxa"/>
              <w:top w:w="15" w:type="dxa"/>
              <w:right w:w="15" w:type="dxa"/>
              <w:bottom w:w="0" w:type="dxa"/>
            </w:tcMar>
            <w:tcW w:w="116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005"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800"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1659"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91"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tcMar>
              <w:left w:w="15" w:type="dxa"/>
              <w:top w:w="15" w:type="dxa"/>
              <w:right w:w="15" w:type="dxa"/>
              <w:bottom w:w="0" w:type="dxa"/>
            </w:tcMar>
            <w:tcW w:w="742" w:type="dxa"/>
            <w:vAlign w:val="center"/>
            <w:textDirection w:val="lrTb"/>
            <w:noWrap w:val="false"/>
          </w:tcPr>
          <w:p>
            <w:pPr>
              <w:pStyle w:val="1053"/>
              <w:jc w:val="center"/>
              <w:spacing w:line="240" w:lineRule="auto"/>
              <w:rPr>
                <w:rFonts w:hint="eastAsia" w:ascii="仿宋" w:hAnsi="仿宋" w:eastAsia="仿宋" w:cs="仿宋"/>
                <w:sz w:val="24"/>
                <w:szCs w:val="24"/>
              </w:rPr>
            </w:pPr>
            <w:r>
              <w:rPr>
                <w:rFonts w:hint="eastAsia" w:ascii="仿宋" w:hAnsi="仿宋" w:eastAsia="仿宋" w:cs="仿宋"/>
                <w:sz w:val="24"/>
                <w:szCs w:val="24"/>
              </w:rPr>
            </w:r>
            <w:r/>
          </w:p>
        </w:tc>
        <w:tc>
          <w:tcPr>
            <w:shd w:val="clear" w:color="auto" w:fill="ffffff"/>
            <w:tcMar>
              <w:left w:w="15" w:type="dxa"/>
              <w:top w:w="15" w:type="dxa"/>
              <w:right w:w="15" w:type="dxa"/>
              <w:bottom w:w="0" w:type="dxa"/>
            </w:tcMar>
            <w:tcW w:w="756" w:type="dxa"/>
            <w:vAlign w:val="center"/>
            <w:textDirection w:val="lrTb"/>
            <w:noWrap w:val="false"/>
          </w:tcPr>
          <w:p>
            <w:pPr>
              <w:pStyle w:val="1053"/>
              <w:jc w:val="center"/>
              <w:spacing w:line="240" w:lineRule="auto"/>
              <w:widowControl/>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664"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c>
          <w:tcPr>
            <w:tcMar>
              <w:left w:w="15" w:type="dxa"/>
              <w:top w:w="15" w:type="dxa"/>
              <w:right w:w="15" w:type="dxa"/>
              <w:bottom w:w="0" w:type="dxa"/>
            </w:tcMar>
            <w:tcW w:w="918" w:type="dxa"/>
            <w:vAlign w:val="center"/>
            <w:textDirection w:val="lrTb"/>
            <w:noWrap w:val="false"/>
          </w:tcPr>
          <w:p>
            <w:pPr>
              <w:pStyle w:val="1053"/>
              <w:jc w:val="center"/>
              <w:spacing w:line="240" w:lineRule="auto"/>
              <w:rPr>
                <w:rFonts w:hint="eastAsia" w:ascii="宋体" w:hAnsi="宋体" w:eastAsia="宋体" w:cs="宋体"/>
                <w:sz w:val="24"/>
              </w:rPr>
            </w:pPr>
            <w:r>
              <w:rPr>
                <w:rFonts w:hint="eastAsia" w:ascii="宋体" w:hAnsi="宋体" w:eastAsia="宋体" w:cs="宋体"/>
                <w:sz w:val="24"/>
              </w:rPr>
            </w:r>
            <w:r/>
          </w:p>
        </w:tc>
      </w:tr>
      <w:tr>
        <w:trPr>
          <w:trHeight w:val="613"/>
        </w:trPr>
        <w:tc>
          <w:tcPr>
            <w:gridSpan w:val="4"/>
            <w:tcMar>
              <w:left w:w="15" w:type="dxa"/>
              <w:top w:w="15" w:type="dxa"/>
              <w:right w:w="15" w:type="dxa"/>
              <w:bottom w:w="0" w:type="dxa"/>
            </w:tcMar>
            <w:tcW w:w="4646" w:type="dxa"/>
            <w:vAlign w:val="center"/>
            <w:textDirection w:val="lrTb"/>
            <w:noWrap w:val="false"/>
          </w:tcPr>
          <w:p>
            <w:pPr>
              <w:pStyle w:val="105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总价合计（含税）</w:t>
            </w:r>
            <w:r>
              <w:rPr>
                <w:rFonts w:hint="eastAsia" w:ascii="宋体" w:hAnsi="宋体" w:eastAsia="宋体" w:cs="宋体"/>
                <w:sz w:val="24"/>
              </w:rPr>
            </w:r>
            <w:r/>
          </w:p>
        </w:tc>
        <w:tc>
          <w:tcPr>
            <w:gridSpan w:val="6"/>
            <w:tcMar>
              <w:left w:w="15" w:type="dxa"/>
              <w:top w:w="15" w:type="dxa"/>
              <w:right w:w="15" w:type="dxa"/>
              <w:bottom w:w="0" w:type="dxa"/>
            </w:tcMar>
            <w:tcW w:w="5430" w:type="dxa"/>
            <w:vAlign w:val="center"/>
            <w:textDirection w:val="lrTb"/>
            <w:noWrap w:val="false"/>
          </w:tcPr>
          <w:p>
            <w:pPr>
              <w:pStyle w:val="105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元</w:t>
            </w:r>
            <w:r>
              <w:rPr>
                <w:rFonts w:hint="eastAsia" w:ascii="宋体" w:hAnsi="宋体" w:eastAsia="宋体" w:cs="宋体"/>
                <w:sz w:val="24"/>
              </w:rPr>
            </w:r>
            <w:r/>
          </w:p>
        </w:tc>
      </w:tr>
      <w:tr>
        <w:trPr>
          <w:trHeight w:val="802"/>
        </w:trPr>
        <w:tc>
          <w:tcPr>
            <w:gridSpan w:val="4"/>
            <w:tcMar>
              <w:left w:w="15" w:type="dxa"/>
              <w:top w:w="15" w:type="dxa"/>
              <w:right w:w="15" w:type="dxa"/>
              <w:bottom w:w="0" w:type="dxa"/>
            </w:tcMar>
            <w:tcW w:w="4646" w:type="dxa"/>
            <w:vAlign w:val="center"/>
            <w:textDirection w:val="lrTb"/>
            <w:noWrap w:val="false"/>
          </w:tcPr>
          <w:p>
            <w:pPr>
              <w:pStyle w:val="105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其中“小型和微型和监狱企业和残疾人福利性单位”总价合计（含税）</w:t>
            </w:r>
            <w:r>
              <w:rPr>
                <w:rFonts w:hint="eastAsia" w:ascii="宋体" w:hAnsi="宋体" w:eastAsia="宋体" w:cs="宋体"/>
                <w:sz w:val="24"/>
              </w:rPr>
            </w:r>
            <w:r/>
          </w:p>
        </w:tc>
        <w:tc>
          <w:tcPr>
            <w:gridSpan w:val="6"/>
            <w:tcMar>
              <w:left w:w="15" w:type="dxa"/>
              <w:top w:w="15" w:type="dxa"/>
              <w:right w:w="15" w:type="dxa"/>
              <w:bottom w:w="0" w:type="dxa"/>
            </w:tcMar>
            <w:tcW w:w="5430" w:type="dxa"/>
            <w:vAlign w:val="center"/>
            <w:textDirection w:val="lrTb"/>
            <w:noWrap w:val="false"/>
          </w:tcPr>
          <w:p>
            <w:pPr>
              <w:pStyle w:val="105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元</w:t>
            </w:r>
            <w:r>
              <w:rPr>
                <w:rFonts w:hint="eastAsia" w:ascii="宋体" w:hAnsi="宋体" w:eastAsia="宋体" w:cs="宋体"/>
                <w:sz w:val="24"/>
              </w:rPr>
            </w:r>
            <w:r/>
          </w:p>
        </w:tc>
      </w:tr>
      <w:tr>
        <w:trPr>
          <w:trHeight w:val="802"/>
        </w:trPr>
        <w:tc>
          <w:tcPr>
            <w:gridSpan w:val="10"/>
            <w:tcMar>
              <w:left w:w="15" w:type="dxa"/>
              <w:top w:w="15" w:type="dxa"/>
              <w:right w:w="15" w:type="dxa"/>
              <w:bottom w:w="0" w:type="dxa"/>
            </w:tcMar>
            <w:tcW w:w="10076" w:type="dxa"/>
            <w:vAlign w:val="center"/>
            <w:textDirection w:val="lrTb"/>
            <w:noWrap w:val="false"/>
          </w:tcPr>
          <w:p>
            <w:pPr>
              <w:pStyle w:val="1053"/>
              <w:jc w:val="center"/>
              <w:spacing w:before="0" w:after="0" w:line="240" w:lineRule="auto"/>
              <w:rPr>
                <w:rFonts w:hint="eastAsia" w:ascii="宋体" w:hAnsi="宋体" w:eastAsia="宋体" w:cs="宋体"/>
                <w:sz w:val="24"/>
              </w:rPr>
            </w:pPr>
            <w:r>
              <w:rPr>
                <w:rFonts w:hint="eastAsia" w:ascii="宋体" w:hAnsi="宋体" w:eastAsia="宋体" w:cs="宋体"/>
                <w:sz w:val="24"/>
              </w:rPr>
              <w:t xml:space="preserve">本采购包中提供的符合本国产品标准的产品成本之和占该采购包提供的全部产品成本之和的比例为</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rPr>
            </w:r>
            <w:r/>
          </w:p>
        </w:tc>
      </w:tr>
      <w:tr>
        <w:trPr>
          <w:trHeight w:val="743"/>
        </w:trPr>
        <w:tc>
          <w:tcPr>
            <w:gridSpan w:val="4"/>
            <w:tcMar>
              <w:left w:w="15" w:type="dxa"/>
              <w:top w:w="15" w:type="dxa"/>
              <w:right w:w="15" w:type="dxa"/>
              <w:bottom w:w="0" w:type="dxa"/>
            </w:tcMar>
            <w:tcW w:w="4646" w:type="dxa"/>
            <w:vAlign w:val="center"/>
            <w:textDirection w:val="lrTb"/>
            <w:noWrap w:val="false"/>
          </w:tcPr>
          <w:p>
            <w:pPr>
              <w:pStyle w:val="1053"/>
              <w:jc w:val="center"/>
              <w:spacing w:before="0" w:after="0" w:line="240" w:lineRule="auto"/>
              <w:rPr>
                <w:rFonts w:hint="eastAsia" w:ascii="宋体" w:hAnsi="宋体" w:eastAsia="宋体" w:cs="宋体"/>
                <w:b/>
                <w:bCs/>
              </w:rPr>
            </w:pPr>
            <w:r>
              <w:rPr>
                <w:rFonts w:hint="eastAsia" w:ascii="宋体" w:hAnsi="宋体" w:eastAsia="宋体" w:cs="宋体"/>
                <w:sz w:val="24"/>
              </w:rPr>
              <w:t xml:space="preserve">备注：货物中有无进口产品</w:t>
            </w:r>
            <w:r>
              <w:rPr>
                <w:rFonts w:hint="eastAsia" w:ascii="宋体" w:hAnsi="宋体" w:eastAsia="宋体" w:cs="宋体"/>
                <w:b/>
                <w:bCs/>
              </w:rPr>
            </w:r>
            <w:r/>
          </w:p>
        </w:tc>
        <w:tc>
          <w:tcPr>
            <w:gridSpan w:val="6"/>
            <w:tcMar>
              <w:left w:w="15" w:type="dxa"/>
              <w:top w:w="15" w:type="dxa"/>
              <w:right w:w="15" w:type="dxa"/>
              <w:bottom w:w="0" w:type="dxa"/>
            </w:tcMar>
            <w:tcW w:w="5430" w:type="dxa"/>
            <w:vAlign w:val="center"/>
            <w:textDirection w:val="lrTb"/>
            <w:noWrap w:val="false"/>
          </w:tcPr>
          <w:p>
            <w:pPr>
              <w:pStyle w:val="1053"/>
              <w:jc w:val="center"/>
              <w:spacing w:before="0" w:after="0" w:line="240" w:lineRule="auto"/>
              <w:rPr>
                <w:rFonts w:hint="eastAsia" w:ascii="宋体" w:hAnsi="宋体" w:eastAsia="宋体" w:cs="宋体"/>
                <w:u w:val="single"/>
              </w:rPr>
            </w:pPr>
            <w:r>
              <w:rPr>
                <w:rFonts w:hint="eastAsia" w:ascii="宋体" w:hAnsi="宋体" w:eastAsia="宋体" w:cs="宋体"/>
                <w:sz w:val="24"/>
                <w:lang w:val="zh-CN"/>
              </w:rPr>
              <w:t xml:space="preserve">有</w:t>
            </w:r>
            <w:r>
              <w:rPr>
                <w:rFonts w:hint="eastAsia" w:ascii="宋体" w:hAnsi="宋体" w:eastAsia="宋体" w:cs="宋体"/>
                <w:sz w:val="24"/>
              </w:rPr>
              <w:t xml:space="preserve">（  ）（填写货物名称：</w:t>
            </w:r>
            <w:r>
              <w:rPr>
                <w:rFonts w:hint="eastAsia" w:ascii="宋体" w:hAnsi="宋体" w:eastAsia="宋体" w:cs="宋体"/>
                <w:sz w:val="24"/>
                <w:u w:val="single"/>
              </w:rPr>
              <w:t xml:space="preserve">        </w:t>
            </w:r>
            <w:r>
              <w:rPr>
                <w:rFonts w:hint="eastAsia" w:ascii="宋体" w:hAnsi="宋体" w:eastAsia="宋体" w:cs="宋体"/>
                <w:sz w:val="24"/>
              </w:rPr>
              <w:t xml:space="preserve">）；</w:t>
            </w:r>
            <w:r>
              <w:rPr>
                <w:rFonts w:hint="eastAsia" w:ascii="宋体" w:hAnsi="宋体" w:eastAsia="宋体" w:cs="宋体"/>
                <w:sz w:val="24"/>
                <w:lang w:val="zh-CN"/>
              </w:rPr>
              <w:t xml:space="preserve">无</w:t>
            </w:r>
            <w:r>
              <w:rPr>
                <w:rFonts w:hint="eastAsia" w:ascii="宋体" w:hAnsi="宋体" w:eastAsia="宋体" w:cs="宋体"/>
                <w:sz w:val="24"/>
              </w:rPr>
              <w:t xml:space="preserve">（  ）</w:t>
            </w:r>
            <w:r>
              <w:rPr>
                <w:rFonts w:hint="eastAsia" w:ascii="宋体" w:hAnsi="宋体" w:eastAsia="宋体" w:cs="宋体"/>
                <w:u w:val="single"/>
              </w:rPr>
            </w:r>
            <w:r/>
          </w:p>
        </w:tc>
      </w:tr>
    </w:tbl>
    <w:p>
      <w:pPr>
        <w:pStyle w:val="1053"/>
        <w:rPr>
          <w:rFonts w:hint="eastAsia" w:ascii="宋体" w:hAnsi="宋体" w:eastAsia="宋体" w:cs="宋体"/>
          <w:b/>
          <w:bCs/>
          <w:sz w:val="24"/>
        </w:rPr>
      </w:pPr>
      <w:r>
        <w:rPr>
          <w:rFonts w:hint="eastAsia" w:ascii="宋体" w:hAnsi="宋体" w:eastAsia="宋体" w:cs="宋体"/>
          <w:b/>
          <w:bCs/>
          <w:sz w:val="24"/>
        </w:rPr>
      </w:r>
      <w:r/>
    </w:p>
    <w:p>
      <w:pPr>
        <w:pStyle w:val="1053"/>
        <w:spacing w:line="300" w:lineRule="auto"/>
        <w:rPr>
          <w:rFonts w:hint="eastAsia" w:ascii="宋体" w:hAnsi="宋体" w:eastAsia="宋体" w:cs="宋体"/>
          <w:sz w:val="24"/>
        </w:rPr>
      </w:pPr>
      <w:r>
        <w:rPr>
          <w:rFonts w:hint="eastAsia" w:ascii="宋体" w:hAnsi="宋体" w:eastAsia="宋体" w:cs="宋体"/>
          <w:sz w:val="24"/>
        </w:rPr>
        <w:t xml:space="preserve">投标人名称：</w:t>
      </w:r>
      <w:r>
        <w:rPr>
          <w:rFonts w:hint="eastAsia" w:ascii="宋体" w:hAnsi="宋体" w:eastAsia="宋体" w:cs="宋体"/>
          <w:sz w:val="24"/>
          <w:u w:val="single"/>
        </w:rPr>
        <w:t xml:space="preserve">          </w:t>
      </w:r>
      <w:r>
        <w:rPr>
          <w:rFonts w:hint="eastAsia" w:ascii="宋体" w:hAnsi="宋体" w:eastAsia="宋体" w:cs="宋体"/>
          <w:sz w:val="24"/>
        </w:rPr>
        <w:t xml:space="preserve">（公章）</w:t>
      </w:r>
      <w:r>
        <w:rPr>
          <w:rFonts w:hint="eastAsia" w:ascii="宋体" w:hAnsi="宋体" w:eastAsia="宋体" w:cs="宋体"/>
          <w:sz w:val="24"/>
        </w:rPr>
      </w:r>
      <w:r/>
    </w:p>
    <w:p>
      <w:pPr>
        <w:pStyle w:val="1053"/>
        <w:spacing w:line="300" w:lineRule="auto"/>
        <w:rPr>
          <w:rFonts w:hint="eastAsia" w:ascii="宋体" w:hAnsi="宋体" w:eastAsia="宋体" w:cs="宋体"/>
          <w:sz w:val="24"/>
        </w:rPr>
      </w:pPr>
      <w:r>
        <w:rPr>
          <w:rFonts w:hint="eastAsia" w:ascii="宋体" w:hAnsi="宋体" w:eastAsia="宋体" w:cs="宋体"/>
          <w:sz w:val="24"/>
        </w:rPr>
        <w:t xml:space="preserve">授权代表：</w:t>
      </w:r>
      <w:r>
        <w:rPr>
          <w:rFonts w:hint="eastAsia" w:ascii="宋体" w:hAnsi="宋体" w:eastAsia="宋体" w:cs="宋体"/>
          <w:sz w:val="24"/>
          <w:u w:val="single"/>
        </w:rPr>
        <w:t xml:space="preserve">           </w:t>
      </w:r>
      <w:r>
        <w:rPr>
          <w:rFonts w:hint="eastAsia" w:ascii="宋体" w:hAnsi="宋体" w:eastAsia="宋体" w:cs="宋体"/>
          <w:sz w:val="24"/>
        </w:rPr>
        <w:t xml:space="preserve">（签字或盖章）</w:t>
      </w: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t xml:space="preserve">日期：   年  月  日</w:t>
      </w:r>
      <w:r>
        <w:rPr>
          <w:rFonts w:hint="eastAsia" w:ascii="宋体" w:hAnsi="宋体" w:eastAsia="宋体" w:cs="宋体"/>
          <w:sz w:val="24"/>
        </w:rPr>
      </w:r>
      <w:r/>
    </w:p>
    <w:p>
      <w:pPr>
        <w:pStyle w:val="1053"/>
        <w:rPr>
          <w:rFonts w:hint="eastAsia" w:ascii="宋体" w:hAnsi="宋体" w:eastAsia="宋体" w:cs="宋体"/>
          <w:sz w:val="24"/>
        </w:rPr>
      </w:pPr>
      <w:r>
        <w:rPr>
          <w:rFonts w:hint="eastAsia" w:ascii="宋体" w:hAnsi="宋体" w:eastAsia="宋体" w:cs="宋体"/>
          <w:sz w:val="24"/>
        </w:rPr>
        <w:t xml:space="preserve">说明：</w:t>
      </w:r>
      <w:r>
        <w:rPr>
          <w:rFonts w:hint="eastAsia" w:ascii="宋体" w:hAnsi="宋体" w:eastAsia="宋体" w:cs="宋体"/>
          <w:sz w:val="24"/>
        </w:rPr>
      </w:r>
      <w:r/>
    </w:p>
    <w:p>
      <w:pPr>
        <w:pStyle w:val="1053"/>
        <w:ind w:firstLine="480"/>
        <w:rPr>
          <w:rFonts w:hint="eastAsia" w:ascii="宋体" w:hAnsi="宋体" w:eastAsia="宋体" w:cs="宋体"/>
          <w:sz w:val="24"/>
        </w:rPr>
      </w:pPr>
      <w:r>
        <w:rPr>
          <w:rFonts w:hint="eastAsia" w:ascii="宋体" w:hAnsi="宋体" w:eastAsia="宋体" w:cs="宋体"/>
          <w:sz w:val="24"/>
        </w:rPr>
        <w:t xml:space="preserve">1.本表格中需列明所投分包“第四章 采购需求”技术要求中全部设备。</w:t>
      </w:r>
      <w:r>
        <w:rPr>
          <w:rFonts w:hint="eastAsia" w:ascii="宋体" w:hAnsi="宋体" w:eastAsia="宋体" w:cs="宋体"/>
          <w:sz w:val="24"/>
        </w:rPr>
      </w:r>
      <w:r/>
    </w:p>
    <w:p>
      <w:pPr>
        <w:pStyle w:val="1053"/>
        <w:ind w:firstLine="480"/>
        <w:rPr>
          <w:rFonts w:hint="eastAsia" w:ascii="宋体" w:hAnsi="宋体" w:eastAsia="宋体" w:cs="宋体"/>
          <w:sz w:val="24"/>
        </w:rPr>
      </w:pPr>
      <w:r>
        <w:rPr>
          <w:rFonts w:hint="eastAsia" w:ascii="宋体" w:hAnsi="宋体" w:eastAsia="宋体" w:cs="宋体"/>
          <w:sz w:val="24"/>
        </w:rPr>
        <w:t xml:space="preserve">2.中小微企业的划分具体以《政府采购促进中小企业发展暂行办法》（财库〔2020〕46号）和《工业和信息化部、国家统计局、国家发展和改革委员会、财政部关于印发中小企业划型标准规定的通知》（工信部联企业〔2011〕300号）的规定为准。</w:t>
      </w:r>
      <w:r>
        <w:rPr>
          <w:rFonts w:hint="eastAsia" w:ascii="宋体" w:hAnsi="宋体" w:eastAsia="宋体" w:cs="宋体"/>
          <w:sz w:val="24"/>
        </w:rPr>
      </w:r>
      <w:r/>
    </w:p>
    <w:p>
      <w:pPr>
        <w:pStyle w:val="1053"/>
        <w:ind w:firstLine="480"/>
        <w:rPr>
          <w:rFonts w:hint="eastAsia" w:ascii="宋体" w:hAnsi="宋体" w:eastAsia="宋体" w:cs="宋体"/>
          <w:sz w:val="24"/>
        </w:rPr>
      </w:pPr>
      <w:r>
        <w:rPr>
          <w:rFonts w:hint="eastAsia" w:ascii="宋体" w:hAnsi="宋体" w:eastAsia="宋体" w:cs="宋体"/>
          <w:sz w:val="24"/>
        </w:rPr>
        <w:t xml:space="preserve">3.享受政府采购支持政策的残疾人福利性单位应满足的条件以《关于促进残疾人就业政府采购政策的通知》（财库〔2017〕141号）的规定为准。</w:t>
      </w:r>
      <w:r>
        <w:rPr>
          <w:rFonts w:hint="eastAsia" w:ascii="宋体" w:hAnsi="宋体" w:eastAsia="宋体" w:cs="宋体"/>
          <w:sz w:val="24"/>
        </w:rPr>
      </w:r>
      <w:r/>
    </w:p>
    <w:p>
      <w:pPr>
        <w:pStyle w:val="1053"/>
        <w:ind w:firstLine="482"/>
        <w:rPr>
          <w:rFonts w:hint="eastAsia" w:ascii="宋体" w:hAnsi="宋体" w:eastAsia="宋体" w:cs="宋体"/>
          <w:b/>
          <w:bCs/>
          <w:sz w:val="24"/>
        </w:rPr>
      </w:pPr>
      <w:r>
        <w:rPr>
          <w:rFonts w:hint="eastAsia" w:ascii="宋体" w:hAnsi="宋体" w:eastAsia="宋体" w:cs="宋体"/>
          <w:b/>
          <w:bCs/>
          <w:sz w:val="24"/>
        </w:rPr>
        <w:t xml:space="preserve">4．供应商为“小型”或“微型”或“监狱企业”、“残疾人福利性单位”的，须算出“小型和微型和监狱企业和残疾人福利性单位”总价合计”。供应商未按上述要求提供的，价格将不做相应扣除。</w:t>
      </w:r>
      <w:r>
        <w:rPr>
          <w:rFonts w:hint="eastAsia" w:ascii="宋体" w:hAnsi="宋体" w:eastAsia="宋体" w:cs="宋体"/>
          <w:b/>
          <w:bCs/>
          <w:sz w:val="24"/>
        </w:rPr>
      </w:r>
      <w:r/>
    </w:p>
    <w:p>
      <w:pPr>
        <w:pStyle w:val="1053"/>
        <w:ind w:firstLine="482"/>
        <w:rPr>
          <w:rFonts w:hint="eastAsia" w:ascii="宋体" w:hAnsi="宋体" w:eastAsia="宋体" w:cs="宋体"/>
          <w:b/>
          <w:bCs/>
          <w:sz w:val="24"/>
        </w:rPr>
      </w:pPr>
      <w:r>
        <w:rPr>
          <w:rFonts w:hint="eastAsia" w:ascii="宋体" w:hAnsi="宋体" w:eastAsia="宋体" w:cs="宋体"/>
          <w:b/>
          <w:bCs/>
          <w:sz w:val="24"/>
        </w:rPr>
        <w:t xml:space="preserve">5．供应商“符合本国产品标准的产品”的，须算出“符合本国产品标准的产品成本之和”以及“本采购包中提供的符合本国产品标准的产品成本之和占该采购包提供的全部产品成本之和的比例”。供应商未按上述要求提供的，价格将不做相应扣除。</w:t>
      </w:r>
      <w:r>
        <w:rPr>
          <w:rFonts w:hint="eastAsia" w:ascii="宋体" w:hAnsi="宋体" w:eastAsia="宋体" w:cs="宋体"/>
          <w:b/>
          <w:bCs/>
          <w:sz w:val="24"/>
        </w:rPr>
      </w:r>
      <w:r/>
    </w:p>
    <w:p>
      <w:pPr>
        <w:pStyle w:val="1053"/>
        <w:ind w:firstLine="482"/>
        <w:rPr>
          <w:rFonts w:hint="eastAsia" w:ascii="宋体" w:hAnsi="宋体" w:eastAsia="宋体" w:cs="宋体"/>
          <w:sz w:val="24"/>
        </w:rPr>
      </w:pPr>
      <w:r>
        <w:rPr>
          <w:rFonts w:hint="eastAsia" w:ascii="宋体" w:hAnsi="宋体" w:eastAsia="宋体" w:cs="宋体"/>
          <w:b/>
          <w:bCs/>
          <w:sz w:val="24"/>
        </w:rPr>
        <w:t xml:space="preserve">6.在“货物中有无进口产品”栏后的“有”或“无”上打“√”，如果有进口设备，须填写货物名称。</w:t>
      </w:r>
      <w:r>
        <w:rPr>
          <w:rFonts w:hint="eastAsia" w:ascii="宋体" w:hAnsi="宋体" w:eastAsia="宋体" w:cs="宋体"/>
          <w:sz w:val="24"/>
        </w:rPr>
      </w:r>
      <w:r/>
    </w:p>
    <w:p>
      <w:pPr>
        <w:pStyle w:val="1053"/>
        <w:ind w:firstLine="482"/>
        <w:rPr>
          <w:rFonts w:hint="eastAsia" w:ascii="宋体" w:hAnsi="宋体" w:eastAsia="宋体" w:cs="宋体"/>
          <w:b/>
          <w:bCs/>
          <w:sz w:val="24"/>
        </w:rPr>
      </w:pPr>
      <w:r>
        <w:rPr>
          <w:rFonts w:hint="eastAsia" w:ascii="宋体" w:hAnsi="宋体" w:eastAsia="宋体" w:cs="宋体"/>
          <w:b/>
          <w:bCs/>
          <w:sz w:val="24"/>
        </w:rPr>
        <w:t xml:space="preserve">7．如果不提供详细分项报价将视为没有实质性响应招标文件。</w:t>
      </w:r>
      <w:r>
        <w:rPr>
          <w:rFonts w:hint="eastAsia" w:ascii="宋体" w:hAnsi="宋体" w:eastAsia="宋体" w:cs="宋体"/>
          <w:b/>
          <w:bCs/>
          <w:sz w:val="24"/>
        </w:rPr>
      </w:r>
      <w:r/>
    </w:p>
    <w:p>
      <w:pPr>
        <w:pStyle w:val="1053"/>
        <w:ind w:firstLine="480"/>
        <w:rPr>
          <w:rFonts w:hint="eastAsia" w:ascii="宋体" w:hAnsi="宋体" w:eastAsia="宋体" w:cs="宋体"/>
          <w:sz w:val="24"/>
        </w:rPr>
      </w:pPr>
      <w:r>
        <w:rPr>
          <w:rFonts w:hint="eastAsia" w:ascii="宋体" w:hAnsi="宋体" w:eastAsia="宋体" w:cs="宋体"/>
          <w:sz w:val="24"/>
        </w:rPr>
        <w:t xml:space="preserve">8.供应商对以上数据的真实性负责。</w:t>
      </w:r>
      <w:r>
        <w:rPr>
          <w:rFonts w:hint="eastAsia" w:ascii="宋体" w:hAnsi="宋体" w:eastAsia="宋体" w:cs="宋体"/>
          <w:sz w:val="24"/>
        </w:rPr>
      </w:r>
      <w:r/>
    </w:p>
    <w:p>
      <w:pPr>
        <w:pStyle w:val="1053"/>
        <w:ind w:firstLine="480"/>
        <w:rPr>
          <w:rFonts w:hint="eastAsia" w:ascii="宋体" w:hAnsi="宋体" w:eastAsia="宋体" w:cs="宋体"/>
          <w:sz w:val="24"/>
        </w:rPr>
      </w:pPr>
      <w:r>
        <w:rPr>
          <w:rFonts w:hint="eastAsia" w:ascii="宋体" w:hAnsi="宋体" w:eastAsia="宋体" w:cs="宋体"/>
          <w:sz w:val="24"/>
        </w:rPr>
        <w:t xml:space="preserve">9.采购人或采购代理机构有权将以上内容进行公示。</w:t>
      </w:r>
      <w:r>
        <w:rPr>
          <w:rFonts w:hint="eastAsia" w:ascii="宋体" w:hAnsi="宋体" w:eastAsia="宋体" w:cs="宋体"/>
          <w:sz w:val="24"/>
        </w:rPr>
      </w:r>
      <w:r/>
    </w:p>
    <w:p>
      <w:pPr>
        <w:pStyle w:val="1053"/>
        <w:rPr>
          <w:rFonts w:hint="eastAsia" w:ascii="宋体" w:hAnsi="宋体" w:eastAsia="宋体" w:cs="宋体"/>
        </w:rPr>
      </w:pPr>
      <w:r>
        <w:rPr>
          <w:rFonts w:hint="eastAsia" w:ascii="宋体" w:hAnsi="宋体" w:eastAsia="宋体" w:cs="宋体"/>
        </w:rPr>
      </w:r>
      <w:r/>
    </w:p>
    <w:p>
      <w:pPr>
        <w:pStyle w:val="1053"/>
        <w:jc w:val="center"/>
        <w:widowControl/>
        <w:rPr>
          <w:rFonts w:hint="eastAsia" w:ascii="宋体" w:hAnsi="宋体" w:eastAsia="宋体" w:cs="宋体"/>
          <w:b/>
          <w:sz w:val="24"/>
        </w:rPr>
        <w:sectPr>
          <w:footnotePr/>
          <w:endnotePr/>
          <w:type w:val="nextPage"/>
          <w:pgSz w:w="11906" w:h="16838" w:orient="portrait"/>
          <w:pgMar w:top="1440" w:right="1080" w:bottom="1440" w:left="1080" w:header="851" w:footer="992" w:gutter="0"/>
          <w:cols w:num="1" w:sep="0" w:space="1701" w:equalWidth="1"/>
          <w:docGrid w:linePitch="360"/>
        </w:sectPr>
      </w:pPr>
      <w:r>
        <w:rPr>
          <w:rFonts w:hint="eastAsia" w:ascii="宋体" w:hAnsi="宋体" w:eastAsia="宋体" w:cs="宋体"/>
          <w:b/>
          <w:sz w:val="24"/>
        </w:rPr>
      </w:r>
      <w:r/>
    </w:p>
    <w:p>
      <w:pPr>
        <w:pStyle w:val="1053"/>
        <w:jc w:val="center"/>
        <w:widowControl/>
        <w:rPr>
          <w:rFonts w:hint="eastAsia" w:ascii="宋体" w:hAnsi="宋体" w:eastAsia="宋体" w:cs="宋体"/>
          <w:b/>
          <w:sz w:val="24"/>
        </w:rPr>
      </w:pPr>
      <w:r>
        <w:rPr>
          <w:rFonts w:hint="eastAsia" w:ascii="宋体" w:hAnsi="宋体" w:eastAsia="宋体" w:cs="宋体"/>
          <w:b/>
          <w:sz w:val="24"/>
        </w:rPr>
        <w:t xml:space="preserve">（3）备品备件配置清单</w:t>
      </w:r>
      <w:r>
        <w:rPr>
          <w:rFonts w:hint="eastAsia" w:ascii="宋体" w:hAnsi="宋体" w:eastAsia="宋体" w:cs="宋体"/>
          <w:b/>
          <w:sz w:val="24"/>
        </w:rPr>
      </w:r>
      <w:r/>
    </w:p>
    <w:tbl>
      <w:tblPr>
        <w:tblW w:w="9725" w:type="dxa"/>
        <w:tblInd w:w="0"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242"/>
        <w:gridCol w:w="2037"/>
        <w:gridCol w:w="2373"/>
        <w:gridCol w:w="1748"/>
        <w:gridCol w:w="2325"/>
      </w:tblGrid>
      <w:tr>
        <w:trPr>
          <w:trHeight w:val="604"/>
        </w:trPr>
        <w:tc>
          <w:tcPr>
            <w:tcW w:w="1242" w:type="dxa"/>
            <w:vAlign w:val="center"/>
            <w:textDirection w:val="lrTb"/>
            <w:noWrap w:val="false"/>
          </w:tcPr>
          <w:p>
            <w:pPr>
              <w:pStyle w:val="1053"/>
              <w:ind w:right="-5"/>
              <w:jc w:val="center"/>
              <w:rPr>
                <w:rFonts w:hint="eastAsia" w:ascii="宋体" w:hAnsi="宋体" w:eastAsia="宋体" w:cs="宋体"/>
                <w:szCs w:val="21"/>
              </w:rPr>
            </w:pPr>
            <w:r>
              <w:rPr>
                <w:rFonts w:hint="eastAsia" w:ascii="宋体" w:hAnsi="宋体" w:eastAsia="宋体" w:cs="宋体"/>
                <w:szCs w:val="21"/>
              </w:rPr>
              <w:t xml:space="preserve">序号</w:t>
            </w:r>
            <w:r>
              <w:rPr>
                <w:rFonts w:hint="eastAsia" w:ascii="宋体" w:hAnsi="宋体" w:eastAsia="宋体" w:cs="宋体"/>
                <w:szCs w:val="21"/>
              </w:rPr>
            </w:r>
            <w:r/>
          </w:p>
        </w:tc>
        <w:tc>
          <w:tcPr>
            <w:tcW w:w="2037" w:type="dxa"/>
            <w:vAlign w:val="center"/>
            <w:textDirection w:val="lrTb"/>
            <w:noWrap w:val="false"/>
          </w:tcPr>
          <w:p>
            <w:pPr>
              <w:pStyle w:val="1053"/>
              <w:ind w:right="-5"/>
              <w:jc w:val="center"/>
              <w:tabs>
                <w:tab w:val="left" w:pos="972" w:leader="none"/>
              </w:tabs>
              <w:rPr>
                <w:rFonts w:hint="eastAsia" w:ascii="宋体" w:hAnsi="宋体" w:eastAsia="宋体" w:cs="宋体"/>
                <w:szCs w:val="21"/>
              </w:rPr>
            </w:pPr>
            <w:r>
              <w:rPr>
                <w:rFonts w:hint="eastAsia" w:ascii="宋体" w:hAnsi="宋体" w:eastAsia="宋体" w:cs="宋体"/>
                <w:szCs w:val="21"/>
              </w:rPr>
              <w:t xml:space="preserve">备品备件名称</w:t>
            </w:r>
            <w:r>
              <w:rPr>
                <w:rFonts w:hint="eastAsia" w:ascii="宋体" w:hAnsi="宋体" w:eastAsia="宋体" w:cs="宋体"/>
                <w:szCs w:val="21"/>
              </w:rPr>
            </w:r>
            <w:r/>
          </w:p>
        </w:tc>
        <w:tc>
          <w:tcPr>
            <w:tcW w:w="2373" w:type="dxa"/>
            <w:vAlign w:val="center"/>
            <w:textDirection w:val="lrTb"/>
            <w:noWrap w:val="false"/>
          </w:tcPr>
          <w:p>
            <w:pPr>
              <w:pStyle w:val="1053"/>
              <w:ind w:right="-5"/>
              <w:jc w:val="center"/>
              <w:rPr>
                <w:rFonts w:hint="eastAsia" w:ascii="宋体" w:hAnsi="宋体" w:eastAsia="宋体" w:cs="宋体"/>
                <w:szCs w:val="21"/>
              </w:rPr>
            </w:pPr>
            <w:r>
              <w:rPr>
                <w:rFonts w:hint="eastAsia" w:ascii="宋体" w:hAnsi="宋体" w:eastAsia="宋体" w:cs="宋体"/>
                <w:szCs w:val="21"/>
              </w:rPr>
              <w:t xml:space="preserve">型号及规格</w:t>
            </w:r>
            <w:r>
              <w:rPr>
                <w:rFonts w:hint="eastAsia" w:ascii="宋体" w:hAnsi="宋体" w:eastAsia="宋体" w:cs="宋体"/>
                <w:szCs w:val="21"/>
              </w:rPr>
            </w:r>
            <w:r/>
          </w:p>
        </w:tc>
        <w:tc>
          <w:tcPr>
            <w:tcW w:w="1748" w:type="dxa"/>
            <w:vAlign w:val="center"/>
            <w:textDirection w:val="lrTb"/>
            <w:noWrap w:val="false"/>
          </w:tcPr>
          <w:p>
            <w:pPr>
              <w:pStyle w:val="1053"/>
              <w:ind w:right="-5"/>
              <w:jc w:val="center"/>
              <w:rPr>
                <w:rFonts w:hint="eastAsia" w:ascii="宋体" w:hAnsi="宋体" w:eastAsia="宋体" w:cs="宋体"/>
                <w:szCs w:val="21"/>
              </w:rPr>
            </w:pPr>
            <w:r>
              <w:rPr>
                <w:rFonts w:hint="eastAsia" w:ascii="宋体" w:hAnsi="宋体" w:eastAsia="宋体" w:cs="宋体"/>
                <w:szCs w:val="21"/>
              </w:rPr>
              <w:t xml:space="preserve">单价（元）</w:t>
            </w:r>
            <w:r>
              <w:rPr>
                <w:rFonts w:hint="eastAsia" w:ascii="宋体" w:hAnsi="宋体" w:eastAsia="宋体" w:cs="宋体"/>
                <w:szCs w:val="21"/>
              </w:rPr>
            </w:r>
            <w:r/>
          </w:p>
        </w:tc>
        <w:tc>
          <w:tcPr>
            <w:tcW w:w="2325" w:type="dxa"/>
            <w:vAlign w:val="center"/>
            <w:textDirection w:val="lrTb"/>
            <w:noWrap w:val="false"/>
          </w:tcPr>
          <w:p>
            <w:pPr>
              <w:pStyle w:val="1053"/>
              <w:ind w:right="-5"/>
              <w:jc w:val="center"/>
              <w:rPr>
                <w:rFonts w:hint="eastAsia" w:ascii="宋体" w:hAnsi="宋体" w:eastAsia="宋体" w:cs="宋体"/>
                <w:szCs w:val="21"/>
              </w:rPr>
            </w:pPr>
            <w:r>
              <w:rPr>
                <w:rFonts w:hint="eastAsia" w:ascii="宋体" w:hAnsi="宋体" w:eastAsia="宋体" w:cs="宋体"/>
                <w:szCs w:val="21"/>
              </w:rPr>
              <w:t xml:space="preserve">备注（如外购请注明产地、制造商）</w:t>
            </w:r>
            <w:r>
              <w:rPr>
                <w:rFonts w:hint="eastAsia" w:ascii="宋体" w:hAnsi="宋体" w:eastAsia="宋体" w:cs="宋体"/>
                <w:szCs w:val="21"/>
              </w:rPr>
            </w:r>
            <w:r/>
          </w:p>
        </w:tc>
      </w:tr>
      <w:tr>
        <w:trPr>
          <w:trHeight w:val="604"/>
        </w:trPr>
        <w:tc>
          <w:tcPr>
            <w:tcW w:w="1242" w:type="dxa"/>
            <w:vAlign w:val="center"/>
            <w:textDirection w:val="lrTb"/>
            <w:noWrap w:val="false"/>
          </w:tcPr>
          <w:p>
            <w:pPr>
              <w:pStyle w:val="105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37" w:type="dxa"/>
            <w:vAlign w:val="center"/>
            <w:textDirection w:val="lrTb"/>
            <w:noWrap w:val="false"/>
          </w:tcPr>
          <w:p>
            <w:pPr>
              <w:pStyle w:val="105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373" w:type="dxa"/>
            <w:vAlign w:val="center"/>
            <w:textDirection w:val="lrTb"/>
            <w:noWrap w:val="false"/>
          </w:tcPr>
          <w:p>
            <w:pPr>
              <w:pStyle w:val="105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748" w:type="dxa"/>
            <w:vAlign w:val="top"/>
            <w:textDirection w:val="lrTb"/>
            <w:noWrap w:val="false"/>
          </w:tcPr>
          <w:p>
            <w:pPr>
              <w:pStyle w:val="1053"/>
              <w:ind w:right="-5"/>
              <w:jc w:val="center"/>
              <w:rPr>
                <w:rFonts w:hint="eastAsia" w:ascii="宋体" w:hAnsi="宋体" w:eastAsia="宋体" w:cs="宋体"/>
                <w:b/>
                <w:szCs w:val="21"/>
              </w:rPr>
            </w:pPr>
            <w:r>
              <w:rPr>
                <w:rFonts w:hint="eastAsia" w:ascii="宋体" w:hAnsi="宋体" w:eastAsia="宋体" w:cs="宋体"/>
                <w:b/>
                <w:szCs w:val="21"/>
              </w:rPr>
            </w:r>
            <w:r/>
          </w:p>
        </w:tc>
        <w:tc>
          <w:tcPr>
            <w:tcW w:w="2325" w:type="dxa"/>
            <w:vAlign w:val="top"/>
            <w:textDirection w:val="lrTb"/>
            <w:noWrap w:val="false"/>
          </w:tcPr>
          <w:p>
            <w:pPr>
              <w:pStyle w:val="105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5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037" w:type="dxa"/>
            <w:vAlign w:val="center"/>
            <w:textDirection w:val="lrTb"/>
            <w:noWrap w:val="false"/>
          </w:tcPr>
          <w:p>
            <w:pPr>
              <w:pStyle w:val="105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373" w:type="dxa"/>
            <w:vAlign w:val="center"/>
            <w:textDirection w:val="lrTb"/>
            <w:noWrap w:val="false"/>
          </w:tcPr>
          <w:p>
            <w:pPr>
              <w:pStyle w:val="105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748" w:type="dxa"/>
            <w:vAlign w:val="top"/>
            <w:textDirection w:val="lrTb"/>
            <w:noWrap w:val="false"/>
          </w:tcPr>
          <w:p>
            <w:pPr>
              <w:pStyle w:val="1053"/>
              <w:ind w:right="-5"/>
              <w:jc w:val="center"/>
              <w:rPr>
                <w:rFonts w:hint="eastAsia" w:ascii="宋体" w:hAnsi="宋体" w:eastAsia="宋体" w:cs="宋体"/>
                <w:b/>
                <w:szCs w:val="21"/>
              </w:rPr>
            </w:pPr>
            <w:r>
              <w:rPr>
                <w:rFonts w:hint="eastAsia" w:ascii="宋体" w:hAnsi="宋体" w:eastAsia="宋体" w:cs="宋体"/>
                <w:b/>
                <w:szCs w:val="21"/>
              </w:rPr>
            </w:r>
            <w:r/>
          </w:p>
        </w:tc>
        <w:tc>
          <w:tcPr>
            <w:tcW w:w="2325" w:type="dxa"/>
            <w:vAlign w:val="top"/>
            <w:textDirection w:val="lrTb"/>
            <w:noWrap w:val="false"/>
          </w:tcPr>
          <w:p>
            <w:pPr>
              <w:pStyle w:val="105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5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037" w:type="dxa"/>
            <w:vAlign w:val="center"/>
            <w:textDirection w:val="lrTb"/>
            <w:noWrap w:val="false"/>
          </w:tcPr>
          <w:p>
            <w:pPr>
              <w:pStyle w:val="105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373" w:type="dxa"/>
            <w:vAlign w:val="center"/>
            <w:textDirection w:val="lrTb"/>
            <w:noWrap w:val="false"/>
          </w:tcPr>
          <w:p>
            <w:pPr>
              <w:pStyle w:val="105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748" w:type="dxa"/>
            <w:vAlign w:val="top"/>
            <w:textDirection w:val="lrTb"/>
            <w:noWrap w:val="false"/>
          </w:tcPr>
          <w:p>
            <w:pPr>
              <w:pStyle w:val="1053"/>
              <w:ind w:right="-5"/>
              <w:jc w:val="center"/>
              <w:rPr>
                <w:rFonts w:hint="eastAsia" w:ascii="宋体" w:hAnsi="宋体" w:eastAsia="宋体" w:cs="宋体"/>
                <w:b/>
                <w:szCs w:val="21"/>
              </w:rPr>
            </w:pPr>
            <w:r>
              <w:rPr>
                <w:rFonts w:hint="eastAsia" w:ascii="宋体" w:hAnsi="宋体" w:eastAsia="宋体" w:cs="宋体"/>
                <w:b/>
                <w:szCs w:val="21"/>
              </w:rPr>
            </w:r>
            <w:r/>
          </w:p>
        </w:tc>
        <w:tc>
          <w:tcPr>
            <w:tcW w:w="2325" w:type="dxa"/>
            <w:vAlign w:val="top"/>
            <w:textDirection w:val="lrTb"/>
            <w:noWrap w:val="false"/>
          </w:tcPr>
          <w:p>
            <w:pPr>
              <w:pStyle w:val="105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5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037" w:type="dxa"/>
            <w:vAlign w:val="center"/>
            <w:textDirection w:val="lrTb"/>
            <w:noWrap w:val="false"/>
          </w:tcPr>
          <w:p>
            <w:pPr>
              <w:pStyle w:val="105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2373" w:type="dxa"/>
            <w:vAlign w:val="center"/>
            <w:textDirection w:val="lrTb"/>
            <w:noWrap w:val="false"/>
          </w:tcPr>
          <w:p>
            <w:pPr>
              <w:pStyle w:val="105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r>
            <w:r/>
          </w:p>
        </w:tc>
        <w:tc>
          <w:tcPr>
            <w:tcW w:w="1748" w:type="dxa"/>
            <w:vAlign w:val="top"/>
            <w:textDirection w:val="lrTb"/>
            <w:noWrap w:val="false"/>
          </w:tcPr>
          <w:p>
            <w:pPr>
              <w:pStyle w:val="1053"/>
              <w:ind w:right="-5"/>
              <w:jc w:val="center"/>
              <w:rPr>
                <w:rFonts w:hint="eastAsia" w:ascii="宋体" w:hAnsi="宋体" w:eastAsia="宋体" w:cs="宋体"/>
                <w:b/>
                <w:szCs w:val="21"/>
              </w:rPr>
            </w:pPr>
            <w:r>
              <w:rPr>
                <w:rFonts w:hint="eastAsia" w:ascii="宋体" w:hAnsi="宋体" w:eastAsia="宋体" w:cs="宋体"/>
                <w:b/>
                <w:szCs w:val="21"/>
              </w:rPr>
            </w:r>
            <w:r/>
          </w:p>
        </w:tc>
        <w:tc>
          <w:tcPr>
            <w:tcW w:w="2325" w:type="dxa"/>
            <w:vAlign w:val="top"/>
            <w:textDirection w:val="lrTb"/>
            <w:noWrap w:val="false"/>
          </w:tcPr>
          <w:p>
            <w:pPr>
              <w:pStyle w:val="105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center"/>
            <w:textDirection w:val="lrTb"/>
            <w:noWrap w:val="false"/>
          </w:tcPr>
          <w:p>
            <w:pPr>
              <w:pStyle w:val="1053"/>
              <w:jc w:val="center"/>
              <w:spacing w:before="0" w:after="0" w:line="240" w:lineRule="auto"/>
              <w:widowControl/>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2037" w:type="dxa"/>
            <w:vAlign w:val="center"/>
            <w:textDirection w:val="lrTb"/>
            <w:noWrap w:val="false"/>
          </w:tcPr>
          <w:p>
            <w:pPr>
              <w:pStyle w:val="1053"/>
              <w:ind w:right="-5"/>
              <w:jc w:val="center"/>
              <w:tabs>
                <w:tab w:val="left" w:pos="972" w:leader="none"/>
              </w:tabs>
              <w:rPr>
                <w:rFonts w:ascii="宋体" w:hAnsi="宋体" w:eastAsia="宋体" w:cs="宋体"/>
                <w:b/>
                <w:szCs w:val="21"/>
              </w:rPr>
            </w:pPr>
            <w:r>
              <w:rPr>
                <w:rFonts w:ascii="宋体" w:hAnsi="宋体" w:eastAsia="宋体" w:cs="宋体"/>
                <w:b/>
                <w:szCs w:val="21"/>
              </w:rPr>
            </w:r>
            <w:r/>
          </w:p>
        </w:tc>
        <w:tc>
          <w:tcPr>
            <w:tcW w:w="2373" w:type="dxa"/>
            <w:vAlign w:val="top"/>
            <w:textDirection w:val="lrTb"/>
            <w:noWrap w:val="false"/>
          </w:tcPr>
          <w:p>
            <w:pPr>
              <w:pStyle w:val="1053"/>
              <w:ind w:right="-5"/>
              <w:jc w:val="center"/>
              <w:rPr>
                <w:rFonts w:hint="eastAsia" w:ascii="宋体" w:hAnsi="宋体" w:eastAsia="宋体" w:cs="宋体"/>
                <w:b/>
                <w:szCs w:val="21"/>
              </w:rPr>
            </w:pPr>
            <w:r>
              <w:rPr>
                <w:rFonts w:hint="eastAsia" w:ascii="宋体" w:hAnsi="宋体" w:eastAsia="宋体" w:cs="宋体"/>
                <w:b/>
                <w:szCs w:val="21"/>
              </w:rPr>
            </w:r>
            <w:r/>
          </w:p>
        </w:tc>
        <w:tc>
          <w:tcPr>
            <w:tcW w:w="1748" w:type="dxa"/>
            <w:vAlign w:val="top"/>
            <w:textDirection w:val="lrTb"/>
            <w:noWrap w:val="false"/>
          </w:tcPr>
          <w:p>
            <w:pPr>
              <w:pStyle w:val="1053"/>
              <w:ind w:right="-5"/>
              <w:jc w:val="center"/>
              <w:rPr>
                <w:rFonts w:hint="eastAsia" w:ascii="宋体" w:hAnsi="宋体" w:eastAsia="宋体" w:cs="宋体"/>
                <w:b/>
                <w:szCs w:val="21"/>
              </w:rPr>
            </w:pPr>
            <w:r>
              <w:rPr>
                <w:rFonts w:hint="eastAsia" w:ascii="宋体" w:hAnsi="宋体" w:eastAsia="宋体" w:cs="宋体"/>
                <w:b/>
                <w:szCs w:val="21"/>
              </w:rPr>
            </w:r>
            <w:r/>
          </w:p>
        </w:tc>
        <w:tc>
          <w:tcPr>
            <w:tcW w:w="2325" w:type="dxa"/>
            <w:vAlign w:val="top"/>
            <w:textDirection w:val="lrTb"/>
            <w:noWrap w:val="false"/>
          </w:tcPr>
          <w:p>
            <w:pPr>
              <w:pStyle w:val="1053"/>
              <w:ind w:right="-5"/>
              <w:rPr>
                <w:rFonts w:hint="eastAsia" w:ascii="宋体" w:hAnsi="宋体" w:eastAsia="宋体" w:cs="宋体"/>
                <w:b/>
                <w:szCs w:val="21"/>
              </w:rPr>
            </w:pPr>
            <w:r>
              <w:rPr>
                <w:rFonts w:hint="eastAsia" w:ascii="宋体" w:hAnsi="宋体" w:eastAsia="宋体" w:cs="宋体"/>
                <w:b/>
                <w:szCs w:val="21"/>
              </w:rPr>
            </w:r>
            <w:r/>
          </w:p>
        </w:tc>
      </w:tr>
      <w:tr>
        <w:trPr>
          <w:trHeight w:val="604"/>
        </w:trPr>
        <w:tc>
          <w:tcPr>
            <w:tcW w:w="1242" w:type="dxa"/>
            <w:vAlign w:val="top"/>
            <w:textDirection w:val="lrTb"/>
            <w:noWrap w:val="false"/>
          </w:tcPr>
          <w:p>
            <w:pPr>
              <w:pStyle w:val="1053"/>
              <w:ind w:right="-5"/>
              <w:rPr>
                <w:rFonts w:hint="eastAsia" w:ascii="宋体" w:hAnsi="宋体" w:eastAsia="宋体" w:cs="宋体"/>
                <w:b/>
                <w:szCs w:val="21"/>
              </w:rPr>
            </w:pPr>
            <w:r>
              <w:rPr>
                <w:rFonts w:hint="eastAsia" w:ascii="宋体" w:hAnsi="宋体" w:eastAsia="宋体" w:cs="宋体"/>
                <w:b/>
                <w:szCs w:val="21"/>
              </w:rPr>
            </w:r>
            <w:r/>
          </w:p>
        </w:tc>
        <w:tc>
          <w:tcPr>
            <w:tcW w:w="2037" w:type="dxa"/>
            <w:vAlign w:val="top"/>
            <w:textDirection w:val="lrTb"/>
            <w:noWrap w:val="false"/>
          </w:tcPr>
          <w:p>
            <w:pPr>
              <w:pStyle w:val="1053"/>
              <w:ind w:right="-5"/>
              <w:tabs>
                <w:tab w:val="left" w:pos="972" w:leader="none"/>
              </w:tabs>
              <w:rPr>
                <w:rFonts w:hint="eastAsia" w:ascii="宋体" w:hAnsi="宋体" w:eastAsia="宋体" w:cs="宋体"/>
                <w:b/>
                <w:szCs w:val="21"/>
              </w:rPr>
            </w:pPr>
            <w:r>
              <w:rPr>
                <w:rFonts w:hint="eastAsia" w:ascii="宋体" w:hAnsi="宋体" w:eastAsia="宋体" w:cs="宋体"/>
                <w:b/>
                <w:szCs w:val="21"/>
              </w:rPr>
            </w:r>
            <w:r/>
          </w:p>
        </w:tc>
        <w:tc>
          <w:tcPr>
            <w:tcW w:w="2373" w:type="dxa"/>
            <w:vAlign w:val="top"/>
            <w:textDirection w:val="lrTb"/>
            <w:noWrap w:val="false"/>
          </w:tcPr>
          <w:p>
            <w:pPr>
              <w:pStyle w:val="1053"/>
              <w:ind w:right="-5"/>
              <w:jc w:val="center"/>
              <w:rPr>
                <w:rFonts w:hint="eastAsia" w:ascii="宋体" w:hAnsi="宋体" w:eastAsia="宋体" w:cs="宋体"/>
                <w:b/>
                <w:szCs w:val="21"/>
              </w:rPr>
            </w:pPr>
            <w:r>
              <w:rPr>
                <w:rFonts w:hint="eastAsia" w:ascii="宋体" w:hAnsi="宋体" w:eastAsia="宋体" w:cs="宋体"/>
                <w:b/>
                <w:szCs w:val="21"/>
              </w:rPr>
            </w:r>
            <w:r/>
          </w:p>
        </w:tc>
        <w:tc>
          <w:tcPr>
            <w:tcW w:w="1748" w:type="dxa"/>
            <w:vAlign w:val="top"/>
            <w:textDirection w:val="lrTb"/>
            <w:noWrap w:val="false"/>
          </w:tcPr>
          <w:p>
            <w:pPr>
              <w:pStyle w:val="1053"/>
              <w:ind w:right="-5"/>
              <w:jc w:val="center"/>
              <w:rPr>
                <w:rFonts w:hint="eastAsia" w:ascii="宋体" w:hAnsi="宋体" w:eastAsia="宋体" w:cs="宋体"/>
                <w:b/>
                <w:szCs w:val="21"/>
              </w:rPr>
            </w:pPr>
            <w:r>
              <w:rPr>
                <w:rFonts w:hint="eastAsia" w:ascii="宋体" w:hAnsi="宋体" w:eastAsia="宋体" w:cs="宋体"/>
                <w:b/>
                <w:szCs w:val="21"/>
              </w:rPr>
            </w:r>
            <w:r/>
          </w:p>
        </w:tc>
        <w:tc>
          <w:tcPr>
            <w:tcW w:w="2325" w:type="dxa"/>
            <w:vAlign w:val="top"/>
            <w:textDirection w:val="lrTb"/>
            <w:noWrap w:val="false"/>
          </w:tcPr>
          <w:p>
            <w:pPr>
              <w:pStyle w:val="1053"/>
              <w:ind w:right="-5"/>
              <w:rPr>
                <w:rFonts w:hint="eastAsia" w:ascii="宋体" w:hAnsi="宋体" w:eastAsia="宋体" w:cs="宋体"/>
                <w:b/>
                <w:szCs w:val="21"/>
              </w:rPr>
            </w:pPr>
            <w:r>
              <w:rPr>
                <w:rFonts w:hint="eastAsia" w:ascii="宋体" w:hAnsi="宋体" w:eastAsia="宋体" w:cs="宋体"/>
                <w:b/>
                <w:szCs w:val="21"/>
              </w:rPr>
            </w:r>
            <w:r/>
          </w:p>
        </w:tc>
      </w:tr>
    </w:tbl>
    <w:p>
      <w:pPr>
        <w:pStyle w:val="1053"/>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5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（5）中小企业声明函（货物类）</w:t>
      </w:r>
      <w:r>
        <w:rPr>
          <w:rFonts w:hint="eastAsia" w:ascii="宋体" w:hAnsi="宋体" w:eastAsia="宋体" w:cs="宋体"/>
          <w:b/>
          <w:sz w:val="24"/>
          <w:szCs w:val="24"/>
        </w:rPr>
      </w:r>
      <w:r/>
    </w:p>
    <w:p>
      <w:pPr>
        <w:pStyle w:val="1053"/>
        <w:ind w:firstLine="480"/>
        <w:spacing w:line="440" w:lineRule="exact"/>
        <w:rPr>
          <w:rFonts w:hint="eastAsia" w:ascii="宋体" w:hAnsi="宋体" w:eastAsia="宋体" w:cs="宋体"/>
          <w:sz w:val="24"/>
        </w:rPr>
      </w:pPr>
      <w:r>
        <w:rPr>
          <w:rFonts w:hint="eastAsia" w:ascii="宋体" w:hAnsi="宋体" w:eastAsia="宋体" w:cs="宋体"/>
          <w:sz w:val="24"/>
        </w:rPr>
        <w:t xml:space="preserve">本公司郑重声明，根据《政府采购促进中小企业发展管理办法》（财库﹝2020﹞46 号）的规定，本公司参加</w:t>
      </w:r>
      <w:r>
        <w:rPr>
          <w:rFonts w:hint="eastAsia" w:ascii="宋体" w:hAnsi="宋体" w:eastAsia="宋体" w:cs="宋体"/>
          <w:sz w:val="24"/>
          <w:u w:val="single"/>
        </w:rPr>
        <w:t xml:space="preserve">（单位名称）</w:t>
      </w:r>
      <w:r>
        <w:rPr>
          <w:rFonts w:hint="eastAsia" w:ascii="宋体" w:hAnsi="宋体" w:eastAsia="宋体" w:cs="宋体"/>
          <w:sz w:val="24"/>
        </w:rPr>
        <w:t xml:space="preserve">的</w:t>
      </w:r>
      <w:r>
        <w:rPr>
          <w:rFonts w:hint="eastAsia" w:ascii="宋体" w:hAnsi="宋体" w:eastAsia="宋体" w:cs="宋体"/>
          <w:sz w:val="24"/>
          <w:u w:val="single"/>
        </w:rPr>
        <w:t xml:space="preserve">（项目名称）</w:t>
      </w:r>
      <w:r>
        <w:rPr>
          <w:rFonts w:hint="eastAsia" w:ascii="宋体" w:hAnsi="宋体" w:eastAsia="宋体" w:cs="宋体"/>
          <w:sz w:val="24"/>
        </w:rPr>
        <w:t xml:space="preserve">采购活动，</w:t>
      </w:r>
      <w:r>
        <w:rPr>
          <w:rFonts w:hint="eastAsia" w:ascii="宋体" w:hAnsi="宋体" w:eastAsia="宋体" w:cs="宋体"/>
          <w:b/>
          <w:bCs/>
          <w:sz w:val="24"/>
        </w:rPr>
        <w:t xml:space="preserve">提供的货物全部由符合政策要求的中小企业制造</w:t>
      </w:r>
      <w:r>
        <w:rPr>
          <w:rFonts w:hint="eastAsia" w:ascii="宋体" w:hAnsi="宋体" w:eastAsia="宋体" w:cs="宋体"/>
          <w:sz w:val="24"/>
        </w:rPr>
        <w:t xml:space="preserve">。相关企业（含联合体中的中小企业、签订分包意向协议的中小企业）的具体情况如下： </w:t>
      </w:r>
      <w:r>
        <w:rPr>
          <w:rFonts w:hint="eastAsia" w:ascii="宋体" w:hAnsi="宋体" w:eastAsia="宋体" w:cs="宋体"/>
          <w:sz w:val="24"/>
        </w:rPr>
      </w:r>
      <w:r/>
    </w:p>
    <w:p>
      <w:pPr>
        <w:pStyle w:val="1053"/>
        <w:ind w:firstLine="480"/>
        <w:spacing w:line="440" w:lineRule="exact"/>
        <w:rPr>
          <w:rFonts w:hint="eastAsia" w:ascii="宋体" w:hAnsi="宋体" w:eastAsia="宋体" w:cs="宋体"/>
          <w:sz w:val="24"/>
        </w:rPr>
      </w:pPr>
      <w:r>
        <w:rPr>
          <w:rFonts w:hint="eastAsia" w:ascii="宋体" w:hAnsi="宋体" w:eastAsia="宋体" w:cs="宋体"/>
          <w:sz w:val="24"/>
        </w:rPr>
        <w:t xml:space="preserve">1.</w:t>
      </w:r>
      <w:r>
        <w:rPr>
          <w:rFonts w:hint="eastAsia" w:ascii="宋体" w:hAnsi="宋体" w:eastAsia="宋体" w:cs="宋体"/>
          <w:sz w:val="24"/>
          <w:u w:val="single"/>
        </w:rPr>
        <w:t xml:space="preserve">（标的名称）</w:t>
      </w:r>
      <w:r>
        <w:rPr>
          <w:rFonts w:hint="eastAsia" w:ascii="宋体" w:hAnsi="宋体" w:eastAsia="宋体" w:cs="宋体"/>
          <w:sz w:val="24"/>
        </w:rPr>
        <w:t xml:space="preserve">，属于</w:t>
      </w:r>
      <w:r>
        <w:rPr>
          <w:rFonts w:hint="eastAsia" w:ascii="宋体" w:hAnsi="宋体" w:eastAsia="宋体" w:cs="宋体"/>
          <w:sz w:val="24"/>
          <w:u w:val="single"/>
        </w:rPr>
        <w:t xml:space="preserve">（招标文件中明确的所属行业） </w:t>
      </w:r>
      <w:r>
        <w:rPr>
          <w:rFonts w:hint="eastAsia" w:ascii="宋体" w:hAnsi="宋体" w:eastAsia="宋体" w:cs="宋体"/>
          <w:sz w:val="24"/>
        </w:rPr>
        <w:t xml:space="preserve">行业；制造商为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rPr>
          <w:rFonts w:hint="eastAsia" w:ascii="宋体" w:hAnsi="宋体" w:eastAsia="宋体" w:cs="宋体"/>
          <w:sz w:val="24"/>
        </w:rPr>
      </w:r>
      <w:r/>
    </w:p>
    <w:p>
      <w:pPr>
        <w:pStyle w:val="1053"/>
        <w:ind w:firstLine="480"/>
        <w:spacing w:line="440" w:lineRule="exact"/>
        <w:rPr>
          <w:rFonts w:hint="eastAsia" w:ascii="宋体" w:hAnsi="宋体" w:eastAsia="宋体" w:cs="宋体"/>
          <w:sz w:val="24"/>
        </w:rPr>
      </w:pPr>
      <w:r>
        <w:rPr>
          <w:rFonts w:hint="eastAsia" w:ascii="宋体" w:hAnsi="宋体" w:eastAsia="宋体" w:cs="宋体"/>
          <w:sz w:val="24"/>
        </w:rPr>
        <w:t xml:space="preserve">2.</w:t>
      </w:r>
      <w:r>
        <w:rPr>
          <w:rFonts w:hint="eastAsia" w:ascii="宋体" w:hAnsi="宋体" w:eastAsia="宋体" w:cs="宋体"/>
          <w:sz w:val="24"/>
          <w:u w:val="single"/>
        </w:rPr>
        <w:t xml:space="preserve">（标的名称）</w:t>
      </w:r>
      <w:r>
        <w:rPr>
          <w:rFonts w:hint="eastAsia" w:ascii="宋体" w:hAnsi="宋体" w:eastAsia="宋体" w:cs="宋体"/>
          <w:sz w:val="24"/>
        </w:rPr>
        <w:t xml:space="preserve">，属于（招标文件中明确的所属行业） 行业；制造商为</w:t>
      </w:r>
      <w:r>
        <w:rPr>
          <w:rFonts w:hint="eastAsia" w:ascii="宋体" w:hAnsi="宋体" w:eastAsia="宋体" w:cs="宋体"/>
          <w:sz w:val="24"/>
          <w:u w:val="single"/>
        </w:rPr>
        <w:t xml:space="preserve">（企业名称）</w:t>
      </w:r>
      <w:r>
        <w:rPr>
          <w:rFonts w:hint="eastAsia" w:ascii="宋体" w:hAnsi="宋体" w:eastAsia="宋体" w:cs="宋体"/>
          <w:sz w:val="24"/>
        </w:rPr>
        <w:t xml:space="preserve">，从业人员</w:t>
      </w:r>
      <w:r>
        <w:rPr>
          <w:rFonts w:hint="eastAsia" w:ascii="宋体" w:hAnsi="宋体" w:eastAsia="宋体" w:cs="宋体"/>
          <w:sz w:val="24"/>
          <w:u w:val="single"/>
        </w:rPr>
        <w:t xml:space="preserve">     </w:t>
      </w:r>
      <w:r>
        <w:rPr>
          <w:rFonts w:hint="eastAsia" w:ascii="宋体" w:hAnsi="宋体" w:eastAsia="宋体" w:cs="宋体"/>
          <w:sz w:val="24"/>
        </w:rPr>
        <w:t xml:space="preserve">人，营业收入为</w:t>
      </w:r>
      <w:r>
        <w:rPr>
          <w:rFonts w:hint="eastAsia" w:ascii="宋体" w:hAnsi="宋体" w:eastAsia="宋体" w:cs="宋体"/>
          <w:sz w:val="24"/>
          <w:u w:val="single"/>
        </w:rPr>
        <w:t xml:space="preserve">     </w:t>
      </w:r>
      <w:r>
        <w:rPr>
          <w:rFonts w:hint="eastAsia" w:ascii="宋体" w:hAnsi="宋体" w:eastAsia="宋体" w:cs="宋体"/>
          <w:sz w:val="24"/>
        </w:rPr>
        <w:t xml:space="preserve">万元，资产总额为</w:t>
      </w:r>
      <w:r>
        <w:rPr>
          <w:rFonts w:hint="eastAsia" w:ascii="宋体" w:hAnsi="宋体" w:eastAsia="宋体" w:cs="宋体"/>
          <w:sz w:val="24"/>
          <w:u w:val="single"/>
        </w:rPr>
        <w:t xml:space="preserve">    </w:t>
      </w:r>
      <w:r>
        <w:rPr>
          <w:rFonts w:hint="eastAsia" w:ascii="宋体" w:hAnsi="宋体" w:eastAsia="宋体" w:cs="宋体"/>
          <w:sz w:val="24"/>
        </w:rPr>
        <w:t xml:space="preserve">万元，属于</w:t>
      </w:r>
      <w:r>
        <w:rPr>
          <w:rFonts w:hint="eastAsia" w:ascii="宋体" w:hAnsi="宋体" w:eastAsia="宋体" w:cs="宋体"/>
          <w:sz w:val="24"/>
          <w:u w:val="single"/>
        </w:rPr>
        <w:t xml:space="preserve">（中型企业、小型企业、微型企业）</w:t>
      </w:r>
      <w:r>
        <w:rPr>
          <w:rFonts w:hint="eastAsia" w:ascii="宋体" w:hAnsi="宋体" w:eastAsia="宋体" w:cs="宋体"/>
          <w:sz w:val="24"/>
        </w:rPr>
        <w:t xml:space="preserve">；</w:t>
      </w:r>
      <w:r>
        <w:rPr>
          <w:rFonts w:hint="eastAsia" w:ascii="宋体" w:hAnsi="宋体" w:eastAsia="宋体" w:cs="宋体"/>
          <w:sz w:val="24"/>
        </w:rPr>
      </w:r>
      <w:r/>
    </w:p>
    <w:p>
      <w:pPr>
        <w:pStyle w:val="1053"/>
        <w:ind w:firstLine="480"/>
        <w:spacing w:line="440" w:lineRule="exact"/>
        <w:rPr>
          <w:rFonts w:hint="eastAsia" w:ascii="宋体" w:hAnsi="宋体" w:eastAsia="宋体" w:cs="宋体"/>
          <w:sz w:val="24"/>
        </w:rPr>
      </w:pPr>
      <w:r>
        <w:rPr>
          <w:rFonts w:hint="eastAsia" w:ascii="宋体" w:hAnsi="宋体" w:eastAsia="宋体" w:cs="宋体"/>
          <w:sz w:val="24"/>
        </w:rPr>
        <w:t xml:space="preserve">……</w:t>
      </w:r>
      <w:r>
        <w:rPr>
          <w:rFonts w:hint="eastAsia" w:ascii="宋体" w:hAnsi="宋体" w:eastAsia="宋体" w:cs="宋体"/>
          <w:sz w:val="24"/>
        </w:rPr>
      </w:r>
      <w:r/>
    </w:p>
    <w:p>
      <w:pPr>
        <w:pStyle w:val="1053"/>
        <w:ind w:firstLine="480"/>
        <w:spacing w:line="440" w:lineRule="exact"/>
        <w:rPr>
          <w:rFonts w:hint="eastAsia" w:ascii="宋体" w:hAnsi="宋体" w:eastAsia="宋体" w:cs="宋体"/>
          <w:sz w:val="24"/>
        </w:rPr>
      </w:pPr>
      <w:r>
        <w:rPr>
          <w:rFonts w:hint="eastAsia" w:ascii="宋体" w:hAnsi="宋体" w:eastAsia="宋体" w:cs="宋体"/>
          <w:sz w:val="24"/>
        </w:rPr>
        <w:t xml:space="preserve">以上企业，不属于大企业的分支机构，不存在控股股东为大企业的情形，也不存在与大企业的负责人为同一人的情形。 </w:t>
      </w:r>
      <w:r>
        <w:rPr>
          <w:rFonts w:hint="eastAsia" w:ascii="宋体" w:hAnsi="宋体" w:eastAsia="宋体" w:cs="宋体"/>
          <w:sz w:val="24"/>
        </w:rPr>
      </w:r>
      <w:r/>
    </w:p>
    <w:p>
      <w:pPr>
        <w:pStyle w:val="1053"/>
        <w:ind w:firstLine="482"/>
        <w:spacing w:line="440" w:lineRule="exact"/>
        <w:rPr>
          <w:rFonts w:hint="eastAsia" w:ascii="宋体" w:hAnsi="宋体" w:eastAsia="宋体" w:cs="宋体"/>
          <w:b/>
          <w:bCs/>
          <w:sz w:val="24"/>
        </w:rPr>
      </w:pPr>
      <w:r>
        <w:rPr>
          <w:rFonts w:hint="eastAsia" w:ascii="宋体" w:hAnsi="宋体" w:eastAsia="宋体" w:cs="宋体"/>
          <w:b/>
          <w:bCs/>
          <w:sz w:val="24"/>
        </w:rPr>
        <w:t xml:space="preserve">本企业对上述声明内容的真实性负责。如有虚假，将依法承担相应责任。 </w:t>
      </w:r>
      <w:r>
        <w:rPr>
          <w:rFonts w:hint="eastAsia" w:ascii="宋体" w:hAnsi="宋体" w:eastAsia="宋体" w:cs="宋体"/>
          <w:b/>
          <w:bCs/>
          <w:sz w:val="24"/>
        </w:rPr>
      </w:r>
      <w:r/>
    </w:p>
    <w:p>
      <w:pPr>
        <w:pStyle w:val="1053"/>
        <w:ind w:firstLine="420"/>
        <w:spacing w:line="440" w:lineRule="exact"/>
        <w:rPr>
          <w:rFonts w:hint="eastAsia" w:ascii="宋体" w:hAnsi="宋体" w:eastAsia="宋体" w:cs="宋体"/>
          <w:sz w:val="24"/>
        </w:rPr>
      </w:pPr>
      <w:r>
        <w:rPr>
          <w:rFonts w:hint="eastAsia" w:ascii="宋体" w:hAnsi="宋体" w:eastAsia="宋体" w:cs="宋体"/>
          <w:sz w:val="24"/>
        </w:rPr>
      </w:r>
      <w:r/>
    </w:p>
    <w:p>
      <w:pPr>
        <w:pStyle w:val="1053"/>
        <w:ind w:firstLine="420"/>
        <w:spacing w:line="440" w:lineRule="exact"/>
        <w:rPr>
          <w:rFonts w:hint="eastAsia" w:ascii="宋体" w:hAnsi="宋体" w:eastAsia="宋体" w:cs="宋体"/>
          <w:sz w:val="24"/>
        </w:rPr>
      </w:pPr>
      <w:r>
        <w:rPr>
          <w:rFonts w:hint="eastAsia" w:ascii="宋体" w:hAnsi="宋体" w:eastAsia="宋体" w:cs="宋体"/>
          <w:sz w:val="24"/>
        </w:rPr>
        <w:t xml:space="preserve">投标人名称（公章）：</w:t>
      </w:r>
      <w:r>
        <w:rPr>
          <w:rFonts w:hint="eastAsia" w:ascii="宋体" w:hAnsi="宋体" w:eastAsia="宋体" w:cs="宋体"/>
          <w:sz w:val="24"/>
        </w:rPr>
      </w:r>
      <w:r/>
    </w:p>
    <w:p>
      <w:pPr>
        <w:pStyle w:val="1053"/>
        <w:ind w:firstLine="420"/>
        <w:spacing w:line="440" w:lineRule="exact"/>
        <w:rPr>
          <w:rFonts w:hint="eastAsia" w:ascii="宋体" w:hAnsi="宋体" w:eastAsia="宋体" w:cs="宋体"/>
          <w:sz w:val="32"/>
          <w:szCs w:val="32"/>
        </w:rPr>
      </w:pPr>
      <w:r>
        <w:rPr>
          <w:rFonts w:hint="eastAsia" w:ascii="宋体" w:hAnsi="宋体" w:eastAsia="宋体" w:cs="宋体"/>
          <w:sz w:val="24"/>
        </w:rPr>
        <w:t xml:space="preserve">日期：  年  月  日</w:t>
      </w:r>
      <w:r>
        <w:rPr>
          <w:rFonts w:hint="eastAsia" w:ascii="宋体" w:hAnsi="宋体" w:eastAsia="宋体" w:cs="宋体"/>
          <w:sz w:val="32"/>
          <w:szCs w:val="32"/>
        </w:rPr>
      </w:r>
      <w:r/>
    </w:p>
    <w:p>
      <w:pPr>
        <w:pStyle w:val="1053"/>
        <w:rPr>
          <w:rFonts w:hint="eastAsia" w:ascii="宋体" w:hAnsi="宋体" w:eastAsia="宋体" w:cs="宋体"/>
          <w:b/>
          <w:szCs w:val="21"/>
        </w:rPr>
      </w:pPr>
      <w:r>
        <w:rPr>
          <w:rFonts w:hint="eastAsia" w:ascii="宋体" w:hAnsi="宋体" w:eastAsia="宋体" w:cs="宋体"/>
          <w:b/>
          <w:szCs w:val="21"/>
        </w:rPr>
      </w:r>
      <w:r/>
    </w:p>
    <w:p>
      <w:pPr>
        <w:pStyle w:val="1053"/>
        <w:rPr>
          <w:rFonts w:hint="eastAsia" w:ascii="宋体" w:hAnsi="宋体" w:eastAsia="宋体" w:cs="宋体"/>
          <w:b/>
          <w:sz w:val="22"/>
          <w:szCs w:val="22"/>
        </w:rPr>
      </w:pPr>
      <w:r>
        <w:rPr>
          <w:rFonts w:hint="eastAsia" w:ascii="宋体" w:hAnsi="宋体" w:eastAsia="宋体" w:cs="宋体"/>
          <w:b/>
          <w:sz w:val="22"/>
          <w:szCs w:val="22"/>
        </w:rPr>
        <w:t xml:space="preserve">注：1、从业人员、营业收入、资产总额填报上一年度数据，无上一年度数据的新成立企业可不填报。</w:t>
      </w:r>
      <w:r>
        <w:rPr>
          <w:rFonts w:hint="eastAsia" w:ascii="宋体" w:hAnsi="宋体" w:eastAsia="宋体" w:cs="宋体"/>
          <w:b/>
          <w:sz w:val="22"/>
          <w:szCs w:val="22"/>
        </w:rPr>
      </w:r>
      <w:r/>
    </w:p>
    <w:p>
      <w:pPr>
        <w:pStyle w:val="1053"/>
        <w:rPr>
          <w:rFonts w:hint="eastAsia" w:ascii="宋体" w:hAnsi="宋体" w:eastAsia="宋体" w:cs="宋体"/>
          <w:b/>
          <w:sz w:val="22"/>
          <w:szCs w:val="22"/>
        </w:rPr>
      </w:pPr>
      <w:r>
        <w:rPr>
          <w:rFonts w:hint="eastAsia" w:ascii="宋体" w:hAnsi="宋体" w:eastAsia="宋体" w:cs="宋体"/>
          <w:b/>
          <w:sz w:val="22"/>
          <w:szCs w:val="22"/>
        </w:rPr>
        <w:t xml:space="preserve">2、上述“相关企业”含联合体中的中小企业、签订分包意向协议的中小企业；</w:t>
      </w:r>
      <w:r>
        <w:rPr>
          <w:rFonts w:hint="eastAsia" w:ascii="宋体" w:hAnsi="宋体" w:eastAsia="宋体" w:cs="宋体"/>
          <w:b/>
          <w:sz w:val="22"/>
          <w:szCs w:val="22"/>
        </w:rPr>
      </w:r>
      <w:r/>
    </w:p>
    <w:p>
      <w:pPr>
        <w:pStyle w:val="1053"/>
        <w:rPr>
          <w:rFonts w:hint="eastAsia" w:ascii="宋体" w:hAnsi="宋体" w:eastAsia="宋体" w:cs="宋体"/>
          <w:b/>
          <w:sz w:val="22"/>
          <w:szCs w:val="22"/>
        </w:rPr>
      </w:pPr>
      <w:r>
        <w:rPr>
          <w:rFonts w:hint="eastAsia" w:ascii="宋体" w:hAnsi="宋体" w:eastAsia="宋体" w:cs="宋体"/>
          <w:b/>
          <w:sz w:val="22"/>
          <w:szCs w:val="22"/>
        </w:rPr>
        <w:t xml:space="preserve">3、供应商不得修改中小企业声明函格式，须列明全部货物制造商信息，未按上述要求提供声明函的，价格将不做相应扣除。</w:t>
      </w:r>
      <w:r>
        <w:rPr>
          <w:rFonts w:hint="eastAsia" w:ascii="宋体" w:hAnsi="宋体" w:eastAsia="宋体" w:cs="宋体"/>
          <w:b/>
          <w:sz w:val="22"/>
          <w:szCs w:val="22"/>
        </w:rPr>
      </w:r>
      <w:r/>
    </w:p>
    <w:p>
      <w:pPr>
        <w:pStyle w:val="1053"/>
        <w:rPr>
          <w:rFonts w:hint="eastAsia" w:ascii="宋体" w:hAnsi="宋体" w:eastAsia="宋体" w:cs="宋体"/>
          <w:b/>
          <w:sz w:val="22"/>
          <w:szCs w:val="22"/>
        </w:rPr>
      </w:pPr>
      <w:r>
        <w:rPr>
          <w:rFonts w:hint="eastAsia" w:ascii="宋体" w:hAnsi="宋体" w:eastAsia="宋体" w:cs="宋体"/>
          <w:b/>
          <w:sz w:val="22"/>
          <w:szCs w:val="22"/>
        </w:rPr>
        <w:t xml:space="preserve">4、供应商对以上数据的真实性负责，中标供应商如享受本项目小微企业扶持政策的，其《中小企业声明函》将随本项目的中标结果同时公告，接受社会监督。</w:t>
      </w:r>
      <w:r>
        <w:rPr>
          <w:rFonts w:hint="eastAsia" w:ascii="宋体" w:hAnsi="宋体" w:eastAsia="宋体" w:cs="宋体"/>
          <w:b/>
          <w:sz w:val="22"/>
          <w:szCs w:val="22"/>
        </w:rPr>
      </w:r>
      <w:r/>
    </w:p>
    <w:p>
      <w:pPr>
        <w:pStyle w:val="1053"/>
        <w:jc w:val="center"/>
        <w:widowControl/>
        <w:rPr>
          <w:rFonts w:hint="eastAsia" w:ascii="宋体" w:hAnsi="宋体" w:eastAsia="宋体" w:cs="宋体"/>
          <w:b/>
          <w:sz w:val="22"/>
          <w:szCs w:val="22"/>
        </w:rPr>
      </w:pPr>
      <w:r>
        <w:rPr>
          <w:rFonts w:hint="eastAsia" w:ascii="宋体" w:hAnsi="宋体" w:eastAsia="宋体" w:cs="宋体"/>
          <w:b/>
          <w:sz w:val="22"/>
          <w:szCs w:val="22"/>
        </w:rPr>
      </w:r>
      <w:r/>
    </w:p>
    <w:p>
      <w:pPr>
        <w:pStyle w:val="1053"/>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53"/>
        <w:ind w:firstLine="482"/>
        <w:jc w:val="center"/>
        <w:spacing w:before="0" w:after="0" w:line="336" w:lineRule="auto"/>
        <w:shd w:val="clear" w:color="auto" w:fill="ffffff"/>
        <w:widowControl/>
        <w:rPr>
          <w:rFonts w:hint="eastAsia" w:ascii="仿宋" w:hAnsi="仿宋" w:eastAsia="仿宋" w:cs="仿宋"/>
        </w:rPr>
      </w:pPr>
      <w:r>
        <w:rPr>
          <w:rFonts w:hint="eastAsia" w:ascii="仿宋" w:hAnsi="仿宋" w:eastAsia="仿宋" w:cs="仿宋"/>
          <w:b/>
          <w:bCs/>
          <w:sz w:val="24"/>
          <w:szCs w:val="28"/>
        </w:rPr>
        <w:t xml:space="preserve">附：</w:t>
      </w:r>
      <w:r>
        <w:rPr>
          <w:rFonts w:hint="eastAsia" w:ascii="仿宋" w:hAnsi="仿宋" w:eastAsia="仿宋" w:cs="仿宋"/>
          <w:sz w:val="24"/>
          <w:szCs w:val="28"/>
        </w:rPr>
        <w:t xml:space="preserve">中小企业划型标准规定</w:t>
      </w:r>
      <w:r>
        <w:rPr>
          <w:rFonts w:hint="eastAsia" w:ascii="仿宋" w:hAnsi="仿宋" w:eastAsia="仿宋" w:cs="仿宋"/>
        </w:rPr>
      </w:r>
      <w:r/>
    </w:p>
    <w:p>
      <w:pPr>
        <w:pStyle w:val="1053"/>
        <w:ind w:firstLine="420"/>
        <w:jc w:val="center"/>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工信部联企业〔2011〕300号</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一、根据《中华人民共和国中小企业促进法》和《国务院关于进一步促进中小企业发展的若干意见》（国发〔2009〕36号)，制定本规定。</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二、中小企业划分为中型、小型、微型三种类型，具体标准根据企业从业人员、营业收入、资产总额等指标，结合行业特点制定。</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三、本规定适用的行业包括：农、林、牧、渔业，工业（包括采矿业，制造业，电力、热力、燃气及水生产和供应业），建筑业，批发业，零售业，交通运输业（不含铁路运输业），仓储业，邮政业，住宿业，餐饮业，信息传输业（包括电信、互联网和相关服务），软件和信息技术服务业，房地产开发经营，物业管理，租赁和商务服务业，其他未列明行业（包括科学研究和技术服务业，水利、环境和公共设施管理业，居民服务、修理和其他服务业，社会工作，文化、体育和娱乐业等）。</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四、各行业划型标准为：</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（一）农、林、牧、渔业。营业收入20000万元以下的为中小微型企业。其中，营业收入500万元及以上的为中型企业，营业收入50万元及以上的为小型企业，营业收入50万元以下的为微型企业。</w:t>
      </w:r>
      <w:r>
        <w:rPr>
          <w:rFonts w:hint="eastAsia" w:ascii="仿宋" w:hAnsi="仿宋" w:eastAsia="仿宋" w:cs="仿宋"/>
        </w:rPr>
      </w:r>
      <w:r/>
    </w:p>
    <w:p>
      <w:pPr>
        <w:pStyle w:val="1053"/>
        <w:ind w:firstLine="422"/>
        <w:spacing w:before="0" w:after="0" w:line="336" w:lineRule="auto"/>
        <w:shd w:val="clear" w:color="auto" w:fill="ffffff"/>
        <w:widowControl/>
        <w:rPr>
          <w:rFonts w:hint="eastAsia" w:ascii="仿宋" w:hAnsi="仿宋" w:eastAsia="仿宋" w:cs="仿宋"/>
          <w:b/>
          <w:bCs/>
        </w:rPr>
      </w:pPr>
      <w:r>
        <w:rPr>
          <w:rFonts w:hint="eastAsia" w:ascii="仿宋" w:hAnsi="仿宋" w:eastAsia="仿宋" w:cs="仿宋"/>
          <w:b/>
          <w:bCs/>
        </w:rPr>
        <w:t xml:space="preserve">（二）工业。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rPr>
          <w:rFonts w:hint="eastAsia" w:ascii="仿宋" w:hAnsi="仿宋" w:eastAsia="仿宋" w:cs="仿宋"/>
          <w:b/>
          <w:bCs/>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三）建筑业。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四）批发业。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五）零售业。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六）交通运输业。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七）仓储业。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八）邮政业。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九）住宿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餐饮业。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一）信息传输业。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二）软件和信息技术服务业。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三）房地产开发经营。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四）物业管理。从业人员1000人以下或营业收入5000万元以下的为中小微型企业。其中，从业人员300人及以上，且营业收入1000万元及以上的为中型企业；从业人员100人及以上，且营业收入500万元及以上的为小型企业；从业人员100人以下或营业收入500万元以下的为微型企业。</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十五）租赁和商务服务业。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rPr>
          <w:rFonts w:hint="eastAsia" w:ascii="仿宋" w:hAnsi="仿宋" w:eastAsia="仿宋" w:cs="仿宋"/>
        </w:rPr>
      </w:r>
      <w:r/>
    </w:p>
    <w:p>
      <w:pPr>
        <w:pStyle w:val="1053"/>
        <w:ind w:firstLine="422"/>
        <w:spacing w:before="0" w:after="0" w:line="336" w:lineRule="auto"/>
        <w:shd w:val="clear" w:color="auto" w:fill="ffffff"/>
        <w:widowControl/>
        <w:rPr>
          <w:rFonts w:hint="eastAsia" w:ascii="仿宋" w:hAnsi="仿宋" w:eastAsia="仿宋" w:cs="仿宋"/>
          <w:b/>
          <w:bCs/>
        </w:rPr>
      </w:pPr>
      <w:r>
        <w:rPr>
          <w:rFonts w:hint="eastAsia" w:ascii="仿宋" w:hAnsi="仿宋" w:eastAsia="仿宋" w:cs="仿宋"/>
          <w:b/>
          <w:bCs/>
        </w:rPr>
        <w:t xml:space="preserve">（十六）其他未列明行业。从业人员300人以下的为中小微型企业。其中，从业人员100人及以上的为中型企业；从业人员10人及以上的为小型企业；从业人员10人以下的为微型企业。</w:t>
      </w:r>
      <w:r>
        <w:rPr>
          <w:rFonts w:hint="eastAsia" w:ascii="仿宋" w:hAnsi="仿宋" w:eastAsia="仿宋" w:cs="仿宋"/>
          <w:b/>
          <w:bCs/>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五、企业类型的划分以统计部门的统计数据为依据。</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六、本规定适用于在中华人民共和国境内依法设立的各类所有制和各种组织形式的企业。个体工商户和本规定以外的行业，参照本规定进行划型。</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pPr>
      <w:r>
        <w:rPr>
          <w:rFonts w:hint="eastAsia" w:ascii="仿宋" w:hAnsi="仿宋" w:eastAsia="仿宋" w:cs="仿宋"/>
        </w:rPr>
        <w:t xml:space="preserve">七、本规定的中型企业标准上限即为大型企业标准的下限，国家统计部门据此制定大中小微型企业的统计分类。国务院有关部门据此进行相关数据分析，不得制定与本规定不一致的企业划型标准。</w:t>
      </w:r>
      <w:r>
        <w:rPr>
          <w:rFonts w:hint="eastAsia" w:ascii="仿宋" w:hAnsi="仿宋" w:eastAsia="仿宋" w:cs="仿宋"/>
        </w:rPr>
      </w:r>
      <w:r/>
    </w:p>
    <w:p>
      <w:pPr>
        <w:pStyle w:val="1053"/>
        <w:ind w:firstLine="420"/>
        <w:spacing w:before="0" w:after="0" w:line="336" w:lineRule="auto"/>
        <w:shd w:val="clear" w:color="auto" w:fill="ffffff"/>
        <w:widowControl/>
        <w:rPr>
          <w:rFonts w:hint="eastAsia" w:ascii="仿宋" w:hAnsi="仿宋" w:eastAsia="仿宋" w:cs="仿宋"/>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仿宋" w:hAnsi="仿宋" w:eastAsia="仿宋" w:cs="仿宋"/>
        </w:rPr>
        <w:t xml:space="preserve">八、本规定由工业和信息化部、国家统计局会同有关部门根据《国民经济行业分类》修订情况和企业发展变化情况适时修订。</w:t>
      </w:r>
      <w:r>
        <w:rPr>
          <w:rFonts w:hint="eastAsia" w:ascii="仿宋" w:hAnsi="仿宋" w:eastAsia="仿宋" w:cs="仿宋"/>
        </w:rPr>
      </w:r>
      <w:r/>
    </w:p>
    <w:p>
      <w:pPr>
        <w:pStyle w:val="105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（6）残疾人福利性单位声明函（如需）</w:t>
      </w:r>
      <w:r>
        <w:rPr>
          <w:rFonts w:hint="eastAsia" w:ascii="宋体" w:hAnsi="宋体" w:eastAsia="宋体" w:cs="宋体"/>
          <w:b/>
          <w:sz w:val="24"/>
          <w:szCs w:val="24"/>
        </w:rPr>
      </w:r>
      <w:r/>
    </w:p>
    <w:p>
      <w:pPr>
        <w:pStyle w:val="1053"/>
        <w:ind w:firstLine="420"/>
        <w:spacing w:before="0" w:after="0" w:line="440" w:lineRule="exact"/>
        <w:rPr>
          <w:rFonts w:hint="eastAsia" w:ascii="宋体" w:hAnsi="宋体" w:eastAsia="宋体" w:cs="宋体"/>
          <w:sz w:val="24"/>
          <w:szCs w:val="24"/>
        </w:rPr>
      </w:pPr>
      <w:r>
        <w:rPr>
          <w:rFonts w:hint="eastAsia" w:ascii="宋体" w:hAnsi="宋体" w:eastAsia="宋体" w:cs="宋体"/>
        </w:rPr>
        <w:t xml:space="preserve">本</w:t>
      </w:r>
      <w:r>
        <w:rPr>
          <w:rFonts w:hint="eastAsia" w:ascii="宋体" w:hAnsi="宋体" w:eastAsia="宋体" w:cs="宋体"/>
          <w:sz w:val="24"/>
          <w:szCs w:val="24"/>
        </w:rPr>
        <w:t xml:space="preserve">单位郑重声明，根据《财政部民政部中国残疾人联合会关于促进残疾人就业政府采购政策的通知》（财库〔2017〕141号）的规定，本单位为符合条件的残疾人福利性单位，且本单位参加______单位的______项目采购活动提供本单位制造的货物（或由本单位承担工程/提供服务），或者提供其他残疾人福利性单位制造的货物（不包括使用非残疾人福利性单位注册商标的货物）。</w:t>
      </w:r>
      <w:r>
        <w:rPr>
          <w:rFonts w:hint="eastAsia" w:ascii="宋体" w:hAnsi="宋体" w:eastAsia="宋体" w:cs="宋体"/>
          <w:sz w:val="24"/>
          <w:szCs w:val="24"/>
        </w:rPr>
      </w:r>
      <w:r/>
    </w:p>
    <w:p>
      <w:pPr>
        <w:pStyle w:val="1053"/>
        <w:ind w:firstLine="482"/>
        <w:spacing w:before="0" w:after="0" w:line="440" w:lineRule="exact"/>
        <w:rPr>
          <w:rFonts w:hint="eastAsia" w:ascii="宋体" w:hAnsi="宋体" w:eastAsia="宋体" w:cs="宋体"/>
          <w:b/>
          <w:bCs/>
          <w:sz w:val="24"/>
          <w:szCs w:val="24"/>
        </w:rPr>
      </w:pPr>
      <w:r>
        <w:rPr>
          <w:rFonts w:hint="eastAsia" w:ascii="宋体" w:hAnsi="宋体" w:eastAsia="宋体" w:cs="宋体"/>
          <w:b/>
          <w:bCs/>
          <w:sz w:val="24"/>
          <w:szCs w:val="24"/>
        </w:rPr>
        <w:t xml:space="preserve">本单位对上述声明的真实性负责。如有虚假，将依法承担相应责任。</w:t>
      </w:r>
      <w:r>
        <w:rPr>
          <w:rFonts w:hint="eastAsia" w:ascii="宋体" w:hAnsi="宋体" w:eastAsia="宋体" w:cs="宋体"/>
          <w:b/>
          <w:bCs/>
          <w:sz w:val="24"/>
          <w:szCs w:val="24"/>
        </w:rPr>
      </w:r>
      <w:r/>
    </w:p>
    <w:p>
      <w:pPr>
        <w:pStyle w:val="105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5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5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102"/>
        <w:rPr>
          <w:rFonts w:hint="eastAsia" w:ascii="宋体" w:hAnsi="宋体" w:eastAsia="宋体" w:cs="宋体"/>
        </w:rPr>
      </w:pPr>
      <w:r>
        <w:rPr>
          <w:rFonts w:hint="eastAsia" w:ascii="宋体" w:hAnsi="宋体" w:eastAsia="宋体" w:cs="宋体"/>
        </w:rPr>
      </w:r>
      <w:r/>
    </w:p>
    <w:p>
      <w:pPr>
        <w:pStyle w:val="105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（7）属于监狱企业的证明文件（如需）</w:t>
      </w:r>
      <w:r>
        <w:rPr>
          <w:rFonts w:hint="eastAsia" w:ascii="宋体" w:hAnsi="宋体" w:eastAsia="宋体" w:cs="宋体"/>
          <w:b/>
          <w:sz w:val="24"/>
          <w:szCs w:val="24"/>
        </w:rPr>
      </w:r>
      <w:r/>
    </w:p>
    <w:p>
      <w:pPr>
        <w:pStyle w:val="1053"/>
        <w:ind w:firstLine="480"/>
        <w:spacing w:before="0" w:after="0" w:line="440" w:lineRule="exact"/>
        <w:rPr>
          <w:rFonts w:hint="eastAsia" w:ascii="宋体" w:hAnsi="宋体" w:eastAsia="宋体" w:cs="宋体"/>
          <w:sz w:val="24"/>
          <w:szCs w:val="24"/>
        </w:rPr>
      </w:pPr>
      <w:r>
        <w:rPr>
          <w:rFonts w:hint="eastAsia" w:ascii="宋体" w:hAnsi="宋体" w:eastAsia="宋体" w:cs="宋体"/>
          <w:sz w:val="24"/>
          <w:szCs w:val="24"/>
        </w:rPr>
        <w:t xml:space="preserve">（提供由省级以上监狱管理局、戒毒管理局（含新疆生产建设兵团）出具的属于监狱企业的证明文件）</w:t>
      </w:r>
      <w:r>
        <w:rPr>
          <w:rFonts w:hint="eastAsia" w:ascii="宋体" w:hAnsi="宋体" w:eastAsia="宋体" w:cs="宋体"/>
          <w:sz w:val="24"/>
          <w:szCs w:val="24"/>
        </w:rPr>
      </w:r>
      <w:r/>
    </w:p>
    <w:p>
      <w:pPr>
        <w:pStyle w:val="1053"/>
        <w:jc w:val="center"/>
        <w:widowControl/>
        <w:rPr>
          <w:rFonts w:hint="eastAsia" w:ascii="宋体" w:hAnsi="宋体" w:eastAsia="宋体" w:cs="宋体"/>
          <w:b/>
          <w:sz w:val="24"/>
          <w:szCs w:val="24"/>
        </w:rPr>
      </w:pPr>
      <w:r>
        <w:rPr>
          <w:rFonts w:hint="eastAsia" w:ascii="宋体" w:hAnsi="宋体" w:eastAsia="宋体" w:cs="宋体"/>
          <w:b/>
          <w:sz w:val="24"/>
          <w:szCs w:val="24"/>
        </w:rPr>
      </w:r>
      <w:r/>
    </w:p>
    <w:p>
      <w:pPr>
        <w:pStyle w:val="1094"/>
        <w:ind w:left="0"/>
        <w:rPr>
          <w:rFonts w:hint="eastAsia" w:ascii="宋体" w:hAnsi="宋体" w:cs="宋体"/>
        </w:rPr>
      </w:pPr>
      <w:r>
        <w:rPr>
          <w:rFonts w:hint="eastAsia" w:ascii="宋体" w:hAnsi="宋体" w:cs="宋体"/>
        </w:rPr>
      </w:r>
      <w:r/>
    </w:p>
    <w:p>
      <w:pPr>
        <w:pStyle w:val="105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End w:id="143"/>
      <w:r/>
      <w:bookmarkEnd w:id="144"/>
      <w:r/>
      <w:bookmarkEnd w:id="145"/>
      <w:r/>
      <w:bookmarkStart w:id="146" w:name="_Toc5019"/>
      <w:r/>
      <w:bookmarkStart w:id="147" w:name="_Toc27811"/>
      <w:r/>
      <w:bookmarkStart w:id="148" w:name="_Toc788"/>
      <w:r>
        <w:rPr>
          <w:rFonts w:hint="eastAsia" w:ascii="宋体" w:hAnsi="宋体" w:eastAsia="宋体" w:cs="宋体"/>
          <w:sz w:val="32"/>
          <w:szCs w:val="32"/>
        </w:rPr>
      </w:r>
      <w:r/>
    </w:p>
    <w:p>
      <w:pPr>
        <w:pStyle w:val="105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（8）关于符合本国产品标准的声明函</w:t>
      </w:r>
      <w:r>
        <w:rPr>
          <w:rFonts w:hint="eastAsia" w:ascii="宋体" w:hAnsi="宋体" w:eastAsia="宋体" w:cs="宋体"/>
          <w:b/>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（产品名称1）</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，生产厂为</w:t>
      </w:r>
      <w:r>
        <w:rPr>
          <w:rFonts w:hint="eastAsia" w:ascii="宋体" w:hAnsi="宋体" w:eastAsia="宋体" w:cs="宋体"/>
          <w:sz w:val="24"/>
          <w:szCs w:val="24"/>
          <w:u w:val="single"/>
        </w:rPr>
        <w:t xml:space="preserve">（厂名）</w:t>
      </w:r>
      <w:r>
        <w:rPr>
          <w:rFonts w:hint="eastAsia" w:ascii="宋体" w:hAnsi="宋体" w:eastAsia="宋体" w:cs="宋体"/>
          <w:sz w:val="24"/>
          <w:szCs w:val="24"/>
        </w:rPr>
        <w:t xml:space="preserve">，厂址为</w:t>
      </w:r>
      <w:r>
        <w:rPr>
          <w:rFonts w:hint="eastAsia" w:ascii="宋体" w:hAnsi="宋体" w:eastAsia="宋体" w:cs="宋体"/>
          <w:sz w:val="24"/>
          <w:szCs w:val="24"/>
          <w:u w:val="single"/>
        </w:rPr>
        <w:t xml:space="preserve">（生产厂址）</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的中国境内生产的组件成本占比≥</w:t>
      </w:r>
      <w:r>
        <w:rPr>
          <w:rFonts w:hint="eastAsia" w:ascii="宋体" w:hAnsi="宋体" w:eastAsia="宋体" w:cs="宋体"/>
          <w:sz w:val="24"/>
          <w:szCs w:val="24"/>
          <w:u w:val="single"/>
        </w:rPr>
        <w:t xml:space="preserve">（规定比例）</w:t>
      </w:r>
      <w:r>
        <w:rPr>
          <w:rFonts w:hint="eastAsia" w:ascii="宋体" w:hAnsi="宋体" w:eastAsia="宋体" w:cs="宋体"/>
          <w:sz w:val="24"/>
          <w:szCs w:val="24"/>
        </w:rPr>
        <w:t xml:space="preserve">。</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（关键组件）</w:t>
      </w:r>
      <w:r>
        <w:rPr>
          <w:rFonts w:hint="eastAsia" w:ascii="宋体" w:hAnsi="宋体" w:eastAsia="宋体" w:cs="宋体"/>
          <w:sz w:val="24"/>
          <w:szCs w:val="24"/>
        </w:rPr>
        <w:t xml:space="preserve">在中国境内生产。</w:t>
      </w:r>
      <w:r>
        <w:rPr>
          <w:rFonts w:hint="eastAsia" w:ascii="宋体" w:hAnsi="宋体" w:eastAsia="宋体" w:cs="宋体"/>
          <w:sz w:val="24"/>
          <w:szCs w:val="24"/>
          <w:u w:val="single"/>
        </w:rPr>
        <w:t xml:space="preserve">（产品名称2）</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（关键工序）</w:t>
      </w:r>
      <w:r>
        <w:rPr>
          <w:rFonts w:hint="eastAsia" w:ascii="宋体" w:hAnsi="宋体" w:eastAsia="宋体" w:cs="宋体"/>
          <w:sz w:val="24"/>
          <w:szCs w:val="24"/>
        </w:rPr>
        <w:t xml:space="preserve">在中国境内完成。</w:t>
      </w: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rPr>
          <w:rFonts w:hint="eastAsia" w:ascii="宋体" w:hAnsi="宋体" w:eastAsia="宋体" w:cs="宋体"/>
          <w:sz w:val="24"/>
          <w:szCs w:val="24"/>
        </w:rPr>
      </w:r>
      <w:r/>
    </w:p>
    <w:p>
      <w:pPr>
        <w:pStyle w:val="1053"/>
        <w:jc w:val="left"/>
        <w:rPr>
          <w:rFonts w:hint="eastAsia" w:ascii="宋体" w:hAnsi="宋体" w:eastAsia="宋体" w:cs="宋体"/>
          <w:sz w:val="24"/>
          <w:szCs w:val="24"/>
        </w:rPr>
      </w:pP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t xml:space="preserve">公司（单位）名称（盖章/加盖CA电子公章）：   </w:t>
      </w: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53"/>
        <w:jc w:val="left"/>
        <w:spacing w:before="0" w:after="0" w:line="240" w:lineRule="auto"/>
        <w:rPr>
          <w:rFonts w:ascii="宋体" w:hAnsi="宋体" w:eastAsia="宋体" w:cs="宋体"/>
          <w:sz w:val="24"/>
          <w:szCs w:val="24"/>
        </w:rPr>
      </w:pPr>
      <w:r>
        <w:rPr>
          <w:rFonts w:hint="eastAsia" w:ascii="宋体" w:hAnsi="宋体" w:eastAsia="宋体" w:cs="宋体"/>
          <w:sz w:val="24"/>
          <w:szCs w:val="24"/>
        </w:rPr>
        <w:t xml:space="preserve">说明：</w:t>
      </w:r>
      <w:r>
        <w:rPr>
          <w:rFonts w:ascii="宋体" w:hAnsi="宋体" w:eastAsia="宋体" w:cs="宋体"/>
          <w:sz w:val="24"/>
          <w:szCs w:val="24"/>
        </w:rPr>
      </w:r>
      <w:r/>
    </w:p>
    <w:p>
      <w:pPr>
        <w:pStyle w:val="1053"/>
        <w:ind w:firstLine="482"/>
        <w:spacing w:before="0" w:after="0" w:line="240" w:lineRule="auto"/>
        <w:rPr>
          <w:rFonts w:hint="eastAsia" w:ascii="宋体" w:hAnsi="宋体" w:eastAsia="仿宋" w:cs="宋体"/>
          <w:sz w:val="24"/>
          <w:szCs w:val="24"/>
        </w:rPr>
      </w:pPr>
      <w:r>
        <w:rPr>
          <w:rStyle w:val="1141"/>
          <w:rFonts w:hint="eastAsia" w:ascii="仿宋" w:hAnsi="仿宋" w:eastAsia="仿宋" w:cs="仿宋"/>
          <w:i w:val="0"/>
          <w:iCs w:val="0"/>
          <w:spacing w:val="0"/>
          <w:sz w:val="24"/>
          <w:szCs w:val="24"/>
          <w:shd w:val="clear" w:color="auto" w:fill="ffffff"/>
        </w:rPr>
        <w:t xml:space="preserve">“（产品名称）</w:t>
      </w:r>
      <w:r>
        <w:rPr>
          <w:rStyle w:val="1141"/>
          <w:rFonts w:hint="eastAsia" w:ascii="仿宋" w:hAnsi="仿宋" w:eastAsia="仿宋" w:cs="仿宋"/>
          <w:i w:val="0"/>
          <w:iCs w:val="0"/>
          <w:spacing w:val="0"/>
          <w:sz w:val="24"/>
          <w:szCs w:val="24"/>
          <w:shd w:val="clear" w:color="auto" w:fill="ffffff"/>
          <w:vertAlign w:val="superscript"/>
        </w:rPr>
        <w:t xml:space="preserve">1</w:t>
      </w:r>
      <w:r>
        <w:rPr>
          <w:rFonts w:hint="eastAsia" w:ascii="仿宋" w:hAnsi="仿宋" w:eastAsia="仿宋" w:cs="仿宋"/>
          <w:sz w:val="24"/>
          <w:szCs w:val="24"/>
          <w:shd w:val="clear" w:color="auto" w:fill="ffffff"/>
        </w:rPr>
        <w:t xml:space="preserve">，生产厂为</w:t>
      </w:r>
      <w:r>
        <w:rPr>
          <w:rStyle w:val="1141"/>
          <w:rFonts w:hint="eastAsia" w:ascii="仿宋" w:hAnsi="仿宋" w:eastAsia="仿宋" w:cs="仿宋"/>
          <w:i w:val="0"/>
          <w:iCs w:val="0"/>
          <w:spacing w:val="0"/>
          <w:sz w:val="24"/>
          <w:szCs w:val="24"/>
          <w:shd w:val="clear" w:color="auto" w:fill="ffffff"/>
        </w:rPr>
        <w:t xml:space="preserve">（厂名）</w:t>
      </w:r>
      <w:r>
        <w:rPr>
          <w:rStyle w:val="1141"/>
          <w:rFonts w:hint="eastAsia" w:ascii="仿宋" w:hAnsi="仿宋" w:eastAsia="仿宋" w:cs="仿宋"/>
          <w:i w:val="0"/>
          <w:iCs w:val="0"/>
          <w:spacing w:val="0"/>
          <w:sz w:val="24"/>
          <w:szCs w:val="24"/>
          <w:shd w:val="clear" w:color="auto" w:fill="ffffff"/>
          <w:vertAlign w:val="superscript"/>
        </w:rPr>
        <w:t xml:space="preserve">2</w:t>
      </w:r>
      <w:r>
        <w:rPr>
          <w:rFonts w:hint="eastAsia" w:ascii="仿宋" w:hAnsi="仿宋" w:eastAsia="仿宋" w:cs="仿宋"/>
          <w:sz w:val="24"/>
          <w:szCs w:val="24"/>
          <w:shd w:val="clear" w:color="auto" w:fill="ffffff"/>
        </w:rPr>
        <w:t xml:space="preserve">，厂址为</w:t>
      </w:r>
      <w:r>
        <w:rPr>
          <w:rStyle w:val="1141"/>
          <w:rFonts w:hint="eastAsia" w:ascii="仿宋" w:hAnsi="仿宋" w:eastAsia="仿宋" w:cs="仿宋"/>
          <w:i w:val="0"/>
          <w:iCs w:val="0"/>
          <w:spacing w:val="0"/>
          <w:sz w:val="24"/>
          <w:szCs w:val="24"/>
          <w:shd w:val="clear" w:color="auto" w:fill="ffffff"/>
        </w:rPr>
        <w:t xml:space="preserve">（生产厂址）</w:t>
      </w:r>
      <w:r>
        <w:rPr>
          <w:rFonts w:hint="eastAsia" w:ascii="仿宋" w:hAnsi="仿宋" w:eastAsia="仿宋" w:cs="仿宋"/>
          <w:sz w:val="24"/>
          <w:szCs w:val="24"/>
          <w:shd w:val="clear" w:color="auto" w:fill="ffffff"/>
        </w:rPr>
        <w:t xml:space="preserve">。</w:t>
      </w:r>
      <w:r>
        <w:rPr>
          <w:rStyle w:val="1141"/>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的中国境内生产的组件成本占比≥</w:t>
      </w:r>
      <w:r>
        <w:rPr>
          <w:rStyle w:val="1141"/>
          <w:rFonts w:hint="eastAsia" w:ascii="仿宋" w:hAnsi="仿宋" w:eastAsia="仿宋" w:cs="仿宋"/>
          <w:i w:val="0"/>
          <w:iCs w:val="0"/>
          <w:spacing w:val="0"/>
          <w:sz w:val="24"/>
          <w:szCs w:val="24"/>
          <w:shd w:val="clear" w:color="auto" w:fill="ffffff"/>
        </w:rPr>
        <w:t xml:space="preserve">（规定比例）</w:t>
      </w:r>
      <w:r>
        <w:rPr>
          <w:rStyle w:val="1141"/>
          <w:rFonts w:hint="eastAsia" w:ascii="仿宋" w:hAnsi="仿宋" w:eastAsia="仿宋" w:cs="仿宋"/>
          <w:i w:val="0"/>
          <w:iCs w:val="0"/>
          <w:spacing w:val="0"/>
          <w:sz w:val="24"/>
          <w:szCs w:val="24"/>
          <w:shd w:val="clear" w:color="auto" w:fill="ffffff"/>
          <w:vertAlign w:val="superscript"/>
        </w:rPr>
        <w:t xml:space="preserve">3</w:t>
      </w:r>
      <w:r>
        <w:rPr>
          <w:rFonts w:hint="eastAsia" w:ascii="仿宋" w:hAnsi="仿宋" w:eastAsia="仿宋" w:cs="仿宋"/>
          <w:sz w:val="24"/>
          <w:szCs w:val="24"/>
          <w:shd w:val="clear" w:color="auto" w:fill="ffffff"/>
        </w:rPr>
        <w:t xml:space="preserve">。</w:t>
      </w:r>
      <w:r>
        <w:rPr>
          <w:rStyle w:val="1141"/>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w:t>
      </w:r>
      <w:r>
        <w:rPr>
          <w:rStyle w:val="1141"/>
          <w:rFonts w:hint="eastAsia" w:ascii="仿宋" w:hAnsi="仿宋" w:eastAsia="仿宋" w:cs="仿宋"/>
          <w:i w:val="0"/>
          <w:iCs w:val="0"/>
          <w:spacing w:val="0"/>
          <w:sz w:val="24"/>
          <w:szCs w:val="24"/>
          <w:shd w:val="clear" w:color="auto" w:fill="ffffff"/>
        </w:rPr>
        <w:t xml:space="preserve">（关键组件）</w:t>
      </w:r>
      <w:r>
        <w:rPr>
          <w:rStyle w:val="1141"/>
          <w:rFonts w:hint="eastAsia" w:ascii="仿宋" w:hAnsi="仿宋" w:eastAsia="仿宋" w:cs="仿宋"/>
          <w:i w:val="0"/>
          <w:iCs w:val="0"/>
          <w:spacing w:val="0"/>
          <w:sz w:val="24"/>
          <w:szCs w:val="24"/>
          <w:shd w:val="clear" w:color="auto" w:fill="ffffff"/>
          <w:vertAlign w:val="superscript"/>
        </w:rPr>
        <w:t xml:space="preserve">4</w:t>
      </w:r>
      <w:r>
        <w:rPr>
          <w:rFonts w:hint="eastAsia" w:ascii="仿宋" w:hAnsi="仿宋" w:eastAsia="仿宋" w:cs="仿宋"/>
          <w:sz w:val="24"/>
          <w:szCs w:val="24"/>
          <w:shd w:val="clear" w:color="auto" w:fill="ffffff"/>
        </w:rPr>
        <w:t xml:space="preserve">在中国境内生产。</w:t>
      </w:r>
      <w:r>
        <w:rPr>
          <w:rStyle w:val="1141"/>
          <w:rFonts w:hint="eastAsia" w:ascii="仿宋" w:hAnsi="仿宋" w:eastAsia="仿宋" w:cs="仿宋"/>
          <w:i w:val="0"/>
          <w:iCs w:val="0"/>
          <w:spacing w:val="0"/>
          <w:sz w:val="24"/>
          <w:szCs w:val="24"/>
          <w:shd w:val="clear" w:color="auto" w:fill="ffffff"/>
        </w:rPr>
        <w:t xml:space="preserve">（产品名称）</w:t>
      </w:r>
      <w:r>
        <w:rPr>
          <w:rFonts w:hint="eastAsia" w:ascii="仿宋" w:hAnsi="仿宋" w:eastAsia="仿宋" w:cs="仿宋"/>
          <w:sz w:val="24"/>
          <w:szCs w:val="24"/>
          <w:shd w:val="clear" w:color="auto" w:fill="ffffff"/>
        </w:rPr>
        <w:t xml:space="preserve">的</w:t>
      </w:r>
      <w:r>
        <w:rPr>
          <w:rStyle w:val="1141"/>
          <w:rFonts w:hint="eastAsia" w:ascii="仿宋" w:hAnsi="仿宋" w:eastAsia="仿宋" w:cs="仿宋"/>
          <w:i w:val="0"/>
          <w:iCs w:val="0"/>
          <w:spacing w:val="0"/>
          <w:sz w:val="24"/>
          <w:szCs w:val="24"/>
          <w:shd w:val="clear" w:color="auto" w:fill="ffffff"/>
        </w:rPr>
        <w:t xml:space="preserve">（关键工序）</w:t>
      </w:r>
      <w:r>
        <w:rPr>
          <w:rStyle w:val="1141"/>
          <w:rFonts w:hint="eastAsia" w:ascii="仿宋" w:hAnsi="仿宋" w:eastAsia="仿宋" w:cs="仿宋"/>
          <w:i w:val="0"/>
          <w:iCs w:val="0"/>
          <w:spacing w:val="0"/>
          <w:sz w:val="24"/>
          <w:szCs w:val="24"/>
          <w:shd w:val="clear" w:color="auto" w:fill="ffffff"/>
          <w:vertAlign w:val="superscript"/>
        </w:rPr>
        <w:t xml:space="preserve">5</w:t>
      </w:r>
      <w:r>
        <w:rPr>
          <w:rFonts w:hint="eastAsia" w:ascii="仿宋" w:hAnsi="仿宋" w:eastAsia="仿宋" w:cs="仿宋"/>
          <w:sz w:val="24"/>
          <w:szCs w:val="24"/>
          <w:shd w:val="clear" w:color="auto" w:fill="ffffff"/>
        </w:rPr>
        <w:t xml:space="preserve">在中国境内完成。”</w:t>
      </w:r>
      <w:r>
        <w:rPr>
          <w:rFonts w:hint="eastAsia" w:ascii="宋体" w:hAnsi="宋体" w:eastAsia="仿宋" w:cs="宋体"/>
          <w:sz w:val="24"/>
          <w:szCs w:val="24"/>
        </w:rPr>
      </w:r>
      <w:r/>
    </w:p>
    <w:p>
      <w:pPr>
        <w:pStyle w:val="105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r>
      <w:r/>
    </w:p>
    <w:p>
      <w:pPr>
        <w:pStyle w:val="105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1.产品如有型号，请在“产品名称”栏一并填写。</w:t>
      </w:r>
      <w:r>
        <w:rPr>
          <w:rFonts w:hint="eastAsia" w:ascii="宋体" w:hAnsi="宋体" w:eastAsia="宋体" w:cs="宋体"/>
          <w:sz w:val="24"/>
          <w:szCs w:val="24"/>
        </w:rPr>
      </w:r>
      <w:r/>
    </w:p>
    <w:p>
      <w:pPr>
        <w:pStyle w:val="105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2.生产厂名与厂址应与生产厂营业执照载明的相关信息保持一致。</w:t>
      </w:r>
      <w:r>
        <w:rPr>
          <w:rFonts w:hint="eastAsia" w:ascii="宋体" w:hAnsi="宋体" w:eastAsia="宋体" w:cs="宋体"/>
          <w:sz w:val="24"/>
          <w:szCs w:val="24"/>
        </w:rPr>
      </w:r>
      <w:r/>
    </w:p>
    <w:p>
      <w:pPr>
        <w:pStyle w:val="105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3.该产品的中国境内生产的组件成本占比相关要求实施前，“规定比例”栏可不填，下同。</w:t>
      </w:r>
      <w:r>
        <w:rPr>
          <w:rFonts w:hint="eastAsia" w:ascii="宋体" w:hAnsi="宋体" w:eastAsia="宋体" w:cs="宋体"/>
          <w:sz w:val="24"/>
          <w:szCs w:val="24"/>
        </w:rPr>
      </w:r>
      <w:r/>
    </w:p>
    <w:p>
      <w:pPr>
        <w:pStyle w:val="105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4.该产品的关键组件要求实施前，“关键组件”栏可不填，下同。</w:t>
      </w:r>
      <w:r>
        <w:rPr>
          <w:rFonts w:hint="eastAsia" w:ascii="宋体" w:hAnsi="宋体" w:eastAsia="宋体" w:cs="宋体"/>
          <w:sz w:val="24"/>
          <w:szCs w:val="24"/>
        </w:rPr>
      </w:r>
      <w:r/>
    </w:p>
    <w:p>
      <w:pPr>
        <w:pStyle w:val="1053"/>
        <w:ind w:firstLine="420"/>
        <w:jc w:val="left"/>
        <w:spacing w:before="0" w:after="0" w:line="240" w:lineRule="auto"/>
        <w:rPr>
          <w:rFonts w:hint="eastAsia" w:ascii="宋体" w:hAnsi="宋体" w:eastAsia="宋体" w:cs="宋体"/>
          <w:sz w:val="24"/>
          <w:szCs w:val="24"/>
        </w:rPr>
      </w:pPr>
      <w:r>
        <w:rPr>
          <w:rFonts w:hint="eastAsia" w:ascii="宋体" w:hAnsi="宋体" w:eastAsia="宋体" w:cs="宋体"/>
          <w:sz w:val="24"/>
          <w:szCs w:val="24"/>
        </w:rPr>
        <w:t xml:space="preserve">5.该产品的关键工序要求实施前，“关键工序”栏可不填，下同。</w:t>
      </w:r>
      <w:r>
        <w:rPr>
          <w:rFonts w:hint="eastAsia" w:ascii="宋体" w:hAnsi="宋体" w:eastAsia="宋体" w:cs="宋体"/>
          <w:sz w:val="24"/>
          <w:szCs w:val="24"/>
        </w:rPr>
      </w:r>
      <w:r/>
    </w:p>
    <w:p>
      <w:pPr>
        <w:pStyle w:val="1053"/>
        <w:ind w:firstLine="420"/>
        <w:jc w:val="left"/>
        <w:spacing w:before="0" w:after="0" w:line="240" w:lineRule="auto"/>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6.采购人或采购代理机构有权将以上内容进行公示。</w:t>
      </w:r>
      <w:r>
        <w:rPr>
          <w:rFonts w:hint="eastAsia" w:ascii="宋体" w:hAnsi="宋体" w:eastAsia="宋体" w:cs="宋体"/>
          <w:sz w:val="24"/>
          <w:szCs w:val="24"/>
        </w:rPr>
      </w:r>
      <w:r/>
    </w:p>
    <w:p>
      <w:pPr>
        <w:pStyle w:val="1053"/>
        <w:jc w:val="center"/>
        <w:widowControl/>
        <w:rPr>
          <w:rFonts w:hint="eastAsia" w:ascii="宋体" w:hAnsi="宋体" w:eastAsia="宋体" w:cs="宋体"/>
          <w:b/>
          <w:sz w:val="28"/>
          <w:szCs w:val="28"/>
        </w:rPr>
      </w:pPr>
      <w:r>
        <w:rPr>
          <w:rFonts w:hint="eastAsia" w:ascii="宋体" w:hAnsi="宋体" w:eastAsia="宋体" w:cs="宋体"/>
          <w:b/>
          <w:sz w:val="28"/>
          <w:szCs w:val="28"/>
        </w:rPr>
        <w:t xml:space="preserve">《关于符合本国产品标准的声明函》附件</w:t>
      </w:r>
      <w:r>
        <w:rPr>
          <w:rFonts w:hint="eastAsia" w:ascii="宋体" w:hAnsi="宋体" w:eastAsia="宋体" w:cs="宋体"/>
          <w:b/>
          <w:sz w:val="28"/>
          <w:szCs w:val="28"/>
        </w:rPr>
      </w:r>
      <w:r/>
    </w:p>
    <w:p>
      <w:pPr>
        <w:pStyle w:val="1053"/>
        <w:jc w:val="center"/>
        <w:widowControl/>
        <w:rPr>
          <w:rFonts w:hint="eastAsia" w:ascii="宋体" w:hAnsi="宋体" w:eastAsia="宋体" w:cs="宋体"/>
          <w:b/>
          <w:sz w:val="28"/>
          <w:szCs w:val="28"/>
        </w:rPr>
      </w:pPr>
      <w:r>
        <w:rPr>
          <w:rFonts w:hint="eastAsia" w:ascii="宋体" w:hAnsi="宋体" w:eastAsia="宋体" w:cs="宋体"/>
          <w:b/>
          <w:sz w:val="28"/>
          <w:szCs w:val="28"/>
        </w:rPr>
        <w:t xml:space="preserve">成本比例声明函</w:t>
      </w:r>
      <w:r>
        <w:rPr>
          <w:rFonts w:hint="eastAsia" w:ascii="宋体" w:hAnsi="宋体" w:eastAsia="宋体" w:cs="宋体"/>
          <w:b/>
          <w:sz w:val="28"/>
          <w:szCs w:val="28"/>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t xml:space="preserve">(适用于采购项目或者采购包中含有多种产品时，不提供或者提供声明的比例达不到要求时，不享受价格扣除)</w:t>
      </w: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郑重声明，根据《国务院办公厅关于在政府采购中实施本国产品标准及相关政策的通知》(国办发[2025)34号)的规定，本公司(单位)提供的全部产品中，符合本国产品标准的产品成本之和占本公司(单位)提供的全部产品成本之和的比例达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%(填写具体百分比)。</w:t>
      </w: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t xml:space="preserve">本公司(单位)对上述声明内容的真实性负责。如有虚假，愿承担相应法律责任。</w:t>
      </w: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t xml:space="preserve">公司(单位)名称(盖章/加盖CA电子公章):       </w:t>
      </w: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pPr>
      <w:r>
        <w:rPr>
          <w:rFonts w:hint="eastAsia" w:ascii="宋体" w:hAnsi="宋体" w:eastAsia="宋体" w:cs="宋体"/>
          <w:sz w:val="24"/>
          <w:szCs w:val="24"/>
        </w:rPr>
      </w:r>
      <w:r/>
    </w:p>
    <w:p>
      <w:pPr>
        <w:pStyle w:val="1053"/>
        <w:ind w:firstLine="480"/>
        <w:jc w:val="left"/>
        <w:rPr>
          <w:rFonts w:hint="eastAsia" w:ascii="宋体" w:hAnsi="宋体" w:eastAsia="宋体" w:cs="宋体"/>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24"/>
          <w:szCs w:val="24"/>
        </w:rPr>
        <w:t xml:space="preserve">注:根据《国务院办公厅关于在政府采购中实施本国产品标准及相关政策的通知》(国办发〔2025〕34号)的规定，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eastAsia="宋体" w:cs="宋体"/>
          <w:sz w:val="24"/>
          <w:szCs w:val="24"/>
        </w:rPr>
      </w:r>
      <w:r/>
    </w:p>
    <w:p>
      <w:pPr>
        <w:pStyle w:val="1053"/>
        <w:jc w:val="center"/>
        <w:rPr>
          <w:rFonts w:hint="eastAsia" w:ascii="宋体" w:hAnsi="宋体" w:eastAsia="宋体" w:cs="宋体"/>
          <w:sz w:val="32"/>
          <w:szCs w:val="32"/>
        </w:rPr>
      </w:pPr>
      <w:r>
        <w:rPr>
          <w:rFonts w:hint="eastAsia" w:ascii="宋体" w:hAnsi="宋体" w:eastAsia="宋体" w:cs="宋体"/>
          <w:sz w:val="32"/>
          <w:szCs w:val="32"/>
        </w:rPr>
        <w:t xml:space="preserve">4.资格审查</w:t>
      </w:r>
      <w:r>
        <w:rPr>
          <w:rFonts w:hint="eastAsia" w:ascii="宋体" w:hAnsi="宋体" w:eastAsia="宋体" w:cs="宋体"/>
          <w:sz w:val="32"/>
          <w:szCs w:val="32"/>
        </w:rPr>
      </w:r>
      <w:r/>
    </w:p>
    <w:p>
      <w:pPr>
        <w:pStyle w:val="1053"/>
        <w:ind w:firstLine="480"/>
        <w:jc w:val="left"/>
        <w:spacing w:before="0" w:after="0" w:line="440" w:lineRule="exact"/>
        <w:rPr>
          <w:rFonts w:hint="eastAsia" w:ascii="宋体" w:hAnsi="宋体" w:eastAsia="宋体" w:cs="宋体"/>
          <w:sz w:val="24"/>
          <w:szCs w:val="24"/>
        </w:rPr>
      </w:pPr>
      <w:r>
        <w:rPr>
          <w:rFonts w:hint="eastAsia" w:ascii="宋体" w:hAnsi="宋体" w:eastAsia="宋体" w:cs="宋体"/>
          <w:bCs/>
          <w:sz w:val="24"/>
          <w:szCs w:val="24"/>
        </w:rPr>
        <w:t xml:space="preserve">供应商根据第一章招标公告中第二项投标人资质要求，逐一提供相应资质文件，并加盖公章；根据文件内容提供</w:t>
      </w:r>
      <w:r>
        <w:rPr>
          <w:rFonts w:hint="eastAsia" w:ascii="宋体" w:hAnsi="宋体" w:eastAsia="宋体" w:cs="宋体"/>
          <w:sz w:val="24"/>
          <w:szCs w:val="24"/>
        </w:rPr>
        <w:t xml:space="preserve">相关承诺，格式自拟，并</w:t>
      </w:r>
      <w:r>
        <w:rPr>
          <w:rFonts w:hint="eastAsia" w:ascii="宋体" w:hAnsi="宋体" w:eastAsia="宋体" w:cs="宋体"/>
          <w:bCs/>
          <w:sz w:val="24"/>
          <w:szCs w:val="24"/>
        </w:rPr>
        <w:t xml:space="preserve">加盖公章</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53"/>
        <w:jc w:val="center"/>
        <w:spacing w:before="0" w:after="0" w:line="440" w:lineRule="exact"/>
        <w:rPr>
          <w:rFonts w:hint="eastAsia" w:ascii="宋体" w:hAnsi="宋体" w:eastAsia="宋体" w:cs="宋体"/>
          <w:b/>
          <w:sz w:val="24"/>
          <w:szCs w:val="24"/>
        </w:rPr>
      </w:pPr>
      <w:r>
        <w:rPr>
          <w:rFonts w:hint="eastAsia" w:ascii="宋体" w:hAnsi="宋体" w:eastAsia="宋体" w:cs="宋体"/>
          <w:b/>
          <w:sz w:val="24"/>
          <w:szCs w:val="24"/>
        </w:rPr>
        <w:t xml:space="preserve">（1）资格审查承诺函（格式）</w:t>
      </w:r>
      <w:r>
        <w:rPr>
          <w:rFonts w:hint="eastAsia" w:ascii="宋体" w:hAnsi="宋体" w:eastAsia="宋体" w:cs="宋体"/>
          <w:b/>
          <w:sz w:val="24"/>
          <w:szCs w:val="24"/>
        </w:rPr>
      </w:r>
      <w:r/>
    </w:p>
    <w:p>
      <w:pPr>
        <w:pStyle w:val="1053"/>
        <w:widowControl/>
        <w:rPr>
          <w:rFonts w:hint="eastAsia" w:ascii="宋体" w:hAnsi="宋体" w:eastAsia="宋体" w:cs="宋体"/>
          <w:sz w:val="24"/>
          <w:szCs w:val="24"/>
        </w:rPr>
      </w:pPr>
      <w:r>
        <w:rPr>
          <w:rFonts w:hint="eastAsia" w:ascii="宋体" w:hAnsi="宋体" w:eastAsia="宋体" w:cs="宋体"/>
          <w:sz w:val="24"/>
          <w:szCs w:val="24"/>
        </w:rPr>
        <w:t xml:space="preserve">致：江苏省计量科学研究院（江苏省能源计量数据中心）、江苏海外集团国际工程咨询有限公司</w:t>
      </w:r>
      <w:r>
        <w:rPr>
          <w:rFonts w:hint="eastAsia" w:ascii="宋体" w:hAnsi="宋体" w:eastAsia="宋体" w:cs="宋体"/>
          <w:sz w:val="24"/>
          <w:szCs w:val="24"/>
        </w:rPr>
      </w:r>
      <w:r/>
    </w:p>
    <w:p>
      <w:pPr>
        <w:pStyle w:val="1053"/>
        <w:ind w:firstLine="420"/>
        <w:widowControl/>
        <w:rPr>
          <w:rFonts w:hint="eastAsia" w:ascii="宋体" w:hAnsi="宋体" w:eastAsia="宋体" w:cs="宋体"/>
          <w:sz w:val="24"/>
          <w:szCs w:val="24"/>
        </w:rPr>
      </w:pPr>
      <w:r>
        <w:rPr>
          <w:rFonts w:hint="eastAsia" w:ascii="宋体" w:hAnsi="宋体" w:eastAsia="宋体" w:cs="宋体"/>
          <w:sz w:val="24"/>
          <w:szCs w:val="24"/>
        </w:rPr>
        <w:t xml:space="preserve">为确保</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招标工作顺利进行，我公司在此承诺：</w:t>
      </w:r>
      <w:r>
        <w:rPr>
          <w:rFonts w:hint="eastAsia" w:ascii="宋体" w:hAnsi="宋体" w:eastAsia="宋体" w:cs="宋体"/>
          <w:sz w:val="24"/>
          <w:szCs w:val="24"/>
        </w:rPr>
      </w:r>
      <w:r/>
    </w:p>
    <w:p>
      <w:pPr>
        <w:pStyle w:val="1053"/>
        <w:ind w:firstLine="420"/>
        <w:widowControl/>
        <w:rPr>
          <w:rFonts w:hint="eastAsia" w:ascii="宋体" w:hAnsi="宋体" w:eastAsia="宋体" w:cs="宋体"/>
          <w:sz w:val="24"/>
          <w:szCs w:val="24"/>
        </w:rPr>
      </w:pPr>
      <w:r>
        <w:rPr>
          <w:rFonts w:hint="eastAsia" w:ascii="宋体" w:hAnsi="宋体" w:eastAsia="宋体" w:cs="宋体"/>
          <w:sz w:val="24"/>
          <w:szCs w:val="24"/>
        </w:rPr>
        <w:t xml:space="preserve">1.我公司未处于被责令停业、投标资格被取消或者财产被接管，冻结和破产状态。</w:t>
      </w:r>
      <w:r>
        <w:rPr>
          <w:rFonts w:hint="eastAsia" w:ascii="宋体" w:hAnsi="宋体" w:eastAsia="宋体" w:cs="宋体"/>
          <w:sz w:val="24"/>
          <w:szCs w:val="24"/>
        </w:rPr>
      </w:r>
      <w:r/>
    </w:p>
    <w:p>
      <w:pPr>
        <w:pStyle w:val="1053"/>
        <w:ind w:firstLine="420"/>
        <w:widowControl/>
        <w:rPr>
          <w:rFonts w:hint="eastAsia" w:ascii="宋体" w:hAnsi="宋体" w:eastAsia="宋体" w:cs="宋体"/>
          <w:sz w:val="24"/>
          <w:szCs w:val="24"/>
        </w:rPr>
      </w:pPr>
      <w:r>
        <w:rPr>
          <w:rFonts w:hint="eastAsia" w:ascii="宋体" w:hAnsi="宋体" w:eastAsia="宋体" w:cs="宋体"/>
          <w:sz w:val="24"/>
          <w:szCs w:val="24"/>
        </w:rPr>
        <w:t xml:space="preserve">2.我公司的资格审查资料中的重要内容没有失实或弄虚作假。</w:t>
      </w:r>
      <w:r>
        <w:rPr>
          <w:rFonts w:hint="eastAsia" w:ascii="宋体" w:hAnsi="宋体" w:eastAsia="宋体" w:cs="宋体"/>
          <w:sz w:val="24"/>
          <w:szCs w:val="24"/>
        </w:rPr>
      </w:r>
      <w:r/>
    </w:p>
    <w:p>
      <w:pPr>
        <w:pStyle w:val="1053"/>
        <w:ind w:firstLine="420"/>
        <w:widowControl/>
        <w:rPr>
          <w:rFonts w:hint="eastAsia" w:ascii="宋体" w:hAnsi="宋体" w:eastAsia="宋体" w:cs="宋体"/>
          <w:sz w:val="24"/>
          <w:szCs w:val="24"/>
        </w:rPr>
      </w:pPr>
      <w:r>
        <w:rPr>
          <w:rFonts w:hint="eastAsia" w:ascii="宋体" w:hAnsi="宋体" w:eastAsia="宋体" w:cs="宋体"/>
          <w:sz w:val="24"/>
          <w:szCs w:val="24"/>
        </w:rPr>
        <w:t xml:space="preserve">3.我公司符合法律、法规规定的其他条件。</w:t>
      </w:r>
      <w:r>
        <w:rPr>
          <w:rFonts w:hint="eastAsia" w:ascii="宋体" w:hAnsi="宋体" w:eastAsia="宋体" w:cs="宋体"/>
          <w:sz w:val="24"/>
          <w:szCs w:val="24"/>
        </w:rPr>
      </w:r>
      <w:r/>
    </w:p>
    <w:p>
      <w:pPr>
        <w:pStyle w:val="1053"/>
        <w:ind w:firstLine="420"/>
        <w:widowControl/>
        <w:rPr>
          <w:rFonts w:hint="eastAsia" w:ascii="宋体" w:hAnsi="宋体" w:eastAsia="宋体" w:cs="宋体"/>
          <w:sz w:val="24"/>
          <w:szCs w:val="24"/>
        </w:rPr>
      </w:pPr>
      <w:r>
        <w:rPr>
          <w:rFonts w:hint="eastAsia" w:ascii="宋体" w:hAnsi="宋体" w:eastAsia="宋体" w:cs="宋体"/>
          <w:sz w:val="24"/>
          <w:szCs w:val="24"/>
        </w:rPr>
        <w:t xml:space="preserve">4.我公司无下列行为：</w:t>
      </w:r>
      <w:r>
        <w:rPr>
          <w:rFonts w:hint="eastAsia" w:ascii="宋体" w:hAnsi="宋体" w:eastAsia="宋体" w:cs="宋体"/>
          <w:sz w:val="24"/>
          <w:szCs w:val="24"/>
        </w:rPr>
      </w:r>
      <w:r/>
    </w:p>
    <w:p>
      <w:pPr>
        <w:pStyle w:val="1053"/>
        <w:ind w:firstLine="420"/>
        <w:widowControl/>
        <w:rPr>
          <w:rFonts w:hint="eastAsia" w:ascii="宋体" w:hAnsi="宋体" w:eastAsia="宋体" w:cs="宋体"/>
          <w:sz w:val="24"/>
          <w:szCs w:val="24"/>
        </w:rPr>
      </w:pPr>
      <w:r>
        <w:rPr>
          <w:rFonts w:hint="eastAsia" w:ascii="宋体" w:hAnsi="宋体" w:eastAsia="宋体" w:cs="宋体"/>
          <w:sz w:val="24"/>
          <w:szCs w:val="24"/>
        </w:rPr>
        <w:t xml:space="preserve">（1）有违反法律、法规行为，依法被取消投标资格且期限未满的；</w:t>
      </w:r>
      <w:r>
        <w:rPr>
          <w:rFonts w:hint="eastAsia" w:ascii="宋体" w:hAnsi="宋体" w:eastAsia="宋体" w:cs="宋体"/>
          <w:sz w:val="24"/>
          <w:szCs w:val="24"/>
        </w:rPr>
      </w:r>
      <w:r/>
    </w:p>
    <w:p>
      <w:pPr>
        <w:pStyle w:val="1053"/>
        <w:ind w:firstLine="420"/>
        <w:widowControl/>
        <w:rPr>
          <w:rFonts w:hint="eastAsia" w:ascii="宋体" w:hAnsi="宋体" w:eastAsia="宋体" w:cs="宋体"/>
          <w:sz w:val="24"/>
          <w:szCs w:val="24"/>
        </w:rPr>
      </w:pPr>
      <w:r>
        <w:rPr>
          <w:rFonts w:hint="eastAsia" w:ascii="宋体" w:hAnsi="宋体" w:eastAsia="宋体" w:cs="宋体"/>
          <w:sz w:val="24"/>
          <w:szCs w:val="24"/>
        </w:rPr>
        <w:t xml:space="preserve">（2）因招标活动中有违法违规和不良行为，被有关行政监督部门公示且公示期限未满的。</w:t>
      </w:r>
      <w:r>
        <w:rPr>
          <w:rFonts w:hint="eastAsia" w:ascii="宋体" w:hAnsi="宋体" w:eastAsia="宋体" w:cs="宋体"/>
          <w:sz w:val="24"/>
          <w:szCs w:val="24"/>
        </w:rPr>
      </w:r>
      <w:r/>
    </w:p>
    <w:p>
      <w:pPr>
        <w:pStyle w:val="1053"/>
        <w:ind w:firstLine="420"/>
        <w:widowControl/>
        <w:rPr>
          <w:rFonts w:hint="eastAsia" w:ascii="宋体" w:hAnsi="宋体" w:eastAsia="宋体" w:cs="宋体"/>
          <w:sz w:val="24"/>
          <w:szCs w:val="24"/>
        </w:rPr>
      </w:pPr>
      <w:r>
        <w:rPr>
          <w:rFonts w:hint="eastAsia" w:ascii="宋体" w:hAnsi="宋体" w:eastAsia="宋体" w:cs="宋体"/>
          <w:sz w:val="24"/>
          <w:szCs w:val="24"/>
        </w:rPr>
        <w:t xml:space="preserve">5.在参加本次政府采购活动中不存在与参加本项目的其他供应商单位负责人为同一人或者存在直接控股、管理关系的情形。</w:t>
      </w:r>
      <w:r>
        <w:rPr>
          <w:rFonts w:hint="eastAsia" w:ascii="宋体" w:hAnsi="宋体" w:eastAsia="宋体" w:cs="宋体"/>
          <w:sz w:val="24"/>
          <w:szCs w:val="24"/>
        </w:rPr>
      </w:r>
      <w:r/>
    </w:p>
    <w:p>
      <w:pPr>
        <w:pStyle w:val="1053"/>
        <w:ind w:firstLine="420"/>
        <w:widowControl/>
        <w:rPr>
          <w:rFonts w:hint="eastAsia" w:ascii="宋体" w:hAnsi="宋体" w:eastAsia="宋体" w:cs="宋体"/>
          <w:sz w:val="24"/>
          <w:szCs w:val="24"/>
        </w:rPr>
      </w:pPr>
      <w:r>
        <w:rPr>
          <w:rFonts w:hint="eastAsia" w:ascii="宋体" w:hAnsi="宋体" w:eastAsia="宋体" w:cs="宋体"/>
          <w:sz w:val="24"/>
          <w:szCs w:val="24"/>
        </w:rPr>
        <w:t xml:space="preserve">6.我公司中标后，不对本项目转包、分包。</w:t>
      </w:r>
      <w:r>
        <w:rPr>
          <w:rFonts w:hint="eastAsia" w:ascii="宋体" w:hAnsi="宋体" w:eastAsia="宋体" w:cs="宋体"/>
          <w:sz w:val="24"/>
          <w:szCs w:val="24"/>
        </w:rPr>
      </w:r>
      <w:r/>
    </w:p>
    <w:p>
      <w:pPr>
        <w:pStyle w:val="1053"/>
        <w:ind w:firstLine="420"/>
        <w:widowControl/>
        <w:rPr>
          <w:rFonts w:hint="eastAsia" w:ascii="宋体" w:hAnsi="宋体" w:eastAsia="宋体" w:cs="宋体"/>
          <w:sz w:val="24"/>
          <w:szCs w:val="24"/>
        </w:rPr>
      </w:pPr>
      <w:r>
        <w:rPr>
          <w:rFonts w:hint="eastAsia" w:ascii="宋体" w:hAnsi="宋体" w:eastAsia="宋体" w:cs="宋体"/>
          <w:sz w:val="24"/>
          <w:szCs w:val="24"/>
        </w:rPr>
        <w:t xml:space="preserve">7.我公司未为采购项目提供整体设计、规范编制或者项目管理、监理、检测等服务。</w:t>
      </w:r>
      <w:r>
        <w:rPr>
          <w:rFonts w:hint="eastAsia" w:ascii="宋体" w:hAnsi="宋体" w:eastAsia="宋体" w:cs="宋体"/>
          <w:sz w:val="24"/>
          <w:szCs w:val="24"/>
        </w:rPr>
      </w:r>
      <w:r/>
    </w:p>
    <w:p>
      <w:pPr>
        <w:pStyle w:val="1053"/>
        <w:ind w:firstLine="420"/>
        <w:widowControl/>
        <w:rPr>
          <w:rFonts w:hint="eastAsia" w:ascii="宋体" w:hAnsi="宋体" w:eastAsia="宋体" w:cs="宋体"/>
          <w:sz w:val="24"/>
          <w:szCs w:val="24"/>
        </w:rPr>
      </w:pPr>
      <w:r>
        <w:rPr>
          <w:rFonts w:hint="eastAsia" w:ascii="宋体" w:hAnsi="宋体" w:eastAsia="宋体" w:cs="宋体"/>
          <w:sz w:val="24"/>
          <w:szCs w:val="24"/>
        </w:rPr>
        <w:t xml:space="preserve">8.我公司投标文件中的重要内容没有失实或弄虚作假。</w:t>
      </w:r>
      <w:r>
        <w:rPr>
          <w:rFonts w:hint="eastAsia" w:ascii="宋体" w:hAnsi="宋体" w:eastAsia="宋体" w:cs="宋体"/>
          <w:sz w:val="24"/>
          <w:szCs w:val="24"/>
        </w:rPr>
      </w:r>
      <w:r/>
    </w:p>
    <w:p>
      <w:pPr>
        <w:pStyle w:val="1053"/>
        <w:widowControl/>
        <w:rPr>
          <w:rFonts w:hint="eastAsia" w:ascii="宋体" w:hAnsi="宋体" w:eastAsia="宋体" w:cs="宋体"/>
          <w:sz w:val="24"/>
          <w:szCs w:val="24"/>
        </w:rPr>
      </w:pPr>
      <w:r>
        <w:rPr>
          <w:rFonts w:hint="eastAsia" w:ascii="宋体" w:hAnsi="宋体" w:eastAsia="宋体" w:cs="宋体"/>
          <w:sz w:val="24"/>
          <w:szCs w:val="24"/>
        </w:rPr>
        <w:t xml:space="preserve">本公司对上述承诺的真实性负责。如有虚假，将依法承担相应责任。</w:t>
      </w:r>
      <w:r>
        <w:rPr>
          <w:rFonts w:hint="eastAsia" w:ascii="宋体" w:hAnsi="宋体" w:eastAsia="宋体" w:cs="宋体"/>
          <w:sz w:val="24"/>
          <w:szCs w:val="24"/>
        </w:rPr>
      </w:r>
      <w:r/>
    </w:p>
    <w:p>
      <w:pPr>
        <w:pStyle w:val="1053"/>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1053"/>
        <w:ind w:firstLine="480"/>
        <w:widowControl/>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53"/>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53"/>
        <w:ind w:firstLine="470"/>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53"/>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53"/>
        <w:jc w:val="center"/>
        <w:widowControl/>
        <w:rPr>
          <w:rFonts w:hint="eastAsia" w:ascii="宋体" w:hAnsi="宋体" w:eastAsia="宋体" w:cs="宋体"/>
          <w:b/>
          <w:sz w:val="28"/>
          <w:szCs w:val="28"/>
        </w:rPr>
      </w:pPr>
      <w:r>
        <w:rPr>
          <w:rFonts w:hint="eastAsia" w:ascii="宋体" w:hAnsi="宋体" w:eastAsia="宋体" w:cs="宋体"/>
          <w:b/>
          <w:sz w:val="24"/>
          <w:szCs w:val="24"/>
        </w:rPr>
        <w:t xml:space="preserve">（2）无重大违法记录声明函（格式）</w:t>
      </w:r>
      <w:r>
        <w:rPr>
          <w:rFonts w:hint="eastAsia" w:ascii="宋体" w:hAnsi="宋体" w:eastAsia="宋体" w:cs="宋体"/>
          <w:b/>
          <w:sz w:val="28"/>
          <w:szCs w:val="28"/>
        </w:rPr>
      </w:r>
      <w:r/>
    </w:p>
    <w:p>
      <w:pPr>
        <w:pStyle w:val="1053"/>
        <w:widowControl/>
        <w:rPr>
          <w:rFonts w:hint="eastAsia" w:ascii="宋体" w:hAnsi="宋体" w:eastAsia="宋体" w:cs="宋体"/>
          <w:sz w:val="24"/>
          <w:szCs w:val="24"/>
        </w:rPr>
      </w:pPr>
      <w:r>
        <w:rPr>
          <w:rFonts w:hint="eastAsia" w:ascii="宋体" w:hAnsi="宋体" w:eastAsia="宋体" w:cs="宋体"/>
          <w:sz w:val="24"/>
          <w:szCs w:val="24"/>
        </w:rPr>
        <w:t xml:space="preserve">致：江苏省计量科学研究院（江苏省能源计量数据中心）、江苏海外集团国际工程咨询有限公司</w:t>
      </w:r>
      <w:r>
        <w:rPr>
          <w:rFonts w:hint="eastAsia" w:ascii="宋体" w:hAnsi="宋体" w:eastAsia="宋体" w:cs="宋体"/>
          <w:sz w:val="24"/>
          <w:szCs w:val="24"/>
        </w:rPr>
      </w:r>
      <w:r/>
    </w:p>
    <w:p>
      <w:pPr>
        <w:pStyle w:val="1053"/>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我公司郑重声明：参加本次政府采购活动前 3 年内，我公司在经营活动中没有重大违法记录，没有因违法经营受到刑事处罚或者责令停产停业、吊销许可证或者执照、较大数额罚款等行政处罚。</w:t>
      </w:r>
      <w:r>
        <w:rPr>
          <w:rFonts w:hint="eastAsia" w:ascii="宋体" w:hAnsi="宋体" w:eastAsia="宋体" w:cs="宋体"/>
          <w:sz w:val="24"/>
          <w:szCs w:val="24"/>
        </w:rPr>
      </w:r>
      <w:r/>
    </w:p>
    <w:p>
      <w:pPr>
        <w:pStyle w:val="1053"/>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5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5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5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53"/>
        <w:rPr>
          <w:rFonts w:hint="eastAsia" w:ascii="宋体" w:hAnsi="宋体" w:eastAsia="宋体" w:cs="宋体"/>
          <w:sz w:val="24"/>
          <w:szCs w:val="24"/>
        </w:rPr>
      </w:pPr>
      <w:r>
        <w:rPr>
          <w:rFonts w:hint="eastAsia" w:ascii="宋体" w:hAnsi="宋体" w:eastAsia="宋体" w:cs="宋体"/>
          <w:sz w:val="24"/>
          <w:szCs w:val="24"/>
        </w:rPr>
      </w:r>
      <w:r/>
    </w:p>
    <w:p>
      <w:pPr>
        <w:pStyle w:val="1053"/>
        <w:jc w:val="center"/>
        <w:widowControl/>
        <w:rPr>
          <w:rFonts w:hint="eastAsia" w:ascii="宋体" w:hAnsi="宋体" w:eastAsia="宋体" w:cs="宋体"/>
          <w:b/>
          <w:sz w:val="28"/>
          <w:szCs w:val="28"/>
        </w:rPr>
      </w:pPr>
      <w:r>
        <w:rPr>
          <w:rFonts w:hint="eastAsia" w:ascii="宋体" w:hAnsi="宋体" w:eastAsia="宋体" w:cs="宋体"/>
          <w:b/>
          <w:sz w:val="24"/>
          <w:szCs w:val="24"/>
        </w:rPr>
        <w:t xml:space="preserve">（3）具备履行合同所必需的设备和专业技术能力的书面声明（格式）</w:t>
      </w:r>
      <w:r>
        <w:rPr>
          <w:rFonts w:hint="eastAsia" w:ascii="宋体" w:hAnsi="宋体" w:eastAsia="宋体" w:cs="宋体"/>
          <w:b/>
          <w:sz w:val="28"/>
          <w:szCs w:val="28"/>
        </w:rPr>
      </w:r>
      <w:r/>
    </w:p>
    <w:p>
      <w:pPr>
        <w:pStyle w:val="1053"/>
        <w:widowControl/>
        <w:rPr>
          <w:rFonts w:hint="eastAsia" w:ascii="宋体" w:hAnsi="宋体" w:eastAsia="宋体" w:cs="宋体"/>
          <w:sz w:val="24"/>
          <w:szCs w:val="24"/>
        </w:rPr>
      </w:pPr>
      <w:r>
        <w:rPr>
          <w:rFonts w:hint="eastAsia" w:ascii="宋体" w:hAnsi="宋体" w:eastAsia="宋体" w:cs="宋体"/>
          <w:sz w:val="24"/>
          <w:szCs w:val="24"/>
        </w:rPr>
        <w:t xml:space="preserve">致：江苏省计量科学研究院（江苏省能源计量数据中心）、江苏海外集团国际工程咨询有限公司</w:t>
      </w:r>
      <w:r>
        <w:rPr>
          <w:rFonts w:hint="eastAsia" w:ascii="宋体" w:hAnsi="宋体" w:eastAsia="宋体" w:cs="宋体"/>
          <w:sz w:val="24"/>
          <w:szCs w:val="24"/>
        </w:rPr>
      </w:r>
      <w:r/>
    </w:p>
    <w:p>
      <w:pPr>
        <w:pStyle w:val="1053"/>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我公司郑重声明：我公司具备履行本项采购合同所必需的设备和专业技术能力，为履行本项采购合同我公司具备如下主要设备和主要专业技术能力：</w:t>
      </w:r>
      <w:r>
        <w:rPr>
          <w:rFonts w:hint="eastAsia" w:ascii="宋体" w:hAnsi="宋体" w:eastAsia="宋体" w:cs="宋体"/>
          <w:sz w:val="24"/>
          <w:szCs w:val="24"/>
        </w:rPr>
      </w:r>
      <w:r/>
    </w:p>
    <w:p>
      <w:pPr>
        <w:pStyle w:val="1053"/>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主要设备有：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53"/>
        <w:ind w:firstLine="480"/>
        <w:spacing w:before="0" w:after="0" w:line="480" w:lineRule="auto"/>
        <w:rPr>
          <w:rFonts w:hint="eastAsia" w:ascii="宋体" w:hAnsi="宋体" w:eastAsia="宋体" w:cs="宋体"/>
          <w:sz w:val="24"/>
          <w:szCs w:val="24"/>
        </w:rPr>
      </w:pPr>
      <w:r>
        <w:rPr>
          <w:rFonts w:hint="eastAsia" w:ascii="宋体" w:hAnsi="宋体" w:eastAsia="宋体" w:cs="宋体"/>
          <w:sz w:val="24"/>
          <w:szCs w:val="24"/>
        </w:rPr>
        <w:t xml:space="preserve">主要专业技术能力有：</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w:t>
      </w:r>
      <w:r>
        <w:rPr>
          <w:rFonts w:hint="eastAsia" w:ascii="宋体" w:hAnsi="宋体" w:eastAsia="宋体" w:cs="宋体"/>
          <w:sz w:val="24"/>
          <w:szCs w:val="24"/>
        </w:rPr>
      </w:r>
      <w:r/>
    </w:p>
    <w:p>
      <w:pPr>
        <w:pStyle w:val="1053"/>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5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5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5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53"/>
        <w:jc w:val="center"/>
        <w:widowControl/>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5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（4）声明函（格式）</w:t>
      </w:r>
      <w:r>
        <w:rPr>
          <w:rFonts w:hint="eastAsia" w:ascii="宋体" w:hAnsi="宋体" w:eastAsia="宋体" w:cs="宋体"/>
          <w:b/>
          <w:sz w:val="24"/>
          <w:szCs w:val="24"/>
        </w:rPr>
      </w:r>
      <w:r/>
    </w:p>
    <w:p>
      <w:pPr>
        <w:pStyle w:val="1053"/>
        <w:widowControl/>
        <w:rPr>
          <w:rFonts w:hint="eastAsia" w:ascii="宋体" w:hAnsi="宋体" w:eastAsia="宋体" w:cs="宋体"/>
          <w:sz w:val="24"/>
          <w:szCs w:val="24"/>
        </w:rPr>
      </w:pPr>
      <w:r>
        <w:rPr>
          <w:rFonts w:hint="eastAsia" w:ascii="宋体" w:hAnsi="宋体" w:eastAsia="宋体" w:cs="宋体"/>
          <w:sz w:val="24"/>
          <w:szCs w:val="24"/>
        </w:rPr>
        <w:t xml:space="preserve">致：江苏省计量科学研究院（江苏省能源计量数据中心）、江苏海外集团国际工程咨询有限公司</w:t>
      </w:r>
      <w:r>
        <w:rPr>
          <w:rFonts w:hint="eastAsia" w:ascii="宋体" w:hAnsi="宋体" w:eastAsia="宋体" w:cs="宋体"/>
          <w:sz w:val="24"/>
          <w:szCs w:val="24"/>
        </w:rPr>
      </w:r>
      <w:r/>
    </w:p>
    <w:p>
      <w:pPr>
        <w:pStyle w:val="1053"/>
        <w:ind w:firstLine="480"/>
        <w:spacing w:before="0" w:after="0"/>
        <w:rPr>
          <w:rFonts w:hint="eastAsia" w:ascii="宋体" w:hAnsi="宋体" w:eastAsia="宋体" w:cs="宋体"/>
        </w:rPr>
      </w:pPr>
      <w:r>
        <w:rPr>
          <w:rFonts w:hint="eastAsia" w:ascii="宋体" w:hAnsi="宋体" w:eastAsia="宋体" w:cs="宋体"/>
          <w:sz w:val="24"/>
          <w:szCs w:val="24"/>
        </w:rPr>
        <w:t xml:space="preserve">我公司郑重声明：在提交投标文件时，未被国家财政部指定的信用记录查询渠道（中国政府采购网www.ccgp.gov.cn、信用中国网站</w:t>
      </w:r>
      <w:r>
        <w:rPr>
          <w:rFonts w:hint="eastAsia" w:ascii="宋体" w:hAnsi="宋体" w:eastAsia="宋体" w:cs="宋体"/>
          <w:sz w:val="24"/>
          <w:szCs w:val="24"/>
        </w:rPr>
        <w:fldChar w:fldCharType="begin"/>
      </w:r>
      <w:r>
        <w:rPr>
          <w:rFonts w:hint="eastAsia" w:ascii="宋体" w:hAnsi="宋体" w:eastAsia="宋体" w:cs="宋体"/>
          <w:sz w:val="24"/>
          <w:szCs w:val="24"/>
        </w:rPr>
        <w:instrText xml:space="preserve"> HYPERLINK "http://www.creditchina.gov.cn" </w:instrText>
      </w:r>
      <w:r>
        <w:rPr>
          <w:rFonts w:hint="eastAsia" w:ascii="宋体" w:hAnsi="宋体" w:eastAsia="宋体" w:cs="宋体"/>
          <w:sz w:val="24"/>
          <w:szCs w:val="24"/>
        </w:rPr>
        <w:fldChar w:fldCharType="separate"/>
      </w:r>
      <w:r>
        <w:rPr>
          <w:rFonts w:hint="eastAsia" w:ascii="宋体" w:hAnsi="宋体" w:eastAsia="宋体" w:cs="宋体"/>
          <w:sz w:val="24"/>
          <w:szCs w:val="24"/>
        </w:rPr>
        <w:t xml:space="preserve">www.creditchina.gov.cn</w:t>
      </w:r>
      <w:r>
        <w:rPr>
          <w:rFonts w:hint="eastAsia" w:ascii="宋体" w:hAnsi="宋体" w:eastAsia="宋体" w:cs="宋体"/>
          <w:sz w:val="24"/>
          <w:szCs w:val="24"/>
        </w:rPr>
        <w:fldChar w:fldCharType="end"/>
      </w:r>
      <w:r>
        <w:rPr>
          <w:rFonts w:hint="eastAsia" w:ascii="宋体" w:hAnsi="宋体" w:eastAsia="宋体" w:cs="宋体"/>
          <w:sz w:val="24"/>
          <w:szCs w:val="24"/>
        </w:rPr>
        <w:t xml:space="preserve">）列入失信被执行主体、重大税收违法案件当事主体、政府采购严重违法失信行为当事主体等严重失信记录名单。</w:t>
      </w:r>
      <w:r>
        <w:rPr>
          <w:rFonts w:hint="eastAsia" w:ascii="宋体" w:hAnsi="宋体" w:eastAsia="宋体" w:cs="宋体"/>
        </w:rPr>
      </w:r>
      <w:r/>
    </w:p>
    <w:p>
      <w:pPr>
        <w:pStyle w:val="1053"/>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特此声明！</w:t>
      </w:r>
      <w:r>
        <w:rPr>
          <w:rFonts w:hint="eastAsia" w:ascii="宋体" w:hAnsi="宋体" w:eastAsia="宋体" w:cs="宋体"/>
          <w:sz w:val="24"/>
          <w:szCs w:val="24"/>
        </w:rPr>
      </w:r>
      <w:r/>
    </w:p>
    <w:p>
      <w:pPr>
        <w:pStyle w:val="105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5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53"/>
        <w:ind w:left="420"/>
        <w:spacing w:before="0" w:line="44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53"/>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中国政府采购网自查截图：</w:t>
      </w:r>
      <w:r>
        <w:rPr>
          <w:rFonts w:hint="eastAsia" w:ascii="宋体" w:hAnsi="宋体" w:eastAsia="宋体" w:cs="宋体"/>
          <w:b/>
          <w:bCs/>
          <w:sz w:val="24"/>
          <w:szCs w:val="24"/>
        </w:rPr>
      </w:r>
      <w:r/>
    </w:p>
    <w:p>
      <w:pPr>
        <w:pStyle w:val="1053"/>
        <w:ind w:firstLine="219"/>
        <w:spacing w:before="0" w:after="0" w:line="480" w:lineRule="auto"/>
        <w:rPr>
          <w:rFonts w:hint="eastAsia" w:ascii="宋体" w:hAnsi="宋体" w:eastAsia="宋体" w:cs="宋体"/>
          <w:b/>
          <w:bCs/>
          <w:sz w:val="24"/>
          <w:szCs w:val="24"/>
        </w:rPr>
      </w:pPr>
      <w:r>
        <w:rPr>
          <w:rFonts w:hint="eastAsia" w:ascii="宋体" w:hAnsi="宋体" w:eastAsia="宋体" w:cs="宋体"/>
          <w:b/>
          <w:bCs/>
          <w:sz w:val="24"/>
          <w:szCs w:val="24"/>
        </w:rPr>
        <w:t xml:space="preserve">信用中国网站自查截图：</w:t>
      </w:r>
      <w:r>
        <w:rPr>
          <w:rFonts w:hint="eastAsia" w:ascii="宋体" w:hAnsi="宋体" w:eastAsia="宋体" w:cs="宋体"/>
          <w:b/>
          <w:bCs/>
          <w:sz w:val="24"/>
          <w:szCs w:val="24"/>
        </w:rPr>
      </w:r>
      <w:r/>
    </w:p>
    <w:p>
      <w:pPr>
        <w:pStyle w:val="1053"/>
        <w:jc w:val="center"/>
        <w:widowControl/>
        <w:rPr>
          <w:rFonts w:hint="eastAsia" w:ascii="宋体" w:hAnsi="宋体" w:eastAsia="宋体" w:cs="宋体"/>
          <w:b/>
          <w:sz w:val="24"/>
          <w:szCs w:val="24"/>
        </w:rPr>
      </w:pPr>
      <w:r>
        <w:rPr>
          <w:rFonts w:hint="eastAsia" w:ascii="宋体" w:hAnsi="宋体" w:eastAsia="宋体" w:cs="宋体"/>
          <w:b/>
          <w:sz w:val="24"/>
          <w:szCs w:val="24"/>
        </w:rPr>
        <w:t xml:space="preserve">（5）“不存在与参加本项目的其他供应商单位负责人为同一人或者存在直接控股、管理关系”的承诺函（格式）</w:t>
      </w:r>
      <w:r>
        <w:rPr>
          <w:rFonts w:hint="eastAsia" w:ascii="宋体" w:hAnsi="宋体" w:eastAsia="宋体" w:cs="宋体"/>
          <w:b/>
          <w:sz w:val="24"/>
          <w:szCs w:val="24"/>
        </w:rPr>
      </w:r>
      <w:r/>
    </w:p>
    <w:p>
      <w:pPr>
        <w:pStyle w:val="1053"/>
        <w:widowControl/>
        <w:rPr>
          <w:rFonts w:hint="eastAsia" w:ascii="宋体" w:hAnsi="宋体" w:eastAsia="宋体" w:cs="宋体"/>
          <w:sz w:val="24"/>
          <w:szCs w:val="24"/>
        </w:rPr>
      </w:pPr>
      <w:r>
        <w:rPr>
          <w:rFonts w:hint="eastAsia" w:ascii="宋体" w:hAnsi="宋体" w:eastAsia="宋体" w:cs="宋体"/>
          <w:sz w:val="24"/>
          <w:szCs w:val="24"/>
        </w:rPr>
        <w:t xml:space="preserve">致：江苏省计量科学研究院（江苏省能源计量数据中心）、江苏海外集团国际工程咨询有限公司</w:t>
      </w:r>
      <w:r>
        <w:rPr>
          <w:rFonts w:hint="eastAsia" w:ascii="宋体" w:hAnsi="宋体" w:eastAsia="宋体" w:cs="宋体"/>
          <w:sz w:val="24"/>
          <w:szCs w:val="24"/>
        </w:rPr>
      </w:r>
      <w:r/>
    </w:p>
    <w:p>
      <w:pPr>
        <w:pStyle w:val="1053"/>
        <w:ind w:firstLine="480"/>
        <w:spacing w:before="0" w:after="0"/>
        <w:rPr>
          <w:rFonts w:hint="eastAsia" w:ascii="宋体" w:hAnsi="宋体" w:eastAsia="宋体" w:cs="宋体"/>
          <w:sz w:val="24"/>
          <w:szCs w:val="24"/>
        </w:rPr>
      </w:pPr>
      <w:r>
        <w:rPr>
          <w:rFonts w:hint="eastAsia" w:ascii="宋体" w:hAnsi="宋体" w:eastAsia="宋体" w:cs="宋体"/>
          <w:sz w:val="24"/>
          <w:szCs w:val="24"/>
        </w:rPr>
        <w:t xml:space="preserve">根据贵方</w:t>
      </w:r>
      <w:r>
        <w:rPr>
          <w:rFonts w:hint="eastAsia" w:ascii="宋体" w:hAnsi="宋体" w:eastAsia="宋体" w:cs="宋体"/>
          <w:sz w:val="24"/>
          <w:szCs w:val="24"/>
          <w:u w:val="single"/>
        </w:rPr>
        <w:t xml:space="preserve">（项目名称）（项目编号）</w:t>
      </w:r>
      <w:r>
        <w:rPr>
          <w:rFonts w:hint="eastAsia" w:ascii="宋体" w:hAnsi="宋体" w:eastAsia="宋体" w:cs="宋体"/>
          <w:sz w:val="24"/>
          <w:szCs w:val="24"/>
        </w:rPr>
        <w:t xml:space="preserve">采购公告，我公司郑重承诺：在参加本次政府采购活动中不存在与参加本项目的其他供应商单位负责人为同一人或者存在直接控股、管理关系的情形。本公司对上述承诺的真实性负责。如有虚假，将依法承担相应责任。</w:t>
      </w:r>
      <w:r>
        <w:rPr>
          <w:rFonts w:hint="eastAsia" w:ascii="宋体" w:hAnsi="宋体" w:eastAsia="宋体" w:cs="宋体"/>
          <w:sz w:val="24"/>
          <w:szCs w:val="24"/>
        </w:rPr>
      </w:r>
      <w:r/>
    </w:p>
    <w:p>
      <w:pPr>
        <w:pStyle w:val="1053"/>
        <w:widowControl/>
        <w:rPr>
          <w:rFonts w:hint="eastAsia" w:ascii="宋体" w:hAnsi="宋体" w:eastAsia="宋体" w:cs="宋体"/>
          <w:sz w:val="24"/>
          <w:szCs w:val="24"/>
        </w:rPr>
      </w:pPr>
      <w:r>
        <w:rPr>
          <w:rFonts w:hint="eastAsia" w:ascii="宋体" w:hAnsi="宋体" w:eastAsia="宋体" w:cs="宋体"/>
          <w:sz w:val="24"/>
          <w:szCs w:val="24"/>
        </w:rPr>
        <w:t xml:space="preserve">特此承诺！</w:t>
      </w:r>
      <w:r>
        <w:rPr>
          <w:rFonts w:hint="eastAsia" w:ascii="宋体" w:hAnsi="宋体" w:eastAsia="宋体" w:cs="宋体"/>
          <w:sz w:val="24"/>
          <w:szCs w:val="24"/>
        </w:rPr>
      </w:r>
      <w:r/>
    </w:p>
    <w:p>
      <w:pPr>
        <w:pStyle w:val="1053"/>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投标人名称：</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（公章）</w:t>
      </w:r>
      <w:r>
        <w:rPr>
          <w:rFonts w:hint="eastAsia" w:ascii="宋体" w:hAnsi="宋体" w:eastAsia="宋体" w:cs="宋体"/>
          <w:sz w:val="24"/>
          <w:szCs w:val="24"/>
        </w:rPr>
      </w:r>
      <w:r/>
    </w:p>
    <w:p>
      <w:pPr>
        <w:pStyle w:val="1053"/>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法定代表人或授权代表（签字或签章）：</w:t>
      </w:r>
      <w:r>
        <w:rPr>
          <w:rFonts w:hint="eastAsia" w:ascii="宋体" w:hAnsi="宋体" w:eastAsia="宋体" w:cs="宋体"/>
          <w:sz w:val="24"/>
          <w:szCs w:val="24"/>
        </w:rPr>
      </w:r>
      <w:r/>
    </w:p>
    <w:p>
      <w:pPr>
        <w:pStyle w:val="1053"/>
        <w:ind w:left="420"/>
        <w:spacing w:before="0" w:line="240" w:lineRule="auto"/>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53"/>
        <w:jc w:val="left"/>
        <w:widowControl/>
        <w:rPr>
          <w:rFonts w:hint="eastAsia" w:ascii="宋体" w:hAnsi="宋体" w:eastAsia="宋体" w:cs="宋体"/>
          <w:b/>
          <w:bCs/>
          <w:sz w:val="28"/>
          <w:szCs w:val="28"/>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bCs/>
          <w:sz w:val="28"/>
          <w:szCs w:val="28"/>
          <w:lang w:bidi="ar"/>
        </w:rPr>
      </w:r>
      <w:r/>
    </w:p>
    <w:p>
      <w:pPr>
        <w:pStyle w:val="1053"/>
        <w:jc w:val="left"/>
        <w:widowControl/>
        <w:rPr>
          <w:rFonts w:hint="eastAsia" w:ascii="宋体" w:hAnsi="宋体" w:eastAsia="宋体" w:cs="宋体"/>
          <w:sz w:val="20"/>
          <w:szCs w:val="18"/>
        </w:rPr>
      </w:pPr>
      <w:r>
        <w:rPr>
          <w:rFonts w:hint="eastAsia" w:ascii="宋体" w:hAnsi="宋体" w:eastAsia="宋体" w:cs="宋体"/>
          <w:b/>
          <w:bCs/>
          <w:sz w:val="24"/>
          <w:szCs w:val="24"/>
          <w:lang w:bidi="ar"/>
        </w:rPr>
        <w:t xml:space="preserve">单位负责人、公司控股关系及公司管理关系释义：</w:t>
      </w:r>
      <w:r>
        <w:rPr>
          <w:rFonts w:hint="eastAsia" w:ascii="宋体" w:hAnsi="宋体" w:eastAsia="宋体" w:cs="宋体"/>
          <w:sz w:val="20"/>
          <w:szCs w:val="18"/>
        </w:rPr>
      </w:r>
      <w:r/>
    </w:p>
    <w:p>
      <w:pPr>
        <w:pStyle w:val="1053"/>
        <w:jc w:val="left"/>
        <w:widowControl/>
        <w:rPr>
          <w:rFonts w:hint="eastAsia" w:ascii="宋体" w:hAnsi="宋体" w:eastAsia="宋体" w:cs="宋体"/>
        </w:rPr>
      </w:pPr>
      <w:r>
        <w:rPr>
          <w:rFonts w:hint="eastAsia" w:ascii="宋体" w:hAnsi="宋体" w:eastAsia="宋体" w:cs="宋体"/>
          <w:b/>
          <w:bCs/>
          <w:sz w:val="24"/>
          <w:szCs w:val="24"/>
          <w:lang w:bidi="ar"/>
        </w:rPr>
        <w:t xml:space="preserve">①单位负责人：</w:t>
      </w:r>
      <w:r>
        <w:rPr>
          <w:rFonts w:hint="eastAsia" w:ascii="宋体" w:hAnsi="宋体" w:eastAsia="宋体" w:cs="宋体"/>
          <w:sz w:val="24"/>
          <w:szCs w:val="24"/>
          <w:lang w:bidi="ar"/>
        </w:rPr>
        <w:t xml:space="preserve">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单位法定代表人</w:t>
      </w:r>
      <w:r>
        <w:rPr>
          <w:rFonts w:hint="eastAsia" w:ascii="宋体" w:hAnsi="宋体" w:eastAsia="宋体" w:cs="宋体"/>
          <w:sz w:val="24"/>
          <w:szCs w:val="24"/>
          <w:lang w:bidi="ar"/>
        </w:rPr>
        <w:t xml:space="preserve">或者 </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法律、行政法规规定代表单位行使职权的主要负责人。 </w:t>
      </w:r>
      <w:r>
        <w:rPr>
          <w:rFonts w:hint="eastAsia" w:ascii="宋体" w:hAnsi="宋体" w:eastAsia="宋体" w:cs="宋体"/>
        </w:rPr>
      </w:r>
      <w:r/>
    </w:p>
    <w:p>
      <w:pPr>
        <w:pStyle w:val="1053"/>
        <w:jc w:val="left"/>
        <w:widowControl/>
        <w:rPr>
          <w:rFonts w:hint="eastAsia" w:ascii="宋体" w:hAnsi="宋体" w:eastAsia="宋体" w:cs="宋体"/>
        </w:rPr>
      </w:pPr>
      <w:r>
        <w:rPr>
          <w:rFonts w:hint="eastAsia" w:ascii="宋体" w:hAnsi="宋体" w:eastAsia="宋体" w:cs="宋体"/>
          <w:b/>
          <w:bCs/>
          <w:sz w:val="24"/>
          <w:szCs w:val="24"/>
          <w:lang w:bidi="ar"/>
        </w:rPr>
        <w:t xml:space="preserve">A：所谓法定代表人：</w:t>
      </w:r>
      <w:r>
        <w:rPr>
          <w:rFonts w:hint="eastAsia" w:ascii="宋体" w:hAnsi="宋体" w:eastAsia="宋体" w:cs="宋体"/>
          <w:sz w:val="24"/>
          <w:szCs w:val="24"/>
          <w:lang w:bidi="ar"/>
        </w:rPr>
        <w:t xml:space="preserve">是指由法律或者法人组织章程规定，代表法人对外行使民事权利、履行民事义务的负责人。如《中华人民共和国公司法》规定，公司法定代表人依照公司章程的规定由董事长、执行董事或者经理担任；《中华人民共和国全民所有制工业企业法》（以下简称《中华人民共和国全民所有制工业企业法》）规定，厂长是企业的法定代表人；国家机关的最高行政官员是机关法人的法定代表人等。</w:t>
      </w:r>
      <w:r>
        <w:rPr>
          <w:rFonts w:hint="eastAsia" w:ascii="宋体" w:hAnsi="宋体" w:eastAsia="宋体" w:cs="宋体"/>
        </w:rPr>
      </w:r>
      <w:r/>
    </w:p>
    <w:p>
      <w:pPr>
        <w:pStyle w:val="1053"/>
        <w:jc w:val="left"/>
        <w:widowControl/>
        <w:rPr>
          <w:rFonts w:hint="eastAsia" w:ascii="宋体" w:hAnsi="宋体" w:eastAsia="宋体" w:cs="宋体"/>
        </w:rPr>
      </w:pPr>
      <w:r>
        <w:rPr>
          <w:rFonts w:hint="eastAsia" w:ascii="宋体" w:hAnsi="宋体" w:eastAsia="宋体" w:cs="宋体"/>
          <w:b/>
          <w:bCs/>
          <w:sz w:val="24"/>
          <w:szCs w:val="24"/>
          <w:lang w:bidi="ar"/>
        </w:rPr>
        <w:t xml:space="preserve">B：所谓法律、行政法规规定代表单位行使职权的主要负责人：</w:t>
      </w:r>
      <w:r>
        <w:rPr>
          <w:rFonts w:hint="eastAsia" w:ascii="宋体" w:hAnsi="宋体" w:eastAsia="宋体" w:cs="宋体"/>
          <w:sz w:val="24"/>
          <w:szCs w:val="24"/>
          <w:lang w:bidi="ar"/>
        </w:rPr>
        <w:t xml:space="preserve">是指除法定代表人以外，法律、行政法规规定的代表单位行使职权的主要负责人。如个人独资企业的投资人，代表合伙企业执行合伙企业事务的合伙人等。</w:t>
      </w:r>
      <w:r>
        <w:rPr>
          <w:rFonts w:hint="eastAsia" w:ascii="宋体" w:hAnsi="宋体" w:eastAsia="宋体" w:cs="宋体"/>
        </w:rPr>
      </w:r>
      <w:r/>
    </w:p>
    <w:p>
      <w:pPr>
        <w:pStyle w:val="1053"/>
        <w:jc w:val="left"/>
        <w:widowControl/>
        <w:rPr>
          <w:rFonts w:hint="eastAsia" w:ascii="宋体" w:hAnsi="宋体" w:eastAsia="宋体" w:cs="宋体"/>
        </w:rPr>
      </w:pPr>
      <w:r>
        <w:rPr>
          <w:rFonts w:hint="eastAsia" w:ascii="宋体" w:hAnsi="宋体" w:eastAsia="宋体" w:cs="宋体"/>
          <w:b/>
          <w:bCs/>
          <w:sz w:val="24"/>
          <w:szCs w:val="24"/>
          <w:lang w:bidi="ar"/>
        </w:rPr>
        <w:t xml:space="preserve">②控股关系：</w:t>
      </w:r>
      <w:r>
        <w:rPr>
          <w:rFonts w:hint="eastAsia" w:ascii="宋体" w:hAnsi="宋体" w:eastAsia="宋体" w:cs="宋体"/>
          <w:sz w:val="24"/>
          <w:szCs w:val="24"/>
          <w:lang w:bidi="ar"/>
        </w:rPr>
        <w:t xml:space="preserve">政府采购法实施条例所谓控股关系是指单位或个人股东的控股关系。控股的含义：根据《中华人民共和国公司法》第二百一十六条规定：“本法相关用语的含义：</w:t>
      </w:r>
      <w:r>
        <w:rPr>
          <w:rFonts w:hint="eastAsia" w:ascii="宋体" w:hAnsi="宋体" w:eastAsia="宋体" w:cs="宋体"/>
          <w:b/>
          <w:bCs/>
          <w:sz w:val="24"/>
          <w:szCs w:val="24"/>
          <w:lang w:bidi="ar"/>
        </w:rPr>
        <w:t xml:space="preserve">（二）控股股东，是指 </w:t>
      </w:r>
      <w:r>
        <w:rPr>
          <w:rFonts w:hint="eastAsia" w:ascii="宋体" w:hAnsi="宋体" w:eastAsia="宋体" w:cs="宋体"/>
          <w:b/>
          <w:bCs/>
          <w:sz w:val="12"/>
          <w:szCs w:val="12"/>
          <w:lang w:bidi="ar"/>
        </w:rPr>
        <w:t xml:space="preserve">A</w:t>
      </w:r>
      <w:r>
        <w:rPr>
          <w:rFonts w:hint="eastAsia" w:ascii="宋体" w:hAnsi="宋体" w:eastAsia="宋体" w:cs="宋体"/>
          <w:b/>
          <w:bCs/>
          <w:sz w:val="24"/>
          <w:szCs w:val="24"/>
          <w:lang w:bidi="ar"/>
        </w:rPr>
        <w:t xml:space="preserve">其出资额占有限责任公司资本总额百分之五十以上或者其持有的股份占股份有限公司股本总额百分之五十以上的股东；</w:t>
      </w:r>
      <w:r>
        <w:rPr>
          <w:rFonts w:hint="eastAsia" w:ascii="宋体" w:hAnsi="宋体" w:eastAsia="宋体" w:cs="宋体"/>
          <w:b/>
          <w:bCs/>
          <w:sz w:val="12"/>
          <w:szCs w:val="12"/>
          <w:lang w:bidi="ar"/>
        </w:rPr>
        <w:t xml:space="preserve">B</w:t>
      </w:r>
      <w:r>
        <w:rPr>
          <w:rFonts w:hint="eastAsia" w:ascii="宋体" w:hAnsi="宋体" w:eastAsia="宋体" w:cs="宋体"/>
          <w:b/>
          <w:bCs/>
          <w:sz w:val="24"/>
          <w:szCs w:val="24"/>
          <w:lang w:bidi="ar"/>
        </w:rPr>
        <w:t xml:space="preserve">出资额或者持有股份的比例虽然不足百分之五十，但依其出资额或者持有的股份所享有的表决权已足以对股东会、股东会的决议产生重大影响的股东</w:t>
      </w:r>
      <w:r>
        <w:rPr>
          <w:rFonts w:hint="eastAsia" w:ascii="宋体" w:hAnsi="宋体" w:eastAsia="宋体" w:cs="宋体"/>
          <w:sz w:val="24"/>
          <w:szCs w:val="24"/>
          <w:lang w:bidi="ar"/>
        </w:rPr>
        <w:t xml:space="preserve">”。实践中，一般对A所述情形称为绝对控股，B所述情形称为相对控股，政府采购法实施条例所称“控股”包括绝对控股和相对控股。</w:t>
      </w:r>
      <w:r>
        <w:rPr>
          <w:rFonts w:hint="eastAsia" w:ascii="宋体" w:hAnsi="宋体" w:eastAsia="宋体" w:cs="宋体"/>
        </w:rPr>
      </w:r>
      <w:r/>
    </w:p>
    <w:p>
      <w:pPr>
        <w:pStyle w:val="1053"/>
        <w:jc w:val="left"/>
        <w:widowControl/>
        <w:rPr>
          <w:rFonts w:hint="eastAsia" w:ascii="宋体" w:hAnsi="宋体" w:eastAsia="宋体" w:cs="宋体"/>
        </w:rPr>
      </w:pPr>
      <w:r>
        <w:rPr>
          <w:rFonts w:hint="eastAsia" w:ascii="宋体" w:hAnsi="宋体" w:eastAsia="宋体" w:cs="宋体"/>
          <w:b/>
          <w:bCs/>
          <w:sz w:val="24"/>
          <w:szCs w:val="24"/>
          <w:lang w:bidi="ar"/>
        </w:rPr>
        <w:t xml:space="preserve">③管理关系：</w:t>
      </w:r>
      <w:r>
        <w:rPr>
          <w:rFonts w:hint="eastAsia" w:ascii="宋体" w:hAnsi="宋体" w:eastAsia="宋体" w:cs="宋体"/>
          <w:sz w:val="24"/>
          <w:szCs w:val="24"/>
          <w:lang w:bidi="ar"/>
        </w:rPr>
        <w:t xml:space="preserve">政府采购法实施条例所谓管理关系是指不具有出资持股关系的其他单位之间存在的管理与被管理关系，如一些上下级关系的事业单位和团体组织。</w:t>
      </w:r>
      <w:r>
        <w:rPr>
          <w:rFonts w:hint="eastAsia" w:ascii="宋体" w:hAnsi="宋体" w:eastAsia="宋体" w:cs="宋体"/>
        </w:rPr>
      </w:r>
      <w:r/>
    </w:p>
    <w:p>
      <w:pPr>
        <w:pStyle w:val="1090"/>
        <w:jc w:val="center"/>
        <w:spacing w:before="240" w:after="240"/>
        <w:rPr>
          <w:rFonts w:hint="eastAsia" w:ascii="宋体" w:hAnsi="宋体" w:eastAsia="宋体" w:cs="宋体"/>
          <w:b/>
          <w:szCs w:val="28"/>
        </w:rPr>
      </w:pPr>
      <w:r>
        <w:rPr>
          <w:rFonts w:hint="eastAsia" w:ascii="宋体" w:hAnsi="宋体" w:eastAsia="宋体" w:cs="宋体"/>
          <w:b/>
          <w:szCs w:val="28"/>
        </w:rPr>
      </w:r>
      <w:r/>
    </w:p>
    <w:p>
      <w:pPr>
        <w:pStyle w:val="1090"/>
        <w:jc w:val="left"/>
        <w:spacing w:before="0" w:after="0"/>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90"/>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（6）具有独立承担民事责任的能力（提供法人或者其他组织的营业执照；供应商为自然人的，提供其身份证）</w:t>
      </w:r>
      <w:r>
        <w:rPr>
          <w:rFonts w:hint="eastAsia" w:ascii="宋体" w:hAnsi="宋体" w:eastAsia="宋体" w:cs="宋体"/>
          <w:b/>
          <w:sz w:val="24"/>
          <w:szCs w:val="24"/>
        </w:rPr>
      </w:r>
      <w:r/>
    </w:p>
    <w:p>
      <w:pPr>
        <w:pStyle w:val="1090"/>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营业执照复印件：</w:t>
      </w:r>
      <w:r>
        <w:rPr>
          <w:rFonts w:hint="eastAsia" w:ascii="宋体" w:hAnsi="宋体" w:eastAsia="宋体" w:cs="宋体"/>
          <w:bCs/>
          <w:sz w:val="24"/>
          <w:szCs w:val="24"/>
        </w:rPr>
      </w:r>
      <w:r/>
    </w:p>
    <w:p>
      <w:pPr>
        <w:pStyle w:val="1090"/>
        <w:jc w:val="left"/>
        <w:spacing w:before="240" w:after="240"/>
        <w:rPr>
          <w:rFonts w:hint="eastAsia" w:ascii="宋体" w:hAnsi="宋体" w:eastAsia="宋体" w:cs="宋体"/>
          <w:b/>
          <w:sz w:val="24"/>
          <w:szCs w:val="24"/>
        </w:rPr>
      </w:pPr>
      <w:r>
        <w:rPr>
          <w:rFonts w:hint="eastAsia" w:ascii="宋体" w:hAnsi="宋体" w:eastAsia="宋体" w:cs="宋体"/>
          <w:b/>
          <w:sz w:val="24"/>
          <w:szCs w:val="24"/>
        </w:rPr>
      </w:r>
      <w:r/>
    </w:p>
    <w:p>
      <w:pPr>
        <w:pStyle w:val="1090"/>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7）具有良好的商业信誉和健全的财务会计制度(提供距开标时间六个月内任意一个月份的财务状况报告（至少包括资产负债表和利润表）（法人或者其他组织成立未满三个月的可以不提供），或其银行出具的资信证书复印件（开标前六个月内），或2025年度经审计的财务报告复印件并加盖公章装订在投标文件中，否则视为未提供)</w:t>
      </w:r>
      <w:r>
        <w:rPr>
          <w:rFonts w:hint="eastAsia" w:ascii="宋体" w:hAnsi="宋体" w:eastAsia="宋体" w:cs="宋体"/>
          <w:b/>
          <w:sz w:val="24"/>
          <w:szCs w:val="24"/>
        </w:rPr>
      </w:r>
      <w:r/>
    </w:p>
    <w:p>
      <w:pPr>
        <w:pStyle w:val="1090"/>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相关资料：</w:t>
      </w:r>
      <w:r>
        <w:rPr>
          <w:rFonts w:hint="eastAsia" w:ascii="宋体" w:hAnsi="宋体" w:eastAsia="宋体" w:cs="宋体"/>
          <w:bCs/>
          <w:sz w:val="24"/>
          <w:szCs w:val="24"/>
        </w:rPr>
      </w:r>
      <w:r/>
    </w:p>
    <w:p>
      <w:pPr>
        <w:pStyle w:val="1090"/>
        <w:jc w:val="left"/>
        <w:spacing w:before="0" w:after="0"/>
        <w:rPr>
          <w:rFonts w:hint="eastAsia" w:ascii="宋体" w:hAnsi="宋体" w:eastAsia="宋体" w:cs="宋体"/>
          <w:b/>
          <w:sz w:val="24"/>
          <w:szCs w:val="24"/>
        </w:rPr>
      </w:pPr>
      <w:r>
        <w:rPr>
          <w:rFonts w:hint="eastAsia" w:ascii="宋体" w:hAnsi="宋体" w:eastAsia="宋体" w:cs="宋体"/>
          <w:b/>
          <w:sz w:val="24"/>
          <w:szCs w:val="24"/>
        </w:rPr>
      </w:r>
      <w:r/>
    </w:p>
    <w:p>
      <w:pPr>
        <w:pStyle w:val="1090"/>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（8）有依法缴纳税收的良好记录(提供距开标时间六个月内任一月份的缴纳税收凭据复印件并加盖公章(依法免税的应提供相应文件说明）)</w:t>
      </w:r>
      <w:r>
        <w:rPr>
          <w:rFonts w:hint="eastAsia" w:ascii="宋体" w:hAnsi="宋体" w:eastAsia="宋体" w:cs="宋体"/>
          <w:b/>
          <w:sz w:val="24"/>
          <w:szCs w:val="24"/>
        </w:rPr>
      </w:r>
      <w:r/>
    </w:p>
    <w:p>
      <w:pPr>
        <w:pStyle w:val="1090"/>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缴纳税收的相关资料：</w:t>
      </w:r>
      <w:r>
        <w:rPr>
          <w:rFonts w:hint="eastAsia" w:ascii="宋体" w:hAnsi="宋体" w:eastAsia="宋体" w:cs="宋体"/>
          <w:bCs/>
          <w:sz w:val="24"/>
          <w:szCs w:val="24"/>
        </w:rPr>
      </w:r>
      <w:r/>
    </w:p>
    <w:p>
      <w:pPr>
        <w:pStyle w:val="1090"/>
        <w:jc w:val="left"/>
        <w:spacing w:before="240" w:after="240"/>
        <w:rPr>
          <w:rFonts w:hint="eastAsia" w:ascii="宋体" w:hAnsi="宋体" w:eastAsia="宋体" w:cs="宋体"/>
          <w:b/>
          <w:sz w:val="24"/>
          <w:szCs w:val="24"/>
        </w:rPr>
      </w:pPr>
      <w:r>
        <w:rPr>
          <w:rFonts w:hint="eastAsia" w:ascii="宋体" w:hAnsi="宋体" w:eastAsia="宋体" w:cs="宋体"/>
          <w:b/>
          <w:sz w:val="24"/>
          <w:szCs w:val="24"/>
        </w:rPr>
      </w:r>
      <w:r/>
    </w:p>
    <w:p>
      <w:pPr>
        <w:pStyle w:val="1090"/>
        <w:jc w:val="left"/>
        <w:spacing w:before="0" w:after="0"/>
        <w:rPr>
          <w:rFonts w:hint="eastAsia" w:ascii="宋体" w:hAnsi="宋体" w:eastAsia="宋体" w:cs="宋体"/>
          <w:b/>
          <w:sz w:val="24"/>
          <w:szCs w:val="24"/>
        </w:rPr>
      </w:pPr>
      <w:r>
        <w:rPr>
          <w:rFonts w:hint="eastAsia" w:ascii="宋体" w:hAnsi="宋体" w:eastAsia="宋体" w:cs="宋体"/>
          <w:b/>
          <w:sz w:val="24"/>
          <w:szCs w:val="24"/>
        </w:rPr>
        <w:t xml:space="preserve">（9）有依法缴纳社会保障资金的良好记录(提供距开标时间六个月内任一月份的依法缴纳社会保障资金的凭据复印件（凭据可以是缴费的银行单据、专用收据、社会保险缴纳清单或者所在社保机构开具的证明等，自行编写无效，依法不需要缴纳社会保障资金的应提供相应文件说明）)</w:t>
      </w:r>
      <w:r>
        <w:rPr>
          <w:rFonts w:hint="eastAsia" w:ascii="宋体" w:hAnsi="宋体" w:eastAsia="宋体" w:cs="宋体"/>
          <w:b/>
          <w:sz w:val="24"/>
          <w:szCs w:val="24"/>
        </w:rPr>
      </w:r>
      <w:r/>
    </w:p>
    <w:p>
      <w:pPr>
        <w:pStyle w:val="1090"/>
        <w:jc w:val="left"/>
        <w:spacing w:before="0" w:after="0"/>
        <w:rPr>
          <w:rFonts w:hint="eastAsia" w:ascii="宋体" w:hAnsi="宋体" w:eastAsia="宋体" w:cs="宋体"/>
          <w:bCs/>
          <w:sz w:val="24"/>
          <w:szCs w:val="24"/>
        </w:rPr>
      </w:pPr>
      <w:r>
        <w:rPr>
          <w:rFonts w:hint="eastAsia" w:ascii="宋体" w:hAnsi="宋体" w:eastAsia="宋体" w:cs="宋体"/>
          <w:bCs/>
          <w:sz w:val="24"/>
          <w:szCs w:val="24"/>
        </w:rPr>
        <w:t xml:space="preserve">依法缴纳社会保障资金的相关资料：</w:t>
      </w:r>
      <w:r>
        <w:rPr>
          <w:rFonts w:hint="eastAsia" w:ascii="宋体" w:hAnsi="宋体" w:eastAsia="宋体" w:cs="宋体"/>
          <w:bCs/>
          <w:sz w:val="24"/>
          <w:szCs w:val="24"/>
        </w:rPr>
      </w:r>
      <w:r/>
    </w:p>
    <w:p>
      <w:pPr>
        <w:pStyle w:val="1053"/>
        <w:spacing w:line="440" w:lineRule="exact"/>
        <w:rPr>
          <w:rFonts w:hint="eastAsia" w:ascii="宋体" w:hAnsi="宋体" w:eastAsia="宋体" w:cs="宋体"/>
          <w:b/>
          <w:sz w:val="24"/>
          <w:szCs w:val="24"/>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
          <w:sz w:val="24"/>
          <w:szCs w:val="24"/>
        </w:rPr>
      </w:r>
      <w:r/>
    </w:p>
    <w:p>
      <w:pPr>
        <w:pStyle w:val="1090"/>
        <w:jc w:val="left"/>
        <w:spacing w:before="240" w:after="240"/>
        <w:rPr>
          <w:rFonts w:hint="eastAsia" w:ascii="宋体" w:hAnsi="宋体" w:eastAsia="宋体" w:cs="宋体"/>
          <w:b/>
          <w:sz w:val="24"/>
          <w:szCs w:val="24"/>
        </w:rPr>
      </w:pPr>
      <w:r>
        <w:rPr>
          <w:rFonts w:hint="eastAsia" w:ascii="宋体" w:hAnsi="宋体" w:eastAsia="宋体" w:cs="宋体"/>
          <w:b/>
          <w:sz w:val="24"/>
          <w:szCs w:val="24"/>
        </w:rPr>
        <w:t xml:space="preserve">（10）招标公告中“投标人资质要求”所要求其他的证明材料</w:t>
      </w:r>
      <w:r>
        <w:rPr>
          <w:rFonts w:hint="eastAsia" w:ascii="宋体" w:hAnsi="宋体" w:eastAsia="宋体" w:cs="宋体"/>
          <w:b/>
          <w:sz w:val="24"/>
          <w:szCs w:val="24"/>
        </w:rPr>
      </w:r>
      <w:r/>
    </w:p>
    <w:p>
      <w:pPr>
        <w:pStyle w:val="1090"/>
        <w:jc w:val="left"/>
        <w:spacing w:before="0" w:after="0"/>
        <w:rPr>
          <w:rFonts w:hint="eastAsia" w:ascii="宋体" w:hAnsi="宋体" w:eastAsia="宋体" w:cs="宋体"/>
          <w:sz w:val="24"/>
          <w:szCs w:val="24"/>
          <w:lang w:bidi="ar"/>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bCs/>
          <w:sz w:val="24"/>
          <w:szCs w:val="24"/>
        </w:rPr>
        <w:t xml:space="preserve">（投标文件按照第一章招标公告中“投标人资质要求”要求，逐条提供除以上资格审查格式以外的其他证明材料）</w:t>
      </w:r>
      <w:r>
        <w:rPr>
          <w:rFonts w:hint="eastAsia" w:ascii="宋体" w:hAnsi="宋体" w:eastAsia="宋体" w:cs="宋体"/>
          <w:sz w:val="24"/>
          <w:szCs w:val="24"/>
          <w:lang w:bidi="ar"/>
        </w:rPr>
      </w:r>
      <w:r/>
    </w:p>
    <w:p>
      <w:pPr>
        <w:pStyle w:val="1053"/>
        <w:jc w:val="center"/>
        <w:rPr>
          <w:rFonts w:hint="eastAsia" w:ascii="宋体" w:hAnsi="宋体" w:eastAsia="宋体" w:cs="宋体"/>
          <w:sz w:val="24"/>
          <w:szCs w:val="24"/>
        </w:rPr>
      </w:pPr>
      <w:r>
        <w:rPr>
          <w:rFonts w:hint="eastAsia" w:ascii="宋体" w:hAnsi="宋体" w:eastAsia="宋体" w:cs="宋体"/>
          <w:sz w:val="32"/>
          <w:szCs w:val="32"/>
        </w:rPr>
        <w:t xml:space="preserve">5.</w:t>
      </w:r>
      <w:bookmarkEnd w:id="146"/>
      <w:r/>
      <w:bookmarkEnd w:id="147"/>
      <w:r/>
      <w:bookmarkEnd w:id="148"/>
      <w:r>
        <w:rPr>
          <w:rFonts w:hint="eastAsia" w:ascii="宋体" w:hAnsi="宋体" w:eastAsia="宋体" w:cs="宋体"/>
          <w:sz w:val="32"/>
          <w:szCs w:val="32"/>
        </w:rPr>
        <w:t xml:space="preserve">技术条款偏离表（技术要求响应表）</w:t>
      </w:r>
      <w:r>
        <w:rPr>
          <w:rFonts w:hint="eastAsia" w:ascii="宋体" w:hAnsi="宋体" w:eastAsia="宋体" w:cs="宋体"/>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9"/>
        <w:gridCol w:w="1454"/>
        <w:gridCol w:w="2161"/>
        <w:gridCol w:w="2202"/>
        <w:gridCol w:w="1648"/>
        <w:gridCol w:w="765"/>
        <w:gridCol w:w="735"/>
      </w:tblGrid>
      <w:tr>
        <w:trPr/>
        <w:tc>
          <w:tcPr>
            <w:tcW w:w="839" w:type="dxa"/>
            <w:vAlign w:val="center"/>
            <w:textDirection w:val="lrTb"/>
            <w:noWrap w:val="false"/>
          </w:tcPr>
          <w:p>
            <w:pPr>
              <w:pStyle w:val="1053"/>
              <w:jc w:val="center"/>
              <w:spacing w:line="240" w:lineRule="auto"/>
              <w:rPr>
                <w:rFonts w:hint="eastAsia" w:ascii="宋体" w:hAnsi="宋体" w:eastAsia="宋体" w:cs="宋体"/>
                <w:bCs/>
                <w:sz w:val="24"/>
              </w:rPr>
            </w:pPr>
            <w:r>
              <w:rPr>
                <w:rFonts w:hint="eastAsia" w:ascii="宋体" w:hAnsi="宋体" w:eastAsia="宋体" w:cs="宋体"/>
                <w:bCs/>
                <w:sz w:val="24"/>
              </w:rPr>
              <w:t xml:space="preserve">序号</w:t>
            </w:r>
            <w:r>
              <w:rPr>
                <w:rFonts w:hint="eastAsia" w:ascii="宋体" w:hAnsi="宋体" w:eastAsia="宋体" w:cs="宋体"/>
                <w:bCs/>
                <w:sz w:val="24"/>
              </w:rPr>
            </w:r>
            <w:r/>
          </w:p>
        </w:tc>
        <w:tc>
          <w:tcPr>
            <w:tcW w:w="1454" w:type="dxa"/>
            <w:vAlign w:val="center"/>
            <w:textDirection w:val="lrTb"/>
            <w:noWrap w:val="false"/>
          </w:tcPr>
          <w:p>
            <w:pPr>
              <w:pStyle w:val="1053"/>
              <w:jc w:val="center"/>
              <w:spacing w:line="240" w:lineRule="auto"/>
              <w:rPr>
                <w:rFonts w:hint="eastAsia" w:ascii="宋体" w:hAnsi="宋体" w:eastAsia="宋体" w:cs="宋体"/>
                <w:bCs/>
                <w:sz w:val="24"/>
              </w:rPr>
            </w:pPr>
            <w:r>
              <w:rPr>
                <w:rFonts w:hint="eastAsia" w:ascii="宋体" w:hAnsi="宋体" w:eastAsia="宋体" w:cs="宋体"/>
                <w:bCs/>
                <w:sz w:val="24"/>
              </w:rPr>
              <w:t xml:space="preserve">招标文件条目号</w:t>
            </w:r>
            <w:r>
              <w:rPr>
                <w:rFonts w:hint="eastAsia" w:ascii="宋体" w:hAnsi="宋体" w:eastAsia="宋体" w:cs="宋体"/>
                <w:bCs/>
                <w:sz w:val="24"/>
              </w:rPr>
            </w:r>
            <w:r/>
          </w:p>
        </w:tc>
        <w:tc>
          <w:tcPr>
            <w:tcW w:w="2161" w:type="dxa"/>
            <w:vAlign w:val="center"/>
            <w:textDirection w:val="lrTb"/>
            <w:noWrap w:val="false"/>
          </w:tcPr>
          <w:p>
            <w:pPr>
              <w:pStyle w:val="1053"/>
              <w:jc w:val="center"/>
              <w:spacing w:line="240" w:lineRule="auto"/>
              <w:rPr>
                <w:rFonts w:hint="eastAsia" w:ascii="宋体" w:hAnsi="宋体" w:eastAsia="宋体" w:cs="宋体"/>
                <w:bCs/>
                <w:sz w:val="24"/>
              </w:rPr>
            </w:pPr>
            <w:r>
              <w:rPr>
                <w:rFonts w:hint="eastAsia" w:ascii="宋体" w:hAnsi="宋体" w:eastAsia="宋体" w:cs="宋体"/>
                <w:bCs/>
                <w:sz w:val="24"/>
              </w:rPr>
              <w:t xml:space="preserve">招标文件要求的规格、参数</w:t>
            </w:r>
            <w:r>
              <w:rPr>
                <w:rFonts w:hint="eastAsia" w:ascii="宋体" w:hAnsi="宋体" w:eastAsia="宋体" w:cs="宋体"/>
                <w:bCs/>
                <w:sz w:val="24"/>
              </w:rPr>
            </w:r>
            <w:r/>
          </w:p>
        </w:tc>
        <w:tc>
          <w:tcPr>
            <w:tcW w:w="2202" w:type="dxa"/>
            <w:vAlign w:val="center"/>
            <w:textDirection w:val="lrTb"/>
            <w:noWrap w:val="false"/>
          </w:tcPr>
          <w:p>
            <w:pPr>
              <w:pStyle w:val="1053"/>
              <w:jc w:val="center"/>
              <w:spacing w:line="240" w:lineRule="auto"/>
              <w:rPr>
                <w:rFonts w:hint="eastAsia" w:ascii="宋体" w:hAnsi="宋体" w:eastAsia="宋体" w:cs="宋体"/>
                <w:bCs/>
                <w:sz w:val="24"/>
              </w:rPr>
            </w:pPr>
            <w:r>
              <w:rPr>
                <w:rFonts w:hint="eastAsia" w:ascii="宋体" w:hAnsi="宋体" w:eastAsia="宋体" w:cs="宋体"/>
                <w:bCs/>
                <w:sz w:val="24"/>
              </w:rPr>
              <w:t xml:space="preserve">投标响应</w:t>
            </w:r>
            <w:r>
              <w:rPr>
                <w:rFonts w:hint="eastAsia" w:ascii="宋体" w:hAnsi="宋体" w:eastAsia="宋体" w:cs="宋体"/>
                <w:bCs/>
                <w:sz w:val="24"/>
              </w:rPr>
            </w:r>
            <w:r/>
          </w:p>
          <w:p>
            <w:pPr>
              <w:pStyle w:val="1053"/>
              <w:jc w:val="center"/>
              <w:spacing w:line="240" w:lineRule="auto"/>
              <w:rPr>
                <w:rFonts w:hint="eastAsia" w:ascii="宋体" w:hAnsi="宋体" w:eastAsia="宋体" w:cs="宋体"/>
                <w:bCs/>
                <w:sz w:val="24"/>
              </w:rPr>
            </w:pPr>
            <w:r>
              <w:rPr>
                <w:rFonts w:hint="eastAsia" w:ascii="宋体" w:hAnsi="宋体" w:eastAsia="宋体" w:cs="宋体"/>
                <w:bCs/>
                <w:sz w:val="24"/>
              </w:rPr>
              <w:t xml:space="preserve">规格、参数</w:t>
            </w:r>
            <w:r>
              <w:rPr>
                <w:rFonts w:hint="eastAsia" w:ascii="宋体" w:hAnsi="宋体" w:eastAsia="宋体" w:cs="宋体"/>
                <w:bCs/>
                <w:sz w:val="24"/>
              </w:rPr>
            </w:r>
            <w:r/>
          </w:p>
        </w:tc>
        <w:tc>
          <w:tcPr>
            <w:tcW w:w="1648" w:type="dxa"/>
            <w:vAlign w:val="center"/>
            <w:textDirection w:val="lrTb"/>
            <w:noWrap w:val="false"/>
          </w:tcPr>
          <w:p>
            <w:pPr>
              <w:pStyle w:val="1053"/>
              <w:jc w:val="center"/>
              <w:spacing w:line="240" w:lineRule="auto"/>
              <w:rPr>
                <w:rFonts w:hint="eastAsia" w:ascii="宋体" w:hAnsi="宋体" w:eastAsia="宋体" w:cs="宋体"/>
                <w:bCs/>
                <w:sz w:val="24"/>
              </w:rPr>
            </w:pPr>
            <w:r>
              <w:rPr>
                <w:rFonts w:hint="eastAsia" w:ascii="宋体" w:hAnsi="宋体" w:eastAsia="宋体" w:cs="宋体"/>
                <w:sz w:val="24"/>
                <w:szCs w:val="24"/>
              </w:rPr>
              <w:t xml:space="preserve">偏离情况（+/-/=）</w:t>
            </w:r>
            <w:r>
              <w:rPr>
                <w:rFonts w:hint="eastAsia" w:ascii="宋体" w:hAnsi="宋体" w:eastAsia="宋体" w:cs="宋体"/>
                <w:bCs/>
                <w:sz w:val="24"/>
              </w:rPr>
            </w:r>
            <w:r/>
          </w:p>
        </w:tc>
        <w:tc>
          <w:tcPr>
            <w:tcW w:w="765" w:type="dxa"/>
            <w:vAlign w:val="center"/>
            <w:textDirection w:val="lrTb"/>
            <w:noWrap w:val="false"/>
          </w:tcPr>
          <w:p>
            <w:pPr>
              <w:pStyle w:val="1053"/>
              <w:jc w:val="center"/>
              <w:spacing w:line="240" w:lineRule="auto"/>
              <w:rPr>
                <w:rFonts w:hint="eastAsia" w:ascii="宋体" w:hAnsi="宋体" w:eastAsia="宋体" w:cs="宋体"/>
                <w:bCs/>
                <w:sz w:val="24"/>
              </w:rPr>
            </w:pPr>
            <w:r>
              <w:rPr>
                <w:rFonts w:hint="eastAsia" w:ascii="宋体" w:hAnsi="宋体" w:eastAsia="宋体" w:cs="宋体"/>
                <w:bCs/>
                <w:sz w:val="24"/>
              </w:rPr>
              <w:t xml:space="preserve">证明材料页码</w:t>
            </w:r>
            <w:r>
              <w:rPr>
                <w:rFonts w:hint="eastAsia" w:ascii="宋体" w:hAnsi="宋体" w:eastAsia="宋体" w:cs="宋体"/>
                <w:bCs/>
                <w:sz w:val="24"/>
              </w:rPr>
            </w:r>
            <w:r/>
          </w:p>
        </w:tc>
        <w:tc>
          <w:tcPr>
            <w:tcW w:w="735" w:type="dxa"/>
            <w:vAlign w:val="center"/>
            <w:textDirection w:val="lrTb"/>
            <w:noWrap w:val="false"/>
          </w:tcPr>
          <w:p>
            <w:pPr>
              <w:pStyle w:val="1053"/>
              <w:jc w:val="center"/>
              <w:spacing w:line="240" w:lineRule="auto"/>
              <w:rPr>
                <w:rFonts w:hint="eastAsia" w:ascii="宋体" w:hAnsi="宋体" w:eastAsia="宋体" w:cs="宋体"/>
                <w:bCs/>
                <w:sz w:val="24"/>
              </w:rPr>
            </w:pPr>
            <w:r>
              <w:rPr>
                <w:rFonts w:hint="eastAsia" w:ascii="宋体" w:hAnsi="宋体" w:eastAsia="宋体" w:cs="宋体"/>
                <w:bCs/>
                <w:sz w:val="24"/>
              </w:rPr>
              <w:t xml:space="preserve">备注</w:t>
            </w:r>
            <w:r>
              <w:rPr>
                <w:rFonts w:hint="eastAsia" w:ascii="宋体" w:hAnsi="宋体" w:eastAsia="宋体" w:cs="宋体"/>
                <w:bCs/>
                <w:sz w:val="24"/>
              </w:rPr>
            </w:r>
            <w:r/>
          </w:p>
        </w:tc>
      </w:tr>
      <w:tr>
        <w:trPr/>
        <w:tc>
          <w:tcPr>
            <w:tcW w:w="839"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t xml:space="preserve">1</w:t>
            </w:r>
            <w:r>
              <w:rPr>
                <w:rFonts w:hint="eastAsia" w:ascii="宋体" w:hAnsi="宋体" w:eastAsia="宋体" w:cs="宋体"/>
                <w:bCs/>
                <w:sz w:val="24"/>
              </w:rPr>
            </w:r>
            <w:r/>
          </w:p>
        </w:tc>
        <w:tc>
          <w:tcPr>
            <w:tcW w:w="1454"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t xml:space="preserve">2</w:t>
            </w:r>
            <w:r>
              <w:rPr>
                <w:rFonts w:hint="eastAsia" w:ascii="宋体" w:hAnsi="宋体" w:eastAsia="宋体" w:cs="宋体"/>
                <w:bCs/>
                <w:sz w:val="24"/>
              </w:rPr>
            </w:r>
            <w:r/>
          </w:p>
        </w:tc>
        <w:tc>
          <w:tcPr>
            <w:tcW w:w="1454"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t xml:space="preserve">3</w:t>
            </w:r>
            <w:r>
              <w:rPr>
                <w:rFonts w:hint="eastAsia" w:ascii="宋体" w:hAnsi="宋体" w:eastAsia="宋体" w:cs="宋体"/>
                <w:bCs/>
                <w:sz w:val="24"/>
              </w:rPr>
            </w:r>
            <w:r/>
          </w:p>
        </w:tc>
        <w:tc>
          <w:tcPr>
            <w:tcW w:w="1454"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t xml:space="preserve">4</w:t>
            </w:r>
            <w:r>
              <w:rPr>
                <w:rFonts w:hint="eastAsia" w:ascii="宋体" w:hAnsi="宋体" w:eastAsia="宋体" w:cs="宋体"/>
                <w:bCs/>
                <w:sz w:val="24"/>
              </w:rPr>
            </w:r>
            <w:r/>
          </w:p>
        </w:tc>
        <w:tc>
          <w:tcPr>
            <w:tcW w:w="1454"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t xml:space="preserve">5</w:t>
            </w:r>
            <w:r>
              <w:rPr>
                <w:rFonts w:hint="eastAsia" w:ascii="宋体" w:hAnsi="宋体" w:eastAsia="宋体" w:cs="宋体"/>
                <w:bCs/>
                <w:sz w:val="24"/>
              </w:rPr>
            </w:r>
            <w:r/>
          </w:p>
        </w:tc>
        <w:tc>
          <w:tcPr>
            <w:tcW w:w="1454"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t xml:space="preserve">6</w:t>
            </w:r>
            <w:r>
              <w:rPr>
                <w:rFonts w:hint="eastAsia" w:ascii="宋体" w:hAnsi="宋体" w:eastAsia="宋体" w:cs="宋体"/>
                <w:bCs/>
                <w:sz w:val="24"/>
              </w:rPr>
            </w:r>
            <w:r/>
          </w:p>
        </w:tc>
        <w:tc>
          <w:tcPr>
            <w:tcW w:w="1454"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t xml:space="preserve">7</w:t>
            </w:r>
            <w:r>
              <w:rPr>
                <w:rFonts w:hint="eastAsia" w:ascii="宋体" w:hAnsi="宋体" w:eastAsia="宋体" w:cs="宋体"/>
                <w:bCs/>
                <w:sz w:val="24"/>
              </w:rPr>
            </w:r>
            <w:r/>
          </w:p>
        </w:tc>
        <w:tc>
          <w:tcPr>
            <w:tcW w:w="1454"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t xml:space="preserve">8</w:t>
            </w:r>
            <w:r>
              <w:rPr>
                <w:rFonts w:hint="eastAsia" w:ascii="宋体" w:hAnsi="宋体" w:eastAsia="宋体" w:cs="宋体"/>
                <w:bCs/>
                <w:sz w:val="24"/>
              </w:rPr>
            </w:r>
            <w:r/>
          </w:p>
        </w:tc>
        <w:tc>
          <w:tcPr>
            <w:tcW w:w="1454"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r>
      <w:tr>
        <w:trPr/>
        <w:tc>
          <w:tcPr>
            <w:tcW w:w="839"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1454"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161"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2202"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1648"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6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c>
          <w:tcPr>
            <w:tcW w:w="735" w:type="dxa"/>
            <w:vAlign w:val="top"/>
            <w:textDirection w:val="lrTb"/>
            <w:noWrap w:val="false"/>
          </w:tcPr>
          <w:p>
            <w:pPr>
              <w:pStyle w:val="1053"/>
              <w:jc w:val="center"/>
              <w:rPr>
                <w:rFonts w:hint="eastAsia" w:ascii="宋体" w:hAnsi="宋体" w:eastAsia="宋体" w:cs="宋体"/>
                <w:bCs/>
                <w:sz w:val="24"/>
              </w:rPr>
            </w:pPr>
            <w:r>
              <w:rPr>
                <w:rFonts w:hint="eastAsia" w:ascii="宋体" w:hAnsi="宋体" w:eastAsia="宋体" w:cs="宋体"/>
                <w:bCs/>
                <w:sz w:val="24"/>
              </w:rPr>
            </w:r>
            <w:r/>
          </w:p>
        </w:tc>
      </w:tr>
    </w:tbl>
    <w:p>
      <w:pPr>
        <w:pStyle w:val="1053"/>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53"/>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53"/>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53"/>
        <w:rPr>
          <w:rFonts w:hint="eastAsia" w:ascii="宋体" w:hAnsi="宋体" w:eastAsia="宋体" w:cs="宋体"/>
          <w:sz w:val="20"/>
        </w:rPr>
      </w:pPr>
      <w:r>
        <w:rPr>
          <w:rFonts w:hint="eastAsia" w:ascii="宋体" w:hAnsi="宋体" w:eastAsia="宋体" w:cs="宋体"/>
          <w:sz w:val="20"/>
        </w:rPr>
      </w:r>
      <w:r/>
    </w:p>
    <w:p>
      <w:pPr>
        <w:pStyle w:val="1053"/>
        <w:rPr>
          <w:rFonts w:hint="eastAsia" w:ascii="宋体" w:hAnsi="宋体" w:eastAsia="宋体" w:cs="宋体"/>
          <w:szCs w:val="21"/>
        </w:rPr>
      </w:pPr>
      <w:r/>
      <w:bookmarkStart w:id="149" w:name="_Toc10292"/>
      <w:r/>
      <w:bookmarkStart w:id="150" w:name="_Toc11669"/>
      <w:r/>
      <w:bookmarkStart w:id="151" w:name="_Toc5552"/>
      <w:r>
        <w:rPr>
          <w:rFonts w:hint="eastAsia" w:ascii="宋体" w:hAnsi="宋体" w:eastAsia="宋体" w:cs="宋体"/>
          <w:szCs w:val="21"/>
        </w:rPr>
        <w:t xml:space="preserve">说明：①此表为表样，行数可自行添加，但表式不变。</w:t>
      </w:r>
      <w:r>
        <w:rPr>
          <w:rFonts w:hint="eastAsia" w:ascii="宋体" w:hAnsi="宋体" w:eastAsia="宋体" w:cs="宋体"/>
          <w:szCs w:val="21"/>
        </w:rPr>
      </w:r>
      <w:r/>
    </w:p>
    <w:p>
      <w:pPr>
        <w:pStyle w:val="1053"/>
        <w:rPr>
          <w:rFonts w:hint="eastAsia" w:ascii="宋体" w:hAnsi="宋体" w:eastAsia="宋体" w:cs="宋体"/>
          <w:szCs w:val="21"/>
        </w:rPr>
      </w:pPr>
      <w:r>
        <w:rPr>
          <w:rFonts w:hint="eastAsia" w:ascii="宋体" w:hAnsi="宋体" w:eastAsia="宋体" w:cs="宋体"/>
          <w:szCs w:val="21"/>
        </w:rPr>
        <w:t xml:space="preserve">②是否偏离用符号“+、=、-”分别表示正偏离、完全响应、负偏离。</w:t>
      </w:r>
      <w:r>
        <w:rPr>
          <w:rFonts w:hint="eastAsia" w:ascii="宋体" w:hAnsi="宋体" w:eastAsia="宋体" w:cs="宋体"/>
          <w:szCs w:val="21"/>
        </w:rPr>
      </w:r>
      <w:r/>
    </w:p>
    <w:p>
      <w:pPr>
        <w:pStyle w:val="1053"/>
        <w:rPr>
          <w:rFonts w:hint="eastAsia" w:ascii="宋体" w:hAnsi="宋体" w:eastAsia="宋体" w:cs="宋体"/>
          <w:szCs w:val="21"/>
        </w:rPr>
      </w:pPr>
      <w:r>
        <w:rPr>
          <w:rFonts w:hint="eastAsia" w:ascii="宋体" w:hAnsi="宋体" w:eastAsia="宋体" w:cs="宋体"/>
          <w:b/>
          <w:bCs/>
          <w:szCs w:val="21"/>
        </w:rPr>
        <w:t xml:space="preserve">③供应商必须仔细阅读本招标文件“第四章”中所有相关采购要求，并对所有技术要求偏离的条目列入上表。供应商必须根据所提供服务的实际情况如实填写，评审小组如发现有虚假描述的，该投标文件视为无效</w:t>
      </w:r>
      <w:r>
        <w:rPr>
          <w:rFonts w:hint="eastAsia" w:ascii="宋体" w:hAnsi="宋体" w:eastAsia="宋体" w:cs="宋体"/>
          <w:szCs w:val="21"/>
        </w:rPr>
        <w:t xml:space="preserve">。</w:t>
      </w:r>
      <w:r>
        <w:rPr>
          <w:rFonts w:hint="eastAsia" w:ascii="宋体" w:hAnsi="宋体" w:eastAsia="宋体" w:cs="宋体"/>
          <w:szCs w:val="21"/>
        </w:rPr>
      </w:r>
      <w:r/>
    </w:p>
    <w:p>
      <w:pPr>
        <w:pStyle w:val="105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53"/>
        <w:spacing w:line="420" w:lineRule="exact"/>
        <w:rPr>
          <w:rFonts w:hint="eastAsia" w:ascii="宋体" w:hAnsi="宋体" w:eastAsia="宋体" w:cs="宋体"/>
          <w:b/>
          <w:sz w:val="24"/>
          <w:szCs w:val="24"/>
          <w:lang w:val="zh-CN"/>
        </w:rPr>
      </w:pPr>
      <w:r/>
      <w:bookmarkStart w:id="152" w:name="_Toc22168"/>
      <w:r/>
      <w:bookmarkStart w:id="153" w:name="_Toc23012"/>
      <w:r>
        <w:rPr>
          <w:rFonts w:hint="eastAsia" w:eastAsia="宋体" w:cs="宋体"/>
          <w:b/>
          <w:sz w:val="24"/>
          <w:szCs w:val="24"/>
        </w:rPr>
        <w:t xml:space="preserve">附件：</w:t>
      </w:r>
      <w:r>
        <w:rPr>
          <w:rFonts w:hint="eastAsia" w:ascii="宋体" w:hAnsi="宋体" w:eastAsia="宋体" w:cs="宋体"/>
          <w:b/>
          <w:sz w:val="24"/>
          <w:szCs w:val="24"/>
          <w:lang w:val="zh-CN"/>
        </w:rPr>
        <w:t xml:space="preserve">“★”</w:t>
      </w:r>
      <w:r>
        <w:rPr>
          <w:rFonts w:hint="eastAsia" w:ascii="宋体" w:hAnsi="宋体" w:eastAsia="宋体" w:cs="宋体"/>
          <w:b/>
          <w:sz w:val="24"/>
          <w:szCs w:val="24"/>
        </w:rPr>
        <w:t xml:space="preserve">及</w:t>
      </w:r>
      <w:r>
        <w:rPr>
          <w:rFonts w:hint="eastAsia" w:ascii="宋体" w:hAnsi="宋体" w:eastAsia="宋体" w:cs="宋体"/>
          <w:b/>
          <w:sz w:val="24"/>
          <w:szCs w:val="24"/>
          <w:lang w:val="zh-CN"/>
        </w:rPr>
        <w:t xml:space="preserve">“▲”参数技术支持材料</w:t>
      </w:r>
      <w:bookmarkEnd w:id="152"/>
      <w:r/>
      <w:bookmarkEnd w:id="153"/>
      <w:r>
        <w:rPr>
          <w:rFonts w:hint="eastAsia" w:ascii="宋体" w:hAnsi="宋体" w:eastAsia="宋体" w:cs="宋体"/>
          <w:b/>
          <w:sz w:val="24"/>
          <w:szCs w:val="24"/>
          <w:lang w:val="zh-CN"/>
        </w:rPr>
      </w:r>
      <w:r/>
    </w:p>
    <w:p>
      <w:pPr>
        <w:pStyle w:val="1094"/>
        <w:ind w:left="0"/>
        <w:rPr>
          <w:rFonts w:hint="eastAsia" w:ascii="宋体" w:hAnsi="宋体" w:cs="宋体"/>
        </w:rPr>
      </w:pPr>
      <w:r>
        <w:rPr>
          <w:rFonts w:hint="eastAsia" w:ascii="宋体" w:hAnsi="宋体" w:cs="宋体"/>
        </w:rPr>
      </w:r>
      <w:r/>
    </w:p>
    <w:p>
      <w:pPr>
        <w:pStyle w:val="1094"/>
        <w:ind w:left="0" w:firstLine="420"/>
        <w:rPr>
          <w:rFonts w:hint="eastAsia" w:ascii="宋体" w:hAnsi="宋体" w:cs="宋体"/>
        </w:rPr>
      </w:pPr>
      <w:r>
        <w:rPr>
          <w:rFonts w:hint="eastAsia" w:ascii="宋体" w:hAnsi="宋体" w:cs="宋体"/>
        </w:rPr>
        <w:t xml:space="preserve">供应商应当根据招标文件要求编制投标文件，投标文件应对招标文件提出的要求和条件作出实质性响应，对带星号（“★”）的技术条款须在投标文件中提供招标文件技术参数中所要求的技术支持资料（技术支持资料种类以文件第四章要求为准，如无特殊要求则为明确说明该技术内容的公开发行的手册、彩页、官网截图、功能页面截图、检测报告或白皮书等证明材料），未提供技术支持资料的，或未对招标文件做出实质性响应，将导致投标文件被视为无效。</w:t>
      </w:r>
      <w:r>
        <w:rPr>
          <w:rFonts w:hint="eastAsia" w:ascii="宋体" w:hAnsi="宋体" w:cs="宋体"/>
        </w:rPr>
      </w:r>
      <w:r/>
    </w:p>
    <w:p>
      <w:pPr>
        <w:pStyle w:val="1094"/>
        <w:ind w:left="0" w:firstLine="420"/>
        <w:rPr>
          <w:rFonts w:hint="eastAsia" w:ascii="宋体" w:hAnsi="宋体" w:cs="宋体"/>
        </w:rPr>
      </w:pPr>
      <w:r>
        <w:rPr>
          <w:rFonts w:hint="eastAsia" w:ascii="宋体" w:hAnsi="宋体" w:cs="宋体"/>
        </w:rPr>
        <w:t xml:space="preserve">对带▲号参数指标（如有）为主要技术参数要求，投标文件中须提供技术支持资料（技术支持资料种类以文件第四章要求为准，如无特殊要求则为明确说明该技术内容的公开发行的手册、彩页、官网截图、功能页面截图、检测报告或白皮书等证明材料），否则将视为未响应▲号参数，作负偏离处理。</w:t>
      </w:r>
      <w:r>
        <w:rPr>
          <w:rFonts w:hint="eastAsia" w:ascii="宋体" w:hAnsi="宋体" w:cs="宋体"/>
        </w:rPr>
      </w:r>
      <w:r/>
    </w:p>
    <w:p>
      <w:pPr>
        <w:pStyle w:val="1053"/>
        <w:rPr>
          <w:rFonts w:hint="eastAsia" w:ascii="宋体" w:hAnsi="宋体" w:eastAsia="宋体" w:cs="宋体"/>
        </w:rPr>
      </w:pPr>
      <w:r>
        <w:rPr>
          <w:rFonts w:hint="eastAsia" w:ascii="宋体" w:hAnsi="宋体" w:eastAsia="宋体" w:cs="宋体"/>
        </w:rPr>
      </w:r>
      <w:r/>
    </w:p>
    <w:p>
      <w:pPr>
        <w:pStyle w:val="1053"/>
        <w:rPr>
          <w:rFonts w:hint="eastAsia" w:ascii="宋体" w:hAnsi="宋体" w:eastAsia="宋体" w:cs="宋体"/>
        </w:rPr>
      </w:pPr>
      <w:r>
        <w:rPr>
          <w:rFonts w:hint="eastAsia" w:ascii="宋体" w:hAnsi="宋体" w:eastAsia="宋体" w:cs="宋体"/>
        </w:rPr>
        <w:t xml:space="preserve">★项参数要求及证明材料：</w:t>
      </w:r>
      <w:r>
        <w:rPr>
          <w:rFonts w:hint="eastAsia" w:ascii="宋体" w:hAnsi="宋体" w:eastAsia="宋体" w:cs="宋体"/>
        </w:rPr>
      </w:r>
      <w:r/>
    </w:p>
    <w:p>
      <w:pPr>
        <w:pStyle w:val="1053"/>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p>
      <w:pPr>
        <w:pStyle w:val="1053"/>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p>
      <w:pPr>
        <w:pStyle w:val="1053"/>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p>
      <w:pPr>
        <w:pStyle w:val="1053"/>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053"/>
        <w:rPr>
          <w:rFonts w:hint="eastAsia" w:ascii="宋体" w:hAnsi="宋体" w:eastAsia="宋体" w:cs="宋体"/>
        </w:rPr>
      </w:pPr>
      <w:r>
        <w:rPr>
          <w:rFonts w:hint="eastAsia" w:ascii="宋体" w:hAnsi="宋体" w:eastAsia="宋体" w:cs="宋体"/>
        </w:rPr>
      </w:r>
      <w:r/>
    </w:p>
    <w:p>
      <w:pPr>
        <w:pStyle w:val="1053"/>
        <w:rPr>
          <w:rFonts w:hint="eastAsia" w:ascii="宋体" w:hAnsi="宋体" w:eastAsia="宋体" w:cs="宋体"/>
        </w:rPr>
      </w:pPr>
      <w:r>
        <w:rPr>
          <w:rFonts w:hint="eastAsia" w:ascii="宋体" w:hAnsi="宋体" w:eastAsia="宋体" w:cs="宋体"/>
        </w:rPr>
        <w:t xml:space="preserve">▲项参数要求及证明材料：</w:t>
      </w:r>
      <w:r>
        <w:rPr>
          <w:rFonts w:hint="eastAsia" w:ascii="宋体" w:hAnsi="宋体" w:eastAsia="宋体" w:cs="宋体"/>
        </w:rPr>
      </w:r>
      <w:r/>
    </w:p>
    <w:p>
      <w:pPr>
        <w:pStyle w:val="1053"/>
        <w:rPr>
          <w:rFonts w:hint="eastAsia" w:ascii="宋体" w:hAnsi="宋体" w:eastAsia="宋体" w:cs="宋体"/>
        </w:rPr>
      </w:pPr>
      <w:r>
        <w:rPr>
          <w:rFonts w:hint="eastAsia" w:ascii="宋体" w:hAnsi="宋体" w:eastAsia="宋体" w:cs="宋体"/>
        </w:rPr>
        <w:t xml:space="preserve">1.</w:t>
      </w:r>
      <w:r>
        <w:rPr>
          <w:rFonts w:hint="eastAsia" w:ascii="宋体" w:hAnsi="宋体" w:eastAsia="宋体" w:cs="宋体"/>
        </w:rPr>
      </w:r>
      <w:r/>
    </w:p>
    <w:p>
      <w:pPr>
        <w:pStyle w:val="1053"/>
        <w:rPr>
          <w:rFonts w:hint="eastAsia" w:ascii="宋体" w:hAnsi="宋体" w:eastAsia="宋体" w:cs="宋体"/>
        </w:rPr>
      </w:pPr>
      <w:r>
        <w:rPr>
          <w:rFonts w:hint="eastAsia" w:ascii="宋体" w:hAnsi="宋体" w:eastAsia="宋体" w:cs="宋体"/>
        </w:rPr>
        <w:t xml:space="preserve">2.</w:t>
      </w:r>
      <w:r>
        <w:rPr>
          <w:rFonts w:hint="eastAsia" w:ascii="宋体" w:hAnsi="宋体" w:eastAsia="宋体" w:cs="宋体"/>
        </w:rPr>
      </w:r>
      <w:r/>
    </w:p>
    <w:p>
      <w:pPr>
        <w:pStyle w:val="1053"/>
        <w:rPr>
          <w:rFonts w:hint="eastAsia" w:ascii="宋体" w:hAnsi="宋体" w:eastAsia="宋体" w:cs="宋体"/>
        </w:rPr>
      </w:pPr>
      <w:r>
        <w:rPr>
          <w:rFonts w:hint="eastAsia" w:ascii="宋体" w:hAnsi="宋体" w:eastAsia="宋体" w:cs="宋体"/>
        </w:rPr>
        <w:t xml:space="preserve">3.</w:t>
      </w:r>
      <w:r>
        <w:rPr>
          <w:rFonts w:hint="eastAsia" w:ascii="宋体" w:hAnsi="宋体" w:eastAsia="宋体" w:cs="宋体"/>
        </w:rPr>
      </w:r>
      <w:r/>
    </w:p>
    <w:p>
      <w:pPr>
        <w:pStyle w:val="1053"/>
        <w:rPr>
          <w:rFonts w:hint="eastAsia" w:ascii="宋体" w:hAnsi="宋体" w:eastAsia="宋体" w:cs="宋体"/>
        </w:rPr>
      </w:pPr>
      <w:r>
        <w:rPr>
          <w:rFonts w:hint="eastAsia" w:ascii="宋体" w:hAnsi="宋体" w:eastAsia="宋体" w:cs="宋体"/>
        </w:rPr>
        <w:t xml:space="preserve">……</w:t>
      </w:r>
      <w:r>
        <w:rPr>
          <w:rFonts w:hint="eastAsia" w:ascii="宋体" w:hAnsi="宋体" w:eastAsia="宋体" w:cs="宋体"/>
        </w:rPr>
      </w:r>
      <w:r/>
    </w:p>
    <w:p>
      <w:pPr>
        <w:pStyle w:val="105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53"/>
        <w:jc w:val="center"/>
        <w:rPr>
          <w:rFonts w:hint="eastAsia" w:ascii="宋体" w:hAnsi="宋体" w:eastAsia="宋体" w:cs="宋体"/>
          <w:sz w:val="32"/>
          <w:szCs w:val="32"/>
        </w:rPr>
      </w:pPr>
      <w:r>
        <w:rPr>
          <w:rFonts w:hint="eastAsia" w:ascii="宋体" w:hAnsi="宋体" w:eastAsia="宋体" w:cs="宋体"/>
          <w:sz w:val="32"/>
          <w:szCs w:val="32"/>
        </w:rPr>
        <w:t xml:space="preserve">6.</w:t>
      </w:r>
      <w:bookmarkEnd w:id="149"/>
      <w:r/>
      <w:bookmarkEnd w:id="150"/>
      <w:r/>
      <w:bookmarkEnd w:id="151"/>
      <w:r>
        <w:rPr>
          <w:rFonts w:hint="eastAsia" w:ascii="宋体" w:hAnsi="宋体" w:eastAsia="宋体" w:cs="宋体"/>
          <w:sz w:val="32"/>
          <w:szCs w:val="32"/>
        </w:rPr>
        <w:t xml:space="preserve">商务条款偏离表（商务要求响应表）</w:t>
      </w:r>
      <w:r>
        <w:rPr>
          <w:rFonts w:hint="eastAsia" w:ascii="宋体" w:hAnsi="宋体" w:eastAsia="宋体" w:cs="宋体"/>
          <w:sz w:val="32"/>
          <w:szCs w:val="32"/>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1011"/>
        <w:gridCol w:w="3112"/>
        <w:gridCol w:w="2685"/>
        <w:gridCol w:w="1527"/>
        <w:gridCol w:w="1052"/>
      </w:tblGrid>
      <w:tr>
        <w:trPr>
          <w:trHeight w:val="643"/>
        </w:trPr>
        <w:tc>
          <w:tcPr>
            <w:tcW w:w="1011" w:type="dxa"/>
            <w:vAlign w:val="center"/>
            <w:textDirection w:val="lrTb"/>
            <w:noWrap w:val="false"/>
          </w:tcPr>
          <w:p>
            <w:pPr>
              <w:pStyle w:val="105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3112" w:type="dxa"/>
            <w:vAlign w:val="center"/>
            <w:textDirection w:val="lrTb"/>
            <w:noWrap w:val="false"/>
          </w:tcPr>
          <w:p>
            <w:pPr>
              <w:pStyle w:val="105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招标文件商务部分要求</w:t>
            </w:r>
            <w:r>
              <w:rPr>
                <w:rFonts w:hint="eastAsia" w:ascii="宋体" w:hAnsi="宋体" w:eastAsia="宋体" w:cs="宋体"/>
                <w:sz w:val="24"/>
                <w:szCs w:val="24"/>
              </w:rPr>
            </w:r>
            <w:r/>
          </w:p>
        </w:tc>
        <w:tc>
          <w:tcPr>
            <w:tcW w:w="2685" w:type="dxa"/>
            <w:vAlign w:val="center"/>
            <w:textDirection w:val="lrTb"/>
            <w:noWrap w:val="false"/>
          </w:tcPr>
          <w:p>
            <w:pPr>
              <w:pStyle w:val="105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供应商的响应及承诺</w:t>
            </w:r>
            <w:r>
              <w:rPr>
                <w:rFonts w:hint="eastAsia" w:ascii="宋体" w:hAnsi="宋体" w:eastAsia="宋体" w:cs="宋体"/>
                <w:sz w:val="24"/>
                <w:szCs w:val="24"/>
              </w:rPr>
            </w:r>
            <w:r/>
          </w:p>
        </w:tc>
        <w:tc>
          <w:tcPr>
            <w:tcW w:w="1527" w:type="dxa"/>
            <w:vAlign w:val="center"/>
            <w:textDirection w:val="lrTb"/>
            <w:noWrap w:val="false"/>
          </w:tcPr>
          <w:p>
            <w:pPr>
              <w:pStyle w:val="1053"/>
              <w:jc w:val="center"/>
              <w:spacing w:before="0" w:after="0"/>
              <w:rPr>
                <w:rFonts w:hint="eastAsia" w:ascii="宋体" w:hAnsi="宋体" w:eastAsia="宋体" w:cs="宋体"/>
                <w:sz w:val="24"/>
                <w:szCs w:val="24"/>
              </w:rPr>
            </w:pPr>
            <w:r>
              <w:rPr>
                <w:rFonts w:hint="eastAsia" w:ascii="宋体" w:hAnsi="宋体" w:eastAsia="宋体" w:cs="宋体"/>
                <w:sz w:val="24"/>
                <w:szCs w:val="24"/>
              </w:rPr>
              <w:t xml:space="preserve">偏离情况（+/-/=）</w:t>
            </w:r>
            <w:r>
              <w:rPr>
                <w:rFonts w:hint="eastAsia" w:ascii="宋体" w:hAnsi="宋体" w:eastAsia="宋体" w:cs="宋体"/>
                <w:sz w:val="24"/>
                <w:szCs w:val="24"/>
              </w:rPr>
            </w:r>
            <w:r/>
          </w:p>
        </w:tc>
        <w:tc>
          <w:tcPr>
            <w:tcW w:w="1052" w:type="dxa"/>
            <w:vAlign w:val="center"/>
            <w:textDirection w:val="lrTb"/>
            <w:noWrap w:val="false"/>
          </w:tcPr>
          <w:p>
            <w:pPr>
              <w:pStyle w:val="105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备注</w:t>
            </w:r>
            <w:r>
              <w:rPr>
                <w:rFonts w:hint="eastAsia" w:ascii="宋体" w:hAnsi="宋体" w:eastAsia="宋体" w:cs="宋体"/>
                <w:sz w:val="24"/>
                <w:szCs w:val="24"/>
              </w:rPr>
            </w:r>
            <w:r/>
          </w:p>
        </w:tc>
      </w:tr>
      <w:tr>
        <w:trPr>
          <w:trHeight w:val="447"/>
        </w:trPr>
        <w:tc>
          <w:tcPr>
            <w:tcW w:w="1011" w:type="dxa"/>
            <w:vAlign w:val="center"/>
            <w:textDirection w:val="lrTb"/>
            <w:noWrap w:val="false"/>
          </w:tcPr>
          <w:p>
            <w:pPr>
              <w:pStyle w:val="105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3112"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7"/>
        </w:trPr>
        <w:tc>
          <w:tcPr>
            <w:tcW w:w="1011" w:type="dxa"/>
            <w:vAlign w:val="center"/>
            <w:textDirection w:val="lrTb"/>
            <w:noWrap w:val="false"/>
          </w:tcPr>
          <w:p>
            <w:pPr>
              <w:pStyle w:val="105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3112"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12"/>
        </w:trPr>
        <w:tc>
          <w:tcPr>
            <w:tcW w:w="1011" w:type="dxa"/>
            <w:vAlign w:val="center"/>
            <w:textDirection w:val="lrTb"/>
            <w:noWrap w:val="false"/>
          </w:tcPr>
          <w:p>
            <w:pPr>
              <w:pStyle w:val="105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3112"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41"/>
        </w:trPr>
        <w:tc>
          <w:tcPr>
            <w:tcW w:w="1011" w:type="dxa"/>
            <w:vAlign w:val="center"/>
            <w:textDirection w:val="lrTb"/>
            <w:noWrap w:val="false"/>
          </w:tcPr>
          <w:p>
            <w:pPr>
              <w:pStyle w:val="105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3112"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1"/>
        </w:trPr>
        <w:tc>
          <w:tcPr>
            <w:tcW w:w="1011" w:type="dxa"/>
            <w:vAlign w:val="center"/>
            <w:textDirection w:val="lrTb"/>
            <w:noWrap w:val="false"/>
          </w:tcPr>
          <w:p>
            <w:pPr>
              <w:pStyle w:val="105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3112"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61"/>
        </w:trPr>
        <w:tc>
          <w:tcPr>
            <w:tcW w:w="1011" w:type="dxa"/>
            <w:vAlign w:val="center"/>
            <w:textDirection w:val="lrTb"/>
            <w:noWrap w:val="false"/>
          </w:tcPr>
          <w:p>
            <w:pPr>
              <w:pStyle w:val="1053"/>
              <w:jc w:val="center"/>
              <w:spacing w:line="440" w:lineRule="exact"/>
              <w:rPr>
                <w:rFonts w:hint="eastAsia" w:ascii="宋体" w:hAnsi="宋体" w:eastAsia="宋体" w:cs="宋体"/>
                <w:sz w:val="24"/>
                <w:szCs w:val="24"/>
              </w:rPr>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3112"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576"/>
        </w:trPr>
        <w:tc>
          <w:tcPr>
            <w:tcW w:w="1011" w:type="dxa"/>
            <w:vAlign w:val="center"/>
            <w:textDirection w:val="lrTb"/>
            <w:noWrap w:val="false"/>
          </w:tcPr>
          <w:p>
            <w:pPr>
              <w:pStyle w:val="1053"/>
              <w:jc w:val="center"/>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3112"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2685"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527"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c>
          <w:tcPr>
            <w:tcW w:w="1052" w:type="dxa"/>
            <w:vAlign w:val="center"/>
            <w:textDirection w:val="lrTb"/>
            <w:noWrap w:val="false"/>
          </w:tcPr>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53"/>
        <w:rPr>
          <w:rFonts w:hint="eastAsia" w:ascii="宋体" w:hAnsi="宋体" w:eastAsia="宋体" w:cs="宋体"/>
          <w:szCs w:val="21"/>
        </w:rPr>
      </w:pPr>
      <w:r>
        <w:rPr>
          <w:rFonts w:hint="eastAsia" w:ascii="宋体" w:hAnsi="宋体" w:eastAsia="宋体" w:cs="宋体"/>
          <w:szCs w:val="21"/>
        </w:rPr>
        <w:t xml:space="preserve">说明：1. 供应商须根据第五章《合同条款及格式》及第四章《采购需求》的要求填写此表，作为投标文件的组成部分，如果行数不够，请自行增加。</w:t>
      </w:r>
      <w:r>
        <w:rPr>
          <w:rFonts w:hint="eastAsia" w:ascii="宋体" w:hAnsi="宋体" w:eastAsia="宋体" w:cs="宋体"/>
          <w:szCs w:val="21"/>
        </w:rPr>
      </w:r>
      <w:r/>
    </w:p>
    <w:p>
      <w:pPr>
        <w:pStyle w:val="1053"/>
        <w:rPr>
          <w:rFonts w:hint="eastAsia" w:ascii="宋体" w:hAnsi="宋体" w:eastAsia="宋体" w:cs="宋体"/>
          <w:szCs w:val="21"/>
        </w:rPr>
      </w:pPr>
      <w:r>
        <w:rPr>
          <w:rFonts w:hint="eastAsia" w:ascii="宋体" w:hAnsi="宋体" w:eastAsia="宋体" w:cs="宋体"/>
          <w:szCs w:val="21"/>
        </w:rPr>
        <w:t xml:space="preserve">2. 所有偏离必须在本表中列出，未在本偏离表中列出偏离，将视为供应商已完全接受招标文件要求。如完全无偏离，也无其他说明，可在本表第一行填写“全部无偏离”。</w:t>
      </w:r>
      <w:r>
        <w:rPr>
          <w:rFonts w:hint="eastAsia" w:ascii="宋体" w:hAnsi="宋体" w:eastAsia="宋体" w:cs="宋体"/>
          <w:szCs w:val="21"/>
        </w:rPr>
      </w:r>
      <w:r/>
    </w:p>
    <w:p>
      <w:pPr>
        <w:pStyle w:val="1053"/>
        <w:rPr>
          <w:rFonts w:hint="eastAsia" w:ascii="宋体" w:hAnsi="宋体" w:eastAsia="宋体" w:cs="宋体"/>
          <w:szCs w:val="21"/>
        </w:rPr>
      </w:pPr>
      <w:r>
        <w:rPr>
          <w:rFonts w:hint="eastAsia" w:ascii="宋体" w:hAnsi="宋体" w:eastAsia="宋体" w:cs="宋体"/>
          <w:szCs w:val="21"/>
        </w:rPr>
        <w:t xml:space="preserve">3. 偏离包括正、负偏离，正偏离指供应商的响应高于招标文件要求，负偏离指供应商的响应低于招标文件要求。是否偏离用符号“+、=、-”分别表示正偏离、完全响应、负偏离。</w:t>
      </w:r>
      <w:r>
        <w:rPr>
          <w:rFonts w:hint="eastAsia" w:ascii="宋体" w:hAnsi="宋体" w:eastAsia="宋体" w:cs="宋体"/>
          <w:szCs w:val="21"/>
        </w:rPr>
      </w:r>
      <w:r/>
    </w:p>
    <w:p>
      <w:pPr>
        <w:pStyle w:val="1053"/>
        <w:rPr>
          <w:rFonts w:hint="eastAsia" w:ascii="宋体" w:hAnsi="宋体" w:eastAsia="宋体" w:cs="宋体"/>
          <w:szCs w:val="21"/>
        </w:rPr>
      </w:pPr>
      <w:r>
        <w:rPr>
          <w:rFonts w:hint="eastAsia" w:ascii="宋体" w:hAnsi="宋体" w:eastAsia="宋体" w:cs="宋体"/>
          <w:szCs w:val="21"/>
        </w:rPr>
        <w:t xml:space="preserve">4. 如供应商将此表空白，视为供应商无任何偏离。</w:t>
      </w:r>
      <w:r>
        <w:rPr>
          <w:rFonts w:hint="eastAsia" w:ascii="宋体" w:hAnsi="宋体" w:eastAsia="宋体" w:cs="宋体"/>
          <w:szCs w:val="21"/>
        </w:rPr>
      </w:r>
      <w:r/>
    </w:p>
    <w:p>
      <w:pPr>
        <w:pStyle w:val="1053"/>
        <w:spacing w:line="440" w:lineRule="exact"/>
        <w:rPr>
          <w:rFonts w:hint="eastAsia" w:ascii="宋体" w:hAnsi="宋体" w:eastAsia="宋体" w:cs="宋体"/>
          <w:sz w:val="24"/>
          <w:szCs w:val="24"/>
        </w:rPr>
      </w:pPr>
      <w:r>
        <w:rPr>
          <w:rFonts w:hint="eastAsia" w:ascii="宋体" w:hAnsi="宋体" w:eastAsia="宋体" w:cs="宋体"/>
          <w:sz w:val="24"/>
          <w:szCs w:val="24"/>
        </w:rPr>
      </w:r>
      <w:r/>
    </w:p>
    <w:p>
      <w:pPr>
        <w:pStyle w:val="1053"/>
        <w:spacing w:before="0" w:after="0"/>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53"/>
        <w:spacing w:before="0" w:after="0"/>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53"/>
        <w:jc w:val="left"/>
        <w:spacing w:before="0" w:after="0"/>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53"/>
        <w:rPr>
          <w:rFonts w:hint="eastAsia" w:ascii="宋体" w:hAnsi="宋体" w:eastAsia="宋体" w:cs="宋体"/>
          <w:sz w:val="24"/>
          <w:szCs w:val="24"/>
        </w:rPr>
      </w:pPr>
      <w:r>
        <w:rPr>
          <w:rFonts w:hint="eastAsia" w:ascii="宋体" w:hAnsi="宋体" w:eastAsia="宋体" w:cs="宋体"/>
          <w:sz w:val="24"/>
          <w:szCs w:val="24"/>
        </w:rPr>
      </w:r>
      <w:r/>
    </w:p>
    <w:p>
      <w:pPr>
        <w:pStyle w:val="1053"/>
        <w:rPr>
          <w:rFonts w:hint="eastAsia" w:ascii="宋体" w:hAnsi="宋体" w:eastAsia="宋体" w:cs="宋体"/>
        </w:rPr>
      </w:pPr>
      <w:r>
        <w:rPr>
          <w:rFonts w:hint="eastAsia" w:ascii="宋体" w:hAnsi="宋体" w:eastAsia="宋体" w:cs="宋体"/>
        </w:rPr>
      </w:r>
      <w:r/>
    </w:p>
    <w:p>
      <w:pPr>
        <w:pStyle w:val="1053"/>
        <w:numPr>
          <w:ilvl w:val="0"/>
          <w:numId w:val="47"/>
        </w:numPr>
        <w:jc w:val="center"/>
        <w:tabs>
          <w:tab w:val="left" w:pos="312" w:leader="none"/>
        </w:tabs>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bookmarkStart w:id="154" w:name="_Toc29152"/>
      <w:r/>
      <w:bookmarkStart w:id="155" w:name="_Toc12051"/>
      <w:r/>
      <w:bookmarkStart w:id="156" w:name="_Toc12952"/>
      <w:r/>
      <w:bookmarkStart w:id="157" w:name="_Toc25254"/>
      <w:r>
        <w:rPr>
          <w:rFonts w:hint="eastAsia" w:ascii="宋体" w:hAnsi="宋体" w:eastAsia="宋体" w:cs="宋体"/>
          <w:sz w:val="32"/>
          <w:szCs w:val="32"/>
        </w:rPr>
      </w:r>
      <w:r/>
    </w:p>
    <w:p>
      <w:pPr>
        <w:pStyle w:val="1053"/>
        <w:numPr>
          <w:ilvl w:val="0"/>
          <w:numId w:val="47"/>
        </w:numPr>
        <w:jc w:val="center"/>
        <w:tabs>
          <w:tab w:val="left" w:pos="312" w:leader="none"/>
        </w:tabs>
        <w:rPr>
          <w:rFonts w:hint="eastAsia" w:ascii="宋体" w:hAnsi="宋体" w:eastAsia="宋体" w:cs="宋体"/>
          <w:sz w:val="32"/>
          <w:szCs w:val="32"/>
        </w:rPr>
      </w:pPr>
      <w:r>
        <w:rPr>
          <w:rFonts w:hint="eastAsia" w:ascii="宋体" w:hAnsi="宋体" w:eastAsia="宋体" w:cs="宋体"/>
          <w:sz w:val="32"/>
          <w:szCs w:val="32"/>
        </w:rPr>
        <w:t xml:space="preserve">经营业绩（提供合同复印件）</w:t>
      </w:r>
      <w:bookmarkEnd w:id="154"/>
      <w:r/>
      <w:bookmarkEnd w:id="155"/>
      <w:r/>
      <w:bookmarkEnd w:id="156"/>
      <w:r/>
      <w:bookmarkEnd w:id="157"/>
      <w:r>
        <w:rPr>
          <w:rFonts w:hint="eastAsia" w:ascii="宋体" w:hAnsi="宋体" w:eastAsia="宋体" w:cs="宋体"/>
          <w:sz w:val="32"/>
          <w:szCs w:val="32"/>
        </w:rPr>
      </w:r>
      <w:r/>
    </w:p>
    <w:tbl>
      <w:tblPr>
        <w:tblW w:w="9619" w:type="dxa"/>
        <w:tblInd w:w="2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52"/>
        <w:gridCol w:w="2028"/>
        <w:gridCol w:w="1695"/>
        <w:gridCol w:w="1275"/>
        <w:gridCol w:w="1418"/>
        <w:gridCol w:w="2551"/>
      </w:tblGrid>
      <w:tr>
        <w:trPr>
          <w:trHeight w:val="421"/>
        </w:trPr>
        <w:tc>
          <w:tcPr>
            <w:tcW w:w="652"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2028" w:type="dxa"/>
            <w:vAlign w:val="center"/>
            <w:textDirection w:val="lrTb"/>
            <w:noWrap w:val="false"/>
          </w:tcPr>
          <w:p>
            <w:pPr>
              <w:pStyle w:val="105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业绩名称</w:t>
            </w:r>
            <w:r>
              <w:rPr>
                <w:rFonts w:hint="eastAsia" w:ascii="宋体" w:hAnsi="宋体" w:eastAsia="宋体" w:cs="宋体"/>
                <w:sz w:val="24"/>
                <w:szCs w:val="24"/>
              </w:rPr>
            </w:r>
            <w:r/>
          </w:p>
          <w:p>
            <w:pPr>
              <w:pStyle w:val="105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（项目名称）</w:t>
            </w:r>
            <w:r>
              <w:rPr>
                <w:rFonts w:hint="eastAsia" w:ascii="宋体" w:hAnsi="宋体" w:eastAsia="宋体" w:cs="宋体"/>
                <w:sz w:val="24"/>
                <w:szCs w:val="24"/>
              </w:rPr>
            </w:r>
            <w:r/>
          </w:p>
        </w:tc>
        <w:tc>
          <w:tcPr>
            <w:tcW w:w="1695" w:type="dxa"/>
            <w:vAlign w:val="center"/>
            <w:textDirection w:val="lrTb"/>
            <w:noWrap w:val="false"/>
          </w:tcPr>
          <w:p>
            <w:pPr>
              <w:pStyle w:val="105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采购单位及联系人、联系方式</w:t>
            </w:r>
            <w:r>
              <w:rPr>
                <w:rFonts w:hint="eastAsia" w:ascii="宋体" w:hAnsi="宋体" w:eastAsia="宋体" w:cs="宋体"/>
                <w:sz w:val="24"/>
                <w:szCs w:val="24"/>
              </w:rPr>
            </w:r>
            <w:r/>
          </w:p>
        </w:tc>
        <w:tc>
          <w:tcPr>
            <w:tcW w:w="1275" w:type="dxa"/>
            <w:vAlign w:val="center"/>
            <w:textDirection w:val="lrTb"/>
            <w:noWrap w:val="false"/>
          </w:tcPr>
          <w:p>
            <w:pPr>
              <w:pStyle w:val="105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签订</w:t>
            </w:r>
            <w:r>
              <w:rPr>
                <w:rFonts w:hint="eastAsia" w:ascii="宋体" w:hAnsi="宋体" w:eastAsia="宋体" w:cs="宋体"/>
                <w:sz w:val="24"/>
                <w:szCs w:val="24"/>
              </w:rPr>
            </w:r>
            <w:r/>
          </w:p>
          <w:p>
            <w:pPr>
              <w:pStyle w:val="105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时间</w:t>
            </w:r>
            <w:r>
              <w:rPr>
                <w:rFonts w:hint="eastAsia" w:ascii="宋体" w:hAnsi="宋体" w:eastAsia="宋体" w:cs="宋体"/>
                <w:sz w:val="24"/>
                <w:szCs w:val="24"/>
              </w:rPr>
            </w:r>
            <w:r/>
          </w:p>
        </w:tc>
        <w:tc>
          <w:tcPr>
            <w:tcW w:w="1418" w:type="dxa"/>
            <w:vAlign w:val="center"/>
            <w:textDirection w:val="lrTb"/>
            <w:noWrap w:val="false"/>
          </w:tcPr>
          <w:p>
            <w:pPr>
              <w:pStyle w:val="105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合同金额</w:t>
            </w:r>
            <w:r>
              <w:rPr>
                <w:rFonts w:hint="eastAsia" w:ascii="宋体" w:hAnsi="宋体" w:eastAsia="宋体" w:cs="宋体"/>
                <w:sz w:val="24"/>
                <w:szCs w:val="24"/>
              </w:rPr>
            </w:r>
            <w:r/>
          </w:p>
          <w:p>
            <w:pPr>
              <w:pStyle w:val="105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（万元）</w:t>
            </w:r>
            <w:r>
              <w:rPr>
                <w:rFonts w:hint="eastAsia" w:ascii="宋体" w:hAnsi="宋体" w:eastAsia="宋体" w:cs="宋体"/>
                <w:sz w:val="24"/>
                <w:szCs w:val="24"/>
              </w:rPr>
            </w:r>
            <w:r/>
          </w:p>
        </w:tc>
        <w:tc>
          <w:tcPr>
            <w:tcW w:w="2551" w:type="dxa"/>
            <w:vAlign w:val="center"/>
            <w:textDirection w:val="lrTb"/>
            <w:noWrap w:val="false"/>
          </w:tcPr>
          <w:p>
            <w:pPr>
              <w:pStyle w:val="105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证明材料</w:t>
            </w:r>
            <w:r>
              <w:rPr>
                <w:rFonts w:hint="eastAsia" w:ascii="宋体" w:hAnsi="宋体" w:eastAsia="宋体" w:cs="宋体"/>
                <w:sz w:val="24"/>
                <w:szCs w:val="24"/>
              </w:rPr>
            </w:r>
            <w:r/>
          </w:p>
          <w:p>
            <w:pPr>
              <w:pStyle w:val="1053"/>
              <w:jc w:val="center"/>
              <w:spacing w:line="420" w:lineRule="exact"/>
              <w:widowControl/>
              <w:rPr>
                <w:rFonts w:hint="eastAsia" w:ascii="宋体" w:hAnsi="宋体" w:eastAsia="宋体" w:cs="宋体"/>
                <w:sz w:val="24"/>
                <w:szCs w:val="24"/>
              </w:rPr>
            </w:pPr>
            <w:r>
              <w:rPr>
                <w:rFonts w:hint="eastAsia" w:ascii="宋体" w:hAnsi="宋体" w:eastAsia="宋体" w:cs="宋体"/>
                <w:sz w:val="24"/>
                <w:szCs w:val="24"/>
              </w:rPr>
              <w:t xml:space="preserve">（第几页—第几页）</w:t>
            </w:r>
            <w:r>
              <w:rPr>
                <w:rFonts w:hint="eastAsia" w:ascii="宋体" w:hAnsi="宋体" w:eastAsia="宋体" w:cs="宋体"/>
                <w:sz w:val="24"/>
                <w:szCs w:val="24"/>
              </w:rPr>
            </w:r>
            <w:r/>
          </w:p>
        </w:tc>
      </w:tr>
      <w:tr>
        <w:trPr>
          <w:trHeight w:val="530"/>
        </w:trPr>
        <w:tc>
          <w:tcPr>
            <w:tcW w:w="652"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2028" w:type="dxa"/>
            <w:vAlign w:val="center"/>
            <w:textDirection w:val="lrTb"/>
            <w:noWrap w:val="false"/>
          </w:tcPr>
          <w:p>
            <w:pPr>
              <w:pStyle w:val="105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5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5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5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5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48"/>
        </w:trPr>
        <w:tc>
          <w:tcPr>
            <w:tcW w:w="652"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2028" w:type="dxa"/>
            <w:vAlign w:val="center"/>
            <w:textDirection w:val="lrTb"/>
            <w:noWrap w:val="false"/>
          </w:tcPr>
          <w:p>
            <w:pPr>
              <w:pStyle w:val="105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5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5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5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53"/>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2028"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2028"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2028"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417"/>
        </w:trPr>
        <w:tc>
          <w:tcPr>
            <w:tcW w:w="652"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028"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695"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275" w:type="dxa"/>
            <w:vAlign w:val="top"/>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1418"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c>
          <w:tcPr>
            <w:tcW w:w="2551" w:type="dxa"/>
            <w:vAlign w:val="center"/>
            <w:textDirection w:val="lrTb"/>
            <w:noWrap w:val="false"/>
          </w:tcPr>
          <w:p>
            <w:pPr>
              <w:pStyle w:val="1053"/>
              <w:ind w:left="-20"/>
              <w:jc w:val="center"/>
              <w:spacing w:line="420" w:lineRule="exact"/>
              <w:rPr>
                <w:rFonts w:hint="eastAsia" w:ascii="宋体" w:hAnsi="宋体" w:eastAsia="宋体" w:cs="宋体"/>
                <w:sz w:val="24"/>
                <w:szCs w:val="24"/>
              </w:rPr>
            </w:pPr>
            <w:r>
              <w:rPr>
                <w:rFonts w:hint="eastAsia" w:ascii="宋体" w:hAnsi="宋体" w:eastAsia="宋体" w:cs="宋体"/>
                <w:sz w:val="24"/>
                <w:szCs w:val="24"/>
              </w:rPr>
            </w:r>
            <w:r/>
          </w:p>
        </w:tc>
      </w:tr>
    </w:tbl>
    <w:p>
      <w:pPr>
        <w:pStyle w:val="1053"/>
        <w:rPr>
          <w:rFonts w:hint="eastAsia" w:ascii="宋体" w:hAnsi="宋体" w:eastAsia="宋体" w:cs="宋体"/>
          <w:szCs w:val="21"/>
        </w:rPr>
      </w:pPr>
      <w:r>
        <w:rPr>
          <w:rFonts w:hint="eastAsia" w:ascii="宋体" w:hAnsi="宋体" w:eastAsia="宋体" w:cs="宋体"/>
          <w:szCs w:val="21"/>
        </w:rPr>
        <w:t xml:space="preserve">注：此表为表样，行数可自行添加，但表式不变。根据评分标准要求，附上业绩证明材料</w:t>
      </w:r>
      <w:r>
        <w:rPr>
          <w:rFonts w:hint="eastAsia" w:ascii="宋体" w:hAnsi="宋体" w:eastAsia="宋体" w:cs="宋体"/>
          <w:szCs w:val="21"/>
        </w:rPr>
      </w:r>
      <w:r/>
    </w:p>
    <w:p>
      <w:pPr>
        <w:pStyle w:val="1053"/>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53"/>
        <w:rPr>
          <w:rFonts w:hint="eastAsia" w:ascii="宋体" w:hAnsi="宋体" w:eastAsia="宋体" w:cs="宋体"/>
          <w:sz w:val="24"/>
          <w:szCs w:val="24"/>
        </w:rPr>
      </w:pPr>
      <w:r>
        <w:rPr>
          <w:rFonts w:hint="eastAsia" w:ascii="宋体" w:hAnsi="宋体" w:eastAsia="宋体" w:cs="宋体"/>
          <w:sz w:val="24"/>
          <w:szCs w:val="24"/>
        </w:rPr>
      </w:r>
      <w:r/>
    </w:p>
    <w:p>
      <w:pPr>
        <w:pStyle w:val="1053"/>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53"/>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53"/>
        <w:jc w:val="left"/>
        <w:widowControl/>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53"/>
        <w:jc w:val="center"/>
        <w:rPr>
          <w:rFonts w:hint="eastAsia" w:ascii="宋体" w:hAnsi="宋体" w:eastAsia="宋体" w:cs="宋体"/>
          <w:sz w:val="24"/>
          <w:szCs w:val="24"/>
        </w:rPr>
      </w:pPr>
      <w:r>
        <w:rPr>
          <w:rFonts w:hint="eastAsia" w:ascii="宋体" w:hAnsi="宋体" w:eastAsia="宋体" w:cs="宋体"/>
          <w:sz w:val="24"/>
          <w:szCs w:val="24"/>
        </w:rPr>
      </w:r>
      <w:r/>
    </w:p>
    <w:p>
      <w:pPr>
        <w:pStyle w:val="1053"/>
        <w:rPr>
          <w:rFonts w:hint="eastAsia" w:ascii="宋体" w:hAnsi="宋体" w:eastAsia="宋体" w:cs="宋体"/>
          <w:sz w:val="24"/>
          <w:szCs w:val="24"/>
        </w:rPr>
      </w:pPr>
      <w:r>
        <w:rPr>
          <w:rFonts w:hint="eastAsia" w:ascii="宋体" w:hAnsi="宋体" w:eastAsia="宋体" w:cs="宋体"/>
          <w:sz w:val="24"/>
          <w:szCs w:val="24"/>
        </w:rPr>
        <w:t xml:space="preserve">附：供应商业绩合同复印件</w:t>
      </w:r>
      <w:bookmarkStart w:id="158" w:name="_Toc3055"/>
      <w:r/>
      <w:bookmarkStart w:id="159" w:name="_Toc30172"/>
      <w:r/>
      <w:bookmarkStart w:id="160" w:name="_Toc448874878"/>
      <w:r/>
      <w:bookmarkStart w:id="161" w:name="_Toc5435"/>
      <w:r/>
      <w:bookmarkStart w:id="162" w:name="_Toc17430"/>
      <w:r/>
      <w:bookmarkStart w:id="163" w:name="_Toc478493367"/>
      <w:r>
        <w:rPr>
          <w:rFonts w:hint="eastAsia" w:ascii="宋体" w:hAnsi="宋体" w:eastAsia="宋体" w:cs="宋体"/>
          <w:sz w:val="24"/>
          <w:szCs w:val="24"/>
        </w:rPr>
      </w:r>
      <w:r/>
    </w:p>
    <w:p>
      <w:pPr>
        <w:pStyle w:val="105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53"/>
        <w:jc w:val="center"/>
        <w:rPr>
          <w:rFonts w:hint="eastAsia" w:ascii="宋体" w:hAnsi="宋体" w:eastAsia="宋体" w:cs="宋体"/>
          <w:b/>
          <w:bCs/>
          <w:sz w:val="32"/>
          <w:szCs w:val="32"/>
        </w:rPr>
      </w:pPr>
      <w:r>
        <w:rPr>
          <w:rFonts w:hint="eastAsia" w:ascii="宋体" w:hAnsi="宋体" w:eastAsia="宋体" w:cs="宋体"/>
          <w:sz w:val="32"/>
          <w:szCs w:val="32"/>
        </w:rPr>
        <w:t xml:space="preserve">8.项目实施方案</w:t>
      </w:r>
      <w:bookmarkEnd w:id="158"/>
      <w:r/>
      <w:bookmarkEnd w:id="159"/>
      <w:r/>
      <w:bookmarkEnd w:id="160"/>
      <w:r/>
      <w:bookmarkEnd w:id="161"/>
      <w:r/>
      <w:bookmarkEnd w:id="162"/>
      <w:r/>
      <w:bookmarkEnd w:id="163"/>
      <w:r>
        <w:rPr>
          <w:rFonts w:hint="eastAsia" w:ascii="宋体" w:hAnsi="宋体" w:eastAsia="宋体" w:cs="宋体"/>
          <w:b/>
          <w:bCs/>
          <w:sz w:val="32"/>
          <w:szCs w:val="32"/>
        </w:rPr>
      </w:r>
      <w:r/>
    </w:p>
    <w:p>
      <w:pPr>
        <w:pStyle w:val="1053"/>
        <w:ind w:left="216"/>
        <w:rPr>
          <w:rFonts w:hint="eastAsia" w:ascii="宋体" w:hAnsi="宋体" w:eastAsia="宋体" w:cs="宋体"/>
          <w:sz w:val="24"/>
          <w:szCs w:val="24"/>
        </w:rPr>
      </w:pPr>
      <w:r>
        <w:rPr>
          <w:rFonts w:hint="eastAsia" w:ascii="宋体" w:hAnsi="宋体" w:eastAsia="宋体" w:cs="宋体"/>
          <w:sz w:val="24"/>
          <w:szCs w:val="24"/>
        </w:rPr>
        <w:t xml:space="preserve">本项应包含且不限于下列内容：</w:t>
      </w:r>
      <w:r>
        <w:rPr>
          <w:rFonts w:hint="eastAsia" w:ascii="宋体" w:hAnsi="宋体" w:eastAsia="宋体" w:cs="宋体"/>
          <w:sz w:val="24"/>
          <w:szCs w:val="24"/>
        </w:rPr>
      </w:r>
      <w:r/>
    </w:p>
    <w:p>
      <w:pPr>
        <w:pStyle w:val="1053"/>
        <w:numPr>
          <w:ilvl w:val="0"/>
          <w:numId w:val="48"/>
        </w:numPr>
        <w:ind w:left="216"/>
        <w:rPr>
          <w:rFonts w:hint="eastAsia" w:ascii="宋体" w:hAnsi="宋体" w:eastAsia="宋体" w:cs="宋体"/>
          <w:sz w:val="24"/>
          <w:szCs w:val="24"/>
        </w:rPr>
      </w:pPr>
      <w:r>
        <w:rPr>
          <w:rFonts w:hint="eastAsia" w:ascii="宋体" w:hAnsi="宋体" w:eastAsia="宋体" w:cs="宋体"/>
          <w:sz w:val="24"/>
          <w:szCs w:val="24"/>
        </w:rPr>
        <w:t xml:space="preserve">人员配备方案；</w:t>
      </w:r>
      <w:r>
        <w:rPr>
          <w:rFonts w:hint="eastAsia" w:ascii="宋体" w:hAnsi="宋体" w:eastAsia="宋体" w:cs="宋体"/>
          <w:sz w:val="24"/>
          <w:szCs w:val="24"/>
        </w:rPr>
      </w:r>
      <w:r/>
    </w:p>
    <w:p>
      <w:pPr>
        <w:pStyle w:val="1053"/>
        <w:numPr>
          <w:ilvl w:val="0"/>
          <w:numId w:val="48"/>
        </w:numPr>
        <w:ind w:left="216"/>
        <w:rPr>
          <w:rFonts w:hint="eastAsia" w:ascii="宋体" w:hAnsi="宋体" w:eastAsia="宋体" w:cs="宋体"/>
          <w:sz w:val="24"/>
          <w:szCs w:val="24"/>
        </w:rPr>
      </w:pPr>
      <w:r>
        <w:rPr>
          <w:rFonts w:hint="eastAsia" w:ascii="宋体" w:hAnsi="宋体" w:eastAsia="宋体" w:cs="宋体"/>
          <w:sz w:val="24"/>
          <w:szCs w:val="24"/>
        </w:rPr>
        <w:t xml:space="preserve">服务方案；</w:t>
      </w:r>
      <w:r>
        <w:rPr>
          <w:rFonts w:hint="eastAsia" w:ascii="宋体" w:hAnsi="宋体" w:eastAsia="宋体" w:cs="宋体"/>
          <w:sz w:val="24"/>
          <w:szCs w:val="24"/>
        </w:rPr>
      </w:r>
      <w:r/>
    </w:p>
    <w:p>
      <w:pPr>
        <w:pStyle w:val="1053"/>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53"/>
        <w:spacing w:line="420" w:lineRule="exact"/>
        <w:rPr>
          <w:rFonts w:hint="eastAsia" w:ascii="宋体" w:hAnsi="宋体" w:eastAsia="宋体" w:cs="宋体"/>
          <w:sz w:val="24"/>
          <w:szCs w:val="24"/>
        </w:rPr>
      </w:pPr>
      <w:r>
        <w:rPr>
          <w:rFonts w:hint="eastAsia" w:ascii="宋体" w:hAnsi="宋体" w:eastAsia="宋体" w:cs="宋体"/>
          <w:sz w:val="24"/>
          <w:szCs w:val="24"/>
        </w:rPr>
      </w:r>
      <w:r/>
    </w:p>
    <w:p>
      <w:pPr>
        <w:pStyle w:val="1053"/>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53"/>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授权代表（签字或盖章）：</w:t>
      </w:r>
      <w:r>
        <w:rPr>
          <w:rFonts w:hint="eastAsia" w:ascii="宋体" w:hAnsi="宋体" w:eastAsia="宋体" w:cs="宋体"/>
          <w:sz w:val="24"/>
          <w:szCs w:val="24"/>
        </w:rPr>
      </w:r>
      <w:r/>
    </w:p>
    <w:p>
      <w:pPr>
        <w:pStyle w:val="1053"/>
        <w:ind w:left="216"/>
        <w:spacing w:line="420" w:lineRule="exact"/>
        <w:rPr>
          <w:rFonts w:hint="eastAsia" w:ascii="宋体" w:hAnsi="宋体" w:eastAsia="宋体" w:cs="宋体"/>
          <w:sz w:val="24"/>
          <w:szCs w:val="24"/>
        </w:rPr>
      </w:pPr>
      <w:r>
        <w:rPr>
          <w:rFonts w:hint="eastAsia" w:ascii="宋体" w:hAnsi="宋体" w:eastAsia="宋体" w:cs="宋体"/>
          <w:sz w:val="24"/>
          <w:szCs w:val="24"/>
        </w:rPr>
        <w:t xml:space="preserve">日期：  年  月  日</w:t>
      </w:r>
      <w:r>
        <w:rPr>
          <w:rFonts w:hint="eastAsia" w:ascii="宋体" w:hAnsi="宋体" w:eastAsia="宋体" w:cs="宋体"/>
          <w:sz w:val="24"/>
          <w:szCs w:val="24"/>
        </w:rPr>
      </w:r>
      <w:r/>
    </w:p>
    <w:p>
      <w:pPr>
        <w:pStyle w:val="1053"/>
        <w:rPr>
          <w:rFonts w:hint="eastAsia" w:ascii="宋体" w:hAnsi="宋体" w:eastAsia="宋体" w:cs="宋体"/>
        </w:rPr>
      </w:pPr>
      <w:r>
        <w:rPr>
          <w:rFonts w:hint="eastAsia" w:ascii="宋体" w:hAnsi="宋体" w:eastAsia="宋体" w:cs="宋体"/>
        </w:rPr>
      </w:r>
      <w:r/>
    </w:p>
    <w:p>
      <w:pPr>
        <w:pStyle w:val="1053"/>
        <w:jc w:val="center"/>
        <w:rPr>
          <w:rFonts w:hint="eastAsia" w:ascii="宋体" w:hAnsi="宋体" w:eastAsia="宋体" w:cs="宋体"/>
        </w:rPr>
      </w:pPr>
      <w:r/>
      <w:bookmarkStart w:id="164" w:name="_Toc8684"/>
      <w:r/>
      <w:bookmarkStart w:id="165" w:name="_Toc9040"/>
      <w:r>
        <w:rPr>
          <w:rFonts w:hint="eastAsia" w:ascii="宋体" w:hAnsi="宋体" w:eastAsia="宋体" w:cs="宋体"/>
        </w:rPr>
        <w:br w:type="page" w:clear="all"/>
      </w:r>
      <w:bookmarkStart w:id="166" w:name="_Toc1628"/>
      <w:r>
        <w:rPr>
          <w:rFonts w:hint="eastAsia" w:ascii="宋体" w:hAnsi="宋体" w:eastAsia="宋体" w:cs="宋体"/>
          <w:sz w:val="32"/>
          <w:szCs w:val="32"/>
        </w:rPr>
        <w:t xml:space="preserve">9.人员配备、资质及人员管理</w:t>
      </w:r>
      <w:bookmarkEnd w:id="164"/>
      <w:r/>
      <w:bookmarkEnd w:id="166"/>
      <w:r>
        <w:rPr>
          <w:rFonts w:hint="eastAsia" w:ascii="宋体" w:hAnsi="宋体" w:eastAsia="宋体" w:cs="宋体"/>
        </w:rPr>
      </w:r>
      <w:r/>
    </w:p>
    <w:p>
      <w:pPr>
        <w:pStyle w:val="1053"/>
        <w:ind w:firstLine="465"/>
        <w:spacing w:before="4" w:line="520" w:lineRule="exact"/>
        <w:widowControl/>
        <w:rPr>
          <w:rFonts w:hint="eastAsia" w:ascii="宋体" w:hAnsi="宋体" w:eastAsia="宋体" w:cs="宋体"/>
          <w:sz w:val="24"/>
          <w:szCs w:val="24"/>
        </w:rPr>
      </w:pPr>
      <w:r>
        <w:rPr>
          <w:rFonts w:hint="eastAsia" w:ascii="宋体" w:hAnsi="宋体" w:eastAsia="宋体" w:cs="宋体"/>
          <w:sz w:val="24"/>
          <w:szCs w:val="24"/>
        </w:rPr>
        <w:t xml:space="preserve">人员配备一览表</w:t>
      </w:r>
      <w:r>
        <w:rPr>
          <w:rFonts w:hint="eastAsia" w:ascii="宋体" w:hAnsi="宋体" w:eastAsia="宋体" w:cs="宋体"/>
          <w:sz w:val="24"/>
          <w:szCs w:val="24"/>
        </w:rPr>
      </w:r>
      <w:r/>
    </w:p>
    <w:tbl>
      <w:tblPr>
        <w:tblpPr w:horzAnchor="page" w:tblpX="1241" w:vertAnchor="text" w:tblpY="375" w:leftFromText="180" w:topFromText="0" w:rightFromText="180" w:bottomFromText="0"/>
        <w:tblW w:w="9340"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5"/>
        <w:gridCol w:w="1047"/>
        <w:gridCol w:w="2038"/>
        <w:gridCol w:w="868"/>
        <w:gridCol w:w="1010"/>
        <w:gridCol w:w="1758"/>
        <w:gridCol w:w="1904"/>
      </w:tblGrid>
      <w:tr>
        <w:trPr>
          <w:trHeight w:val="90"/>
        </w:trPr>
        <w:tc>
          <w:tcPr>
            <w:tcW w:w="715"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序号</w:t>
            </w:r>
            <w:r>
              <w:rPr>
                <w:rFonts w:hint="eastAsia" w:ascii="宋体" w:hAnsi="宋体" w:eastAsia="宋体" w:cs="宋体"/>
                <w:sz w:val="24"/>
                <w:szCs w:val="24"/>
              </w:rPr>
            </w:r>
            <w:r/>
          </w:p>
        </w:tc>
        <w:tc>
          <w:tcPr>
            <w:tcW w:w="1047"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姓名</w:t>
            </w:r>
            <w:r>
              <w:rPr>
                <w:rFonts w:hint="eastAsia" w:ascii="宋体" w:hAnsi="宋体" w:eastAsia="宋体" w:cs="宋体"/>
                <w:sz w:val="24"/>
                <w:szCs w:val="24"/>
              </w:rPr>
            </w:r>
            <w:r/>
          </w:p>
        </w:tc>
        <w:tc>
          <w:tcPr>
            <w:tcW w:w="203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在本项目中担任的职务</w:t>
            </w:r>
            <w:r>
              <w:rPr>
                <w:rFonts w:hint="eastAsia" w:ascii="宋体" w:hAnsi="宋体" w:eastAsia="宋体" w:cs="宋体"/>
                <w:sz w:val="24"/>
                <w:szCs w:val="24"/>
              </w:rPr>
            </w:r>
            <w:r/>
          </w:p>
        </w:tc>
        <w:tc>
          <w:tcPr>
            <w:tcW w:w="86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岗位职称</w:t>
            </w:r>
            <w:r>
              <w:rPr>
                <w:rFonts w:hint="eastAsia" w:ascii="宋体" w:hAnsi="宋体" w:eastAsia="宋体" w:cs="宋体"/>
                <w:sz w:val="24"/>
                <w:szCs w:val="24"/>
              </w:rPr>
            </w:r>
            <w:r/>
          </w:p>
        </w:tc>
        <w:tc>
          <w:tcPr>
            <w:tcW w:w="1010"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年龄</w:t>
            </w:r>
            <w:r>
              <w:rPr>
                <w:rFonts w:hint="eastAsia" w:ascii="宋体" w:hAnsi="宋体" w:eastAsia="宋体" w:cs="宋体"/>
                <w:sz w:val="24"/>
                <w:szCs w:val="24"/>
              </w:rPr>
            </w:r>
            <w:r/>
          </w:p>
        </w:tc>
        <w:tc>
          <w:tcPr>
            <w:tcW w:w="175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身份证号码</w:t>
            </w:r>
            <w:r>
              <w:rPr>
                <w:rFonts w:hint="eastAsia" w:ascii="宋体" w:hAnsi="宋体" w:eastAsia="宋体" w:cs="宋体"/>
                <w:sz w:val="24"/>
                <w:szCs w:val="24"/>
              </w:rPr>
            </w:r>
            <w:r/>
          </w:p>
        </w:tc>
        <w:tc>
          <w:tcPr>
            <w:tcW w:w="1904"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主要资历、经验</w:t>
            </w: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1</w:t>
            </w:r>
            <w:r>
              <w:rPr>
                <w:rFonts w:hint="eastAsia" w:ascii="宋体" w:hAnsi="宋体" w:eastAsia="宋体" w:cs="宋体"/>
                <w:sz w:val="24"/>
                <w:szCs w:val="24"/>
              </w:rPr>
            </w:r>
            <w:r/>
          </w:p>
        </w:tc>
        <w:tc>
          <w:tcPr>
            <w:tcW w:w="1047"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53"/>
              <w:jc w:val="center"/>
              <w:spacing w:before="4" w:line="520" w:lineRule="exact"/>
              <w:widowControl/>
              <w:rPr>
                <w:rFonts w:ascii="宋体" w:hAnsi="宋体" w:eastAsia="宋体" w:cs="宋体"/>
                <w:sz w:val="24"/>
                <w:szCs w:val="24"/>
              </w:rPr>
              <w:framePr w:vAnchor="text" w:hAnchor="page" w:x="1241" w:y="375"/>
            </w:pPr>
            <w:r>
              <w:rPr>
                <w:rFonts w:hint="eastAsia" w:ascii="宋体" w:hAnsi="宋体" w:eastAsia="宋体" w:cs="宋体"/>
                <w:sz w:val="24"/>
                <w:szCs w:val="24"/>
              </w:rPr>
              <w:t xml:space="preserve">项目负责人（项目经理）</w:t>
            </w:r>
            <w:r>
              <w:rPr>
                <w:rFonts w:ascii="宋体" w:hAnsi="宋体" w:eastAsia="宋体" w:cs="宋体"/>
                <w:sz w:val="24"/>
                <w:szCs w:val="24"/>
              </w:rPr>
            </w:r>
            <w:r/>
          </w:p>
        </w:tc>
        <w:tc>
          <w:tcPr>
            <w:tcW w:w="86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047"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53"/>
              <w:jc w:val="center"/>
              <w:spacing w:before="4" w:line="520" w:lineRule="exact"/>
              <w:widowControl/>
              <w:rPr>
                <w:rFonts w:ascii="宋体" w:hAnsi="宋体" w:eastAsia="宋体" w:cs="宋体"/>
                <w:sz w:val="24"/>
                <w:szCs w:val="24"/>
              </w:rPr>
              <w:framePr w:vAnchor="text" w:hAnchor="page" w:x="1241" w:y="375"/>
            </w:pPr>
            <w:r>
              <w:rPr>
                <w:rFonts w:ascii="宋体" w:hAnsi="宋体" w:eastAsia="宋体" w:cs="宋体"/>
                <w:sz w:val="24"/>
                <w:szCs w:val="24"/>
              </w:rPr>
            </w:r>
            <w:r/>
          </w:p>
        </w:tc>
        <w:tc>
          <w:tcPr>
            <w:tcW w:w="86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047"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4</w:t>
            </w:r>
            <w:r>
              <w:rPr>
                <w:rFonts w:hint="eastAsia" w:ascii="宋体" w:hAnsi="宋体" w:eastAsia="宋体" w:cs="宋体"/>
                <w:sz w:val="24"/>
                <w:szCs w:val="24"/>
              </w:rPr>
            </w:r>
            <w:r/>
          </w:p>
        </w:tc>
        <w:tc>
          <w:tcPr>
            <w:tcW w:w="1047"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5</w:t>
            </w:r>
            <w:r>
              <w:rPr>
                <w:rFonts w:hint="eastAsia" w:ascii="宋体" w:hAnsi="宋体" w:eastAsia="宋体" w:cs="宋体"/>
                <w:sz w:val="24"/>
                <w:szCs w:val="24"/>
              </w:rPr>
            </w:r>
            <w:r/>
          </w:p>
        </w:tc>
        <w:tc>
          <w:tcPr>
            <w:tcW w:w="1047"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86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r>
        <w:trPr>
          <w:cantSplit/>
          <w:trHeight w:val="90"/>
        </w:trPr>
        <w:tc>
          <w:tcPr>
            <w:tcW w:w="715"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6</w:t>
            </w:r>
            <w:r>
              <w:rPr>
                <w:rFonts w:hint="eastAsia" w:ascii="宋体" w:hAnsi="宋体" w:eastAsia="宋体" w:cs="宋体"/>
                <w:sz w:val="24"/>
                <w:szCs w:val="24"/>
              </w:rPr>
            </w:r>
            <w:r/>
          </w:p>
        </w:tc>
        <w:tc>
          <w:tcPr>
            <w:tcW w:w="1047"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203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t xml:space="preserve">……</w:t>
            </w:r>
            <w:r>
              <w:rPr>
                <w:rFonts w:hint="eastAsia" w:ascii="宋体" w:hAnsi="宋体" w:eastAsia="宋体" w:cs="宋体"/>
                <w:sz w:val="24"/>
                <w:szCs w:val="24"/>
              </w:rPr>
            </w:r>
            <w:r/>
          </w:p>
        </w:tc>
        <w:tc>
          <w:tcPr>
            <w:tcW w:w="86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010" w:type="dxa"/>
            <w:vAlign w:val="top"/>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758"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c>
          <w:tcPr>
            <w:tcW w:w="1904" w:type="dxa"/>
            <w:vAlign w:val="center"/>
            <w:textDirection w:val="lrTb"/>
            <w:noWrap w:val="false"/>
          </w:tcPr>
          <w:p>
            <w:pPr>
              <w:pStyle w:val="1053"/>
              <w:jc w:val="center"/>
              <w:spacing w:before="4" w:line="520" w:lineRule="exact"/>
              <w:widowControl/>
              <w:rPr>
                <w:rFonts w:hint="eastAsia" w:ascii="宋体" w:hAnsi="宋体" w:eastAsia="宋体" w:cs="宋体"/>
                <w:sz w:val="24"/>
                <w:szCs w:val="24"/>
              </w:rPr>
              <w:framePr w:vAnchor="text" w:hAnchor="page" w:x="1241" w:y="375"/>
            </w:pPr>
            <w:r>
              <w:rPr>
                <w:rFonts w:hint="eastAsia" w:ascii="宋体" w:hAnsi="宋体" w:eastAsia="宋体" w:cs="宋体"/>
                <w:sz w:val="24"/>
                <w:szCs w:val="24"/>
              </w:rPr>
            </w:r>
            <w:r/>
          </w:p>
        </w:tc>
      </w:tr>
    </w:tbl>
    <w:p>
      <w:pPr>
        <w:pStyle w:val="1053"/>
        <w:rPr>
          <w:rFonts w:hint="eastAsia" w:ascii="宋体" w:hAnsi="宋体" w:eastAsia="宋体" w:cs="宋体"/>
          <w:szCs w:val="21"/>
        </w:rPr>
      </w:pPr>
      <w:r>
        <w:rPr>
          <w:rFonts w:hint="eastAsia" w:ascii="宋体" w:hAnsi="宋体" w:eastAsia="宋体" w:cs="宋体"/>
          <w:szCs w:val="21"/>
        </w:rPr>
        <w:t xml:space="preserve">注：此表为表样，行数可自行添加，但表式不变。</w:t>
      </w:r>
      <w:r>
        <w:rPr>
          <w:rFonts w:hint="eastAsia" w:ascii="宋体" w:hAnsi="宋体" w:eastAsia="宋体" w:cs="宋体"/>
          <w:szCs w:val="21"/>
        </w:rPr>
      </w:r>
      <w:r/>
    </w:p>
    <w:p>
      <w:pPr>
        <w:pStyle w:val="1053"/>
        <w:ind w:firstLine="720"/>
        <w:rPr>
          <w:rFonts w:hint="eastAsia" w:ascii="宋体" w:hAnsi="宋体" w:eastAsia="宋体" w:cs="宋体"/>
          <w:sz w:val="24"/>
          <w:szCs w:val="24"/>
        </w:rPr>
      </w:pPr>
      <w:r>
        <w:rPr>
          <w:rFonts w:hint="eastAsia" w:ascii="宋体" w:hAnsi="宋体" w:eastAsia="宋体" w:cs="宋体"/>
          <w:sz w:val="24"/>
          <w:szCs w:val="24"/>
        </w:rPr>
      </w:r>
      <w:r/>
    </w:p>
    <w:p>
      <w:pPr>
        <w:pStyle w:val="1053"/>
        <w:rPr>
          <w:rFonts w:hint="eastAsia" w:ascii="宋体" w:hAnsi="宋体" w:eastAsia="宋体" w:cs="宋体"/>
          <w:sz w:val="24"/>
          <w:szCs w:val="24"/>
        </w:rPr>
      </w:pPr>
      <w:r>
        <w:rPr>
          <w:rFonts w:hint="eastAsia" w:ascii="宋体" w:hAnsi="宋体" w:eastAsia="宋体" w:cs="宋体"/>
          <w:sz w:val="24"/>
          <w:szCs w:val="24"/>
        </w:rPr>
        <w:t xml:space="preserve">投标人名称（公章）：</w:t>
      </w:r>
      <w:r>
        <w:rPr>
          <w:rFonts w:hint="eastAsia" w:ascii="宋体" w:hAnsi="宋体" w:eastAsia="宋体" w:cs="宋体"/>
          <w:sz w:val="24"/>
          <w:szCs w:val="24"/>
        </w:rPr>
      </w:r>
      <w:r/>
    </w:p>
    <w:p>
      <w:pPr>
        <w:pStyle w:val="1053"/>
        <w:rPr>
          <w:rFonts w:hint="eastAsia" w:ascii="宋体" w:hAnsi="宋体" w:eastAsia="宋体" w:cs="宋体"/>
          <w:sz w:val="24"/>
          <w:szCs w:val="24"/>
        </w:rPr>
      </w:pPr>
      <w:r>
        <w:rPr>
          <w:rFonts w:hint="eastAsia" w:ascii="宋体" w:hAnsi="宋体" w:eastAsia="宋体" w:cs="宋体"/>
          <w:sz w:val="24"/>
          <w:szCs w:val="24"/>
        </w:rPr>
        <w:t xml:space="preserve">法定代表人或授权代表（签字或盖章）：</w:t>
      </w:r>
      <w:r>
        <w:rPr>
          <w:rFonts w:hint="eastAsia" w:ascii="宋体" w:hAnsi="宋体" w:eastAsia="宋体" w:cs="宋体"/>
          <w:sz w:val="24"/>
          <w:szCs w:val="24"/>
        </w:rPr>
      </w:r>
      <w:r/>
    </w:p>
    <w:p>
      <w:pPr>
        <w:pStyle w:val="1053"/>
        <w:rPr>
          <w:rFonts w:hint="eastAsia" w:ascii="宋体" w:hAnsi="宋体" w:eastAsia="宋体" w:cs="宋体"/>
          <w:sz w:val="24"/>
          <w:szCs w:val="24"/>
        </w:rPr>
      </w:pPr>
      <w:r>
        <w:rPr>
          <w:rFonts w:hint="eastAsia" w:ascii="宋体" w:hAnsi="宋体" w:eastAsia="宋体" w:cs="宋体"/>
          <w:sz w:val="24"/>
          <w:szCs w:val="24"/>
        </w:rPr>
        <w:t xml:space="preserve">日期：  年  月  日</w:t>
      </w:r>
      <w:bookmarkEnd w:id="132"/>
      <w:r/>
      <w:bookmarkEnd w:id="165"/>
      <w:r>
        <w:rPr>
          <w:rFonts w:hint="eastAsia" w:ascii="宋体" w:hAnsi="宋体" w:eastAsia="宋体" w:cs="宋体"/>
          <w:sz w:val="24"/>
          <w:szCs w:val="24"/>
        </w:rPr>
      </w:r>
      <w:r/>
    </w:p>
    <w:p>
      <w:pPr>
        <w:pStyle w:val="1053"/>
        <w:jc w:val="center"/>
        <w:rPr>
          <w:rFonts w:hint="eastAsia" w:ascii="宋体" w:hAnsi="宋体" w:eastAsia="宋体" w:cs="宋体"/>
          <w:sz w:val="32"/>
          <w:szCs w:val="32"/>
        </w:rPr>
      </w:pPr>
      <w:r>
        <w:rPr>
          <w:rFonts w:hint="eastAsia" w:ascii="宋体" w:hAnsi="宋体" w:eastAsia="宋体" w:cs="宋体"/>
          <w:sz w:val="32"/>
          <w:szCs w:val="32"/>
        </w:rPr>
      </w:r>
      <w:r/>
    </w:p>
    <w:p>
      <w:pPr>
        <w:pStyle w:val="1053"/>
        <w:jc w:val="center"/>
        <w:rPr>
          <w:rFonts w:hint="eastAsia" w:ascii="宋体" w:hAnsi="宋体" w:eastAsia="宋体" w:cs="宋体"/>
          <w:sz w:val="32"/>
          <w:szCs w:val="32"/>
        </w:rPr>
        <w:sectPr>
          <w:footnotePr/>
          <w:endnotePr/>
          <w:type w:val="nextPage"/>
          <w:pgSz w:w="11906" w:h="16838" w:orient="portrait"/>
          <w:pgMar w:top="1440" w:right="1080" w:bottom="1440" w:left="1080" w:header="851" w:footer="680" w:gutter="0"/>
          <w:cols w:num="1" w:sep="0" w:space="1701" w:equalWidth="1"/>
          <w:docGrid w:linePitch="360"/>
        </w:sectPr>
      </w:pPr>
      <w:r>
        <w:rPr>
          <w:rFonts w:hint="eastAsia" w:ascii="宋体" w:hAnsi="宋体" w:eastAsia="宋体" w:cs="宋体"/>
          <w:sz w:val="32"/>
          <w:szCs w:val="32"/>
        </w:rPr>
      </w:r>
      <w:r/>
    </w:p>
    <w:p>
      <w:pPr>
        <w:pStyle w:val="1053"/>
        <w:jc w:val="center"/>
        <w:rPr>
          <w:rFonts w:ascii="宋体" w:hAnsi="宋体" w:eastAsia="宋体" w:cs="宋体"/>
          <w:sz w:val="32"/>
          <w:szCs w:val="32"/>
        </w:rPr>
      </w:pPr>
      <w:r>
        <w:rPr>
          <w:rFonts w:hint="eastAsia" w:ascii="宋体" w:hAnsi="宋体" w:eastAsia="宋体" w:cs="宋体"/>
          <w:sz w:val="32"/>
          <w:szCs w:val="32"/>
        </w:rPr>
        <w:t xml:space="preserve">10.相关承诺</w:t>
      </w:r>
      <w:r>
        <w:rPr>
          <w:rFonts w:ascii="宋体" w:hAnsi="宋体" w:eastAsia="宋体" w:cs="宋体"/>
          <w:sz w:val="32"/>
          <w:szCs w:val="32"/>
        </w:rPr>
      </w:r>
      <w:r/>
    </w:p>
    <w:p>
      <w:pPr>
        <w:pStyle w:val="1053"/>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招标采购需求中</w:t>
      </w:r>
      <w:r>
        <w:rPr>
          <w:rFonts w:hint="eastAsia" w:ascii="宋体" w:hAnsi="宋体" w:eastAsia="宋体" w:cs="宋体"/>
          <w:sz w:val="24"/>
          <w:szCs w:val="24"/>
          <w:lang w:val="zh-CN"/>
        </w:rPr>
        <w:t xml:space="preserve">有关的</w:t>
      </w:r>
      <w:r>
        <w:rPr>
          <w:rFonts w:hint="eastAsia" w:ascii="宋体" w:hAnsi="宋体" w:eastAsia="宋体" w:cs="宋体"/>
          <w:sz w:val="24"/>
          <w:szCs w:val="24"/>
        </w:rPr>
        <w:t xml:space="preserve">承诺</w:t>
      </w:r>
      <w:r>
        <w:rPr>
          <w:rFonts w:hint="eastAsia" w:ascii="宋体" w:hAnsi="宋体" w:eastAsia="宋体" w:cs="宋体"/>
          <w:sz w:val="24"/>
          <w:szCs w:val="24"/>
          <w:lang w:val="zh-CN"/>
        </w:rPr>
        <w:t xml:space="preserve">）</w:t>
      </w:r>
      <w:r>
        <w:rPr>
          <w:rFonts w:hint="eastAsia" w:ascii="宋体" w:hAnsi="宋体" w:eastAsia="宋体" w:cs="宋体"/>
          <w:sz w:val="24"/>
          <w:szCs w:val="24"/>
          <w:lang w:val="zh-CN"/>
        </w:rPr>
      </w:r>
      <w:r/>
    </w:p>
    <w:p>
      <w:pPr>
        <w:pStyle w:val="1053"/>
        <w:ind w:firstLine="480"/>
        <w:spacing w:before="0" w:after="0" w:line="440" w:lineRule="exact"/>
        <w:rPr>
          <w:rFonts w:hint="eastAsia" w:ascii="宋体" w:hAnsi="宋体" w:eastAsia="宋体" w:cs="宋体"/>
          <w:sz w:val="24"/>
          <w:szCs w:val="24"/>
          <w:lang w:val="zh-CN"/>
        </w:rPr>
      </w:pPr>
      <w:r>
        <w:rPr>
          <w:rFonts w:hint="eastAsia" w:ascii="宋体" w:hAnsi="宋体" w:eastAsia="宋体" w:cs="宋体"/>
          <w:sz w:val="24"/>
          <w:szCs w:val="24"/>
          <w:lang w:val="zh-CN"/>
        </w:rPr>
      </w:r>
      <w:r/>
    </w:p>
    <w:p>
      <w:pPr>
        <w:pStyle w:val="1053"/>
        <w:jc w:val="center"/>
        <w:rPr>
          <w:rFonts w:hint="eastAsia" w:ascii="宋体" w:hAnsi="宋体" w:eastAsia="宋体" w:cs="宋体"/>
          <w:sz w:val="32"/>
          <w:szCs w:val="32"/>
        </w:rPr>
      </w:pPr>
      <w:r>
        <w:rPr>
          <w:rFonts w:hint="eastAsia" w:ascii="宋体" w:hAnsi="宋体" w:eastAsia="宋体" w:cs="宋体"/>
          <w:sz w:val="32"/>
          <w:szCs w:val="32"/>
        </w:rPr>
      </w:r>
      <w:r/>
    </w:p>
    <w:p>
      <w:pPr>
        <w:pStyle w:val="1053"/>
        <w:jc w:val="center"/>
        <w:rPr>
          <w:rFonts w:hint="eastAsia" w:ascii="宋体" w:hAnsi="宋体" w:eastAsia="宋体" w:cs="宋体"/>
          <w:sz w:val="32"/>
          <w:szCs w:val="32"/>
        </w:rPr>
      </w:pPr>
      <w:r>
        <w:rPr>
          <w:rFonts w:hint="eastAsia" w:ascii="宋体" w:hAnsi="宋体" w:eastAsia="宋体" w:cs="宋体"/>
          <w:sz w:val="32"/>
          <w:szCs w:val="32"/>
        </w:rPr>
      </w:r>
      <w:r/>
    </w:p>
    <w:p>
      <w:pPr>
        <w:pStyle w:val="1053"/>
        <w:jc w:val="center"/>
        <w:rPr>
          <w:rFonts w:hint="eastAsia" w:ascii="宋体" w:hAnsi="宋体" w:eastAsia="宋体" w:cs="宋体"/>
          <w:sz w:val="32"/>
          <w:szCs w:val="32"/>
        </w:rPr>
      </w:pPr>
      <w:r>
        <w:rPr>
          <w:rFonts w:hint="eastAsia" w:ascii="宋体" w:hAnsi="宋体" w:eastAsia="宋体" w:cs="宋体"/>
          <w:sz w:val="32"/>
          <w:szCs w:val="32"/>
        </w:rPr>
        <w:t xml:space="preserve">11.其他材料</w:t>
      </w:r>
      <w:r>
        <w:rPr>
          <w:rFonts w:hint="eastAsia" w:ascii="宋体" w:hAnsi="宋体" w:eastAsia="宋体" w:cs="宋体"/>
          <w:sz w:val="32"/>
          <w:szCs w:val="32"/>
        </w:rPr>
      </w:r>
      <w:r/>
    </w:p>
    <w:p>
      <w:pPr>
        <w:pStyle w:val="1053"/>
        <w:ind w:firstLine="480"/>
        <w:spacing w:before="0" w:after="0" w:line="440" w:lineRule="exact"/>
        <w:rPr>
          <w:rFonts w:hint="eastAsia" w:ascii="宋体" w:hAnsi="宋体" w:eastAsia="宋体" w:cs="宋体"/>
          <w:bCs/>
          <w:sz w:val="24"/>
          <w:szCs w:val="24"/>
        </w:rPr>
      </w:pPr>
      <w:r>
        <w:rPr>
          <w:rFonts w:hint="eastAsia" w:ascii="宋体" w:hAnsi="宋体" w:eastAsia="宋体" w:cs="宋体"/>
          <w:sz w:val="24"/>
          <w:szCs w:val="24"/>
          <w:lang w:val="zh-CN"/>
        </w:rPr>
        <w:t xml:space="preserve">（投标人认为需要提供的与本次</w:t>
      </w:r>
      <w:r>
        <w:rPr>
          <w:rFonts w:hint="eastAsia" w:ascii="宋体" w:hAnsi="宋体" w:eastAsia="宋体" w:cs="宋体"/>
          <w:sz w:val="24"/>
          <w:szCs w:val="24"/>
        </w:rPr>
        <w:t xml:space="preserve">招标</w:t>
      </w:r>
      <w:r>
        <w:rPr>
          <w:rFonts w:hint="eastAsia" w:ascii="宋体" w:hAnsi="宋体" w:eastAsia="宋体" w:cs="宋体"/>
          <w:sz w:val="24"/>
          <w:szCs w:val="24"/>
          <w:lang w:val="zh-CN"/>
        </w:rPr>
        <w:t xml:space="preserve">有关的其他材料）</w:t>
      </w:r>
      <w:r>
        <w:rPr>
          <w:rFonts w:hint="eastAsia" w:ascii="宋体" w:hAnsi="宋体" w:eastAsia="宋体" w:cs="宋体"/>
          <w:bCs/>
          <w:sz w:val="24"/>
          <w:szCs w:val="24"/>
        </w:rPr>
      </w:r>
      <w:r/>
    </w:p>
    <w:sectPr>
      <w:footnotePr/>
      <w:endnotePr/>
      <w:type w:val="nextPage"/>
      <w:pgSz w:w="11906" w:h="16838" w:orient="portrait"/>
      <w:pgMar w:top="1440" w:right="1080" w:bottom="1440" w:left="1080" w:header="851" w:footer="68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egoe UI Symbol">
    <w:panose1 w:val="020B0502040204020203"/>
  </w:font>
  <w:font w:name="___WRD_EMBED_SUB_41">
    <w:panose1 w:val="020B0503020202020204"/>
  </w:font>
  <w:font w:name="Symbol">
    <w:panose1 w:val="05050102010706020507"/>
  </w:font>
  <w:font w:name="仿宋">
    <w:panose1 w:val="02010609060101010101"/>
  </w:font>
  <w:font w:name="华文细黑">
    <w:panose1 w:val="02010600040101010101"/>
  </w:font>
  <w:font w:name="汉仪大黑简">
    <w:panose1 w:val="020B0503020202020204"/>
  </w:font>
  <w:font w:name="楷体">
    <w:panose1 w:val="02010609060101010101"/>
  </w:font>
  <w:font w:name="Wingdings">
    <w:panose1 w:val="05000000000000000000"/>
  </w:font>
  <w:font w:name="华文楷体">
    <w:panose1 w:val="02010600040101010101"/>
  </w:font>
  <w:font w:name="方正仿宋简体">
    <w:panose1 w:val="020B0503020202020204"/>
  </w:font>
  <w:font w:name="Tahoma">
    <w:panose1 w:val="020B0604030504040204"/>
  </w:font>
  <w:font w:name="Courier New">
    <w:panose1 w:val="02070309020205020404"/>
  </w:font>
  <w:font w:name="楷体_GB2312">
    <w:panose1 w:val="02010609060101010101"/>
  </w:font>
  <w:font w:name="ˎ̥">
    <w:panose1 w:val="020B0503020202020204"/>
  </w:font>
  <w:font w:name="Cambria">
    <w:panose1 w:val="02040503050406030204"/>
  </w:font>
  <w:font w:name="Verdana">
    <w:panose1 w:val="020B0604030504040204"/>
  </w:font>
  <w:font w:name="仿宋_GB2312">
    <w:panose1 w:val="02010609060101010101"/>
  </w:font>
  <w:font w:name="幼圆">
    <w:panose1 w:val="02010509060101010101"/>
  </w:font>
  <w:font w:name="黑体">
    <w:panose1 w:val="02010609060101010101"/>
  </w:font>
  <w:font w:name="微软雅黑">
    <w:panose1 w:val="020B0503020204020204"/>
  </w:font>
  <w:font w:name="Calibri">
    <w:panose1 w:val="020F0502020204030204"/>
  </w:font>
  <w:font w:name="Microsoft YaHei UI">
    <w:panose1 w:val="020B0503020204020204"/>
  </w:font>
  <w:font w:name="Arial Unicode MS">
    <w:panose1 w:val="020B0604020202020204"/>
  </w:font>
  <w:font w:name="Arial">
    <w:panose1 w:val="020B0604020202020204"/>
  </w:font>
  <w:font w:name="Georgia">
    <w:panose1 w:val="02040502050405020303"/>
  </w:font>
  <w:font w:name="Helvetica">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p>
    <w:pPr>
      <w:pStyle w:val="1053"/>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p>
    <w:pPr>
      <w:pStyle w:val="105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p>
    <w:pPr>
      <w:pStyle w:val="1053"/>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330200" cy="41529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330200" cy="415290"/>
                      </a:xfrm>
                      <a:prstGeom prst="rect">
                        <a:avLst/>
                      </a:prstGeom>
                      <a:noFill/>
                      <a:ln>
                        <a:noFill/>
                      </a:ln>
                    </wps:spPr>
                    <wps:txbx>
                      <w:txbxContent>
                        <w:p>
                          <w:pPr>
                            <w:pStyle w:val="1106"/>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- 54 -</w:t>
                          </w:r>
                          <w:r>
                            <w:rPr>
                              <w:sz w:val="24"/>
                              <w:szCs w:val="28"/>
                            </w:rPr>
                            <w:fldChar w:fldCharType="end"/>
                          </w:r>
                          <w:r>
                            <w:rPr>
                              <w:sz w:val="24"/>
                              <w:szCs w:val="28"/>
                            </w:rPr>
                          </w:r>
                          <w:r/>
                        </w:p>
                        <w:p>
                          <w:pPr>
                            <w:pStyle w:val="1053"/>
                          </w:pPr>
                          <w:r/>
                          <w:r/>
                        </w:p>
                      </w:txbxContent>
                    </wps:txbx>
                    <wps:bodyPr wrap="none" lIns="0" tIns="0" rIns="0" bIns="0" upright="1">
                      <a:spAutoFit/>
                    </wps:bodyPr>
                  </wps:wsp>
                </a:graphicData>
              </a:graphic>
            </wp:anchor>
          </w:drawing>
        </mc:Choice>
        <mc:Fallback>
          <w:pict>
            <v:shape id="shape 2" o:spid="_x0000_s2" o:spt="202" type="#_x0000_t202" style="position:absolute;z-index:524288;o:allowoverlap:true;o:allowincell:true;mso-position-horizontal-relative:margin;mso-position-horizontal:center;mso-position-vertical-relative:text;margin-top:0.0pt;mso-position-vertical:absolute;width:26.0pt;height:32.7pt;mso-wrap-distance-left:9.0pt;mso-wrap-distance-top:0.0pt;mso-wrap-distance-right:9.0pt;mso-wrap-distance-bottom:0.0pt;visibility:visible;" filled="f" stroked="f">
              <v:textbox inset="0,0,0,0">
                <w:txbxContent>
                  <w:p>
                    <w:pPr>
                      <w:pStyle w:val="1106"/>
                      <w:tabs>
                        <w:tab w:val="clear" w:pos="4153" w:leader="none"/>
                        <w:tab w:val="clear" w:pos="8306" w:leader="none"/>
                      </w:tabs>
                      <w:rPr>
                        <w:sz w:val="24"/>
                        <w:szCs w:val="28"/>
                      </w:rPr>
                    </w:pPr>
                    <w:r>
                      <w:rPr>
                        <w:sz w:val="24"/>
                        <w:szCs w:val="28"/>
                      </w:rPr>
                      <w:fldChar w:fldCharType="begin"/>
                    </w:r>
                    <w:r>
                      <w:rPr>
                        <w:sz w:val="24"/>
                        <w:szCs w:val="28"/>
                      </w:rPr>
                      <w:instrText xml:space="preserve"> PAGE  \* MERGEFORMAT </w:instrText>
                    </w:r>
                    <w:r>
                      <w:rPr>
                        <w:sz w:val="24"/>
                        <w:szCs w:val="28"/>
                      </w:rPr>
                      <w:fldChar w:fldCharType="separate"/>
                    </w:r>
                    <w:r>
                      <w:rPr>
                        <w:sz w:val="24"/>
                        <w:szCs w:val="28"/>
                      </w:rPr>
                      <w:t xml:space="preserve">- 54 -</w:t>
                    </w:r>
                    <w:r>
                      <w:rPr>
                        <w:sz w:val="24"/>
                        <w:szCs w:val="28"/>
                      </w:rPr>
                      <w:fldChar w:fldCharType="end"/>
                    </w:r>
                    <w:r>
                      <w:rPr>
                        <w:sz w:val="24"/>
                        <w:szCs w:val="28"/>
                      </w:rPr>
                    </w:r>
                    <w:r/>
                  </w:p>
                  <w:p>
                    <w:pPr>
                      <w:pStyle w:val="1053"/>
                    </w:pPr>
                    <w:r/>
                    <w:r/>
                  </w:p>
                </w:txbxContent>
              </v:textbox>
            </v:shape>
          </w:pict>
        </mc:Fallback>
      </mc:AlternateContent>
    </w:r>
    <w:r/>
  </w:p>
  <w:p>
    <w:pPr>
      <w:pStyle w:val="105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left"/>
      <w:rPr>
        <w:b/>
        <w:bCs/>
        <w:color w:val="2f5496"/>
        <w:sz w:val="16"/>
        <w:szCs w:val="15"/>
      </w:rPr>
    </w:pPr>
    <w:r>
      <mc:AlternateContent>
        <mc:Choice Requires="wpg">
          <w:drawing>
            <wp:inline xmlns:wp="http://schemas.openxmlformats.org/drawingml/2006/wordprocessingDrawing" distT="0" distB="0" distL="0" distR="0">
              <wp:extent cx="2309482" cy="302849"/>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81.8pt;height:23.8pt;mso-wrap-distance-left:0.0pt;mso-wrap-distance-top:0.0pt;mso-wrap-distance-right:0.0pt;mso-wrap-distance-bottom:0.0pt;" stroked="f">
              <v:path textboxrect="0,0,0,0"/>
              <v:imagedata r:id="rId1" o:title=""/>
            </v:shape>
          </w:pict>
        </mc:Fallback>
      </mc:AlternateContent>
    </w:r>
    <w:r>
      <w:rPr>
        <w:b/>
        <w:bCs/>
        <w:color w:val="2f5496"/>
        <w:sz w:val="16"/>
        <w:szCs w:val="15"/>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pPr>
    <w:r/>
    <w:r/>
  </w:p>
  <w:p>
    <w:pPr>
      <w:pStyle w:val="1053"/>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053"/>
      <w:jc w:val="left"/>
      <w:rPr>
        <w:rFonts w:hint="eastAsia" w:eastAsia="宋体"/>
        <w:b/>
        <w:bCs/>
        <w:color w:val="243f61"/>
        <w:sz w:val="15"/>
        <w:szCs w:val="13"/>
      </w:rPr>
    </w:pPr>
    <w:r/>
    <w:bookmarkStart w:id="167" w:name="OLE_LINK11"/>
    <w:r>
      <mc:AlternateContent>
        <mc:Choice Requires="wpg">
          <w:drawing>
            <wp:inline xmlns:wp="http://schemas.openxmlformats.org/drawingml/2006/wordprocessingDrawing" distT="0" distB="0" distL="0" distR="0">
              <wp:extent cx="2309482" cy="302849"/>
              <wp:effectExtent l="0" t="0" r="0" b="0"/>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
                      <a:stretch/>
                    </pic:blipFill>
                    <pic:spPr bwMode="auto">
                      <a:xfrm>
                        <a:off x="0" y="0"/>
                        <a:ext cx="2309482" cy="302849"/>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81.8pt;height:23.8pt;mso-wrap-distance-left:0.0pt;mso-wrap-distance-top:0.0pt;mso-wrap-distance-right:0.0pt;mso-wrap-distance-bottom:0.0pt;" stroked="f">
              <v:path textboxrect="0,0,0,0"/>
              <v:imagedata r:id="rId1" o:title=""/>
            </v:shape>
          </w:pict>
        </mc:Fallback>
      </mc:AlternateContent>
    </w:r>
    <w:r>
      <w:rPr>
        <w:rFonts w:hint="eastAsia"/>
        <w:b/>
        <w:bCs/>
        <w:color w:val="243f61"/>
        <w:sz w:val="20"/>
        <w:szCs w:val="18"/>
      </w:rPr>
      <w:t xml:space="preserve"> </w:t>
    </w:r>
    <w:bookmarkEnd w:id="167"/>
    <w:r>
      <w:rPr>
        <w:rFonts w:hint="eastAsia" w:eastAsia="宋体"/>
        <w:b/>
        <w:bCs/>
        <w:color w:val="243f61"/>
        <w:sz w:val="15"/>
        <w:szCs w:val="13"/>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22.2.%1"/>
      <w:lvlJc w:val="left"/>
      <w:pPr>
        <w:pStyle w:val="105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7"/>
      <w:numFmt w:val="decimal"/>
      <w:isLgl w:val="false"/>
      <w:suff w:val="nothing"/>
      <w:lvlText w:val="%1、"/>
      <w:lvlJc w:val="left"/>
      <w:pPr>
        <w:pStyle w:val="105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space"/>
      <w:lvlText w:val="22.2.3.%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1"/>
      <w:numFmt w:val="decimal"/>
      <w:isLgl w:val="false"/>
      <w:suff w:val="space"/>
      <w:lvlText w:val="26.%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chineseCounting"/>
      <w:isLgl w:val="false"/>
      <w:suff w:val="nothing"/>
      <w:lvlText w:val="%1、"/>
      <w:lvlJc w:val="left"/>
      <w:pPr>
        <w:pStyle w:val="1053"/>
        <w:ind w:left="0" w:firstLine="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
      <w:numFmt w:val="decimal"/>
      <w:isLgl w:val="false"/>
      <w:suff w:val="space"/>
      <w:lvlText w:val="5.%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isLgl w:val="false"/>
      <w:suff w:val="space"/>
      <w:lvlText w:val="21.%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decimal"/>
      <w:isLgl w:val="false"/>
      <w:suff w:val="space"/>
      <w:lvlText w:val="8.%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isLgl w:val="false"/>
      <w:suff w:val="nothing"/>
      <w:lvlText w:val="（%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1"/>
      <w:numFmt w:val="decimal"/>
      <w:isLgl w:val="false"/>
      <w:suff w:val="nothing"/>
      <w:lvlText w:val="%1、"/>
      <w:lvlJc w:val="left"/>
      <w:pPr>
        <w:pStyle w:val="105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21"/>
      <w:numFmt w:val="decimal"/>
      <w:isLgl w:val="false"/>
      <w:suff w:val="nothing"/>
      <w:lvlText w:val="%1、"/>
      <w:lvlJc w:val="left"/>
      <w:pPr>
        <w:pStyle w:val="105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3">
    <w:multiLevelType w:val="hybridMultilevel"/>
    <w:lvl w:ilvl="0">
      <w:start w:val="1"/>
      <w:numFmt w:val="decimal"/>
      <w:isLgl w:val="false"/>
      <w:suff w:val="space"/>
      <w:lvlText w:val="18.%1"/>
      <w:lvlJc w:val="left"/>
      <w:pPr>
        <w:pStyle w:val="105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4">
    <w:multiLevelType w:val="hybridMultilevel"/>
    <w:lvl w:ilvl="0">
      <w:start w:val="2"/>
      <w:numFmt w:val="decimal"/>
      <w:isLgl w:val="false"/>
      <w:suff w:val="space"/>
      <w:lvlText w:val="4.%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5">
    <w:multiLevelType w:val="hybridMultilevel"/>
    <w:lvl w:ilvl="0">
      <w:start w:val="1"/>
      <w:numFmt w:val="decimal"/>
      <w:isLgl w:val="false"/>
      <w:suff w:val="space"/>
      <w:lvlText w:val="16.%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6">
    <w:multiLevelType w:val="hybridMultilevel"/>
    <w:lvl w:ilvl="0">
      <w:start w:val="4"/>
      <w:numFmt w:val="chineseCounting"/>
      <w:isLgl w:val="false"/>
      <w:suff w:val="nothing"/>
      <w:lvlText w:val="%1、"/>
      <w:lvlJc w:val="left"/>
      <w:pPr>
        <w:pStyle w:val="10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7">
    <w:multiLevelType w:val="hybridMultilevel"/>
    <w:lvl w:ilvl="0">
      <w:start w:val="1"/>
      <w:numFmt w:val="chineseCounting"/>
      <w:isLgl w:val="false"/>
      <w:suff w:val="nothing"/>
      <w:lvlText w:val="%1、"/>
      <w:lvlJc w:val="left"/>
      <w:pPr>
        <w:pStyle w:val="1053"/>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8">
    <w:multiLevelType w:val="hybridMultilevel"/>
    <w:lvl w:ilvl="0">
      <w:start w:val="2"/>
      <w:numFmt w:val="decimal"/>
      <w:isLgl w:val="false"/>
      <w:suff w:val="tab"/>
      <w:lvlText w:val="%1."/>
      <w:lvlJc w:val="left"/>
      <w:pPr>
        <w:pStyle w:val="10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9">
    <w:multiLevelType w:val="hybridMultilevel"/>
    <w:lvl w:ilvl="0">
      <w:start w:val="1"/>
      <w:numFmt w:val="bullet"/>
      <w:pStyle w:val="1368"/>
      <w:isLgl w:val="false"/>
      <w:suff w:val="tab"/>
      <w:lvlText w:val=""/>
      <w:lvlJc w:val="left"/>
      <w:pPr>
        <w:pStyle w:val="1053"/>
        <w:ind w:left="420" w:hanging="420"/>
        <w:tabs>
          <w:tab w:val="num" w:pos="420" w:leader="none"/>
        </w:tabs>
      </w:pPr>
      <w:rPr>
        <w:rFonts w:ascii="Wingdings" w:hAnsi="Wingdings"/>
      </w:rPr>
    </w:lvl>
    <w:lvl w:ilvl="1">
      <w:start w:val="1"/>
      <w:numFmt w:val="decimal"/>
      <w:isLgl w:val="false"/>
      <w:suff w:val="tab"/>
      <w:lvlText w:val="（%2）"/>
      <w:lvlJc w:val="left"/>
      <w:pPr>
        <w:pStyle w:val="1053"/>
        <w:ind w:left="1500" w:hanging="1080"/>
        <w:tabs>
          <w:tab w:val="num" w:pos="1500" w:leader="none"/>
        </w:tabs>
      </w:pPr>
      <w:rPr>
        <w:rFonts w:hint="eastAsia"/>
      </w:rPr>
    </w:lvl>
    <w:lvl w:ilvl="2">
      <w:start w:val="1"/>
      <w:numFmt w:val="decimal"/>
      <w:isLgl w:val="false"/>
      <w:suff w:val="tab"/>
      <w:lvlText w:val="（%3）"/>
      <w:lvlJc w:val="left"/>
      <w:pPr>
        <w:pStyle w:val="1053"/>
        <w:ind w:left="1560" w:hanging="720"/>
        <w:tabs>
          <w:tab w:val="num" w:pos="1560" w:leader="none"/>
        </w:tabs>
      </w:pPr>
      <w:rPr>
        <w:rFonts w:hint="eastAsia"/>
      </w:rPr>
    </w:lvl>
    <w:lvl w:ilvl="3">
      <w:start w:val="1"/>
      <w:numFmt w:val="decimal"/>
      <w:isLgl w:val="false"/>
      <w:suff w:val="tab"/>
      <w:lvlText w:val="%4."/>
      <w:lvlJc w:val="left"/>
      <w:pPr>
        <w:pStyle w:val="1053"/>
        <w:ind w:left="1680" w:hanging="420"/>
        <w:tabs>
          <w:tab w:val="num" w:pos="1680" w:leader="none"/>
        </w:tabs>
      </w:pPr>
    </w:lvl>
    <w:lvl w:ilvl="4">
      <w:start w:val="1"/>
      <w:numFmt w:val="lowerLetter"/>
      <w:isLgl w:val="false"/>
      <w:suff w:val="tab"/>
      <w:lvlText w:val="%5)"/>
      <w:lvlJc w:val="left"/>
      <w:pPr>
        <w:pStyle w:val="1053"/>
        <w:ind w:left="2100" w:hanging="420"/>
        <w:tabs>
          <w:tab w:val="num" w:pos="2100" w:leader="none"/>
        </w:tabs>
      </w:pPr>
    </w:lvl>
    <w:lvl w:ilvl="5">
      <w:start w:val="1"/>
      <w:numFmt w:val="lowerRoman"/>
      <w:isLgl w:val="false"/>
      <w:suff w:val="tab"/>
      <w:lvlText w:val="%6."/>
      <w:lvlJc w:val="right"/>
      <w:pPr>
        <w:pStyle w:val="1053"/>
        <w:ind w:left="2520" w:hanging="420"/>
        <w:tabs>
          <w:tab w:val="num" w:pos="2520" w:leader="none"/>
        </w:tabs>
      </w:pPr>
    </w:lvl>
    <w:lvl w:ilvl="6">
      <w:start w:val="1"/>
      <w:numFmt w:val="decimal"/>
      <w:isLgl w:val="false"/>
      <w:suff w:val="tab"/>
      <w:lvlText w:val="%7."/>
      <w:lvlJc w:val="left"/>
      <w:pPr>
        <w:pStyle w:val="1053"/>
        <w:ind w:left="2940" w:hanging="420"/>
        <w:tabs>
          <w:tab w:val="num" w:pos="2940" w:leader="none"/>
        </w:tabs>
      </w:pPr>
    </w:lvl>
    <w:lvl w:ilvl="7">
      <w:start w:val="1"/>
      <w:numFmt w:val="lowerLetter"/>
      <w:isLgl w:val="false"/>
      <w:suff w:val="tab"/>
      <w:lvlText w:val="%8)"/>
      <w:lvlJc w:val="left"/>
      <w:pPr>
        <w:pStyle w:val="1053"/>
        <w:ind w:left="3360" w:hanging="420"/>
        <w:tabs>
          <w:tab w:val="num" w:pos="3360" w:leader="none"/>
        </w:tabs>
      </w:pPr>
    </w:lvl>
    <w:lvl w:ilvl="8">
      <w:start w:val="1"/>
      <w:numFmt w:val="lowerRoman"/>
      <w:isLgl w:val="false"/>
      <w:suff w:val="tab"/>
      <w:lvlText w:val="%9."/>
      <w:lvlJc w:val="right"/>
      <w:pPr>
        <w:pStyle w:val="1053"/>
        <w:ind w:left="3780" w:hanging="420"/>
        <w:tabs>
          <w:tab w:val="num" w:pos="3780" w:leader="none"/>
        </w:tabs>
      </w:pPr>
    </w:lvl>
  </w:abstractNum>
  <w:abstractNum w:abstractNumId="20">
    <w:multiLevelType w:val="hybridMultilevel"/>
    <w:lvl w:ilvl="0">
      <w:start w:val="1"/>
      <w:numFmt w:val="decimal"/>
      <w:pStyle w:val="1436"/>
      <w:isLgl w:val="false"/>
      <w:suff w:val="tab"/>
      <w:lvlText w:val="(%1)"/>
      <w:lvlJc w:val="left"/>
      <w:pPr>
        <w:pStyle w:val="1053"/>
        <w:ind w:left="397" w:hanging="397"/>
        <w:tabs>
          <w:tab w:val="num" w:pos="397" w:leader="none"/>
        </w:tabs>
      </w:pPr>
      <w:rPr>
        <w:rFonts w:ascii="Arial" w:hAnsi="Arial" w:eastAsia="宋体"/>
        <w:b w:val="0"/>
        <w:i w:val="0"/>
        <w:color w:val="000000"/>
        <w:sz w:val="18"/>
        <w:szCs w:val="18"/>
      </w:rPr>
    </w:lvl>
    <w:lvl w:ilvl="1">
      <w:start w:val="1"/>
      <w:numFmt w:val="lowerLetter"/>
      <w:isLgl w:val="false"/>
      <w:suff w:val="tab"/>
      <w:lvlText w:val="%2)"/>
      <w:lvlJc w:val="left"/>
      <w:pPr>
        <w:pStyle w:val="1053"/>
        <w:ind w:left="840" w:hanging="420"/>
        <w:tabs>
          <w:tab w:val="num" w:pos="840" w:leader="none"/>
        </w:tabs>
      </w:pPr>
    </w:lvl>
    <w:lvl w:ilvl="2">
      <w:start w:val="1"/>
      <w:numFmt w:val="lowerRoman"/>
      <w:isLgl w:val="false"/>
      <w:suff w:val="tab"/>
      <w:lvlText w:val="%3."/>
      <w:lvlJc w:val="right"/>
      <w:pPr>
        <w:pStyle w:val="1053"/>
        <w:ind w:left="1260" w:hanging="420"/>
        <w:tabs>
          <w:tab w:val="num" w:pos="1260" w:leader="none"/>
        </w:tabs>
      </w:pPr>
    </w:lvl>
    <w:lvl w:ilvl="3">
      <w:start w:val="1"/>
      <w:numFmt w:val="decimal"/>
      <w:isLgl w:val="false"/>
      <w:suff w:val="tab"/>
      <w:lvlText w:val="%4."/>
      <w:lvlJc w:val="left"/>
      <w:pPr>
        <w:pStyle w:val="1053"/>
        <w:ind w:left="1680" w:hanging="420"/>
        <w:tabs>
          <w:tab w:val="num" w:pos="1680" w:leader="none"/>
        </w:tabs>
      </w:pPr>
    </w:lvl>
    <w:lvl w:ilvl="4">
      <w:start w:val="1"/>
      <w:numFmt w:val="lowerLetter"/>
      <w:pStyle w:val="1420"/>
      <w:isLgl w:val="false"/>
      <w:suff w:val="tab"/>
      <w:lvlText w:val="%5)"/>
      <w:lvlJc w:val="left"/>
      <w:pPr>
        <w:pStyle w:val="1053"/>
        <w:ind w:left="2100" w:hanging="420"/>
        <w:tabs>
          <w:tab w:val="num" w:pos="2100" w:leader="none"/>
        </w:tabs>
      </w:pPr>
    </w:lvl>
    <w:lvl w:ilvl="5">
      <w:start w:val="1"/>
      <w:numFmt w:val="lowerRoman"/>
      <w:isLgl w:val="false"/>
      <w:suff w:val="tab"/>
      <w:lvlText w:val="%6."/>
      <w:lvlJc w:val="right"/>
      <w:pPr>
        <w:pStyle w:val="1053"/>
        <w:ind w:left="2520" w:hanging="420"/>
        <w:tabs>
          <w:tab w:val="num" w:pos="2520" w:leader="none"/>
        </w:tabs>
      </w:pPr>
    </w:lvl>
    <w:lvl w:ilvl="6">
      <w:start w:val="1"/>
      <w:numFmt w:val="decimal"/>
      <w:isLgl w:val="false"/>
      <w:suff w:val="tab"/>
      <w:lvlText w:val="%7."/>
      <w:lvlJc w:val="left"/>
      <w:pPr>
        <w:pStyle w:val="1053"/>
        <w:ind w:left="2940" w:hanging="420"/>
        <w:tabs>
          <w:tab w:val="num" w:pos="2940" w:leader="none"/>
        </w:tabs>
      </w:pPr>
    </w:lvl>
    <w:lvl w:ilvl="7">
      <w:start w:val="1"/>
      <w:numFmt w:val="lowerLetter"/>
      <w:isLgl w:val="false"/>
      <w:suff w:val="tab"/>
      <w:lvlText w:val="%8)"/>
      <w:lvlJc w:val="left"/>
      <w:pPr>
        <w:pStyle w:val="1053"/>
        <w:ind w:left="3360" w:hanging="420"/>
        <w:tabs>
          <w:tab w:val="num" w:pos="3360" w:leader="none"/>
        </w:tabs>
      </w:pPr>
    </w:lvl>
    <w:lvl w:ilvl="8">
      <w:start w:val="1"/>
      <w:numFmt w:val="lowerRoman"/>
      <w:isLgl w:val="false"/>
      <w:suff w:val="tab"/>
      <w:lvlText w:val="%9."/>
      <w:lvlJc w:val="right"/>
      <w:pPr>
        <w:pStyle w:val="1053"/>
        <w:ind w:left="3780" w:hanging="420"/>
        <w:tabs>
          <w:tab w:val="num" w:pos="3780" w:leader="none"/>
        </w:tabs>
      </w:pPr>
    </w:lvl>
  </w:abstractNum>
  <w:abstractNum w:abstractNumId="21">
    <w:multiLevelType w:val="hybridMultilevel"/>
    <w:lvl w:ilvl="0">
      <w:start w:val="1"/>
      <w:numFmt w:val="bullet"/>
      <w:pStyle w:val="1317"/>
      <w:isLgl w:val="false"/>
      <w:suff w:val="tab"/>
      <w:lvlText w:val=""/>
      <w:lvlJc w:val="left"/>
      <w:pPr>
        <w:pStyle w:val="1053"/>
        <w:ind w:left="360" w:hanging="360"/>
        <w:tabs>
          <w:tab w:val="num" w:pos="360" w:leader="none"/>
        </w:tabs>
      </w:pPr>
      <w:rPr>
        <w:rFonts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2">
    <w:multiLevelType w:val="hybridMultilevel"/>
    <w:lvl w:ilvl="0">
      <w:start w:val="1"/>
      <w:numFmt w:val="decimal"/>
      <w:pStyle w:val="1279"/>
      <w:isLgl w:val="false"/>
      <w:suff w:val="tab"/>
      <w:lvlText w:val="%1"/>
      <w:lvlJc w:val="left"/>
      <w:pPr>
        <w:pStyle w:val="1053"/>
        <w:ind w:left="567" w:hanging="567"/>
        <w:tabs>
          <w:tab w:val="num" w:pos="567" w:leader="none"/>
        </w:tabs>
      </w:pPr>
      <w:rPr>
        <w:rFonts w:hint="eastAsia"/>
      </w:rPr>
    </w:lvl>
    <w:lvl w:ilvl="1">
      <w:start w:val="1"/>
      <w:numFmt w:val="decimal"/>
      <w:pStyle w:val="1388"/>
      <w:isLgl w:val="false"/>
      <w:suff w:val="tab"/>
      <w:lvlText w:val="%1.%2"/>
      <w:lvlJc w:val="left"/>
      <w:pPr>
        <w:pStyle w:val="1053"/>
        <w:ind w:left="567" w:hanging="283"/>
        <w:tabs>
          <w:tab w:val="num" w:pos="1004" w:leader="none"/>
        </w:tabs>
      </w:pPr>
      <w:rPr>
        <w:rFonts w:hint="eastAsia"/>
      </w:rPr>
    </w:lvl>
    <w:lvl w:ilvl="2">
      <w:start w:val="1"/>
      <w:numFmt w:val="decimal"/>
      <w:pStyle w:val="1389"/>
      <w:isLgl w:val="false"/>
      <w:suff w:val="tab"/>
      <w:lvlText w:val="%1.%2.%3"/>
      <w:lvlJc w:val="left"/>
      <w:pPr>
        <w:pStyle w:val="1053"/>
        <w:ind w:left="1134" w:hanging="567"/>
        <w:tabs>
          <w:tab w:val="num" w:pos="1647" w:leader="none"/>
        </w:tabs>
      </w:pPr>
      <w:rPr>
        <w:rFonts w:hint="eastAsia"/>
      </w:rPr>
    </w:lvl>
    <w:lvl w:ilvl="3">
      <w:start w:val="1"/>
      <w:numFmt w:val="decimal"/>
      <w:isLgl w:val="false"/>
      <w:suff w:val="tab"/>
      <w:lvlText w:val="%1.%2.%3.%4"/>
      <w:lvlJc w:val="left"/>
      <w:pPr>
        <w:pStyle w:val="1053"/>
        <w:ind w:left="2851" w:hanging="708"/>
        <w:tabs>
          <w:tab w:val="num" w:pos="3223" w:leader="none"/>
        </w:tabs>
      </w:pPr>
      <w:rPr>
        <w:rFonts w:hint="eastAsia"/>
      </w:rPr>
    </w:lvl>
    <w:lvl w:ilvl="4">
      <w:start w:val="1"/>
      <w:numFmt w:val="decimal"/>
      <w:isLgl w:val="false"/>
      <w:suff w:val="tab"/>
      <w:lvlText w:val="%1.%2.%3.%4.%5"/>
      <w:lvlJc w:val="left"/>
      <w:pPr>
        <w:pStyle w:val="1053"/>
        <w:ind w:left="3418" w:hanging="850"/>
        <w:tabs>
          <w:tab w:val="num" w:pos="3648" w:leader="none"/>
        </w:tabs>
      </w:pPr>
      <w:rPr>
        <w:rFonts w:hint="eastAsia"/>
      </w:rPr>
    </w:lvl>
    <w:lvl w:ilvl="5">
      <w:start w:val="1"/>
      <w:numFmt w:val="decimal"/>
      <w:isLgl w:val="false"/>
      <w:suff w:val="tab"/>
      <w:lvlText w:val="%1.%2.%3.%4.%5.%6"/>
      <w:lvlJc w:val="left"/>
      <w:pPr>
        <w:pStyle w:val="1053"/>
        <w:ind w:left="4127" w:hanging="1134"/>
        <w:tabs>
          <w:tab w:val="num" w:pos="4433" w:leader="none"/>
        </w:tabs>
      </w:pPr>
      <w:rPr>
        <w:rFonts w:hint="eastAsia"/>
      </w:rPr>
    </w:lvl>
    <w:lvl w:ilvl="6">
      <w:start w:val="1"/>
      <w:numFmt w:val="decimal"/>
      <w:isLgl w:val="false"/>
      <w:suff w:val="tab"/>
      <w:lvlText w:val="%1.%2.%3.%4.%5.%6.%7"/>
      <w:lvlJc w:val="left"/>
      <w:pPr>
        <w:pStyle w:val="1053"/>
        <w:ind w:left="4694" w:hanging="1276"/>
        <w:tabs>
          <w:tab w:val="num" w:pos="4858" w:leader="none"/>
        </w:tabs>
      </w:pPr>
      <w:rPr>
        <w:rFonts w:hint="eastAsia"/>
      </w:rPr>
    </w:lvl>
    <w:lvl w:ilvl="7">
      <w:start w:val="1"/>
      <w:numFmt w:val="decimal"/>
      <w:isLgl w:val="false"/>
      <w:suff w:val="tab"/>
      <w:lvlText w:val="%1.%2.%3.%4.%5.%6.%7.%8"/>
      <w:lvlJc w:val="left"/>
      <w:pPr>
        <w:pStyle w:val="1053"/>
        <w:ind w:left="5261" w:hanging="1418"/>
        <w:tabs>
          <w:tab w:val="num" w:pos="5643" w:leader="none"/>
        </w:tabs>
      </w:pPr>
      <w:rPr>
        <w:rFonts w:hint="eastAsia"/>
      </w:rPr>
    </w:lvl>
    <w:lvl w:ilvl="8">
      <w:start w:val="1"/>
      <w:numFmt w:val="decimal"/>
      <w:isLgl w:val="false"/>
      <w:suff w:val="tab"/>
      <w:lvlText w:val="%1.%2.%3.%4.%5.%6.%7.%8.%9"/>
      <w:lvlJc w:val="left"/>
      <w:pPr>
        <w:pStyle w:val="1053"/>
        <w:ind w:left="5969" w:hanging="1700"/>
        <w:tabs>
          <w:tab w:val="num" w:pos="6429" w:leader="none"/>
        </w:tabs>
      </w:pPr>
      <w:rPr>
        <w:rFonts w:hint="eastAsia"/>
      </w:rPr>
    </w:lvl>
  </w:abstractNum>
  <w:abstractNum w:abstractNumId="23">
    <w:multiLevelType w:val="hybridMultilevel"/>
    <w:lvl w:ilvl="0">
      <w:start w:val="7"/>
      <w:numFmt w:val="decimal"/>
      <w:isLgl w:val="false"/>
      <w:suff w:val="tab"/>
      <w:lvlText w:val="%1."/>
      <w:lvlJc w:val="left"/>
      <w:pPr>
        <w:pStyle w:val="1053"/>
        <w:tabs>
          <w:tab w:val="num"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4">
    <w:multiLevelType w:val="hybridMultilevel"/>
    <w:lvl w:ilvl="0">
      <w:start w:val="1"/>
      <w:numFmt w:val="decimal"/>
      <w:isLgl w:val="false"/>
      <w:suff w:val="nothing"/>
      <w:lvlText w:val="（%1）"/>
      <w:lvlJc w:val="left"/>
      <w:pPr>
        <w:pStyle w:val="1053"/>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5">
    <w:multiLevelType w:val="hybridMultilevel"/>
    <w:lvl w:ilvl="0">
      <w:start w:val="1"/>
      <w:numFmt w:val="chineseCounting"/>
      <w:isLgl w:val="false"/>
      <w:suff w:val="nothing"/>
      <w:lvlText w:val="（%1）"/>
      <w:lvlJc w:val="left"/>
      <w:pPr>
        <w:pStyle w:val="1053"/>
        <w:ind w:left="0" w:firstLine="480"/>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6">
    <w:multiLevelType w:val="hybridMultilevel"/>
    <w:lvl w:ilvl="0">
      <w:start w:val="1"/>
      <w:numFmt w:val="decimal"/>
      <w:isLgl w:val="false"/>
      <w:suff w:val="space"/>
      <w:lvlText w:val="24.%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7">
    <w:multiLevelType w:val="hybridMultilevel"/>
    <w:lvl w:ilvl="0">
      <w:start w:val="1"/>
      <w:numFmt w:val="decimal"/>
      <w:isLgl w:val="false"/>
      <w:suff w:val="space"/>
      <w:lvlText w:val="22.%1"/>
      <w:lvlJc w:val="left"/>
      <w:pPr>
        <w:pStyle w:val="105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8">
    <w:multiLevelType w:val="hybridMultilevel"/>
    <w:lvl w:ilvl="0">
      <w:start w:val="1"/>
      <w:numFmt w:val="decimal"/>
      <w:isLgl w:val="false"/>
      <w:suff w:val="space"/>
      <w:lvlText w:val="23.%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9">
    <w:multiLevelType w:val="hybridMultilevel"/>
    <w:lvl w:ilvl="0">
      <w:start w:val="1"/>
      <w:numFmt w:val="decimal"/>
      <w:isLgl w:val="false"/>
      <w:suff w:val="space"/>
      <w:lvlText w:val="25.%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0">
    <w:multiLevelType w:val="hybridMultilevel"/>
    <w:lvl w:ilvl="0">
      <w:start w:val="1"/>
      <w:numFmt w:val="decimal"/>
      <w:isLgl w:val="false"/>
      <w:suff w:val="space"/>
      <w:lvlText w:val="22.%1"/>
      <w:lvlJc w:val="left"/>
      <w:pPr>
        <w:pStyle w:val="105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1">
    <w:multiLevelType w:val="hybridMultilevel"/>
    <w:lvl w:ilvl="0">
      <w:start w:val="6"/>
      <w:numFmt w:val="decimal"/>
      <w:isLgl w:val="false"/>
      <w:suff w:val="nothing"/>
      <w:lvlText w:val="%1、"/>
      <w:lvlJc w:val="left"/>
      <w:pPr>
        <w:pStyle w:val="1053"/>
        <w:ind w:left="653"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2">
    <w:multiLevelType w:val="hybridMultilevel"/>
    <w:lvl w:ilvl="0">
      <w:start w:val="1"/>
      <w:numFmt w:val="decimal"/>
      <w:isLgl w:val="false"/>
      <w:suff w:val="tab"/>
      <w:lvlText w:val="%1"/>
      <w:lvlJc w:val="left"/>
      <w:pPr>
        <w:pStyle w:val="1053"/>
        <w:ind w:left="865" w:hanging="440"/>
      </w:pPr>
      <w:rPr>
        <w:rFonts w:hint="eastAsia"/>
      </w:rPr>
    </w:lvl>
    <w:lvl w:ilvl="1">
      <w:start w:val="1"/>
      <w:numFmt w:val="lowerLetter"/>
      <w:isLgl w:val="false"/>
      <w:suff w:val="tab"/>
      <w:lvlText w:val="%2)"/>
      <w:lvlJc w:val="left"/>
      <w:pPr>
        <w:pStyle w:val="1053"/>
        <w:ind w:left="1305" w:hanging="440"/>
      </w:pPr>
    </w:lvl>
    <w:lvl w:ilvl="2">
      <w:start w:val="1"/>
      <w:numFmt w:val="lowerRoman"/>
      <w:isLgl w:val="false"/>
      <w:suff w:val="tab"/>
      <w:lvlText w:val="%3."/>
      <w:lvlJc w:val="right"/>
      <w:pPr>
        <w:pStyle w:val="1053"/>
        <w:ind w:left="1745" w:hanging="440"/>
      </w:pPr>
    </w:lvl>
    <w:lvl w:ilvl="3">
      <w:start w:val="1"/>
      <w:numFmt w:val="decimal"/>
      <w:isLgl w:val="false"/>
      <w:suff w:val="tab"/>
      <w:lvlText w:val="%4."/>
      <w:lvlJc w:val="left"/>
      <w:pPr>
        <w:pStyle w:val="1053"/>
        <w:ind w:left="2185" w:hanging="440"/>
      </w:pPr>
    </w:lvl>
    <w:lvl w:ilvl="4">
      <w:start w:val="1"/>
      <w:numFmt w:val="lowerLetter"/>
      <w:isLgl w:val="false"/>
      <w:suff w:val="tab"/>
      <w:lvlText w:val="%5)"/>
      <w:lvlJc w:val="left"/>
      <w:pPr>
        <w:pStyle w:val="1053"/>
        <w:ind w:left="2625" w:hanging="440"/>
      </w:pPr>
    </w:lvl>
    <w:lvl w:ilvl="5">
      <w:start w:val="1"/>
      <w:numFmt w:val="lowerRoman"/>
      <w:isLgl w:val="false"/>
      <w:suff w:val="tab"/>
      <w:lvlText w:val="%6."/>
      <w:lvlJc w:val="right"/>
      <w:pPr>
        <w:pStyle w:val="1053"/>
        <w:ind w:left="3065" w:hanging="440"/>
      </w:pPr>
    </w:lvl>
    <w:lvl w:ilvl="6">
      <w:start w:val="1"/>
      <w:numFmt w:val="decimal"/>
      <w:isLgl w:val="false"/>
      <w:suff w:val="tab"/>
      <w:lvlText w:val="%7."/>
      <w:lvlJc w:val="left"/>
      <w:pPr>
        <w:pStyle w:val="1053"/>
        <w:ind w:left="3505" w:hanging="440"/>
      </w:pPr>
    </w:lvl>
    <w:lvl w:ilvl="7">
      <w:start w:val="1"/>
      <w:numFmt w:val="lowerLetter"/>
      <w:isLgl w:val="false"/>
      <w:suff w:val="tab"/>
      <w:lvlText w:val="%8)"/>
      <w:lvlJc w:val="left"/>
      <w:pPr>
        <w:pStyle w:val="1053"/>
        <w:ind w:left="3945" w:hanging="440"/>
      </w:pPr>
    </w:lvl>
    <w:lvl w:ilvl="8">
      <w:start w:val="1"/>
      <w:numFmt w:val="lowerRoman"/>
      <w:isLgl w:val="false"/>
      <w:suff w:val="tab"/>
      <w:lvlText w:val="%9."/>
      <w:lvlJc w:val="right"/>
      <w:pPr>
        <w:pStyle w:val="1053"/>
        <w:ind w:left="4385" w:hanging="440"/>
      </w:pPr>
    </w:lvl>
  </w:abstractNum>
  <w:abstractNum w:abstractNumId="33">
    <w:multiLevelType w:val="hybridMultilevel"/>
    <w:lvl w:ilvl="0">
      <w:start w:val="1"/>
      <w:numFmt w:val="decimal"/>
      <w:isLgl w:val="false"/>
      <w:suff w:val="nothing"/>
      <w:lvlText w:val="（%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4">
    <w:multiLevelType w:val="hybridMultilevel"/>
    <w:lvl w:ilvl="0">
      <w:start w:val="1"/>
      <w:numFmt w:val="decimal"/>
      <w:isLgl w:val="false"/>
      <w:suff w:val="nothing"/>
      <w:lvlText w:val="（%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5">
    <w:multiLevelType w:val="hybridMultilevel"/>
    <w:lvl w:ilvl="0">
      <w:start w:val="1"/>
      <w:numFmt w:val="decimal"/>
      <w:isLgl w:val="false"/>
      <w:suff w:val="space"/>
      <w:lvlText w:val="19.2.%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6">
    <w:multiLevelType w:val="hybridMultilevel"/>
    <w:lvl w:ilvl="0">
      <w:start w:val="1"/>
      <w:numFmt w:val="decimal"/>
      <w:isLgl w:val="false"/>
      <w:suff w:val="space"/>
      <w:lvlText w:val="22.2.2.%1"/>
      <w:lvlJc w:val="left"/>
      <w:pPr>
        <w:pStyle w:val="105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7">
    <w:multiLevelType w:val="hybridMultilevel"/>
    <w:lvl w:ilvl="0">
      <w:start w:val="1"/>
      <w:numFmt w:val="decimal"/>
      <w:isLgl w:val="false"/>
      <w:suff w:val="space"/>
      <w:lvlText w:val="19.%1"/>
      <w:lvlJc w:val="left"/>
      <w:pPr>
        <w:pStyle w:val="1053"/>
        <w:ind w:left="0" w:firstLine="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8">
    <w:multiLevelType w:val="hybridMultilevel"/>
    <w:lvl w:ilvl="0">
      <w:start w:val="1"/>
      <w:numFmt w:val="decimal"/>
      <w:isLgl w:val="false"/>
      <w:suff w:val="space"/>
      <w:lvlText w:val="19.1.%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9">
    <w:multiLevelType w:val="hybridMultilevel"/>
    <w:lvl w:ilvl="0">
      <w:start w:val="1"/>
      <w:numFmt w:val="decimal"/>
      <w:isLgl w:val="false"/>
      <w:suff w:val="space"/>
      <w:lvlText w:val="6.%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0">
    <w:multiLevelType w:val="hybridMultilevel"/>
    <w:lvl w:ilvl="0">
      <w:start w:val="1"/>
      <w:numFmt w:val="decimal"/>
      <w:isLgl w:val="false"/>
      <w:suff w:val="space"/>
      <w:lvlText w:val="11.%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1">
    <w:multiLevelType w:val="hybridMultilevel"/>
    <w:lvl w:ilvl="0">
      <w:start w:val="1"/>
      <w:numFmt w:val="decimal"/>
      <w:isLgl w:val="false"/>
      <w:suff w:val="space"/>
      <w:lvlText w:val="20.%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2">
    <w:multiLevelType w:val="hybridMultilevel"/>
    <w:lvl w:ilvl="0">
      <w:start w:val="1"/>
      <w:numFmt w:val="decimal"/>
      <w:isLgl w:val="false"/>
      <w:suff w:val="space"/>
      <w:lvlText w:val="2.%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3">
    <w:multiLevelType w:val="hybridMultilevel"/>
    <w:lvl w:ilvl="0">
      <w:start w:val="1"/>
      <w:numFmt w:val="decimal"/>
      <w:isLgl w:val="false"/>
      <w:suff w:val="space"/>
      <w:lvlText w:val="3.%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4">
    <w:multiLevelType w:val="hybridMultilevel"/>
    <w:lvl w:ilvl="0">
      <w:start w:val="1"/>
      <w:numFmt w:val="decimal"/>
      <w:isLgl w:val="false"/>
      <w:suff w:val="tab"/>
      <w:lvlText w:val="%1"/>
      <w:lvlJc w:val="left"/>
      <w:pPr>
        <w:pStyle w:val="1053"/>
        <w:ind w:left="865" w:hanging="440"/>
      </w:pPr>
      <w:rPr>
        <w:rFonts w:hint="eastAsia"/>
      </w:rPr>
    </w:lvl>
    <w:lvl w:ilvl="1">
      <w:start w:val="1"/>
      <w:numFmt w:val="lowerLetter"/>
      <w:isLgl w:val="false"/>
      <w:suff w:val="tab"/>
      <w:lvlText w:val="%2)"/>
      <w:lvlJc w:val="left"/>
      <w:pPr>
        <w:pStyle w:val="1053"/>
        <w:ind w:left="1305" w:hanging="440"/>
      </w:pPr>
    </w:lvl>
    <w:lvl w:ilvl="2">
      <w:start w:val="1"/>
      <w:numFmt w:val="lowerRoman"/>
      <w:isLgl w:val="false"/>
      <w:suff w:val="tab"/>
      <w:lvlText w:val="%3."/>
      <w:lvlJc w:val="right"/>
      <w:pPr>
        <w:pStyle w:val="1053"/>
        <w:ind w:left="1745" w:hanging="440"/>
      </w:pPr>
    </w:lvl>
    <w:lvl w:ilvl="3">
      <w:start w:val="1"/>
      <w:numFmt w:val="decimal"/>
      <w:isLgl w:val="false"/>
      <w:suff w:val="tab"/>
      <w:lvlText w:val="%4."/>
      <w:lvlJc w:val="left"/>
      <w:pPr>
        <w:pStyle w:val="1053"/>
        <w:ind w:left="2185" w:hanging="440"/>
      </w:pPr>
    </w:lvl>
    <w:lvl w:ilvl="4">
      <w:start w:val="1"/>
      <w:numFmt w:val="lowerLetter"/>
      <w:isLgl w:val="false"/>
      <w:suff w:val="tab"/>
      <w:lvlText w:val="%5)"/>
      <w:lvlJc w:val="left"/>
      <w:pPr>
        <w:pStyle w:val="1053"/>
        <w:ind w:left="2625" w:hanging="440"/>
      </w:pPr>
    </w:lvl>
    <w:lvl w:ilvl="5">
      <w:start w:val="1"/>
      <w:numFmt w:val="lowerRoman"/>
      <w:isLgl w:val="false"/>
      <w:suff w:val="tab"/>
      <w:lvlText w:val="%6."/>
      <w:lvlJc w:val="right"/>
      <w:pPr>
        <w:pStyle w:val="1053"/>
        <w:ind w:left="3065" w:hanging="440"/>
      </w:pPr>
    </w:lvl>
    <w:lvl w:ilvl="6">
      <w:start w:val="1"/>
      <w:numFmt w:val="decimal"/>
      <w:isLgl w:val="false"/>
      <w:suff w:val="tab"/>
      <w:lvlText w:val="%7."/>
      <w:lvlJc w:val="left"/>
      <w:pPr>
        <w:pStyle w:val="1053"/>
        <w:ind w:left="3505" w:hanging="440"/>
      </w:pPr>
    </w:lvl>
    <w:lvl w:ilvl="7">
      <w:start w:val="1"/>
      <w:numFmt w:val="lowerLetter"/>
      <w:isLgl w:val="false"/>
      <w:suff w:val="tab"/>
      <w:lvlText w:val="%8)"/>
      <w:lvlJc w:val="left"/>
      <w:pPr>
        <w:pStyle w:val="1053"/>
        <w:ind w:left="3945" w:hanging="440"/>
      </w:pPr>
    </w:lvl>
    <w:lvl w:ilvl="8">
      <w:start w:val="1"/>
      <w:numFmt w:val="lowerRoman"/>
      <w:isLgl w:val="false"/>
      <w:suff w:val="tab"/>
      <w:lvlText w:val="%9."/>
      <w:lvlJc w:val="right"/>
      <w:pPr>
        <w:pStyle w:val="1053"/>
        <w:ind w:left="4385" w:hanging="440"/>
      </w:pPr>
    </w:lvl>
  </w:abstractNum>
  <w:abstractNum w:abstractNumId="45">
    <w:multiLevelType w:val="hybridMultilevel"/>
    <w:lvl w:ilvl="0">
      <w:start w:val="1"/>
      <w:numFmt w:val="decimal"/>
      <w:isLgl w:val="false"/>
      <w:suff w:val="nothing"/>
      <w:lvlText w:val="（%1）"/>
      <w:lvlJc w:val="left"/>
      <w:pPr>
        <w:pStyle w:val="1053"/>
        <w:ind w:left="0" w:firstLine="482"/>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6">
    <w:multiLevelType w:val="hybridMultilevel"/>
    <w:lvl w:ilvl="0">
      <w:start w:val="1"/>
      <w:numFmt w:val="decimal"/>
      <w:isLgl w:val="false"/>
      <w:suff w:val="space"/>
      <w:lvlText w:val="14.%1"/>
      <w:lvlJc w:val="left"/>
      <w:pPr>
        <w:pStyle w:val="1053"/>
        <w:ind w:left="0" w:firstLine="480"/>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7">
    <w:multiLevelType w:val="hybridMultilevel"/>
    <w:lvl w:ilvl="0">
      <w:start w:val="1"/>
      <w:numFmt w:val="decimal"/>
      <w:isLgl w:val="false"/>
      <w:suff w:val="tab"/>
      <w:lvlText w:val="%1"/>
      <w:lvlJc w:val="left"/>
      <w:pPr>
        <w:pStyle w:val="1053"/>
        <w:ind w:left="865" w:hanging="440"/>
      </w:pPr>
      <w:rPr>
        <w:rFonts w:hint="eastAsia"/>
      </w:rPr>
    </w:lvl>
    <w:lvl w:ilvl="1">
      <w:start w:val="1"/>
      <w:numFmt w:val="lowerLetter"/>
      <w:isLgl w:val="false"/>
      <w:suff w:val="tab"/>
      <w:lvlText w:val="%2)"/>
      <w:lvlJc w:val="left"/>
      <w:pPr>
        <w:pStyle w:val="1053"/>
        <w:ind w:left="1305" w:hanging="440"/>
      </w:pPr>
    </w:lvl>
    <w:lvl w:ilvl="2">
      <w:start w:val="1"/>
      <w:numFmt w:val="lowerRoman"/>
      <w:isLgl w:val="false"/>
      <w:suff w:val="tab"/>
      <w:lvlText w:val="%3."/>
      <w:lvlJc w:val="right"/>
      <w:pPr>
        <w:pStyle w:val="1053"/>
        <w:ind w:left="1745" w:hanging="440"/>
      </w:pPr>
    </w:lvl>
    <w:lvl w:ilvl="3">
      <w:start w:val="1"/>
      <w:numFmt w:val="decimal"/>
      <w:isLgl w:val="false"/>
      <w:suff w:val="tab"/>
      <w:lvlText w:val="%4."/>
      <w:lvlJc w:val="left"/>
      <w:pPr>
        <w:pStyle w:val="1053"/>
        <w:ind w:left="2185" w:hanging="440"/>
      </w:pPr>
    </w:lvl>
    <w:lvl w:ilvl="4">
      <w:start w:val="1"/>
      <w:numFmt w:val="lowerLetter"/>
      <w:isLgl w:val="false"/>
      <w:suff w:val="tab"/>
      <w:lvlText w:val="%5)"/>
      <w:lvlJc w:val="left"/>
      <w:pPr>
        <w:pStyle w:val="1053"/>
        <w:ind w:left="2625" w:hanging="440"/>
      </w:pPr>
    </w:lvl>
    <w:lvl w:ilvl="5">
      <w:start w:val="1"/>
      <w:numFmt w:val="lowerRoman"/>
      <w:isLgl w:val="false"/>
      <w:suff w:val="tab"/>
      <w:lvlText w:val="%6."/>
      <w:lvlJc w:val="right"/>
      <w:pPr>
        <w:pStyle w:val="1053"/>
        <w:ind w:left="3065" w:hanging="440"/>
      </w:pPr>
    </w:lvl>
    <w:lvl w:ilvl="6">
      <w:start w:val="1"/>
      <w:numFmt w:val="decimal"/>
      <w:isLgl w:val="false"/>
      <w:suff w:val="tab"/>
      <w:lvlText w:val="%7."/>
      <w:lvlJc w:val="left"/>
      <w:pPr>
        <w:pStyle w:val="1053"/>
        <w:ind w:left="3505" w:hanging="440"/>
      </w:pPr>
    </w:lvl>
    <w:lvl w:ilvl="7">
      <w:start w:val="1"/>
      <w:numFmt w:val="lowerLetter"/>
      <w:isLgl w:val="false"/>
      <w:suff w:val="tab"/>
      <w:lvlText w:val="%8)"/>
      <w:lvlJc w:val="left"/>
      <w:pPr>
        <w:pStyle w:val="1053"/>
        <w:ind w:left="3945" w:hanging="440"/>
      </w:pPr>
    </w:lvl>
    <w:lvl w:ilvl="8">
      <w:start w:val="1"/>
      <w:numFmt w:val="lowerRoman"/>
      <w:isLgl w:val="false"/>
      <w:suff w:val="tab"/>
      <w:lvlText w:val="%9."/>
      <w:lvlJc w:val="right"/>
      <w:pPr>
        <w:pStyle w:val="1053"/>
        <w:ind w:left="4385" w:hanging="440"/>
      </w:pPr>
    </w:lvl>
  </w:abstractNum>
  <w:num w:numId="1">
    <w:abstractNumId w:val="22"/>
  </w:num>
  <w:num w:numId="2">
    <w:abstractNumId w:val="21"/>
  </w:num>
  <w:num w:numId="3">
    <w:abstractNumId w:val="19"/>
  </w:num>
  <w:num w:numId="4">
    <w:abstractNumId w:val="20"/>
  </w:num>
  <w:num w:numId="5">
    <w:abstractNumId w:val="6"/>
  </w:num>
  <w:num w:numId="6">
    <w:abstractNumId w:val="11"/>
  </w:num>
  <w:num w:numId="7">
    <w:abstractNumId w:val="42"/>
  </w:num>
  <w:num w:numId="8">
    <w:abstractNumId w:val="43"/>
  </w:num>
  <w:num w:numId="9">
    <w:abstractNumId w:val="0"/>
  </w:num>
  <w:num w:numId="10">
    <w:abstractNumId w:val="2"/>
  </w:num>
  <w:num w:numId="11">
    <w:abstractNumId w:val="14"/>
  </w:num>
  <w:num w:numId="12">
    <w:abstractNumId w:val="7"/>
  </w:num>
  <w:num w:numId="13">
    <w:abstractNumId w:val="31"/>
  </w:num>
  <w:num w:numId="14">
    <w:abstractNumId w:val="39"/>
  </w:num>
  <w:num w:numId="15">
    <w:abstractNumId w:val="9"/>
  </w:num>
  <w:num w:numId="16">
    <w:abstractNumId w:val="33"/>
  </w:num>
  <w:num w:numId="17">
    <w:abstractNumId w:val="40"/>
  </w:num>
  <w:num w:numId="18">
    <w:abstractNumId w:val="46"/>
  </w:num>
  <w:num w:numId="19">
    <w:abstractNumId w:val="15"/>
  </w:num>
  <w:num w:numId="20">
    <w:abstractNumId w:val="3"/>
  </w:num>
  <w:num w:numId="21">
    <w:abstractNumId w:val="13"/>
  </w:num>
  <w:num w:numId="22">
    <w:abstractNumId w:val="37"/>
  </w:num>
  <w:num w:numId="23">
    <w:abstractNumId w:val="38"/>
  </w:num>
  <w:num w:numId="24">
    <w:abstractNumId w:val="35"/>
  </w:num>
  <w:num w:numId="25">
    <w:abstractNumId w:val="41"/>
  </w:num>
  <w:num w:numId="26">
    <w:abstractNumId w:val="12"/>
  </w:num>
  <w:num w:numId="27">
    <w:abstractNumId w:val="8"/>
  </w:num>
  <w:num w:numId="28">
    <w:abstractNumId w:val="30"/>
  </w:num>
  <w:num w:numId="29">
    <w:abstractNumId w:val="27"/>
  </w:num>
  <w:num w:numId="30">
    <w:abstractNumId w:val="25"/>
  </w:num>
  <w:num w:numId="31">
    <w:abstractNumId w:val="1"/>
  </w:num>
  <w:num w:numId="32">
    <w:abstractNumId w:val="45"/>
  </w:num>
  <w:num w:numId="33">
    <w:abstractNumId w:val="36"/>
  </w:num>
  <w:num w:numId="34">
    <w:abstractNumId w:val="34"/>
  </w:num>
  <w:num w:numId="35">
    <w:abstractNumId w:val="4"/>
  </w:num>
  <w:num w:numId="36">
    <w:abstractNumId w:val="28"/>
  </w:num>
  <w:num w:numId="37">
    <w:abstractNumId w:val="10"/>
  </w:num>
  <w:num w:numId="38">
    <w:abstractNumId w:val="26"/>
  </w:num>
  <w:num w:numId="39">
    <w:abstractNumId w:val="29"/>
  </w:num>
  <w:num w:numId="40">
    <w:abstractNumId w:val="5"/>
  </w:num>
  <w:num w:numId="41">
    <w:abstractNumId w:val="16"/>
  </w:num>
  <w:num w:numId="42">
    <w:abstractNumId w:val="17"/>
  </w:num>
  <w:num w:numId="43">
    <w:abstractNumId w:val="32"/>
  </w:num>
  <w:num w:numId="44">
    <w:abstractNumId w:val="47"/>
  </w:num>
  <w:num w:numId="45">
    <w:abstractNumId w:val="44"/>
  </w:num>
  <w:num w:numId="46">
    <w:abstractNumId w:val="18"/>
  </w:num>
  <w:num w:numId="47">
    <w:abstractNumId w:val="23"/>
  </w:num>
  <w:num w:numId="48">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77">
    <w:name w:val="Heading 1"/>
    <w:basedOn w:val="1053"/>
    <w:next w:val="1053"/>
    <w:link w:val="878"/>
    <w:uiPriority w:val="9"/>
    <w:qFormat/>
    <w:pPr>
      <w:keepLines/>
      <w:keepNext/>
      <w:spacing w:before="480" w:after="200"/>
      <w:outlineLvl w:val="0"/>
    </w:pPr>
    <w:rPr>
      <w:rFonts w:ascii="Arial" w:hAnsi="Arial" w:eastAsia="Arial" w:cs="Arial"/>
      <w:sz w:val="40"/>
      <w:szCs w:val="40"/>
    </w:rPr>
  </w:style>
  <w:style w:type="character" w:styleId="878">
    <w:name w:val="Heading 1 Char"/>
    <w:link w:val="877"/>
    <w:uiPriority w:val="9"/>
    <w:rPr>
      <w:rFonts w:ascii="Arial" w:hAnsi="Arial" w:eastAsia="Arial" w:cs="Arial"/>
      <w:sz w:val="40"/>
      <w:szCs w:val="40"/>
    </w:rPr>
  </w:style>
  <w:style w:type="paragraph" w:styleId="879">
    <w:name w:val="Heading 2"/>
    <w:basedOn w:val="1053"/>
    <w:next w:val="1053"/>
    <w:link w:val="880"/>
    <w:uiPriority w:val="9"/>
    <w:unhideWhenUsed/>
    <w:qFormat/>
    <w:pPr>
      <w:keepLines/>
      <w:keepNext/>
      <w:spacing w:before="360" w:after="200"/>
      <w:outlineLvl w:val="1"/>
    </w:pPr>
    <w:rPr>
      <w:rFonts w:ascii="Arial" w:hAnsi="Arial" w:eastAsia="Arial" w:cs="Arial"/>
      <w:sz w:val="34"/>
    </w:rPr>
  </w:style>
  <w:style w:type="character" w:styleId="880">
    <w:name w:val="Heading 2 Char"/>
    <w:link w:val="879"/>
    <w:uiPriority w:val="9"/>
    <w:rPr>
      <w:rFonts w:ascii="Arial" w:hAnsi="Arial" w:eastAsia="Arial" w:cs="Arial"/>
      <w:sz w:val="34"/>
    </w:rPr>
  </w:style>
  <w:style w:type="paragraph" w:styleId="881">
    <w:name w:val="Heading 3"/>
    <w:basedOn w:val="1053"/>
    <w:next w:val="1053"/>
    <w:link w:val="882"/>
    <w:uiPriority w:val="9"/>
    <w:unhideWhenUsed/>
    <w:qFormat/>
    <w:pPr>
      <w:keepLines/>
      <w:keepNext/>
      <w:spacing w:before="320" w:after="200"/>
      <w:outlineLvl w:val="2"/>
    </w:pPr>
    <w:rPr>
      <w:rFonts w:ascii="Arial" w:hAnsi="Arial" w:eastAsia="Arial" w:cs="Arial"/>
      <w:sz w:val="30"/>
      <w:szCs w:val="30"/>
    </w:rPr>
  </w:style>
  <w:style w:type="character" w:styleId="882">
    <w:name w:val="Heading 3 Char"/>
    <w:link w:val="881"/>
    <w:uiPriority w:val="9"/>
    <w:rPr>
      <w:rFonts w:ascii="Arial" w:hAnsi="Arial" w:eastAsia="Arial" w:cs="Arial"/>
      <w:sz w:val="30"/>
      <w:szCs w:val="30"/>
    </w:rPr>
  </w:style>
  <w:style w:type="paragraph" w:styleId="883">
    <w:name w:val="Heading 4"/>
    <w:basedOn w:val="1053"/>
    <w:next w:val="1053"/>
    <w:link w:val="884"/>
    <w:uiPriority w:val="9"/>
    <w:unhideWhenUsed/>
    <w:qFormat/>
    <w:pPr>
      <w:keepLines/>
      <w:keepNext/>
      <w:spacing w:before="320" w:after="200"/>
      <w:outlineLvl w:val="3"/>
    </w:pPr>
    <w:rPr>
      <w:rFonts w:ascii="Arial" w:hAnsi="Arial" w:eastAsia="Arial" w:cs="Arial"/>
      <w:b/>
      <w:bCs/>
      <w:sz w:val="26"/>
      <w:szCs w:val="26"/>
    </w:rPr>
  </w:style>
  <w:style w:type="character" w:styleId="884">
    <w:name w:val="Heading 4 Char"/>
    <w:link w:val="883"/>
    <w:uiPriority w:val="9"/>
    <w:rPr>
      <w:rFonts w:ascii="Arial" w:hAnsi="Arial" w:eastAsia="Arial" w:cs="Arial"/>
      <w:b/>
      <w:bCs/>
      <w:sz w:val="26"/>
      <w:szCs w:val="26"/>
    </w:rPr>
  </w:style>
  <w:style w:type="paragraph" w:styleId="885">
    <w:name w:val="Heading 5"/>
    <w:basedOn w:val="1053"/>
    <w:next w:val="1053"/>
    <w:link w:val="886"/>
    <w:uiPriority w:val="9"/>
    <w:unhideWhenUsed/>
    <w:qFormat/>
    <w:pPr>
      <w:keepLines/>
      <w:keepNext/>
      <w:spacing w:before="320" w:after="200"/>
      <w:outlineLvl w:val="4"/>
    </w:pPr>
    <w:rPr>
      <w:rFonts w:ascii="Arial" w:hAnsi="Arial" w:eastAsia="Arial" w:cs="Arial"/>
      <w:b/>
      <w:bCs/>
      <w:sz w:val="24"/>
      <w:szCs w:val="24"/>
    </w:rPr>
  </w:style>
  <w:style w:type="character" w:styleId="886">
    <w:name w:val="Heading 5 Char"/>
    <w:link w:val="885"/>
    <w:uiPriority w:val="9"/>
    <w:rPr>
      <w:rFonts w:ascii="Arial" w:hAnsi="Arial" w:eastAsia="Arial" w:cs="Arial"/>
      <w:b/>
      <w:bCs/>
      <w:sz w:val="24"/>
      <w:szCs w:val="24"/>
    </w:rPr>
  </w:style>
  <w:style w:type="paragraph" w:styleId="887">
    <w:name w:val="Heading 6"/>
    <w:basedOn w:val="1053"/>
    <w:next w:val="1053"/>
    <w:link w:val="888"/>
    <w:uiPriority w:val="9"/>
    <w:unhideWhenUsed/>
    <w:qFormat/>
    <w:pPr>
      <w:keepLines/>
      <w:keepNext/>
      <w:spacing w:before="320" w:after="200"/>
      <w:outlineLvl w:val="5"/>
    </w:pPr>
    <w:rPr>
      <w:rFonts w:ascii="Arial" w:hAnsi="Arial" w:eastAsia="Arial" w:cs="Arial"/>
      <w:b/>
      <w:bCs/>
      <w:sz w:val="22"/>
      <w:szCs w:val="22"/>
    </w:rPr>
  </w:style>
  <w:style w:type="character" w:styleId="888">
    <w:name w:val="Heading 6 Char"/>
    <w:link w:val="887"/>
    <w:uiPriority w:val="9"/>
    <w:rPr>
      <w:rFonts w:ascii="Arial" w:hAnsi="Arial" w:eastAsia="Arial" w:cs="Arial"/>
      <w:b/>
      <w:bCs/>
      <w:sz w:val="22"/>
      <w:szCs w:val="22"/>
    </w:rPr>
  </w:style>
  <w:style w:type="paragraph" w:styleId="889">
    <w:name w:val="Heading 7"/>
    <w:basedOn w:val="1053"/>
    <w:next w:val="1053"/>
    <w:link w:val="890"/>
    <w:uiPriority w:val="9"/>
    <w:unhideWhenUsed/>
    <w:qFormat/>
    <w:pPr>
      <w:keepLines/>
      <w:keepNext/>
      <w:spacing w:before="320" w:after="200"/>
      <w:outlineLvl w:val="6"/>
    </w:pPr>
    <w:rPr>
      <w:rFonts w:ascii="Arial" w:hAnsi="Arial" w:eastAsia="Arial" w:cs="Arial"/>
      <w:b/>
      <w:bCs/>
      <w:i/>
      <w:iCs/>
      <w:sz w:val="22"/>
      <w:szCs w:val="22"/>
    </w:rPr>
  </w:style>
  <w:style w:type="character" w:styleId="890">
    <w:name w:val="Heading 7 Char"/>
    <w:link w:val="889"/>
    <w:uiPriority w:val="9"/>
    <w:rPr>
      <w:rFonts w:ascii="Arial" w:hAnsi="Arial" w:eastAsia="Arial" w:cs="Arial"/>
      <w:b/>
      <w:bCs/>
      <w:i/>
      <w:iCs/>
      <w:sz w:val="22"/>
      <w:szCs w:val="22"/>
    </w:rPr>
  </w:style>
  <w:style w:type="paragraph" w:styleId="891">
    <w:name w:val="Heading 8"/>
    <w:basedOn w:val="1053"/>
    <w:next w:val="1053"/>
    <w:link w:val="892"/>
    <w:uiPriority w:val="9"/>
    <w:unhideWhenUsed/>
    <w:qFormat/>
    <w:pPr>
      <w:keepLines/>
      <w:keepNext/>
      <w:spacing w:before="320" w:after="200"/>
      <w:outlineLvl w:val="7"/>
    </w:pPr>
    <w:rPr>
      <w:rFonts w:ascii="Arial" w:hAnsi="Arial" w:eastAsia="Arial" w:cs="Arial"/>
      <w:i/>
      <w:iCs/>
      <w:sz w:val="22"/>
      <w:szCs w:val="22"/>
    </w:rPr>
  </w:style>
  <w:style w:type="character" w:styleId="892">
    <w:name w:val="Heading 8 Char"/>
    <w:link w:val="891"/>
    <w:uiPriority w:val="9"/>
    <w:rPr>
      <w:rFonts w:ascii="Arial" w:hAnsi="Arial" w:eastAsia="Arial" w:cs="Arial"/>
      <w:i/>
      <w:iCs/>
      <w:sz w:val="22"/>
      <w:szCs w:val="22"/>
    </w:rPr>
  </w:style>
  <w:style w:type="paragraph" w:styleId="893">
    <w:name w:val="Heading 9"/>
    <w:basedOn w:val="1053"/>
    <w:next w:val="1053"/>
    <w:link w:val="894"/>
    <w:uiPriority w:val="9"/>
    <w:unhideWhenUsed/>
    <w:qFormat/>
    <w:pPr>
      <w:keepLines/>
      <w:keepNext/>
      <w:spacing w:before="320" w:after="200"/>
      <w:outlineLvl w:val="8"/>
    </w:pPr>
    <w:rPr>
      <w:rFonts w:ascii="Arial" w:hAnsi="Arial" w:eastAsia="Arial" w:cs="Arial"/>
      <w:i/>
      <w:iCs/>
      <w:sz w:val="21"/>
      <w:szCs w:val="21"/>
    </w:rPr>
  </w:style>
  <w:style w:type="character" w:styleId="894">
    <w:name w:val="Heading 9 Char"/>
    <w:link w:val="893"/>
    <w:uiPriority w:val="9"/>
    <w:rPr>
      <w:rFonts w:ascii="Arial" w:hAnsi="Arial" w:eastAsia="Arial" w:cs="Arial"/>
      <w:i/>
      <w:iCs/>
      <w:sz w:val="21"/>
      <w:szCs w:val="21"/>
    </w:rPr>
  </w:style>
  <w:style w:type="paragraph" w:styleId="895">
    <w:name w:val="Title"/>
    <w:basedOn w:val="1053"/>
    <w:next w:val="1053"/>
    <w:link w:val="896"/>
    <w:uiPriority w:val="10"/>
    <w:qFormat/>
    <w:pPr>
      <w:contextualSpacing/>
      <w:spacing w:before="300" w:after="200"/>
    </w:pPr>
    <w:rPr>
      <w:sz w:val="48"/>
      <w:szCs w:val="48"/>
    </w:rPr>
  </w:style>
  <w:style w:type="character" w:styleId="896">
    <w:name w:val="Title Char"/>
    <w:link w:val="895"/>
    <w:uiPriority w:val="10"/>
    <w:rPr>
      <w:sz w:val="48"/>
      <w:szCs w:val="48"/>
    </w:rPr>
  </w:style>
  <w:style w:type="paragraph" w:styleId="897">
    <w:name w:val="Subtitle"/>
    <w:basedOn w:val="1053"/>
    <w:next w:val="1053"/>
    <w:link w:val="898"/>
    <w:uiPriority w:val="11"/>
    <w:qFormat/>
    <w:pPr>
      <w:spacing w:before="200" w:after="200"/>
    </w:pPr>
    <w:rPr>
      <w:sz w:val="24"/>
      <w:szCs w:val="24"/>
    </w:rPr>
  </w:style>
  <w:style w:type="character" w:styleId="898">
    <w:name w:val="Subtitle Char"/>
    <w:link w:val="897"/>
    <w:uiPriority w:val="11"/>
    <w:rPr>
      <w:sz w:val="24"/>
      <w:szCs w:val="24"/>
    </w:rPr>
  </w:style>
  <w:style w:type="paragraph" w:styleId="899">
    <w:name w:val="Quote"/>
    <w:basedOn w:val="1053"/>
    <w:next w:val="1053"/>
    <w:link w:val="900"/>
    <w:uiPriority w:val="29"/>
    <w:qFormat/>
    <w:pPr>
      <w:ind w:left="720" w:right="720"/>
    </w:pPr>
    <w:rPr>
      <w:i/>
    </w:rPr>
  </w:style>
  <w:style w:type="character" w:styleId="900">
    <w:name w:val="Quote Char"/>
    <w:link w:val="899"/>
    <w:uiPriority w:val="29"/>
    <w:rPr>
      <w:i/>
    </w:rPr>
  </w:style>
  <w:style w:type="paragraph" w:styleId="901">
    <w:name w:val="Intense Quote"/>
    <w:basedOn w:val="1053"/>
    <w:next w:val="1053"/>
    <w:link w:val="90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02">
    <w:name w:val="Intense Quote Char"/>
    <w:link w:val="901"/>
    <w:uiPriority w:val="30"/>
    <w:rPr>
      <w:i/>
    </w:rPr>
  </w:style>
  <w:style w:type="paragraph" w:styleId="903">
    <w:name w:val="Header"/>
    <w:basedOn w:val="1053"/>
    <w:link w:val="904"/>
    <w:uiPriority w:val="99"/>
    <w:unhideWhenUsed/>
    <w:pPr>
      <w:spacing w:after="0" w:line="240" w:lineRule="auto"/>
      <w:tabs>
        <w:tab w:val="center" w:pos="7143" w:leader="none"/>
        <w:tab w:val="right" w:pos="14287" w:leader="none"/>
      </w:tabs>
    </w:pPr>
  </w:style>
  <w:style w:type="character" w:styleId="904">
    <w:name w:val="Header Char"/>
    <w:link w:val="903"/>
    <w:uiPriority w:val="99"/>
  </w:style>
  <w:style w:type="paragraph" w:styleId="905">
    <w:name w:val="Footer"/>
    <w:basedOn w:val="1053"/>
    <w:link w:val="908"/>
    <w:uiPriority w:val="99"/>
    <w:unhideWhenUsed/>
    <w:pPr>
      <w:spacing w:after="0" w:line="240" w:lineRule="auto"/>
      <w:tabs>
        <w:tab w:val="center" w:pos="7143" w:leader="none"/>
        <w:tab w:val="right" w:pos="14287" w:leader="none"/>
      </w:tabs>
    </w:pPr>
  </w:style>
  <w:style w:type="character" w:styleId="906">
    <w:name w:val="Footer Char"/>
    <w:link w:val="905"/>
    <w:uiPriority w:val="99"/>
  </w:style>
  <w:style w:type="paragraph" w:styleId="907">
    <w:name w:val="Caption"/>
    <w:basedOn w:val="1053"/>
    <w:next w:val="1053"/>
    <w:uiPriority w:val="35"/>
    <w:semiHidden/>
    <w:unhideWhenUsed/>
    <w:qFormat/>
    <w:pPr>
      <w:spacing w:line="276" w:lineRule="auto"/>
    </w:pPr>
    <w:rPr>
      <w:b/>
      <w:bCs/>
      <w:color w:val="4f81bd" w:themeColor="accent1"/>
      <w:sz w:val="18"/>
      <w:szCs w:val="18"/>
    </w:rPr>
  </w:style>
  <w:style w:type="character" w:styleId="908">
    <w:name w:val="Caption Char"/>
    <w:basedOn w:val="907"/>
    <w:link w:val="905"/>
    <w:uiPriority w:val="99"/>
  </w:style>
  <w:style w:type="table" w:styleId="909">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910">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911">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12">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13">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14">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15">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916">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917">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918">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919">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920">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921">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922">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923">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924">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925">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926">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927">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928">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929">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930">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1">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2">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3">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4">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5">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6">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937">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38">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939">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940">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941">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942">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943">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944">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945">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946">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947">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948">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949">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950">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951">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52">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53">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54">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55">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56">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7">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8">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959">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960">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961">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962">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963">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964">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965">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6">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967">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968">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969">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970">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971">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972">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973">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974">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975">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976">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977">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978">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979">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0">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1">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982">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983">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984">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985">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986">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987">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988">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989">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990">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991">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992">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993">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4">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5">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6">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7">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8">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999">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000">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001">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002">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003">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004">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005">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006">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007">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008">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009">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010">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011">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012">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013">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014">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15">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16">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17">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18">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19">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0">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1">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022">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023">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024">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025">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026">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027">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028">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029">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030">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031">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032">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033">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034">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035">
    <w:name w:val="Hyperlink"/>
    <w:uiPriority w:val="99"/>
    <w:unhideWhenUsed/>
    <w:rPr>
      <w:color w:val="0000ff" w:themeColor="hyperlink"/>
      <w:u w:val="single"/>
    </w:rPr>
  </w:style>
  <w:style w:type="paragraph" w:styleId="1036">
    <w:name w:val="footnote text"/>
    <w:basedOn w:val="1053"/>
    <w:link w:val="1037"/>
    <w:uiPriority w:val="99"/>
    <w:semiHidden/>
    <w:unhideWhenUsed/>
    <w:pPr>
      <w:spacing w:after="40" w:line="240" w:lineRule="auto"/>
    </w:pPr>
    <w:rPr>
      <w:sz w:val="18"/>
    </w:rPr>
  </w:style>
  <w:style w:type="character" w:styleId="1037">
    <w:name w:val="Footnote Text Char"/>
    <w:link w:val="1036"/>
    <w:uiPriority w:val="99"/>
    <w:rPr>
      <w:sz w:val="18"/>
    </w:rPr>
  </w:style>
  <w:style w:type="character" w:styleId="1038">
    <w:name w:val="footnote reference"/>
    <w:uiPriority w:val="99"/>
    <w:unhideWhenUsed/>
    <w:rPr>
      <w:vertAlign w:val="superscript"/>
    </w:rPr>
  </w:style>
  <w:style w:type="paragraph" w:styleId="1039">
    <w:name w:val="endnote text"/>
    <w:basedOn w:val="1053"/>
    <w:link w:val="1040"/>
    <w:uiPriority w:val="99"/>
    <w:semiHidden/>
    <w:unhideWhenUsed/>
    <w:pPr>
      <w:spacing w:after="0" w:line="240" w:lineRule="auto"/>
    </w:pPr>
    <w:rPr>
      <w:sz w:val="20"/>
    </w:rPr>
  </w:style>
  <w:style w:type="character" w:styleId="1040">
    <w:name w:val="Endnote Text Char"/>
    <w:link w:val="1039"/>
    <w:uiPriority w:val="99"/>
    <w:rPr>
      <w:sz w:val="20"/>
    </w:rPr>
  </w:style>
  <w:style w:type="character" w:styleId="1041">
    <w:name w:val="endnote reference"/>
    <w:uiPriority w:val="99"/>
    <w:semiHidden/>
    <w:unhideWhenUsed/>
    <w:rPr>
      <w:vertAlign w:val="superscript"/>
    </w:rPr>
  </w:style>
  <w:style w:type="paragraph" w:styleId="1042">
    <w:name w:val="toc 1"/>
    <w:basedOn w:val="1053"/>
    <w:next w:val="1053"/>
    <w:uiPriority w:val="39"/>
    <w:unhideWhenUsed/>
    <w:pPr>
      <w:ind w:left="0" w:right="0" w:firstLine="0"/>
      <w:spacing w:after="57"/>
    </w:pPr>
  </w:style>
  <w:style w:type="paragraph" w:styleId="1043">
    <w:name w:val="toc 2"/>
    <w:basedOn w:val="1053"/>
    <w:next w:val="1053"/>
    <w:uiPriority w:val="39"/>
    <w:unhideWhenUsed/>
    <w:pPr>
      <w:ind w:left="283" w:right="0" w:firstLine="0"/>
      <w:spacing w:after="57"/>
    </w:pPr>
  </w:style>
  <w:style w:type="paragraph" w:styleId="1044">
    <w:name w:val="toc 3"/>
    <w:basedOn w:val="1053"/>
    <w:next w:val="1053"/>
    <w:uiPriority w:val="39"/>
    <w:unhideWhenUsed/>
    <w:pPr>
      <w:ind w:left="567" w:right="0" w:firstLine="0"/>
      <w:spacing w:after="57"/>
    </w:pPr>
  </w:style>
  <w:style w:type="paragraph" w:styleId="1045">
    <w:name w:val="toc 4"/>
    <w:basedOn w:val="1053"/>
    <w:next w:val="1053"/>
    <w:uiPriority w:val="39"/>
    <w:unhideWhenUsed/>
    <w:pPr>
      <w:ind w:left="850" w:right="0" w:firstLine="0"/>
      <w:spacing w:after="57"/>
    </w:pPr>
  </w:style>
  <w:style w:type="paragraph" w:styleId="1046">
    <w:name w:val="toc 5"/>
    <w:basedOn w:val="1053"/>
    <w:next w:val="1053"/>
    <w:uiPriority w:val="39"/>
    <w:unhideWhenUsed/>
    <w:pPr>
      <w:ind w:left="1134" w:right="0" w:firstLine="0"/>
      <w:spacing w:after="57"/>
    </w:pPr>
  </w:style>
  <w:style w:type="paragraph" w:styleId="1047">
    <w:name w:val="toc 6"/>
    <w:basedOn w:val="1053"/>
    <w:next w:val="1053"/>
    <w:uiPriority w:val="39"/>
    <w:unhideWhenUsed/>
    <w:pPr>
      <w:ind w:left="1417" w:right="0" w:firstLine="0"/>
      <w:spacing w:after="57"/>
    </w:pPr>
  </w:style>
  <w:style w:type="paragraph" w:styleId="1048">
    <w:name w:val="toc 7"/>
    <w:basedOn w:val="1053"/>
    <w:next w:val="1053"/>
    <w:uiPriority w:val="39"/>
    <w:unhideWhenUsed/>
    <w:pPr>
      <w:ind w:left="1701" w:right="0" w:firstLine="0"/>
      <w:spacing w:after="57"/>
    </w:pPr>
  </w:style>
  <w:style w:type="paragraph" w:styleId="1049">
    <w:name w:val="toc 8"/>
    <w:basedOn w:val="1053"/>
    <w:next w:val="1053"/>
    <w:uiPriority w:val="39"/>
    <w:unhideWhenUsed/>
    <w:pPr>
      <w:ind w:left="1984" w:right="0" w:firstLine="0"/>
      <w:spacing w:after="57"/>
    </w:pPr>
  </w:style>
  <w:style w:type="paragraph" w:styleId="1050">
    <w:name w:val="toc 9"/>
    <w:basedOn w:val="1053"/>
    <w:next w:val="1053"/>
    <w:uiPriority w:val="39"/>
    <w:unhideWhenUsed/>
    <w:pPr>
      <w:ind w:left="2268" w:right="0" w:firstLine="0"/>
      <w:spacing w:after="57"/>
    </w:pPr>
  </w:style>
  <w:style w:type="paragraph" w:styleId="1051">
    <w:name w:val="TOC Heading"/>
    <w:uiPriority w:val="39"/>
    <w:unhideWhenUsed/>
  </w:style>
  <w:style w:type="paragraph" w:styleId="1052">
    <w:name w:val="table of figures"/>
    <w:basedOn w:val="1053"/>
    <w:next w:val="1053"/>
    <w:uiPriority w:val="99"/>
    <w:unhideWhenUsed/>
    <w:pPr>
      <w:spacing w:after="0" w:afterAutospacing="0"/>
    </w:pPr>
  </w:style>
  <w:style w:type="paragraph" w:styleId="1053" w:default="1">
    <w:name w:val="Normal"/>
    <w:next w:val="1053"/>
    <w:link w:val="1053"/>
    <w:qFormat/>
    <w:pPr>
      <w:jc w:val="both"/>
      <w:spacing w:before="120" w:after="120" w:line="360" w:lineRule="auto"/>
      <w:widowControl w:val="off"/>
    </w:pPr>
    <w:rPr>
      <w:rFonts w:eastAsia="微软雅黑"/>
      <w:sz w:val="21"/>
      <w:lang w:val="en-US" w:eastAsia="zh-CN" w:bidi="ar-SA"/>
    </w:rPr>
  </w:style>
  <w:style w:type="paragraph" w:styleId="1054">
    <w:name w:val="标题 1"/>
    <w:basedOn w:val="1053"/>
    <w:next w:val="1053"/>
    <w:link w:val="1065"/>
    <w:qFormat/>
    <w:pPr>
      <w:ind w:firstLine="1440"/>
      <w:jc w:val="center"/>
      <w:keepNext/>
      <w:spacing w:before="240" w:after="240"/>
      <w:tabs>
        <w:tab w:val="left" w:pos="1440" w:leader="none"/>
        <w:tab w:val="left" w:pos="5670" w:leader="none"/>
      </w:tabs>
      <w:outlineLvl w:val="0"/>
    </w:pPr>
    <w:rPr>
      <w:rFonts w:ascii="黑体"/>
      <w:b/>
      <w:sz w:val="32"/>
      <w:szCs w:val="28"/>
    </w:rPr>
  </w:style>
  <w:style w:type="paragraph" w:styleId="1055">
    <w:name w:val="标题 2"/>
    <w:basedOn w:val="1053"/>
    <w:next w:val="1053"/>
    <w:link w:val="1066"/>
    <w:qFormat/>
    <w:pPr>
      <w:jc w:val="left"/>
      <w:keepLines/>
      <w:keepNext/>
      <w:outlineLvl w:val="1"/>
    </w:pPr>
    <w:rPr>
      <w:rFonts w:ascii="宋体" w:hAnsi="宋体"/>
      <w:b/>
      <w:sz w:val="28"/>
      <w:szCs w:val="24"/>
    </w:rPr>
  </w:style>
  <w:style w:type="paragraph" w:styleId="1056">
    <w:name w:val="标题 3"/>
    <w:basedOn w:val="1053"/>
    <w:next w:val="1053"/>
    <w:link w:val="1067"/>
    <w:qFormat/>
    <w:pPr>
      <w:keepLines/>
      <w:keepNext/>
      <w:spacing w:line="390" w:lineRule="atLeast"/>
      <w:shd w:val="clear" w:color="auto" w:fill="ffffff"/>
      <w:outlineLvl w:val="2"/>
    </w:pPr>
    <w:rPr>
      <w:rFonts w:ascii="宋体" w:hAnsi="宋体"/>
      <w:b/>
      <w:sz w:val="24"/>
      <w:szCs w:val="21"/>
    </w:rPr>
  </w:style>
  <w:style w:type="paragraph" w:styleId="1057">
    <w:name w:val="标题 4"/>
    <w:basedOn w:val="1053"/>
    <w:next w:val="1053"/>
    <w:link w:val="1068"/>
    <w:qFormat/>
    <w:pPr>
      <w:keepLines/>
      <w:keepNext/>
      <w:spacing w:before="120" w:after="120"/>
      <w:outlineLvl w:val="3"/>
    </w:pPr>
    <w:rPr>
      <w:rFonts w:ascii="Arial" w:hAnsi="Arial" w:eastAsia="黑体"/>
      <w:b/>
      <w:sz w:val="28"/>
    </w:rPr>
  </w:style>
  <w:style w:type="paragraph" w:styleId="1058">
    <w:name w:val="标题 5"/>
    <w:basedOn w:val="1053"/>
    <w:next w:val="1070"/>
    <w:link w:val="1069"/>
    <w:qFormat/>
    <w:pPr>
      <w:keepNext/>
      <w:spacing w:before="145" w:after="145"/>
      <w:outlineLvl w:val="4"/>
    </w:pPr>
    <w:rPr>
      <w:rFonts w:ascii="黑体" w:eastAsia="黑体"/>
      <w:b/>
      <w:color w:val="000000"/>
      <w:sz w:val="28"/>
    </w:rPr>
  </w:style>
  <w:style w:type="paragraph" w:styleId="1059">
    <w:name w:val="标题 6"/>
    <w:basedOn w:val="1053"/>
    <w:next w:val="1053"/>
    <w:link w:val="1072"/>
    <w:qFormat/>
    <w:pPr>
      <w:keepLines/>
      <w:keepNext/>
      <w:spacing w:before="240" w:after="64" w:line="320" w:lineRule="auto"/>
      <w:outlineLvl w:val="5"/>
    </w:pPr>
    <w:rPr>
      <w:rFonts w:ascii="Arial" w:hAnsi="Arial" w:eastAsia="黑体"/>
      <w:b/>
      <w:bCs/>
      <w:sz w:val="24"/>
      <w:szCs w:val="24"/>
    </w:rPr>
  </w:style>
  <w:style w:type="paragraph" w:styleId="1060">
    <w:name w:val="标题 7"/>
    <w:basedOn w:val="1053"/>
    <w:next w:val="1053"/>
    <w:link w:val="1073"/>
    <w:qFormat/>
    <w:pPr>
      <w:keepLines/>
      <w:keepNext/>
      <w:spacing w:before="240" w:after="64" w:line="320" w:lineRule="auto"/>
      <w:outlineLvl w:val="6"/>
    </w:pPr>
    <w:rPr>
      <w:rFonts w:eastAsia="宋体"/>
      <w:b/>
      <w:bCs/>
      <w:sz w:val="24"/>
      <w:szCs w:val="24"/>
    </w:rPr>
  </w:style>
  <w:style w:type="paragraph" w:styleId="1061">
    <w:name w:val="标题 8"/>
    <w:basedOn w:val="1053"/>
    <w:next w:val="1053"/>
    <w:link w:val="1074"/>
    <w:qFormat/>
    <w:pPr>
      <w:keepLines/>
      <w:keepNext/>
      <w:spacing w:before="240" w:after="64" w:line="320" w:lineRule="auto"/>
      <w:outlineLvl w:val="7"/>
    </w:pPr>
    <w:rPr>
      <w:rFonts w:ascii="Arial" w:hAnsi="Arial" w:eastAsia="黑体"/>
      <w:sz w:val="24"/>
      <w:szCs w:val="24"/>
    </w:rPr>
  </w:style>
  <w:style w:type="paragraph" w:styleId="1062">
    <w:name w:val="标题 9"/>
    <w:basedOn w:val="1053"/>
    <w:next w:val="1053"/>
    <w:link w:val="1075"/>
    <w:qFormat/>
    <w:pPr>
      <w:keepLines/>
      <w:keepNext/>
      <w:spacing w:before="240" w:after="64" w:line="320" w:lineRule="auto"/>
      <w:outlineLvl w:val="8"/>
    </w:pPr>
    <w:rPr>
      <w:rFonts w:ascii="Arial" w:hAnsi="Arial" w:eastAsia="黑体"/>
      <w:szCs w:val="21"/>
    </w:rPr>
  </w:style>
  <w:style w:type="character" w:styleId="1063">
    <w:name w:val="默认段落字体"/>
    <w:next w:val="1063"/>
    <w:link w:val="1053"/>
    <w:rPr>
      <w:rFonts w:ascii="Times New Roman" w:hAnsi="Times New Roman" w:eastAsia="宋体" w:cs="Times New Roman"/>
    </w:rPr>
  </w:style>
  <w:style w:type="table" w:styleId="1064">
    <w:name w:val="普通表格"/>
    <w:next w:val="1064"/>
    <w:link w:val="1053"/>
    <w:pPr>
      <w:ind w:left="0" w:right="0"/>
      <w:keepLines w:val="0"/>
      <w:keepNext w:val="0"/>
      <w:spacing w:before="0" w:beforeAutospacing="0" w:after="0" w:afterAutospacing="0"/>
      <w:widowControl/>
      <w:suppressLineNumbers w:val="0"/>
    </w:pPr>
    <w:rPr>
      <w:rFonts w:ascii="Calibri" w:hAnsi="Calibri" w:eastAsia="宋体" w:cs="Times New Roman"/>
      <w:sz w:val="21"/>
      <w:szCs w:val="22"/>
    </w:rPr>
    <w:tblPr/>
  </w:style>
  <w:style w:type="character" w:styleId="1065">
    <w:name w:val="标题 1 字符"/>
    <w:next w:val="1065"/>
    <w:link w:val="1054"/>
    <w:rPr>
      <w:rFonts w:ascii="黑体" w:hAnsi="Times New Roman" w:eastAsia="微软雅黑" w:cs="Times New Roman"/>
      <w:b/>
      <w:sz w:val="32"/>
      <w:szCs w:val="28"/>
    </w:rPr>
  </w:style>
  <w:style w:type="character" w:styleId="1066">
    <w:name w:val="标题 2 字符"/>
    <w:next w:val="1066"/>
    <w:link w:val="1055"/>
    <w:rPr>
      <w:rFonts w:ascii="宋体" w:hAnsi="宋体" w:eastAsia="微软雅黑" w:cs="Times New Roman"/>
      <w:b/>
      <w:sz w:val="28"/>
      <w:szCs w:val="24"/>
    </w:rPr>
  </w:style>
  <w:style w:type="character" w:styleId="1067">
    <w:name w:val="标题 3 字符"/>
    <w:next w:val="1067"/>
    <w:link w:val="1056"/>
    <w:rPr>
      <w:rFonts w:ascii="宋体" w:hAnsi="宋体" w:eastAsia="微软雅黑" w:cs="Times New Roman"/>
      <w:b/>
      <w:sz w:val="24"/>
      <w:szCs w:val="21"/>
      <w:shd w:val="clear" w:color="auto" w:fill="ffffff"/>
    </w:rPr>
  </w:style>
  <w:style w:type="character" w:styleId="1068">
    <w:name w:val="标题 4 字符"/>
    <w:next w:val="1068"/>
    <w:link w:val="1057"/>
    <w:rPr>
      <w:rFonts w:ascii="Arial" w:hAnsi="Arial" w:eastAsia="黑体" w:cs="Times New Roman"/>
      <w:b/>
      <w:sz w:val="28"/>
      <w:lang w:val="en-US" w:eastAsia="zh-CN" w:bidi="ar-SA"/>
    </w:rPr>
  </w:style>
  <w:style w:type="character" w:styleId="1069">
    <w:name w:val="标题 5 字符"/>
    <w:next w:val="1069"/>
    <w:link w:val="1058"/>
    <w:rPr>
      <w:rFonts w:ascii="黑体" w:hAnsi="Times New Roman" w:eastAsia="黑体" w:cs="Times New Roman"/>
      <w:b/>
      <w:color w:val="000000"/>
      <w:sz w:val="28"/>
      <w:lang w:val="en-US" w:eastAsia="zh-CN" w:bidi="ar-SA"/>
    </w:rPr>
  </w:style>
  <w:style w:type="paragraph" w:styleId="1070">
    <w:name w:val="正文缩进"/>
    <w:basedOn w:val="1053"/>
    <w:next w:val="1070"/>
    <w:link w:val="1071"/>
    <w:qFormat/>
    <w:pPr>
      <w:ind w:firstLine="420"/>
    </w:pPr>
    <w:rPr>
      <w:rFonts w:ascii="Times New Roman" w:hAnsi="Times New Roman" w:eastAsia="宋体" w:cs="Times New Roman"/>
    </w:rPr>
  </w:style>
  <w:style w:type="character" w:styleId="1071">
    <w:name w:val="正文缩进 字符1"/>
    <w:next w:val="1071"/>
    <w:link w:val="1070"/>
    <w:rPr>
      <w:sz w:val="21"/>
    </w:rPr>
  </w:style>
  <w:style w:type="character" w:styleId="1072">
    <w:name w:val="标题 6 字符"/>
    <w:next w:val="1072"/>
    <w:link w:val="1059"/>
    <w:rPr>
      <w:rFonts w:ascii="Arial" w:hAnsi="Arial" w:eastAsia="黑体" w:cs="Times New Roman"/>
      <w:b/>
      <w:bCs/>
      <w:sz w:val="24"/>
      <w:szCs w:val="24"/>
      <w:lang w:val="en-US" w:eastAsia="zh-CN" w:bidi="ar-SA"/>
    </w:rPr>
  </w:style>
  <w:style w:type="character" w:styleId="1073">
    <w:name w:val="标题 7 字符"/>
    <w:next w:val="1073"/>
    <w:link w:val="1060"/>
    <w:rPr>
      <w:rFonts w:ascii="Times New Roman" w:hAnsi="Times New Roman" w:eastAsia="宋体" w:cs="Times New Roman"/>
      <w:b/>
      <w:bCs/>
      <w:sz w:val="24"/>
      <w:szCs w:val="24"/>
      <w:lang w:val="en-US" w:eastAsia="zh-CN" w:bidi="ar-SA"/>
    </w:rPr>
  </w:style>
  <w:style w:type="character" w:styleId="1074">
    <w:name w:val="标题 8 字符"/>
    <w:next w:val="1074"/>
    <w:link w:val="1061"/>
    <w:rPr>
      <w:rFonts w:ascii="Arial" w:hAnsi="Arial" w:eastAsia="黑体" w:cs="Times New Roman"/>
      <w:sz w:val="24"/>
      <w:szCs w:val="24"/>
      <w:lang w:val="en-US" w:eastAsia="zh-CN" w:bidi="ar-SA"/>
    </w:rPr>
  </w:style>
  <w:style w:type="character" w:styleId="1075">
    <w:name w:val="标题 9 字符"/>
    <w:next w:val="1075"/>
    <w:link w:val="1062"/>
    <w:rPr>
      <w:rFonts w:ascii="Arial" w:hAnsi="Arial" w:eastAsia="黑体" w:cs="Times New Roman"/>
      <w:sz w:val="21"/>
      <w:szCs w:val="21"/>
      <w:lang w:val="en-US" w:eastAsia="zh-CN" w:bidi="ar-SA"/>
    </w:rPr>
  </w:style>
  <w:style w:type="paragraph" w:styleId="1076">
    <w:name w:val="列表 3"/>
    <w:basedOn w:val="1053"/>
    <w:next w:val="1076"/>
    <w:link w:val="1053"/>
    <w:pPr>
      <w:ind w:left="1260" w:hanging="420"/>
    </w:pPr>
    <w:rPr>
      <w:rFonts w:ascii="Times New Roman" w:hAnsi="Times New Roman" w:eastAsia="宋体" w:cs="Times New Roman"/>
    </w:rPr>
  </w:style>
  <w:style w:type="paragraph" w:styleId="1077">
    <w:name w:val="目录 7"/>
    <w:basedOn w:val="1053"/>
    <w:next w:val="1053"/>
    <w:link w:val="1053"/>
    <w:pPr>
      <w:ind w:left="1680"/>
      <w:jc w:val="left"/>
      <w:spacing w:before="0" w:after="0"/>
    </w:pPr>
    <w:rPr>
      <w:rFonts w:ascii="Calibri" w:hAnsi="Calibri" w:eastAsia="宋体" w:cs="Times New Roman"/>
      <w:sz w:val="18"/>
      <w:szCs w:val="18"/>
    </w:rPr>
  </w:style>
  <w:style w:type="paragraph" w:styleId="1078">
    <w:name w:val="列表编号 2"/>
    <w:basedOn w:val="1053"/>
    <w:next w:val="1078"/>
    <w:link w:val="1053"/>
    <w:pPr>
      <w:ind w:left="1440" w:hanging="1440"/>
      <w:spacing w:line="360" w:lineRule="auto"/>
      <w:tabs>
        <w:tab w:val="left" w:pos="1440" w:leader="none"/>
      </w:tabs>
    </w:pPr>
    <w:rPr>
      <w:rFonts w:ascii="Times New Roman" w:hAnsi="Times New Roman" w:eastAsia="宋体" w:cs="Times New Roman"/>
      <w:sz w:val="24"/>
      <w:szCs w:val="24"/>
    </w:rPr>
  </w:style>
  <w:style w:type="paragraph" w:styleId="1079">
    <w:name w:val="索引 8"/>
    <w:basedOn w:val="1053"/>
    <w:next w:val="1053"/>
    <w:link w:val="1053"/>
    <w:pPr>
      <w:ind w:left="2940"/>
    </w:pPr>
    <w:rPr>
      <w:rFonts w:ascii="Times New Roman" w:hAnsi="Times New Roman" w:eastAsia="宋体" w:cs="Times New Roman"/>
    </w:rPr>
  </w:style>
  <w:style w:type="paragraph" w:styleId="1080">
    <w:name w:val="列表编号"/>
    <w:basedOn w:val="1053"/>
    <w:next w:val="1080"/>
    <w:link w:val="1053"/>
    <w:pPr>
      <w:ind w:left="2952" w:hanging="432"/>
      <w:tabs>
        <w:tab w:val="left" w:pos="2952" w:leader="none"/>
      </w:tabs>
    </w:pPr>
    <w:rPr>
      <w:rFonts w:ascii="Times New Roman" w:hAnsi="Times New Roman" w:eastAsia="宋体" w:cs="Times New Roman"/>
      <w:szCs w:val="24"/>
    </w:rPr>
  </w:style>
  <w:style w:type="paragraph" w:styleId="1081">
    <w:name w:val="索引 5"/>
    <w:basedOn w:val="1053"/>
    <w:next w:val="1053"/>
    <w:link w:val="1053"/>
    <w:pPr>
      <w:ind w:left="1680"/>
    </w:pPr>
    <w:rPr>
      <w:rFonts w:ascii="Times New Roman" w:hAnsi="Times New Roman" w:eastAsia="宋体" w:cs="Times New Roman"/>
    </w:rPr>
  </w:style>
  <w:style w:type="paragraph" w:styleId="1082">
    <w:name w:val="文档结构图"/>
    <w:basedOn w:val="1053"/>
    <w:next w:val="1082"/>
    <w:link w:val="1083"/>
    <w:pPr>
      <w:shd w:val="clear" w:color="auto" w:fill="000080"/>
    </w:pPr>
    <w:rPr>
      <w:rFonts w:eastAsia="宋体"/>
    </w:rPr>
  </w:style>
  <w:style w:type="character" w:styleId="1083">
    <w:name w:val="文档结构图 字符"/>
    <w:next w:val="1083"/>
    <w:link w:val="1082"/>
    <w:rPr>
      <w:rFonts w:ascii="Times New Roman" w:hAnsi="Times New Roman" w:eastAsia="宋体" w:cs="Times New Roman"/>
      <w:sz w:val="21"/>
      <w:lang w:val="en-US" w:eastAsia="zh-CN" w:bidi="ar-SA"/>
    </w:rPr>
  </w:style>
  <w:style w:type="paragraph" w:styleId="1084">
    <w:name w:val="引文目录标题"/>
    <w:basedOn w:val="1053"/>
    <w:next w:val="1053"/>
    <w:link w:val="1053"/>
    <w:uiPriority w:val="99"/>
    <w:qFormat/>
    <w:pPr>
      <w:spacing w:before="120"/>
    </w:pPr>
    <w:rPr>
      <w:rFonts w:ascii="Cambria" w:hAnsi="Cambria"/>
      <w:sz w:val="24"/>
    </w:rPr>
  </w:style>
  <w:style w:type="paragraph" w:styleId="1085">
    <w:name w:val="批注文字"/>
    <w:basedOn w:val="1053"/>
    <w:next w:val="1085"/>
    <w:link w:val="1086"/>
    <w:uiPriority w:val="99"/>
    <w:qFormat/>
    <w:pPr>
      <w:jc w:val="left"/>
    </w:pPr>
    <w:rPr>
      <w:rFonts w:hint="eastAsia" w:ascii="微软雅黑" w:hAnsi="微软雅黑"/>
    </w:rPr>
  </w:style>
  <w:style w:type="character" w:styleId="1086">
    <w:name w:val="批注文字 字符"/>
    <w:next w:val="1086"/>
    <w:link w:val="1085"/>
    <w:rPr>
      <w:rFonts w:hint="eastAsia" w:ascii="微软雅黑" w:hAnsi="微软雅黑" w:eastAsia="微软雅黑" w:cs="微软雅黑"/>
      <w:sz w:val="21"/>
    </w:rPr>
  </w:style>
  <w:style w:type="paragraph" w:styleId="1087">
    <w:name w:val="索引 6"/>
    <w:basedOn w:val="1053"/>
    <w:next w:val="1053"/>
    <w:link w:val="1053"/>
    <w:pPr>
      <w:ind w:left="2100"/>
    </w:pPr>
    <w:rPr>
      <w:rFonts w:ascii="Times New Roman" w:hAnsi="Times New Roman" w:eastAsia="宋体" w:cs="Times New Roman"/>
    </w:rPr>
  </w:style>
  <w:style w:type="paragraph" w:styleId="1088">
    <w:name w:val="称呼"/>
    <w:basedOn w:val="1053"/>
    <w:next w:val="1053"/>
    <w:link w:val="1053"/>
    <w:rPr>
      <w:rFonts w:ascii="仿宋_GB2312" w:hAnsi="Times New Roman" w:eastAsia="仿宋_GB2312" w:cs="Times New Roman"/>
      <w:sz w:val="28"/>
    </w:rPr>
  </w:style>
  <w:style w:type="paragraph" w:styleId="1089">
    <w:name w:val="正文文本 3"/>
    <w:basedOn w:val="1053"/>
    <w:next w:val="1089"/>
    <w:link w:val="1053"/>
    <w:rPr>
      <w:rFonts w:ascii="仿宋_GB2312" w:hAnsi="Arial" w:eastAsia="仿宋_GB2312" w:cs="Times New Roman"/>
      <w:sz w:val="32"/>
    </w:rPr>
  </w:style>
  <w:style w:type="paragraph" w:styleId="1090">
    <w:name w:val="正文文本"/>
    <w:basedOn w:val="1053"/>
    <w:next w:val="1090"/>
    <w:link w:val="1053"/>
    <w:rPr>
      <w:rFonts w:ascii="楷体_GB2312" w:hAnsi="Arial" w:eastAsia="楷体_GB2312" w:cs="Times New Roman"/>
      <w:sz w:val="28"/>
    </w:rPr>
  </w:style>
  <w:style w:type="paragraph" w:styleId="1091">
    <w:name w:val="正文文本缩进"/>
    <w:basedOn w:val="1053"/>
    <w:next w:val="1091"/>
    <w:link w:val="1092"/>
    <w:pPr>
      <w:ind w:firstLine="645"/>
    </w:pPr>
    <w:rPr>
      <w:rFonts w:ascii="楷体_GB2312" w:eastAsia="楷体_GB2312"/>
      <w:sz w:val="32"/>
    </w:rPr>
  </w:style>
  <w:style w:type="character" w:styleId="1092">
    <w:name w:val="正文文本缩进 字符"/>
    <w:next w:val="1092"/>
    <w:link w:val="1091"/>
    <w:rPr>
      <w:rFonts w:ascii="楷体_GB2312" w:hAnsi="Times New Roman" w:eastAsia="楷体_GB2312" w:cs="Times New Roman"/>
      <w:sz w:val="32"/>
      <w:lang w:val="en-US" w:eastAsia="zh-CN" w:bidi="ar-SA"/>
    </w:rPr>
  </w:style>
  <w:style w:type="paragraph" w:styleId="1093">
    <w:name w:val="文本块"/>
    <w:basedOn w:val="1053"/>
    <w:next w:val="1093"/>
    <w:link w:val="1053"/>
    <w:pPr>
      <w:ind w:left="1440" w:right="1440"/>
      <w:spacing w:after="120"/>
    </w:pPr>
    <w:rPr>
      <w:rFonts w:ascii="Times New Roman" w:hAnsi="Times New Roman" w:eastAsia="宋体" w:cs="Times New Roman"/>
    </w:rPr>
  </w:style>
  <w:style w:type="paragraph" w:styleId="1094">
    <w:name w:val="索引 4"/>
    <w:basedOn w:val="1053"/>
    <w:next w:val="1053"/>
    <w:link w:val="1053"/>
    <w:pPr>
      <w:ind w:left="1260"/>
    </w:pPr>
    <w:rPr>
      <w:rFonts w:ascii="Times New Roman" w:hAnsi="Times New Roman" w:eastAsia="宋体" w:cs="Times New Roman"/>
    </w:rPr>
  </w:style>
  <w:style w:type="paragraph" w:styleId="1095">
    <w:name w:val="目录 5"/>
    <w:basedOn w:val="1053"/>
    <w:next w:val="1053"/>
    <w:link w:val="1053"/>
    <w:pPr>
      <w:ind w:left="1120"/>
      <w:jc w:val="left"/>
      <w:spacing w:before="0" w:after="0"/>
    </w:pPr>
    <w:rPr>
      <w:rFonts w:ascii="Calibri" w:hAnsi="Calibri" w:eastAsia="宋体" w:cs="Times New Roman"/>
      <w:sz w:val="18"/>
      <w:szCs w:val="18"/>
    </w:rPr>
  </w:style>
  <w:style w:type="paragraph" w:styleId="1096">
    <w:name w:val="目录 3"/>
    <w:basedOn w:val="1053"/>
    <w:next w:val="1053"/>
    <w:link w:val="1053"/>
    <w:pPr>
      <w:ind w:left="560"/>
      <w:jc w:val="left"/>
      <w:spacing w:before="0" w:after="0"/>
    </w:pPr>
    <w:rPr>
      <w:rFonts w:ascii="Calibri" w:hAnsi="Calibri" w:eastAsia="宋体" w:cs="Times New Roman"/>
      <w:i/>
      <w:iCs/>
      <w:sz w:val="20"/>
    </w:rPr>
  </w:style>
  <w:style w:type="paragraph" w:styleId="1097">
    <w:name w:val="纯文本"/>
    <w:basedOn w:val="1053"/>
    <w:next w:val="1097"/>
    <w:link w:val="1098"/>
    <w:rPr>
      <w:rFonts w:ascii="宋体" w:hAnsi="Courier New" w:eastAsia="宋体"/>
    </w:rPr>
  </w:style>
  <w:style w:type="character" w:styleId="1098">
    <w:name w:val="纯文本 字符"/>
    <w:next w:val="1098"/>
    <w:link w:val="1097"/>
    <w:rPr>
      <w:rFonts w:ascii="宋体" w:hAnsi="Courier New" w:eastAsia="宋体" w:cs="Times New Roman"/>
      <w:sz w:val="21"/>
      <w:lang w:val="en-US" w:eastAsia="zh-CN" w:bidi="ar-SA"/>
    </w:rPr>
  </w:style>
  <w:style w:type="paragraph" w:styleId="1099">
    <w:name w:val="目录 8"/>
    <w:basedOn w:val="1053"/>
    <w:next w:val="1053"/>
    <w:link w:val="1053"/>
    <w:pPr>
      <w:ind w:left="1960"/>
      <w:jc w:val="left"/>
      <w:spacing w:before="0" w:after="0"/>
    </w:pPr>
    <w:rPr>
      <w:rFonts w:ascii="Calibri" w:hAnsi="Calibri" w:eastAsia="宋体" w:cs="Times New Roman"/>
      <w:sz w:val="18"/>
      <w:szCs w:val="18"/>
    </w:rPr>
  </w:style>
  <w:style w:type="paragraph" w:styleId="1100">
    <w:name w:val="索引 3"/>
    <w:basedOn w:val="1053"/>
    <w:next w:val="1053"/>
    <w:link w:val="1053"/>
    <w:pPr>
      <w:ind w:left="840"/>
    </w:pPr>
    <w:rPr>
      <w:rFonts w:ascii="Times New Roman" w:hAnsi="Times New Roman" w:eastAsia="宋体" w:cs="Times New Roman"/>
    </w:rPr>
  </w:style>
  <w:style w:type="paragraph" w:styleId="1101">
    <w:name w:val="日期"/>
    <w:basedOn w:val="1053"/>
    <w:next w:val="1053"/>
    <w:link w:val="1053"/>
    <w:pPr>
      <w:ind w:left="100"/>
    </w:pPr>
    <w:rPr>
      <w:rFonts w:ascii="Times New Roman" w:hAnsi="Times New Roman" w:eastAsia="宋体" w:cs="Times New Roman"/>
      <w:sz w:val="28"/>
    </w:rPr>
  </w:style>
  <w:style w:type="paragraph" w:styleId="1102">
    <w:name w:val="正文文本缩进 2"/>
    <w:basedOn w:val="1053"/>
    <w:next w:val="1102"/>
    <w:link w:val="1103"/>
    <w:pPr>
      <w:ind w:left="630" w:firstLine="645"/>
    </w:pPr>
    <w:rPr>
      <w:rFonts w:ascii="Arial" w:hAnsi="Arial" w:eastAsia="仿宋_GB2312"/>
      <w:sz w:val="32"/>
    </w:rPr>
  </w:style>
  <w:style w:type="character" w:styleId="1103">
    <w:name w:val="正文文本缩进 2 字符"/>
    <w:next w:val="1103"/>
    <w:link w:val="1102"/>
    <w:rPr>
      <w:rFonts w:ascii="Arial" w:hAnsi="Arial" w:eastAsia="仿宋_GB2312" w:cs="Times New Roman"/>
      <w:sz w:val="32"/>
      <w:lang w:val="en-US" w:eastAsia="zh-CN" w:bidi="ar-SA"/>
    </w:rPr>
  </w:style>
  <w:style w:type="paragraph" w:styleId="1104">
    <w:name w:val="尾注文本"/>
    <w:basedOn w:val="1053"/>
    <w:next w:val="1104"/>
    <w:link w:val="1053"/>
    <w:pPr>
      <w:jc w:val="left"/>
    </w:pPr>
    <w:rPr>
      <w:rFonts w:ascii="Times New Roman" w:hAnsi="Times New Roman" w:eastAsia="宋体" w:cs="Times New Roman"/>
      <w:sz w:val="20"/>
      <w:szCs w:val="24"/>
    </w:rPr>
  </w:style>
  <w:style w:type="paragraph" w:styleId="1105">
    <w:name w:val="批注框文本"/>
    <w:basedOn w:val="1053"/>
    <w:next w:val="1105"/>
    <w:link w:val="1053"/>
    <w:rPr>
      <w:rFonts w:ascii="Times New Roman" w:hAnsi="Times New Roman" w:eastAsia="宋体" w:cs="Times New Roman"/>
      <w:sz w:val="18"/>
      <w:szCs w:val="18"/>
    </w:rPr>
  </w:style>
  <w:style w:type="paragraph" w:styleId="1106">
    <w:name w:val="页脚"/>
    <w:basedOn w:val="1053"/>
    <w:next w:val="1106"/>
    <w:link w:val="1107"/>
    <w:pPr>
      <w:jc w:val="left"/>
      <w:tabs>
        <w:tab w:val="center" w:pos="4153" w:leader="none"/>
        <w:tab w:val="right" w:pos="8306" w:leader="none"/>
      </w:tabs>
    </w:pPr>
    <w:rPr>
      <w:rFonts w:eastAsia="宋体"/>
      <w:sz w:val="18"/>
    </w:rPr>
  </w:style>
  <w:style w:type="character" w:styleId="1107">
    <w:name w:val="页脚 字符"/>
    <w:next w:val="1107"/>
    <w:link w:val="1106"/>
    <w:rPr>
      <w:rFonts w:ascii="Times New Roman" w:hAnsi="Times New Roman" w:eastAsia="宋体" w:cs="Times New Roman"/>
      <w:sz w:val="18"/>
    </w:rPr>
  </w:style>
  <w:style w:type="paragraph" w:styleId="1108">
    <w:name w:val="寄信人地址"/>
    <w:basedOn w:val="1053"/>
    <w:next w:val="1108"/>
    <w:link w:val="1053"/>
    <w:rPr>
      <w:rFonts w:ascii="Arial" w:hAnsi="Arial" w:eastAsia="宋体" w:cs="Times New Roman"/>
    </w:rPr>
  </w:style>
  <w:style w:type="paragraph" w:styleId="1109">
    <w:name w:val="页眉"/>
    <w:basedOn w:val="1053"/>
    <w:next w:val="1109"/>
    <w:link w:val="1053"/>
    <w:pPr>
      <w:jc w:val="center"/>
      <w:tabs>
        <w:tab w:val="center" w:pos="4153" w:leader="none"/>
        <w:tab w:val="right" w:pos="8306" w:leader="none"/>
      </w:tabs>
      <w:pBdr>
        <w:bottom w:val="single" w:color="000000" w:sz="6" w:space="1"/>
      </w:pBdr>
    </w:pPr>
    <w:rPr>
      <w:rFonts w:ascii="Times New Roman" w:hAnsi="Times New Roman" w:eastAsia="宋体" w:cs="Times New Roman"/>
      <w:sz w:val="18"/>
    </w:rPr>
  </w:style>
  <w:style w:type="paragraph" w:styleId="1110">
    <w:name w:val="签名"/>
    <w:basedOn w:val="1053"/>
    <w:next w:val="1110"/>
    <w:link w:val="1053"/>
    <w:pPr>
      <w:jc w:val="center"/>
      <w:spacing w:after="600" w:line="312" w:lineRule="atLeast"/>
    </w:pPr>
    <w:rPr>
      <w:rFonts w:ascii="Times New Roman" w:hAnsi="Times New Roman" w:eastAsia="仿宋_GB2312" w:cs="Times New Roman"/>
      <w:sz w:val="24"/>
    </w:rPr>
  </w:style>
  <w:style w:type="paragraph" w:styleId="1111">
    <w:name w:val="目录 1"/>
    <w:basedOn w:val="1053"/>
    <w:next w:val="1053"/>
    <w:link w:val="1053"/>
    <w:pPr>
      <w:jc w:val="left"/>
    </w:pPr>
    <w:rPr>
      <w:rFonts w:ascii="Calibri" w:hAnsi="Calibri" w:eastAsia="宋体" w:cs="Times New Roman"/>
      <w:b/>
      <w:bCs/>
      <w:caps/>
      <w:sz w:val="20"/>
    </w:rPr>
  </w:style>
  <w:style w:type="paragraph" w:styleId="1112">
    <w:name w:val="目录 4"/>
    <w:basedOn w:val="1053"/>
    <w:next w:val="1053"/>
    <w:link w:val="1053"/>
    <w:pPr>
      <w:ind w:left="840"/>
      <w:jc w:val="left"/>
      <w:spacing w:before="0" w:after="0"/>
    </w:pPr>
    <w:rPr>
      <w:rFonts w:ascii="Calibri" w:hAnsi="Calibri" w:eastAsia="宋体" w:cs="Times New Roman"/>
      <w:sz w:val="18"/>
      <w:szCs w:val="18"/>
    </w:rPr>
  </w:style>
  <w:style w:type="paragraph" w:styleId="1113">
    <w:name w:val="索引标题"/>
    <w:basedOn w:val="1053"/>
    <w:next w:val="1114"/>
    <w:link w:val="1053"/>
    <w:rPr>
      <w:rFonts w:ascii="Times New Roman" w:hAnsi="Times New Roman" w:eastAsia="宋体" w:cs="Times New Roman"/>
    </w:rPr>
  </w:style>
  <w:style w:type="paragraph" w:styleId="1114">
    <w:name w:val="索引 1"/>
    <w:basedOn w:val="1053"/>
    <w:next w:val="1053"/>
    <w:link w:val="1053"/>
    <w:rPr>
      <w:rFonts w:ascii="仿宋_GB2312" w:hAnsi="宋体" w:eastAsia="仿宋_GB2312" w:cs="Times New Roman"/>
      <w:sz w:val="30"/>
      <w:szCs w:val="24"/>
    </w:rPr>
  </w:style>
  <w:style w:type="paragraph" w:styleId="1115">
    <w:name w:val="副标题"/>
    <w:basedOn w:val="1053"/>
    <w:next w:val="1053"/>
    <w:link w:val="1053"/>
    <w:qFormat/>
    <w:pPr>
      <w:jc w:val="left"/>
      <w:spacing w:after="600" w:line="276" w:lineRule="auto"/>
      <w:widowControl/>
    </w:pPr>
    <w:rPr>
      <w:rFonts w:ascii="Cambria" w:hAnsi="Cambria" w:eastAsia="宋体" w:cs="Times New Roman"/>
      <w:i/>
      <w:iCs/>
      <w:spacing w:val="13"/>
      <w:sz w:val="24"/>
      <w:szCs w:val="24"/>
      <w:lang w:eastAsia="en-US" w:bidi="en-US"/>
    </w:rPr>
  </w:style>
  <w:style w:type="paragraph" w:styleId="1116">
    <w:name w:val="脚注文本"/>
    <w:basedOn w:val="1053"/>
    <w:next w:val="1116"/>
    <w:link w:val="1053"/>
    <w:pPr>
      <w:jc w:val="left"/>
    </w:pPr>
    <w:rPr>
      <w:rFonts w:ascii="Times New Roman" w:hAnsi="Times New Roman" w:eastAsia="宋体" w:cs="Times New Roman"/>
      <w:sz w:val="18"/>
      <w:szCs w:val="18"/>
    </w:rPr>
  </w:style>
  <w:style w:type="paragraph" w:styleId="1117">
    <w:name w:val="目录 6"/>
    <w:basedOn w:val="1053"/>
    <w:next w:val="1053"/>
    <w:link w:val="1053"/>
    <w:pPr>
      <w:ind w:left="1400"/>
      <w:jc w:val="left"/>
      <w:spacing w:before="0" w:after="0"/>
    </w:pPr>
    <w:rPr>
      <w:rFonts w:ascii="Calibri" w:hAnsi="Calibri" w:eastAsia="宋体" w:cs="Times New Roman"/>
      <w:sz w:val="18"/>
      <w:szCs w:val="18"/>
    </w:rPr>
  </w:style>
  <w:style w:type="paragraph" w:styleId="1118">
    <w:name w:val="正文文本缩进 3"/>
    <w:basedOn w:val="1053"/>
    <w:next w:val="1118"/>
    <w:link w:val="1119"/>
    <w:pPr>
      <w:ind w:left="645" w:firstLine="645"/>
    </w:pPr>
    <w:rPr>
      <w:rFonts w:ascii="Arial" w:hAnsi="Arial" w:eastAsia="仿宋_GB2312"/>
      <w:color w:val="ffff00"/>
      <w:sz w:val="32"/>
    </w:rPr>
  </w:style>
  <w:style w:type="character" w:styleId="1119">
    <w:name w:val="正文文本缩进 3 字符"/>
    <w:next w:val="1119"/>
    <w:link w:val="1118"/>
    <w:rPr>
      <w:rFonts w:ascii="Arial" w:hAnsi="Arial" w:eastAsia="仿宋_GB2312" w:cs="Times New Roman"/>
      <w:color w:val="ffff00"/>
      <w:sz w:val="32"/>
      <w:lang w:val="en-US" w:eastAsia="zh-CN" w:bidi="ar-SA"/>
    </w:rPr>
  </w:style>
  <w:style w:type="paragraph" w:styleId="1120">
    <w:name w:val="索引 7"/>
    <w:basedOn w:val="1053"/>
    <w:next w:val="1053"/>
    <w:link w:val="1053"/>
    <w:pPr>
      <w:ind w:left="2520"/>
    </w:pPr>
    <w:rPr>
      <w:rFonts w:ascii="Times New Roman" w:hAnsi="Times New Roman" w:eastAsia="宋体" w:cs="Times New Roman"/>
    </w:rPr>
  </w:style>
  <w:style w:type="paragraph" w:styleId="1121">
    <w:name w:val="索引 9"/>
    <w:basedOn w:val="1053"/>
    <w:next w:val="1053"/>
    <w:link w:val="1053"/>
    <w:pPr>
      <w:ind w:left="3360"/>
    </w:pPr>
    <w:rPr>
      <w:rFonts w:ascii="Times New Roman" w:hAnsi="Times New Roman" w:eastAsia="宋体" w:cs="Times New Roman"/>
    </w:rPr>
  </w:style>
  <w:style w:type="paragraph" w:styleId="1122">
    <w:name w:val="图表目录"/>
    <w:basedOn w:val="1053"/>
    <w:next w:val="1053"/>
    <w:link w:val="1053"/>
    <w:pPr>
      <w:ind w:left="840" w:hanging="420"/>
    </w:pPr>
    <w:rPr>
      <w:rFonts w:ascii="Times New Roman" w:hAnsi="Times New Roman" w:eastAsia="宋体" w:cs="Times New Roman"/>
    </w:rPr>
  </w:style>
  <w:style w:type="paragraph" w:styleId="1123">
    <w:name w:val="目录 2"/>
    <w:basedOn w:val="1053"/>
    <w:next w:val="1053"/>
    <w:link w:val="1053"/>
    <w:pPr>
      <w:ind w:left="280"/>
      <w:jc w:val="left"/>
      <w:spacing w:before="0" w:after="0"/>
    </w:pPr>
    <w:rPr>
      <w:rFonts w:ascii="Calibri" w:hAnsi="Calibri" w:eastAsia="宋体" w:cs="Times New Roman"/>
      <w:smallCaps/>
      <w:sz w:val="20"/>
    </w:rPr>
  </w:style>
  <w:style w:type="paragraph" w:styleId="1124">
    <w:name w:val="目录 9"/>
    <w:basedOn w:val="1053"/>
    <w:next w:val="1053"/>
    <w:link w:val="1053"/>
    <w:pPr>
      <w:ind w:left="2240"/>
      <w:jc w:val="left"/>
      <w:spacing w:before="0" w:after="0"/>
    </w:pPr>
    <w:rPr>
      <w:rFonts w:ascii="Calibri" w:hAnsi="Calibri" w:eastAsia="宋体" w:cs="Times New Roman"/>
      <w:sz w:val="18"/>
      <w:szCs w:val="18"/>
    </w:rPr>
  </w:style>
  <w:style w:type="paragraph" w:styleId="1125">
    <w:name w:val="正文文本 2"/>
    <w:basedOn w:val="1053"/>
    <w:next w:val="1125"/>
    <w:link w:val="1053"/>
    <w:pPr>
      <w:jc w:val="center"/>
      <w:widowControl/>
    </w:pPr>
    <w:rPr>
      <w:rFonts w:ascii="楷体_GB2312" w:hAnsi="Times New Roman" w:eastAsia="楷体_GB2312" w:cs="Times New Roman"/>
      <w:sz w:val="28"/>
    </w:rPr>
  </w:style>
  <w:style w:type="paragraph" w:styleId="1126">
    <w:name w:val="HTML 预设格式"/>
    <w:basedOn w:val="1053"/>
    <w:next w:val="1126"/>
    <w:link w:val="1127"/>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0"/>
    </w:rPr>
  </w:style>
  <w:style w:type="character" w:styleId="1127">
    <w:name w:val="HTML 预设格式 字符"/>
    <w:next w:val="1127"/>
    <w:link w:val="1126"/>
    <w:rPr>
      <w:rFonts w:ascii="黑体" w:hAnsi="Courier New" w:eastAsia="黑体" w:cs="Courier New"/>
      <w:lang w:val="en-US" w:eastAsia="zh-CN" w:bidi="ar-SA"/>
    </w:rPr>
  </w:style>
  <w:style w:type="paragraph" w:styleId="1128">
    <w:name w:val="普通(网站)"/>
    <w:basedOn w:val="1053"/>
    <w:next w:val="1128"/>
    <w:link w:val="1053"/>
    <w:pPr>
      <w:jc w:val="left"/>
      <w:spacing w:before="100" w:beforeAutospacing="1" w:after="100" w:afterAutospacing="1"/>
      <w:widowControl/>
    </w:pPr>
    <w:rPr>
      <w:rFonts w:ascii="Arial" w:hAnsi="Arial" w:eastAsia="Arial Unicode MS" w:cs="Arial"/>
      <w:sz w:val="24"/>
      <w:szCs w:val="24"/>
    </w:rPr>
  </w:style>
  <w:style w:type="paragraph" w:styleId="1129">
    <w:name w:val="索引 2"/>
    <w:basedOn w:val="1053"/>
    <w:next w:val="1053"/>
    <w:link w:val="1053"/>
    <w:pPr>
      <w:ind w:left="420"/>
    </w:pPr>
    <w:rPr>
      <w:rFonts w:ascii="Times New Roman" w:hAnsi="Times New Roman" w:eastAsia="宋体" w:cs="Times New Roman"/>
    </w:rPr>
  </w:style>
  <w:style w:type="paragraph" w:styleId="1130">
    <w:name w:val="标题"/>
    <w:basedOn w:val="1053"/>
    <w:next w:val="1130"/>
    <w:link w:val="1131"/>
    <w:qFormat/>
    <w:pPr>
      <w:jc w:val="center"/>
      <w:spacing w:line="480" w:lineRule="auto"/>
      <w:widowControl/>
    </w:pPr>
    <w:rPr>
      <w:rFonts w:ascii="微软雅黑" w:hAnsi="微软雅黑"/>
      <w:sz w:val="36"/>
      <w:szCs w:val="24"/>
      <w:lang w:val="zh-CN"/>
    </w:rPr>
  </w:style>
  <w:style w:type="character" w:styleId="1131">
    <w:name w:val="标题 字符"/>
    <w:next w:val="1131"/>
    <w:link w:val="1130"/>
    <w:rPr>
      <w:rFonts w:ascii="微软雅黑" w:hAnsi="微软雅黑" w:eastAsia="微软雅黑" w:cs="Times New Roman"/>
      <w:sz w:val="36"/>
      <w:szCs w:val="24"/>
      <w:lang w:val="zh-CN"/>
    </w:rPr>
  </w:style>
  <w:style w:type="paragraph" w:styleId="1132">
    <w:name w:val="批注主题"/>
    <w:basedOn w:val="1085"/>
    <w:next w:val="1085"/>
    <w:link w:val="1133"/>
    <w:rPr>
      <w:rFonts w:ascii="Times New Roman" w:hAnsi="Times New Roman" w:eastAsia="宋体"/>
      <w:b/>
      <w:bCs/>
    </w:rPr>
  </w:style>
  <w:style w:type="character" w:styleId="1133">
    <w:name w:val="批注主题 字符"/>
    <w:next w:val="1133"/>
    <w:link w:val="1132"/>
    <w:rPr>
      <w:rFonts w:ascii="Times New Roman" w:hAnsi="Times New Roman" w:eastAsia="宋体" w:cs="Times New Roman"/>
      <w:b/>
      <w:bCs/>
      <w:sz w:val="21"/>
      <w:lang w:val="en-US" w:eastAsia="zh-CN" w:bidi="ar-SA"/>
    </w:rPr>
  </w:style>
  <w:style w:type="paragraph" w:styleId="1134">
    <w:name w:val="正文首行缩进"/>
    <w:basedOn w:val="1090"/>
    <w:next w:val="1135"/>
    <w:link w:val="1053"/>
    <w:pPr>
      <w:ind w:firstLine="420"/>
      <w:spacing w:after="120"/>
    </w:pPr>
    <w:rPr>
      <w:rFonts w:ascii="Times New Roman" w:hAnsi="Times New Roman" w:eastAsia="宋体" w:cs="Times New Roman"/>
      <w:sz w:val="21"/>
      <w:szCs w:val="24"/>
    </w:rPr>
  </w:style>
  <w:style w:type="paragraph" w:styleId="1135">
    <w:name w:val="正文首行缩进 2"/>
    <w:basedOn w:val="1091"/>
    <w:next w:val="1135"/>
    <w:link w:val="1053"/>
    <w:pPr>
      <w:ind w:left="420" w:firstLine="420"/>
      <w:spacing w:after="120" w:line="240" w:lineRule="auto"/>
    </w:pPr>
    <w:rPr>
      <w:rFonts w:ascii="Times New Roman" w:hAnsi="Times New Roman" w:eastAsia="宋体" w:cs="Times New Roman"/>
      <w:sz w:val="21"/>
    </w:rPr>
  </w:style>
  <w:style w:type="table" w:styleId="1136">
    <w:name w:val="网格型"/>
    <w:basedOn w:val="1064"/>
    <w:next w:val="1136"/>
    <w:link w:val="1053"/>
    <w:pPr>
      <w:jc w:val="both"/>
      <w:widowControl w:val="off"/>
    </w:pPr>
    <w:rPr>
      <w:rFonts w:ascii="Times New Roman" w:hAnsi="Times New Roman" w:eastAsia="宋体" w:cs="Times New Roman"/>
    </w:rPr>
    <w:tblPr/>
  </w:style>
  <w:style w:type="character" w:styleId="1137">
    <w:name w:val="要点"/>
    <w:next w:val="1137"/>
    <w:link w:val="1053"/>
    <w:qFormat/>
    <w:rPr>
      <w:rFonts w:ascii="Times New Roman" w:hAnsi="Times New Roman" w:eastAsia="宋体" w:cs="Times New Roman"/>
      <w:b/>
      <w:bCs/>
    </w:rPr>
  </w:style>
  <w:style w:type="character" w:styleId="1138">
    <w:name w:val="尾注引用"/>
    <w:next w:val="1138"/>
    <w:link w:val="1053"/>
    <w:rPr>
      <w:rFonts w:ascii="Times New Roman" w:hAnsi="Times New Roman" w:eastAsia="宋体" w:cs="Times New Roman"/>
      <w:b w:val="0"/>
      <w:bCs w:val="0"/>
      <w:i w:val="0"/>
      <w:iCs w:val="0"/>
      <w:vertAlign w:val="superscript"/>
    </w:rPr>
  </w:style>
  <w:style w:type="character" w:styleId="1139">
    <w:name w:val="页码"/>
    <w:next w:val="1139"/>
    <w:link w:val="1053"/>
    <w:rPr>
      <w:rFonts w:ascii="Times New Roman" w:hAnsi="Times New Roman" w:eastAsia="宋体" w:cs="Times New Roman"/>
    </w:rPr>
  </w:style>
  <w:style w:type="character" w:styleId="1140">
    <w:name w:val="已访问的超链接"/>
    <w:next w:val="1140"/>
    <w:link w:val="1053"/>
    <w:rPr>
      <w:rFonts w:ascii="Times New Roman" w:hAnsi="Times New Roman" w:eastAsia="宋体" w:cs="Times New Roman"/>
      <w:color w:val="0076be"/>
      <w:u w:val="none"/>
    </w:rPr>
  </w:style>
  <w:style w:type="character" w:styleId="1141">
    <w:name w:val="强调"/>
    <w:next w:val="1141"/>
    <w:link w:val="1053"/>
    <w:qFormat/>
    <w:rPr>
      <w:rFonts w:ascii="Times New Roman" w:hAnsi="Times New Roman" w:eastAsia="宋体" w:cs="Times New Roman"/>
      <w:b/>
      <w:bCs/>
      <w:i/>
      <w:iCs/>
      <w:spacing w:val="10"/>
      <w:shd w:val="clear" w:color="auto" w:fill="auto"/>
    </w:rPr>
  </w:style>
  <w:style w:type="character" w:styleId="1142">
    <w:name w:val="行号"/>
    <w:next w:val="1142"/>
    <w:link w:val="1053"/>
    <w:rPr>
      <w:rFonts w:ascii="Times New Roman" w:hAnsi="Times New Roman" w:eastAsia="宋体" w:cs="Times New Roman"/>
    </w:rPr>
  </w:style>
  <w:style w:type="character" w:styleId="1143">
    <w:name w:val="HTML 定义"/>
    <w:next w:val="1143"/>
    <w:link w:val="1053"/>
    <w:rPr>
      <w:rFonts w:ascii="Times New Roman" w:hAnsi="Times New Roman" w:eastAsia="宋体" w:cs="Times New Roman"/>
      <w:b w:val="0"/>
      <w:i w:val="0"/>
    </w:rPr>
  </w:style>
  <w:style w:type="character" w:styleId="1144">
    <w:name w:val="HTML 打字机"/>
    <w:next w:val="1144"/>
    <w:link w:val="1053"/>
    <w:rPr>
      <w:rFonts w:ascii="宋体" w:hAnsi="宋体" w:eastAsia="宋体" w:cs="宋体"/>
      <w:b w:val="0"/>
      <w:bCs w:val="0"/>
      <w:i w:val="0"/>
      <w:iCs w:val="0"/>
      <w:sz w:val="24"/>
      <w:szCs w:val="24"/>
    </w:rPr>
  </w:style>
  <w:style w:type="character" w:styleId="1145">
    <w:name w:val="HTML 缩写"/>
    <w:next w:val="1145"/>
    <w:link w:val="1053"/>
    <w:rPr>
      <w:rFonts w:ascii="Times New Roman" w:hAnsi="Times New Roman" w:eastAsia="宋体" w:cs="Times New Roman"/>
    </w:rPr>
  </w:style>
  <w:style w:type="character" w:styleId="1146">
    <w:name w:val="HTML 变量"/>
    <w:next w:val="1146"/>
    <w:link w:val="1053"/>
    <w:rPr>
      <w:rFonts w:ascii="Times New Roman" w:hAnsi="Times New Roman" w:eastAsia="宋体" w:cs="Times New Roman"/>
      <w:b w:val="0"/>
      <w:i w:val="0"/>
    </w:rPr>
  </w:style>
  <w:style w:type="character" w:styleId="1147">
    <w:name w:val="超链接"/>
    <w:next w:val="1147"/>
    <w:link w:val="1053"/>
    <w:rPr>
      <w:rFonts w:ascii="Times New Roman" w:hAnsi="Times New Roman" w:eastAsia="宋体" w:cs="Times New Roman"/>
      <w:color w:val="0076be"/>
      <w:u w:val="none"/>
    </w:rPr>
  </w:style>
  <w:style w:type="character" w:styleId="1148">
    <w:name w:val="HTML 代码"/>
    <w:next w:val="1148"/>
    <w:link w:val="1053"/>
    <w:rPr>
      <w:rFonts w:ascii="Courier New" w:hAnsi="Courier New" w:eastAsia="宋体" w:cs="Times New Roman"/>
      <w:b w:val="0"/>
      <w:i w:val="0"/>
      <w:sz w:val="20"/>
    </w:rPr>
  </w:style>
  <w:style w:type="character" w:styleId="1149">
    <w:name w:val="批注引用"/>
    <w:next w:val="1149"/>
    <w:link w:val="1053"/>
    <w:rPr>
      <w:rFonts w:ascii="Times New Roman" w:hAnsi="Times New Roman" w:eastAsia="宋体" w:cs="Times New Roman"/>
      <w:sz w:val="21"/>
    </w:rPr>
  </w:style>
  <w:style w:type="character" w:styleId="1150">
    <w:name w:val="HTML 引文"/>
    <w:next w:val="1150"/>
    <w:link w:val="1053"/>
    <w:rPr>
      <w:rFonts w:ascii="Times New Roman" w:hAnsi="Times New Roman" w:eastAsia="宋体" w:cs="Times New Roman"/>
      <w:b w:val="0"/>
      <w:i w:val="0"/>
    </w:rPr>
  </w:style>
  <w:style w:type="character" w:styleId="1151">
    <w:name w:val="脚注引用"/>
    <w:next w:val="1151"/>
    <w:link w:val="1053"/>
    <w:rPr>
      <w:rFonts w:ascii="Times New Roman" w:hAnsi="Times New Roman" w:eastAsia="宋体" w:cs="Times New Roman"/>
      <w:vertAlign w:val="superscript"/>
    </w:rPr>
  </w:style>
  <w:style w:type="character" w:styleId="1152">
    <w:name w:val="HTML 样本"/>
    <w:next w:val="1152"/>
    <w:link w:val="1053"/>
    <w:rPr>
      <w:rFonts w:ascii="Courier New" w:hAnsi="宋体" w:eastAsia="宋体" w:cs="Courier New"/>
      <w:b w:val="0"/>
      <w:bCs w:val="0"/>
      <w:i w:val="0"/>
      <w:iCs w:val="0"/>
    </w:rPr>
  </w:style>
  <w:style w:type="paragraph" w:styleId="1153">
    <w:name w:val="BodyText1I1"/>
    <w:basedOn w:val="1154"/>
    <w:next w:val="1053"/>
    <w:link w:val="1053"/>
    <w:qFormat/>
    <w:pPr>
      <w:ind w:firstLine="420"/>
      <w:spacing w:after="120"/>
    </w:pPr>
    <w:rPr>
      <w:sz w:val="24"/>
    </w:rPr>
  </w:style>
  <w:style w:type="paragraph" w:styleId="1154">
    <w:name w:val="BodyText1"/>
    <w:basedOn w:val="1053"/>
    <w:next w:val="1154"/>
    <w:link w:val="1053"/>
    <w:qFormat/>
    <w:rPr>
      <w:sz w:val="32"/>
    </w:rPr>
  </w:style>
  <w:style w:type="paragraph" w:styleId="1155">
    <w:name w:val="Default"/>
    <w:next w:val="1155"/>
    <w:link w:val="1053"/>
    <w:pPr>
      <w:widowControl w:val="off"/>
    </w:pPr>
    <w:rPr>
      <w:rFonts w:ascii="宋体" w:cs="宋体"/>
      <w:color w:val="000000"/>
      <w:sz w:val="24"/>
      <w:szCs w:val="24"/>
      <w:lang w:val="en-US" w:eastAsia="zh-CN" w:bidi="ar-SA"/>
    </w:rPr>
  </w:style>
  <w:style w:type="paragraph" w:styleId="1156">
    <w:name w:val="一级条标题"/>
    <w:basedOn w:val="1157"/>
    <w:next w:val="1158"/>
    <w:link w:val="1053"/>
    <w:qFormat/>
    <w:pPr>
      <w:outlineLvl w:val="2"/>
    </w:pPr>
    <w:rPr>
      <w:rFonts w:ascii="Calibri" w:hAnsi="Calibri" w:eastAsia="黑体" w:cs="Times New Roman"/>
      <w:sz w:val="21"/>
      <w:szCs w:val="21"/>
      <w:lang w:val="en-US" w:eastAsia="zh-CN" w:bidi="ar-SA"/>
    </w:rPr>
  </w:style>
  <w:style w:type="paragraph" w:styleId="1157">
    <w:name w:val="章标题"/>
    <w:next w:val="1158"/>
    <w:link w:val="1053"/>
    <w:pPr>
      <w:jc w:val="both"/>
      <w:spacing w:before="156" w:after="156"/>
      <w:outlineLvl w:val="1"/>
    </w:pPr>
    <w:rPr>
      <w:rFonts w:eastAsia="黑体"/>
      <w:sz w:val="21"/>
      <w:lang w:val="en-US" w:eastAsia="zh-CN" w:bidi="ar-SA"/>
    </w:rPr>
  </w:style>
  <w:style w:type="paragraph" w:styleId="1158">
    <w:name w:val="段"/>
    <w:next w:val="1053"/>
    <w:link w:val="1053"/>
    <w:pPr>
      <w:ind w:firstLine="200"/>
      <w:jc w:val="both"/>
    </w:pPr>
    <w:rPr>
      <w:rFonts w:ascii="宋体"/>
      <w:sz w:val="21"/>
      <w:lang w:val="en-US" w:eastAsia="zh-CN" w:bidi="ar-SA"/>
    </w:rPr>
  </w:style>
  <w:style w:type="paragraph" w:styleId="1159">
    <w:name w:val="[Normal]"/>
    <w:next w:val="1159"/>
    <w:link w:val="1053"/>
    <w:rPr>
      <w:rFonts w:ascii="方正仿宋简体" w:hAnsi="方正仿宋简体" w:eastAsia="方正仿宋简体" w:cs="Courier New"/>
      <w:sz w:val="24"/>
      <w:szCs w:val="22"/>
      <w:lang w:val="zh-CN" w:eastAsia="zh-CN" w:bidi="ar-SA"/>
    </w:rPr>
  </w:style>
  <w:style w:type="character" w:styleId="1160">
    <w:name w:val="font01"/>
    <w:next w:val="1160"/>
    <w:link w:val="1053"/>
    <w:rPr>
      <w:rFonts w:hint="eastAsia" w:ascii="宋体" w:hAnsi="宋体" w:eastAsia="宋体" w:cs="宋体"/>
      <w:color w:val="000000"/>
      <w:sz w:val="22"/>
      <w:szCs w:val="22"/>
      <w:u w:val="none"/>
    </w:rPr>
  </w:style>
  <w:style w:type="character" w:styleId="1161">
    <w:name w:val="书籍标题"/>
    <w:next w:val="1161"/>
    <w:link w:val="1053"/>
    <w:qFormat/>
    <w:rPr>
      <w:rFonts w:ascii="Times New Roman" w:hAnsi="Times New Roman" w:eastAsia="宋体" w:cs="Times New Roman"/>
      <w:i/>
      <w:iCs/>
      <w:smallCaps/>
      <w:spacing w:val="5"/>
    </w:rPr>
  </w:style>
  <w:style w:type="character" w:styleId="1162">
    <w:name w:val="纯文本 Char Char Char1"/>
    <w:next w:val="1162"/>
    <w:link w:val="1053"/>
    <w:rPr>
      <w:rFonts w:ascii="宋体" w:hAnsi="Courier New" w:eastAsia="宋体" w:cs="Times New Roman"/>
      <w:sz w:val="21"/>
      <w:szCs w:val="21"/>
      <w:lang w:val="en-US" w:eastAsia="zh-CN" w:bidi="ar-SA"/>
    </w:rPr>
  </w:style>
  <w:style w:type="character" w:styleId="1163">
    <w:name w:val="纯文本 Char1"/>
    <w:next w:val="1163"/>
    <w:link w:val="1053"/>
    <w:rPr>
      <w:rFonts w:ascii="宋体" w:hAnsi="Courier New" w:eastAsia="宋体" w:cs="Courier New"/>
      <w:sz w:val="21"/>
      <w:szCs w:val="21"/>
    </w:rPr>
  </w:style>
  <w:style w:type="character" w:styleId="1164">
    <w:name w:val="不明显参考"/>
    <w:next w:val="1164"/>
    <w:link w:val="1053"/>
    <w:qFormat/>
    <w:rPr>
      <w:rFonts w:ascii="Times New Roman" w:hAnsi="Times New Roman" w:eastAsia="宋体" w:cs="Times New Roman"/>
      <w:smallCaps/>
    </w:rPr>
  </w:style>
  <w:style w:type="character" w:styleId="1165">
    <w:name w:val="标准小四 Char Char"/>
    <w:next w:val="1165"/>
    <w:link w:val="1053"/>
    <w:rPr>
      <w:rFonts w:ascii="Arial" w:hAnsi="Arial" w:eastAsia="宋体" w:cs="Times New Roman"/>
      <w:sz w:val="24"/>
      <w:szCs w:val="21"/>
      <w:lang w:val="en-US" w:eastAsia="zh-CN" w:bidi="ar-SA"/>
    </w:rPr>
  </w:style>
  <w:style w:type="character" w:styleId="1166">
    <w:name w:val="style131"/>
    <w:next w:val="1166"/>
    <w:link w:val="1053"/>
    <w:rPr>
      <w:rFonts w:ascii="Times New Roman" w:hAnsi="Times New Roman" w:eastAsia="宋体" w:cs="Times New Roman"/>
      <w:sz w:val="18"/>
      <w:szCs w:val="18"/>
    </w:rPr>
  </w:style>
  <w:style w:type="character" w:styleId="1167">
    <w:name w:val=" Char Char24"/>
    <w:next w:val="1167"/>
    <w:link w:val="1053"/>
    <w:rPr>
      <w:rFonts w:ascii="Times New Roman" w:hAnsi="Times New Roman" w:eastAsia="宋体" w:cs="Times New Roman"/>
      <w:b/>
      <w:bCs/>
      <w:sz w:val="28"/>
      <w:szCs w:val="28"/>
    </w:rPr>
  </w:style>
  <w:style w:type="character" w:styleId="1168">
    <w:name w:val=" Char Char23"/>
    <w:next w:val="1168"/>
    <w:link w:val="1053"/>
    <w:rPr>
      <w:rFonts w:ascii="Arial" w:hAnsi="Arial" w:eastAsia="黑体" w:cs="Times New Roman"/>
      <w:b/>
      <w:bCs/>
      <w:sz w:val="24"/>
      <w:szCs w:val="24"/>
    </w:rPr>
  </w:style>
  <w:style w:type="character" w:styleId="1169">
    <w:name w:val="t1"/>
    <w:next w:val="1169"/>
    <w:link w:val="1053"/>
    <w:rPr>
      <w:rFonts w:ascii="Times New Roman" w:hAnsi="Times New Roman" w:eastAsia="宋体" w:cs="Times New Roman"/>
      <w:vanish w:val="0"/>
    </w:rPr>
  </w:style>
  <w:style w:type="character" w:styleId="1170">
    <w:name w:val="concon"/>
    <w:next w:val="1170"/>
    <w:link w:val="1053"/>
    <w:rPr>
      <w:rFonts w:ascii="Times New Roman" w:hAnsi="Times New Roman" w:eastAsia="宋体" w:cs="Times New Roman"/>
      <w:b w:val="0"/>
      <w:bCs w:val="0"/>
      <w:i w:val="0"/>
      <w:iCs w:val="0"/>
    </w:rPr>
  </w:style>
  <w:style w:type="character" w:styleId="1171">
    <w:name w:val="Title1 Char,H1 Char,Normal + Font: Helvetica Char,Bold Char,Space Before 12 pt Char,Not Bold Char,h1 Char,H11 Char,H12 Char,H111 Char,H13 Char,H112 Char,1 Char,h:1 Char,h:1app Char,level 1 Char,Level 1 Head Char,heading 1 Char,Huvudrubrik Char,章 Char"/>
    <w:next w:val="1171"/>
    <w:link w:val="1053"/>
    <w:rPr>
      <w:rFonts w:ascii="Times New Roman" w:hAnsi="Times New Roman" w:eastAsia="宋体" w:cs="Times New Roman"/>
      <w:b/>
      <w:bCs/>
      <w:sz w:val="44"/>
      <w:szCs w:val="44"/>
      <w:lang w:val="en-US" w:eastAsia="zh-CN" w:bidi="ar-SA"/>
    </w:rPr>
  </w:style>
  <w:style w:type="character" w:styleId="1172">
    <w:name w:val=" Char Char25"/>
    <w:next w:val="1172"/>
    <w:link w:val="1053"/>
    <w:rPr>
      <w:rFonts w:ascii="Arial" w:hAnsi="Arial" w:eastAsia="黑体" w:cs="Times New Roman"/>
      <w:b/>
      <w:sz w:val="28"/>
    </w:rPr>
  </w:style>
  <w:style w:type="character" w:styleId="1173">
    <w:name w:val=" Char Char20"/>
    <w:next w:val="1173"/>
    <w:link w:val="1053"/>
    <w:rPr>
      <w:rFonts w:ascii="Arial" w:hAnsi="Arial" w:eastAsia="黑体" w:cs="Times New Roman"/>
      <w:sz w:val="21"/>
      <w:szCs w:val="21"/>
    </w:rPr>
  </w:style>
  <w:style w:type="character" w:styleId="1174">
    <w:name w:val="小四 段落 宋体 Char Char Char Char Char"/>
    <w:next w:val="1174"/>
    <w:link w:val="1053"/>
    <w:rPr>
      <w:rFonts w:ascii="Times New Roman" w:hAnsi="Times New Roman" w:eastAsia="宋体" w:cs="Times New Roman"/>
      <w:sz w:val="24"/>
      <w:szCs w:val="24"/>
      <w:lang w:val="en-US" w:eastAsia="zh-CN" w:bidi="ar-SA"/>
    </w:rPr>
  </w:style>
  <w:style w:type="character" w:styleId="1175">
    <w:name w:val="style13"/>
    <w:next w:val="1175"/>
    <w:link w:val="1053"/>
    <w:rPr>
      <w:rFonts w:ascii="Times New Roman" w:hAnsi="Times New Roman" w:eastAsia="宋体" w:cs="Times New Roman"/>
      <w:sz w:val="18"/>
      <w:szCs w:val="18"/>
    </w:rPr>
  </w:style>
  <w:style w:type="character" w:styleId="1176">
    <w:name w:val="2nd level Char,h2 Char,2 Char,Header 2 Char,l2 Char,Titre2 Char,Head 2 Char,H2 Char,Heading 2 Hidden Char,Heading 2 CCBS Char,heading 2 Char,第一章 标题 2 Char,ISO1 Char,UNDERRUBRIK 1-2 Char,Underrubrik1 Char,prop2 Char,Level 2 Topic Heading Char,H21 Char"/>
    <w:next w:val="1176"/>
    <w:link w:val="1053"/>
    <w:rPr>
      <w:rFonts w:ascii="Arial" w:hAnsi="Arial" w:eastAsia="黑体" w:cs="Times New Roman"/>
      <w:b/>
      <w:bCs/>
      <w:sz w:val="32"/>
      <w:szCs w:val="32"/>
      <w:lang w:val="en-US" w:eastAsia="zh-CN" w:bidi="ar-SA"/>
    </w:rPr>
  </w:style>
  <w:style w:type="character" w:styleId="1177">
    <w:name w:val="l-selected"/>
    <w:next w:val="1177"/>
    <w:link w:val="1053"/>
    <w:rPr>
      <w:rFonts w:ascii="Times New Roman" w:hAnsi="Times New Roman" w:eastAsia="宋体" w:cs="Times New Roman"/>
      <w:color w:val="355686"/>
      <w:shd w:val="clear" w:color="auto" w:fill="ffffff"/>
    </w:rPr>
  </w:style>
  <w:style w:type="character" w:styleId="1178">
    <w:name w:val=" Char Char21"/>
    <w:next w:val="1178"/>
    <w:link w:val="1053"/>
    <w:rPr>
      <w:rFonts w:ascii="Arial" w:hAnsi="Arial" w:eastAsia="黑体" w:cs="Times New Roman"/>
      <w:sz w:val="24"/>
      <w:szCs w:val="24"/>
    </w:rPr>
  </w:style>
  <w:style w:type="character" w:styleId="1179">
    <w:name w:val="content"/>
    <w:next w:val="1179"/>
    <w:link w:val="1053"/>
    <w:rPr>
      <w:rFonts w:ascii="Times New Roman" w:hAnsi="Times New Roman" w:eastAsia="宋体" w:cs="Times New Roman"/>
    </w:rPr>
  </w:style>
  <w:style w:type="character" w:styleId="1180">
    <w:name w:val="l-open"/>
    <w:next w:val="1180"/>
    <w:link w:val="1053"/>
    <w:rPr>
      <w:rFonts w:ascii="Times New Roman" w:hAnsi="Times New Roman" w:eastAsia="宋体" w:cs="Times New Roman"/>
    </w:rPr>
  </w:style>
  <w:style w:type="character" w:styleId="1181">
    <w:name w:val="title_emph1"/>
    <w:next w:val="1181"/>
    <w:link w:val="1053"/>
    <w:rPr>
      <w:rFonts w:ascii="Arial" w:hAnsi="Times New Roman" w:eastAsia="宋体" w:cs="Arial"/>
      <w:b/>
      <w:bCs/>
      <w:i w:val="0"/>
      <w:iCs w:val="0"/>
      <w:sz w:val="18"/>
      <w:szCs w:val="18"/>
    </w:rPr>
  </w:style>
  <w:style w:type="character" w:styleId="1182">
    <w:name w:val="textcontents"/>
    <w:next w:val="1182"/>
    <w:link w:val="1053"/>
    <w:rPr>
      <w:rFonts w:ascii="Times New Roman" w:hAnsi="Times New Roman" w:eastAsia="宋体" w:cs="Times New Roman"/>
    </w:rPr>
  </w:style>
  <w:style w:type="character" w:styleId="1183">
    <w:name w:val="正文 + 宋体 Char,小四 Char,黑色 Char,行距: 1.5 倍行距 Char"/>
    <w:next w:val="1183"/>
    <w:link w:val="1053"/>
    <w:rPr>
      <w:rFonts w:ascii="Times New Roman" w:hAnsi="Times New Roman" w:eastAsia="宋体" w:cs="Times New Roman"/>
      <w:sz w:val="21"/>
      <w:szCs w:val="24"/>
      <w:lang w:val="en-US" w:eastAsia="zh-CN" w:bidi="ar-SA"/>
    </w:rPr>
  </w:style>
  <w:style w:type="character" w:styleId="1184">
    <w:name w:val="param-value"/>
    <w:next w:val="1184"/>
    <w:link w:val="1053"/>
    <w:rPr>
      <w:rFonts w:ascii="Times New Roman" w:hAnsi="Times New Roman" w:eastAsia="宋体" w:cs="Times New Roman"/>
    </w:rPr>
  </w:style>
  <w:style w:type="character" w:styleId="1185">
    <w:name w:val=" Char Char2"/>
    <w:next w:val="1185"/>
    <w:link w:val="1053"/>
    <w:rPr>
      <w:rFonts w:ascii="宋体" w:hAnsi="Courier New" w:eastAsia="宋体" w:cs="Times New Roman"/>
      <w:sz w:val="21"/>
      <w:szCs w:val="21"/>
      <w:lang w:val="en-US" w:eastAsia="zh-CN" w:bidi="ar-SA"/>
    </w:rPr>
  </w:style>
  <w:style w:type="character" w:styleId="1186">
    <w:name w:val="小四 段落 宋体 Char Char Char Char1"/>
    <w:next w:val="1186"/>
    <w:link w:val="1053"/>
    <w:rPr>
      <w:rFonts w:ascii="Times New Roman" w:hAnsi="Times New Roman" w:eastAsia="宋体" w:cs="Times New Roman"/>
      <w:sz w:val="24"/>
      <w:szCs w:val="24"/>
      <w:lang w:val="en-US" w:eastAsia="zh-CN" w:bidi="ar-SA"/>
    </w:rPr>
  </w:style>
  <w:style w:type="character" w:styleId="1187">
    <w:name w:val=" Char Char28"/>
    <w:next w:val="1187"/>
    <w:link w:val="1053"/>
    <w:rPr>
      <w:rFonts w:ascii="Arial" w:hAnsi="Arial" w:eastAsia="黑体" w:cs="Arial"/>
      <w:b/>
      <w:bCs/>
      <w:sz w:val="32"/>
      <w:szCs w:val="32"/>
    </w:rPr>
  </w:style>
  <w:style w:type="character" w:styleId="1188">
    <w:name w:val="普通文字1 Char,普通文字2 Char,普通文字3 Char,普通文字4 Char,普通文字5 Char,普通文字6 Char,普通文字11 Char,普通文字21 Char,普通文字31 Char,普通文字41 Char,普通文字7 Char Char,普通文字 Char1,普通文字 Char Char"/>
    <w:next w:val="1188"/>
    <w:link w:val="1053"/>
    <w:rPr>
      <w:rFonts w:ascii="宋体" w:hAnsi="Times New Roman" w:eastAsia="宋体" w:cs="Times New Roman"/>
      <w:b w:val="0"/>
      <w:bCs w:val="0"/>
      <w:i w:val="0"/>
      <w:iCs w:val="0"/>
      <w:sz w:val="21"/>
      <w:szCs w:val="21"/>
      <w:lang w:val="en-US" w:eastAsia="zh-CN" w:bidi="ar-SA"/>
    </w:rPr>
  </w:style>
  <w:style w:type="character" w:styleId="1189">
    <w:name w:val="font31"/>
    <w:next w:val="1189"/>
    <w:link w:val="1053"/>
    <w:rPr>
      <w:rFonts w:hint="eastAsia" w:ascii="宋体" w:hAnsi="宋体" w:eastAsia="宋体" w:cs="宋体"/>
      <w:i w:val="0"/>
      <w:iCs w:val="0"/>
      <w:color w:val="000000"/>
      <w:sz w:val="18"/>
      <w:szCs w:val="18"/>
      <w:u w:val="none"/>
    </w:rPr>
  </w:style>
  <w:style w:type="character" w:styleId="1190">
    <w:name w:val="￥正文 Char"/>
    <w:next w:val="1190"/>
    <w:link w:val="1191"/>
    <w:rPr>
      <w:rFonts w:ascii="Times New Roman" w:hAnsi="Times New Roman" w:eastAsia="宋体" w:cs="Times New Roman"/>
      <w:sz w:val="24"/>
    </w:rPr>
  </w:style>
  <w:style w:type="paragraph" w:styleId="1191">
    <w:name w:val="￥正文"/>
    <w:basedOn w:val="1053"/>
    <w:next w:val="1191"/>
    <w:link w:val="1190"/>
    <w:pPr>
      <w:ind w:firstLine="200"/>
      <w:spacing w:before="0" w:after="0"/>
    </w:pPr>
    <w:rPr>
      <w:rFonts w:eastAsia="宋体"/>
      <w:sz w:val="24"/>
    </w:rPr>
  </w:style>
  <w:style w:type="character" w:styleId="1192">
    <w:name w:val="已访问的超链接1"/>
    <w:next w:val="1192"/>
    <w:link w:val="1053"/>
    <w:rPr>
      <w:rFonts w:ascii="Times New Roman" w:hAnsi="Times New Roman" w:eastAsia="宋体" w:cs="Times New Roman"/>
      <w:b w:val="0"/>
      <w:bCs w:val="0"/>
      <w:i w:val="0"/>
      <w:iCs w:val="0"/>
      <w:color w:val="000000"/>
      <w:u w:val="none"/>
    </w:rPr>
  </w:style>
  <w:style w:type="character" w:styleId="1193">
    <w:name w:val="小四 段落 宋体 Char Char Char1"/>
    <w:next w:val="1193"/>
    <w:link w:val="1053"/>
    <w:rPr>
      <w:rFonts w:ascii="宋体" w:hAnsi="宋体" w:eastAsia="宋体" w:cs="Times New Roman"/>
      <w:sz w:val="24"/>
      <w:szCs w:val="24"/>
      <w:lang w:val="en-US" w:eastAsia="zh-CN" w:bidi="ar-SA"/>
    </w:rPr>
  </w:style>
  <w:style w:type="character" w:styleId="1194">
    <w:name w:val="批注文字 Char"/>
    <w:next w:val="1194"/>
    <w:link w:val="1053"/>
    <w:rPr>
      <w:rFonts w:ascii="Times New Roman" w:hAnsi="Times New Roman" w:eastAsia="宋体" w:cs="Times New Roman"/>
      <w:sz w:val="21"/>
      <w:lang w:val="en-US" w:eastAsia="zh-CN" w:bidi="ar-SA"/>
    </w:rPr>
  </w:style>
  <w:style w:type="character" w:styleId="1195">
    <w:name w:val="标题 3 Char Char Char Char Char Char Char Char Char Char Char Char Char Char Char Char Char Char Char Char Char Char Char Char Char Char Char Char Char Char Char Char Char Char Char Char Char Char Char Char Char Char Char Char Char Char Char Char Cha Char"/>
    <w:next w:val="1195"/>
    <w:link w:val="1053"/>
    <w:rPr>
      <w:rFonts w:ascii="Times New Roman" w:hAnsi="Times New Roman" w:eastAsia="宋体" w:cs="Times New Roman"/>
      <w:b/>
      <w:bCs/>
      <w:sz w:val="32"/>
      <w:szCs w:val="32"/>
      <w:lang w:val="en-US" w:eastAsia="zh-CN" w:bidi="ar-SA"/>
    </w:rPr>
  </w:style>
  <w:style w:type="character" w:styleId="1196">
    <w:name w:val="标准文本 Char"/>
    <w:next w:val="1196"/>
    <w:link w:val="1053"/>
    <w:rPr>
      <w:rFonts w:ascii="Times New Roman" w:hAnsi="Times New Roman" w:eastAsia="宋体" w:cs="宋体"/>
      <w:sz w:val="24"/>
      <w:szCs w:val="24"/>
      <w:lang w:val="en-US" w:eastAsia="zh-CN" w:bidi="ar-SA"/>
    </w:rPr>
  </w:style>
  <w:style w:type="character" w:styleId="1197">
    <w:name w:val="point_normal1"/>
    <w:next w:val="1197"/>
    <w:link w:val="1053"/>
    <w:rPr>
      <w:rFonts w:ascii="Arial" w:hAnsi="Arial" w:eastAsia="宋体" w:cs="Arial"/>
      <w:sz w:val="18"/>
      <w:szCs w:val="18"/>
    </w:rPr>
  </w:style>
  <w:style w:type="character" w:styleId="1198">
    <w:name w:val="font101"/>
    <w:next w:val="1198"/>
    <w:link w:val="1053"/>
    <w:rPr>
      <w:rFonts w:hint="eastAsia" w:ascii="宋体" w:hAnsi="宋体" w:eastAsia="宋体" w:cs="宋体"/>
      <w:i w:val="0"/>
      <w:iCs w:val="0"/>
      <w:color w:val="000000"/>
      <w:sz w:val="16"/>
      <w:szCs w:val="16"/>
      <w:u w:val="none"/>
    </w:rPr>
  </w:style>
  <w:style w:type="character" w:styleId="1199">
    <w:name w:val="subtitle1"/>
    <w:next w:val="1199"/>
    <w:link w:val="1053"/>
    <w:rPr>
      <w:rFonts w:ascii="Georgia" w:hAnsi="Georgia" w:eastAsia="宋体" w:cs="Times New Roman"/>
      <w:b/>
      <w:bCs/>
      <w:i w:val="0"/>
      <w:iCs w:val="0"/>
      <w:color w:val="666666"/>
      <w:sz w:val="18"/>
      <w:szCs w:val="18"/>
    </w:rPr>
  </w:style>
  <w:style w:type="character" w:styleId="1200">
    <w:name w:val="l-selected2"/>
    <w:next w:val="1200"/>
    <w:link w:val="1053"/>
    <w:rPr>
      <w:rFonts w:ascii="Times New Roman" w:hAnsi="Times New Roman" w:eastAsia="宋体" w:cs="Times New Roman"/>
      <w:color w:val="355686"/>
      <w:shd w:val="clear" w:color="auto" w:fill="ffffff"/>
    </w:rPr>
  </w:style>
  <w:style w:type="character" w:styleId="1201">
    <w:name w:val="标题 Char1"/>
    <w:next w:val="1201"/>
    <w:link w:val="1053"/>
    <w:rPr>
      <w:rFonts w:ascii="Cambria" w:hAnsi="Times New Roman" w:eastAsia="宋体" w:cs="Times New Roman"/>
      <w:b/>
      <w:bCs/>
      <w:i w:val="0"/>
      <w:iCs w:val="0"/>
      <w:sz w:val="32"/>
      <w:szCs w:val="32"/>
    </w:rPr>
  </w:style>
  <w:style w:type="character" w:styleId="1202">
    <w:name w:val="小四 段落 宋体 Char1"/>
    <w:next w:val="1202"/>
    <w:link w:val="1053"/>
    <w:rPr>
      <w:rFonts w:ascii="Times New Roman" w:hAnsi="Times New Roman" w:eastAsia="宋体" w:cs="Times New Roman"/>
      <w:sz w:val="24"/>
      <w:szCs w:val="24"/>
      <w:lang w:val="en-US" w:eastAsia="zh-CN" w:bidi="ar-SA"/>
    </w:rPr>
  </w:style>
  <w:style w:type="character" w:styleId="1203">
    <w:name w:val="特点 Char1,四号 Char,段1 Char,缩进 Char,ALT+Z Char,正文不缩进 Char,正文缩进William Char,水上软件 Char,Normal Indent（正文缩进） Char,图号标注 Char,图表标题 Char,Alt+X Char,mr正文缩进 Char,正文缩进 Char Char,正文缩进1 Char,表正文 Char1,上海中望标准正文（首行缩进两字） Char,正文双线 Char,正文文字 Char Char,表正文 Char,正文非缩进 Char"/>
    <w:next w:val="1203"/>
    <w:link w:val="1053"/>
    <w:rPr>
      <w:rFonts w:ascii="Times New Roman" w:hAnsi="Times New Roman" w:eastAsia="宋体" w:cs="Times New Roman"/>
      <w:sz w:val="21"/>
      <w:lang w:val="en-US" w:eastAsia="zh-CN" w:bidi="ar-SA"/>
    </w:rPr>
  </w:style>
  <w:style w:type="character" w:styleId="1204">
    <w:name w:val="标题 3 Char Char"/>
    <w:next w:val="1204"/>
    <w:link w:val="1053"/>
    <w:rPr>
      <w:rFonts w:ascii="Times New Roman" w:hAnsi="Times New Roman" w:eastAsia="仿宋_GB2312" w:cs="Times New Roman"/>
      <w:b/>
      <w:bCs/>
      <w:sz w:val="28"/>
      <w:szCs w:val="32"/>
      <w:lang w:val="en-US" w:eastAsia="zh-CN" w:bidi="ar-SA"/>
    </w:rPr>
  </w:style>
  <w:style w:type="character" w:styleId="1205">
    <w:name w:val="不明显强调"/>
    <w:next w:val="1205"/>
    <w:link w:val="1053"/>
    <w:qFormat/>
    <w:rPr>
      <w:rFonts w:ascii="Times New Roman" w:hAnsi="Times New Roman" w:eastAsia="宋体" w:cs="Times New Roman"/>
      <w:i/>
      <w:iCs/>
    </w:rPr>
  </w:style>
  <w:style w:type="character" w:styleId="1206">
    <w:name w:val=" Char Char26"/>
    <w:next w:val="1206"/>
    <w:link w:val="1053"/>
    <w:rPr>
      <w:rFonts w:ascii="Times New Roman" w:hAnsi="Times New Roman" w:eastAsia="宋体" w:cs="Times New Roman"/>
      <w:b/>
      <w:bCs/>
      <w:sz w:val="32"/>
      <w:szCs w:val="32"/>
    </w:rPr>
  </w:style>
  <w:style w:type="character" w:styleId="1207">
    <w:name w:val="l-over"/>
    <w:next w:val="1207"/>
    <w:link w:val="1053"/>
    <w:rPr>
      <w:rFonts w:ascii="Times New Roman" w:hAnsi="Times New Roman" w:eastAsia="宋体" w:cs="Times New Roman"/>
    </w:rPr>
  </w:style>
  <w:style w:type="character" w:styleId="1208">
    <w:name w:val="样式 首行缩进:  2 字符 Char"/>
    <w:next w:val="1208"/>
    <w:link w:val="1053"/>
    <w:rPr>
      <w:rFonts w:ascii="Times New Roman" w:hAnsi="Times New Roman" w:eastAsia="宋体" w:cs="宋体"/>
      <w:sz w:val="24"/>
      <w:lang w:val="en-US" w:eastAsia="zh-CN" w:bidi="ar-SA"/>
    </w:rPr>
  </w:style>
  <w:style w:type="character" w:styleId="1209">
    <w:name w:val="新图表正文 Char Char"/>
    <w:next w:val="1209"/>
    <w:link w:val="1210"/>
    <w:rPr>
      <w:rFonts w:ascii="宋体" w:hAnsi="宋体"/>
      <w:sz w:val="18"/>
      <w:szCs w:val="21"/>
      <w:lang w:val="en-US" w:eastAsia="zh-CN" w:bidi="ar-SA"/>
    </w:rPr>
  </w:style>
  <w:style w:type="paragraph" w:styleId="1210">
    <w:name w:val="新图表正文"/>
    <w:next w:val="1210"/>
    <w:link w:val="1209"/>
    <w:pPr>
      <w:jc w:val="both"/>
    </w:pPr>
    <w:rPr>
      <w:rFonts w:ascii="宋体" w:hAnsi="宋体"/>
      <w:sz w:val="18"/>
      <w:szCs w:val="21"/>
      <w:lang w:val="en-US" w:eastAsia="zh-CN" w:bidi="ar-SA"/>
    </w:rPr>
  </w:style>
  <w:style w:type="character" w:styleId="1211">
    <w:name w:val="listbenefit"/>
    <w:next w:val="1211"/>
    <w:link w:val="1053"/>
    <w:rPr>
      <w:rFonts w:ascii="Times New Roman" w:hAnsi="Times New Roman" w:eastAsia="宋体" w:cs="Times New Roman"/>
      <w:b w:val="0"/>
      <w:bCs w:val="0"/>
      <w:i w:val="0"/>
      <w:iCs w:val="0"/>
    </w:rPr>
  </w:style>
  <w:style w:type="character" w:styleId="1212">
    <w:name w:val="列出段落 Char,Bullet List Char,numbered Char,FooterText Char,List Paragraph1 Char,Paragraphe de liste1 Char"/>
    <w:next w:val="1212"/>
    <w:link w:val="1213"/>
    <w:rPr>
      <w:rFonts w:ascii="Arial" w:hAnsi="Arial" w:eastAsia="黑体" w:cs="Times New Roman"/>
      <w:sz w:val="24"/>
      <w:szCs w:val="24"/>
      <w:lang w:eastAsia="en-US"/>
    </w:rPr>
  </w:style>
  <w:style w:type="paragraph" w:styleId="1213">
    <w:name w:val="列出段落1"/>
    <w:basedOn w:val="1053"/>
    <w:next w:val="1213"/>
    <w:link w:val="1212"/>
    <w:pPr>
      <w:contextualSpacing/>
      <w:ind w:left="720"/>
      <w:jc w:val="left"/>
      <w:widowControl/>
    </w:pPr>
    <w:rPr>
      <w:rFonts w:ascii="Arial" w:hAnsi="Arial" w:eastAsia="黑体"/>
      <w:sz w:val="24"/>
      <w:szCs w:val="24"/>
      <w:lang w:eastAsia="en-US"/>
    </w:rPr>
  </w:style>
  <w:style w:type="character" w:styleId="1214">
    <w:name w:val="正文缩进 Char1"/>
    <w:next w:val="1214"/>
    <w:link w:val="1215"/>
    <w:rPr>
      <w:rFonts w:ascii="Times New Roman" w:hAnsi="Times New Roman" w:eastAsia="宋体" w:cs="Times New Roman"/>
      <w:lang w:bidi="ar-SA"/>
    </w:rPr>
  </w:style>
  <w:style w:type="paragraph" w:styleId="1215">
    <w:name w:val="Normal Indent1"/>
    <w:basedOn w:val="1053"/>
    <w:next w:val="1215"/>
    <w:link w:val="1214"/>
    <w:pPr>
      <w:ind w:firstLine="420"/>
    </w:pPr>
    <w:rPr>
      <w:rFonts w:eastAsia="宋体"/>
      <w:sz w:val="20"/>
    </w:rPr>
  </w:style>
  <w:style w:type="character" w:styleId="1216">
    <w:name w:val="font81"/>
    <w:next w:val="1216"/>
    <w:link w:val="1053"/>
    <w:rPr>
      <w:rFonts w:hint="eastAsia" w:ascii="宋体" w:hAnsi="宋体" w:eastAsia="宋体" w:cs="宋体"/>
      <w:i w:val="0"/>
      <w:iCs w:val="0"/>
      <w:color w:val="000000"/>
      <w:sz w:val="16"/>
      <w:szCs w:val="16"/>
      <w:u w:val="none"/>
    </w:rPr>
  </w:style>
  <w:style w:type="character" w:styleId="1217">
    <w:name w:val="ih151"/>
    <w:next w:val="1217"/>
    <w:link w:val="1053"/>
    <w:rPr>
      <w:rFonts w:ascii="Times New Roman" w:hAnsi="Times New Roman" w:eastAsia="宋体" w:cs="Times New Roman"/>
      <w:b w:val="0"/>
      <w:bCs w:val="0"/>
      <w:i w:val="0"/>
      <w:iCs w:val="0"/>
      <w:caps w:val="0"/>
      <w:smallCaps w:val="0"/>
      <w:color w:val="666666"/>
      <w:sz w:val="18"/>
      <w:szCs w:val="18"/>
      <w:u w:val="none"/>
    </w:rPr>
  </w:style>
  <w:style w:type="character" w:styleId="1218">
    <w:name w:val="纯文本 Char Char Char"/>
    <w:next w:val="1218"/>
    <w:link w:val="1053"/>
    <w:rPr>
      <w:rFonts w:ascii="宋体" w:hAnsi="Courier New" w:eastAsia="宋体" w:cs="Times New Roman"/>
      <w:sz w:val="21"/>
      <w:szCs w:val="21"/>
      <w:lang w:val="en-US" w:eastAsia="zh-CN" w:bidi="ar-SA"/>
    </w:rPr>
  </w:style>
  <w:style w:type="character" w:styleId="1219">
    <w:name w:val="引用 字符"/>
    <w:next w:val="1219"/>
    <w:link w:val="1220"/>
    <w:rPr>
      <w:rFonts w:ascii="Calibri" w:hAnsi="Calibri" w:eastAsia="宋体" w:cs="Times New Roman"/>
      <w:i/>
      <w:iCs/>
      <w:sz w:val="22"/>
      <w:szCs w:val="22"/>
      <w:lang w:val="en-US" w:eastAsia="en-US" w:bidi="en-US"/>
    </w:rPr>
  </w:style>
  <w:style w:type="paragraph" w:styleId="1220">
    <w:name w:val="引用"/>
    <w:basedOn w:val="1053"/>
    <w:next w:val="1053"/>
    <w:link w:val="1219"/>
    <w:qFormat/>
    <w:pPr>
      <w:ind w:left="360" w:right="360"/>
      <w:jc w:val="left"/>
      <w:spacing w:before="200" w:line="276" w:lineRule="auto"/>
      <w:widowControl/>
    </w:pPr>
    <w:rPr>
      <w:rFonts w:ascii="Calibri" w:hAnsi="Calibri" w:eastAsia="宋体"/>
      <w:i/>
      <w:iCs/>
      <w:sz w:val="22"/>
      <w:szCs w:val="22"/>
      <w:lang w:eastAsia="en-US" w:bidi="en-US"/>
    </w:rPr>
  </w:style>
  <w:style w:type="character" w:styleId="1221">
    <w:name w:val="font91"/>
    <w:next w:val="1221"/>
    <w:link w:val="1053"/>
    <w:rPr>
      <w:rFonts w:ascii="Arial" w:hAnsi="Arial" w:eastAsia="宋体" w:cs="Arial"/>
      <w:i w:val="0"/>
      <w:iCs w:val="0"/>
      <w:color w:val="000000"/>
      <w:sz w:val="16"/>
      <w:szCs w:val="16"/>
      <w:u w:val="none"/>
    </w:rPr>
  </w:style>
  <w:style w:type="character" w:styleId="1222">
    <w:name w:val="3zw"/>
    <w:next w:val="1222"/>
    <w:link w:val="1053"/>
    <w:rPr>
      <w:rFonts w:ascii="Times New Roman" w:hAnsi="Times New Roman" w:eastAsia="宋体" w:cs="Times New Roman"/>
    </w:rPr>
  </w:style>
  <w:style w:type="character" w:styleId="1223">
    <w:name w:val="样式 首行缩进:  2 字符 Char Char"/>
    <w:next w:val="1223"/>
    <w:link w:val="1224"/>
    <w:rPr>
      <w:rFonts w:ascii="Times New Roman" w:hAnsi="Times New Roman" w:eastAsia="宋体" w:cs="宋体"/>
      <w:sz w:val="24"/>
      <w:lang w:val="en-US" w:eastAsia="zh-CN" w:bidi="ar-SA"/>
    </w:rPr>
  </w:style>
  <w:style w:type="paragraph" w:styleId="1224">
    <w:name w:val="样式 首行缩进:  2 字符"/>
    <w:basedOn w:val="1053"/>
    <w:next w:val="1224"/>
    <w:link w:val="1223"/>
    <w:pPr>
      <w:ind w:firstLine="480"/>
      <w:spacing w:line="360" w:lineRule="auto"/>
    </w:pPr>
    <w:rPr>
      <w:rFonts w:eastAsia="宋体" w:cs="宋体"/>
      <w:sz w:val="24"/>
    </w:rPr>
  </w:style>
  <w:style w:type="character" w:styleId="1225">
    <w:name w:val="A2"/>
    <w:next w:val="1225"/>
    <w:link w:val="1053"/>
    <w:rPr>
      <w:rFonts w:ascii="Times New Roman" w:hAnsi="Times New Roman" w:eastAsia="宋体" w:cs="Helvetica"/>
      <w:color w:val="000000"/>
      <w:sz w:val="18"/>
      <w:szCs w:val="18"/>
    </w:rPr>
  </w:style>
  <w:style w:type="character" w:styleId="1226">
    <w:name w:val=" Char Char27"/>
    <w:next w:val="1226"/>
    <w:link w:val="1053"/>
    <w:rPr>
      <w:rFonts w:ascii="Times New Roman" w:hAnsi="Times New Roman" w:eastAsia="宋体" w:cs="Times New Roman"/>
      <w:b/>
      <w:bCs/>
      <w:sz w:val="44"/>
      <w:szCs w:val="44"/>
    </w:rPr>
  </w:style>
  <w:style w:type="character" w:styleId="1227">
    <w:name w:val="无间隔 字符"/>
    <w:next w:val="1227"/>
    <w:link w:val="1228"/>
    <w:rPr>
      <w:rFonts w:eastAsia="微软雅黑"/>
      <w:sz w:val="24"/>
      <w:szCs w:val="22"/>
      <w:lang w:val="en-US" w:eastAsia="zh-CN" w:bidi="ar-SA"/>
    </w:rPr>
  </w:style>
  <w:style w:type="paragraph" w:styleId="1228">
    <w:name w:val="无间隔"/>
    <w:next w:val="1228"/>
    <w:link w:val="1227"/>
    <w:qFormat/>
    <w:pPr>
      <w:jc w:val="both"/>
      <w:widowControl w:val="off"/>
    </w:pPr>
    <w:rPr>
      <w:rFonts w:eastAsia="微软雅黑"/>
      <w:sz w:val="24"/>
      <w:szCs w:val="22"/>
      <w:lang w:val="en-US" w:eastAsia="zh-CN" w:bidi="ar-SA"/>
    </w:rPr>
  </w:style>
  <w:style w:type="character" w:styleId="1229">
    <w:name w:val="标准文本 Char Char"/>
    <w:next w:val="1229"/>
    <w:link w:val="1053"/>
    <w:rPr>
      <w:rFonts w:ascii="Times New Roman" w:hAnsi="Times New Roman" w:eastAsia="宋体" w:cs="宋体"/>
      <w:sz w:val="24"/>
      <w:szCs w:val="24"/>
      <w:lang w:val="en-US" w:eastAsia="zh-CN" w:bidi="ar-SA"/>
    </w:rPr>
  </w:style>
  <w:style w:type="character" w:styleId="1230">
    <w:name w:val=" Char Char29"/>
    <w:next w:val="1230"/>
    <w:link w:val="1053"/>
    <w:rPr>
      <w:rFonts w:ascii="Times New Roman" w:hAnsi="Times New Roman" w:eastAsia="宋体" w:cs="Times New Roman"/>
      <w:b/>
      <w:bCs/>
      <w:sz w:val="44"/>
      <w:szCs w:val="44"/>
    </w:rPr>
  </w:style>
  <w:style w:type="character" w:styleId="1231">
    <w:name w:val="标准小四 Char"/>
    <w:next w:val="1231"/>
    <w:link w:val="1053"/>
    <w:rPr>
      <w:rFonts w:ascii="Arial" w:hAnsi="Arial" w:eastAsia="宋体" w:cs="Times New Roman"/>
      <w:sz w:val="24"/>
      <w:szCs w:val="21"/>
      <w:lang w:val="en-US" w:eastAsia="zh-CN" w:bidi="ar-SA"/>
    </w:rPr>
  </w:style>
  <w:style w:type="character" w:styleId="1232">
    <w:name w:val="华宇段落1 Char Char Char"/>
    <w:next w:val="1232"/>
    <w:link w:val="1053"/>
    <w:rPr>
      <w:rFonts w:ascii="Times New Roman" w:hAnsi="Times New Roman" w:eastAsia="宋体" w:cs="Times New Roman"/>
      <w:bCs/>
      <w:sz w:val="24"/>
      <w:szCs w:val="24"/>
      <w:lang w:val="en-US" w:eastAsia="zh-CN" w:bidi="ar-SA"/>
    </w:rPr>
  </w:style>
  <w:style w:type="character" w:styleId="1233">
    <w:name w:val="样式 非加粗"/>
    <w:next w:val="1233"/>
    <w:link w:val="1053"/>
    <w:rPr>
      <w:rFonts w:ascii="Times New Roman" w:hAnsi="Times New Roman" w:eastAsia="宋体" w:cs="Times New Roman"/>
      <w:sz w:val="28"/>
    </w:rPr>
  </w:style>
  <w:style w:type="character" w:styleId="1234">
    <w:name w:val="小四 段落 宋体 Char Char Char Char Char Char Char Char"/>
    <w:next w:val="1234"/>
    <w:link w:val="1053"/>
    <w:rPr>
      <w:rFonts w:ascii="Times New Roman" w:hAnsi="Times New Roman" w:eastAsia="宋体" w:cs="Times New Roman"/>
      <w:sz w:val="24"/>
      <w:szCs w:val="24"/>
      <w:lang w:val="en-US" w:eastAsia="zh-CN" w:bidi="ar-SA"/>
    </w:rPr>
  </w:style>
  <w:style w:type="character" w:styleId="1235">
    <w:name w:val="华宇段落1 Char Char"/>
    <w:next w:val="1235"/>
    <w:link w:val="1053"/>
    <w:rPr>
      <w:rFonts w:ascii="Times New Roman" w:hAnsi="Times New Roman" w:eastAsia="宋体" w:cs="Times New Roman"/>
      <w:bCs/>
      <w:sz w:val="24"/>
      <w:szCs w:val="24"/>
      <w:lang w:val="en-US" w:eastAsia="zh-CN" w:bidi="ar-SA"/>
    </w:rPr>
  </w:style>
  <w:style w:type="character" w:styleId="1236">
    <w:name w:val="小四 段落 宋体 Char Char Char Char Char Char"/>
    <w:next w:val="1236"/>
    <w:link w:val="1053"/>
    <w:rPr>
      <w:rFonts w:ascii="Times New Roman" w:hAnsi="Times New Roman" w:eastAsia="宋体" w:cs="Times New Roman"/>
      <w:sz w:val="24"/>
      <w:szCs w:val="24"/>
      <w:lang w:val="en-US" w:eastAsia="zh-CN" w:bidi="ar-SA"/>
    </w:rPr>
  </w:style>
  <w:style w:type="character" w:styleId="1237">
    <w:name w:val="表格抬头 Char"/>
    <w:next w:val="1237"/>
    <w:link w:val="1238"/>
    <w:rPr>
      <w:rFonts w:ascii="黑体" w:hAnsi="Times New Roman" w:eastAsia="黑体" w:cs="Times New Roman"/>
      <w:b/>
      <w:sz w:val="21"/>
      <w:lang w:bidi="ar-SA"/>
    </w:rPr>
  </w:style>
  <w:style w:type="paragraph" w:styleId="1238">
    <w:name w:val="表格抬头"/>
    <w:basedOn w:val="1053"/>
    <w:next w:val="1238"/>
    <w:link w:val="1237"/>
    <w:pPr>
      <w:jc w:val="center"/>
    </w:pPr>
    <w:rPr>
      <w:rFonts w:ascii="黑体" w:eastAsia="黑体"/>
      <w:b/>
    </w:rPr>
  </w:style>
  <w:style w:type="character" w:styleId="1239">
    <w:name w:val=" Char Char22"/>
    <w:next w:val="1239"/>
    <w:link w:val="1053"/>
    <w:rPr>
      <w:rFonts w:ascii="Times New Roman" w:hAnsi="Times New Roman" w:eastAsia="宋体" w:cs="Times New Roman"/>
      <w:b/>
      <w:bCs/>
      <w:sz w:val="24"/>
      <w:szCs w:val="24"/>
    </w:rPr>
  </w:style>
  <w:style w:type="character" w:styleId="1240">
    <w:name w:val="样式 宋体 小四"/>
    <w:next w:val="1240"/>
    <w:link w:val="1053"/>
    <w:rPr>
      <w:rFonts w:ascii="宋体" w:hAnsi="宋体" w:eastAsia="宋体" w:cs="Times New Roman"/>
      <w:sz w:val="24"/>
    </w:rPr>
  </w:style>
  <w:style w:type="character" w:styleId="1241">
    <w:name w:val="明显引用 字符"/>
    <w:next w:val="1241"/>
    <w:link w:val="1242"/>
    <w:rPr>
      <w:rFonts w:ascii="Calibri" w:hAnsi="Calibri" w:eastAsia="宋体" w:cs="Times New Roman"/>
      <w:b/>
      <w:bCs/>
      <w:i/>
      <w:iCs/>
      <w:sz w:val="22"/>
      <w:szCs w:val="22"/>
      <w:lang w:val="en-US" w:eastAsia="en-US" w:bidi="en-US"/>
    </w:rPr>
  </w:style>
  <w:style w:type="paragraph" w:styleId="1242">
    <w:name w:val="明显引用"/>
    <w:basedOn w:val="1053"/>
    <w:next w:val="1053"/>
    <w:link w:val="1241"/>
    <w:qFormat/>
    <w:pPr>
      <w:ind w:left="1008" w:right="1152"/>
      <w:spacing w:before="200" w:after="280" w:line="276" w:lineRule="auto"/>
      <w:widowControl/>
      <w:pBdr>
        <w:bottom w:val="single" w:color="000000" w:sz="4" w:space="1"/>
      </w:pBdr>
    </w:pPr>
    <w:rPr>
      <w:rFonts w:ascii="Calibri" w:hAnsi="Calibri" w:eastAsia="宋体"/>
      <w:b/>
      <w:bCs/>
      <w:i/>
      <w:iCs/>
      <w:sz w:val="22"/>
      <w:szCs w:val="22"/>
      <w:lang w:eastAsia="en-US" w:bidi="en-US"/>
    </w:rPr>
  </w:style>
  <w:style w:type="character" w:styleId="1243">
    <w:name w:val="明显强调"/>
    <w:next w:val="1243"/>
    <w:link w:val="1053"/>
    <w:qFormat/>
    <w:rPr>
      <w:rFonts w:ascii="Times New Roman" w:hAnsi="Times New Roman" w:eastAsia="宋体" w:cs="Times New Roman"/>
      <w:b/>
      <w:bCs/>
    </w:rPr>
  </w:style>
  <w:style w:type="character" w:styleId="1244">
    <w:name w:val="标题 3 Char,h3 Char,3rd level Char,3 Char,标题4 Char,Heading 3 - old Char,标题 3 Char1,正文 + 小三 Char,H3 Char,sect1.2.3 Char,BOD 0 Char,l3 Char,CT Char,Level 3 Head Char,3rd lev...] Char Char,heading 3 Char,123456 Char,F Char Char,Map Char,H31 Char,level_3 Char"/>
    <w:next w:val="1244"/>
    <w:link w:val="1053"/>
    <w:rPr>
      <w:rFonts w:ascii="宋体" w:hAnsi="宋体" w:eastAsia="宋体" w:cs="Times New Roman"/>
      <w:b/>
      <w:bCs/>
      <w:sz w:val="24"/>
      <w:szCs w:val="32"/>
      <w:lang w:val="en-US" w:eastAsia="zh-CN" w:bidi="ar-SA"/>
    </w:rPr>
  </w:style>
  <w:style w:type="character" w:styleId="1245">
    <w:name w:val="normalfont1"/>
    <w:next w:val="1245"/>
    <w:link w:val="1053"/>
    <w:rPr>
      <w:rFonts w:ascii="ˎ̥" w:hAnsi="ˎ̥" w:eastAsia="宋体" w:cs="Times New Roman"/>
      <w:sz w:val="18"/>
      <w:szCs w:val="18"/>
      <w:u w:val="none"/>
    </w:rPr>
  </w:style>
  <w:style w:type="character" w:styleId="1246">
    <w:name w:val="111111 Char"/>
    <w:next w:val="1246"/>
    <w:link w:val="1247"/>
    <w:rPr>
      <w:rFonts w:ascii="宋体" w:hAnsi="宋体" w:eastAsia="黑体" w:cs="宋体"/>
      <w:b/>
      <w:bCs/>
      <w:sz w:val="21"/>
      <w:szCs w:val="21"/>
      <w:lang w:val="en-US" w:eastAsia="zh-CN" w:bidi="ar-SA"/>
    </w:rPr>
  </w:style>
  <w:style w:type="paragraph" w:styleId="1247">
    <w:name w:val="111111"/>
    <w:basedOn w:val="1053"/>
    <w:next w:val="1247"/>
    <w:link w:val="1246"/>
    <w:pPr>
      <w:jc w:val="center"/>
      <w:spacing w:before="120" w:after="120"/>
    </w:pPr>
    <w:rPr>
      <w:rFonts w:ascii="宋体" w:hAnsi="宋体" w:eastAsia="黑体" w:cs="宋体"/>
      <w:b/>
      <w:bCs/>
      <w:szCs w:val="21"/>
    </w:rPr>
  </w:style>
  <w:style w:type="character" w:styleId="1248">
    <w:name w:val="apple-converted-space"/>
    <w:next w:val="1248"/>
    <w:link w:val="1053"/>
    <w:rPr>
      <w:rFonts w:ascii="Times New Roman" w:hAnsi="Times New Roman" w:eastAsia="宋体" w:cs="Times New Roman"/>
    </w:rPr>
  </w:style>
  <w:style w:type="character" w:styleId="1249">
    <w:name w:val="纯文本 Char Char"/>
    <w:next w:val="1249"/>
    <w:link w:val="1053"/>
    <w:rPr>
      <w:rFonts w:ascii="宋体" w:hAnsi="Courier New" w:eastAsia="宋体" w:cs="Times New Roman"/>
      <w:sz w:val="21"/>
      <w:szCs w:val="21"/>
      <w:lang w:val="en-US" w:eastAsia="zh-CN" w:bidi="ar-SA"/>
    </w:rPr>
  </w:style>
  <w:style w:type="character" w:styleId="1250">
    <w:name w:val="NormalCharacter1"/>
    <w:next w:val="1250"/>
    <w:link w:val="1053"/>
    <w:rPr>
      <w:rFonts w:ascii="Times New Roman" w:hAnsi="Times New Roman" w:eastAsia="宋体" w:cs="Times New Roman"/>
      <w:sz w:val="21"/>
      <w:szCs w:val="22"/>
      <w:lang w:val="en-US" w:eastAsia="zh-CN" w:bidi="ar-SA"/>
    </w:rPr>
  </w:style>
  <w:style w:type="character" w:styleId="1251">
    <w:name w:val=" Char Char17"/>
    <w:next w:val="1251"/>
    <w:link w:val="1053"/>
    <w:rPr>
      <w:rFonts w:ascii="宋体" w:hAnsi="Courier New" w:eastAsia="宋体" w:cs="Times New Roman"/>
      <w:sz w:val="21"/>
      <w:szCs w:val="21"/>
    </w:rPr>
  </w:style>
  <w:style w:type="character" w:styleId="1252">
    <w:name w:val="明显参考"/>
    <w:next w:val="1252"/>
    <w:link w:val="1053"/>
    <w:qFormat/>
    <w:rPr>
      <w:rFonts w:ascii="Times New Roman" w:hAnsi="Times New Roman" w:eastAsia="宋体" w:cs="Times New Roman"/>
      <w:smallCaps/>
      <w:spacing w:val="5"/>
      <w:u w:val="single"/>
    </w:rPr>
  </w:style>
  <w:style w:type="character" w:styleId="1253">
    <w:name w:val="h Char Char"/>
    <w:next w:val="1253"/>
    <w:link w:val="1053"/>
    <w:rPr>
      <w:rFonts w:ascii="Times New Roman" w:hAnsi="Times New Roman" w:eastAsia="宋体" w:cs="Times New Roman"/>
      <w:b w:val="0"/>
      <w:bCs w:val="0"/>
      <w:i w:val="0"/>
      <w:iCs w:val="0"/>
      <w:sz w:val="18"/>
      <w:szCs w:val="18"/>
      <w:lang w:val="en-US" w:eastAsia="zh-CN" w:bidi="ar-SA"/>
    </w:rPr>
  </w:style>
  <w:style w:type="character" w:styleId="1254">
    <w:name w:val="case31"/>
    <w:next w:val="1254"/>
    <w:link w:val="1053"/>
    <w:rPr>
      <w:rFonts w:ascii="Times New Roman" w:hAnsi="Times New Roman" w:eastAsia="宋体" w:cs="Times New Roman"/>
      <w:b w:val="0"/>
      <w:bCs w:val="0"/>
      <w:i w:val="0"/>
      <w:iCs w:val="0"/>
      <w:sz w:val="21"/>
      <w:szCs w:val="21"/>
    </w:rPr>
  </w:style>
  <w:style w:type="character" w:styleId="1255">
    <w:name w:val="para_small"/>
    <w:next w:val="1255"/>
    <w:link w:val="1053"/>
    <w:rPr>
      <w:rFonts w:ascii="Times New Roman" w:hAnsi="Times New Roman" w:eastAsia="宋体" w:cs="Times New Roman"/>
    </w:rPr>
  </w:style>
  <w:style w:type="character" w:styleId="1256">
    <w:name w:val="content_lineheight1"/>
    <w:next w:val="1256"/>
    <w:link w:val="1053"/>
    <w:rPr>
      <w:rFonts w:ascii="Times New Roman" w:hAnsi="Times New Roman" w:eastAsia="宋体" w:cs="Times New Roman"/>
    </w:rPr>
  </w:style>
  <w:style w:type="paragraph" w:styleId="1257">
    <w:name w:val=" Char Char Char Char Char Char Char Char Char Char Char Char Char Char"/>
    <w:basedOn w:val="1053"/>
    <w:next w:val="1257"/>
    <w:link w:val="1053"/>
    <w:rPr>
      <w:rFonts w:ascii="Tahoma" w:hAnsi="Tahoma" w:eastAsia="宋体" w:cs="Times New Roman"/>
      <w:sz w:val="24"/>
    </w:rPr>
  </w:style>
  <w:style w:type="paragraph" w:styleId="1258">
    <w:name w:val="xl58"/>
    <w:basedOn w:val="1053"/>
    <w:next w:val="1258"/>
    <w:link w:val="1053"/>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i/>
      <w:iCs/>
      <w:sz w:val="20"/>
    </w:rPr>
  </w:style>
  <w:style w:type="paragraph" w:styleId="1259">
    <w:name w:val="正文缩进2字符"/>
    <w:basedOn w:val="1053"/>
    <w:next w:val="1259"/>
    <w:link w:val="1053"/>
    <w:pPr>
      <w:ind w:firstLine="200"/>
      <w:spacing w:line="300" w:lineRule="auto"/>
    </w:pPr>
    <w:rPr>
      <w:rFonts w:ascii="仿宋_GB2312" w:hAnsi="Times New Roman" w:eastAsia="仿宋_GB2312" w:cs="Times New Roman"/>
      <w:sz w:val="32"/>
      <w:szCs w:val="32"/>
    </w:rPr>
  </w:style>
  <w:style w:type="paragraph" w:styleId="1260">
    <w:name w:val="正文表标题"/>
    <w:next w:val="1158"/>
    <w:link w:val="1053"/>
    <w:pPr>
      <w:ind w:left="900" w:hanging="420"/>
      <w:jc w:val="center"/>
      <w:tabs>
        <w:tab w:val="left" w:pos="900" w:leader="none"/>
      </w:tabs>
    </w:pPr>
    <w:rPr>
      <w:rFonts w:ascii="黑体" w:eastAsia="黑体"/>
      <w:sz w:val="21"/>
      <w:lang w:val="en-US" w:eastAsia="zh-CN" w:bidi="ar-SA"/>
    </w:rPr>
  </w:style>
  <w:style w:type="paragraph" w:styleId="1261">
    <w:name w:val=" Char Char1 Char Char Char Char1 Char Char Char Char Char Char"/>
    <w:basedOn w:val="1053"/>
    <w:next w:val="1261"/>
    <w:link w:val="1053"/>
    <w:rPr>
      <w:rFonts w:ascii="Tahoma" w:hAnsi="Tahoma" w:eastAsia="宋体" w:cs="Times New Roman"/>
      <w:sz w:val="24"/>
    </w:rPr>
  </w:style>
  <w:style w:type="paragraph" w:styleId="1262">
    <w:name w:val="段落"/>
    <w:basedOn w:val="1053"/>
    <w:next w:val="1262"/>
    <w:link w:val="1053"/>
    <w:pPr>
      <w:ind w:firstLine="480"/>
      <w:spacing w:line="460" w:lineRule="exact"/>
    </w:pPr>
    <w:rPr>
      <w:rFonts w:ascii="Times New Roman" w:hAnsi="Times New Roman" w:eastAsia="宋体" w:cs="Times New Roman"/>
      <w:sz w:val="24"/>
    </w:rPr>
  </w:style>
  <w:style w:type="paragraph" w:styleId="1263">
    <w:name w:val=" Char Char"/>
    <w:basedOn w:val="1053"/>
    <w:next w:val="1263"/>
    <w:link w:val="1053"/>
    <w:rPr>
      <w:rFonts w:ascii="Tahoma" w:hAnsi="Tahoma" w:eastAsia="宋体" w:cs="Times New Roman"/>
      <w:sz w:val="24"/>
    </w:rPr>
  </w:style>
  <w:style w:type="paragraph" w:styleId="1264">
    <w:name w:val="xl44"/>
    <w:basedOn w:val="1053"/>
    <w:next w:val="1264"/>
    <w:link w:val="1053"/>
    <w:pPr>
      <w:jc w:val="center"/>
      <w:spacing w:before="100" w:beforeAutospacing="1" w:after="100" w:afterAutospacing="1"/>
      <w:widowControl/>
      <w:pBdr>
        <w:top w:val="single" w:color="000000" w:sz="4" w:space="0"/>
        <w:left w:val="single" w:color="000000" w:sz="4" w:space="0"/>
        <w:right w:val="single" w:color="000000" w:sz="4" w:space="0"/>
      </w:pBdr>
    </w:pPr>
    <w:rPr>
      <w:rFonts w:ascii="宋体" w:hAnsi="宋体" w:eastAsia="宋体" w:cs="宋体"/>
      <w:b/>
      <w:bCs/>
      <w:sz w:val="20"/>
    </w:rPr>
  </w:style>
  <w:style w:type="paragraph" w:styleId="1265">
    <w:name w:val="flNote"/>
    <w:basedOn w:val="1053"/>
    <w:next w:val="1265"/>
    <w:link w:val="1053"/>
    <w:pPr>
      <w:jc w:val="center"/>
      <w:spacing w:before="567" w:line="360" w:lineRule="atLeast"/>
    </w:pPr>
    <w:rPr>
      <w:rFonts w:ascii="Times New Roman" w:hAnsi="Times New Roman" w:eastAsia="黑体" w:cs="Times New Roman"/>
      <w:b/>
      <w:sz w:val="24"/>
    </w:rPr>
  </w:style>
  <w:style w:type="paragraph" w:styleId="1266">
    <w:name w:val="正文文本 New New"/>
    <w:basedOn w:val="1053"/>
    <w:next w:val="1266"/>
    <w:link w:val="1053"/>
    <w:pPr>
      <w:ind w:firstLine="200"/>
      <w:spacing w:before="60" w:after="60" w:line="360" w:lineRule="auto"/>
      <w:widowControl/>
    </w:pPr>
    <w:rPr>
      <w:rFonts w:ascii="Times New Roman" w:hAnsi="Times New Roman" w:eastAsia="华文楷体" w:cs="Times New Roman"/>
      <w:sz w:val="24"/>
      <w:szCs w:val="24"/>
    </w:rPr>
  </w:style>
  <w:style w:type="paragraph" w:styleId="1267">
    <w:name w:val=" Char1"/>
    <w:basedOn w:val="1053"/>
    <w:next w:val="1267"/>
    <w:link w:val="1053"/>
    <w:pPr>
      <w:jc w:val="left"/>
      <w:spacing w:after="160" w:line="240" w:lineRule="exact"/>
      <w:widowControl/>
    </w:pPr>
    <w:rPr>
      <w:rFonts w:ascii="Verdana" w:hAnsi="Verdana" w:eastAsia="仿宋_GB2312" w:cs="Times New Roman"/>
      <w:sz w:val="24"/>
      <w:lang w:eastAsia="en-US"/>
    </w:rPr>
  </w:style>
  <w:style w:type="paragraph" w:styleId="1268">
    <w:name w:val="xl30"/>
    <w:basedOn w:val="1053"/>
    <w:next w:val="1268"/>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269">
    <w:name w:val="列表内容"/>
    <w:basedOn w:val="1053"/>
    <w:next w:val="1053"/>
    <w:link w:val="1053"/>
    <w:pPr>
      <w:ind w:left="840" w:hanging="420"/>
      <w:jc w:val="left"/>
      <w:widowControl/>
      <w:tabs>
        <w:tab w:val="left" w:pos="840" w:leader="none"/>
      </w:tabs>
    </w:pPr>
    <w:rPr>
      <w:rFonts w:ascii="Times New Roman" w:hAnsi="Times New Roman" w:eastAsia="宋体" w:cs="Times New Roman"/>
      <w:sz w:val="18"/>
      <w:szCs w:val="24"/>
    </w:rPr>
  </w:style>
  <w:style w:type="paragraph" w:styleId="1270">
    <w:name w:val="样式 样式 首行缩进:  0.74 厘米 行距: 1.5 倍行距 + 段后: 0.5 行"/>
    <w:basedOn w:val="1053"/>
    <w:next w:val="1270"/>
    <w:link w:val="1053"/>
    <w:pPr>
      <w:ind w:firstLine="420"/>
      <w:spacing w:line="360" w:lineRule="auto"/>
    </w:pPr>
    <w:rPr>
      <w:rFonts w:ascii="楷体_GB2312" w:hAnsi="Times New Roman" w:eastAsia="楷体_GB2312" w:cs="Times New Roman"/>
      <w:bCs/>
      <w:sz w:val="24"/>
    </w:rPr>
  </w:style>
  <w:style w:type="paragraph" w:styleId="1271">
    <w:name w:val="文档正文"/>
    <w:basedOn w:val="1053"/>
    <w:next w:val="1271"/>
    <w:link w:val="1053"/>
    <w:pPr>
      <w:spacing w:line="360" w:lineRule="auto"/>
    </w:pPr>
    <w:rPr>
      <w:rFonts w:ascii="宋体" w:hAnsi="宋体" w:eastAsia="宋体" w:cs="Times New Roman"/>
      <w:b/>
      <w:bCs/>
      <w:szCs w:val="24"/>
    </w:rPr>
  </w:style>
  <w:style w:type="paragraph" w:styleId="1272">
    <w:name w:val="_Style 1"/>
    <w:basedOn w:val="1053"/>
    <w:next w:val="1272"/>
    <w:link w:val="1053"/>
    <w:pPr>
      <w:ind w:firstLine="420"/>
    </w:pPr>
    <w:rPr>
      <w:rFonts w:ascii="Calibri" w:hAnsi="Calibri" w:eastAsia="宋体" w:cs="Times New Roman"/>
      <w:szCs w:val="22"/>
    </w:rPr>
  </w:style>
  <w:style w:type="paragraph" w:styleId="1273">
    <w:name w:val="马刚标题3"/>
    <w:basedOn w:val="1053"/>
    <w:next w:val="1053"/>
    <w:link w:val="1053"/>
    <w:pPr>
      <w:ind w:left="567" w:hanging="567"/>
      <w:jc w:val="left"/>
      <w:keepLines/>
      <w:keepNext/>
      <w:spacing w:before="120" w:after="60" w:line="413" w:lineRule="auto"/>
      <w:tabs>
        <w:tab w:val="left" w:pos="567" w:leader="none"/>
        <w:tab w:val="left" w:pos="735" w:leader="none"/>
      </w:tabs>
      <w:outlineLvl w:val="2"/>
    </w:pPr>
    <w:rPr>
      <w:rFonts w:ascii="黑体" w:hAnsi="Arial" w:eastAsia="黑体" w:cs="Times New Roman"/>
      <w:b/>
      <w:bCs/>
      <w:sz w:val="24"/>
    </w:rPr>
  </w:style>
  <w:style w:type="paragraph" w:styleId="1274">
    <w:name w:val="马刚标题4"/>
    <w:basedOn w:val="1273"/>
    <w:next w:val="1053"/>
    <w:link w:val="1053"/>
    <w:pPr>
      <w:spacing w:before="100" w:after="40"/>
      <w:tabs>
        <w:tab w:val="left" w:pos="1050" w:leader="none"/>
      </w:tabs>
      <w:outlineLvl w:val="3"/>
    </w:pPr>
    <w:rPr>
      <w:rFonts w:ascii="Times New Roman" w:hAnsi="Times New Roman" w:eastAsia="宋体" w:cs="Times New Roman"/>
      <w:b w:val="0"/>
    </w:rPr>
  </w:style>
  <w:style w:type="paragraph" w:styleId="1275">
    <w:name w:val="四号正文"/>
    <w:basedOn w:val="1053"/>
    <w:next w:val="1275"/>
    <w:link w:val="1053"/>
    <w:pPr>
      <w:ind w:firstLine="560"/>
      <w:spacing w:before="0" w:after="0"/>
    </w:pPr>
    <w:rPr>
      <w:rFonts w:ascii="Times New Roman" w:hAnsi="Times New Roman" w:eastAsia="宋体" w:cs="Times New Roman"/>
      <w:sz w:val="28"/>
      <w:szCs w:val="28"/>
    </w:rPr>
  </w:style>
  <w:style w:type="paragraph" w:styleId="1276">
    <w:name w:val="flName"/>
    <w:basedOn w:val="1265"/>
    <w:next w:val="1276"/>
    <w:link w:val="1053"/>
    <w:pPr>
      <w:spacing w:before="0" w:line="113" w:lineRule="atLeast"/>
    </w:pPr>
    <w:rPr>
      <w:rFonts w:ascii="Times New Roman" w:hAnsi="Times New Roman" w:eastAsia="宋体" w:cs="Times New Roman"/>
    </w:rPr>
  </w:style>
  <w:style w:type="paragraph" w:styleId="1277">
    <w:name w:val="表格内容"/>
    <w:basedOn w:val="1053"/>
    <w:next w:val="1277"/>
    <w:link w:val="1053"/>
    <w:pPr>
      <w:jc w:val="center"/>
      <w:spacing w:before="60" w:line="300" w:lineRule="auto"/>
      <w:widowControl/>
    </w:pPr>
    <w:rPr>
      <w:rFonts w:ascii="Times New Roman" w:hAnsi="Times New Roman" w:eastAsia="宋体" w:cs="Times New Roman"/>
    </w:rPr>
  </w:style>
  <w:style w:type="paragraph" w:styleId="1278">
    <w:name w:val="丁华正文"/>
    <w:basedOn w:val="1118"/>
    <w:next w:val="1278"/>
    <w:link w:val="1053"/>
    <w:pPr>
      <w:ind w:left="0" w:firstLine="510"/>
      <w:spacing w:line="360" w:lineRule="auto"/>
    </w:pPr>
    <w:rPr>
      <w:rFonts w:ascii="Times New Roman" w:hAnsi="Times New Roman" w:eastAsia="宋体" w:cs="Times New Roman"/>
      <w:color w:val="000000"/>
      <w:sz w:val="24"/>
      <w:szCs w:val="16"/>
    </w:rPr>
  </w:style>
  <w:style w:type="paragraph" w:styleId="1279">
    <w:name w:val="丁华标题1"/>
    <w:basedOn w:val="1054"/>
    <w:next w:val="1278"/>
    <w:link w:val="1053"/>
    <w:pPr>
      <w:numPr>
        <w:ilvl w:val="0"/>
        <w:numId w:val="1"/>
      </w:numPr>
      <w:jc w:val="left"/>
      <w:keepLines/>
      <w:spacing w:before="600" w:after="120" w:line="578" w:lineRule="auto"/>
      <w:tabs>
        <w:tab w:val="left" w:pos="567" w:leader="none"/>
        <w:tab w:val="left" w:pos="1440" w:leader="none"/>
      </w:tabs>
    </w:pPr>
    <w:rPr>
      <w:rFonts w:ascii="Times New Roman" w:hAnsi="Times New Roman" w:eastAsia="宋体" w:cs="Times New Roman"/>
      <w:b w:val="0"/>
      <w:sz w:val="32"/>
      <w:szCs w:val="20"/>
    </w:rPr>
  </w:style>
  <w:style w:type="paragraph" w:styleId="1280">
    <w:name w:val=" Char1 Char Char Char"/>
    <w:basedOn w:val="1053"/>
    <w:next w:val="1280"/>
    <w:link w:val="1053"/>
    <w:rPr>
      <w:rFonts w:ascii="Tahoma" w:hAnsi="Tahoma" w:eastAsia="宋体" w:cs="Times New Roman"/>
      <w:sz w:val="24"/>
    </w:rPr>
  </w:style>
  <w:style w:type="paragraph" w:styleId="1281">
    <w:name w:val="正文 + 宋体"/>
    <w:basedOn w:val="1053"/>
    <w:next w:val="1281"/>
    <w:link w:val="1053"/>
    <w:pPr>
      <w:ind w:firstLine="420"/>
      <w:spacing w:line="360" w:lineRule="auto"/>
    </w:pPr>
    <w:rPr>
      <w:rFonts w:ascii="Times New Roman" w:hAnsi="Times New Roman" w:eastAsia="宋体" w:cs="Times New Roman"/>
      <w:szCs w:val="24"/>
    </w:rPr>
  </w:style>
  <w:style w:type="paragraph" w:styleId="1282">
    <w:name w:val="二级标题"/>
    <w:basedOn w:val="1053"/>
    <w:next w:val="1282"/>
    <w:link w:val="1053"/>
    <w:pPr>
      <w:ind w:firstLine="482"/>
      <w:jc w:val="left"/>
      <w:spacing w:before="0" w:after="0" w:line="300" w:lineRule="auto"/>
      <w:widowControl/>
      <w:outlineLvl w:val="1"/>
    </w:pPr>
    <w:rPr>
      <w:rFonts w:ascii="宋体" w:hAnsi="宋体" w:eastAsia="宋体" w:cs="Times New Roman"/>
      <w:b/>
      <w:color w:val="000000"/>
      <w:sz w:val="24"/>
      <w:szCs w:val="24"/>
    </w:rPr>
  </w:style>
  <w:style w:type="paragraph" w:styleId="1283">
    <w:name w:val="Char Char Char Char Char Char Char Char Char Char Char"/>
    <w:basedOn w:val="1053"/>
    <w:next w:val="1283"/>
    <w:link w:val="1053"/>
    <w:rPr>
      <w:rFonts w:ascii="Tahoma" w:hAnsi="Tahoma" w:eastAsia="宋体" w:cs="Tahoma"/>
      <w:sz w:val="24"/>
    </w:rPr>
  </w:style>
  <w:style w:type="paragraph" w:styleId="1284">
    <w:name w:val="xl49"/>
    <w:basedOn w:val="1053"/>
    <w:next w:val="1284"/>
    <w:link w:val="1053"/>
    <w:pPr>
      <w:jc w:val="center"/>
      <w:spacing w:before="100" w:beforeAutospacing="1" w:after="100" w:afterAutospacing="1"/>
      <w:widowControl/>
      <w:pBdr>
        <w:left w:val="single" w:color="000000" w:sz="4" w:space="0"/>
        <w:right w:val="single" w:color="000000" w:sz="4" w:space="0"/>
      </w:pBdr>
    </w:pPr>
    <w:rPr>
      <w:rFonts w:ascii="Times New Roman" w:hAnsi="Times New Roman" w:eastAsia="宋体" w:cs="Times New Roman"/>
      <w:b/>
      <w:bCs/>
      <w:sz w:val="20"/>
    </w:rPr>
  </w:style>
  <w:style w:type="paragraph" w:styleId="1285">
    <w:name w:val="Char Char1"/>
    <w:basedOn w:val="1053"/>
    <w:next w:val="1285"/>
    <w:link w:val="1053"/>
    <w:rPr>
      <w:rFonts w:ascii="Tahoma" w:hAnsi="Tahoma" w:eastAsia="宋体" w:cs="Tahoma"/>
      <w:sz w:val="24"/>
    </w:rPr>
  </w:style>
  <w:style w:type="paragraph" w:styleId="1286">
    <w:name w:val="List Paragraph"/>
    <w:basedOn w:val="1053"/>
    <w:next w:val="1286"/>
    <w:link w:val="1053"/>
    <w:pPr>
      <w:contextualSpacing/>
      <w:ind w:left="720"/>
      <w:jc w:val="left"/>
      <w:widowControl/>
    </w:pPr>
    <w:rPr>
      <w:rFonts w:ascii="Arial" w:hAnsi="Arial" w:eastAsia="黑体" w:cs="Times New Roman"/>
      <w:sz w:val="24"/>
      <w:szCs w:val="24"/>
      <w:lang w:eastAsia="en-US"/>
    </w:rPr>
  </w:style>
  <w:style w:type="paragraph" w:styleId="1287">
    <w:name w:val="样式"/>
    <w:basedOn w:val="1053"/>
    <w:next w:val="1287"/>
    <w:link w:val="1053"/>
    <w:pPr>
      <w:spacing w:before="120" w:after="120" w:line="360" w:lineRule="auto"/>
    </w:pPr>
    <w:rPr>
      <w:rFonts w:ascii="宋体" w:hAnsi="Times New Roman" w:eastAsia="宋体" w:cs="Times New Roman"/>
      <w:sz w:val="24"/>
    </w:rPr>
  </w:style>
  <w:style w:type="paragraph" w:styleId="1288">
    <w:name w:val="font14"/>
    <w:basedOn w:val="1053"/>
    <w:next w:val="1288"/>
    <w:link w:val="1053"/>
    <w:pPr>
      <w:jc w:val="left"/>
      <w:spacing w:before="100" w:beforeAutospacing="1" w:after="100" w:afterAutospacing="1"/>
      <w:widowControl/>
    </w:pPr>
    <w:rPr>
      <w:rFonts w:ascii="Times New Roman" w:hAnsi="Times New Roman" w:eastAsia="宋体" w:cs="Times New Roman"/>
      <w:sz w:val="36"/>
      <w:szCs w:val="36"/>
    </w:rPr>
  </w:style>
  <w:style w:type="paragraph" w:styleId="1289">
    <w:name w:val="正文 首行缩进:  2 字符 Char Char"/>
    <w:basedOn w:val="1053"/>
    <w:next w:val="1289"/>
    <w:link w:val="1053"/>
    <w:pPr>
      <w:ind w:firstLine="480"/>
      <w:spacing w:line="360" w:lineRule="auto"/>
    </w:pPr>
    <w:rPr>
      <w:rFonts w:ascii="楷体_GB2312" w:hAnsi="Times New Roman" w:eastAsia="楷体_GB2312" w:cs="Times New Roman"/>
      <w:bCs/>
      <w:sz w:val="24"/>
      <w:szCs w:val="24"/>
    </w:rPr>
  </w:style>
  <w:style w:type="paragraph" w:styleId="1290">
    <w:name w:val="样式1"/>
    <w:basedOn w:val="1053"/>
    <w:next w:val="1290"/>
    <w:link w:val="1053"/>
    <w:pPr>
      <w:ind w:firstLine="480"/>
      <w:spacing w:line="300" w:lineRule="auto"/>
    </w:pPr>
    <w:rPr>
      <w:rFonts w:ascii="Times New Roman" w:hAnsi="Times New Roman" w:eastAsia="宋体" w:cs="Times New Roman"/>
      <w:sz w:val="24"/>
      <w:szCs w:val="24"/>
    </w:rPr>
  </w:style>
  <w:style w:type="paragraph" w:styleId="1291">
    <w:name w:val="Char Char Char Char Char"/>
    <w:basedOn w:val="1053"/>
    <w:next w:val="1291"/>
    <w:link w:val="1053"/>
    <w:rPr>
      <w:rFonts w:ascii="Tahoma" w:hAnsi="Tahoma" w:eastAsia="宋体" w:cs="Tahoma"/>
      <w:sz w:val="24"/>
    </w:rPr>
  </w:style>
  <w:style w:type="paragraph" w:styleId="1292">
    <w:name w:val="xl31"/>
    <w:basedOn w:val="1053"/>
    <w:next w:val="1292"/>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楷体_GB2312" w:hAnsi="宋体" w:eastAsia="楷体_GB2312" w:cs="宋体"/>
      <w:b/>
      <w:bCs/>
      <w:sz w:val="24"/>
      <w:szCs w:val="24"/>
    </w:rPr>
  </w:style>
  <w:style w:type="paragraph" w:styleId="1293">
    <w:name w:val="正文 首行缩进:  2 字符 Char"/>
    <w:basedOn w:val="1053"/>
    <w:next w:val="1293"/>
    <w:link w:val="1053"/>
    <w:pPr>
      <w:ind w:firstLine="480"/>
      <w:spacing w:line="360" w:lineRule="auto"/>
    </w:pPr>
    <w:rPr>
      <w:rFonts w:ascii="Times New Roman" w:hAnsi="Times New Roman" w:eastAsia="宋体" w:cs="宋体"/>
      <w:sz w:val="24"/>
    </w:rPr>
  </w:style>
  <w:style w:type="paragraph" w:styleId="1294">
    <w:name w:val=" Char Char Char Char Char Char Char Char Char Char Char"/>
    <w:basedOn w:val="1053"/>
    <w:next w:val="1294"/>
    <w:link w:val="1053"/>
    <w:rPr>
      <w:rFonts w:ascii="Tahoma" w:hAnsi="Tahoma" w:eastAsia="宋体" w:cs="Times New Roman"/>
      <w:sz w:val="24"/>
    </w:rPr>
  </w:style>
  <w:style w:type="paragraph" w:styleId="1295">
    <w:name w:val="列出段落"/>
    <w:basedOn w:val="1053"/>
    <w:next w:val="1295"/>
    <w:link w:val="1053"/>
    <w:qFormat/>
    <w:pPr>
      <w:ind w:firstLine="420"/>
    </w:pPr>
    <w:rPr>
      <w:rFonts w:ascii="Times New Roman" w:hAnsi="Times New Roman" w:eastAsia="宋体" w:cs="Times New Roman"/>
      <w:szCs w:val="24"/>
    </w:rPr>
  </w:style>
  <w:style w:type="paragraph" w:styleId="1296">
    <w:name w:val="No Spacing"/>
    <w:next w:val="1296"/>
    <w:link w:val="1053"/>
    <w:pPr>
      <w:jc w:val="both"/>
      <w:widowControl w:val="off"/>
    </w:pPr>
    <w:rPr>
      <w:rFonts w:eastAsia="微软雅黑"/>
      <w:sz w:val="24"/>
      <w:szCs w:val="22"/>
      <w:lang w:val="en-US" w:eastAsia="zh-CN" w:bidi="ar-SA"/>
    </w:rPr>
  </w:style>
  <w:style w:type="paragraph" w:styleId="1297">
    <w:name w:val="retrait3"/>
    <w:basedOn w:val="1053"/>
    <w:next w:val="1297"/>
    <w:link w:val="1053"/>
    <w:pPr>
      <w:ind w:left="851"/>
      <w:jc w:val="left"/>
      <w:spacing w:before="20" w:after="20"/>
      <w:widowControl/>
    </w:pPr>
    <w:rPr>
      <w:rFonts w:ascii="Arial" w:hAnsi="Arial" w:eastAsia="宋体" w:cs="Times New Roman"/>
      <w:sz w:val="24"/>
      <w:lang w:val="en-GB"/>
    </w:rPr>
  </w:style>
  <w:style w:type="paragraph" w:styleId="1298">
    <w:name w:val="tableau"/>
    <w:basedOn w:val="1053"/>
    <w:next w:val="1298"/>
    <w:link w:val="1053"/>
    <w:pPr>
      <w:jc w:val="center"/>
      <w:spacing w:before="20" w:after="20"/>
      <w:widowControl/>
    </w:pPr>
    <w:rPr>
      <w:rFonts w:ascii="Arial" w:hAnsi="Arial" w:eastAsia="宋体" w:cs="Times New Roman"/>
      <w:sz w:val="16"/>
      <w:lang w:val="en-GB" w:eastAsia="en-US"/>
    </w:rPr>
  </w:style>
  <w:style w:type="paragraph" w:styleId="1299">
    <w:name w:val="xl36"/>
    <w:basedOn w:val="1053"/>
    <w:next w:val="1299"/>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00">
    <w:name w:val="Char Char1 Char Char Char Char"/>
    <w:basedOn w:val="1082"/>
    <w:next w:val="1300"/>
    <w:link w:val="1053"/>
    <w:pPr>
      <w:ind w:left="357"/>
      <w:jc w:val="left"/>
      <w:spacing w:line="436" w:lineRule="exact"/>
      <w:outlineLvl w:val="3"/>
    </w:pPr>
    <w:rPr>
      <w:rFonts w:ascii="Tahoma" w:hAnsi="Tahoma" w:eastAsia="宋体" w:cs="Tahoma"/>
      <w:b/>
      <w:sz w:val="24"/>
      <w:szCs w:val="24"/>
    </w:rPr>
  </w:style>
  <w:style w:type="paragraph" w:styleId="1301">
    <w:name w:val="_Style 42"/>
    <w:basedOn w:val="1053"/>
    <w:next w:val="1090"/>
    <w:link w:val="1053"/>
    <w:rPr>
      <w:rFonts w:ascii="楷体_GB2312" w:hAnsi="Arial" w:eastAsia="楷体_GB2312" w:cs="Times New Roman"/>
      <w:sz w:val="28"/>
    </w:rPr>
  </w:style>
  <w:style w:type="paragraph" w:styleId="1302">
    <w:name w:val="xl28"/>
    <w:basedOn w:val="1053"/>
    <w:next w:val="1302"/>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03">
    <w:name w:val="正文格式"/>
    <w:basedOn w:val="1053"/>
    <w:next w:val="1303"/>
    <w:link w:val="1053"/>
    <w:pPr>
      <w:ind w:left="178" w:right="44" w:hanging="178"/>
      <w:jc w:val="left"/>
      <w:spacing w:before="78" w:line="360" w:lineRule="auto"/>
      <w:widowControl/>
    </w:pPr>
    <w:rPr>
      <w:rFonts w:ascii="宋体" w:hAnsi="宋体" w:eastAsia="宋体" w:cs="Times New Roman"/>
      <w:bCs/>
      <w:szCs w:val="21"/>
    </w:rPr>
  </w:style>
  <w:style w:type="paragraph" w:styleId="1304">
    <w:name w:val="项目符号，一级"/>
    <w:basedOn w:val="1303"/>
    <w:next w:val="1303"/>
    <w:link w:val="1053"/>
    <w:pPr>
      <w:ind w:left="376" w:firstLine="0"/>
      <w:spacing w:line="240" w:lineRule="atLeast"/>
      <w:tabs>
        <w:tab w:val="left" w:pos="1320" w:leader="none"/>
      </w:tabs>
    </w:pPr>
    <w:rPr>
      <w:rFonts w:ascii="Times New Roman" w:hAnsi="Times New Roman" w:eastAsia="宋体" w:cs="Times New Roman"/>
      <w:bCs w:val="0"/>
      <w:color w:val="000000"/>
      <w:szCs w:val="24"/>
    </w:rPr>
  </w:style>
  <w:style w:type="paragraph" w:styleId="1305">
    <w:name w:val="xl37"/>
    <w:basedOn w:val="1053"/>
    <w:next w:val="1305"/>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06">
    <w:name w:val="项目符号，二级"/>
    <w:basedOn w:val="1303"/>
    <w:next w:val="1303"/>
    <w:link w:val="1053"/>
    <w:pPr>
      <w:ind w:left="1337" w:right="-27" w:firstLine="480"/>
      <w:tabs>
        <w:tab w:val="left" w:pos="567" w:leader="none"/>
        <w:tab w:val="left" w:pos="1211" w:leader="none"/>
        <w:tab w:val="left" w:pos="1337" w:leader="none"/>
      </w:tabs>
    </w:pPr>
    <w:rPr>
      <w:rFonts w:ascii="Times New Roman" w:hAnsi="Times New Roman" w:eastAsia="宋体" w:cs="Times New Roman"/>
      <w:bCs w:val="0"/>
      <w:color w:val="000000"/>
      <w:sz w:val="24"/>
      <w:szCs w:val="24"/>
    </w:rPr>
  </w:style>
  <w:style w:type="paragraph" w:styleId="1307">
    <w:name w:val="xl59"/>
    <w:basedOn w:val="1053"/>
    <w:next w:val="1307"/>
    <w:link w:val="1053"/>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08">
    <w:name w:val="小四 段落 宋体 Char"/>
    <w:basedOn w:val="1080"/>
    <w:next w:val="1308"/>
    <w:link w:val="1053"/>
    <w:pPr>
      <w:ind w:left="0" w:right="-33" w:firstLine="600"/>
      <w:jc w:val="left"/>
      <w:tabs>
        <w:tab w:val="clear" w:pos="2952" w:leader="none"/>
      </w:tabs>
    </w:pPr>
    <w:rPr>
      <w:rFonts w:ascii="仿宋_GB2312" w:hAnsi="Times New Roman" w:eastAsia="仿宋_GB2312" w:cs="Times New Roman"/>
      <w:sz w:val="30"/>
      <w:szCs w:val="30"/>
    </w:rPr>
  </w:style>
  <w:style w:type="paragraph" w:styleId="1309">
    <w:name w:val="xl60"/>
    <w:basedOn w:val="1053"/>
    <w:next w:val="1309"/>
    <w:link w:val="10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310">
    <w:name w:val="Char Char Char Char Char Char Char Char Char Char Char Char Char"/>
    <w:basedOn w:val="1053"/>
    <w:next w:val="1310"/>
    <w:link w:val="1053"/>
    <w:pPr>
      <w:jc w:val="left"/>
      <w:spacing w:after="160" w:line="240" w:lineRule="exact"/>
      <w:widowControl/>
    </w:pPr>
    <w:rPr>
      <w:rFonts w:ascii="Times New Roman" w:hAnsi="Times New Roman" w:eastAsia="宋体" w:cs="Times New Roman"/>
      <w:szCs w:val="24"/>
    </w:rPr>
  </w:style>
  <w:style w:type="paragraph" w:styleId="1311">
    <w:name w:val="表头_5"/>
    <w:basedOn w:val="1053"/>
    <w:next w:val="1311"/>
    <w:link w:val="1053"/>
    <w:pPr>
      <w:spacing w:line="360" w:lineRule="auto"/>
    </w:pPr>
    <w:rPr>
      <w:rFonts w:ascii="Times New Roman" w:hAnsi="Times New Roman" w:eastAsia="宋体" w:cs="Times New Roman"/>
      <w:b/>
      <w:bCs/>
      <w:sz w:val="28"/>
      <w:szCs w:val="21"/>
    </w:rPr>
  </w:style>
  <w:style w:type="paragraph" w:styleId="1312">
    <w:name w:val="样式 标题 3H3sect1.2.3BOD 0Heading 3 - oldh3l3CTLevel 3 Head..."/>
    <w:basedOn w:val="1056"/>
    <w:next w:val="1312"/>
    <w:link w:val="1053"/>
    <w:pPr>
      <w:jc w:val="left"/>
      <w:spacing w:before="156" w:after="156"/>
    </w:pPr>
    <w:rPr>
      <w:rFonts w:ascii="Times New Roman" w:hAnsi="Times New Roman" w:eastAsia="宋体" w:cs="宋体"/>
      <w:bCs/>
      <w:sz w:val="30"/>
    </w:rPr>
  </w:style>
  <w:style w:type="paragraph" w:styleId="1313">
    <w:name w:val="样式2"/>
    <w:basedOn w:val="1053"/>
    <w:next w:val="1313"/>
    <w:link w:val="1053"/>
    <w:pPr>
      <w:ind w:left="200"/>
      <w:spacing w:line="360" w:lineRule="auto"/>
    </w:pPr>
    <w:rPr>
      <w:rFonts w:ascii="宋体" w:hAnsi="宋体" w:eastAsia="宋体" w:cs="Times New Roman"/>
      <w:b/>
      <w:sz w:val="24"/>
      <w:szCs w:val="24"/>
    </w:rPr>
  </w:style>
  <w:style w:type="paragraph" w:styleId="1314">
    <w:name w:val=" Char Char Char Char Char Char Char"/>
    <w:basedOn w:val="1053"/>
    <w:next w:val="1314"/>
    <w:link w:val="1053"/>
    <w:rPr>
      <w:rFonts w:ascii="Tahoma" w:hAnsi="Tahoma" w:eastAsia="宋体" w:cs="Times New Roman"/>
      <w:sz w:val="24"/>
    </w:rPr>
  </w:style>
  <w:style w:type="paragraph" w:styleId="1315">
    <w:name w:val="Default Text"/>
    <w:basedOn w:val="1053"/>
    <w:next w:val="1315"/>
    <w:link w:val="1053"/>
    <w:pPr>
      <w:jc w:val="left"/>
      <w:widowControl/>
    </w:pPr>
    <w:rPr>
      <w:rFonts w:ascii="Times New Roman" w:hAnsi="Times New Roman" w:eastAsia="宋体" w:cs="Times New Roman"/>
      <w:sz w:val="24"/>
      <w:lang w:eastAsia="en-US"/>
    </w:rPr>
  </w:style>
  <w:style w:type="paragraph" w:styleId="1316">
    <w:name w:val="Char Char Char Char Char Char Char Char Char Char Char Char Char Char Char Char Char Char Char Char Char Char Char"/>
    <w:basedOn w:val="1053"/>
    <w:next w:val="1316"/>
    <w:link w:val="1053"/>
    <w:rPr>
      <w:rFonts w:ascii="Tahoma" w:hAnsi="Tahoma" w:eastAsia="宋体" w:cs="Tahoma"/>
      <w:sz w:val="24"/>
    </w:rPr>
  </w:style>
  <w:style w:type="paragraph" w:styleId="1317">
    <w:name w:val="Bullets L1"/>
    <w:basedOn w:val="1053"/>
    <w:next w:val="1317"/>
    <w:link w:val="1053"/>
    <w:pPr>
      <w:numPr>
        <w:ilvl w:val="0"/>
        <w:numId w:val="2"/>
      </w:numPr>
      <w:jc w:val="left"/>
      <w:spacing w:before="60" w:after="60"/>
      <w:widowControl/>
      <w:tabs>
        <w:tab w:val="left" w:pos="360" w:leader="none"/>
      </w:tabs>
    </w:pPr>
    <w:rPr>
      <w:rFonts w:ascii="Arial" w:hAnsi="Arial" w:eastAsia="宋体" w:cs="Times New Roman"/>
      <w:sz w:val="20"/>
    </w:rPr>
  </w:style>
  <w:style w:type="paragraph" w:styleId="1318">
    <w:name w:val=" Char Char Char Char Char Char Char Char Char Char Char Char Char"/>
    <w:basedOn w:val="1082"/>
    <w:next w:val="1318"/>
    <w:link w:val="1053"/>
    <w:rPr>
      <w:rFonts w:ascii="Tahoma" w:hAnsi="Tahoma" w:eastAsia="宋体" w:cs="Times New Roman"/>
      <w:sz w:val="24"/>
      <w:szCs w:val="24"/>
    </w:rPr>
  </w:style>
  <w:style w:type="paragraph" w:styleId="1319">
    <w:name w:val="默认段落字体 Para Char"/>
    <w:basedOn w:val="1053"/>
    <w:next w:val="1319"/>
    <w:link w:val="1053"/>
    <w:rPr>
      <w:rFonts w:ascii="Times New Roman" w:hAnsi="Times New Roman" w:eastAsia="宋体" w:cs="Times New Roman"/>
      <w:sz w:val="24"/>
      <w:szCs w:val="24"/>
    </w:rPr>
  </w:style>
  <w:style w:type="paragraph" w:styleId="1320">
    <w:name w:val="标准小四"/>
    <w:basedOn w:val="1053"/>
    <w:next w:val="1320"/>
    <w:link w:val="1053"/>
    <w:pPr>
      <w:ind w:firstLine="480"/>
      <w:spacing w:line="360" w:lineRule="auto"/>
    </w:pPr>
    <w:rPr>
      <w:rFonts w:ascii="Arial" w:hAnsi="Arial" w:eastAsia="宋体" w:cs="Times New Roman"/>
      <w:sz w:val="24"/>
      <w:szCs w:val="21"/>
    </w:rPr>
  </w:style>
  <w:style w:type="paragraph" w:styleId="1321">
    <w:name w:val="马刚标题1"/>
    <w:basedOn w:val="1054"/>
    <w:next w:val="1053"/>
    <w:link w:val="1053"/>
    <w:pPr>
      <w:ind w:left="567" w:hanging="567"/>
      <w:jc w:val="left"/>
      <w:keepLines/>
      <w:spacing w:before="400" w:after="120" w:line="576" w:lineRule="auto"/>
      <w:tabs>
        <w:tab w:val="left" w:pos="315" w:leader="none"/>
        <w:tab w:val="left" w:pos="567" w:leader="none"/>
      </w:tabs>
    </w:pPr>
    <w:rPr>
      <w:rFonts w:ascii="Times New Roman" w:hAnsi="Times New Roman" w:eastAsia="宋体" w:cs="Times New Roman"/>
      <w:b w:val="0"/>
      <w:sz w:val="32"/>
      <w:szCs w:val="20"/>
    </w:rPr>
  </w:style>
  <w:style w:type="paragraph" w:styleId="1322">
    <w:name w:val="font13"/>
    <w:basedOn w:val="1053"/>
    <w:next w:val="1322"/>
    <w:link w:val="1053"/>
    <w:pPr>
      <w:jc w:val="left"/>
      <w:spacing w:before="100" w:beforeAutospacing="1" w:after="100" w:afterAutospacing="1"/>
      <w:widowControl/>
    </w:pPr>
    <w:rPr>
      <w:rFonts w:ascii="Times New Roman" w:hAnsi="Times New Roman" w:eastAsia="宋体" w:cs="Times New Roman"/>
      <w:i/>
      <w:iCs/>
      <w:sz w:val="36"/>
      <w:szCs w:val="36"/>
    </w:rPr>
  </w:style>
  <w:style w:type="paragraph" w:styleId="1323">
    <w:name w:val="font11"/>
    <w:basedOn w:val="1053"/>
    <w:next w:val="1323"/>
    <w:link w:val="1053"/>
    <w:pPr>
      <w:jc w:val="left"/>
      <w:spacing w:before="100" w:beforeAutospacing="1" w:after="100" w:afterAutospacing="1"/>
      <w:widowControl/>
    </w:pPr>
    <w:rPr>
      <w:rFonts w:ascii="Times New Roman" w:hAnsi="Times New Roman" w:eastAsia="宋体" w:cs="Times New Roman"/>
      <w:b/>
      <w:bCs/>
      <w:sz w:val="18"/>
      <w:szCs w:val="18"/>
    </w:rPr>
  </w:style>
  <w:style w:type="paragraph" w:styleId="1324">
    <w:name w:val="00-表格的正文"/>
    <w:basedOn w:val="1053"/>
    <w:next w:val="1324"/>
    <w:link w:val="1053"/>
    <w:pPr>
      <w:jc w:val="left"/>
      <w:spacing w:line="440" w:lineRule="exact"/>
    </w:pPr>
    <w:rPr>
      <w:rFonts w:ascii="楷体" w:hAnsi="楷体" w:eastAsia="宋体" w:cs="Times New Roman"/>
      <w:color w:val="000000"/>
      <w:sz w:val="20"/>
      <w:szCs w:val="24"/>
    </w:rPr>
  </w:style>
  <w:style w:type="paragraph" w:styleId="1325">
    <w:name w:val="a0"/>
    <w:basedOn w:val="1053"/>
    <w:next w:val="1325"/>
    <w:link w:val="1053"/>
    <w:pPr>
      <w:spacing w:before="100" w:beforeAutospacing="1" w:after="100" w:afterAutospacing="1"/>
      <w:widowControl/>
    </w:pPr>
    <w:rPr>
      <w:rFonts w:ascii="宋体" w:hAnsi="宋体" w:eastAsia="宋体" w:cs="宋体"/>
      <w:sz w:val="24"/>
      <w:szCs w:val="24"/>
    </w:rPr>
  </w:style>
  <w:style w:type="paragraph" w:styleId="1326">
    <w:name w:val="xl32"/>
    <w:basedOn w:val="1053"/>
    <w:next w:val="1326"/>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27">
    <w:name w:val="Char Char Char Char Char Char Char Char"/>
    <w:basedOn w:val="1053"/>
    <w:next w:val="1327"/>
    <w:link w:val="1053"/>
    <w:rPr>
      <w:rFonts w:ascii="Tahoma" w:hAnsi="Tahoma" w:eastAsia="宋体" w:cs="Tahoma"/>
      <w:sz w:val="24"/>
    </w:rPr>
  </w:style>
  <w:style w:type="paragraph" w:styleId="1328">
    <w:name w:val="正文文本 21"/>
    <w:basedOn w:val="1053"/>
    <w:next w:val="1328"/>
    <w:link w:val="1053"/>
    <w:pPr>
      <w:ind w:left="720" w:hanging="720"/>
      <w:widowControl/>
    </w:pPr>
    <w:rPr>
      <w:rFonts w:ascii="Times New Roman" w:hAnsi="Times New Roman" w:eastAsia="宋体" w:cs="Times New Roman"/>
      <w:sz w:val="24"/>
      <w:lang w:val="en-GB"/>
    </w:rPr>
  </w:style>
  <w:style w:type="paragraph" w:styleId="1329">
    <w:name w:val="项目符号：一级"/>
    <w:basedOn w:val="1303"/>
    <w:next w:val="1303"/>
    <w:link w:val="1053"/>
    <w:pPr>
      <w:ind w:right="-134"/>
    </w:pPr>
    <w:rPr>
      <w:rFonts w:ascii="Times New Roman" w:hAnsi="Times New Roman" w:eastAsia="宋体" w:cs="Times New Roman"/>
      <w:bCs w:val="0"/>
    </w:rPr>
  </w:style>
  <w:style w:type="paragraph" w:styleId="1330">
    <w:name w:val="符号与编号 Char"/>
    <w:basedOn w:val="1053"/>
    <w:next w:val="1330"/>
    <w:link w:val="1053"/>
    <w:pPr>
      <w:ind w:left="720"/>
      <w:spacing w:after="156" w:line="400" w:lineRule="atLeast"/>
      <w:tabs>
        <w:tab w:val="left" w:pos="720" w:leader="none"/>
      </w:tabs>
    </w:pPr>
    <w:rPr>
      <w:rFonts w:ascii="Times New Roman" w:hAnsi="Times New Roman" w:eastAsia="宋体" w:cs="Times New Roman"/>
      <w:sz w:val="24"/>
      <w:szCs w:val="24"/>
    </w:rPr>
  </w:style>
  <w:style w:type="paragraph" w:styleId="1331">
    <w:name w:val="a"/>
    <w:basedOn w:val="1053"/>
    <w:next w:val="1331"/>
    <w:link w:val="1053"/>
    <w:pPr>
      <w:spacing w:before="100" w:beforeAutospacing="1" w:after="100" w:afterAutospacing="1"/>
      <w:widowControl/>
    </w:pPr>
    <w:rPr>
      <w:rFonts w:ascii="宋体" w:hAnsi="宋体" w:eastAsia="宋体" w:cs="宋体"/>
      <w:sz w:val="24"/>
      <w:szCs w:val="24"/>
    </w:rPr>
  </w:style>
  <w:style w:type="paragraph" w:styleId="1332">
    <w:name w:val="xl57"/>
    <w:basedOn w:val="1053"/>
    <w:next w:val="1332"/>
    <w:link w:val="1053"/>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i/>
      <w:iCs/>
      <w:sz w:val="20"/>
    </w:rPr>
  </w:style>
  <w:style w:type="paragraph" w:styleId="1333">
    <w:name w:val="正文1"/>
    <w:basedOn w:val="1053"/>
    <w:next w:val="1053"/>
    <w:link w:val="1053"/>
    <w:pPr>
      <w:ind w:firstLine="510"/>
      <w:spacing w:before="156" w:line="360" w:lineRule="auto"/>
    </w:pPr>
    <w:rPr>
      <w:rFonts w:ascii="Times New Roman" w:hAnsi="Times New Roman" w:eastAsia="宋体" w:cs="Times New Roman"/>
      <w:sz w:val="24"/>
    </w:rPr>
  </w:style>
  <w:style w:type="paragraph" w:styleId="1334">
    <w:name w:val="Char Char Char"/>
    <w:basedOn w:val="1053"/>
    <w:next w:val="1334"/>
    <w:link w:val="1053"/>
    <w:rPr>
      <w:rFonts w:ascii="Tahoma" w:hAnsi="Tahoma" w:eastAsia="宋体" w:cs="Times New Roman"/>
      <w:sz w:val="24"/>
    </w:rPr>
  </w:style>
  <w:style w:type="paragraph" w:styleId="1335">
    <w:name w:val="行文"/>
    <w:basedOn w:val="1053"/>
    <w:next w:val="1335"/>
    <w:link w:val="1053"/>
    <w:pPr>
      <w:ind w:firstLine="624"/>
      <w:spacing w:before="0" w:after="0" w:line="480" w:lineRule="exact"/>
    </w:pPr>
    <w:rPr>
      <w:rFonts w:ascii="Times New Roman" w:hAnsi="Times New Roman" w:eastAsia="仿宋_GB2312" w:cs="Times New Roman"/>
      <w:spacing w:val="8"/>
      <w:sz w:val="30"/>
    </w:rPr>
  </w:style>
  <w:style w:type="paragraph" w:styleId="1336">
    <w:name w:val="font7"/>
    <w:basedOn w:val="1053"/>
    <w:next w:val="1336"/>
    <w:link w:val="1053"/>
    <w:pPr>
      <w:jc w:val="left"/>
      <w:spacing w:before="100" w:beforeAutospacing="1" w:after="100" w:afterAutospacing="1"/>
      <w:widowControl/>
    </w:pPr>
    <w:rPr>
      <w:rFonts w:hint="eastAsia" w:ascii="宋体" w:hAnsi="宋体" w:eastAsia="宋体" w:cs="Times New Roman"/>
      <w:b/>
      <w:bCs/>
      <w:sz w:val="24"/>
      <w:szCs w:val="24"/>
    </w:rPr>
  </w:style>
  <w:style w:type="paragraph" w:styleId="1337">
    <w:name w:val=" Char Char Char Char Char Char Char Char"/>
    <w:basedOn w:val="1053"/>
    <w:next w:val="1337"/>
    <w:link w:val="1053"/>
    <w:rPr>
      <w:rFonts w:ascii="Tahoma" w:hAnsi="Tahoma" w:eastAsia="宋体" w:cs="Times New Roman"/>
      <w:sz w:val="24"/>
    </w:rPr>
  </w:style>
  <w:style w:type="paragraph" w:styleId="1338">
    <w:name w:val="样式 正文缩进2字符 + 左侧:  2 字符 首行缩进:  2 字符"/>
    <w:basedOn w:val="1053"/>
    <w:next w:val="1338"/>
    <w:link w:val="1053"/>
    <w:pPr>
      <w:ind w:firstLine="480"/>
      <w:spacing w:line="360" w:lineRule="auto"/>
    </w:pPr>
    <w:rPr>
      <w:rFonts w:ascii="Times New Roman" w:hAnsi="Times New Roman" w:eastAsia="宋体" w:cs="宋体"/>
      <w:bCs/>
      <w:sz w:val="24"/>
      <w:szCs w:val="20"/>
    </w:rPr>
  </w:style>
  <w:style w:type="paragraph" w:styleId="1339">
    <w:name w:val="表格内文字"/>
    <w:basedOn w:val="1053"/>
    <w:next w:val="1339"/>
    <w:link w:val="1053"/>
    <w:pPr>
      <w:spacing w:line="300" w:lineRule="atLeast"/>
    </w:pPr>
    <w:rPr>
      <w:rFonts w:ascii="Times New Roman" w:hAnsi="Times New Roman" w:eastAsia="宋体" w:cs="Times New Roman"/>
      <w:sz w:val="18"/>
      <w:szCs w:val="24"/>
    </w:rPr>
  </w:style>
  <w:style w:type="paragraph" w:styleId="1340">
    <w:name w:val="xl46"/>
    <w:basedOn w:val="1053"/>
    <w:next w:val="1340"/>
    <w:link w:val="1053"/>
    <w:pPr>
      <w:jc w:val="center"/>
      <w:spacing w:before="100" w:beforeAutospacing="1" w:after="100" w:afterAutospacing="1"/>
      <w:widowControl/>
      <w:pBdr>
        <w:left w:val="single" w:color="000000" w:sz="4" w:space="0"/>
        <w:right w:val="single" w:color="000000" w:sz="4" w:space="0"/>
      </w:pBdr>
    </w:pPr>
    <w:rPr>
      <w:rFonts w:ascii="宋体" w:hAnsi="宋体" w:eastAsia="宋体" w:cs="宋体"/>
      <w:sz w:val="24"/>
      <w:szCs w:val="24"/>
    </w:rPr>
  </w:style>
  <w:style w:type="paragraph" w:styleId="1341">
    <w:name w:val=" Char Char Char Char"/>
    <w:basedOn w:val="1053"/>
    <w:next w:val="1341"/>
    <w:link w:val="1053"/>
    <w:pPr>
      <w:jc w:val="center"/>
      <w:spacing w:after="160" w:line="240" w:lineRule="exact"/>
      <w:widowControl/>
    </w:pPr>
    <w:rPr>
      <w:rFonts w:ascii="黑体" w:hAnsi="Verdana" w:eastAsia="黑体" w:cs="Times New Roman"/>
      <w:sz w:val="32"/>
      <w:szCs w:val="32"/>
      <w:lang w:eastAsia="en-US"/>
    </w:rPr>
  </w:style>
  <w:style w:type="paragraph" w:styleId="1342">
    <w:name w:val="Normal1"/>
    <w:basedOn w:val="1053"/>
    <w:next w:val="1342"/>
    <w:link w:val="1053"/>
    <w:rPr>
      <w:rFonts w:ascii="Calibri" w:hAnsi="Calibri" w:eastAsia="Calibri" w:cs="宋体"/>
      <w:lang w:val="zh-CN"/>
    </w:rPr>
  </w:style>
  <w:style w:type="paragraph" w:styleId="1343">
    <w:name w:val="样式 小四 行距: 固定值 25 磅8"/>
    <w:basedOn w:val="1053"/>
    <w:next w:val="1053"/>
    <w:link w:val="1053"/>
    <w:pPr>
      <w:ind w:firstLine="464"/>
      <w:spacing w:line="500" w:lineRule="exact"/>
    </w:pPr>
    <w:rPr>
      <w:rFonts w:ascii="Times New Roman" w:hAnsi="Times New Roman" w:eastAsia="宋体" w:cs="宋体"/>
      <w:sz w:val="24"/>
    </w:rPr>
  </w:style>
  <w:style w:type="paragraph" w:styleId="1344">
    <w:name w:val=" Char Char1"/>
    <w:basedOn w:val="1053"/>
    <w:next w:val="1344"/>
    <w:link w:val="1053"/>
    <w:rPr>
      <w:rFonts w:ascii="Tahoma" w:hAnsi="Tahoma" w:eastAsia="宋体" w:cs="Times New Roman"/>
      <w:sz w:val="24"/>
    </w:rPr>
  </w:style>
  <w:style w:type="paragraph" w:styleId="1345">
    <w:name w:val="af17cgridlangnp1033langf"/>
    <w:next w:val="1345"/>
    <w:link w:val="1053"/>
    <w:pPr>
      <w:ind w:left="567" w:firstLine="510"/>
      <w:jc w:val="both"/>
      <w:spacing w:before="156" w:line="360" w:lineRule="atLeast"/>
      <w:widowControl w:val="off"/>
    </w:pPr>
    <w:rPr>
      <w:lang w:val="en-US" w:eastAsia="zh-CN" w:bidi="ar-SA"/>
    </w:rPr>
  </w:style>
  <w:style w:type="paragraph" w:styleId="1346">
    <w:name w:val="华宇段落1 Char"/>
    <w:basedOn w:val="1053"/>
    <w:next w:val="1346"/>
    <w:link w:val="1053"/>
    <w:pPr>
      <w:ind w:firstLine="200"/>
      <w:spacing w:line="360" w:lineRule="auto"/>
    </w:pPr>
    <w:rPr>
      <w:rFonts w:ascii="Times New Roman" w:hAnsi="Times New Roman" w:eastAsia="宋体" w:cs="Times New Roman"/>
      <w:bCs/>
      <w:sz w:val="24"/>
      <w:szCs w:val="24"/>
    </w:rPr>
  </w:style>
  <w:style w:type="paragraph" w:styleId="1347">
    <w:name w:val="正文lzq"/>
    <w:basedOn w:val="1053"/>
    <w:next w:val="1347"/>
    <w:link w:val="1053"/>
    <w:pPr>
      <w:ind w:firstLine="480"/>
      <w:spacing w:line="360" w:lineRule="auto"/>
    </w:pPr>
    <w:rPr>
      <w:rFonts w:ascii="Times New Roman" w:hAnsi="Times New Roman" w:eastAsia="宋体" w:cs="Times New Roman"/>
      <w:sz w:val="24"/>
    </w:rPr>
  </w:style>
  <w:style w:type="paragraph" w:styleId="1348">
    <w:name w:val="正文--表格内正文"/>
    <w:basedOn w:val="1053"/>
    <w:next w:val="1348"/>
    <w:link w:val="1053"/>
    <w:pPr>
      <w:jc w:val="center"/>
      <w:spacing w:before="156" w:line="0" w:lineRule="atLeast"/>
    </w:pPr>
    <w:rPr>
      <w:rFonts w:ascii="宋体" w:hAnsi="宋体" w:eastAsia="宋体" w:cs="Times New Roman"/>
      <w:color w:val="000000"/>
      <w:sz w:val="24"/>
      <w:szCs w:val="24"/>
    </w:rPr>
  </w:style>
  <w:style w:type="paragraph" w:styleId="1349">
    <w:name w:val="xl25"/>
    <w:basedOn w:val="1053"/>
    <w:next w:val="1349"/>
    <w:link w:val="1053"/>
    <w:pPr>
      <w:jc w:val="center"/>
      <w:spacing w:before="100" w:beforeAutospacing="1" w:after="100" w:afterAutospacing="1"/>
      <w:widowControl/>
      <w:pBdr>
        <w:right w:val="single" w:color="000000" w:sz="4" w:space="0"/>
      </w:pBdr>
    </w:pPr>
    <w:rPr>
      <w:rFonts w:ascii="Times New Roman" w:hAnsi="Times New Roman" w:eastAsia="宋体" w:cs="Times New Roman"/>
      <w:szCs w:val="21"/>
    </w:rPr>
  </w:style>
  <w:style w:type="paragraph" w:styleId="1350">
    <w:name w:val="xl34"/>
    <w:basedOn w:val="1053"/>
    <w:next w:val="1350"/>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351">
    <w:name w:val="表格1"/>
    <w:basedOn w:val="1053"/>
    <w:next w:val="1351"/>
    <w:link w:val="1053"/>
    <w:rPr>
      <w:rFonts w:ascii="宋体" w:hAnsi="Times New Roman" w:eastAsia="宋体" w:cs="Times New Roman"/>
      <w:szCs w:val="21"/>
    </w:rPr>
  </w:style>
  <w:style w:type="paragraph" w:styleId="1352">
    <w:name w:val="xl55"/>
    <w:basedOn w:val="1053"/>
    <w:next w:val="1352"/>
    <w:link w:val="105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sz w:val="20"/>
    </w:rPr>
  </w:style>
  <w:style w:type="paragraph" w:styleId="1353">
    <w:name w:val=" Char Char Char"/>
    <w:basedOn w:val="1082"/>
    <w:next w:val="1353"/>
    <w:link w:val="1053"/>
    <w:pPr>
      <w:spacing w:line="436" w:lineRule="exact"/>
    </w:pPr>
    <w:rPr>
      <w:rFonts w:ascii="Times New Roman" w:hAnsi="Times New Roman" w:eastAsia="宋体" w:cs="Times New Roman"/>
      <w:szCs w:val="24"/>
    </w:rPr>
  </w:style>
  <w:style w:type="paragraph" w:styleId="1354">
    <w:name w:val="表蕊"/>
    <w:basedOn w:val="1053"/>
    <w:next w:val="1354"/>
    <w:link w:val="1053"/>
    <w:pPr>
      <w:jc w:val="left"/>
      <w:spacing w:line="320" w:lineRule="atLeast"/>
    </w:pPr>
    <w:rPr>
      <w:rFonts w:ascii="Times New Roman" w:hAnsi="Times New Roman" w:eastAsia="楷体_GB2312" w:cs="Times New Roman"/>
      <w:spacing w:val="-10"/>
    </w:rPr>
  </w:style>
  <w:style w:type="paragraph" w:styleId="1355">
    <w:name w:val="样式 段后: 0.25 行"/>
    <w:basedOn w:val="1053"/>
    <w:next w:val="1355"/>
    <w:link w:val="1053"/>
    <w:pPr>
      <w:ind w:firstLine="420"/>
      <w:jc w:val="left"/>
      <w:spacing w:after="78" w:line="300" w:lineRule="auto"/>
      <w:widowControl/>
    </w:pPr>
    <w:rPr>
      <w:rFonts w:ascii="Arial" w:hAnsi="Arial" w:eastAsia="宋体" w:cs="宋体"/>
      <w:sz w:val="22"/>
      <w:lang w:eastAsia="en-US" w:bidi="en-US"/>
    </w:rPr>
  </w:style>
  <w:style w:type="paragraph" w:styleId="1356">
    <w:name w:val="xl35"/>
    <w:basedOn w:val="1053"/>
    <w:next w:val="1356"/>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i/>
      <w:iCs/>
      <w:sz w:val="20"/>
    </w:rPr>
  </w:style>
  <w:style w:type="paragraph" w:styleId="1357">
    <w:name w:val="Char Char1 Char Char Char Char Char Char Char"/>
    <w:basedOn w:val="1053"/>
    <w:next w:val="1357"/>
    <w:link w:val="1053"/>
    <w:rPr>
      <w:rFonts w:ascii="Tahoma" w:hAnsi="Tahoma" w:eastAsia="宋体" w:cs="Tahoma"/>
      <w:sz w:val="24"/>
    </w:rPr>
  </w:style>
  <w:style w:type="paragraph" w:styleId="1358">
    <w:name w:val="00-合正"/>
    <w:basedOn w:val="1053"/>
    <w:next w:val="1358"/>
    <w:link w:val="1053"/>
    <w:pPr>
      <w:ind w:firstLine="200"/>
      <w:jc w:val="left"/>
      <w:spacing w:line="560" w:lineRule="exact"/>
    </w:pPr>
    <w:rPr>
      <w:rFonts w:ascii="楷体" w:hAnsi="楷体" w:eastAsia="楷体" w:cs="Times New Roman"/>
      <w:color w:val="000000"/>
      <w:sz w:val="28"/>
      <w:szCs w:val="24"/>
    </w:rPr>
  </w:style>
  <w:style w:type="paragraph" w:styleId="1359">
    <w:name w:val="xl48"/>
    <w:basedOn w:val="1053"/>
    <w:next w:val="1359"/>
    <w:link w:val="1053"/>
    <w:pPr>
      <w:jc w:val="center"/>
      <w:spacing w:before="100" w:beforeAutospacing="1" w:after="100" w:afterAutospacing="1"/>
      <w:widowControl/>
      <w:pBdr>
        <w:top w:val="single" w:color="000000" w:sz="4" w:space="0"/>
        <w:left w:val="single" w:color="000000" w:sz="4" w:space="0"/>
        <w:right w:val="single" w:color="000000" w:sz="4" w:space="0"/>
      </w:pBdr>
    </w:pPr>
    <w:rPr>
      <w:rFonts w:ascii="Times New Roman" w:hAnsi="Times New Roman" w:eastAsia="宋体" w:cs="Times New Roman"/>
      <w:b/>
      <w:bCs/>
      <w:sz w:val="20"/>
    </w:rPr>
  </w:style>
  <w:style w:type="paragraph" w:styleId="1360">
    <w:name w:val="xl47"/>
    <w:basedOn w:val="1053"/>
    <w:next w:val="1360"/>
    <w:link w:val="10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sz w:val="24"/>
      <w:szCs w:val="24"/>
    </w:rPr>
  </w:style>
  <w:style w:type="paragraph" w:styleId="1361">
    <w:name w:val="Char Char Char Char Char Char Char Char Char Char Char1 Char Char Char1"/>
    <w:basedOn w:val="1053"/>
    <w:next w:val="1361"/>
    <w:link w:val="1053"/>
    <w:pPr>
      <w:ind w:firstLine="200"/>
      <w:jc w:val="left"/>
    </w:pPr>
    <w:rPr>
      <w:rFonts w:ascii="Tahoma" w:hAnsi="Tahoma" w:eastAsia="宋体" w:cs="Times New Roman"/>
      <w:sz w:val="24"/>
      <w:szCs w:val="24"/>
    </w:rPr>
  </w:style>
  <w:style w:type="paragraph" w:styleId="1362">
    <w:name w:val="一级标题"/>
    <w:basedOn w:val="1053"/>
    <w:next w:val="1362"/>
    <w:link w:val="1053"/>
    <w:pPr>
      <w:ind w:left="900" w:hanging="420"/>
      <w:spacing w:line="360" w:lineRule="auto"/>
      <w:tabs>
        <w:tab w:val="left" w:pos="903" w:leader="none"/>
      </w:tabs>
    </w:pPr>
    <w:rPr>
      <w:rFonts w:ascii="Arial" w:hAnsi="Arial" w:eastAsia="宋体" w:cs="Arial"/>
      <w:sz w:val="24"/>
    </w:rPr>
  </w:style>
  <w:style w:type="paragraph" w:styleId="1363">
    <w:name w:val="Char Char Char Char Char Char Char Char Char Char Char Char Char Char Char Char Char Char Char Char Char"/>
    <w:basedOn w:val="1053"/>
    <w:next w:val="1363"/>
    <w:link w:val="1053"/>
    <w:rPr>
      <w:rFonts w:ascii="Tahoma" w:hAnsi="Tahoma" w:eastAsia="宋体" w:cs="Tahoma"/>
      <w:sz w:val="24"/>
    </w:rPr>
  </w:style>
  <w:style w:type="paragraph" w:styleId="1364">
    <w:name w:val="xl38"/>
    <w:basedOn w:val="1053"/>
    <w:next w:val="1364"/>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65">
    <w:name w:val="xl40"/>
    <w:basedOn w:val="1053"/>
    <w:next w:val="1365"/>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366">
    <w:name w:val="普通正文"/>
    <w:basedOn w:val="1053"/>
    <w:next w:val="1366"/>
    <w:link w:val="1053"/>
    <w:pPr>
      <w:ind w:firstLine="480"/>
      <w:jc w:val="left"/>
    </w:pPr>
    <w:rPr>
      <w:rFonts w:ascii="Arial" w:hAnsi="Arial" w:eastAsia="宋体" w:cs="Times New Roman"/>
      <w:sz w:val="24"/>
      <w:szCs w:val="24"/>
    </w:rPr>
  </w:style>
  <w:style w:type="paragraph" w:styleId="1367">
    <w:name w:val="Char Char Char Char Char Char Char Char Char Char Char Char Char Char"/>
    <w:basedOn w:val="1053"/>
    <w:next w:val="1367"/>
    <w:link w:val="1053"/>
    <w:rPr>
      <w:rFonts w:ascii="Tahoma" w:hAnsi="Tahoma" w:eastAsia="宋体" w:cs="Tahoma"/>
      <w:sz w:val="24"/>
    </w:rPr>
  </w:style>
  <w:style w:type="paragraph" w:styleId="1368">
    <w:name w:val="标题6"/>
    <w:basedOn w:val="1058"/>
    <w:next w:val="1368"/>
    <w:link w:val="1053"/>
    <w:pPr>
      <w:numPr>
        <w:ilvl w:val="0"/>
        <w:numId w:val="3"/>
      </w:numPr>
      <w:keepLines/>
      <w:tabs>
        <w:tab w:val="left" w:pos="420" w:leader="none"/>
      </w:tabs>
    </w:pPr>
    <w:rPr>
      <w:rFonts w:ascii="Times New Roman" w:hAnsi="Times New Roman" w:eastAsia="宋体" w:cs="Times New Roman"/>
      <w:b w:val="0"/>
      <w:bCs/>
      <w:color w:val="000000"/>
      <w:sz w:val="24"/>
      <w:szCs w:val="28"/>
    </w:rPr>
  </w:style>
  <w:style w:type="paragraph" w:styleId="1369">
    <w:name w:val="符号与编号 Char Char"/>
    <w:basedOn w:val="1053"/>
    <w:next w:val="1369"/>
    <w:link w:val="1053"/>
    <w:pPr>
      <w:ind w:left="839" w:hanging="419"/>
      <w:spacing w:after="156" w:line="400" w:lineRule="atLeast"/>
      <w:tabs>
        <w:tab w:val="left" w:pos="840" w:leader="none"/>
      </w:tabs>
    </w:pPr>
    <w:rPr>
      <w:rFonts w:ascii="Times New Roman" w:hAnsi="Times New Roman" w:eastAsia="宋体" w:cs="Times New Roman"/>
      <w:sz w:val="24"/>
      <w:szCs w:val="24"/>
    </w:rPr>
  </w:style>
  <w:style w:type="paragraph" w:styleId="1370">
    <w:name w:val="公文正文"/>
    <w:basedOn w:val="1091"/>
    <w:next w:val="1370"/>
    <w:link w:val="1053"/>
    <w:pPr>
      <w:ind w:firstLine="200"/>
    </w:pPr>
    <w:rPr>
      <w:rFonts w:ascii="仿宋_GB2312" w:hAnsi="宋体" w:eastAsia="仿宋_GB2312" w:cs="Times New Roman"/>
      <w:sz w:val="28"/>
      <w:szCs w:val="24"/>
    </w:rPr>
  </w:style>
  <w:style w:type="paragraph" w:styleId="1371">
    <w:name w:val="Pa6"/>
    <w:basedOn w:val="1053"/>
    <w:next w:val="1053"/>
    <w:link w:val="1053"/>
    <w:pPr>
      <w:jc w:val="left"/>
      <w:spacing w:line="241" w:lineRule="atLeast"/>
    </w:pPr>
    <w:rPr>
      <w:rFonts w:ascii="汉仪大黑简" w:hAnsi="Times New Roman" w:eastAsia="汉仪大黑简" w:cs="Times New Roman"/>
      <w:sz w:val="24"/>
      <w:szCs w:val="24"/>
    </w:rPr>
  </w:style>
  <w:style w:type="paragraph" w:styleId="1372">
    <w:name w:val="修订"/>
    <w:next w:val="1372"/>
    <w:link w:val="1053"/>
    <w:rPr>
      <w:sz w:val="21"/>
      <w:szCs w:val="24"/>
      <w:lang w:val="en-US" w:eastAsia="zh-CN" w:bidi="ar-SA"/>
    </w:rPr>
  </w:style>
  <w:style w:type="paragraph" w:styleId="1373">
    <w:name w:val="标准文本"/>
    <w:basedOn w:val="1053"/>
    <w:next w:val="1373"/>
    <w:link w:val="1053"/>
    <w:pPr>
      <w:ind w:firstLine="480"/>
      <w:spacing w:line="360" w:lineRule="auto"/>
    </w:pPr>
    <w:rPr>
      <w:rFonts w:ascii="Times New Roman" w:hAnsi="Times New Roman" w:eastAsia="宋体" w:cs="宋体"/>
      <w:sz w:val="24"/>
      <w:szCs w:val="24"/>
    </w:rPr>
  </w:style>
  <w:style w:type="paragraph" w:styleId="1374">
    <w:name w:val="公文标题 2"/>
    <w:basedOn w:val="1053"/>
    <w:next w:val="1370"/>
    <w:link w:val="1053"/>
    <w:pPr>
      <w:outlineLvl w:val="1"/>
    </w:pPr>
    <w:rPr>
      <w:rFonts w:ascii="仿宋_GB2312" w:hAnsi="宋体" w:eastAsia="仿宋_GB2312" w:cs="Times New Roman"/>
      <w:sz w:val="28"/>
      <w:szCs w:val="24"/>
    </w:rPr>
  </w:style>
  <w:style w:type="paragraph" w:styleId="1375">
    <w:name w:val="font12"/>
    <w:basedOn w:val="1053"/>
    <w:next w:val="1375"/>
    <w:link w:val="1053"/>
    <w:pPr>
      <w:jc w:val="left"/>
      <w:spacing w:before="100" w:beforeAutospacing="1" w:after="100" w:afterAutospacing="1"/>
      <w:widowControl/>
    </w:pPr>
    <w:rPr>
      <w:rFonts w:ascii="宋体" w:hAnsi="宋体" w:eastAsia="宋体" w:cs="宋体"/>
      <w:sz w:val="36"/>
      <w:szCs w:val="36"/>
    </w:rPr>
  </w:style>
  <w:style w:type="paragraph" w:styleId="1376">
    <w:name w:val="正文 + Arial Char"/>
    <w:basedOn w:val="1053"/>
    <w:next w:val="1376"/>
    <w:link w:val="1053"/>
    <w:pPr>
      <w:ind w:left="315" w:hanging="315"/>
      <w:spacing w:line="300" w:lineRule="auto"/>
      <w:widowControl/>
      <w:tabs>
        <w:tab w:val="left" w:pos="315" w:leader="none"/>
      </w:tabs>
    </w:pPr>
    <w:rPr>
      <w:rFonts w:ascii="Arial" w:hAnsi="Arial" w:eastAsia="宋体" w:cs="Arial"/>
      <w:b/>
      <w:color w:val="000000"/>
    </w:rPr>
  </w:style>
  <w:style w:type="paragraph" w:styleId="1377">
    <w:name w:val="我的正文"/>
    <w:basedOn w:val="1053"/>
    <w:next w:val="1377"/>
    <w:link w:val="1053"/>
    <w:pPr>
      <w:ind w:firstLine="420"/>
      <w:jc w:val="left"/>
      <w:spacing w:line="360" w:lineRule="auto"/>
      <w:widowControl/>
    </w:pPr>
    <w:rPr>
      <w:rFonts w:ascii="宋体" w:hAnsi="宋体" w:eastAsia="宋体" w:cs="宋体"/>
      <w:szCs w:val="21"/>
    </w:rPr>
  </w:style>
  <w:style w:type="paragraph" w:styleId="1378">
    <w:name w:val="xl24"/>
    <w:basedOn w:val="1053"/>
    <w:next w:val="1378"/>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79">
    <w:name w:val="标题4，章节第四层"/>
    <w:basedOn w:val="1053"/>
    <w:next w:val="1053"/>
    <w:link w:val="1053"/>
    <w:pPr>
      <w:spacing w:line="360" w:lineRule="auto"/>
      <w:tabs>
        <w:tab w:val="left" w:pos="0" w:leader="none"/>
      </w:tabs>
      <w:outlineLvl w:val="3"/>
    </w:pPr>
    <w:rPr>
      <w:rFonts w:ascii="宋体" w:hAnsi="宋体" w:eastAsia="宋体" w:cs="Times New Roman"/>
      <w:b/>
      <w:sz w:val="24"/>
      <w:szCs w:val="24"/>
    </w:rPr>
  </w:style>
  <w:style w:type="paragraph" w:styleId="1380">
    <w:name w:val="font10"/>
    <w:basedOn w:val="1053"/>
    <w:next w:val="1380"/>
    <w:link w:val="1053"/>
    <w:pPr>
      <w:jc w:val="left"/>
      <w:spacing w:before="100" w:beforeAutospacing="1" w:after="100" w:afterAutospacing="1"/>
      <w:widowControl/>
    </w:pPr>
    <w:rPr>
      <w:rFonts w:ascii="楷体_GB2312" w:hAnsi="宋体" w:eastAsia="楷体_GB2312" w:cs="宋体"/>
      <w:b/>
      <w:bCs/>
      <w:sz w:val="18"/>
      <w:szCs w:val="18"/>
    </w:rPr>
  </w:style>
  <w:style w:type="paragraph" w:styleId="1381">
    <w:name w:val="样式 加点正文 + 段前: 0.5 行 段后: 0.5 行1"/>
    <w:basedOn w:val="1053"/>
    <w:next w:val="1381"/>
    <w:link w:val="1053"/>
    <w:pPr>
      <w:ind w:left="1268" w:hanging="420"/>
      <w:spacing w:before="156" w:after="156" w:line="300" w:lineRule="auto"/>
      <w:tabs>
        <w:tab w:val="left" w:pos="420" w:leader="none"/>
        <w:tab w:val="left" w:pos="1268" w:leader="none"/>
      </w:tabs>
    </w:pPr>
    <w:rPr>
      <w:rFonts w:ascii="Times New Roman" w:hAnsi="Times New Roman" w:eastAsia="宋体" w:cs="Times New Roman"/>
      <w:sz w:val="24"/>
    </w:rPr>
  </w:style>
  <w:style w:type="paragraph" w:styleId="1382">
    <w:name w:val="xl42"/>
    <w:basedOn w:val="1053"/>
    <w:next w:val="1382"/>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83">
    <w:name w:val="font5"/>
    <w:basedOn w:val="1053"/>
    <w:next w:val="1383"/>
    <w:link w:val="1053"/>
    <w:pPr>
      <w:jc w:val="left"/>
      <w:spacing w:before="100" w:beforeAutospacing="1" w:after="100" w:afterAutospacing="1"/>
      <w:widowControl/>
    </w:pPr>
    <w:rPr>
      <w:rFonts w:ascii="宋体" w:hAnsi="宋体" w:eastAsia="宋体" w:cs="宋体"/>
      <w:sz w:val="18"/>
      <w:szCs w:val="18"/>
    </w:rPr>
  </w:style>
  <w:style w:type="paragraph" w:styleId="1384">
    <w:name w:val="xl41"/>
    <w:basedOn w:val="1053"/>
    <w:next w:val="1384"/>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385">
    <w:name w:val="p0"/>
    <w:basedOn w:val="1053"/>
    <w:next w:val="1385"/>
    <w:link w:val="1053"/>
    <w:pPr>
      <w:jc w:val="left"/>
      <w:spacing w:before="100" w:beforeAutospacing="1" w:after="100" w:afterAutospacing="1"/>
      <w:widowControl/>
    </w:pPr>
    <w:rPr>
      <w:rFonts w:ascii="宋体" w:hAnsi="宋体" w:eastAsia="宋体" w:cs="宋体"/>
      <w:sz w:val="24"/>
      <w:szCs w:val="24"/>
    </w:rPr>
  </w:style>
  <w:style w:type="paragraph" w:styleId="1386">
    <w:name w:val="xl52"/>
    <w:basedOn w:val="1053"/>
    <w:next w:val="1386"/>
    <w:link w:val="105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387">
    <w:name w:val="小四 段落 宋体 Char Char Char"/>
    <w:basedOn w:val="1080"/>
    <w:next w:val="1387"/>
    <w:link w:val="1053"/>
    <w:pPr>
      <w:ind w:left="0" w:right="-33" w:firstLine="545"/>
      <w:jc w:val="left"/>
      <w:spacing w:line="360" w:lineRule="auto"/>
      <w:tabs>
        <w:tab w:val="clear" w:pos="2952" w:leader="none"/>
      </w:tabs>
    </w:pPr>
    <w:rPr>
      <w:rFonts w:ascii="Times New Roman" w:hAnsi="Times New Roman" w:eastAsia="宋体" w:cs="Times New Roman"/>
      <w:sz w:val="24"/>
    </w:rPr>
  </w:style>
  <w:style w:type="paragraph" w:styleId="1388">
    <w:name w:val="丁华标题2"/>
    <w:basedOn w:val="1055"/>
    <w:next w:val="1278"/>
    <w:link w:val="1053"/>
    <w:pPr>
      <w:numPr>
        <w:ilvl w:val="1"/>
        <w:numId w:val="1"/>
      </w:numPr>
      <w:spacing w:line="415" w:lineRule="auto"/>
      <w:tabs>
        <w:tab w:val="left" w:pos="1004" w:leader="none"/>
      </w:tabs>
    </w:pPr>
    <w:rPr>
      <w:rFonts w:ascii="Arial" w:hAnsi="Arial" w:eastAsia="黑体" w:cs="Times New Roman"/>
      <w:b w:val="0"/>
      <w:sz w:val="28"/>
      <w:szCs w:val="20"/>
    </w:rPr>
  </w:style>
  <w:style w:type="paragraph" w:styleId="1389">
    <w:name w:val="丁华标题3"/>
    <w:basedOn w:val="1388"/>
    <w:next w:val="1278"/>
    <w:link w:val="1053"/>
    <w:pPr>
      <w:numPr>
        <w:ilvl w:val="2"/>
        <w:numId w:val="1"/>
      </w:numPr>
      <w:ind w:left="1980" w:hanging="420"/>
      <w:spacing w:after="0"/>
      <w:tabs>
        <w:tab w:val="left" w:pos="1004" w:leader="none"/>
        <w:tab w:val="left" w:pos="1470" w:leader="none"/>
        <w:tab w:val="left" w:pos="1980" w:leader="none"/>
      </w:tabs>
      <w:outlineLvl w:val="2"/>
    </w:pPr>
    <w:rPr>
      <w:rFonts w:ascii="Times New Roman" w:hAnsi="Times New Roman" w:eastAsia="宋体" w:cs="Times New Roman"/>
      <w:sz w:val="24"/>
    </w:rPr>
  </w:style>
  <w:style w:type="paragraph" w:styleId="1390">
    <w:name w:val="Char Char"/>
    <w:basedOn w:val="1053"/>
    <w:next w:val="1390"/>
    <w:link w:val="1053"/>
    <w:rPr>
      <w:rFonts w:ascii="Tahoma" w:hAnsi="Tahoma" w:eastAsia="宋体" w:cs="Tahoma"/>
      <w:sz w:val="24"/>
    </w:rPr>
  </w:style>
  <w:style w:type="paragraph" w:styleId="1391">
    <w:name w:val="Char Char Char Char Char Char Char"/>
    <w:basedOn w:val="1053"/>
    <w:next w:val="1391"/>
    <w:link w:val="1053"/>
    <w:pPr>
      <w:jc w:val="left"/>
    </w:pPr>
    <w:rPr>
      <w:rFonts w:ascii="Tahoma" w:hAnsi="Tahoma" w:eastAsia="宋体" w:cs="Times New Roman"/>
      <w:sz w:val="24"/>
    </w:rPr>
  </w:style>
  <w:style w:type="paragraph" w:styleId="1392">
    <w:name w:val=" Char Char Char Char Char Char Char Char Char Char Char Char Char Char Char Char Char Char Char Char Char"/>
    <w:basedOn w:val="1053"/>
    <w:next w:val="1392"/>
    <w:link w:val="1053"/>
    <w:rPr>
      <w:rFonts w:ascii="Tahoma" w:hAnsi="Tahoma" w:eastAsia="宋体" w:cs="Times New Roman"/>
      <w:sz w:val="24"/>
    </w:rPr>
  </w:style>
  <w:style w:type="paragraph" w:styleId="1393">
    <w:name w:val="小四 段落 宋体"/>
    <w:basedOn w:val="1080"/>
    <w:next w:val="1393"/>
    <w:link w:val="1053"/>
    <w:pPr>
      <w:ind w:left="113" w:right="113" w:firstLine="425"/>
      <w:jc w:val="left"/>
      <w:spacing w:line="360" w:lineRule="auto"/>
      <w:tabs>
        <w:tab w:val="clear" w:pos="2952" w:leader="none"/>
      </w:tabs>
    </w:pPr>
    <w:rPr>
      <w:rFonts w:ascii="Times New Roman" w:hAnsi="Times New Roman" w:eastAsia="宋体" w:cs="Times New Roman"/>
      <w:sz w:val="24"/>
    </w:rPr>
  </w:style>
  <w:style w:type="paragraph" w:styleId="1394">
    <w:name w:val="正文2"/>
    <w:basedOn w:val="1053"/>
    <w:next w:val="1394"/>
    <w:link w:val="1053"/>
    <w:pPr>
      <w:ind w:firstLine="510"/>
      <w:spacing w:before="156" w:line="360" w:lineRule="auto"/>
    </w:pPr>
    <w:rPr>
      <w:rFonts w:ascii="Times New Roman" w:hAnsi="Times New Roman" w:eastAsia="宋体" w:cs="Times New Roman"/>
      <w:sz w:val="24"/>
    </w:rPr>
  </w:style>
  <w:style w:type="paragraph" w:styleId="1395">
    <w:name w:val="插图"/>
    <w:basedOn w:val="1053"/>
    <w:next w:val="1395"/>
    <w:link w:val="1053"/>
    <w:pPr>
      <w:jc w:val="center"/>
      <w:tabs>
        <w:tab w:val="left" w:pos="1620" w:leader="none"/>
      </w:tabs>
    </w:pPr>
    <w:rPr>
      <w:rFonts w:ascii="Times New Roman" w:hAnsi="Times New Roman" w:eastAsia="宋体" w:cs="Times New Roman"/>
      <w:bCs/>
      <w:color w:val="000000"/>
      <w:szCs w:val="22"/>
    </w:rPr>
  </w:style>
  <w:style w:type="paragraph" w:styleId="1396">
    <w:name w:val="Char1"/>
    <w:basedOn w:val="1053"/>
    <w:next w:val="1396"/>
    <w:link w:val="1053"/>
    <w:rPr>
      <w:rFonts w:ascii="仿宋_GB2312" w:hAnsi="宋体" w:eastAsia="仿宋_GB2312" w:cs="宋体"/>
      <w:b/>
      <w:sz w:val="32"/>
      <w:szCs w:val="32"/>
    </w:rPr>
  </w:style>
  <w:style w:type="paragraph" w:styleId="1397">
    <w:name w:val=" Char Char Char Char Char"/>
    <w:basedOn w:val="1053"/>
    <w:next w:val="1397"/>
    <w:link w:val="1053"/>
    <w:rPr>
      <w:rFonts w:ascii="Tahoma" w:hAnsi="Tahoma" w:eastAsia="宋体" w:cs="Times New Roman"/>
      <w:sz w:val="24"/>
    </w:rPr>
  </w:style>
  <w:style w:type="paragraph" w:styleId="1398">
    <w:name w:val="zw"/>
    <w:basedOn w:val="1053"/>
    <w:next w:val="1398"/>
    <w:link w:val="1053"/>
    <w:pPr>
      <w:ind w:firstLine="480"/>
      <w:jc w:val="left"/>
      <w:spacing w:line="360" w:lineRule="auto"/>
      <w:widowControl/>
    </w:pPr>
    <w:rPr>
      <w:rFonts w:ascii="宋体" w:hAnsi="宋体" w:eastAsia="宋体" w:cs="Times New Roman"/>
      <w:bCs/>
      <w:sz w:val="24"/>
    </w:rPr>
  </w:style>
  <w:style w:type="paragraph" w:styleId="1399">
    <w:name w:val="xl56"/>
    <w:basedOn w:val="1053"/>
    <w:next w:val="1399"/>
    <w:link w:val="10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00">
    <w:name w:val="正文 New New New New New New New New New New New New New New"/>
    <w:next w:val="1400"/>
    <w:link w:val="1053"/>
    <w:pPr>
      <w:jc w:val="both"/>
      <w:widowControl w:val="off"/>
    </w:pPr>
    <w:rPr>
      <w:rFonts w:hint="eastAsia"/>
      <w:sz w:val="21"/>
      <w:lang w:val="en-US" w:eastAsia="zh-CN" w:bidi="ar-SA"/>
    </w:rPr>
  </w:style>
  <w:style w:type="paragraph" w:styleId="1401">
    <w:name w:val="xl50"/>
    <w:basedOn w:val="1053"/>
    <w:next w:val="1401"/>
    <w:link w:val="1053"/>
    <w:pPr>
      <w:jc w:val="center"/>
      <w:spacing w:before="100" w:beforeAutospacing="1" w:after="100" w:afterAutospacing="1"/>
      <w:widowControl/>
      <w:pBdr>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02">
    <w:name w:val="Char Char Char Char"/>
    <w:basedOn w:val="1082"/>
    <w:next w:val="1402"/>
    <w:link w:val="1053"/>
    <w:pPr>
      <w:spacing w:line="360" w:lineRule="auto"/>
    </w:pPr>
    <w:rPr>
      <w:rFonts w:ascii="Tahoma" w:hAnsi="Tahoma" w:eastAsia="宋体" w:cs="Times New Roman"/>
      <w:sz w:val="24"/>
      <w:szCs w:val="24"/>
    </w:rPr>
  </w:style>
  <w:style w:type="paragraph" w:styleId="1403">
    <w:name w:val="样式 样式 首行缩进:  2 字符 + 行距: 1.5 倍行距"/>
    <w:basedOn w:val="1053"/>
    <w:next w:val="1403"/>
    <w:link w:val="1053"/>
    <w:pPr>
      <w:ind w:firstLine="470"/>
      <w:spacing w:line="360" w:lineRule="auto"/>
    </w:pPr>
    <w:rPr>
      <w:rFonts w:ascii="Times New Roman" w:hAnsi="Times New Roman" w:eastAsia="宋体" w:cs="Times New Roman"/>
      <w:sz w:val="24"/>
    </w:rPr>
  </w:style>
  <w:style w:type="paragraph" w:styleId="1404">
    <w:name w:val="标题1，章节第一层"/>
    <w:basedOn w:val="1303"/>
    <w:next w:val="1303"/>
    <w:link w:val="1053"/>
    <w:pPr>
      <w:ind w:left="482"/>
      <w:spacing w:before="0"/>
      <w:tabs>
        <w:tab w:val="left" w:pos="693" w:leader="none"/>
      </w:tabs>
      <w:outlineLvl w:val="0"/>
    </w:pPr>
    <w:rPr>
      <w:rFonts w:ascii="Times New Roman" w:hAnsi="Times New Roman" w:eastAsia="宋体" w:cs="Times New Roman"/>
      <w:color w:val="000000"/>
      <w:sz w:val="24"/>
      <w:szCs w:val="24"/>
    </w:rPr>
  </w:style>
  <w:style w:type="paragraph" w:styleId="1405">
    <w:name w:val="标题3"/>
    <w:basedOn w:val="1056"/>
    <w:next w:val="1405"/>
    <w:link w:val="1053"/>
    <w:pPr>
      <w:keepLines w:val="0"/>
      <w:keepNext w:val="0"/>
      <w:spacing w:before="0" w:after="0" w:line="360" w:lineRule="auto"/>
    </w:pPr>
    <w:rPr>
      <w:rFonts w:ascii="Times New Roman" w:hAnsi="Times New Roman" w:eastAsia="仿宋_GB2312" w:cs="Times New Roman"/>
      <w:b w:val="0"/>
      <w:bCs/>
      <w:sz w:val="30"/>
      <w:szCs w:val="32"/>
    </w:rPr>
  </w:style>
  <w:style w:type="paragraph" w:styleId="1406">
    <w:name w:val="font9"/>
    <w:basedOn w:val="1053"/>
    <w:next w:val="1406"/>
    <w:link w:val="1053"/>
    <w:pPr>
      <w:jc w:val="left"/>
      <w:spacing w:before="100" w:beforeAutospacing="1" w:after="100" w:afterAutospacing="1"/>
      <w:widowControl/>
    </w:pPr>
    <w:rPr>
      <w:rFonts w:ascii="Times New Roman" w:hAnsi="Times New Roman" w:eastAsia="宋体" w:cs="Times New Roman"/>
      <w:b/>
      <w:bCs/>
      <w:sz w:val="20"/>
    </w:rPr>
  </w:style>
  <w:style w:type="paragraph" w:styleId="1407">
    <w:name w:val=" Char Char Char Char Char Char Char Char Char"/>
    <w:basedOn w:val="1053"/>
    <w:next w:val="1407"/>
    <w:link w:val="1053"/>
    <w:pPr>
      <w:ind w:left="360" w:hanging="360"/>
      <w:tabs>
        <w:tab w:val="left" w:pos="360" w:leader="none"/>
      </w:tabs>
    </w:pPr>
    <w:rPr>
      <w:rFonts w:ascii="Times New Roman" w:hAnsi="Times New Roman" w:eastAsia="宋体" w:cs="Times New Roman"/>
      <w:sz w:val="24"/>
      <w:szCs w:val="24"/>
    </w:rPr>
  </w:style>
  <w:style w:type="paragraph" w:styleId="1408">
    <w:name w:val="样式 段后: 0.5 行 左  0.75 字符"/>
    <w:basedOn w:val="1053"/>
    <w:next w:val="1408"/>
    <w:link w:val="1053"/>
    <w:pPr>
      <w:ind w:firstLine="420"/>
      <w:spacing w:line="360" w:lineRule="auto"/>
      <w:widowControl/>
    </w:pPr>
    <w:rPr>
      <w:rFonts w:ascii="Times New Roman" w:hAnsi="Arial" w:eastAsia="宋体" w:cs="Arial"/>
      <w:szCs w:val="21"/>
    </w:rPr>
  </w:style>
  <w:style w:type="paragraph" w:styleId="1409">
    <w:name w:val="font8"/>
    <w:basedOn w:val="1053"/>
    <w:next w:val="1409"/>
    <w:link w:val="1053"/>
    <w:pPr>
      <w:jc w:val="left"/>
      <w:spacing w:before="100" w:beforeAutospacing="1" w:after="100" w:afterAutospacing="1"/>
      <w:widowControl/>
    </w:pPr>
    <w:rPr>
      <w:rFonts w:ascii="宋体" w:hAnsi="宋体" w:eastAsia="宋体" w:cs="宋体"/>
      <w:b/>
      <w:bCs/>
      <w:i/>
      <w:iCs/>
      <w:sz w:val="20"/>
    </w:rPr>
  </w:style>
  <w:style w:type="paragraph" w:styleId="1410">
    <w:name w:val="标题 4宋体"/>
    <w:basedOn w:val="1057"/>
    <w:next w:val="1410"/>
    <w:link w:val="1053"/>
    <w:pPr>
      <w:jc w:val="left"/>
      <w:keepLines w:val="0"/>
      <w:spacing w:before="0" w:after="0" w:line="360" w:lineRule="auto"/>
    </w:pPr>
    <w:rPr>
      <w:rFonts w:ascii="宋体" w:hAnsi="宋体" w:eastAsia="宋体" w:cs="Times New Roman"/>
      <w:bCs/>
      <w:color w:val="000000"/>
      <w:sz w:val="24"/>
    </w:rPr>
  </w:style>
  <w:style w:type="paragraph" w:styleId="1411">
    <w:name w:val="小四 段落 宋体 Char Char"/>
    <w:basedOn w:val="1053"/>
    <w:next w:val="1411"/>
    <w:link w:val="1053"/>
    <w:pPr>
      <w:ind w:firstLine="480"/>
      <w:spacing w:line="360" w:lineRule="auto"/>
    </w:pPr>
    <w:rPr>
      <w:rFonts w:ascii="宋体" w:hAnsi="宋体" w:eastAsia="宋体" w:cs="Times New Roman"/>
      <w:sz w:val="24"/>
      <w:szCs w:val="24"/>
    </w:rPr>
  </w:style>
  <w:style w:type="paragraph" w:styleId="1412">
    <w:name w:val="纯文本1"/>
    <w:basedOn w:val="1053"/>
    <w:next w:val="1412"/>
    <w:link w:val="1053"/>
    <w:rPr>
      <w:rFonts w:ascii="宋体" w:hAnsi="宋体" w:eastAsia="楷体_GB2312" w:cs="宋体"/>
      <w:sz w:val="28"/>
    </w:rPr>
  </w:style>
  <w:style w:type="paragraph" w:styleId="1413">
    <w:name w:val="xl27"/>
    <w:basedOn w:val="1053"/>
    <w:next w:val="1413"/>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14">
    <w:name w:val="标题5，章节第五层"/>
    <w:basedOn w:val="1053"/>
    <w:next w:val="1053"/>
    <w:link w:val="1053"/>
    <w:pPr>
      <w:ind w:left="2100" w:hanging="420"/>
      <w:spacing w:before="78"/>
      <w:tabs>
        <w:tab w:val="left" w:pos="1050" w:leader="none"/>
        <w:tab w:val="left" w:pos="2100" w:leader="none"/>
      </w:tabs>
      <w:outlineLvl w:val="4"/>
    </w:pPr>
    <w:rPr>
      <w:rFonts w:ascii="Arial" w:hAnsi="Arial" w:eastAsia="华文细黑" w:cs="Times New Roman"/>
      <w:sz w:val="30"/>
      <w:szCs w:val="24"/>
    </w:rPr>
  </w:style>
  <w:style w:type="paragraph" w:styleId="1415">
    <w:name w:val="content_lineheight"/>
    <w:basedOn w:val="1053"/>
    <w:next w:val="1415"/>
    <w:link w:val="1053"/>
    <w:pPr>
      <w:jc w:val="left"/>
      <w:spacing w:before="100" w:beforeAutospacing="1" w:after="100" w:afterAutospacing="1"/>
      <w:widowControl/>
    </w:pPr>
    <w:rPr>
      <w:rFonts w:ascii="宋体" w:hAnsi="宋体" w:eastAsia="宋体" w:cs="Times New Roman"/>
      <w:sz w:val="24"/>
      <w:szCs w:val="24"/>
    </w:rPr>
  </w:style>
  <w:style w:type="paragraph" w:styleId="1416">
    <w:name w:val="Pa5"/>
    <w:basedOn w:val="1053"/>
    <w:next w:val="1053"/>
    <w:link w:val="1053"/>
    <w:pPr>
      <w:jc w:val="left"/>
      <w:spacing w:line="241" w:lineRule="atLeast"/>
    </w:pPr>
    <w:rPr>
      <w:rFonts w:ascii="汉仪大黑简" w:hAnsi="Times New Roman" w:eastAsia="汉仪大黑简" w:cs="Times New Roman"/>
      <w:sz w:val="24"/>
      <w:szCs w:val="24"/>
    </w:rPr>
  </w:style>
  <w:style w:type="paragraph" w:styleId="1417">
    <w:name w:val="xl63"/>
    <w:basedOn w:val="1053"/>
    <w:next w:val="1417"/>
    <w:link w:val="1053"/>
    <w:pPr>
      <w:jc w:val="center"/>
      <w:spacing w:before="100" w:beforeAutospacing="1" w:after="100" w:afterAutospacing="1"/>
      <w:widowControl/>
      <w:pBdr>
        <w:top w:val="single" w:color="000000" w:sz="4" w:space="0"/>
        <w:left w:val="single" w:color="000000" w:sz="4" w:space="0"/>
        <w:bottom w:val="single" w:color="000000" w:sz="4" w:space="0"/>
      </w:pBdr>
    </w:pPr>
    <w:rPr>
      <w:rFonts w:ascii="Times New Roman" w:hAnsi="Times New Roman" w:eastAsia="宋体" w:cs="Times New Roman"/>
      <w:b/>
      <w:bCs/>
      <w:sz w:val="20"/>
    </w:rPr>
  </w:style>
  <w:style w:type="paragraph" w:styleId="1418">
    <w:name w:val="小四 段落 宋体 Char Char Char Char"/>
    <w:basedOn w:val="1053"/>
    <w:next w:val="1418"/>
    <w:link w:val="1053"/>
    <w:pPr>
      <w:ind w:right="-33" w:firstLine="480"/>
      <w:jc w:val="left"/>
      <w:spacing w:line="360" w:lineRule="auto"/>
    </w:pPr>
    <w:rPr>
      <w:rFonts w:ascii="Times New Roman" w:hAnsi="Times New Roman" w:eastAsia="宋体" w:cs="Times New Roman"/>
      <w:sz w:val="24"/>
      <w:szCs w:val="24"/>
    </w:rPr>
  </w:style>
  <w:style w:type="paragraph" w:styleId="1419">
    <w:name w:val="列出段落2"/>
    <w:basedOn w:val="1053"/>
    <w:next w:val="1419"/>
    <w:link w:val="1053"/>
    <w:pPr>
      <w:ind w:left="720"/>
      <w:jc w:val="left"/>
      <w:widowControl/>
    </w:pPr>
    <w:rPr>
      <w:rFonts w:ascii="Arial" w:hAnsi="Arial" w:eastAsia="黑体" w:cs="Arial"/>
      <w:sz w:val="24"/>
      <w:szCs w:val="24"/>
      <w:lang w:eastAsia="en-US"/>
    </w:rPr>
  </w:style>
  <w:style w:type="paragraph" w:styleId="1420">
    <w:name w:val="标题2，章节第二层"/>
    <w:basedOn w:val="1053"/>
    <w:next w:val="1303"/>
    <w:link w:val="1053"/>
    <w:pPr>
      <w:numPr>
        <w:ilvl w:val="4"/>
        <w:numId w:val="4"/>
      </w:numPr>
      <w:ind w:left="992" w:hanging="567"/>
      <w:spacing w:before="312" w:after="312" w:line="300" w:lineRule="auto"/>
      <w:tabs>
        <w:tab w:val="left" w:pos="630" w:leader="none"/>
        <w:tab w:val="left" w:pos="992" w:leader="none"/>
        <w:tab w:val="left" w:pos="2100" w:leader="none"/>
      </w:tabs>
      <w:outlineLvl w:val="1"/>
    </w:pPr>
    <w:rPr>
      <w:rFonts w:ascii="Arial" w:hAnsi="Arial" w:eastAsia="黑体" w:cs="Times New Roman"/>
      <w:sz w:val="32"/>
      <w:szCs w:val="24"/>
    </w:rPr>
  </w:style>
  <w:style w:type="paragraph" w:styleId="1421">
    <w:name w:val="Test2"/>
    <w:basedOn w:val="1055"/>
    <w:next w:val="1421"/>
    <w:link w:val="1053"/>
    <w:pPr>
      <w:jc w:val="center"/>
      <w:spacing w:before="156" w:after="156" w:line="480" w:lineRule="exact"/>
      <w:widowControl/>
    </w:pPr>
    <w:rPr>
      <w:rFonts w:ascii="黑体" w:hAnsi="Arial" w:eastAsia="黑体" w:cs="Times New Roman"/>
      <w:bCs/>
      <w:sz w:val="24"/>
    </w:rPr>
  </w:style>
  <w:style w:type="paragraph" w:styleId="1422">
    <w:name w:val="样式 样式 标题 3H3sect1.2.3BOD 0Heading 3 - oldh3l3CTLevel 3 Head... +..."/>
    <w:basedOn w:val="1053"/>
    <w:next w:val="1422"/>
    <w:link w:val="1053"/>
    <w:pPr>
      <w:jc w:val="left"/>
      <w:keepLines/>
      <w:keepNext/>
      <w:spacing w:before="156" w:after="156"/>
      <w:outlineLvl w:val="2"/>
    </w:pPr>
    <w:rPr>
      <w:rFonts w:ascii="Times New Roman" w:hAnsi="Times New Roman" w:eastAsia="宋体" w:cs="宋体"/>
      <w:b/>
      <w:bCs/>
      <w:sz w:val="24"/>
    </w:rPr>
  </w:style>
  <w:style w:type="paragraph" w:styleId="1423">
    <w:name w:val="Char Char Char Char Char Char Char1 Char"/>
    <w:basedOn w:val="1053"/>
    <w:next w:val="1423"/>
    <w:link w:val="1053"/>
    <w:rPr>
      <w:rFonts w:ascii="Tahoma" w:hAnsi="Tahoma" w:eastAsia="宋体" w:cs="Tahoma"/>
      <w:sz w:val="24"/>
    </w:rPr>
  </w:style>
  <w:style w:type="paragraph" w:styleId="1424">
    <w:name w:val="xl51"/>
    <w:basedOn w:val="1053"/>
    <w:next w:val="1424"/>
    <w:link w:val="10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Times New Roman" w:hAnsi="Times New Roman" w:eastAsia="宋体" w:cs="Times New Roman"/>
      <w:b/>
      <w:bCs/>
      <w:i/>
      <w:iCs/>
      <w:sz w:val="20"/>
    </w:rPr>
  </w:style>
  <w:style w:type="paragraph" w:styleId="1425">
    <w:name w:val="qw"/>
    <w:next w:val="1425"/>
    <w:link w:val="1053"/>
    <w:pPr>
      <w:jc w:val="both"/>
      <w:spacing w:line="312" w:lineRule="atLeast"/>
      <w:widowControl w:val="off"/>
    </w:pPr>
    <w:rPr>
      <w:rFonts w:ascii="宋体"/>
      <w:sz w:val="24"/>
      <w:lang w:val="en-US" w:eastAsia="zh-CN" w:bidi="ar-SA"/>
    </w:rPr>
  </w:style>
  <w:style w:type="paragraph" w:styleId="1426">
    <w:name w:val="xl26"/>
    <w:basedOn w:val="1053"/>
    <w:next w:val="1426"/>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27">
    <w:name w:val="1"/>
    <w:basedOn w:val="1053"/>
    <w:next w:val="1125"/>
    <w:link w:val="1053"/>
    <w:pPr>
      <w:spacing w:line="360" w:lineRule="auto"/>
    </w:pPr>
    <w:rPr>
      <w:rFonts w:ascii="Times New Roman" w:hAnsi="Times New Roman" w:eastAsia="仿宋_GB2312" w:cs="Times New Roman"/>
      <w:sz w:val="24"/>
      <w:szCs w:val="24"/>
    </w:rPr>
  </w:style>
  <w:style w:type="paragraph" w:styleId="1428">
    <w:name w:val=" Char"/>
    <w:basedOn w:val="1053"/>
    <w:next w:val="1428"/>
    <w:link w:val="1053"/>
    <w:pPr>
      <w:spacing w:after="156" w:line="360" w:lineRule="auto"/>
    </w:pPr>
    <w:rPr>
      <w:rFonts w:ascii="Tahoma" w:hAnsi="Tahoma" w:eastAsia="宋体" w:cs="Times New Roman"/>
      <w:sz w:val="24"/>
    </w:rPr>
  </w:style>
  <w:style w:type="paragraph" w:styleId="1429">
    <w:name w:val="Body Text 21"/>
    <w:basedOn w:val="1053"/>
    <w:next w:val="1429"/>
    <w:link w:val="1053"/>
    <w:pPr>
      <w:ind w:left="720" w:hanging="720"/>
      <w:widowControl/>
    </w:pPr>
    <w:rPr>
      <w:rFonts w:ascii="Times New Roman" w:hAnsi="Times New Roman" w:eastAsia="宋体" w:cs="Times New Roman"/>
      <w:sz w:val="24"/>
      <w:lang w:val="en-GB"/>
    </w:rPr>
  </w:style>
  <w:style w:type="paragraph" w:styleId="1430">
    <w:name w:val="大标题"/>
    <w:basedOn w:val="1053"/>
    <w:next w:val="1053"/>
    <w:link w:val="1053"/>
    <w:pPr>
      <w:ind w:hanging="420"/>
      <w:pageBreakBefore/>
      <w:spacing w:line="360" w:lineRule="auto"/>
      <w:tabs>
        <w:tab w:val="left" w:pos="420" w:leader="none"/>
      </w:tabs>
      <w:outlineLvl w:val="0"/>
    </w:pPr>
    <w:rPr>
      <w:rFonts w:ascii="Times New Roman" w:hAnsi="Times New Roman" w:eastAsia="宋体" w:cs="Times New Roman"/>
      <w:b/>
      <w:iCs/>
      <w:sz w:val="44"/>
      <w:szCs w:val="24"/>
    </w:rPr>
  </w:style>
  <w:style w:type="paragraph" w:styleId="1431">
    <w:name w:val="xl43"/>
    <w:basedOn w:val="1053"/>
    <w:next w:val="1431"/>
    <w:link w:val="1053"/>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宋体"/>
      <w:b/>
      <w:bCs/>
      <w:sz w:val="20"/>
    </w:rPr>
  </w:style>
  <w:style w:type="paragraph" w:styleId="1432">
    <w:name w:val="font6"/>
    <w:basedOn w:val="1053"/>
    <w:next w:val="1432"/>
    <w:link w:val="1053"/>
    <w:pPr>
      <w:jc w:val="left"/>
      <w:spacing w:before="100" w:beforeAutospacing="1" w:after="100" w:afterAutospacing="1"/>
      <w:widowControl/>
    </w:pPr>
    <w:rPr>
      <w:rFonts w:ascii="宋体" w:hAnsi="宋体" w:eastAsia="宋体" w:cs="宋体"/>
      <w:b/>
      <w:bCs/>
      <w:sz w:val="20"/>
    </w:rPr>
  </w:style>
  <w:style w:type="paragraph" w:styleId="1433">
    <w:name w:val="Char Char1 Char"/>
    <w:basedOn w:val="1053"/>
    <w:next w:val="1433"/>
    <w:link w:val="1053"/>
    <w:pPr>
      <w:jc w:val="left"/>
      <w:spacing w:after="160" w:line="240" w:lineRule="exact"/>
      <w:widowControl/>
    </w:pPr>
    <w:rPr>
      <w:rFonts w:ascii="Verdana" w:hAnsi="Verdana" w:eastAsia="宋体" w:cs="Times New Roman"/>
      <w:sz w:val="20"/>
      <w:lang w:eastAsia="en-US"/>
    </w:rPr>
  </w:style>
  <w:style w:type="paragraph" w:styleId="1434">
    <w:name w:val="Body Text 22"/>
    <w:basedOn w:val="1053"/>
    <w:next w:val="1434"/>
    <w:link w:val="1053"/>
    <w:pPr>
      <w:ind w:left="720" w:hanging="720"/>
      <w:widowControl/>
    </w:pPr>
    <w:rPr>
      <w:rFonts w:ascii="Times New Roman" w:hAnsi="Times New Roman" w:eastAsia="宋体" w:cs="Times New Roman"/>
      <w:sz w:val="24"/>
      <w:lang w:val="en-GB"/>
    </w:rPr>
  </w:style>
  <w:style w:type="paragraph" w:styleId="1435">
    <w:name w:val="xl54"/>
    <w:basedOn w:val="1053"/>
    <w:next w:val="1435"/>
    <w:link w:val="1053"/>
    <w:pPr>
      <w:jc w:val="center"/>
      <w:spacing w:before="100" w:beforeAutospacing="1" w:after="100" w:afterAutospacing="1"/>
      <w:shd w:val="clear" w:color="auto" w:fill="969696"/>
      <w:widowControl/>
      <w:pBdr>
        <w:top w:val="single" w:color="000000" w:sz="4" w:space="0"/>
        <w:left w:val="single" w:color="000000" w:sz="4" w:space="0"/>
        <w:bottom w:val="single" w:color="000000" w:sz="4" w:space="0"/>
      </w:pBdr>
    </w:pPr>
    <w:rPr>
      <w:rFonts w:ascii="宋体" w:hAnsi="宋体" w:eastAsia="宋体" w:cs="宋体"/>
      <w:b/>
      <w:bCs/>
      <w:sz w:val="20"/>
    </w:rPr>
  </w:style>
  <w:style w:type="paragraph" w:styleId="1436">
    <w:name w:val="Item Step in Table"/>
    <w:next w:val="1436"/>
    <w:link w:val="1053"/>
    <w:pPr>
      <w:numPr>
        <w:ilvl w:val="0"/>
        <w:numId w:val="4"/>
      </w:numPr>
      <w:jc w:val="both"/>
      <w:spacing w:before="40" w:after="40"/>
      <w:tabs>
        <w:tab w:val="left" w:pos="397" w:leader="none"/>
      </w:tabs>
    </w:pPr>
    <w:rPr>
      <w:rFonts w:ascii="Arial" w:hAnsi="Arial" w:cs="Arial"/>
      <w:sz w:val="18"/>
      <w:szCs w:val="18"/>
      <w:lang w:val="en-US" w:eastAsia="zh-CN" w:bidi="ar-SA"/>
    </w:rPr>
  </w:style>
  <w:style w:type="paragraph" w:styleId="1437">
    <w:name w:val=" Char Char1 Char"/>
    <w:basedOn w:val="1053"/>
    <w:next w:val="1437"/>
    <w:link w:val="1053"/>
    <w:pPr>
      <w:jc w:val="left"/>
      <w:spacing w:after="160" w:line="240" w:lineRule="exact"/>
      <w:widowControl/>
    </w:pPr>
    <w:rPr>
      <w:rFonts w:ascii="Verdana" w:hAnsi="Verdana" w:eastAsia="宋体" w:cs="Times New Roman"/>
      <w:sz w:val="20"/>
      <w:lang w:eastAsia="en-US"/>
    </w:rPr>
  </w:style>
  <w:style w:type="paragraph" w:styleId="1438">
    <w:name w:val="部分1"/>
    <w:basedOn w:val="1053"/>
    <w:next w:val="1438"/>
    <w:link w:val="1053"/>
    <w:pPr>
      <w:jc w:val="center"/>
      <w:keepNext/>
      <w:pageBreakBefore/>
      <w:spacing w:line="360" w:lineRule="auto"/>
      <w:tabs>
        <w:tab w:val="left" w:pos="360" w:leader="none"/>
      </w:tabs>
      <w:outlineLvl w:val="0"/>
    </w:pPr>
    <w:rPr>
      <w:rFonts w:ascii="Times New Roman" w:hAnsi="Times New Roman" w:eastAsia="黑体" w:cs="Times New Roman"/>
      <w:b/>
      <w:sz w:val="36"/>
    </w:rPr>
  </w:style>
  <w:style w:type="paragraph" w:styleId="1439">
    <w:name w:val="Item List Char Char"/>
    <w:next w:val="1439"/>
    <w:link w:val="1053"/>
    <w:pPr>
      <w:jc w:val="both"/>
      <w:spacing w:line="288" w:lineRule="auto"/>
    </w:pPr>
    <w:rPr>
      <w:rFonts w:ascii="Arial" w:hAnsi="Arial" w:cs="Arial"/>
      <w:b/>
      <w:bCs/>
      <w:sz w:val="21"/>
      <w:szCs w:val="28"/>
      <w:lang w:val="en-US" w:eastAsia="zh-CN" w:bidi="ar-SA"/>
    </w:rPr>
  </w:style>
  <w:style w:type="paragraph" w:styleId="1440">
    <w:name w:val="中等深浅网格 1 - 强调文字颜色 21"/>
    <w:basedOn w:val="1053"/>
    <w:next w:val="1440"/>
    <w:link w:val="1053"/>
    <w:pPr>
      <w:ind w:firstLine="420"/>
    </w:pPr>
    <w:rPr>
      <w:rFonts w:ascii="Calibri" w:hAnsi="Calibri" w:eastAsia="宋体" w:cs="Times New Roman"/>
      <w:szCs w:val="22"/>
    </w:rPr>
  </w:style>
  <w:style w:type="paragraph" w:styleId="1441">
    <w:name w:val="Normal2"/>
    <w:basedOn w:val="1053"/>
    <w:next w:val="1441"/>
    <w:link w:val="1053"/>
    <w:rPr>
      <w:rFonts w:ascii="Calibri" w:hAnsi="Calibri" w:eastAsia="Calibri" w:cs="宋体"/>
      <w:lang w:val="zh-CN"/>
    </w:rPr>
  </w:style>
  <w:style w:type="paragraph" w:styleId="1442">
    <w:name w:val=" Char Char Char Char Char Char Char Char Char Char Char Char Char Char Char Char Char Char Char Char Char Char Char"/>
    <w:basedOn w:val="1053"/>
    <w:next w:val="1442"/>
    <w:link w:val="1053"/>
    <w:rPr>
      <w:rFonts w:ascii="Tahoma" w:hAnsi="Tahoma" w:eastAsia="宋体" w:cs="Times New Roman"/>
      <w:sz w:val="24"/>
    </w:rPr>
  </w:style>
  <w:style w:type="paragraph" w:styleId="1443">
    <w:name w:val="样式3"/>
    <w:basedOn w:val="1053"/>
    <w:next w:val="1053"/>
    <w:link w:val="1053"/>
    <w:pPr>
      <w:spacing w:line="360" w:lineRule="auto"/>
    </w:pPr>
    <w:rPr>
      <w:rFonts w:ascii="Times New Roman" w:hAnsi="Times New Roman" w:eastAsia="宋体" w:cs="Times New Roman"/>
    </w:rPr>
  </w:style>
  <w:style w:type="paragraph" w:styleId="1444">
    <w:name w:val="样式 标题 2第一章 标题 2Heading 2 HiddenHeading 2 CCBSheading 2H2h2..."/>
    <w:basedOn w:val="1055"/>
    <w:next w:val="1444"/>
    <w:link w:val="1053"/>
    <w:pPr>
      <w:ind w:left="360" w:hanging="360"/>
      <w:jc w:val="center"/>
      <w:keepLines w:val="0"/>
      <w:spacing w:before="156" w:after="156"/>
      <w:tabs>
        <w:tab w:val="left" w:pos="360" w:leader="none"/>
      </w:tabs>
    </w:pPr>
    <w:rPr>
      <w:rFonts w:ascii="黑体" w:hAnsi="Times New Roman" w:eastAsia="黑体" w:cs="宋体"/>
      <w:b w:val="0"/>
      <w:sz w:val="32"/>
      <w:szCs w:val="20"/>
    </w:rPr>
  </w:style>
  <w:style w:type="paragraph" w:styleId="1445">
    <w:name w:val="xl61"/>
    <w:basedOn w:val="1053"/>
    <w:next w:val="1445"/>
    <w:link w:val="1053"/>
    <w:pPr>
      <w:jc w:val="center"/>
      <w:spacing w:before="100" w:beforeAutospacing="1" w:after="100" w:afterAutospacing="1"/>
      <w:shd w:val="clear" w:color="auto" w:fill="969696"/>
      <w:widowControl/>
      <w:pBdr>
        <w:top w:val="single" w:color="000000" w:sz="4" w:space="0"/>
        <w:bottom w:val="single" w:color="000000" w:sz="4" w:space="0"/>
      </w:pBdr>
    </w:pPr>
    <w:rPr>
      <w:rFonts w:ascii="Times New Roman" w:hAnsi="Times New Roman" w:eastAsia="宋体" w:cs="Times New Roman"/>
      <w:b/>
      <w:bCs/>
      <w:i/>
      <w:iCs/>
      <w:sz w:val="20"/>
    </w:rPr>
  </w:style>
  <w:style w:type="paragraph" w:styleId="1446">
    <w:name w:val="xl53"/>
    <w:basedOn w:val="1053"/>
    <w:next w:val="1446"/>
    <w:link w:val="10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47">
    <w:name w:val="xl62"/>
    <w:basedOn w:val="1053"/>
    <w:next w:val="1447"/>
    <w:link w:val="1053"/>
    <w:pPr>
      <w:jc w:val="center"/>
      <w:spacing w:before="100" w:beforeAutospacing="1" w:after="100" w:afterAutospacing="1"/>
      <w:shd w:val="clear" w:color="auto" w:fill="969696"/>
      <w:widowControl/>
      <w:pBdr>
        <w:top w:val="single" w:color="000000" w:sz="4" w:space="0"/>
        <w:bottom w:val="single" w:color="000000" w:sz="4" w:space="0"/>
        <w:right w:val="single" w:color="000000" w:sz="4" w:space="0"/>
      </w:pBdr>
    </w:pPr>
    <w:rPr>
      <w:rFonts w:ascii="Times New Roman" w:hAnsi="Times New Roman" w:eastAsia="宋体" w:cs="Times New Roman"/>
      <w:b/>
      <w:bCs/>
      <w:i/>
      <w:iCs/>
      <w:sz w:val="20"/>
    </w:rPr>
  </w:style>
  <w:style w:type="paragraph" w:styleId="1448">
    <w:name w:val="条1"/>
    <w:basedOn w:val="1053"/>
    <w:next w:val="1448"/>
    <w:link w:val="1053"/>
    <w:pPr>
      <w:ind w:left="780" w:hanging="360"/>
      <w:spacing w:before="156" w:line="360" w:lineRule="auto"/>
      <w:tabs>
        <w:tab w:val="left" w:pos="780" w:leader="none"/>
      </w:tabs>
    </w:pPr>
    <w:rPr>
      <w:rFonts w:ascii="Times New Roman" w:hAnsi="Times New Roman" w:eastAsia="黑体" w:cs="Times New Roman"/>
      <w:sz w:val="24"/>
    </w:rPr>
  </w:style>
  <w:style w:type="paragraph" w:styleId="1449">
    <w:name w:val="样式4 Char"/>
    <w:basedOn w:val="1053"/>
    <w:next w:val="1449"/>
    <w:link w:val="1053"/>
    <w:pPr>
      <w:ind w:firstLine="480"/>
      <w:jc w:val="left"/>
      <w:spacing w:line="360" w:lineRule="auto"/>
      <w:widowControl/>
    </w:pPr>
    <w:rPr>
      <w:rFonts w:ascii="Times New Roman" w:hAnsi="Times New Roman" w:eastAsia="宋体" w:cs="宋体"/>
      <w:color w:val="000000"/>
      <w:sz w:val="24"/>
      <w:szCs w:val="24"/>
    </w:rPr>
  </w:style>
  <w:style w:type="paragraph" w:styleId="1450">
    <w:name w:val="Char Char Char Char Char Char"/>
    <w:basedOn w:val="1053"/>
    <w:next w:val="1450"/>
    <w:link w:val="1053"/>
    <w:rPr>
      <w:rFonts w:ascii="Tahoma" w:hAnsi="Tahoma" w:eastAsia="宋体" w:cs="Tahoma"/>
      <w:sz w:val="24"/>
    </w:rPr>
  </w:style>
  <w:style w:type="paragraph" w:styleId="1451">
    <w:name w:val="7"/>
    <w:basedOn w:val="1053"/>
    <w:next w:val="1128"/>
    <w:link w:val="1053"/>
    <w:pPr>
      <w:jc w:val="left"/>
      <w:spacing w:before="100" w:beforeAutospacing="1" w:after="100" w:afterAutospacing="1"/>
      <w:widowControl/>
    </w:pPr>
    <w:rPr>
      <w:rFonts w:ascii="宋体" w:hAnsi="宋体" w:eastAsia="宋体" w:cs="Times New Roman"/>
      <w:sz w:val="24"/>
    </w:rPr>
  </w:style>
  <w:style w:type="paragraph" w:styleId="1452">
    <w:name w:val="普通文字"/>
    <w:basedOn w:val="1053"/>
    <w:next w:val="1053"/>
    <w:link w:val="1053"/>
    <w:rPr>
      <w:rFonts w:ascii="宋体" w:hAnsi="宋体" w:eastAsia="宋体" w:cs="宋体"/>
      <w:sz w:val="24"/>
    </w:rPr>
  </w:style>
  <w:style w:type="paragraph" w:styleId="1453">
    <w:name w:val="Char1 Char Char Char"/>
    <w:basedOn w:val="1053"/>
    <w:next w:val="1453"/>
    <w:link w:val="1053"/>
    <w:rPr>
      <w:rFonts w:ascii="Tahoma" w:hAnsi="Tahoma" w:eastAsia="宋体" w:cs="Tahoma"/>
      <w:sz w:val="24"/>
    </w:rPr>
  </w:style>
  <w:style w:type="paragraph" w:styleId="1454">
    <w:name w:val="Char2 Char Char Char Char Char Char1"/>
    <w:basedOn w:val="1053"/>
    <w:next w:val="1454"/>
    <w:link w:val="1053"/>
    <w:pPr>
      <w:ind w:hanging="425"/>
      <w:keepNext/>
      <w:spacing w:before="80" w:after="80"/>
      <w:widowControl/>
      <w:tabs>
        <w:tab w:val="left" w:pos="425" w:leader="none"/>
      </w:tabs>
    </w:pPr>
    <w:rPr>
      <w:rFonts w:ascii="Arial" w:hAnsi="Arial" w:eastAsia="宋体" w:cs="Arial"/>
      <w:sz w:val="20"/>
    </w:rPr>
  </w:style>
  <w:style w:type="paragraph" w:styleId="1455">
    <w:name w:val="默认段落字体 Para Char Char Char Char Char Char Char"/>
    <w:basedOn w:val="1053"/>
    <w:next w:val="1455"/>
    <w:link w:val="1053"/>
    <w:rPr>
      <w:rFonts w:ascii="Times New Roman" w:hAnsi="Times New Roman" w:eastAsia="宋体" w:cs="Times New Roman"/>
    </w:rPr>
  </w:style>
  <w:style w:type="paragraph" w:styleId="1456">
    <w:name w:val="正文文本缩进1"/>
    <w:basedOn w:val="1053"/>
    <w:next w:val="1456"/>
    <w:link w:val="1053"/>
    <w:pPr>
      <w:ind w:left="420"/>
      <w:spacing w:after="120"/>
    </w:pPr>
    <w:rPr>
      <w:rFonts w:ascii="Times New Roman" w:hAnsi="Times New Roman" w:eastAsia="宋体" w:cs="Times New Roman"/>
      <w:szCs w:val="24"/>
    </w:rPr>
  </w:style>
  <w:style w:type="paragraph" w:styleId="1457">
    <w:name w:val="Table Text Char"/>
    <w:next w:val="1457"/>
    <w:link w:val="1053"/>
    <w:pPr>
      <w:spacing w:before="80" w:after="80"/>
    </w:pPr>
    <w:rPr>
      <w:rFonts w:ascii="Arial" w:hAnsi="Arial" w:cs="Arial"/>
      <w:sz w:val="18"/>
      <w:szCs w:val="28"/>
      <w:lang w:val="en-US" w:eastAsia="zh-CN" w:bidi="ar-SA"/>
    </w:rPr>
  </w:style>
  <w:style w:type="paragraph" w:styleId="1458">
    <w:name w:val="方案正文"/>
    <w:basedOn w:val="1053"/>
    <w:next w:val="1458"/>
    <w:link w:val="1053"/>
    <w:pPr>
      <w:ind w:firstLine="359"/>
      <w:jc w:val="left"/>
      <w:spacing w:before="156" w:line="360" w:lineRule="auto"/>
    </w:pPr>
    <w:rPr>
      <w:rFonts w:ascii="Arial" w:hAnsi="Arial" w:eastAsia="宋体" w:cs="宋体"/>
      <w:sz w:val="24"/>
      <w:szCs w:val="21"/>
    </w:rPr>
  </w:style>
  <w:style w:type="paragraph" w:styleId="1459">
    <w:name w:val="Char Char Char Char Char Char Char Char Char"/>
    <w:basedOn w:val="1053"/>
    <w:next w:val="1459"/>
    <w:link w:val="1053"/>
    <w:pPr>
      <w:ind w:left="200" w:hanging="200"/>
      <w:tabs>
        <w:tab w:val="left" w:pos="360" w:leader="none"/>
      </w:tabs>
    </w:pPr>
    <w:rPr>
      <w:rFonts w:ascii="Times New Roman" w:hAnsi="Times New Roman" w:eastAsia="宋体" w:cs="Times New Roman"/>
      <w:sz w:val="24"/>
      <w:szCs w:val="24"/>
    </w:rPr>
  </w:style>
  <w:style w:type="paragraph" w:styleId="1460">
    <w:name w:val="Char"/>
    <w:basedOn w:val="1053"/>
    <w:next w:val="1460"/>
    <w:link w:val="1053"/>
    <w:rPr>
      <w:rFonts w:ascii="Tahoma" w:hAnsi="Tahoma" w:eastAsia="宋体" w:cs="仿宋_GB2312"/>
      <w:sz w:val="24"/>
      <w:szCs w:val="28"/>
    </w:rPr>
  </w:style>
  <w:style w:type="paragraph" w:styleId="1461">
    <w:name w:val="标题3，章节第三层"/>
    <w:basedOn w:val="1053"/>
    <w:next w:val="1303"/>
    <w:link w:val="1053"/>
    <w:pPr>
      <w:spacing w:before="78" w:line="300" w:lineRule="auto"/>
      <w:outlineLvl w:val="2"/>
    </w:pPr>
    <w:rPr>
      <w:rFonts w:ascii="Arial" w:hAnsi="Arial" w:eastAsia="华文细黑" w:cs="Times New Roman"/>
      <w:sz w:val="30"/>
      <w:szCs w:val="24"/>
    </w:rPr>
  </w:style>
  <w:style w:type="paragraph" w:styleId="1462">
    <w:name w:val="表格文字"/>
    <w:basedOn w:val="1053"/>
    <w:next w:val="1462"/>
    <w:link w:val="1053"/>
    <w:pPr>
      <w:ind w:firstLine="200"/>
      <w:jc w:val="left"/>
      <w:spacing w:line="360" w:lineRule="auto"/>
    </w:pPr>
    <w:rPr>
      <w:rFonts w:ascii="Arial" w:hAnsi="Arial" w:eastAsia="宋体" w:cs="Times New Roman"/>
      <w:sz w:val="24"/>
    </w:rPr>
  </w:style>
  <w:style w:type="paragraph" w:styleId="1463">
    <w:name w:val="xl45"/>
    <w:basedOn w:val="1053"/>
    <w:next w:val="1463"/>
    <w:link w:val="1053"/>
    <w:pPr>
      <w:jc w:val="center"/>
      <w:spacing w:before="100" w:beforeAutospacing="1" w:after="100" w:afterAutospacing="1"/>
      <w:widowControl/>
      <w:pBdr>
        <w:left w:val="single" w:color="000000" w:sz="4" w:space="0"/>
        <w:right w:val="single" w:color="000000" w:sz="4" w:space="0"/>
      </w:pBdr>
    </w:pPr>
    <w:rPr>
      <w:rFonts w:ascii="宋体" w:hAnsi="宋体" w:eastAsia="宋体" w:cs="宋体"/>
      <w:b/>
      <w:bCs/>
      <w:sz w:val="20"/>
    </w:rPr>
  </w:style>
  <w:style w:type="paragraph" w:styleId="1464">
    <w:name w:val="正文 居中"/>
    <w:basedOn w:val="1053"/>
    <w:next w:val="1464"/>
    <w:link w:val="1053"/>
    <w:pPr>
      <w:jc w:val="center"/>
      <w:spacing w:line="360" w:lineRule="auto"/>
    </w:pPr>
    <w:rPr>
      <w:rFonts w:ascii="Times New Roman" w:hAnsi="Times New Roman" w:eastAsia="宋体" w:cs="Times New Roman"/>
      <w:sz w:val="24"/>
    </w:rPr>
  </w:style>
  <w:style w:type="paragraph" w:styleId="1465">
    <w:name w:val="表格"/>
    <w:basedOn w:val="1053"/>
    <w:next w:val="1465"/>
    <w:link w:val="1053"/>
    <w:pPr>
      <w:ind w:firstLine="21"/>
    </w:pPr>
    <w:rPr>
      <w:rFonts w:ascii="宋体" w:hAnsi="宋体" w:eastAsia="宋体" w:cs="宋体"/>
      <w:sz w:val="20"/>
    </w:rPr>
  </w:style>
  <w:style w:type="paragraph" w:styleId="1466">
    <w:name w:val="greytypebeni"/>
    <w:basedOn w:val="1053"/>
    <w:next w:val="1466"/>
    <w:link w:val="1053"/>
    <w:pPr>
      <w:jc w:val="left"/>
      <w:widowControl/>
    </w:pPr>
    <w:rPr>
      <w:rFonts w:ascii="宋体" w:hAnsi="宋体" w:eastAsia="宋体" w:cs="宋体"/>
      <w:sz w:val="24"/>
      <w:szCs w:val="24"/>
    </w:rPr>
  </w:style>
  <w:style w:type="paragraph" w:styleId="1467">
    <w:name w:val="flType"/>
    <w:basedOn w:val="1276"/>
    <w:next w:val="1467"/>
    <w:link w:val="1053"/>
    <w:pPr>
      <w:spacing w:after="284"/>
    </w:pPr>
    <w:rPr>
      <w:rFonts w:ascii="Times New Roman" w:hAnsi="Times New Roman" w:eastAsia="宋体" w:cs="Times New Roman"/>
      <w:b/>
    </w:rPr>
  </w:style>
  <w:style w:type="paragraph" w:styleId="1468">
    <w:name w:val="符号与编号"/>
    <w:basedOn w:val="1053"/>
    <w:next w:val="1468"/>
    <w:link w:val="1053"/>
    <w:pPr>
      <w:ind w:left="900" w:hanging="420"/>
      <w:spacing w:after="156" w:line="400" w:lineRule="atLeast"/>
      <w:tabs>
        <w:tab w:val="left" w:pos="900" w:leader="none"/>
      </w:tabs>
    </w:pPr>
    <w:rPr>
      <w:rFonts w:ascii="Times New Roman" w:hAnsi="Times New Roman" w:eastAsia="宋体" w:cs="Times New Roman"/>
      <w:sz w:val="24"/>
      <w:szCs w:val="24"/>
    </w:rPr>
  </w:style>
  <w:style w:type="paragraph" w:styleId="1469">
    <w:name w:val="xl33"/>
    <w:basedOn w:val="1053"/>
    <w:next w:val="1469"/>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b/>
      <w:bCs/>
      <w:sz w:val="20"/>
    </w:rPr>
  </w:style>
  <w:style w:type="paragraph" w:styleId="1470">
    <w:name w:val="段 Char"/>
    <w:next w:val="1470"/>
    <w:link w:val="1053"/>
    <w:pPr>
      <w:ind w:firstLine="200"/>
      <w:jc w:val="both"/>
    </w:pPr>
    <w:rPr>
      <w:rFonts w:ascii="宋体"/>
      <w:sz w:val="21"/>
      <w:lang w:val="en-US" w:eastAsia="zh-CN" w:bidi="ar-SA"/>
    </w:rPr>
  </w:style>
  <w:style w:type="paragraph" w:styleId="1471">
    <w:name w:val="论文正文"/>
    <w:basedOn w:val="1102"/>
    <w:next w:val="1471"/>
    <w:link w:val="1053"/>
    <w:pPr>
      <w:ind w:left="0" w:firstLine="200"/>
      <w:jc w:val="left"/>
      <w:spacing w:line="360" w:lineRule="auto"/>
    </w:pPr>
    <w:rPr>
      <w:rFonts w:ascii="Times New Roman" w:hAnsi="Times New Roman" w:eastAsia="宋体" w:cs="Times New Roman"/>
      <w:sz w:val="28"/>
      <w:szCs w:val="24"/>
    </w:rPr>
  </w:style>
  <w:style w:type="paragraph" w:styleId="1472">
    <w:name w:val="默认段落字体 Para Char Char Char Char Char Char Char Char Char1 Char Char Char Char Char Char Char"/>
    <w:basedOn w:val="1082"/>
    <w:next w:val="1472"/>
    <w:link w:val="1053"/>
    <w:rPr>
      <w:rFonts w:ascii="Times New Roman" w:hAnsi="Times New Roman" w:eastAsia="宋体" w:cs="Times New Roman"/>
    </w:rPr>
  </w:style>
  <w:style w:type="paragraph" w:styleId="1473">
    <w:name w:val="二级条标题"/>
    <w:basedOn w:val="1053"/>
    <w:next w:val="1158"/>
    <w:link w:val="1053"/>
    <w:pPr>
      <w:ind w:hanging="420"/>
      <w:widowControl/>
      <w:tabs>
        <w:tab w:val="left" w:pos="2240" w:leader="none"/>
      </w:tabs>
      <w:outlineLvl w:val="3"/>
    </w:pPr>
    <w:rPr>
      <w:rFonts w:ascii="Times New Roman" w:hAnsi="Times New Roman" w:eastAsia="黑体" w:cs="Times New Roman"/>
    </w:rPr>
  </w:style>
  <w:style w:type="paragraph" w:styleId="1474">
    <w:name w:val="xl29"/>
    <w:basedOn w:val="1053"/>
    <w:next w:val="1474"/>
    <w:link w:val="1053"/>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Times New Roman" w:hAnsi="Times New Roman" w:eastAsia="宋体" w:cs="Times New Roman"/>
      <w:b/>
      <w:bCs/>
      <w:sz w:val="20"/>
    </w:rPr>
  </w:style>
  <w:style w:type="paragraph" w:styleId="1475">
    <w:name w:val="TOC 71"/>
    <w:next w:val="1053"/>
    <w:link w:val="1053"/>
    <w:qFormat/>
    <w:pPr>
      <w:ind w:left="2550"/>
      <w:jc w:val="both"/>
    </w:pPr>
    <w:rPr>
      <w:sz w:val="21"/>
      <w:szCs w:val="22"/>
      <w:lang w:val="en-US" w:eastAsia="zh-CN" w:bidi="ar-SA"/>
    </w:rPr>
  </w:style>
  <w:style w:type="paragraph" w:styleId="1476">
    <w:name w:val="xl39"/>
    <w:basedOn w:val="1053"/>
    <w:next w:val="1476"/>
    <w:link w:val="1053"/>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宋体"/>
      <w:sz w:val="24"/>
      <w:szCs w:val="24"/>
    </w:rPr>
  </w:style>
  <w:style w:type="paragraph" w:styleId="1477">
    <w:name w:val="A."/>
    <w:basedOn w:val="1053"/>
    <w:next w:val="1477"/>
    <w:link w:val="1053"/>
    <w:pPr>
      <w:ind w:left="5245" w:hanging="1985"/>
      <w:spacing w:before="240" w:line="240" w:lineRule="atLeast"/>
      <w:widowControl/>
      <w:tabs>
        <w:tab w:val="left" w:pos="680" w:leader="none"/>
        <w:tab w:val="left" w:pos="5245" w:leader="none"/>
      </w:tabs>
    </w:pPr>
    <w:rPr>
      <w:rFonts w:ascii="Times New Roman" w:hAnsi="Times New Roman" w:eastAsia="Times New Roman" w:cs="Times New Roman"/>
      <w:sz w:val="24"/>
    </w:rPr>
  </w:style>
  <w:style w:type="character" w:styleId="1478">
    <w:name w:val="font61"/>
    <w:next w:val="1478"/>
    <w:link w:val="1053"/>
    <w:rPr>
      <w:rFonts w:ascii="Times New Roman" w:hAnsi="Times New Roman" w:eastAsia="宋体" w:cs="Times New Roman"/>
      <w:color w:val="000000"/>
      <w:sz w:val="22"/>
      <w:szCs w:val="22"/>
      <w:u w:val="none"/>
    </w:rPr>
  </w:style>
  <w:style w:type="character" w:styleId="1479">
    <w:name w:val="font51"/>
    <w:next w:val="1479"/>
    <w:link w:val="1053"/>
    <w:rPr>
      <w:rFonts w:hint="eastAsia" w:ascii="宋体" w:hAnsi="宋体" w:eastAsia="宋体" w:cs="宋体"/>
      <w:color w:val="000000"/>
      <w:sz w:val="22"/>
      <w:szCs w:val="22"/>
      <w:u w:val="none"/>
      <w:vertAlign w:val="subscript"/>
    </w:rPr>
  </w:style>
  <w:style w:type="character" w:styleId="1480">
    <w:name w:val="font41"/>
    <w:next w:val="1480"/>
    <w:link w:val="1053"/>
    <w:rPr>
      <w:rFonts w:hint="eastAsia" w:ascii="宋体" w:hAnsi="宋体" w:eastAsia="宋体" w:cs="宋体"/>
      <w:color w:val="000000"/>
      <w:sz w:val="22"/>
      <w:szCs w:val="22"/>
      <w:u w:val="none"/>
    </w:rPr>
  </w:style>
  <w:style w:type="character" w:styleId="1481">
    <w:name w:val="font71"/>
    <w:next w:val="1481"/>
    <w:link w:val="1053"/>
    <w:rPr>
      <w:rFonts w:ascii="Times New Roman" w:hAnsi="Times New Roman" w:eastAsia="宋体" w:cs="Times New Roman"/>
      <w:color w:val="000000"/>
      <w:sz w:val="22"/>
      <w:szCs w:val="22"/>
      <w:u w:val="none"/>
    </w:rPr>
  </w:style>
  <w:style w:type="character" w:styleId="1482">
    <w:name w:val="font21"/>
    <w:next w:val="1482"/>
    <w:link w:val="1053"/>
    <w:rPr>
      <w:rFonts w:ascii="Times New Roman" w:hAnsi="Times New Roman" w:eastAsia="宋体" w:cs="Times New Roman"/>
      <w:color w:val="000000"/>
      <w:sz w:val="22"/>
      <w:szCs w:val="22"/>
      <w:u w:val="none"/>
      <w:vertAlign w:val="superscript"/>
    </w:rPr>
  </w:style>
  <w:style w:type="paragraph" w:styleId="1483">
    <w:name w:val="06列出段落"/>
    <w:basedOn w:val="1053"/>
    <w:next w:val="1295"/>
    <w:link w:val="1053"/>
    <w:pPr>
      <w:ind w:firstLine="420"/>
    </w:pPr>
    <w:rPr>
      <w:rFonts w:ascii="Calibri" w:hAnsi="Calibri" w:eastAsia="宋体" w:cs="Times New Roman"/>
    </w:rPr>
  </w:style>
  <w:style w:type="paragraph" w:styleId="1484">
    <w:name w:val="彩色列表 - 强调文字颜色 11"/>
    <w:basedOn w:val="1053"/>
    <w:next w:val="1484"/>
    <w:link w:val="1053"/>
    <w:qFormat/>
    <w:pPr>
      <w:contextualSpacing/>
      <w:ind w:left="720"/>
      <w:jc w:val="left"/>
      <w:spacing w:before="100" w:after="100" w:line="276" w:lineRule="auto"/>
      <w:widowControl/>
    </w:pPr>
    <w:rPr>
      <w:rFonts w:ascii="Arial" w:hAnsi="Arial" w:cs="Arial"/>
      <w:color w:val="0f0f0f"/>
      <w:sz w:val="20"/>
      <w:lang w:eastAsia="en-US"/>
    </w:rPr>
  </w:style>
  <w:style w:type="paragraph" w:styleId="1485">
    <w:name w:val="讲话正文"/>
    <w:basedOn w:val="1053"/>
    <w:next w:val="1485"/>
    <w:link w:val="1053"/>
    <w:qFormat/>
    <w:pPr>
      <w:ind w:firstLine="200"/>
      <w:spacing w:before="0" w:after="0"/>
    </w:pPr>
    <w:rPr>
      <w:rFonts w:ascii="仿宋" w:hAnsi="仿宋" w:eastAsia="仿宋"/>
      <w:sz w:val="32"/>
      <w:szCs w:val="32"/>
    </w:rPr>
  </w:style>
  <w:style w:type="paragraph" w:styleId="1486">
    <w:name w:val="首行缩进"/>
    <w:basedOn w:val="1053"/>
    <w:next w:val="1486"/>
    <w:link w:val="1053"/>
    <w:qFormat/>
    <w:pPr>
      <w:ind w:firstLine="480"/>
    </w:pPr>
    <w:rPr>
      <w:szCs w:val="20"/>
      <w:lang w:val="zh-CN"/>
    </w:rPr>
  </w:style>
  <w:style w:type="paragraph" w:styleId="1487">
    <w:name w:val="正文首行缩进 21"/>
    <w:basedOn w:val="1456"/>
    <w:next w:val="1487"/>
    <w:link w:val="1053"/>
    <w:qFormat/>
    <w:pPr>
      <w:ind w:firstLine="420"/>
    </w:pPr>
  </w:style>
  <w:style w:type="paragraph" w:styleId="1488">
    <w:name w:val="Table Text"/>
    <w:basedOn w:val="1053"/>
    <w:next w:val="1488"/>
    <w:link w:val="1053"/>
    <w:semiHidden/>
    <w:qFormat/>
    <w:rPr>
      <w:rFonts w:ascii="宋体" w:hAnsi="宋体" w:cs="宋体"/>
      <w:sz w:val="24"/>
    </w:rPr>
  </w:style>
  <w:style w:type="table" w:styleId="1489">
    <w:name w:val="Table Normal"/>
    <w:next w:val="1489"/>
    <w:link w:val="1053"/>
    <w:unhideWhenUsed/>
    <w:qFormat/>
    <w:rPr>
      <w:lang w:val="en-US" w:eastAsia="zh-CN" w:bidi="ar-SA"/>
    </w:rPr>
    <w:tblPr/>
  </w:style>
  <w:style w:type="paragraph" w:styleId="1490">
    <w:name w:val="一级目录"/>
    <w:next w:val="1053"/>
    <w:link w:val="1053"/>
    <w:uiPriority w:val="99"/>
    <w:qFormat/>
    <w:pPr>
      <w:jc w:val="center"/>
      <w:outlineLvl w:val="0"/>
    </w:pPr>
    <w:rPr>
      <w:rFonts w:ascii="黑体" w:eastAsia="黑体"/>
      <w:b/>
      <w:bCs/>
      <w:sz w:val="44"/>
      <w:szCs w:val="44"/>
      <w:lang w:val="en-US" w:eastAsia="zh-CN" w:bidi="ar-SA"/>
    </w:rPr>
  </w:style>
  <w:style w:type="paragraph" w:styleId="1491">
    <w:name w:val="MdHeading2"/>
    <w:next w:val="1491"/>
    <w:link w:val="1053"/>
    <w:qFormat/>
    <w:pPr>
      <w:keepNext/>
      <w:spacing w:before="400" w:after="200"/>
      <w:outlineLvl w:val="1"/>
    </w:pPr>
    <w:rPr>
      <w:rFonts w:ascii="Calibri" w:hAnsi="Calibri"/>
      <w:b/>
      <w:bCs/>
      <w:sz w:val="32"/>
      <w:szCs w:val="32"/>
      <w:lang w:val="en-US" w:eastAsia="zh-CN" w:bidi="ar-SA"/>
    </w:rPr>
  </w:style>
  <w:style w:type="paragraph" w:styleId="1492">
    <w:name w:val="MdParagraph"/>
    <w:next w:val="1492"/>
    <w:link w:val="1053"/>
    <w:qFormat/>
    <w:pPr>
      <w:spacing w:before="120" w:after="120"/>
    </w:pPr>
    <w:rPr>
      <w:rFonts w:ascii="Calibri" w:hAnsi="Calibri"/>
      <w:sz w:val="24"/>
      <w:szCs w:val="24"/>
      <w:lang w:val="en-US" w:eastAsia="zh-CN" w:bidi="ar-SA"/>
    </w:rPr>
  </w:style>
  <w:style w:type="paragraph" w:styleId="1493">
    <w:name w:val="MdSpace"/>
    <w:next w:val="1493"/>
    <w:link w:val="1053"/>
    <w:qFormat/>
    <w:rPr>
      <w:rFonts w:ascii="Calibri" w:hAnsi="Calibri"/>
      <w:sz w:val="12"/>
      <w:szCs w:val="12"/>
      <w:lang w:val="en-US" w:eastAsia="zh-CN" w:bidi="ar-SA"/>
    </w:rPr>
  </w:style>
  <w:style w:type="paragraph" w:styleId="1494">
    <w:name w:val="MdTableHeader"/>
    <w:next w:val="1494"/>
    <w:link w:val="1053"/>
    <w:qFormat/>
    <w:pPr>
      <w:spacing w:before="60" w:after="60"/>
    </w:pPr>
    <w:rPr>
      <w:rFonts w:ascii="Calibri" w:hAnsi="Calibri"/>
      <w:b/>
      <w:bCs/>
      <w:sz w:val="22"/>
      <w:szCs w:val="22"/>
      <w:lang w:val="en-US" w:eastAsia="zh-CN" w:bidi="ar-SA"/>
    </w:rPr>
  </w:style>
  <w:style w:type="paragraph" w:styleId="1495">
    <w:name w:val="MdTableCell"/>
    <w:next w:val="1495"/>
    <w:link w:val="1053"/>
    <w:qFormat/>
    <w:pPr>
      <w:spacing w:before="40" w:after="40"/>
    </w:pPr>
    <w:rPr>
      <w:rFonts w:ascii="Calibri" w:hAnsi="Calibri"/>
      <w:lang w:val="en-US" w:eastAsia="zh-CN" w:bidi="ar-SA"/>
    </w:rPr>
  </w:style>
  <w:style w:type="character" w:styleId="1496">
    <w:name w:val="MdStrong"/>
    <w:next w:val="1496"/>
    <w:link w:val="1053"/>
    <w:uiPriority w:val="99"/>
    <w:unhideWhenUsed/>
    <w:qFormat/>
    <w:rPr>
      <w:b/>
      <w:bCs/>
    </w:rPr>
  </w:style>
  <w:style w:type="paragraph" w:styleId="1497">
    <w:name w:val="标题 21"/>
    <w:basedOn w:val="1053"/>
    <w:next w:val="1053"/>
    <w:link w:val="1053"/>
    <w:qFormat/>
    <w:pPr>
      <w:jc w:val="center"/>
      <w:keepLines/>
      <w:keepNext/>
      <w:spacing w:before="260" w:after="260" w:line="416" w:lineRule="auto"/>
      <w:outlineLvl w:val="1"/>
    </w:pPr>
    <w:rPr>
      <w:rFonts w:ascii="Arial" w:hAnsi="Arial" w:eastAsia="幼圆"/>
      <w:b/>
      <w:bCs/>
      <w:sz w:val="44"/>
      <w:szCs w:val="44"/>
    </w:rPr>
  </w:style>
  <w:style w:type="character" w:styleId="1498">
    <w:name w:val="批注文字 字符2"/>
    <w:next w:val="1498"/>
    <w:link w:val="1053"/>
    <w:uiPriority w:val="99"/>
    <w:semiHidden/>
    <w:qFormat/>
    <w:rPr>
      <w:rFonts w:ascii="Times New Roman" w:hAnsi="Times New Roman" w:eastAsia="宋体" w:cs="Times New Roman"/>
      <w:sz w:val="21"/>
    </w:rPr>
  </w:style>
  <w:style w:type="character" w:styleId="1499">
    <w:name w:val="cf01"/>
    <w:next w:val="1499"/>
    <w:link w:val="1053"/>
    <w:rPr>
      <w:rFonts w:hint="eastAsia" w:ascii="Microsoft YaHei UI" w:hAnsi="Microsoft YaHei UI" w:eastAsia="Microsoft YaHei UI"/>
      <w:sz w:val="18"/>
      <w:szCs w:val="18"/>
    </w:rPr>
  </w:style>
  <w:style w:type="character" w:styleId="1500">
    <w:name w:val="正文缩进 字符"/>
    <w:next w:val="1500"/>
    <w:link w:val="1053"/>
    <w:rPr>
      <w:sz w:val="21"/>
    </w:rPr>
  </w:style>
  <w:style w:type="character" w:styleId="1501" w:default="1">
    <w:name w:val="Default Paragraph Font"/>
    <w:uiPriority w:val="1"/>
    <w:semiHidden/>
    <w:unhideWhenUsed/>
  </w:style>
  <w:style w:type="numbering" w:styleId="1502" w:default="1">
    <w:name w:val="No List"/>
    <w:uiPriority w:val="99"/>
    <w:semiHidden/>
    <w:unhideWhenUsed/>
  </w:style>
  <w:style w:type="table" w:styleId="150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JS</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竞争性磋</dc:title>
  <dc:creator>江苏省华采招</dc:creator>
  <cp:lastModifiedBy>方东</cp:lastModifiedBy>
  <cp:revision>9</cp:revision>
  <dcterms:created xsi:type="dcterms:W3CDTF">2026-10-20T01:18:00Z</dcterms:created>
  <dcterms:modified xsi:type="dcterms:W3CDTF">2026-10-20T08:53:32Z</dcterms:modified>
</cp:coreProperties>
</file>