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highlight w:val="none"/>
        </w:rPr>
        <w:pBdr>
          <w:top w:val="none" w:color="000000" w:sz="0" w:space="0"/>
          <w:left w:val="none" w:color="000000" w:sz="0" w:space="0"/>
          <w:bottom w:val="none" w:color="000000" w:sz="0" w:space="0"/>
          <w:right w:val="none" w:color="000000" w:sz="0" w:space="0"/>
        </w:pBdr>
      </w:pPr>
      <w:r/>
      <w:bookmarkStart w:id="6" w:name="_GoBack"/>
      <w:r/>
      <w:bookmarkEnd w:id="6"/>
      <w:r>
        <w:rPr>
          <w:rFonts w:hint="eastAsia"/>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苏 州 市 政 府 采 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招</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63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lang w:eastAsia="zh-CN"/>
        </w:rPr>
        <w:t xml:space="preserve">JSZC-320500-HWZX-G2026-0674</w:t>
      </w:r>
      <w:r/>
    </w:p>
    <w:p>
      <w:pPr>
        <w:ind w:left="63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苏州大学</w:t>
      </w:r>
      <w:r/>
    </w:p>
    <w:p>
      <w:pPr>
        <w:ind w:left="630"/>
        <w:spacing w:line="360" w:lineRule="auto"/>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：苏州大学天赐庄校区东区南门空地改造为跆拳道气膜馆</w:t>
      </w:r>
      <w:r/>
    </w:p>
    <w:p>
      <w:pPr>
        <w:ind w:lef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pStyle w:val="772"/>
        <w:rPr>
          <w:rFonts w:hint="default"/>
          <w:highlight w:val="none"/>
        </w:rPr>
      </w:pPr>
      <w:r>
        <w:rPr>
          <w:rFonts w:hint="default"/>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rPr>
        <w:t xml:space="preserve">十</w:t>
      </w:r>
      <w:r>
        <w:rPr>
          <w:rFonts w:ascii="宋体" w:hAnsi="宋体" w:eastAsia="宋体" w:cs="宋体"/>
          <w:b/>
          <w:sz w:val="28"/>
          <w:highlight w:val="none"/>
        </w:rPr>
        <w:t xml:space="preserve">月</w:t>
      </w:r>
      <w:r/>
    </w:p>
    <w:p>
      <w:pPr>
        <w:jc w:val="center"/>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sectPr>
          <w:footerReference w:type="default" r:id="rId8"/>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sz w:val="36"/>
          <w:highlight w:val="none"/>
        </w:rPr>
      </w:r>
      <w:r/>
    </w:p>
    <w:p>
      <w:pPr>
        <w:jc w:val="center"/>
        <w:rPr>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t xml:space="preserve">前附表</w:t>
      </w:r>
      <w:r/>
    </w:p>
    <w:tbl>
      <w:tblPr>
        <w:tblStyle w:val="79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677"/>
        <w:gridCol w:w="6850"/>
      </w:tblGrid>
      <w:tr>
        <w:trPr>
          <w:trHeight w:val="47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w:t>
            </w:r>
            <w:r/>
          </w:p>
        </w:tc>
        <w:tc>
          <w:tcPr>
            <w:tcMar>
              <w:left w:w="108" w:type="dxa"/>
              <w:top w:w="0" w:type="dxa"/>
              <w:right w:w="108" w:type="dxa"/>
              <w:bottom w:w="0" w:type="dxa"/>
            </w:tcMar>
            <w:tcW w:w="3689"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r>
      <w:tr>
        <w:trPr>
          <w:trHeight w:val="508"/>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苏州大学天赐庄校区东区南门空地改造为跆拳道气膜馆</w:t>
            </w:r>
            <w:r/>
          </w:p>
        </w:tc>
      </w:tr>
      <w:tr>
        <w:trPr>
          <w:trHeight w:val="62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60</w:t>
            </w:r>
            <w:r>
              <w:rPr>
                <w:rFonts w:hint="eastAsia" w:ascii="宋体" w:hAnsi="宋体" w:eastAsia="宋体" w:cs="宋体"/>
                <w:sz w:val="24"/>
                <w:highlight w:val="none"/>
              </w:rPr>
              <w:t xml:space="preserve">天</w:t>
            </w:r>
            <w:r/>
          </w:p>
        </w:tc>
      </w:tr>
      <w:tr>
        <w:trPr>
          <w:trHeight w:val="405"/>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采购预算</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174.9万元</w:t>
            </w:r>
            <w:r/>
          </w:p>
        </w:tc>
      </w:tr>
      <w:tr>
        <w:trPr>
          <w:trHeight w:val="40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最高限价</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174.9万元</w:t>
            </w:r>
            <w:r/>
          </w:p>
        </w:tc>
      </w:tr>
      <w:tr>
        <w:trPr>
          <w:trHeight w:val="9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申请人的资格</w:t>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要求</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详见招标公告</w:t>
            </w:r>
            <w:r/>
          </w:p>
        </w:tc>
      </w:tr>
      <w:tr>
        <w:trPr>
          <w:trHeight w:val="60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联合体投标</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w:t>
            </w:r>
            <w:r/>
          </w:p>
        </w:tc>
      </w:tr>
      <w:tr>
        <w:trPr>
          <w:trHeight w:val="55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进口产品</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不接受进口产品投标</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现场考察</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不集中组织现场考察</w:t>
            </w:r>
            <w:r/>
          </w:p>
        </w:tc>
      </w:tr>
      <w:tr>
        <w:trPr>
          <w:trHeight w:val="1484"/>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投标答疑会</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不召开</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投标文件份数</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中标后，</w:t>
            </w:r>
            <w:r>
              <w:rPr>
                <w:rFonts w:hint="eastAsia" w:ascii="宋体" w:hAnsi="宋体" w:eastAsia="宋体" w:cs="宋体"/>
                <w:sz w:val="24"/>
                <w:highlight w:val="none"/>
              </w:rPr>
              <w:t xml:space="preserve">无需</w:t>
            </w:r>
            <w:r>
              <w:rPr>
                <w:rFonts w:ascii="宋体" w:hAnsi="宋体" w:eastAsia="宋体" w:cs="宋体"/>
                <w:sz w:val="24"/>
                <w:highlight w:val="none"/>
              </w:rPr>
              <w:t xml:space="preserve">提供纸质投标文件送至</w:t>
            </w:r>
            <w:r>
              <w:rPr>
                <w:rFonts w:hint="eastAsia" w:ascii="宋体" w:hAnsi="宋体" w:eastAsia="宋体" w:cs="宋体"/>
                <w:sz w:val="24"/>
                <w:highlight w:val="none"/>
              </w:rPr>
              <w:t xml:space="preserve">采购代理机构</w:t>
            </w:r>
            <w:r>
              <w:rPr>
                <w:rFonts w:ascii="宋体" w:hAnsi="宋体" w:eastAsia="宋体" w:cs="宋体"/>
                <w:sz w:val="24"/>
                <w:highlight w:val="none"/>
              </w:rPr>
              <w:t xml:space="preserve">。</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投标货币</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人民币</w:t>
            </w:r>
            <w:r/>
          </w:p>
        </w:tc>
      </w:tr>
      <w:tr>
        <w:trPr>
          <w:trHeight w:val="62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合同方式</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固定总价合同</w:t>
            </w:r>
            <w:r/>
          </w:p>
        </w:tc>
      </w:tr>
      <w:tr>
        <w:trPr>
          <w:trHeight w:val="6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招标代理费</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本项目采购预算内含代理服务费，为优化采购资金使用效率，依据《政府采购代理机构管理暂行办法》（财库〔2018〕2号）第十五条规定，经采购人研究确定，本项目代理服务费由中标（成</w:t>
            </w:r>
            <w:r>
              <w:rPr>
                <w:rFonts w:hint="eastAsia" w:ascii="宋体" w:hAnsi="宋体" w:eastAsia="宋体" w:cs="宋体"/>
                <w:sz w:val="24"/>
                <w:highlight w:val="none"/>
              </w:rPr>
              <w:t xml:space="preserve">交）人支付，投标人报价内须包含代理服务费，支付金额的收费标准为以下方式差额累计法计算后3折计取：预算金额100万以下费率为预算金额的1.5%；预算金额100万-500万费率为预算金额的1.1%；预算金额500万-1000万费率为预算金额的0.8%；预算金额1000万-5000万费率为预算金额的0.5%；服务费最高1.2万元。确定收费标准的依据是苏州市级政府采购代理服务收费公告；收取方式：中标（成交）人在领取中标（成交）通知书前，一次性向采购代理机构足额支付；支付方式为银行转账。服务费金额：0.6972万元。</w:t>
            </w:r>
            <w:r/>
          </w:p>
        </w:tc>
      </w:tr>
      <w:tr>
        <w:trPr>
          <w:trHeight w:val="71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投标保证金</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有效期</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60日历天</w:t>
            </w:r>
            <w:r>
              <w:rPr>
                <w:rFonts w:ascii="宋体" w:hAnsi="宋体" w:eastAsia="宋体" w:cs="宋体"/>
                <w:sz w:val="24"/>
                <w:highlight w:val="none"/>
              </w:rPr>
              <w:t xml:space="preserve">（从投标截止之日算起）</w:t>
            </w:r>
            <w:r/>
          </w:p>
        </w:tc>
      </w:tr>
      <w:tr>
        <w:trPr>
          <w:trHeight w:val="564"/>
        </w:trPr>
        <w:tc>
          <w:tcPr>
            <w:shd w:val="clear" w:color="auto" w:fill="auto"/>
            <w:tcMar>
              <w:left w:w="108" w:type="dxa"/>
              <w:top w:w="0" w:type="dxa"/>
              <w:right w:w="108" w:type="dxa"/>
              <w:bottom w:w="0" w:type="dxa"/>
            </w:tcMar>
            <w:tcW w:w="406" w:type="pct"/>
            <w:vAlign w:val="center"/>
            <w:vMerge w:val="restar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投标截止时间</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rPr>
              <w:t xml:space="preserve">2026年</w:t>
            </w:r>
            <w:r>
              <w:rPr>
                <w:rFonts w:hint="eastAsia" w:ascii="宋体" w:hAnsi="宋体" w:eastAsia="宋体" w:cs="宋体"/>
                <w:sz w:val="24"/>
                <w:highlight w:val="none"/>
                <w:u w:val="single"/>
              </w:rPr>
              <w:t xml:space="preserve">11月18日13时30分（北京时间）</w:t>
            </w:r>
            <w:r>
              <w:rPr>
                <w:rFonts w:hint="eastAsia" w:ascii="宋体" w:hAnsi="宋体" w:eastAsia="宋体" w:cs="宋体"/>
                <w:sz w:val="24"/>
                <w:highlight w:val="none"/>
                <w:u w:val="single"/>
              </w:rPr>
            </w:r>
            <w:r/>
          </w:p>
        </w:tc>
      </w:tr>
      <w:tr>
        <w:trPr>
          <w:trHeight w:val="399"/>
        </w:trPr>
        <w:tc>
          <w:tcPr>
            <w:shd w:val="clear" w:color="auto" w:fill="auto"/>
            <w:tcW w:w="406" w:type="pct"/>
            <w:vAlign w:val="center"/>
            <w:vMerge w:val="continue"/>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投标地点</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系统（网址：http://jszfcg.jsczt.cn/）</w:t>
            </w:r>
            <w:r/>
          </w:p>
        </w:tc>
      </w:tr>
      <w:tr>
        <w:trPr>
          <w:trHeight w:val="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开标时间和</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rPr>
              <w:t xml:space="preserve">2026年</w:t>
            </w:r>
            <w:r>
              <w:rPr>
                <w:rFonts w:hint="eastAsia" w:ascii="宋体" w:hAnsi="宋体" w:eastAsia="宋体" w:cs="宋体"/>
                <w:sz w:val="24"/>
                <w:highlight w:val="none"/>
                <w:u w:val="single"/>
              </w:rPr>
              <w:t xml:space="preserve">11月18日13时30分（北京时间）</w:t>
            </w:r>
            <w:r>
              <w:rPr>
                <w:rFonts w:hint="eastAsia" w:ascii="宋体" w:hAnsi="宋体" w:eastAsia="宋体" w:cs="宋体"/>
                <w:sz w:val="24"/>
                <w:highlight w:val="none"/>
                <w:u w:val="single"/>
              </w:rPr>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系统（网址：http://jszfcg.jsczt.cn/）</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评标办法</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综合评分法</w:t>
            </w:r>
            <w:r/>
          </w:p>
        </w:tc>
      </w:tr>
      <w:tr>
        <w:trPr>
          <w:trHeight w:val="48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定标办法</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w:t>
            </w:r>
            <w:r>
              <w:rPr>
                <w:rFonts w:ascii="宋体" w:hAnsi="宋体" w:eastAsia="宋体" w:cs="宋体"/>
                <w:sz w:val="24"/>
                <w:highlight w:val="none"/>
              </w:rPr>
              <w:t xml:space="preserve">授权评标委员会按照</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要求</w:t>
            </w:r>
            <w:r>
              <w:rPr>
                <w:rFonts w:hint="eastAsia" w:ascii="宋体" w:hAnsi="宋体" w:eastAsia="宋体" w:cs="宋体"/>
                <w:sz w:val="24"/>
                <w:highlight w:val="none"/>
                <w:lang w:val="en-US" w:eastAsia="zh-CN"/>
              </w:rPr>
              <w:t xml:space="preserve">推荐</w:t>
            </w:r>
            <w:r>
              <w:rPr>
                <w:rFonts w:ascii="宋体" w:hAnsi="宋体" w:eastAsia="宋体" w:cs="宋体"/>
                <w:sz w:val="24"/>
                <w:highlight w:val="none"/>
              </w:rPr>
              <w:t xml:space="preserve">中标</w:t>
            </w:r>
            <w:r>
              <w:rPr>
                <w:rFonts w:hint="eastAsia" w:ascii="宋体" w:hAnsi="宋体" w:eastAsia="宋体" w:cs="宋体"/>
                <w:sz w:val="24"/>
                <w:highlight w:val="none"/>
              </w:rPr>
              <w:t xml:space="preserve">单位</w:t>
            </w:r>
            <w:r>
              <w:rPr>
                <w:rFonts w:ascii="宋体" w:hAnsi="宋体" w:eastAsia="宋体" w:cs="宋体"/>
                <w:sz w:val="24"/>
                <w:highlight w:val="none"/>
              </w:rPr>
              <w:t xml:space="preserve">。</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履约保证金</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（√）提交</w:t>
            </w:r>
            <w:r/>
          </w:p>
          <w:p>
            <w:pPr>
              <w:pStyle w:val="753"/>
              <w:spacing w:before="0" w:after="0" w:line="360" w:lineRule="auto"/>
              <w:rPr>
                <w:rFonts w:ascii="宋体" w:hAnsi="宋体" w:eastAsia="宋体" w:cs="宋体"/>
                <w:sz w:val="24"/>
                <w:szCs w:val="24"/>
                <w:highlight w:val="none"/>
              </w:rPr>
            </w:pPr>
            <w:r>
              <w:rPr>
                <w:rFonts w:hint="eastAsia" w:ascii="宋体" w:hAnsi="宋体" w:eastAsia="宋体" w:cs="宋体"/>
                <w:sz w:val="24"/>
                <w:highlight w:val="none"/>
              </w:rPr>
              <w:t xml:space="preserve">金额：合同金额的10%，合同签订前，中标单位应按学校要求提交。</w:t>
            </w:r>
            <w:r/>
          </w:p>
          <w:p>
            <w:pPr>
              <w:rPr>
                <w:highlight w:val="none"/>
              </w:rPr>
            </w:pPr>
            <w:r>
              <w:rPr>
                <w:rFonts w:hint="eastAsia" w:ascii="宋体" w:hAnsi="宋体" w:eastAsia="宋体" w:cs="宋体"/>
                <w:sz w:val="24"/>
                <w:szCs w:val="24"/>
                <w:highlight w:val="none"/>
              </w:rPr>
              <w:t xml:space="preserve">（）不提交</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w:t>
            </w:r>
            <w:r/>
          </w:p>
        </w:tc>
        <w:tc>
          <w:tcPr>
            <w:tcMar>
              <w:left w:w="108" w:type="dxa"/>
              <w:top w:w="0" w:type="dxa"/>
              <w:right w:w="108" w:type="dxa"/>
              <w:bottom w:w="0" w:type="dxa"/>
            </w:tcMar>
            <w:tcW w:w="903"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w:t>
            </w:r>
            <w:r/>
          </w:p>
        </w:tc>
        <w:tc>
          <w:tcPr>
            <w:tcMar>
              <w:left w:w="108" w:type="dxa"/>
              <w:top w:w="0" w:type="dxa"/>
              <w:right w:w="108" w:type="dxa"/>
              <w:bottom w:w="0" w:type="dxa"/>
            </w:tcMar>
            <w:tcW w:w="3689" w:type="pct"/>
            <w:vAlign w:val="center"/>
            <w:textDirection w:val="lrTb"/>
            <w:noWrap w:val="false"/>
          </w:tcPr>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联系部门：江苏海外集团国际工程咨询有限公司</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通讯地址：苏州市高新区资管大厦8楼</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联系人：何磊</w:t>
            </w:r>
            <w:r>
              <w:rPr>
                <w:rFonts w:hint="eastAsia" w:ascii="宋体" w:hAnsi="宋体" w:eastAsia="宋体" w:cs="宋体"/>
                <w:sz w:val="24"/>
                <w:szCs w:val="24"/>
                <w:highlight w:val="none"/>
              </w:rPr>
              <w:t xml:space="preserve">、孙翠华</w:t>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联系方式：0512-65160659</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签订合同</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中标通知书发出之日起</w:t>
            </w:r>
            <w:r>
              <w:rPr>
                <w:rFonts w:hint="eastAsia" w:ascii="宋体" w:hAnsi="宋体" w:eastAsia="宋体" w:cs="宋体"/>
                <w:sz w:val="24"/>
                <w:highlight w:val="none"/>
              </w:rPr>
              <w:t xml:space="preserve">30</w:t>
            </w:r>
            <w:r>
              <w:rPr>
                <w:rFonts w:ascii="宋体" w:hAnsi="宋体" w:eastAsia="宋体" w:cs="宋体"/>
                <w:sz w:val="24"/>
                <w:highlight w:val="none"/>
              </w:rPr>
              <w:t xml:space="preserve">日内</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监督电话</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政府采购监督电话：</w:t>
            </w:r>
            <w:r>
              <w:rPr>
                <w:rFonts w:hint="eastAsia" w:ascii="宋体" w:hAnsi="宋体" w:eastAsia="宋体" w:cs="宋体"/>
                <w:sz w:val="24"/>
                <w:highlight w:val="none"/>
              </w:rPr>
              <w:t xml:space="preserve">025-83633058</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特别提醒</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本项目采用电子网上招投标。</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需要通过CA证书，使用政府采购客户端工具制作电子投标文件，并在提交投标文件上传截止时间之前对投标文件进行加密并上传；</w:t>
            </w:r>
            <w:r/>
          </w:p>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需携带加密文件的CA证书，在项目开启后，开始解密投标文件，请</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预留足够的解密时间。</w:t>
            </w:r>
            <w:r>
              <w:rPr>
                <w:rFonts w:hint="eastAsia" w:ascii="宋体" w:hAnsi="宋体" w:eastAsia="宋体" w:cs="宋体"/>
                <w:sz w:val="24"/>
                <w:highlight w:val="none"/>
              </w:rPr>
              <w:t xml:space="preserve">如在系统规定的解密时间内未能完成解密的视为放弃参与本项目。</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3.请供应商确保电脑、系统及其他设备（视频输入输出设备等）无误，且开启直至项目结束始终保持系统在线状态。</w:t>
            </w:r>
            <w:r/>
          </w:p>
        </w:tc>
      </w:tr>
    </w:tbl>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目录</w:t>
      </w:r>
      <w:r/>
    </w:p>
    <w:sdt>
      <w:sdtPr>
        <w15:appearance w15:val="boundingBox"/>
        <w15:color w:val="dbdbdb"/>
        <w:id w:val="147462682"/>
        <w:docPartObj>
          <w:docPartGallery w:val="Table of Contents"/>
          <w:docPartUnique w:val="true"/>
        </w:docPartObj>
        <w:rPr>
          <w:rFonts w:ascii="宋体" w:hAnsi="宋体" w:eastAsia="宋体"/>
          <w:highlight w:val="none"/>
        </w:rPr>
      </w:sdtPr>
      <w:sdtContent>
        <w:p>
          <w:pPr>
            <w:jc w:val="center"/>
            <w:rPr>
              <w:highlight w:val="none"/>
            </w:rPr>
          </w:pPr>
          <w:r>
            <w:rPr>
              <w:highlight w:val="none"/>
            </w:rPr>
          </w:r>
          <w:r/>
        </w:p>
        <w:p>
          <w:pPr>
            <w:pStyle w:val="779"/>
            <w:spacing w:after="0" w:line="480" w:lineRule="auto"/>
            <w:tabs>
              <w:tab w:val="right" w:pos="9355" w:leader="dot"/>
            </w:tabs>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highlight w:val="none"/>
            </w:rPr>
            <w:fldChar w:fldCharType="begin"/>
          </w:r>
          <w:r>
            <w:rPr>
              <w:highlight w:val="none"/>
            </w:rPr>
            <w:instrText xml:space="preserve"> HYPERLINK \l "_Toc13036" </w:instrText>
          </w:r>
          <w:r>
            <w:rPr>
              <w:highlight w:val="none"/>
            </w:rPr>
            <w:fldChar w:fldCharType="separate"/>
          </w:r>
          <w:r>
            <w:rPr>
              <w:rFonts w:hint="eastAsia" w:ascii="宋体" w:hAnsi="宋体" w:eastAsia="宋体" w:cs="宋体"/>
              <w:sz w:val="24"/>
              <w:szCs w:val="24"/>
              <w:highlight w:val="none"/>
            </w:rPr>
            <w:t xml:space="preserve">第一章 招标公告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_Toc13036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7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"_Toc22881" </w:instrText>
          </w:r>
          <w:r>
            <w:rPr>
              <w:highlight w:val="none"/>
            </w:rPr>
            <w:fldChar w:fldCharType="separate"/>
          </w:r>
          <w:r>
            <w:rPr>
              <w:rFonts w:hint="eastAsia" w:ascii="宋体" w:hAnsi="宋体" w:eastAsia="宋体" w:cs="宋体"/>
              <w:sz w:val="24"/>
              <w:szCs w:val="24"/>
              <w:highlight w:val="none"/>
            </w:rPr>
            <w:t xml:space="preserve">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_Toc22881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7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"_Toc8805" </w:instrText>
          </w:r>
          <w:r>
            <w:rPr>
              <w:highlight w:val="none"/>
            </w:rPr>
            <w:fldChar w:fldCharType="separate"/>
          </w:r>
          <w:r>
            <w:rPr>
              <w:rFonts w:hint="eastAsia" w:ascii="宋体" w:hAnsi="宋体" w:eastAsia="宋体" w:cs="宋体"/>
              <w:sz w:val="24"/>
              <w:szCs w:val="24"/>
              <w:highlight w:val="none"/>
            </w:rPr>
            <w:t xml:space="preserve">第三章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_Toc8805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7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"_Toc9379" </w:instrText>
          </w:r>
          <w:r>
            <w:rPr>
              <w:highlight w:val="none"/>
            </w:rPr>
            <w:fldChar w:fldCharType="separate"/>
          </w:r>
          <w:r>
            <w:rPr>
              <w:rFonts w:hint="eastAsia" w:ascii="宋体" w:hAnsi="宋体" w:eastAsia="宋体" w:cs="宋体"/>
              <w:sz w:val="24"/>
              <w:szCs w:val="24"/>
              <w:highlight w:val="none"/>
            </w:rPr>
            <w:t xml:space="preserve">第四章 采购内容</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_Toc9379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7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"_Toc3769" </w:instrText>
          </w:r>
          <w:r>
            <w:rPr>
              <w:highlight w:val="none"/>
            </w:rPr>
            <w:fldChar w:fldCharType="separate"/>
          </w:r>
          <w:r>
            <w:rPr>
              <w:rFonts w:hint="eastAsia" w:ascii="宋体" w:hAnsi="宋体" w:eastAsia="宋体" w:cs="宋体"/>
              <w:sz w:val="24"/>
              <w:szCs w:val="24"/>
              <w:highlight w:val="none"/>
            </w:rPr>
            <w:t xml:space="preserve">第五章 合同条款</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_Toc3769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7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"_Toc9204" </w:instrText>
          </w:r>
          <w:r>
            <w:rPr>
              <w:highlight w:val="none"/>
            </w:rPr>
            <w:fldChar w:fldCharType="separate"/>
          </w:r>
          <w:r>
            <w:rPr>
              <w:rFonts w:hint="eastAsia" w:ascii="宋体" w:hAnsi="宋体" w:eastAsia="宋体" w:cs="宋体"/>
              <w:sz w:val="24"/>
              <w:szCs w:val="24"/>
              <w:highlight w:val="none"/>
            </w:rPr>
            <w:t xml:space="preserve">第六章 评标办法及标准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_Toc9204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65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spacing w:line="480" w:lineRule="auto"/>
            <w:rPr>
              <w:highlight w:val="none"/>
            </w:rPr>
          </w:pPr>
          <w:r>
            <w:rPr>
              <w:rFonts w:hint="eastAsia" w:ascii="宋体" w:hAnsi="宋体" w:eastAsia="宋体" w:cs="宋体"/>
              <w:sz w:val="24"/>
              <w:szCs w:val="24"/>
              <w:highlight w:val="none"/>
            </w:rPr>
            <w:fldChar w:fldCharType="end"/>
          </w:r>
          <w:r/>
        </w:p>
      </w:sdtContent>
    </w:sdt>
    <w:p>
      <w:pPr>
        <w:rPr>
          <w:highlight w:val="none"/>
        </w:rP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highlight w:val="none"/>
        </w:rPr>
        <w:t xml:space="preserve">第一章 招标公告</w:t>
      </w:r>
      <w:bookmarkEnd w:id="0"/>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招标公告</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项目概况</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苏州大学天赐庄校区东区南门空地改造为跆拳道气膜馆</w:t>
      </w:r>
      <w:r>
        <w:rPr>
          <w:rFonts w:ascii="宋体" w:hAnsi="宋体" w:eastAsia="宋体" w:cs="宋体"/>
          <w:sz w:val="24"/>
          <w:highlight w:val="none"/>
        </w:rPr>
        <w:t xml:space="preserve">的潜在</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应在</w:t>
      </w:r>
      <w:r>
        <w:rPr>
          <w:rFonts w:ascii="宋体" w:hAnsi="宋体" w:eastAsia="宋体" w:cs="宋体"/>
          <w:sz w:val="24"/>
          <w:highlight w:val="none"/>
          <w:u w:val="single"/>
        </w:rPr>
        <w:t xml:space="preserve">“苏采云”系统</w:t>
      </w:r>
      <w:r>
        <w:rPr>
          <w:rFonts w:ascii="宋体" w:hAnsi="宋体" w:eastAsia="宋体" w:cs="宋体"/>
          <w:sz w:val="24"/>
          <w:highlight w:val="none"/>
        </w:rPr>
        <w:t xml:space="preserve">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，并于</w:t>
      </w:r>
      <w:r>
        <w:rPr>
          <w:rFonts w:hint="eastAsia" w:ascii="宋体" w:hAnsi="宋体" w:eastAsia="宋体" w:cs="宋体"/>
          <w:sz w:val="24"/>
          <w:highlight w:val="none"/>
        </w:rPr>
        <w:t xml:space="preserve">2026年</w:t>
      </w:r>
      <w:r>
        <w:rPr>
          <w:rFonts w:hint="eastAsia" w:ascii="宋体" w:hAnsi="宋体" w:eastAsia="宋体" w:cs="宋体"/>
          <w:sz w:val="24"/>
          <w:highlight w:val="none"/>
        </w:rPr>
        <w:t xml:space="preserve">11月18日13时30分</w:t>
      </w:r>
      <w:r>
        <w:rPr>
          <w:rFonts w:hint="eastAsia" w:ascii="宋体" w:hAnsi="宋体" w:eastAsia="宋体" w:cs="宋体"/>
          <w:sz w:val="24"/>
          <w:highlight w:val="none"/>
        </w:rPr>
      </w:r>
      <w:r>
        <w:rPr>
          <w:rFonts w:ascii="宋体" w:hAnsi="宋体" w:eastAsia="宋体" w:cs="宋体"/>
          <w:sz w:val="24"/>
          <w:highlight w:val="none"/>
        </w:rPr>
        <w:t xml:space="preserve">（北京时间）前递交投标文件。</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一、项目基本情况</w:t>
      </w:r>
      <w:r/>
    </w:p>
    <w:p>
      <w:pPr>
        <w:ind w:firstLine="48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JSZC-320500-HWZX-G2026-0674</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rPr>
          <w:rFonts w:hint="eastAsia" w:ascii="宋体" w:hAnsi="宋体" w:eastAsia="宋体" w:cs="宋体"/>
          <w:sz w:val="24"/>
          <w:highlight w:val="none"/>
        </w:rPr>
        <w:t xml:space="preserve">苏州大学天赐庄校区东区南门空地改造为跆拳道气膜馆</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预算金额：</w:t>
      </w:r>
      <w:r>
        <w:rPr>
          <w:rFonts w:hint="eastAsia" w:ascii="宋体" w:hAnsi="宋体" w:eastAsia="宋体" w:cs="宋体"/>
          <w:sz w:val="24"/>
          <w:highlight w:val="none"/>
        </w:rPr>
        <w:t xml:space="preserve">174.9万元</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w:t>
      </w:r>
      <w:r>
        <w:rPr>
          <w:rFonts w:hint="eastAsia" w:ascii="宋体" w:hAnsi="宋体" w:eastAsia="宋体" w:cs="宋体"/>
          <w:sz w:val="24"/>
          <w:highlight w:val="none"/>
        </w:rPr>
        <w:t xml:space="preserve">174.9万元</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交货地点：苏州大学天赐庄校区东区南门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验收标准：按照货物验收相关规定，结合</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文件、投标文件、合同等项目文件约定内容对项目进行验收。</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合同履行期限：</w:t>
      </w:r>
      <w:r>
        <w:rPr>
          <w:rFonts w:hint="eastAsia" w:ascii="宋体" w:hAnsi="宋体" w:eastAsia="宋体" w:cs="宋体"/>
          <w:sz w:val="24"/>
          <w:highlight w:val="none"/>
          <w:lang w:val="en-US" w:eastAsia="zh-CN"/>
        </w:rPr>
        <w:t xml:space="preserve">60天</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二、申请人的资格要求：</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满足《中华人民共和国政府采购法》第二十二条规定</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1.1具有独立承担民事责任的能力；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1.2具有良好的商业信誉和健全的财务会计制度；</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1.3具有履行合同所必需的设备和专业技术能力；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1.4具有依法缴纳税收和社会保障资金的良好记录；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1.5参加政府采购活动前三年内</w:t>
      </w:r>
      <w:r>
        <w:rPr>
          <w:rFonts w:hint="eastAsia" w:ascii="宋体" w:hAnsi="宋体" w:eastAsia="宋体" w:cs="宋体"/>
          <w:sz w:val="24"/>
          <w:highlight w:val="none"/>
        </w:rPr>
        <w:t xml:space="preserve">，</w:t>
      </w:r>
      <w:r>
        <w:rPr>
          <w:rFonts w:ascii="宋体" w:hAnsi="宋体" w:eastAsia="宋体" w:cs="宋体"/>
          <w:sz w:val="24"/>
          <w:highlight w:val="none"/>
        </w:rPr>
        <w:t xml:space="preserve">在经营活动中没有重大违法记录；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1.7法律、行政法规规定的其他条件；</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2.落实政府采购政策需满足的资格要求：</w:t>
      </w:r>
      <w:r>
        <w:rPr>
          <w:rFonts w:hint="eastAsia" w:ascii="宋体" w:hAnsi="宋体" w:eastAsia="宋体" w:cs="宋体"/>
          <w:b w:val="0"/>
          <w:bCs w:val="0"/>
          <w:color w:val="000000"/>
          <w:sz w:val="24"/>
          <w:highlight w:val="none"/>
          <w:lang w:val="en-US" w:eastAsia="zh-CN"/>
        </w:rPr>
        <w:t xml:space="preserve">无</w:t>
      </w:r>
      <w:r>
        <w:rPr>
          <w:rFonts w:ascii="宋体" w:hAnsi="宋体" w:cs="宋体"/>
          <w:b w:val="0"/>
          <w:bCs w:val="0"/>
          <w:color w:val="000000"/>
          <w:sz w:val="24"/>
          <w:highlight w:val="none"/>
        </w:rPr>
        <w:t xml:space="preserve">。</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本项目的特定资格要求：无</w:t>
      </w:r>
      <w:r/>
    </w:p>
    <w:p>
      <w:pPr>
        <w:pStyle w:val="769"/>
        <w:ind w:left="0" w:right="0" w:firstLine="480"/>
        <w:rPr>
          <w:rFonts w:hint="default" w:ascii="宋体" w:hAnsi="宋体" w:eastAsia="宋体" w:cs="宋体"/>
          <w:sz w:val="24"/>
          <w:highlight w:val="none"/>
        </w:rPr>
      </w:pPr>
      <w:r>
        <w:rPr>
          <w:rFonts w:ascii="宋体" w:hAnsi="宋体" w:eastAsia="宋体" w:cs="宋体"/>
          <w:sz w:val="24"/>
          <w:highlight w:val="none"/>
        </w:rPr>
        <w:t xml:space="preserve">注：单位负责人为同一人或者存在直接控股、管理关系的不同供应商，不得参加同一合同项下的政府采购活动。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时间：自招标文件公告发布之日起5个工作日 </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方式：线上获取</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售价：</w:t>
      </w:r>
      <w:r>
        <w:rPr>
          <w:rFonts w:hint="eastAsia" w:ascii="宋体" w:hAnsi="宋体" w:eastAsia="宋体" w:cs="宋体"/>
          <w:sz w:val="24"/>
          <w:highlight w:val="none"/>
        </w:rPr>
        <w:t xml:space="preserve">0.00</w:t>
      </w:r>
      <w:r>
        <w:rPr>
          <w:rFonts w:ascii="宋体" w:hAnsi="宋体" w:eastAsia="宋体" w:cs="宋体"/>
          <w:sz w:val="24"/>
          <w:highlight w:val="none"/>
        </w:rPr>
        <w:t xml:space="preserve">元</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四、提交投标文件截止时间、开标时间和地点：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rPr>
        <w:t xml:space="preserve">2026年</w:t>
      </w:r>
      <w:r>
        <w:rPr>
          <w:rFonts w:hint="eastAsia" w:ascii="宋体" w:hAnsi="宋体" w:eastAsia="宋体" w:cs="宋体"/>
          <w:sz w:val="24"/>
          <w:highlight w:val="none"/>
        </w:rPr>
        <w:t xml:space="preserve">11月18日13时30分</w:t>
      </w:r>
      <w:r>
        <w:rPr>
          <w:rFonts w:hint="eastAsia" w:ascii="宋体" w:hAnsi="宋体" w:eastAsia="宋体" w:cs="宋体"/>
          <w:sz w:val="24"/>
          <w:highlight w:val="none"/>
        </w:rPr>
      </w:r>
      <w:r>
        <w:rPr>
          <w:rFonts w:ascii="宋体" w:hAnsi="宋体" w:eastAsia="宋体" w:cs="宋体"/>
          <w:sz w:val="24"/>
          <w:highlight w:val="none"/>
        </w:rPr>
        <w:t xml:space="preserve">（北京时间）</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五、公告期限</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自本公告发布之日起</w:t>
      </w:r>
      <w:r>
        <w:rPr>
          <w:rFonts w:hint="eastAsia" w:ascii="宋体" w:hAnsi="宋体" w:eastAsia="宋体" w:cs="宋体"/>
          <w:sz w:val="24"/>
          <w:highlight w:val="none"/>
        </w:rPr>
        <w:t xml:space="preserve">5</w:t>
      </w:r>
      <w:r>
        <w:rPr>
          <w:rFonts w:ascii="宋体" w:hAnsi="宋体" w:eastAsia="宋体" w:cs="宋体"/>
          <w:sz w:val="24"/>
          <w:highlight w:val="none"/>
        </w:rPr>
        <w:t xml:space="preserve">个工作日。</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六、其他补充事项：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线上获取方式：</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（1）CA证书办理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苏州现场办理地址：苏州市高新区邓尉路105号狮山科技馆1楼服务大厅，咨询电话：0512-65737699。</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（2）参与采购活动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考虑到熟悉“苏采云”系统、办理CA证书都需要一定的时间，请提早准备以免耽误招标采购活动。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（3）电子投标准备</w:t>
      </w:r>
      <w:r/>
    </w:p>
    <w:p>
      <w:pPr>
        <w:ind w:firstLine="480"/>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highlight w:val="none"/>
        </w:rPr>
        <w:t xml:space="preserve">（具体详见《苏采云系统供应商操作手册》，网址链接https://czju.suzhou.gov.cn/zfcg/html/content/20231220161910031.shtml）。</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在系统操作过程中如有疑问，请按以下方式联系：</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注册咨询：18261002950；</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CA技术咨询电话：400-608-6099；</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签章使用问题：025-83633811、025-83633812、15380932027、15371015030；</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系统使用指导与咨询：联系电话：18261002950；QQ：3048755361、1315179389、895706745。</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本项目获取招标文件截止日期之后仍可以下载招标文件，但截止日期之后下载的招标文件</w:t>
      </w:r>
      <w:r>
        <w:rPr>
          <w:rFonts w:hint="eastAsia" w:ascii="宋体" w:hAnsi="宋体" w:eastAsia="宋体" w:cs="宋体"/>
          <w:sz w:val="24"/>
          <w:highlight w:val="none"/>
        </w:rPr>
        <w:t xml:space="preserve">，</w:t>
      </w:r>
      <w:r>
        <w:rPr>
          <w:rFonts w:ascii="宋体" w:hAnsi="宋体" w:eastAsia="宋体" w:cs="宋体"/>
          <w:sz w:val="24"/>
          <w:highlight w:val="none"/>
        </w:rPr>
        <w:t xml:space="preserve">视为非有效方式且不作为供应商权益受到损害的证明材料和依据。</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rPr>
          <w:rFonts w:ascii="宋体" w:hAnsi="宋体" w:eastAsia="宋体" w:cs="宋体"/>
          <w:sz w:val="24"/>
          <w:highlight w:val="none"/>
        </w:rPr>
        <w:t xml:space="preserve">更正(补充)公告及附件的获取</w:t>
      </w:r>
      <w:r>
        <w:rPr>
          <w:rFonts w:hint="eastAsia" w:ascii="宋体" w:hAnsi="宋体" w:eastAsia="宋体" w:cs="宋体"/>
          <w:sz w:val="24"/>
          <w:highlight w:val="none"/>
        </w:rPr>
        <w:t xml:space="preserve">：</w:t>
      </w:r>
      <w:r>
        <w:rPr>
          <w:rFonts w:ascii="宋体" w:hAnsi="宋体" w:eastAsia="宋体" w:cs="宋体"/>
          <w:sz w:val="24"/>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政府采购监督管理电话：</w:t>
      </w:r>
      <w:r>
        <w:rPr>
          <w:rFonts w:hint="eastAsia" w:ascii="宋体" w:hAnsi="宋体" w:eastAsia="宋体" w:cs="宋体"/>
          <w:sz w:val="24"/>
          <w:highlight w:val="none"/>
        </w:rPr>
        <w:t xml:space="preserve">025-83633058</w:t>
      </w:r>
      <w:r>
        <w:rPr>
          <w:rFonts w:ascii="宋体" w:hAnsi="宋体" w:eastAsia="宋体" w:cs="宋体"/>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w:t>
      </w:r>
      <w:r>
        <w:rPr>
          <w:rFonts w:hint="eastAsia" w:ascii="宋体" w:hAnsi="宋体" w:eastAsia="宋体" w:cs="宋体"/>
          <w:sz w:val="24"/>
          <w:highlight w:val="none"/>
        </w:rPr>
        <w:t xml:space="preserve">.</w:t>
      </w:r>
      <w:r>
        <w:rPr>
          <w:rFonts w:ascii="宋体" w:hAnsi="宋体" w:eastAsia="宋体" w:cs="宋体"/>
          <w:sz w:val="24"/>
          <w:highlight w:val="none"/>
        </w:rPr>
        <w:t xml:space="preserve">本次采购的有关信息将在苏州市政府采购网、江苏政府采购网、中国政府采购网上发布，敬请留意</w:t>
      </w:r>
      <w:r>
        <w:rPr>
          <w:rFonts w:ascii="宋体" w:hAnsi="宋体" w:eastAsia="宋体" w:cs="宋体"/>
          <w:sz w:val="24"/>
          <w:szCs w:val="24"/>
          <w:highlight w:val="none"/>
        </w:rPr>
        <w:t xml:space="preserve">！</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七、对本次招标提出的询问，请按以下方式联系。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采购人信息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名称：</w:t>
      </w:r>
      <w:r>
        <w:rPr>
          <w:rFonts w:hint="eastAsia" w:ascii="宋体" w:hAnsi="宋体" w:eastAsia="宋体" w:cs="宋体"/>
          <w:sz w:val="24"/>
          <w:szCs w:val="24"/>
          <w:highlight w:val="none"/>
        </w:rPr>
        <w:t xml:space="preserve">苏州大学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苏州市姑苏区东环路50号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联系人：刘老师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联系</w:t>
      </w:r>
      <w:r>
        <w:rPr>
          <w:rFonts w:hint="eastAsia" w:ascii="宋体" w:hAnsi="宋体" w:eastAsia="宋体" w:cs="宋体"/>
          <w:sz w:val="24"/>
          <w:szCs w:val="24"/>
          <w:highlight w:val="none"/>
        </w:rPr>
        <w:t xml:space="preserve">电话</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0512-67167481</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采购代理机构信息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w:t>
      </w:r>
      <w:r>
        <w:rPr>
          <w:rFonts w:ascii="宋体" w:hAnsi="宋体" w:eastAsia="宋体" w:cs="宋体"/>
          <w:sz w:val="24"/>
          <w:highlight w:val="none"/>
        </w:rPr>
        <w:t xml:space="preserve">名称：</w:t>
      </w:r>
      <w:r>
        <w:rPr>
          <w:rFonts w:hint="eastAsia" w:ascii="宋体" w:hAnsi="宋体" w:eastAsia="宋体" w:cs="宋体"/>
          <w:sz w:val="24"/>
          <w:highlight w:val="none"/>
        </w:rPr>
        <w:t xml:space="preserve">江</w:t>
      </w:r>
      <w:r>
        <w:rPr>
          <w:rFonts w:hint="eastAsia" w:ascii="宋体" w:hAnsi="宋体" w:eastAsia="宋体" w:cs="宋体"/>
          <w:sz w:val="24"/>
          <w:szCs w:val="24"/>
          <w:highlight w:val="none"/>
        </w:rPr>
        <w:t xml:space="preserve">苏海外集团国际工程咨询有限公司</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苏州市高新区资管大厦8楼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联系人：何磊、章宏杰、孙翠华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联系电话：0512-65160659</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项目联系方式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项目联系人：</w:t>
      </w:r>
      <w:r>
        <w:rPr>
          <w:rFonts w:hint="eastAsia" w:ascii="宋体" w:hAnsi="宋体" w:eastAsia="宋体" w:cs="宋体"/>
          <w:sz w:val="24"/>
          <w:szCs w:val="24"/>
          <w:highlight w:val="none"/>
        </w:rPr>
        <w:t xml:space="preserve">何磊、孙翠华、章宏杰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电话：0512-</w:t>
      </w:r>
      <w:r>
        <w:rPr>
          <w:rFonts w:hint="eastAsia" w:ascii="宋体" w:hAnsi="宋体" w:eastAsia="宋体" w:cs="宋体"/>
          <w:sz w:val="24"/>
          <w:szCs w:val="24"/>
          <w:highlight w:val="none"/>
        </w:rPr>
        <w:t xml:space="preserve">65160659</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5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5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5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5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highlight w:val="none"/>
        </w:rPr>
        <w:t xml:space="preserve">第二章 </w:t>
      </w:r>
      <w:r>
        <w:rPr>
          <w:rFonts w:hint="eastAsia" w:ascii="宋体" w:hAnsi="宋体" w:eastAsia="宋体" w:cs="宋体"/>
          <w:b/>
          <w:sz w:val="44"/>
          <w:highlight w:val="none"/>
        </w:rPr>
        <w:t xml:space="preserve">供应商</w:t>
      </w:r>
      <w:r>
        <w:rPr>
          <w:rFonts w:ascii="宋体" w:hAnsi="宋体" w:eastAsia="宋体" w:cs="宋体"/>
          <w:b/>
          <w:sz w:val="44"/>
          <w:highlight w:val="none"/>
        </w:rPr>
        <w:t xml:space="preserve">须知</w:t>
      </w:r>
      <w:bookmarkEnd w:id="1"/>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一、说明和释义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1.1本招标文件仅适用于江苏海外集团国际工程咨询有限公司组织的招标活动。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1.2本次招标活动及因本次招标产生的合同受中国法律制约和保护。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1.3本招标文件的解释权属于江苏海外集团国际工程咨询有限公司。</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2.词语释义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2.1采购人：指依法进行政府采购的国家机关、事业单位、团体组织。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2.2供应商：指向采购人提供货物、工程或服务的法人、其他组织或者自然人。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2.3投标人：指参加政府采购货物服务投标活动的供应商。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2.9天：日历日。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2.10交货地点：合同中明确约定的乙方提交的货物最终地点。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2.13进口产品：通过中国海关报关验放进入中国境内且产自关境外的产品。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2.14书面形式：指书面文字、合同书、信件和传真等可以有形地表现所载内容的形式。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3.合格供应商的基本条件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4.合格供应商的落实政府采购政策资格要求、特定资格条件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5.供应商必须进入苏采云系统进行网上报名，否则不能参加本次招标活动。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6.供应商代表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7.联合投标（本项目不接受联合体投标）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7.1联合体各方中至少应当有一方符合本招标文件规定的供应商资格条件的特定条件。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7.3联合体各成员之间签订的联合体协议书应与投标文件一起递交。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7.5联合体各方应当共同与采购人签订合同，就采购合同约定的事项对采购人承担连带责任。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7.6除非另有规定或说明，本文中“供应商”一词亦指联合体各成员。</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8.投标费用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三、招标文件说明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9.招标文件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9.2招标文件及其更正文件不是直接从法定渠道获得的，招标采购单位对招标文件及其补遗的真实性、完整性不承担任何责任。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10.现场考察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11.投标答疑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11.2迟于前附表规定时间的询问或提交的疑问或未在开标前答疑会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提出的，采购人和采购代理机构有权拒绝回答，也不承担由此带来的对供应商投标结果的影响。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12.招标文件的澄清和修改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四、投标文件说明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13.投标文件计量单位和使用文字</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14.知识产权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15.投标文件的组成</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基本目录：</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15.1封面</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15.2法定代表人授权委托书（如有授权）；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15.3法定代表人身份证扫描件、代理人身份证扫描件签公章（如有授权）、代理人社保缴纳证明签公章（如有授权）；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15.4供应商基本情况表；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15.5拟用于本项目人员名单；</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15.6企业类似业绩一览表；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15.7针对本次项目的设备供货安装实施方案，内容包括但不限于设备供货、安装、验收方案（需具体说明交货进度计划、验收的方案等内容）；</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15.8产品质量承诺；</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15.9货物的技术服务、售后服务承诺与售后服务方案等，其中售后服务承诺书格式见投标文件格式；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15.10满足“节能产品和环境标志产品”政策规定的证明（如属于）；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15.11招标文件规定提交的其他相关材料（如有）。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资格条件：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15.13供应商《营业执照》副本扫描件；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15.14供应商具有良好的商业信誉和健全的财务会计制度证明：提供</w:t>
      </w:r>
      <w:r>
        <w:rPr>
          <w:rFonts w:ascii="宋体" w:hAnsi="宋体" w:eastAsia="宋体" w:cs="宋体"/>
          <w:spacing w:val="-3"/>
          <w:sz w:val="24"/>
          <w:szCs w:val="24"/>
          <w:highlight w:val="none"/>
        </w:rPr>
        <w:t xml:space="preserve">包括但不限于</w:t>
      </w:r>
      <w:r>
        <w:rPr>
          <w:rFonts w:hint="eastAsia" w:ascii="宋体" w:hAnsi="宋体" w:eastAsia="宋体" w:cs="宋体"/>
          <w:spacing w:val="-3"/>
          <w:sz w:val="24"/>
          <w:szCs w:val="24"/>
          <w:highlight w:val="none"/>
        </w:rPr>
        <w:t xml:space="preserve">最近一期经审计的财务报告，其他组织、自然人及成立未满一年的法人应提供银行出具的资信证明。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15.16供应商具备履行合同所必需的设备和专业技术能力：提供证明材料或承诺函（格式自拟）；</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15.17供应商参加政府采购活动前三年内，在经营活动中没有重大违法记录：提供书面声明函（格式自拟）；</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15.18</w:t>
      </w:r>
      <w:r>
        <w:rPr>
          <w:rFonts w:ascii="宋体" w:hAnsi="宋体" w:eastAsia="宋体" w:cs="宋体"/>
          <w:spacing w:val="-3"/>
          <w:sz w:val="24"/>
          <w:szCs w:val="24"/>
          <w:highlight w:val="none"/>
        </w:rPr>
        <w:t xml:space="preserve">本项目其它有关资格证明文件</w:t>
      </w:r>
      <w:r>
        <w:rPr>
          <w:rFonts w:hint="eastAsia" w:ascii="宋体" w:hAnsi="宋体" w:eastAsia="宋体" w:cs="宋体"/>
          <w:spacing w:val="-3"/>
          <w:sz w:val="24"/>
          <w:szCs w:val="24"/>
          <w:highlight w:val="none"/>
        </w:rPr>
        <w:t xml:space="preserve">（如有）。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符合条件：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w:t>
      </w:r>
      <w:r>
        <w:rPr>
          <w:rFonts w:hint="eastAsia" w:ascii="宋体" w:hAnsi="宋体" w:eastAsia="宋体" w:cs="宋体"/>
          <w:spacing w:val="-3"/>
          <w:sz w:val="24"/>
          <w:szCs w:val="24"/>
          <w:highlight w:val="none"/>
          <w:lang w:val="en-US" w:eastAsia="zh-CN"/>
        </w:rPr>
        <w:t xml:space="preserve">19</w:t>
      </w:r>
      <w:r>
        <w:rPr>
          <w:rFonts w:hint="eastAsia" w:ascii="宋体" w:hAnsi="宋体" w:eastAsia="宋体" w:cs="宋体"/>
          <w:spacing w:val="-3"/>
          <w:sz w:val="24"/>
          <w:szCs w:val="24"/>
          <w:highlight w:val="none"/>
        </w:rPr>
        <w:t xml:space="preserve">投标函（详见投标文件格式）；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w:t>
      </w:r>
      <w:r>
        <w:rPr>
          <w:rFonts w:hint="eastAsia" w:ascii="宋体" w:hAnsi="宋体" w:eastAsia="宋体" w:cs="宋体"/>
          <w:spacing w:val="-3"/>
          <w:sz w:val="24"/>
          <w:szCs w:val="24"/>
          <w:highlight w:val="none"/>
          <w:lang w:val="en-US" w:eastAsia="zh-CN"/>
        </w:rPr>
        <w:t xml:space="preserve">0</w:t>
      </w:r>
      <w:r>
        <w:rPr>
          <w:rFonts w:hint="eastAsia" w:ascii="宋体" w:hAnsi="宋体" w:eastAsia="宋体" w:cs="宋体"/>
          <w:spacing w:val="-3"/>
          <w:sz w:val="24"/>
          <w:szCs w:val="24"/>
          <w:highlight w:val="none"/>
        </w:rPr>
        <w:t xml:space="preserve">《开标一览表》(统一格式，用于唱标)；</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w:t>
      </w:r>
      <w:r>
        <w:rPr>
          <w:rFonts w:hint="eastAsia" w:ascii="宋体" w:hAnsi="宋体" w:eastAsia="宋体" w:cs="宋体"/>
          <w:spacing w:val="-3"/>
          <w:sz w:val="24"/>
          <w:szCs w:val="24"/>
          <w:highlight w:val="none"/>
          <w:lang w:val="en-US" w:eastAsia="zh-CN"/>
        </w:rPr>
        <w:t xml:space="preserve">21</w:t>
      </w:r>
      <w:r>
        <w:rPr>
          <w:rFonts w:hint="eastAsia" w:ascii="宋体" w:hAnsi="宋体" w:eastAsia="宋体" w:cs="宋体"/>
          <w:spacing w:val="-3"/>
          <w:sz w:val="24"/>
          <w:szCs w:val="24"/>
          <w:highlight w:val="none"/>
        </w:rPr>
        <w:t xml:space="preserve">货物清单表（含投标货物名称、数量、材质、规格、品牌型号、性能、技术指标说明与描述、质量要求等）；</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w:t>
      </w:r>
      <w:r>
        <w:rPr>
          <w:rFonts w:hint="eastAsia" w:ascii="宋体" w:hAnsi="宋体" w:eastAsia="宋体" w:cs="宋体"/>
          <w:spacing w:val="-3"/>
          <w:sz w:val="24"/>
          <w:szCs w:val="24"/>
          <w:highlight w:val="none"/>
          <w:lang w:val="en-US" w:eastAsia="zh-CN"/>
        </w:rPr>
        <w:t xml:space="preserve">22</w:t>
      </w:r>
      <w:r>
        <w:rPr>
          <w:rFonts w:hint="eastAsia" w:ascii="宋体" w:hAnsi="宋体" w:eastAsia="宋体" w:cs="宋体"/>
          <w:spacing w:val="-3"/>
          <w:sz w:val="24"/>
          <w:szCs w:val="24"/>
          <w:highlight w:val="none"/>
        </w:rPr>
        <w:t xml:space="preserve">技术规格偏离表和商务条款偏离表（详见投标文件格式）；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w:t>
      </w:r>
      <w:r>
        <w:rPr>
          <w:rFonts w:hint="eastAsia" w:ascii="宋体" w:hAnsi="宋体" w:eastAsia="宋体" w:cs="宋体"/>
          <w:spacing w:val="-3"/>
          <w:sz w:val="24"/>
          <w:szCs w:val="24"/>
          <w:highlight w:val="none"/>
          <w:lang w:val="en-US" w:eastAsia="zh-CN"/>
        </w:rPr>
        <w:t xml:space="preserve">23</w:t>
      </w:r>
      <w:r>
        <w:rPr>
          <w:rFonts w:hint="eastAsia" w:ascii="宋体" w:hAnsi="宋体" w:eastAsia="宋体" w:cs="宋体"/>
          <w:spacing w:val="-3"/>
          <w:sz w:val="24"/>
          <w:szCs w:val="24"/>
          <w:highlight w:val="none"/>
        </w:rPr>
        <w:t xml:space="preserve">供应商对招标文件其他符合性条款的响应情况（如有）。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综合评审评分项：</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w:t>
      </w:r>
      <w:r>
        <w:rPr>
          <w:rFonts w:hint="eastAsia" w:ascii="宋体" w:hAnsi="宋体" w:eastAsia="宋体" w:cs="宋体"/>
          <w:spacing w:val="-3"/>
          <w:sz w:val="24"/>
          <w:szCs w:val="24"/>
          <w:highlight w:val="none"/>
          <w:lang w:val="en-US" w:eastAsia="zh-CN"/>
        </w:rPr>
        <w:t xml:space="preserve">4</w:t>
      </w:r>
      <w:r>
        <w:rPr>
          <w:rFonts w:hint="eastAsia" w:ascii="宋体" w:hAnsi="宋体" w:eastAsia="宋体" w:cs="宋体"/>
          <w:spacing w:val="-3"/>
          <w:sz w:val="24"/>
          <w:szCs w:val="24"/>
          <w:highlight w:val="none"/>
        </w:rPr>
        <w:t xml:space="preserve">招标文件评分标准中规定提交的相关材料。</w:t>
      </w:r>
      <w:r/>
    </w:p>
    <w:p>
      <w:pPr>
        <w:ind w:firstLine="468"/>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highlight w:val="none"/>
        </w:rPr>
        <w:t xml:space="preserve">价格折扣文件：</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w:t>
      </w:r>
      <w:r>
        <w:rPr>
          <w:rFonts w:hint="eastAsia" w:ascii="宋体" w:hAnsi="宋体" w:eastAsia="宋体" w:cs="宋体"/>
          <w:spacing w:val="-3"/>
          <w:sz w:val="24"/>
          <w:szCs w:val="24"/>
          <w:highlight w:val="none"/>
          <w:lang w:val="en-US" w:eastAsia="zh-CN"/>
        </w:rPr>
        <w:t xml:space="preserve">5</w:t>
      </w:r>
      <w:r>
        <w:rPr>
          <w:rFonts w:hint="eastAsia" w:ascii="宋体" w:hAnsi="宋体" w:eastAsia="宋体" w:cs="宋体"/>
          <w:spacing w:val="-3"/>
          <w:sz w:val="24"/>
          <w:szCs w:val="24"/>
          <w:highlight w:val="none"/>
        </w:rPr>
        <w:t xml:space="preserve">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w:t>
      </w:r>
      <w:r>
        <w:rPr>
          <w:rFonts w:hint="eastAsia" w:ascii="宋体" w:hAnsi="宋体" w:eastAsia="宋体" w:cs="宋体"/>
          <w:spacing w:val="-3"/>
          <w:sz w:val="24"/>
          <w:szCs w:val="24"/>
          <w:highlight w:val="none"/>
          <w:lang w:val="en-US" w:eastAsia="zh-CN"/>
        </w:rPr>
        <w:t xml:space="preserve">6</w:t>
      </w:r>
      <w:r>
        <w:rPr>
          <w:rFonts w:hint="eastAsia" w:ascii="宋体" w:hAnsi="宋体" w:eastAsia="宋体" w:cs="宋体"/>
          <w:spacing w:val="-3"/>
          <w:sz w:val="24"/>
          <w:szCs w:val="24"/>
          <w:highlight w:val="none"/>
        </w:rPr>
        <w:t xml:space="preserve">关于符合本国产品标准的声明函。</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rPr>
          <w:rFonts w:hint="eastAsia" w:ascii="宋体" w:hAnsi="宋体" w:eastAsia="宋体" w:cs="宋体"/>
          <w:b/>
          <w:sz w:val="24"/>
          <w:szCs w:val="24"/>
          <w:highlight w:val="none"/>
        </w:rPr>
        <w:t xml:space="preserve">供应商应完整提交上述资料，</w:t>
      </w:r>
      <w:r>
        <w:rPr>
          <w:rFonts w:hint="eastAsia" w:ascii="宋体" w:hAnsi="宋体" w:eastAsia="宋体"/>
          <w:b/>
          <w:sz w:val="24"/>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highlight w:val="none"/>
        </w:rPr>
        <w:t xml:space="preserve">否则，投标文件将可能因资格性条件不符或符合性审查不符而判定为无效标。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16.投标文件编制要求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投标文件未按照招标文件要求加盖CA电子公章的，投标无效。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第一步：在投标（响应）文件中上传联合体投标协议书。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第二步；在投标（响应）文件中，由联合体中的牵头人制作投标（响应）文件。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16.3《开标一览表》为在开标仪式上唱标的内容，要求按格式填写，统一规范，不得自行增减内容。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17.投标报价（编制）要求的说明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17.1除非合同中另有规定，供应商对《开标一览表》中的全部货物和服务的报价应包括所有货物的供货、辅助材料、人工、运输、检验、送货、保险、装卸、仓储、代理服务费、保管、各种税费及其他伴随服务等一切必须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17.3一项投标内容只允许一个报价，招标采购单位不接受任何有选择性的投标报价。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17.4投标文件报价中的单价和总价全部采用人民币表示，除非合同的特殊条款另有规定。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17.5</w:t>
      </w:r>
      <w:r>
        <w:rPr>
          <w:rFonts w:hint="eastAsia" w:ascii="宋体" w:hAnsi="宋体" w:eastAsia="宋体" w:cs="宋体"/>
          <w:b/>
          <w:sz w:val="24"/>
          <w:szCs w:val="24"/>
          <w:highlight w:val="none"/>
        </w:rPr>
        <w:t xml:space="preserve">最低报价不能作为中标的保证</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18.</w:t>
      </w:r>
      <w:r>
        <w:rPr>
          <w:rFonts w:hint="eastAsia" w:ascii="宋体" w:hAnsi="宋体" w:eastAsia="宋体" w:cs="宋体"/>
          <w:b/>
          <w:sz w:val="24"/>
          <w:szCs w:val="24"/>
          <w:highlight w:val="none"/>
        </w:rPr>
        <w:t xml:space="preserve">投标保证金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19.投标文件的有效期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五、投标文件的递交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20.投标截止时间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20.3在投标截止时间以后送达的投标文件，招标采购单位拒绝接收。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20.5电子投标文件必须在电子投标文件上传截止时间前完成投标文件上传。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20.6.投标文件的修改和撤回</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供应商在提交投标文件后可对其投标文件进行修改或撤回，但须在投标截止时间之前。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六、开标和评标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21.开标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21.1开标由采购人或者采购代理机构主持，供应商参加。评标委员会成员不得参加开标活动。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21.6供应商在“苏采云”系统规定的时间内未成功解密电子投标文件的，投标无效。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21.8至投标文件提交截止时间，递交投标文件的供应商不足三家的，不得开标。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21.9供应商未参加开标的，视同认可开标结果。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22.资格审查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22.3采购人或采购代理机构现场告知未通过资格审查的供应商未通过的原因。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23.评标工作的组织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23.2宣布评标纪律；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23.3公布供应商名单，告知评审专家应当回避的情形；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24.评标委员会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24.1评标委员会由招标采购单位依法组建，负责本项目的评标事务。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24.2评标委员会独立履行下列职责：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24.2.1审查、评价投标文件是否符合招标文件的商务、技术等实质性要求；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24.2.2要求供应商对投标文件有关事项作出澄清或者说明；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24.2.3对投标文件进行比较和评价；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24.2.4确定中标候选人名单，以及根据采购人委托直接确定中标人；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24.2.5向采购人、采购代理机构或者有关部门报告评标中发现的违法行为。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24.3评标委员会成员应当履行下列义务：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24.3.1遵纪守法，客观、公正、廉洁地履行职责；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24.3.2按照招标文件规定的评标办法和评标标准进行评标，对评审意见承担个人责任；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24.3.3对评标过程和结果，以及供应商的商业秘密保密；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24.3.4参与评标报告的起草；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24.3.5配合相关部门的投诉处理工作；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24.3.6配合招标采购单位答复投标供应商提出的质疑。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25.评标内容的保密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25.3在评标期间，招标采购单位将通过指定联络人与供应商进行联系。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26.符合性审查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1）投标文件存在招标文件供应商须知第29款“无效投标”规定情形的；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2）投标文件载明的有效期短于招标文件规定；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3）投标文件载明的交货期限不满足招标文件规定；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4）投标文件载明的免费质保期限不满足招标文件规定；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5）投标文件载明的履约保证、付款方式不满足招标文件规定；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8）不同供应商的投标文件存在“视为串通投标”的情形；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9）供应商的报价存在选择性的；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10）供应商的报价或响应只响应了项目中部分招标内容；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11）供应商拒绝修正错误影响评标的；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12）投标文件不符合招标文件规定的其他实质性条款；</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13）不同投标文件存在“机器码”一致情形；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14）投标文件存在招标文件规定的其他无效投标情形的。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26.3供应商不能通过修正或撤销不符之处而使其投标成为实质性响应的投标。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27.投标澄清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27.2本项目采用线上澄清。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28.投标报价评审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28.1.3单价金额小数点或者百分比有明显错位的，以开标一览表的</w:t>
      </w:r>
      <w:r>
        <w:rPr>
          <w:rFonts w:hint="eastAsia" w:ascii="宋体" w:hAnsi="宋体" w:eastAsia="宋体" w:cs="宋体"/>
          <w:sz w:val="24"/>
          <w:szCs w:val="24"/>
          <w:highlight w:val="none"/>
          <w:lang w:val="en-US" w:eastAsia="zh-CN"/>
        </w:rPr>
        <w:t xml:space="preserve">总价</w:t>
      </w:r>
      <w:r>
        <w:rPr>
          <w:rFonts w:hint="eastAsia" w:ascii="宋体" w:hAnsi="宋体" w:eastAsia="宋体" w:cs="宋体"/>
          <w:sz w:val="24"/>
          <w:szCs w:val="24"/>
          <w:highlight w:val="none"/>
        </w:rPr>
        <w:t xml:space="preserve">为准，并修改单价；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29.无效投标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供应商存在下列情况之一的，投标无效: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29.3报价超过招标文件中规定的预算金额或者最高限价（如有）的；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29.5法律、法规和招标文件规定的其他无效情形。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29.6供应商未对电子投标文件进行解密或解密失败的。</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30.废标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30.1在招标采购中，出现下列情形之一的，应予废标：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30.1.1符合专业条件的供应商或者对招标文件作实质响应的供应商不足三家的；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30.1.3供应商的报价均超过了采购预算或者最高限价（如有）的，采购人不能支付的；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30.2废标后，采购人应当将废标理由通知所有供应商。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31.投标文件的评价和比较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31.3最低的投标报价或最高的折扣比例是中标的重要条件，但不是唯一条件。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七、授予合同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32.中标供应商的确认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32.1评标委员会按招标文件规定的评标方法和标准进行详细评审后，按招标采购单位的委托确定中标单位。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32.2本项目中标供应商数量：1个。</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32.3采购人或者采购代理机构自中标人确定之日起2个工作日内在省级以上财政部门指定的媒体上公告中标结果。中标公告期限为1个工作日。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33.合同授予标准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34.中标通知书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34.2中标通知书将成为合同的组成部分。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35.告知招标结果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35.1对未通过资格审查的供应商，告知其未通过的原因。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35.2在发放中标通知书的同时，向参与项目评审的未中标供应商发放未中标通知书，告知其评审得分与排名。告知方式为电子邮件，接收方式以供应商投标文件中《投标书》所列电子邮件为准。未中标供应商未按约定的时间和方式获取告知信息的，视为自动放弃并自行承担相应后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36.履约保证金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36.1详见前附表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37.合同的签订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37.2签订合同及合同条款应以招标文件和中标供应商的投标文件及其澄清文件为依据。</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八、其他事项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38.招标代理服务费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38.1中标供应商须按前附表的规定，按其预算总金额计算并支付招标代理服务费，该费用应在领取中标通知书时付清。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38.2中标供应商如果未按规定支付招标代理服务费，招标采购单位将不予退还其投标保证金（如有），并保留诉讼的权利。</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39.监督和公证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39.1政府有关监督部门将对招投标全过程进行监督。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39.2招标人的开标、评标过程将通过公证机关进行公证（如有）。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40.政府采购政策</w:t>
      </w:r>
      <w:r/>
    </w:p>
    <w:p>
      <w:pPr>
        <w:ind w:firstLine="482"/>
        <w:spacing w:line="360" w:lineRule="auto"/>
        <w:rPr>
          <w:rFonts w:hint="default" w:ascii="宋体" w:hAnsi="宋体" w:eastAsia="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本项目非专门面向中小企业。</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40.1</w:t>
      </w: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0"/>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其中，供应商提供的货物既有中小企业制造货物，也有大型企业制造货物的，不享受中小企业扶持政策。</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2"/>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价格的折扣：</w:t>
      </w:r>
      <w:r>
        <w:rPr>
          <w:rFonts w:hint="eastAsia" w:ascii="宋体" w:hAnsi="宋体" w:eastAsia="宋体" w:cs="宋体"/>
          <w:b/>
          <w:bCs w:val="0"/>
          <w:sz w:val="24"/>
          <w:szCs w:val="24"/>
          <w:highlight w:val="none"/>
        </w:rPr>
        <w:t xml:space="preserve">如供应商属于小型或微型企业，对小型和微型企业产品或服务的价格给予10%的扣除，用扣除后的价格参与评审；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40.2促进残疾人就业和支持监狱企业发展有关政策：</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color w:val="000000"/>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highlight w:val="none"/>
        </w:rPr>
        <w:t xml:space="preserve">。</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40.3信用记录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40.3.1查询截止时点：投标文件递交截止时间。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40.3.2查询渠道：</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40.3.3查询证据留存方式：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40.3.4信用记录使用规则：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40.4招标文件的质疑、澄清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40.4.2本次招标文件要求供应商在法定质疑期内一次性提出针对同一采购程序环节的质疑。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（1）供应商的姓名或者名称、地址、邮编、联系人及联系电话；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（2）质疑项目的名称、编号；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（3）具体、明确的质疑事项和与质疑事项相关的请求；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（4）事实依据；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（5）必要的法律依据；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（6）提出质疑的日期。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（7）质疑联系方式详见采购公告。</w:t>
      </w:r>
      <w:r/>
    </w:p>
    <w:p>
      <w:pPr>
        <w:ind w:firstLine="482"/>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（1）政府采购节能产品、环境标志产品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41.</w:t>
      </w:r>
      <w:r>
        <w:rPr>
          <w:rFonts w:hint="eastAsia" w:ascii="宋体" w:hAnsi="宋体" w:eastAsia="宋体" w:cs="宋体"/>
          <w:b/>
          <w:bCs/>
          <w:color w:val="000000"/>
          <w:sz w:val="24"/>
          <w:highlight w:val="none"/>
        </w:rPr>
        <w:t xml:space="preserve">对本国产品的支持政策</w:t>
      </w:r>
      <w:r/>
    </w:p>
    <w:p>
      <w:pPr>
        <w:ind w:firstLine="480"/>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根据《国务院办公厅关于在政府采购中实施本国产品标准及相关政策的通知》的相关规定在政府采购活动中，本国产品标准及相关政策如下：</w:t>
      </w:r>
      <w:r/>
    </w:p>
    <w:p>
      <w:pPr>
        <w:pStyle w:val="787"/>
        <w:ind w:firstLine="482"/>
        <w:spacing w:before="0" w:beforeAutospacing="0" w:after="0" w:afterAutospacing="0" w:line="360" w:lineRule="auto"/>
        <w:rPr>
          <w:rFonts w:ascii="宋体" w:hAnsi="宋体" w:eastAsia="宋体" w:cs="宋体"/>
          <w:szCs w:val="24"/>
          <w:highlight w:val="none"/>
        </w:rPr>
      </w:pPr>
      <w:r>
        <w:rPr>
          <w:rStyle w:val="793"/>
          <w:rFonts w:hint="eastAsia" w:ascii="宋体" w:hAnsi="宋体" w:eastAsia="宋体" w:cs="宋体"/>
          <w:szCs w:val="24"/>
          <w:highlight w:val="none"/>
          <w:shd w:val="clear" w:color="auto" w:fill="ffffff"/>
        </w:rPr>
        <w:t xml:space="preserve">一、本国产品标准</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本国产品应当符合以下条件：</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（一）在中国境内生产</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产品应当在中国境内生产，即在中华人民共和国关境内实现从原材料、组件到产品的属性改变。</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1.为确保产品在运输或者储存期间保持某种状态而进行的操作；</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2.为产品运输或者销售进行的包装或者展示；</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3.在产品或者其包装上粘贴或者印刷品牌、标志、标识以及其他用于区别的标记；</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4.简单的上漆、磨光和分装；</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5.其他不属于属性改变的情形。</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（二）在中国境内生产的组件成本占比达到规定比例</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产品在中国境内生产的组件成本占比应当达到规定比例，计算公式为：</w:t>
      </w:r>
      <w:r/>
    </w:p>
    <w:p>
      <w:pPr>
        <w:pStyle w:val="787"/>
        <w:jc w:val="center"/>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2">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2" o:title=""/>
              </v:shape>
            </w:pict>
          </mc:Fallback>
        </mc:AlternateContent>
      </w:r>
      <w:r/>
    </w:p>
    <w:p>
      <w:pPr>
        <w:pStyle w:val="78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highlight w:val="none"/>
          <w:shd w:val="clear" w:color="auto" w:fill="ffffff"/>
        </w:rPr>
        <w:t xml:space="preserve">在分产品的中国境内生产的组件成本占比相关要求实施前，符合本政策第一条第</w:t>
      </w:r>
      <w:r>
        <w:rPr>
          <w:rFonts w:ascii="宋体" w:hAnsi="宋体" w:eastAsia="宋体" w:cs="宋体"/>
          <w:b/>
          <w:bCs/>
          <w:szCs w:val="24"/>
          <w:highlight w:val="none"/>
          <w:shd w:val="clear" w:color="auto" w:fill="ffffff"/>
        </w:rPr>
        <w:t xml:space="preserve">（一）</w:t>
      </w:r>
      <w:r>
        <w:rPr>
          <w:rFonts w:hint="eastAsia" w:ascii="宋体" w:hAnsi="宋体" w:eastAsia="宋体" w:cs="宋体"/>
          <w:b/>
          <w:bCs/>
          <w:szCs w:val="24"/>
          <w:highlight w:val="none"/>
          <w:shd w:val="clear" w:color="auto" w:fill="ffffff"/>
        </w:rPr>
        <w:t xml:space="preserve">项条件的产品在政府采购活动中视同本国产品。</w:t>
      </w:r>
      <w:r/>
    </w:p>
    <w:p>
      <w:pPr>
        <w:pStyle w:val="78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（三）特定产品的关键组件、关键工序符合相关要求</w:t>
      </w:r>
      <w:r/>
    </w:p>
    <w:p>
      <w:pPr>
        <w:pStyle w:val="787"/>
        <w:ind w:firstLine="567"/>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对特定产品，在符合本通知第一条第</w:t>
      </w:r>
      <w:r>
        <w:rPr>
          <w:rFonts w:ascii="宋体" w:hAnsi="宋体" w:eastAsia="宋体" w:cs="宋体"/>
          <w:szCs w:val="24"/>
          <w:highlight w:val="none"/>
          <w:shd w:val="clear" w:color="auto" w:fill="ffffff"/>
        </w:rPr>
        <w:t xml:space="preserve">（一）</w:t>
      </w:r>
      <w:r>
        <w:rPr>
          <w:rFonts w:hint="eastAsia" w:ascii="宋体" w:hAnsi="宋体" w:eastAsia="宋体" w:cs="宋体"/>
          <w:szCs w:val="24"/>
          <w:highlight w:val="none"/>
          <w:shd w:val="clear" w:color="auto" w:fill="ffffff"/>
        </w:rPr>
        <w:t xml:space="preserve">项和第</w:t>
      </w:r>
      <w:r>
        <w:rPr>
          <w:rFonts w:ascii="宋体" w:hAnsi="宋体" w:eastAsia="宋体" w:cs="宋体"/>
          <w:szCs w:val="24"/>
          <w:highlight w:val="none"/>
          <w:shd w:val="clear" w:color="auto" w:fill="ffffff"/>
        </w:rPr>
        <w:t xml:space="preserve">（二）</w:t>
      </w:r>
      <w:r>
        <w:rPr>
          <w:rFonts w:hint="eastAsia" w:ascii="宋体" w:hAnsi="宋体" w:eastAsia="宋体" w:cs="宋体"/>
          <w:szCs w:val="24"/>
          <w:highlight w:val="none"/>
          <w:shd w:val="clear" w:color="auto" w:fill="ffffff"/>
        </w:rPr>
        <w:t xml:space="preserve">项条件的基础上，应当符合财政部会同有关行业主管部门确定的其关键组件、关键工序在中国境内生产、完成等要求。</w:t>
      </w:r>
      <w:r/>
    </w:p>
    <w:p>
      <w:pPr>
        <w:pStyle w:val="787"/>
        <w:ind w:firstLine="567"/>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注：产品在中国境内生产的组件成本核算规则。产品在中国境内生产的组件成本，按照《中国境内生产的组件成本核算基本规则》计算。</w:t>
      </w:r>
      <w:r/>
    </w:p>
    <w:p>
      <w:pPr>
        <w:pStyle w:val="787"/>
        <w:jc w:val="center"/>
        <w:spacing w:before="20" w:beforeAutospacing="0" w:after="20" w:afterAutospacing="0" w:line="320" w:lineRule="atLeast"/>
        <w:rPr>
          <w:rFonts w:ascii="宋体" w:hAnsi="宋体" w:eastAsia="宋体" w:cs="宋体"/>
          <w:sz w:val="16"/>
          <w:szCs w:val="16"/>
          <w:highlight w:val="none"/>
        </w:rPr>
      </w:pPr>
      <w:r>
        <w:rPr>
          <w:rStyle w:val="793"/>
          <w:rFonts w:hint="eastAsia" w:ascii="宋体" w:hAnsi="宋体" w:eastAsia="宋体" w:cs="宋体"/>
          <w:szCs w:val="24"/>
          <w:highlight w:val="none"/>
          <w:shd w:val="clear" w:color="auto" w:fill="ffffff"/>
        </w:rPr>
        <w:t xml:space="preserve">中国境内生产的组件成本核算基本规则</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1.产品的一级组件是指直接组成产品的组件。产品的二级组件是指直接组成产品一级组件的组件。一级组件不可分解的，视同二级组件。</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2.二级组件在中国境内生产的，其全部成本计入中国境内生产的组件成本；二级组件不在中国境内生产的，其成本不计入中国境内生产的组件成本。</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3.产品总成本和组件成本以相关会计核算数据、采购合同、进货记录等为基础进行计算。</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4.需要对成本核算规则予以进一步明确的其他有关事项，由财政部会同有关部门另行规定。</w:t>
      </w:r>
      <w:r/>
    </w:p>
    <w:p>
      <w:pPr>
        <w:pStyle w:val="787"/>
        <w:ind w:firstLine="482"/>
        <w:spacing w:before="0" w:beforeAutospacing="0" w:after="0" w:afterAutospacing="0" w:line="360" w:lineRule="auto"/>
        <w:rPr>
          <w:rFonts w:ascii="宋体" w:hAnsi="宋体" w:eastAsia="宋体" w:cs="宋体"/>
          <w:szCs w:val="24"/>
          <w:highlight w:val="none"/>
        </w:rPr>
      </w:pPr>
      <w:r>
        <w:rPr>
          <w:rStyle w:val="793"/>
          <w:rFonts w:hint="eastAsia" w:ascii="宋体" w:hAnsi="宋体" w:eastAsia="宋体" w:cs="宋体"/>
          <w:szCs w:val="24"/>
          <w:highlight w:val="none"/>
          <w:shd w:val="clear" w:color="auto" w:fill="ffffff"/>
        </w:rPr>
        <w:t xml:space="preserve">二、本国产品标准的适用范围</w:t>
      </w:r>
      <w:r/>
    </w:p>
    <w:p>
      <w:pPr>
        <w:pStyle w:val="78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7"/>
        <w:ind w:firstLine="482"/>
        <w:spacing w:before="0" w:beforeAutospacing="0" w:after="0" w:afterAutospacing="0" w:line="360" w:lineRule="auto"/>
        <w:rPr>
          <w:rFonts w:ascii="宋体" w:hAnsi="宋体" w:eastAsia="宋体" w:cs="宋体"/>
          <w:szCs w:val="24"/>
          <w:highlight w:val="none"/>
        </w:rPr>
      </w:pPr>
      <w:r>
        <w:rPr>
          <w:rStyle w:val="793"/>
          <w:rFonts w:hint="eastAsia" w:ascii="宋体" w:hAnsi="宋体" w:eastAsia="宋体" w:cs="宋体"/>
          <w:szCs w:val="24"/>
          <w:highlight w:val="none"/>
          <w:shd w:val="clear" w:color="auto" w:fill="ffffff"/>
        </w:rPr>
        <w:t xml:space="preserve">三、对本国产品的支持政策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当采购项目或者采购包中含有多种产品，供应商为该采购项目或者采购包提供的</w:t>
      </w:r>
      <w:r>
        <w:rPr>
          <w:rFonts w:hint="eastAsia" w:ascii="宋体" w:hAnsi="宋体" w:eastAsia="宋体" w:cs="宋体"/>
          <w:b/>
          <w:bCs/>
          <w:sz w:val="24"/>
          <w:highlight w:val="none"/>
        </w:rPr>
        <w:t xml:space="preserve">符合本国产品标准的产品成本之和占该供应商提供的全部产品成本之和的比例达到80%以上</w:t>
      </w:r>
      <w:r>
        <w:rPr>
          <w:rFonts w:hint="eastAsia" w:ascii="宋体" w:hAnsi="宋体" w:eastAsia="宋体" w:cs="宋体"/>
          <w:sz w:val="24"/>
          <w:highlight w:val="none"/>
        </w:rPr>
        <w:t xml:space="preserve">时，依法对该供应商提供的全部产品给予价格评审优惠，即</w:t>
      </w:r>
      <w:r>
        <w:rPr>
          <w:rFonts w:hint="eastAsia" w:ascii="宋体" w:hAnsi="宋体" w:eastAsia="宋体" w:cs="宋体"/>
          <w:b/>
          <w:bCs/>
          <w:sz w:val="24"/>
          <w:highlight w:val="none"/>
        </w:rPr>
        <w:t xml:space="preserve">对该供应商提供的全部产品的总报价给予20%的价格扣除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供应商提供的产品出具</w:t>
      </w:r>
      <w:r>
        <w:rPr>
          <w:rFonts w:hint="eastAsia" w:ascii="宋体" w:hAnsi="宋体" w:eastAsia="宋体" w:cs="宋体"/>
          <w:b/>
          <w:bCs/>
          <w:sz w:val="24"/>
          <w:highlight w:val="none"/>
        </w:rPr>
        <w:t xml:space="preserve">《关于符合本国产品标准的声明函》</w:t>
      </w:r>
      <w:r>
        <w:rPr>
          <w:rFonts w:hint="eastAsia" w:ascii="宋体" w:hAnsi="宋体" w:eastAsia="宋体" w:cs="宋体"/>
          <w:sz w:val="24"/>
          <w:highlight w:val="none"/>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42.未尽事宜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42.1按《中华人民共和国政府采购法》及其他有关法律法规的规定执行。</w:t>
      </w:r>
      <w:r/>
    </w:p>
    <w:p>
      <w:pPr>
        <w:rPr>
          <w:highlight w:val="none"/>
        </w:rPr>
      </w:pPr>
      <w:r>
        <w:rPr>
          <w:rFonts w:hint="eastAsia"/>
          <w:highlight w:val="none"/>
        </w:rPr>
        <w:br w:type="page" w:clear="all"/>
      </w:r>
      <w:r/>
    </w:p>
    <w:p>
      <w:pPr>
        <w:pStyle w:val="768"/>
        <w:ind w:left="0"/>
        <w:rPr>
          <w:rFonts w:hint="eastAsia"/>
          <w:highlight w:val="none"/>
        </w:rPr>
      </w:pPr>
      <w:r>
        <w:rPr>
          <w:rFonts w:hint="eastAsia"/>
          <w:highlight w:val="none"/>
        </w:rPr>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highlight w:val="none"/>
        </w:rPr>
        <w:t xml:space="preserve">第三章 投标文件格式</w:t>
      </w:r>
      <w:bookmarkEnd w:id="2"/>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对本章所有的投标书格式，投标方可根据自身情况进行补充和修改，但补充和修改不得造成与本格式内容有实质性的违背。</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一、投标函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w:t>
      </w:r>
      <w:r>
        <w:rPr>
          <w:rFonts w:hint="eastAsia" w:ascii="宋体" w:hAnsi="宋体" w:eastAsia="宋体" w:cs="宋体"/>
          <w:sz w:val="24"/>
          <w:szCs w:val="24"/>
          <w:highlight w:val="none"/>
        </w:rPr>
        <w:t xml:space="preserve">方全面研究了</w:t>
      </w:r>
      <w:r>
        <w:rPr>
          <w:rFonts w:hint="eastAsia" w:ascii="宋体" w:hAnsi="宋体" w:eastAsia="宋体" w:cs="宋体"/>
          <w:b/>
          <w:i/>
          <w:sz w:val="24"/>
          <w:szCs w:val="24"/>
          <w:highlight w:val="none"/>
          <w:u w:val="single"/>
        </w:rPr>
        <w:t xml:space="preserve">（招标编号）</w:t>
      </w:r>
      <w:r>
        <w:rPr>
          <w:rFonts w:hint="eastAsia" w:ascii="宋体" w:hAnsi="宋体" w:eastAsia="宋体" w:cs="宋体"/>
          <w:sz w:val="24"/>
          <w:szCs w:val="24"/>
          <w:highlight w:val="none"/>
        </w:rPr>
        <w:t xml:space="preserve">项目招标文件，决定参加贵单位组织的本项目的投标。</w:t>
      </w:r>
      <w:r/>
    </w:p>
    <w:p>
      <w:pPr>
        <w:ind w:firstLine="42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2.一旦我方中标，我们将严格履行招标文件中规定的每一项要求，按期、按质、按量履行合同的义务。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4.我们同意按招标文件中的规定，本投标书的有效期限为自投标截止之日起____天。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5.我们愿意提供招标采购单位在招标文件中要求的所有资料。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6.我们愿意遵守招标公告及招标文件中所列的收费标准。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7.我们承诺该项投标在开标后的全过程中保持有效，不作任何更改和变动。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供应商名称：（盖章）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法定代表人或代理人（签字或盖章）：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通讯地址：              邮政编码：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联系电话：传真：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二、法定代表人授权委托书</w:t>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本授权委托书声明：我</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名称）的法定代表人，现授权委托</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（姓名）为我公司授权代表（即代理人），以本公司的名义参加</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(采购代理机构)组织实施的编号为</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号的</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（项目名称）招标活动。代理人在开标、评标、合同谈判过程中所签署的一切文件和处理与这有关的一切事务，我均予以承认。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代理人无转委托权。特此委托。</w:t>
      </w:r>
      <w:r/>
    </w:p>
    <w:p>
      <w:pPr>
        <w:ind w:firstLine="42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代理人：（签字或盖章）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三、开标一览表</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21"/>
        <w:gridCol w:w="2061"/>
        <w:gridCol w:w="2206"/>
        <w:gridCol w:w="2516"/>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27"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0"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52"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投标总价（人民币大写：</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ind w:firstLine="480"/>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1.报价金额全部采取人民币表示，响应报价精确到分。</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562"/>
        <w:jc w:val="both"/>
        <w:spacing w:line="360" w:lineRule="auto"/>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r>
      <w:r/>
    </w:p>
    <w:p>
      <w:pPr>
        <w:ind w:firstLine="480"/>
        <w:spacing w:line="400" w:lineRule="atLeast"/>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四、</w:t>
      </w:r>
      <w:r>
        <w:rPr>
          <w:rFonts w:hint="eastAsia" w:ascii="宋体" w:hAnsi="宋体" w:eastAsia="宋体" w:cs="宋体"/>
          <w:b/>
          <w:sz w:val="30"/>
          <w:highlight w:val="none"/>
        </w:rPr>
        <w:t xml:space="preserve">货物清单表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货物清单表</w:t>
      </w:r>
      <w:r>
        <w:rPr>
          <w:rFonts w:ascii="宋体" w:hAnsi="宋体" w:eastAsia="宋体" w:cs="宋体"/>
          <w:sz w:val="24"/>
          <w:highlight w:val="none"/>
        </w:rPr>
        <w:t xml:space="preserve">（格式）</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highlight w:val="none"/>
        </w:rPr>
        <w:t xml:space="preserve">招标编号：</w:t>
      </w:r>
      <w:r/>
    </w:p>
    <w:tbl>
      <w:tblPr>
        <w:tblStyle w:val="79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779"/>
        <w:gridCol w:w="895"/>
        <w:gridCol w:w="1830"/>
        <w:gridCol w:w="819"/>
        <w:gridCol w:w="958"/>
        <w:gridCol w:w="754"/>
        <w:gridCol w:w="882"/>
        <w:gridCol w:w="819"/>
        <w:gridCol w:w="891"/>
      </w:tblGrid>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品牌</w:t>
            </w:r>
            <w:r>
              <w:rPr>
                <w:rFonts w:hint="eastAsia" w:ascii="宋体" w:hAnsi="宋体" w:eastAsia="宋体" w:cs="宋体"/>
                <w:sz w:val="24"/>
                <w:highlight w:val="none"/>
              </w:rPr>
              <w:t xml:space="preserve">型号</w:t>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规格</w:t>
            </w:r>
            <w:r>
              <w:rPr>
                <w:rFonts w:hint="eastAsia" w:ascii="宋体" w:hAnsi="宋体" w:eastAsia="宋体" w:cs="宋体"/>
                <w:sz w:val="24"/>
                <w:highlight w:val="none"/>
              </w:rPr>
              <w:t xml:space="preserve">、材质、参数等</w:t>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生产厂家</w:t>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w:t>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数量</w:t>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单价</w:t>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总价</w:t>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合计金额：</w:t>
            </w:r>
            <w:r>
              <w:rPr>
                <w:rFonts w:hint="eastAsia" w:ascii="宋体" w:hAnsi="宋体" w:eastAsia="宋体" w:cs="宋体"/>
                <w:sz w:val="24"/>
                <w:highlight w:val="none"/>
                <w:u w:val="single"/>
              </w:rPr>
              <w:t xml:space="preserve">人民币大写        （￥          ）</w:t>
            </w:r>
            <w:r/>
          </w:p>
        </w:tc>
      </w:tr>
    </w:tbl>
    <w:p>
      <w:pPr>
        <w:ind w:firstLine="480"/>
        <w:spacing w:before="312" w:line="360" w:lineRule="auto"/>
        <w:tabs>
          <w:tab w:val="left" w:pos="7560" w:leader="none"/>
        </w:tabs>
        <w:rPr>
          <w:rFonts w:ascii="宋体" w:hAnsi="宋体" w:cs="宋体"/>
          <w:sz w:val="24"/>
          <w:szCs w:val="24"/>
          <w:highlight w:val="none"/>
        </w:rPr>
      </w:pPr>
      <w:r>
        <w:rPr>
          <w:rFonts w:hint="eastAsia" w:ascii="宋体" w:hAnsi="宋体" w:cs="宋体"/>
          <w:sz w:val="24"/>
          <w:szCs w:val="24"/>
          <w:highlight w:val="none"/>
        </w:rPr>
        <w:t xml:space="preserve">注：1.各供应商可按照招标文件要求参照上述格式自制《货物清单表》投标</w:t>
      </w:r>
      <w:r>
        <w:rPr>
          <w:rFonts w:hint="eastAsia" w:ascii="宋体" w:hAnsi="宋体" w:cs="宋体"/>
          <w:bCs/>
          <w:sz w:val="24"/>
          <w:szCs w:val="24"/>
          <w:highlight w:val="none"/>
        </w:rPr>
        <w:t xml:space="preserve">，根据自身情况</w:t>
      </w:r>
      <w:r>
        <w:rPr>
          <w:rFonts w:hint="eastAsia" w:ascii="宋体" w:hAnsi="宋体" w:cs="宋体"/>
          <w:sz w:val="24"/>
          <w:szCs w:val="24"/>
          <w:highlight w:val="none"/>
        </w:rPr>
        <w:t xml:space="preserve">详细报出分项</w:t>
      </w:r>
      <w:r>
        <w:rPr>
          <w:rFonts w:hint="eastAsia" w:ascii="宋体" w:hAnsi="宋体" w:eastAsia="宋体" w:cs="宋体"/>
          <w:sz w:val="24"/>
          <w:szCs w:val="24"/>
          <w:highlight w:val="none"/>
        </w:rPr>
        <w:t xml:space="preserve">价格，但不得修改实质性内容</w:t>
      </w:r>
      <w:r>
        <w:rPr>
          <w:rFonts w:hint="eastAsia" w:ascii="宋体" w:hAnsi="宋体" w:cs="宋体"/>
          <w:sz w:val="24"/>
          <w:szCs w:val="24"/>
          <w:highlight w:val="none"/>
        </w:rPr>
        <w:t xml:space="preserve">。</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须遵循政府采购公平竞争、诚实信用原则，遵守相关法律法规，不得恶意低价，扰乱市场秩序。招标人（采购人）、评审专家有权核实相关价格，一旦发现存在采用不诚实报价等虚假方式谋取入围的，按“政府采购法”相关规定处理。</w:t>
      </w:r>
      <w:r/>
    </w:p>
    <w:p>
      <w:pPr>
        <w:ind w:firstLine="480"/>
        <w:jc w:val="both"/>
        <w:spacing w:before="312"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1808"/>
        <w:jc w:val="both"/>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五、投入的实施、交货、安装、验收方案</w:t>
      </w:r>
      <w:r/>
    </w:p>
    <w:tbl>
      <w:tblPr>
        <w:tblStyle w:val="7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提</w:t>
            </w:r>
            <w:r>
              <w:rPr>
                <w:rFonts w:hint="eastAsia" w:ascii="宋体" w:hAnsi="宋体" w:eastAsia="宋体" w:cs="宋体"/>
                <w:sz w:val="24"/>
                <w:szCs w:val="24"/>
                <w:highlight w:val="none"/>
              </w:rPr>
              <w:t xml:space="preserve">示：</w:t>
            </w:r>
            <w:r/>
          </w:p>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1.供应商应针对本次采购项目特点编写中标后拟投入的实施、交货、安装、验收方案及相关保证措施等；</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2.供应商可根据自身情况编</w:t>
            </w:r>
            <w:r>
              <w:rPr>
                <w:rFonts w:ascii="宋体" w:hAnsi="宋体" w:eastAsia="宋体" w:cs="宋体"/>
                <w:sz w:val="24"/>
                <w:highlight w:val="none"/>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384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21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六、拟用于本项目人员名单</w:t>
      </w:r>
      <w:r/>
    </w:p>
    <w:tbl>
      <w:tblPr>
        <w:tblStyle w:val="79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908"/>
        <w:gridCol w:w="1040"/>
        <w:gridCol w:w="1040"/>
        <w:gridCol w:w="804"/>
        <w:gridCol w:w="2297"/>
        <w:gridCol w:w="2281"/>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曾</w:t>
            </w:r>
            <w:r>
              <w:rPr>
                <w:rFonts w:hint="eastAsia" w:ascii="宋体" w:hAnsi="宋体" w:eastAsia="宋体" w:cs="宋体"/>
                <w:sz w:val="24"/>
                <w:szCs w:val="24"/>
                <w:highlight w:val="none"/>
              </w:rPr>
              <w:t xml:space="preserve">参与过</w:t>
            </w:r>
            <w:r>
              <w:rPr>
                <w:rFonts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spacing w:line="85" w:lineRule="atLeast"/>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rPr>
          <w:rFonts w:ascii="宋体" w:hAnsi="宋体" w:eastAsia="宋体" w:cs="宋体"/>
          <w:sz w:val="28"/>
          <w:highlight w:val="none"/>
        </w:rPr>
      </w:pPr>
      <w:r>
        <w:rPr>
          <w:rFonts w:ascii="宋体" w:hAnsi="宋体" w:eastAsia="宋体" w:cs="宋体"/>
          <w:sz w:val="28"/>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七、资格证明文件</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w:t>
      </w:r>
      <w:r>
        <w:rPr>
          <w:rFonts w:hint="eastAsia" w:ascii="宋体" w:hAnsi="宋体" w:eastAsia="宋体" w:cs="宋体"/>
          <w:b/>
          <w:sz w:val="24"/>
          <w:highlight w:val="none"/>
        </w:rPr>
        <w:t xml:space="preserve">1.</w:t>
      </w:r>
      <w:r>
        <w:rPr>
          <w:rFonts w:ascii="宋体" w:hAnsi="宋体" w:eastAsia="宋体" w:cs="宋体"/>
          <w:b/>
          <w:sz w:val="24"/>
          <w:highlight w:val="none"/>
        </w:rPr>
        <w:t xml:space="preserve">关于资格文件的声明函</w:t>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本公司愿就由贵公司组织实施的编号为</w:t>
      </w:r>
      <w:r>
        <w:rPr>
          <w:rFonts w:ascii="宋体" w:hAnsi="宋体" w:eastAsia="宋体" w:cs="宋体"/>
          <w:sz w:val="24"/>
          <w:highlight w:val="none"/>
          <w:u w:val="single"/>
        </w:rPr>
        <w:t xml:space="preserve">（招标编号）</w:t>
      </w:r>
      <w:r>
        <w:rPr>
          <w:rFonts w:ascii="宋体" w:hAnsi="宋体" w:eastAsia="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我方已知晓</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文件要求并认真审核自身情况，在此郑重声明，我方遵守如下条款的规定：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（1）单位负责人为同一人或者存在直接控股、管理关系的不同供应商，不得参加同一合同项下的政府采购活动。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本声明如有虚假或不实之处，我方将失去合格供应商资格。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）法定代表人（签字或盖章）：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：（单位盖章）：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7.2投标供应商与其他单位存在控股、管理关系情况表</w:t>
      </w:r>
      <w:r/>
    </w:p>
    <w:p>
      <w:pPr>
        <w:ind w:firstLine="48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投标供应商与其他单位存在控股、管理关系情况表</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rPr>
          <w:rFonts w:ascii="宋体" w:hAnsi="宋体" w:eastAsia="宋体" w:cs="宋体"/>
          <w:sz w:val="24"/>
          <w:highlight w:val="none"/>
        </w:rPr>
        <w:t xml:space="preserve">：</w:t>
      </w:r>
      <w:r/>
    </w:p>
    <w:tbl>
      <w:tblPr>
        <w:tblStyle w:val="7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注：投标供应商须如实填写所有与之有控股管理关系的情况。</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供应商名称</w:t>
      </w:r>
      <w:r>
        <w:rPr>
          <w:rFonts w:ascii="宋体" w:hAnsi="宋体" w:eastAsia="宋体" w:cs="宋体"/>
          <w:sz w:val="24"/>
          <w:highlight w:val="none"/>
        </w:rPr>
        <w:t xml:space="preserve">：（单位盖章）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八、</w:t>
      </w:r>
      <w:r>
        <w:rPr>
          <w:rFonts w:hint="eastAsia" w:ascii="宋体" w:hAnsi="宋体" w:eastAsia="宋体" w:cs="宋体"/>
          <w:b/>
          <w:sz w:val="30"/>
          <w:highlight w:val="none"/>
        </w:rPr>
        <w:t xml:space="preserve">供应商</w:t>
      </w:r>
      <w:r>
        <w:rPr>
          <w:rFonts w:ascii="宋体" w:hAnsi="宋体" w:eastAsia="宋体" w:cs="宋体"/>
          <w:b/>
          <w:sz w:val="30"/>
          <w:highlight w:val="none"/>
        </w:rPr>
        <w:t xml:space="preserve">基本情况表</w:t>
      </w:r>
      <w:r/>
    </w:p>
    <w:tbl>
      <w:tblPr>
        <w:tblStyle w:val="76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1952"/>
        <w:gridCol w:w="1473"/>
        <w:gridCol w:w="1941"/>
        <w:gridCol w:w="1242"/>
      </w:tblGrid>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法定代表人</w:t>
            </w:r>
            <w:r/>
          </w:p>
        </w:tc>
        <w:tc>
          <w:tcPr>
            <w:tcW w:w="1051"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成立日期</w:t>
            </w:r>
            <w:r/>
          </w:p>
        </w:tc>
        <w:tc>
          <w:tcPr>
            <w:gridSpan w:val="2"/>
            <w:tcW w:w="1714"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企业地址</w:t>
            </w:r>
            <w:r/>
          </w:p>
        </w:tc>
        <w:tc>
          <w:tcPr>
            <w:tcW w:w="1051"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注册资本</w:t>
            </w:r>
            <w:r/>
          </w:p>
        </w:tc>
        <w:tc>
          <w:tcPr>
            <w:gridSpan w:val="2"/>
            <w:tcW w:w="1714" w:type="pct"/>
            <w:textDirection w:val="lrTb"/>
            <w:noWrap w:val="false"/>
          </w:tcPr>
          <w:p>
            <w:pPr>
              <w:pStyle w:val="764"/>
              <w:ind w:firstLine="960"/>
              <w:rPr>
                <w:rFonts w:ascii="宋体" w:hAnsi="宋体" w:eastAsia="宋体" w:cs="宋体"/>
                <w:highlight w:val="none"/>
              </w:rPr>
            </w:pP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经营范围</w:t>
            </w:r>
            <w:r/>
          </w:p>
        </w:tc>
        <w:tc>
          <w:tcPr>
            <w:gridSpan w:val="4"/>
            <w:tcW w:w="355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职工人数</w:t>
            </w:r>
            <w:r/>
          </w:p>
        </w:tc>
        <w:tc>
          <w:tcPr>
            <w:tcW w:w="1051"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c>
          <w:tcPr>
            <w:gridSpan w:val="2"/>
            <w:tcW w:w="1838"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66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vAlign w:val="center"/>
            <w:textDirection w:val="lrTb"/>
            <w:noWrap w:val="false"/>
          </w:tcPr>
          <w:p>
            <w:pPr>
              <w:pStyle w:val="764"/>
              <w:ind w:firstLine="0"/>
              <w:jc w:val="both"/>
              <w:rPr>
                <w:rFonts w:ascii="宋体" w:hAnsi="宋体" w:eastAsia="宋体" w:cs="宋体"/>
                <w:highlight w:val="none"/>
              </w:rPr>
            </w:pPr>
            <w:r>
              <w:rPr>
                <w:rFonts w:hint="eastAsia" w:ascii="宋体" w:hAnsi="宋体" w:eastAsia="宋体" w:cs="宋体"/>
                <w:highlight w:val="none"/>
              </w:rPr>
              <w:t xml:space="preserve">资产总计</w:t>
            </w:r>
            <w:r/>
          </w:p>
        </w:tc>
        <w:tc>
          <w:tcPr>
            <w:tcW w:w="1051" w:type="pct"/>
            <w:vAlign w:val="center"/>
            <w:textDirection w:val="lrTb"/>
            <w:noWrap w:val="false"/>
          </w:tcPr>
          <w:p>
            <w:pPr>
              <w:pStyle w:val="76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64"/>
              <w:ind w:firstLine="0"/>
              <w:jc w:val="both"/>
              <w:rPr>
                <w:rFonts w:ascii="宋体" w:hAnsi="宋体" w:eastAsia="宋体" w:cs="宋体"/>
                <w:highlight w:val="none"/>
              </w:rPr>
            </w:pPr>
            <w:r>
              <w:rPr>
                <w:rFonts w:hint="eastAsia" w:ascii="宋体" w:hAnsi="宋体" w:eastAsia="宋体" w:cs="宋体"/>
                <w:highlight w:val="none"/>
              </w:rPr>
              <w:t xml:space="preserve">净资产</w:t>
            </w:r>
            <w:r/>
          </w:p>
        </w:tc>
        <w:tc>
          <w:tcPr>
            <w:gridSpan w:val="2"/>
            <w:tcW w:w="1714" w:type="pct"/>
            <w:vAlign w:val="center"/>
            <w:textDirection w:val="lrTb"/>
            <w:noWrap w:val="false"/>
          </w:tcPr>
          <w:p>
            <w:pPr>
              <w:pStyle w:val="76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vAlign w:val="center"/>
            <w:textDirection w:val="lrTb"/>
            <w:noWrap w:val="false"/>
          </w:tcPr>
          <w:p>
            <w:pPr>
              <w:pStyle w:val="764"/>
              <w:ind w:firstLine="0"/>
              <w:jc w:val="both"/>
              <w:rPr>
                <w:rFonts w:ascii="宋体" w:hAnsi="宋体" w:eastAsia="宋体" w:cs="宋体"/>
                <w:highlight w:val="none"/>
              </w:rPr>
            </w:pPr>
            <w:r>
              <w:rPr>
                <w:rFonts w:hint="eastAsia" w:ascii="宋体" w:hAnsi="宋体" w:eastAsia="宋体" w:cs="宋体"/>
                <w:highlight w:val="none"/>
              </w:rPr>
              <w:t xml:space="preserve">股东权益</w:t>
            </w:r>
            <w:r/>
          </w:p>
        </w:tc>
        <w:tc>
          <w:tcPr>
            <w:tcW w:w="1051" w:type="pct"/>
            <w:vAlign w:val="center"/>
            <w:textDirection w:val="lrTb"/>
            <w:noWrap w:val="false"/>
          </w:tcPr>
          <w:p>
            <w:pPr>
              <w:pStyle w:val="76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64"/>
              <w:ind w:firstLine="0"/>
              <w:jc w:val="both"/>
              <w:rPr>
                <w:rFonts w:ascii="宋体" w:hAnsi="宋体" w:eastAsia="宋体" w:cs="宋体"/>
                <w:highlight w:val="none"/>
              </w:rPr>
            </w:pPr>
            <w:r>
              <w:rPr>
                <w:rFonts w:hint="eastAsia" w:ascii="宋体" w:hAnsi="宋体" w:eastAsia="宋体" w:cs="宋体"/>
                <w:highlight w:val="none"/>
              </w:rPr>
              <w:t xml:space="preserve">销售收入</w:t>
            </w:r>
            <w:r/>
          </w:p>
        </w:tc>
        <w:tc>
          <w:tcPr>
            <w:gridSpan w:val="2"/>
            <w:tcW w:w="1714" w:type="pct"/>
            <w:vAlign w:val="center"/>
            <w:textDirection w:val="lrTb"/>
            <w:noWrap w:val="false"/>
          </w:tcPr>
          <w:p>
            <w:pPr>
              <w:pStyle w:val="764"/>
              <w:ind w:firstLine="0"/>
              <w:jc w:val="center"/>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实现利润</w:t>
            </w:r>
            <w:r/>
          </w:p>
        </w:tc>
        <w:tc>
          <w:tcPr>
            <w:tcW w:w="105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万元</w:t>
            </w:r>
            <w:r/>
          </w:p>
        </w:tc>
        <w:tc>
          <w:tcPr>
            <w:tcW w:w="793"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c>
          <w:tcPr>
            <w:gridSpan w:val="2"/>
            <w:tcW w:w="1714"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营业面积（含厂房面积）</w:t>
            </w:r>
            <w:r/>
          </w:p>
        </w:tc>
        <w:tc>
          <w:tcPr>
            <w:tcW w:w="1051" w:type="pct"/>
            <w:vAlign w:val="center"/>
            <w:textDirection w:val="lrTb"/>
            <w:noWrap w:val="false"/>
          </w:tcPr>
          <w:p>
            <w:pPr>
              <w:pStyle w:val="764"/>
              <w:ind w:firstLine="0"/>
              <w:jc w:val="both"/>
              <w:rPr>
                <w:rFonts w:ascii="宋体" w:hAnsi="宋体" w:eastAsia="宋体" w:cs="宋体"/>
                <w:highlight w:val="none"/>
              </w:rPr>
            </w:pPr>
            <w:r>
              <w:rPr>
                <w:rFonts w:hint="eastAsia" w:ascii="宋体" w:hAnsi="宋体" w:eastAsia="宋体" w:cs="宋体"/>
                <w:highlight w:val="none"/>
              </w:rPr>
              <w:t xml:space="preserve">        平方米</w:t>
            </w:r>
            <w:r/>
          </w:p>
        </w:tc>
        <w:tc>
          <w:tcPr>
            <w:tcW w:w="793"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其中：</w:t>
            </w:r>
            <w:r/>
          </w:p>
        </w:tc>
        <w:tc>
          <w:tcPr>
            <w:gridSpan w:val="2"/>
            <w:tcW w:w="1714"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自有面积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p>
            <w:pPr>
              <w:pStyle w:val="764"/>
              <w:ind w:firstLine="0"/>
              <w:rPr>
                <w:rFonts w:ascii="宋体" w:hAnsi="宋体" w:eastAsia="宋体" w:cs="宋体"/>
                <w:highlight w:val="none"/>
              </w:rPr>
            </w:pPr>
            <w:r>
              <w:rPr>
                <w:rFonts w:hint="eastAsia" w:ascii="宋体" w:hAnsi="宋体" w:eastAsia="宋体" w:cs="宋体"/>
                <w:highlight w:val="none"/>
              </w:rPr>
              <w:t xml:space="preserve">承租面积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tc>
      </w:tr>
      <w:tr>
        <w:trPr>
          <w:cantSplit/>
          <w:trHeight w:val="747"/>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355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单位优势及特长</w:t>
            </w:r>
            <w:r/>
          </w:p>
        </w:tc>
        <w:tc>
          <w:tcPr>
            <w:gridSpan w:val="4"/>
            <w:tcW w:w="355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355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355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355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355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r>
        <w:trPr>
          <w:cantSplit/>
          <w:trHeight w:val="560"/>
        </w:trPr>
        <w:tc>
          <w:tcPr>
            <w:tcW w:w="1441" w:type="pct"/>
            <w:textDirection w:val="lrTb"/>
            <w:noWrap w:val="false"/>
          </w:tcPr>
          <w:p>
            <w:pPr>
              <w:pStyle w:val="764"/>
              <w:ind w:firstLine="0"/>
              <w:rPr>
                <w:rFonts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3558" w:type="pct"/>
            <w:textDirection w:val="lrTb"/>
            <w:noWrap w:val="false"/>
          </w:tcPr>
          <w:p>
            <w:pPr>
              <w:pStyle w:val="764"/>
              <w:ind w:firstLine="0"/>
              <w:rPr>
                <w:rFonts w:ascii="宋体" w:hAnsi="宋体" w:eastAsia="宋体" w:cs="宋体"/>
                <w:highlight w:val="none"/>
              </w:rPr>
            </w:pPr>
            <w:r>
              <w:rPr>
                <w:rFonts w:ascii="宋体" w:hAnsi="宋体" w:eastAsia="宋体" w:cs="宋体"/>
                <w:highlight w:val="none"/>
              </w:rPr>
            </w:r>
            <w:r/>
          </w:p>
        </w:tc>
      </w:tr>
    </w:tbl>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（本页不够可另加页附后）</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九、技术规格、商务偏离表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（一）技术规格偏离表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jc w:val="center"/>
        <w:spacing w:line="360" w:lineRule="auto"/>
        <w:rPr>
          <w:rFonts w:ascii="宋体" w:hAnsi="宋体" w:eastAsia="宋体" w:cs="宋体"/>
          <w:b/>
          <w:spacing w:val="2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（二）商务条款偏离表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32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61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招标文件要求</w:t>
            </w:r>
            <w:r/>
          </w:p>
        </w:tc>
        <w:tc>
          <w:tcPr>
            <w:tcMar>
              <w:left w:w="108" w:type="dxa"/>
              <w:top w:w="0" w:type="dxa"/>
              <w:right w:w="108" w:type="dxa"/>
              <w:bottom w:w="0" w:type="dxa"/>
            </w:tcMar>
            <w:tcW w:w="107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0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c>
          <w:tcPr>
            <w:tcMar>
              <w:left w:w="108" w:type="dxa"/>
              <w:top w:w="0" w:type="dxa"/>
              <w:right w:w="108" w:type="dxa"/>
              <w:bottom w:w="0" w:type="dxa"/>
            </w:tcMar>
            <w:tcW w:w="86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交货地点</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付款方式</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售后服务承诺</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其他商务要求</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2.若事项较多，</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可根据投标内容的实际情况另纸说明。</w:t>
      </w:r>
      <w:r/>
    </w:p>
    <w:p>
      <w:pPr>
        <w:rPr>
          <w:highlight w:val="none"/>
        </w:rPr>
      </w:pPr>
      <w:r>
        <w:rPr>
          <w:rFonts w:ascii="宋体" w:hAnsi="宋体" w:eastAsia="宋体" w:cs="宋体"/>
          <w:b/>
          <w:sz w:val="30"/>
          <w:highlight w:val="none"/>
        </w:rPr>
        <w:br w:type="page" w:clear="all"/>
      </w:r>
      <w:r/>
    </w:p>
    <w:p>
      <w:pPr>
        <w:jc w:val="center"/>
        <w:spacing w:line="360" w:lineRule="auto"/>
        <w:rPr>
          <w:rFonts w:ascii="宋体" w:hAnsi="宋体" w:eastAsia="宋体" w:cs="宋体"/>
          <w:b/>
          <w:sz w:val="30"/>
          <w:szCs w:val="30"/>
          <w:highlight w:val="none"/>
        </w:rPr>
      </w:pPr>
      <w:r>
        <w:rPr>
          <w:rFonts w:hint="eastAsia" w:ascii="宋体" w:hAnsi="宋体" w:eastAsia="宋体" w:cs="宋体"/>
          <w:b/>
          <w:sz w:val="30"/>
          <w:szCs w:val="30"/>
          <w:highlight w:val="none"/>
        </w:rPr>
        <w:t xml:space="preserve">十、企业类似业绩一览表</w:t>
      </w:r>
      <w:r/>
    </w:p>
    <w:p>
      <w:pPr>
        <w:pStyle w:val="764"/>
        <w:ind w:firstLine="0"/>
        <w:spacing w:after="312"/>
        <w:rPr>
          <w:rFonts w:ascii="宋体" w:hAnsi="宋体" w:eastAsia="宋体" w:cs="宋体"/>
          <w:highlight w:val="none"/>
        </w:rPr>
      </w:pPr>
      <w:r>
        <w:rPr>
          <w:rFonts w:hint="eastAsia" w:ascii="宋体" w:hAnsi="宋体" w:eastAsia="宋体" w:cs="宋体"/>
          <w:highlight w:val="none"/>
        </w:rPr>
        <w:t xml:space="preserve">招标编号：</w:t>
      </w:r>
      <w:r/>
    </w:p>
    <w:tbl>
      <w:tblPr>
        <w:tblStyle w:val="76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816"/>
        <w:gridCol w:w="1765"/>
        <w:gridCol w:w="2669"/>
        <w:gridCol w:w="964"/>
      </w:tblGrid>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16"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合同签订时间</w:t>
            </w:r>
            <w:r/>
          </w:p>
        </w:tc>
        <w:tc>
          <w:tcPr>
            <w:tcW w:w="1437"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甲方（业主）单位名称</w:t>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bl>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供应商名称：（单位盖章）</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85" w:lineRule="atLeast"/>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highlight w:val="none"/>
        </w:rPr>
      </w:r>
      <w:r/>
    </w:p>
    <w:p>
      <w:pPr>
        <w:jc w:val="center"/>
        <w:spacing w:line="85" w:lineRule="atLeast"/>
        <w:rPr>
          <w:rFonts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r>
      <w:r/>
    </w:p>
    <w:p>
      <w:pPr>
        <w:rPr>
          <w:rFonts w:ascii="宋体" w:hAnsi="宋体" w:eastAsia="宋体" w:cs="宋体"/>
          <w:b/>
          <w:sz w:val="30"/>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一</w:t>
      </w:r>
      <w:r>
        <w:rPr>
          <w:rFonts w:ascii="宋体" w:hAnsi="宋体" w:eastAsia="宋体" w:cs="宋体"/>
          <w:b/>
          <w:sz w:val="30"/>
          <w:highlight w:val="none"/>
        </w:rPr>
        <w:t xml:space="preserve">、售后服务承诺书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响应后</w:t>
            </w:r>
            <w:r>
              <w:rPr>
                <w:rFonts w:ascii="宋体" w:hAnsi="宋体" w:eastAsia="宋体" w:cs="宋体"/>
                <w:sz w:val="24"/>
                <w:highlight w:val="none"/>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w:t>
      </w:r>
      <w:r>
        <w:rPr>
          <w:rFonts w:ascii="宋体" w:hAnsi="宋体" w:eastAsia="宋体" w:cs="宋体"/>
          <w:sz w:val="24"/>
          <w:highlight w:val="none"/>
        </w:rPr>
        <w:t xml:space="preserve">针对服务内容有必须说明的事项，请在“备注”栏目内注明；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如有其它售后服务内容，可自行参照填写。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w:t>
      </w:r>
      <w:r>
        <w:rPr>
          <w:rFonts w:hint="eastAsia" w:ascii="宋体" w:hAnsi="宋体" w:eastAsia="宋体" w:cs="宋体"/>
          <w:sz w:val="24"/>
          <w:szCs w:val="24"/>
          <w:highlight w:val="none"/>
        </w:rPr>
        <w:t xml:space="preserve">代理人</w:t>
      </w:r>
      <w:r>
        <w:rPr>
          <w:rFonts w:ascii="宋体" w:hAnsi="宋体" w:eastAsia="宋体" w:cs="宋体"/>
          <w:sz w:val="24"/>
          <w:highlight w:val="none"/>
        </w:rPr>
        <w:t xml:space="preserve">：（签字或签章）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二</w:t>
      </w:r>
      <w:r>
        <w:rPr>
          <w:rFonts w:ascii="宋体" w:hAnsi="宋体" w:eastAsia="宋体" w:cs="宋体"/>
          <w:b/>
          <w:sz w:val="30"/>
          <w:highlight w:val="none"/>
        </w:rPr>
        <w:t xml:space="preserve">、中小企业声明函</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本公司（联合体）郑重声明，根据《政府采购促进中小企业发展管理办法》（财库﹝2020﹞46 号）的规定，本公司（联合体）参加</w:t>
      </w:r>
      <w:r>
        <w:rPr>
          <w:rFonts w:ascii="宋体" w:hAnsi="宋体" w:eastAsia="宋体" w:cs="宋体"/>
          <w:sz w:val="24"/>
          <w:szCs w:val="24"/>
          <w:highlight w:val="none"/>
          <w:u w:val="single"/>
        </w:rPr>
        <w:t xml:space="preserve">（单位名称）</w:t>
      </w:r>
      <w:r>
        <w:rPr>
          <w:rFonts w:ascii="宋体" w:hAnsi="宋体" w:eastAsia="宋体" w:cs="宋体"/>
          <w:sz w:val="24"/>
          <w:szCs w:val="24"/>
          <w:highlight w:val="none"/>
        </w:rPr>
        <w:t xml:space="preserve">的</w:t>
      </w:r>
      <w:r>
        <w:rPr>
          <w:rFonts w:ascii="宋体" w:hAnsi="宋体" w:eastAsia="宋体" w:cs="宋体"/>
          <w:sz w:val="24"/>
          <w:szCs w:val="24"/>
          <w:highlight w:val="none"/>
          <w:u w:val="single"/>
        </w:rPr>
        <w:t xml:space="preserve">（项目名称）</w:t>
      </w:r>
      <w:r>
        <w:rPr>
          <w:rFonts w:ascii="宋体" w:hAnsi="宋体" w:eastAsia="宋体" w:cs="宋体"/>
          <w:sz w:val="24"/>
          <w:szCs w:val="24"/>
          <w:highlight w:val="none"/>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企业名称（盖章）：</w:t>
      </w:r>
      <w:r/>
    </w:p>
    <w:p>
      <w:pPr>
        <w:ind w:firstLine="40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w:t>
      </w:r>
      <w:r>
        <w:rPr>
          <w:rFonts w:ascii="宋体" w:hAnsi="宋体" w:eastAsia="宋体" w:cs="宋体"/>
          <w:b/>
          <w:bCs/>
          <w:sz w:val="24"/>
          <w:szCs w:val="24"/>
          <w:highlight w:val="none"/>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ascii="宋体" w:hAnsi="宋体" w:eastAsia="宋体" w:cs="宋体"/>
          <w:b/>
          <w:bCs/>
          <w:sz w:val="24"/>
          <w:szCs w:val="24"/>
          <w:highlight w:val="none"/>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highlight w:val="none"/>
        </w:rPr>
        <w:t xml:space="preserve">。</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w:t>
      </w:r>
      <w:r>
        <w:rPr>
          <w:rFonts w:ascii="宋体" w:hAnsi="宋体" w:eastAsia="宋体" w:cs="宋体"/>
          <w:b/>
          <w:bCs/>
          <w:sz w:val="24"/>
          <w:szCs w:val="24"/>
          <w:highlight w:val="none"/>
        </w:rPr>
        <w:t xml:space="preserve">从</w:t>
      </w:r>
      <w:r>
        <w:rPr>
          <w:rFonts w:ascii="宋体" w:hAnsi="宋体" w:eastAsia="宋体" w:cs="宋体"/>
          <w:b/>
          <w:sz w:val="24"/>
          <w:szCs w:val="24"/>
          <w:highlight w:val="none"/>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4</w:t>
      </w:r>
      <w:r>
        <w:rPr>
          <w:rFonts w:hint="eastAsia" w:ascii="宋体" w:hAnsi="宋体" w:eastAsia="宋体" w:cs="宋体"/>
          <w:b/>
          <w:sz w:val="24"/>
          <w:szCs w:val="24"/>
          <w:highlight w:val="none"/>
        </w:rPr>
        <w:t xml:space="preserve">.供应商</w:t>
      </w:r>
      <w:r>
        <w:rPr>
          <w:rFonts w:ascii="宋体" w:hAnsi="宋体" w:eastAsia="宋体" w:cs="宋体"/>
          <w:b/>
          <w:sz w:val="24"/>
          <w:szCs w:val="24"/>
          <w:highlight w:val="none"/>
        </w:rPr>
        <w:t xml:space="preserve">所投不同货物的生产制造商信息均需填报。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5</w:t>
      </w:r>
      <w:r>
        <w:rPr>
          <w:rFonts w:hint="eastAsia" w:ascii="宋体" w:hAnsi="宋体" w:eastAsia="宋体" w:cs="宋体"/>
          <w:b/>
          <w:sz w:val="24"/>
          <w:szCs w:val="24"/>
          <w:highlight w:val="none"/>
        </w:rPr>
        <w:t xml:space="preserve">.</w:t>
      </w:r>
      <w:r>
        <w:rPr>
          <w:rFonts w:ascii="宋体" w:hAnsi="宋体" w:eastAsia="宋体" w:cs="宋体"/>
          <w:b/>
          <w:sz w:val="24"/>
          <w:szCs w:val="24"/>
          <w:highlight w:val="none"/>
        </w:rPr>
        <w:t xml:space="preserve">供应商应对照中小企业划分标准和采购标的所属行业：</w:t>
      </w:r>
      <w:r>
        <w:rPr>
          <w:rFonts w:ascii="宋体" w:hAnsi="宋体" w:eastAsia="宋体" w:cs="宋体"/>
          <w:b/>
          <w:sz w:val="24"/>
          <w:szCs w:val="24"/>
          <w:highlight w:val="none"/>
          <w:u w:val="single"/>
        </w:rPr>
        <w:t xml:space="preserve">工业</w:t>
      </w:r>
      <w:r>
        <w:rPr>
          <w:rFonts w:ascii="宋体" w:hAnsi="宋体" w:eastAsia="宋体" w:cs="宋体"/>
          <w:b/>
          <w:sz w:val="24"/>
          <w:szCs w:val="24"/>
          <w:highlight w:val="none"/>
        </w:rPr>
        <w:t xml:space="preserve">，如实、完整填报《中小企业声明函》，如未对（</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中型企业、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小型企业、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微型企业</w:t>
      </w:r>
      <w:r>
        <w:rPr>
          <w:rFonts w:ascii="宋体" w:hAnsi="宋体" w:eastAsia="宋体" w:cs="宋体"/>
          <w:b/>
          <w:sz w:val="24"/>
          <w:szCs w:val="24"/>
          <w:highlight w:val="none"/>
        </w:rPr>
        <w:t xml:space="preserve">）进行勾选，视同非中、小、微企业，不享受相应扶持政策。</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十三、残疾人福利性单位声明函</w:t>
      </w:r>
      <w:r/>
    </w:p>
    <w:p>
      <w:pPr>
        <w:jc w:val="both"/>
        <w:spacing w:line="5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highlight w:val="none"/>
          <w:u w:val="single"/>
        </w:rPr>
        <w:t xml:space="preserve">               </w:t>
      </w:r>
      <w:r>
        <w:rPr>
          <w:rFonts w:ascii="宋体" w:hAnsi="宋体" w:eastAsia="宋体" w:cs="宋体"/>
          <w:b/>
          <w:spacing w:val="6"/>
          <w:sz w:val="24"/>
          <w:highlight w:val="none"/>
          <w:u w:val="single"/>
        </w:rPr>
        <w:t xml:space="preserve">：</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本单位郑重声明，根据《财政部民政部中国残疾人联合会关于促进残疾人就业政府采购政策的通知》（财库</w:t>
      </w:r>
      <w:r>
        <w:rPr>
          <w:rFonts w:ascii="宋体" w:hAnsi="宋体" w:eastAsia="宋体" w:cs="宋体"/>
          <w:sz w:val="24"/>
          <w:highlight w:val="none"/>
        </w:rPr>
        <w:t xml:space="preserve">〔2017〕141</w:t>
      </w:r>
      <w:r>
        <w:rPr>
          <w:rFonts w:ascii="宋体" w:hAnsi="宋体" w:eastAsia="宋体" w:cs="宋体"/>
          <w:spacing w:val="6"/>
          <w:sz w:val="24"/>
          <w:highlight w:val="none"/>
        </w:rPr>
        <w:t xml:space="preserve">号）的规定，本单位为符合条件的残疾人福利性单位，且本单位参加</w:t>
      </w:r>
      <w:r>
        <w:rPr>
          <w:rFonts w:ascii="宋体" w:hAnsi="宋体" w:eastAsia="宋体" w:cs="宋体"/>
          <w:spacing w:val="6"/>
          <w:sz w:val="24"/>
          <w:highlight w:val="none"/>
          <w:u w:val="single"/>
        </w:rPr>
        <w:t xml:space="preserve">（采购单位）</w:t>
      </w:r>
      <w:r>
        <w:rPr>
          <w:rFonts w:ascii="宋体" w:hAnsi="宋体" w:eastAsia="宋体" w:cs="宋体"/>
          <w:spacing w:val="6"/>
          <w:sz w:val="24"/>
          <w:highlight w:val="none"/>
        </w:rPr>
        <w:t xml:space="preserve">单位的</w:t>
      </w:r>
      <w:r>
        <w:rPr>
          <w:rFonts w:ascii="宋体" w:hAnsi="宋体" w:eastAsia="宋体" w:cs="宋体"/>
          <w:sz w:val="24"/>
          <w:highlight w:val="none"/>
          <w:u w:val="single"/>
        </w:rPr>
        <w:t xml:space="preserve">（招标编号及项目名称）</w:t>
      </w:r>
      <w:r>
        <w:rPr>
          <w:rFonts w:ascii="宋体" w:hAnsi="宋体" w:eastAsia="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本单位对上述声明的真实性负责。如有虚假，将依法承担相应责任。</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jc w:val="right"/>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：（单位盖章）</w:t>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rPr>
          <w:rFonts w:ascii="宋体" w:hAnsi="宋体" w:eastAsia="宋体" w:cs="宋体"/>
          <w:sz w:val="24"/>
          <w:highlight w:val="none"/>
        </w:rPr>
        <w:t xml:space="preserve">年月日</w:t>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rPr>
          <w:rFonts w:ascii="宋体" w:hAnsi="宋体" w:eastAsia="宋体" w:cs="宋体"/>
          <w:sz w:val="24"/>
          <w:highlight w:val="none"/>
        </w:rPr>
      </w:pPr>
      <w:r>
        <w:rPr>
          <w:rFonts w:hint="eastAsia" w:ascii="宋体" w:hAnsi="宋体" w:eastAsia="宋体" w:cs="宋体"/>
          <w:sz w:val="24"/>
          <w:highlight w:val="none"/>
        </w:rPr>
        <w:br w:type="page" w:clear="all"/>
      </w:r>
      <w:r/>
    </w:p>
    <w:p>
      <w:pPr>
        <w:jc w:val="center"/>
        <w:spacing w:line="85" w:lineRule="atLeast"/>
        <w:rPr>
          <w:rFonts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30"/>
          <w:highlight w:val="none"/>
        </w:rPr>
        <w:t xml:space="preserve">十</w:t>
      </w:r>
      <w:r>
        <w:rPr>
          <w:rFonts w:hint="eastAsia" w:ascii="宋体" w:hAnsi="宋体" w:eastAsia="宋体" w:cs="宋体"/>
          <w:b/>
          <w:bCs/>
          <w:sz w:val="30"/>
          <w:highlight w:val="none"/>
        </w:rPr>
        <w:t xml:space="preserve">四</w:t>
      </w:r>
      <w:r>
        <w:rPr>
          <w:rFonts w:ascii="宋体" w:hAnsi="宋体" w:eastAsia="宋体" w:cs="宋体"/>
          <w:b/>
          <w:bCs/>
          <w:sz w:val="30"/>
          <w:highlight w:val="none"/>
        </w:rPr>
        <w:t xml:space="preserve">、关于符合本国产品标准的声明函</w:t>
      </w:r>
      <w:r/>
    </w:p>
    <w:p>
      <w:pPr>
        <w:pStyle w:val="787"/>
        <w:ind w:firstLine="420"/>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78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w:t>
      </w:r>
      <w:r>
        <w:rPr>
          <w:rStyle w:val="795"/>
          <w:rFonts w:hint="eastAsia" w:ascii="宋体" w:hAnsi="宋体" w:eastAsia="宋体" w:cs="宋体"/>
          <w:i w:val="0"/>
          <w:szCs w:val="24"/>
          <w:highlight w:val="none"/>
          <w:u w:val="single"/>
          <w:shd w:val="clear" w:color="auto" w:fill="ffffff"/>
        </w:rPr>
        <w:t xml:space="preserve">（产品名称1）</w:t>
      </w:r>
      <w:r>
        <w:rPr>
          <w:rStyle w:val="795"/>
          <w:rFonts w:hint="eastAsia" w:ascii="宋体" w:hAnsi="宋体" w:eastAsia="宋体" w:cs="宋体"/>
          <w:i w:val="0"/>
          <w:szCs w:val="24"/>
          <w:highlight w:val="none"/>
          <w:shd w:val="clear" w:color="auto" w:fill="ffffff"/>
          <w:vertAlign w:val="superscript"/>
        </w:rPr>
        <w:t xml:space="preserve">1</w:t>
      </w:r>
      <w:r>
        <w:rPr>
          <w:rFonts w:hint="eastAsia" w:ascii="宋体" w:hAnsi="宋体" w:eastAsia="宋体" w:cs="宋体"/>
          <w:szCs w:val="24"/>
          <w:highlight w:val="none"/>
          <w:shd w:val="clear" w:color="auto" w:fill="ffffff"/>
        </w:rPr>
        <w:t xml:space="preserve">，生产厂为</w:t>
      </w:r>
      <w:r>
        <w:rPr>
          <w:rStyle w:val="795"/>
          <w:rFonts w:hint="eastAsia" w:ascii="宋体" w:hAnsi="宋体" w:eastAsia="宋体" w:cs="宋体"/>
          <w:i w:val="0"/>
          <w:szCs w:val="24"/>
          <w:highlight w:val="none"/>
          <w:u w:val="single"/>
          <w:shd w:val="clear" w:color="auto" w:fill="ffffff"/>
        </w:rPr>
        <w:t xml:space="preserve">（厂名）</w:t>
      </w:r>
      <w:r>
        <w:rPr>
          <w:rStyle w:val="795"/>
          <w:rFonts w:hint="eastAsia" w:ascii="宋体" w:hAnsi="宋体" w:eastAsia="宋体" w:cs="宋体"/>
          <w:i w:val="0"/>
          <w:szCs w:val="24"/>
          <w:highlight w:val="none"/>
          <w:shd w:val="clear" w:color="auto" w:fill="ffffff"/>
          <w:vertAlign w:val="superscript"/>
        </w:rPr>
        <w:t xml:space="preserve">2</w:t>
      </w:r>
      <w:r>
        <w:rPr>
          <w:rFonts w:hint="eastAsia" w:ascii="宋体" w:hAnsi="宋体" w:eastAsia="宋体" w:cs="宋体"/>
          <w:szCs w:val="24"/>
          <w:highlight w:val="none"/>
          <w:shd w:val="clear" w:color="auto" w:fill="ffffff"/>
        </w:rPr>
        <w:t xml:space="preserve">，厂址为</w:t>
      </w:r>
      <w:r>
        <w:rPr>
          <w:rStyle w:val="795"/>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95"/>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的中国境内生产的组件成本占比≥</w:t>
      </w:r>
      <w:r>
        <w:rPr>
          <w:rStyle w:val="795"/>
          <w:rFonts w:hint="eastAsia" w:ascii="宋体" w:hAnsi="宋体" w:eastAsia="宋体" w:cs="宋体"/>
          <w:i w:val="0"/>
          <w:szCs w:val="24"/>
          <w:highlight w:val="none"/>
          <w:u w:val="single"/>
          <w:shd w:val="clear" w:color="auto" w:fill="ffffff"/>
        </w:rPr>
        <w:t xml:space="preserve">（规定比例）</w:t>
      </w:r>
      <w:r>
        <w:rPr>
          <w:rStyle w:val="795"/>
          <w:rFonts w:hint="eastAsia" w:ascii="宋体" w:hAnsi="宋体" w:eastAsia="宋体" w:cs="宋体"/>
          <w:i w:val="0"/>
          <w:szCs w:val="24"/>
          <w:highlight w:val="none"/>
          <w:shd w:val="clear" w:color="auto" w:fill="ffffff"/>
          <w:vertAlign w:val="superscript"/>
        </w:rPr>
        <w:t xml:space="preserve">3</w:t>
      </w:r>
      <w:r>
        <w:rPr>
          <w:rFonts w:hint="eastAsia" w:ascii="宋体" w:hAnsi="宋体" w:eastAsia="宋体" w:cs="宋体"/>
          <w:szCs w:val="24"/>
          <w:highlight w:val="none"/>
          <w:shd w:val="clear" w:color="auto" w:fill="ffffff"/>
        </w:rPr>
        <w:t xml:space="preserve">。</w:t>
      </w:r>
      <w:r>
        <w:rPr>
          <w:rStyle w:val="795"/>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95"/>
          <w:rFonts w:hint="eastAsia" w:ascii="宋体" w:hAnsi="宋体" w:eastAsia="宋体" w:cs="宋体"/>
          <w:i w:val="0"/>
          <w:szCs w:val="24"/>
          <w:highlight w:val="none"/>
          <w:u w:val="single"/>
          <w:shd w:val="clear" w:color="auto" w:fill="ffffff"/>
        </w:rPr>
        <w:t xml:space="preserve">（关键组件）</w:t>
      </w:r>
      <w:r>
        <w:rPr>
          <w:rStyle w:val="795"/>
          <w:rFonts w:hint="eastAsia" w:ascii="宋体" w:hAnsi="宋体" w:eastAsia="宋体" w:cs="宋体"/>
          <w:i w:val="0"/>
          <w:szCs w:val="24"/>
          <w:highlight w:val="none"/>
          <w:shd w:val="clear" w:color="auto" w:fill="ffffff"/>
          <w:vertAlign w:val="superscript"/>
        </w:rPr>
        <w:t xml:space="preserve">4</w:t>
      </w:r>
      <w:r>
        <w:rPr>
          <w:rFonts w:hint="eastAsia" w:ascii="宋体" w:hAnsi="宋体" w:eastAsia="宋体" w:cs="宋体"/>
          <w:szCs w:val="24"/>
          <w:highlight w:val="none"/>
          <w:shd w:val="clear" w:color="auto" w:fill="ffffff"/>
        </w:rPr>
        <w:t xml:space="preserve">在中国境内生产。</w:t>
      </w:r>
      <w:r>
        <w:rPr>
          <w:rStyle w:val="795"/>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95"/>
          <w:rFonts w:hint="eastAsia" w:ascii="宋体" w:hAnsi="宋体" w:eastAsia="宋体" w:cs="宋体"/>
          <w:i w:val="0"/>
          <w:szCs w:val="24"/>
          <w:highlight w:val="none"/>
          <w:u w:val="single"/>
          <w:shd w:val="clear" w:color="auto" w:fill="ffffff"/>
        </w:rPr>
        <w:t xml:space="preserve">（关键工序）</w:t>
      </w:r>
      <w:r>
        <w:rPr>
          <w:rStyle w:val="795"/>
          <w:rFonts w:hint="eastAsia" w:ascii="宋体" w:hAnsi="宋体" w:eastAsia="宋体" w:cs="宋体"/>
          <w:i w:val="0"/>
          <w:szCs w:val="24"/>
          <w:highlight w:val="none"/>
          <w:shd w:val="clear" w:color="auto" w:fill="ffffff"/>
          <w:vertAlign w:val="superscript"/>
        </w:rPr>
        <w:t xml:space="preserve">5</w:t>
      </w:r>
      <w:r>
        <w:rPr>
          <w:rFonts w:hint="eastAsia" w:ascii="宋体" w:hAnsi="宋体" w:eastAsia="宋体" w:cs="宋体"/>
          <w:szCs w:val="24"/>
          <w:highlight w:val="none"/>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w:t>
      </w:r>
      <w:r>
        <w:rPr>
          <w:rStyle w:val="79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，生产厂为</w:t>
      </w:r>
      <w:r>
        <w:rPr>
          <w:rStyle w:val="795"/>
          <w:rFonts w:hint="eastAsia" w:ascii="宋体" w:hAnsi="宋体" w:eastAsia="宋体" w:cs="宋体"/>
          <w:i w:val="0"/>
          <w:szCs w:val="24"/>
          <w:highlight w:val="none"/>
          <w:u w:val="single"/>
          <w:shd w:val="clear" w:color="auto" w:fill="ffffff"/>
        </w:rPr>
        <w:t xml:space="preserve">（厂名）</w:t>
      </w:r>
      <w:r>
        <w:rPr>
          <w:rFonts w:hint="eastAsia" w:ascii="宋体" w:hAnsi="宋体" w:eastAsia="宋体" w:cs="宋体"/>
          <w:szCs w:val="24"/>
          <w:highlight w:val="none"/>
          <w:shd w:val="clear" w:color="auto" w:fill="ffffff"/>
        </w:rPr>
        <w:t xml:space="preserve">，厂址为</w:t>
      </w:r>
      <w:r>
        <w:rPr>
          <w:rStyle w:val="795"/>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9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的中国境内生产的组件成本占比≥</w:t>
      </w:r>
      <w:r>
        <w:rPr>
          <w:rStyle w:val="795"/>
          <w:rFonts w:hint="eastAsia" w:ascii="宋体" w:hAnsi="宋体" w:eastAsia="宋体" w:cs="宋体"/>
          <w:i w:val="0"/>
          <w:szCs w:val="24"/>
          <w:highlight w:val="none"/>
          <w:u w:val="single"/>
          <w:shd w:val="clear" w:color="auto" w:fill="ffffff"/>
        </w:rPr>
        <w:t xml:space="preserve">（规定比例）</w:t>
      </w:r>
      <w:r>
        <w:rPr>
          <w:rFonts w:hint="eastAsia" w:ascii="宋体" w:hAnsi="宋体" w:eastAsia="宋体" w:cs="宋体"/>
          <w:szCs w:val="24"/>
          <w:highlight w:val="none"/>
          <w:shd w:val="clear" w:color="auto" w:fill="ffffff"/>
        </w:rPr>
        <w:t xml:space="preserve">。</w:t>
      </w:r>
      <w:r>
        <w:rPr>
          <w:rStyle w:val="79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95"/>
          <w:rFonts w:hint="eastAsia" w:ascii="宋体" w:hAnsi="宋体" w:eastAsia="宋体" w:cs="宋体"/>
          <w:i w:val="0"/>
          <w:szCs w:val="24"/>
          <w:highlight w:val="none"/>
          <w:u w:val="single"/>
          <w:shd w:val="clear" w:color="auto" w:fill="ffffff"/>
        </w:rPr>
        <w:t xml:space="preserve">（关键组件）</w:t>
      </w:r>
      <w:r>
        <w:rPr>
          <w:rFonts w:hint="eastAsia" w:ascii="宋体" w:hAnsi="宋体" w:eastAsia="宋体" w:cs="宋体"/>
          <w:szCs w:val="24"/>
          <w:highlight w:val="none"/>
          <w:shd w:val="clear" w:color="auto" w:fill="ffffff"/>
        </w:rPr>
        <w:t xml:space="preserve">在中国境内生产。</w:t>
      </w:r>
      <w:r>
        <w:rPr>
          <w:rStyle w:val="79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95"/>
          <w:rFonts w:hint="eastAsia" w:ascii="宋体" w:hAnsi="宋体" w:eastAsia="宋体" w:cs="宋体"/>
          <w:i w:val="0"/>
          <w:szCs w:val="24"/>
          <w:highlight w:val="none"/>
          <w:u w:val="single"/>
          <w:shd w:val="clear" w:color="auto" w:fill="ffffff"/>
        </w:rPr>
        <w:t xml:space="preserve">（关键工序）</w:t>
      </w:r>
      <w:r>
        <w:rPr>
          <w:rFonts w:hint="eastAsia" w:ascii="宋体" w:hAnsi="宋体" w:eastAsia="宋体" w:cs="宋体"/>
          <w:szCs w:val="24"/>
          <w:highlight w:val="none"/>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w:t>
      </w:r>
      <w:r/>
    </w:p>
    <w:p>
      <w:pPr>
        <w:pStyle w:val="78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本公司（单位）对上述声明内容的真实性负责。如有虚假，愿承担相应法律责任。</w:t>
      </w:r>
      <w:r/>
    </w:p>
    <w:p>
      <w:pPr>
        <w:pStyle w:val="787"/>
        <w:spacing w:before="20" w:beforeAutospacing="0" w:after="20" w:afterAutospacing="0" w:line="360" w:lineRule="auto"/>
        <w:rPr>
          <w:rFonts w:ascii="宋体" w:hAnsi="宋体" w:eastAsia="宋体" w:cs="宋体"/>
          <w:szCs w:val="24"/>
          <w:highlight w:val="none"/>
        </w:rPr>
      </w:pPr>
      <w:r>
        <w:rPr>
          <w:rFonts w:ascii="宋体" w:hAnsi="宋体" w:eastAsia="宋体" w:cs="宋体"/>
          <w:szCs w:val="24"/>
          <w:highlight w:val="none"/>
        </w:rPr>
      </w:r>
      <w:r/>
    </w:p>
    <w:p>
      <w:pPr>
        <w:pStyle w:val="787"/>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公司（单位）名称（盖章）：</w:t>
      </w:r>
      <w:r/>
    </w:p>
    <w:p>
      <w:pPr>
        <w:pStyle w:val="787"/>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日期：　年　月　日</w:t>
      </w:r>
      <w:r/>
    </w:p>
    <w:p>
      <w:pPr>
        <w:pStyle w:val="787"/>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78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1.产品如有型号，请在“产品名称”栏一并填写。</w:t>
      </w:r>
      <w:r/>
    </w:p>
    <w:p>
      <w:pPr>
        <w:pStyle w:val="78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2.生产厂名与厂址应与生产厂营业执照载明的相关信息保持一致。</w:t>
      </w:r>
      <w:r/>
    </w:p>
    <w:p>
      <w:pPr>
        <w:pStyle w:val="78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3.该产品的中国境内生产的组件成本占比相关要求实施前，“规定比例”栏可不填，下同。</w:t>
      </w:r>
      <w:r/>
    </w:p>
    <w:p>
      <w:pPr>
        <w:pStyle w:val="787"/>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4.该产品的关键组件要求实施前，“关键组件”栏可不填，下同。</w:t>
      </w:r>
      <w:r/>
    </w:p>
    <w:p>
      <w:pPr>
        <w:pStyle w:val="787"/>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5.该产品的关键工序要求实施前，“关键工序”栏可不填，下同。</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20"/>
        <w:jc w:val="both"/>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highlight w:val="none"/>
        </w:rPr>
        <w:t xml:space="preserve">第四章 采购内容</w:t>
      </w:r>
      <w:bookmarkEnd w:id="3"/>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ascii="宋体" w:hAnsi="宋体" w:eastAsia="宋体" w:cs="宋体"/>
          <w:sz w:val="24"/>
          <w:highlight w:val="none"/>
        </w:rPr>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t xml:space="preserve">受</w:t>
      </w:r>
      <w:r>
        <w:rPr>
          <w:rFonts w:hint="eastAsia" w:ascii="宋体" w:hAnsi="宋体" w:eastAsia="宋体" w:cs="宋体"/>
          <w:b/>
          <w:bCs/>
          <w:sz w:val="24"/>
          <w:highlight w:val="none"/>
          <w:u w:val="single"/>
        </w:rPr>
        <w:t xml:space="preserve">苏州大学</w:t>
      </w:r>
      <w:r>
        <w:rPr>
          <w:rFonts w:ascii="宋体" w:hAnsi="宋体" w:eastAsia="宋体" w:cs="宋体"/>
          <w:b/>
          <w:bCs/>
          <w:sz w:val="24"/>
          <w:highlight w:val="none"/>
        </w:rPr>
        <w:t xml:space="preserve">的委托，</w:t>
      </w:r>
      <w:r>
        <w:rPr>
          <w:rFonts w:hint="eastAsia" w:ascii="宋体" w:hAnsi="宋体" w:eastAsia="宋体" w:cs="宋体"/>
          <w:b/>
          <w:bCs/>
          <w:sz w:val="24"/>
          <w:highlight w:val="none"/>
        </w:rPr>
        <w:t xml:space="preserve">江苏海外集团国际工程咨询有限公司</w:t>
      </w:r>
      <w:r>
        <w:rPr>
          <w:rFonts w:ascii="宋体" w:hAnsi="宋体" w:eastAsia="宋体" w:cs="宋体"/>
          <w:b/>
          <w:bCs/>
          <w:sz w:val="24"/>
          <w:highlight w:val="none"/>
        </w:rPr>
        <w:t xml:space="preserve">作为</w:t>
      </w:r>
      <w:r>
        <w:rPr>
          <w:rFonts w:hint="eastAsia" w:ascii="宋体" w:hAnsi="宋体" w:eastAsia="宋体" w:cs="宋体"/>
          <w:b/>
          <w:bCs/>
          <w:sz w:val="24"/>
          <w:highlight w:val="none"/>
        </w:rPr>
        <w:t xml:space="preserve">采购</w:t>
      </w:r>
      <w:r>
        <w:rPr>
          <w:rFonts w:hint="eastAsia" w:ascii="宋体" w:hAnsi="宋体" w:eastAsia="宋体" w:cs="宋体"/>
          <w:b/>
          <w:bCs/>
          <w:sz w:val="24"/>
          <w:szCs w:val="24"/>
          <w:highlight w:val="none"/>
        </w:rPr>
        <w:t xml:space="preserve">代理机构，就其</w:t>
      </w:r>
      <w:r>
        <w:rPr>
          <w:rFonts w:hint="eastAsia" w:ascii="宋体" w:hAnsi="宋体" w:eastAsia="宋体" w:cs="宋体"/>
          <w:b/>
          <w:bCs/>
          <w:sz w:val="24"/>
          <w:szCs w:val="24"/>
          <w:highlight w:val="none"/>
          <w:u w:val="single"/>
        </w:rPr>
        <w:t xml:space="preserve">苏州大学天赐庄校区东区南门空地改造为跆拳道气膜馆</w:t>
      </w:r>
      <w:r>
        <w:rPr>
          <w:rFonts w:hint="eastAsia" w:ascii="宋体" w:hAnsi="宋体" w:eastAsia="宋体" w:cs="宋体"/>
          <w:b/>
          <w:bCs/>
          <w:sz w:val="24"/>
          <w:szCs w:val="24"/>
          <w:highlight w:val="none"/>
        </w:rPr>
        <w:t xml:space="preserve">进行国内公开招标。</w:t>
      </w:r>
      <w:r/>
    </w:p>
    <w:p>
      <w:pPr>
        <w:ind w:firstLine="482"/>
        <w:spacing w:line="360" w:lineRule="auto"/>
        <w:rPr>
          <w:rFonts w:hint="eastAsia" w:ascii="宋体" w:hAnsi="宋体" w:eastAsia="宋体" w:cs="宋体"/>
          <w:bCs/>
          <w:sz w:val="24"/>
          <w:szCs w:val="24"/>
          <w:highlight w:val="none"/>
          <w:lang w:eastAsia="zh-CN"/>
        </w:rPr>
      </w:pPr>
      <w:r>
        <w:rPr>
          <w:rFonts w:hint="eastAsia" w:ascii="宋体" w:hAnsi="宋体" w:eastAsia="宋体" w:cs="宋体"/>
          <w:b/>
          <w:sz w:val="24"/>
          <w:szCs w:val="24"/>
          <w:highlight w:val="none"/>
        </w:rPr>
        <w:t xml:space="preserve">一、招标编号：</w:t>
      </w:r>
      <w:r>
        <w:rPr>
          <w:rFonts w:hint="eastAsia" w:ascii="宋体" w:hAnsi="宋体" w:eastAsia="宋体" w:cs="宋体"/>
          <w:bCs/>
          <w:sz w:val="24"/>
          <w:szCs w:val="24"/>
          <w:highlight w:val="none"/>
          <w:lang w:eastAsia="zh-CN"/>
        </w:rPr>
        <w:t xml:space="preserve">JSZC-320500-HWZX-G2026-0674</w:t>
      </w:r>
      <w:r/>
    </w:p>
    <w:p>
      <w:pPr>
        <w:ind w:firstLine="482"/>
        <w:spacing w:line="360" w:lineRule="auto"/>
        <w:rPr>
          <w:rFonts w:ascii="宋体" w:hAnsi="宋体" w:eastAsia="宋体" w:cs="宋体"/>
          <w:bCs/>
          <w:sz w:val="24"/>
          <w:szCs w:val="24"/>
          <w:highlight w:val="none"/>
        </w:rPr>
      </w:pPr>
      <w:r>
        <w:rPr>
          <w:rFonts w:hint="eastAsia" w:ascii="宋体" w:hAnsi="宋体" w:eastAsia="宋体" w:cs="宋体"/>
          <w:b/>
          <w:sz w:val="24"/>
          <w:szCs w:val="24"/>
          <w:highlight w:val="none"/>
        </w:rPr>
        <w:t xml:space="preserve">二、招标内容：</w:t>
      </w:r>
      <w:r>
        <w:rPr>
          <w:rFonts w:hint="eastAsia" w:ascii="宋体" w:hAnsi="宋体" w:eastAsia="宋体" w:cs="宋体"/>
          <w:bCs/>
          <w:sz w:val="24"/>
          <w:szCs w:val="24"/>
          <w:highlight w:val="none"/>
        </w:rPr>
        <w:t xml:space="preserve">苏州大学天赐庄校区东区南门空地改造为跆拳道气膜馆</w:t>
      </w:r>
      <w:r/>
    </w:p>
    <w:p>
      <w:pPr>
        <w:ind w:firstLine="482"/>
        <w:spacing w:line="360" w:lineRule="auto"/>
        <w:rPr>
          <w:rFonts w:ascii="宋体" w:hAnsi="宋体" w:eastAsia="宋体" w:cs="宋体"/>
          <w:bCs/>
          <w:sz w:val="24"/>
          <w:szCs w:val="24"/>
          <w:highlight w:val="none"/>
        </w:rPr>
      </w:pPr>
      <w:r>
        <w:rPr>
          <w:rFonts w:hint="eastAsia" w:ascii="宋体" w:hAnsi="宋体" w:eastAsia="宋体" w:cs="宋体"/>
          <w:b/>
          <w:sz w:val="24"/>
          <w:szCs w:val="24"/>
          <w:highlight w:val="none"/>
        </w:rPr>
        <w:t xml:space="preserve">三、预算金额：</w:t>
      </w:r>
      <w:r>
        <w:rPr>
          <w:rFonts w:hint="eastAsia" w:ascii="宋体" w:hAnsi="宋体" w:eastAsia="宋体" w:cs="宋体"/>
          <w:sz w:val="24"/>
          <w:szCs w:val="24"/>
          <w:highlight w:val="none"/>
        </w:rPr>
        <w:t xml:space="preserve">174.9万元；最高限价：174.9万元</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四、采购内容</w:t>
      </w:r>
      <w:r/>
    </w:p>
    <w:tbl>
      <w:tblPr>
        <w:tblStyle w:val="762"/>
        <w:tblW w:w="49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258"/>
        <w:gridCol w:w="4613"/>
        <w:gridCol w:w="1130"/>
        <w:gridCol w:w="1510"/>
      </w:tblGrid>
      <w:tr>
        <w:trPr>
          <w:trHeight w:val="480"/>
        </w:trPr>
        <w:tc>
          <w:tcPr>
            <w:shd w:val="clear" w:color="auto" w:fill="auto"/>
            <w:tcW w:w="375" w:type="pct"/>
            <w:vAlign w:val="center"/>
            <w:textDirection w:val="lrTb"/>
            <w:noWrap/>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序号</w:t>
            </w:r>
            <w:r/>
          </w:p>
        </w:tc>
        <w:tc>
          <w:tcPr>
            <w:shd w:val="clear" w:color="auto" w:fill="auto"/>
            <w:tcW w:w="683" w:type="pct"/>
            <w:vAlign w:val="center"/>
            <w:textDirection w:val="lrTb"/>
            <w:noWrap/>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设备名称</w:t>
            </w:r>
            <w:r/>
          </w:p>
        </w:tc>
        <w:tc>
          <w:tcPr>
            <w:shd w:val="clear" w:color="auto" w:fill="auto"/>
            <w:tcW w:w="2506" w:type="pct"/>
            <w:vAlign w:val="center"/>
            <w:textDirection w:val="lrTb"/>
            <w:noWrap/>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技术规格</w:t>
            </w:r>
            <w:r/>
          </w:p>
        </w:tc>
        <w:tc>
          <w:tcPr>
            <w:shd w:val="clear" w:color="auto" w:fill="auto"/>
            <w:tcW w:w="613" w:type="pct"/>
            <w:vAlign w:val="center"/>
            <w:textDirection w:val="lrTb"/>
            <w:noWrap/>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单位</w:t>
            </w:r>
            <w:r/>
          </w:p>
        </w:tc>
        <w:tc>
          <w:tcPr>
            <w:shd w:val="clear" w:color="auto" w:fill="auto"/>
            <w:tcW w:w="820" w:type="pct"/>
            <w:vAlign w:val="center"/>
            <w:textDirection w:val="lrTb"/>
            <w:noWrap/>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数量</w:t>
            </w:r>
            <w:r/>
          </w:p>
        </w:tc>
      </w:tr>
      <w:tr>
        <w:trPr>
          <w:trHeight w:val="3135"/>
        </w:trPr>
        <w:tc>
          <w:tcPr>
            <w:shd w:val="clear" w:color="auto" w:fill="auto"/>
            <w:tcW w:w="375"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shd w:val="clear" w:color="auto" w:fill="auto"/>
            <w:tcW w:w="683"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气膜主体</w:t>
            </w:r>
            <w:r/>
          </w:p>
        </w:tc>
        <w:tc>
          <w:tcPr>
            <w:shd w:val="clear" w:color="auto" w:fill="auto"/>
            <w:tcW w:w="2506" w:type="pct"/>
            <w:vAlign w:val="center"/>
            <w:textDirection w:val="lrTb"/>
            <w:noWrap w:val="false"/>
          </w:tcPr>
          <w:p>
            <w:pPr>
              <w:rPr>
                <w:rFonts w:ascii="宋体" w:hAnsi="宋体" w:eastAsia="宋体" w:cs="宋体"/>
                <w:color w:val="000000"/>
                <w:sz w:val="24"/>
                <w:szCs w:val="24"/>
                <w:highlight w:val="none"/>
              </w:rPr>
            </w:pPr>
            <w:r>
              <w:rPr>
                <w:rStyle w:val="963"/>
                <w:rFonts w:hint="default" w:ascii="宋体" w:hAnsi="宋体" w:eastAsia="宋体" w:cs="宋体"/>
                <w:sz w:val="24"/>
                <w:szCs w:val="24"/>
                <w:highlight w:val="none"/>
                <w:lang w:bidi="ar"/>
              </w:rPr>
              <w:t xml:space="preserve">★1、外膜采用灰色聚脂纤维膜材，表面PVDF涂层处理，具有抗老化、耐腐蚀能力，厚度约1mm，重量不低于1250g</w:t>
            </w:r>
            <w:r>
              <w:rPr>
                <w:rStyle w:val="963"/>
                <w:rFonts w:hint="eastAsia" w:ascii="宋体" w:hAnsi="宋体" w:eastAsia="宋体" w:cs="宋体"/>
                <w:sz w:val="24"/>
                <w:szCs w:val="24"/>
                <w:highlight w:val="none"/>
                <w:lang w:val="en-US" w:eastAsia="zh-CN" w:bidi="ar"/>
              </w:rPr>
              <w:t xml:space="preserve">/</w:t>
            </w:r>
            <w:r>
              <w:rPr>
                <w:rStyle w:val="963"/>
                <w:rFonts w:hint="default" w:ascii="宋体" w:hAnsi="宋体" w:eastAsia="宋体" w:cs="宋体"/>
                <w:sz w:val="24"/>
                <w:szCs w:val="24"/>
                <w:highlight w:val="none"/>
                <w:lang w:bidi="ar"/>
              </w:rPr>
              <w:t xml:space="preserve">㎡，双向抗拉强度不低于6000N/5cm，外膜燃烧性能B1级，须提供国家认可的检测机构出具的有效检测报告；</w:t>
            </w:r>
            <w:r>
              <w:rPr>
                <w:rStyle w:val="963"/>
                <w:rFonts w:hint="default" w:ascii="宋体" w:hAnsi="宋体" w:eastAsia="宋体" w:cs="宋体"/>
                <w:sz w:val="24"/>
                <w:szCs w:val="24"/>
                <w:highlight w:val="none"/>
                <w:lang w:bidi="ar"/>
              </w:rPr>
              <w:br/>
            </w:r>
            <w:r>
              <w:rPr>
                <w:rStyle w:val="963"/>
                <w:rFonts w:hint="default" w:ascii="宋体" w:hAnsi="宋体" w:eastAsia="宋体" w:cs="宋体"/>
                <w:sz w:val="24"/>
                <w:szCs w:val="24"/>
                <w:highlight w:val="none"/>
                <w:lang w:bidi="ar"/>
              </w:rPr>
              <w:t xml:space="preserve">2、内膜采用灰色聚脂纤维网格膜材，重量不低于250g/㎡，双向抗拉强度不低于1500N/5cm；</w:t>
            </w:r>
            <w:r>
              <w:rPr>
                <w:rStyle w:val="963"/>
                <w:rFonts w:hint="default" w:ascii="宋体" w:hAnsi="宋体" w:eastAsia="宋体" w:cs="宋体"/>
                <w:sz w:val="24"/>
                <w:szCs w:val="24"/>
                <w:highlight w:val="none"/>
                <w:lang w:bidi="ar"/>
              </w:rPr>
              <w:br/>
            </w:r>
            <w:r>
              <w:rPr>
                <w:rStyle w:val="963"/>
                <w:rFonts w:hint="default" w:ascii="宋体" w:hAnsi="宋体" w:eastAsia="宋体" w:cs="宋体"/>
                <w:sz w:val="24"/>
                <w:szCs w:val="24"/>
                <w:highlight w:val="none"/>
                <w:lang w:bidi="ar"/>
              </w:rPr>
              <w:t xml:space="preserve">3、保温棉采用≥75mm厚离心玻璃棉毡，容重≥12kg/m³，双面无纺布贴面，含加强带，保温棉燃烧性能A级；</w:t>
            </w:r>
            <w:r>
              <w:rPr>
                <w:rStyle w:val="963"/>
                <w:rFonts w:hint="default" w:ascii="宋体" w:hAnsi="宋体" w:eastAsia="宋体" w:cs="宋体"/>
                <w:sz w:val="24"/>
                <w:szCs w:val="24"/>
                <w:highlight w:val="none"/>
                <w:lang w:bidi="ar"/>
              </w:rPr>
              <w:br/>
            </w:r>
            <w:r>
              <w:rPr>
                <w:rStyle w:val="963"/>
                <w:rFonts w:hint="default" w:ascii="宋体" w:hAnsi="宋体" w:eastAsia="宋体" w:cs="宋体"/>
                <w:sz w:val="24"/>
                <w:szCs w:val="24"/>
                <w:highlight w:val="none"/>
                <w:lang w:bidi="ar"/>
              </w:rPr>
              <w:t xml:space="preserve">▲4、广告贴采用四色UV印，覆亚光膜，纸张3m1120灰胶车贴；</w:t>
            </w:r>
            <w:r>
              <w:rPr>
                <w:rStyle w:val="963"/>
                <w:rFonts w:hint="default" w:ascii="宋体" w:hAnsi="宋体" w:eastAsia="宋体" w:cs="宋体"/>
                <w:sz w:val="24"/>
                <w:szCs w:val="24"/>
                <w:highlight w:val="none"/>
                <w:lang w:bidi="ar"/>
              </w:rPr>
              <w:br/>
            </w:r>
            <w:r>
              <w:rPr>
                <w:rStyle w:val="963"/>
                <w:rFonts w:hint="default" w:ascii="宋体" w:hAnsi="宋体" w:eastAsia="宋体" w:cs="宋体"/>
                <w:sz w:val="24"/>
                <w:szCs w:val="24"/>
                <w:highlight w:val="none"/>
                <w:lang w:bidi="ar"/>
              </w:rPr>
              <w:t xml:space="preserve">★5、外膜依据GB18401-2010（C类）检测甲醛、无异味、PH值均为合格，须提供带CMA标识的有效检测报告。</w:t>
            </w:r>
            <w:r>
              <w:rPr>
                <w:rStyle w:val="964"/>
                <w:rFonts w:hint="default" w:ascii="宋体" w:hAnsi="宋体" w:eastAsia="宋体" w:cs="宋体"/>
                <w:sz w:val="24"/>
                <w:szCs w:val="24"/>
                <w:highlight w:val="none"/>
                <w:lang w:bidi="ar"/>
              </w:rPr>
              <w:t xml:space="preserve">                </w:t>
            </w:r>
            <w:r/>
          </w:p>
        </w:tc>
        <w:tc>
          <w:tcPr>
            <w:shd w:val="clear" w:color="auto" w:fill="auto"/>
            <w:tcW w:w="613"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平方米</w:t>
            </w:r>
            <w:r/>
          </w:p>
        </w:tc>
        <w:tc>
          <w:tcPr>
            <w:shd w:val="clear" w:color="auto" w:fill="auto"/>
            <w:tcW w:w="82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2237.5 </w:t>
            </w:r>
            <w:r/>
          </w:p>
        </w:tc>
      </w:tr>
      <w:tr>
        <w:trPr>
          <w:trHeight w:val="285"/>
        </w:trPr>
        <w:tc>
          <w:tcPr>
            <w:shd w:val="clear" w:color="auto" w:fill="auto"/>
            <w:tcW w:w="375"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shd w:val="clear" w:color="auto" w:fill="auto"/>
            <w:tcW w:w="683"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基础锚固件</w:t>
            </w:r>
            <w:r/>
          </w:p>
        </w:tc>
        <w:tc>
          <w:tcPr>
            <w:shd w:val="clear" w:color="auto" w:fill="auto"/>
            <w:tcW w:w="2506"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阳极氧化挤压铝槽，内宽45mm，高120mm，壁厚2mm，配防腐木。</w:t>
            </w:r>
            <w:r/>
          </w:p>
        </w:tc>
        <w:tc>
          <w:tcPr>
            <w:shd w:val="clear" w:color="auto" w:fill="auto"/>
            <w:tcW w:w="613"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米</w:t>
            </w:r>
            <w:r/>
          </w:p>
        </w:tc>
        <w:tc>
          <w:tcPr>
            <w:shd w:val="clear" w:color="auto" w:fill="auto"/>
            <w:tcW w:w="82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185 </w:t>
            </w:r>
            <w:r/>
          </w:p>
        </w:tc>
      </w:tr>
      <w:tr>
        <w:trPr>
          <w:trHeight w:val="770"/>
        </w:trPr>
        <w:tc>
          <w:tcPr>
            <w:shd w:val="clear" w:color="auto" w:fill="auto"/>
            <w:tcW w:w="375"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shd w:val="clear" w:color="auto" w:fill="auto"/>
            <w:tcW w:w="683"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机械单元成套设备</w:t>
            </w:r>
            <w:r/>
          </w:p>
        </w:tc>
        <w:tc>
          <w:tcPr>
            <w:shd w:val="clear" w:color="auto" w:fill="auto"/>
            <w:tcW w:w="2506"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1、主风机风量25000m</w:t>
            </w:r>
            <w:r>
              <w:rPr>
                <w:rFonts w:hint="eastAsia" w:ascii="宋体" w:hAnsi="宋体" w:eastAsia="宋体" w:cs="宋体"/>
                <w:color w:val="000000"/>
                <w:sz w:val="24"/>
                <w:szCs w:val="24"/>
                <w:highlight w:val="none"/>
                <w:vertAlign w:val="superscript"/>
                <w:lang w:bidi="ar"/>
              </w:rPr>
              <w:t xml:space="preserve">3</w:t>
            </w:r>
            <w:r>
              <w:rPr>
                <w:rFonts w:hint="eastAsia" w:ascii="宋体" w:hAnsi="宋体" w:eastAsia="宋体" w:cs="宋体"/>
                <w:color w:val="000000"/>
                <w:sz w:val="24"/>
                <w:szCs w:val="24"/>
                <w:highlight w:val="none"/>
                <w:lang w:bidi="ar"/>
              </w:rPr>
              <w:t xml:space="preserve">/h,功率15kW；</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2、备用风机风量10000m</w:t>
            </w:r>
            <w:r>
              <w:rPr>
                <w:rFonts w:hint="eastAsia" w:ascii="宋体" w:hAnsi="宋体" w:eastAsia="宋体" w:cs="宋体"/>
                <w:color w:val="000000"/>
                <w:sz w:val="24"/>
                <w:szCs w:val="24"/>
                <w:highlight w:val="none"/>
                <w:vertAlign w:val="superscript"/>
                <w:lang w:bidi="ar"/>
              </w:rPr>
              <w:t xml:space="preserve">3</w:t>
            </w:r>
            <w:r>
              <w:rPr>
                <w:rFonts w:hint="eastAsia" w:ascii="宋体" w:hAnsi="宋体" w:eastAsia="宋体" w:cs="宋体"/>
                <w:color w:val="000000"/>
                <w:sz w:val="24"/>
                <w:szCs w:val="24"/>
                <w:highlight w:val="none"/>
                <w:lang w:bidi="ar"/>
              </w:rPr>
              <w:t xml:space="preserve">/h,功率5.5kW；</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3、箱体保温≥50mm厚聚氨酯发泡板，含相应管路及阀门、仪表、控制系统、监控系统等；</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▲4、组合式空调机组保持正压段700Pa、负压段-400Pa时，机组漏风率不大于2%，须提供第三方检测机构出具的检测报告；</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5、订制的机械系统，可集成新风、调压、温控、监测、安全管理等功能单元，多级安全机制。</w:t>
            </w:r>
            <w:r/>
          </w:p>
        </w:tc>
        <w:tc>
          <w:tcPr>
            <w:shd w:val="clear" w:color="auto" w:fill="auto"/>
            <w:tcW w:w="613"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shd w:val="clear" w:color="auto" w:fill="auto"/>
            <w:tcW w:w="82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trHeight w:val="1140"/>
        </w:trPr>
        <w:tc>
          <w:tcPr>
            <w:shd w:val="clear" w:color="auto" w:fill="auto"/>
            <w:tcW w:w="375"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shd w:val="clear" w:color="auto" w:fill="auto"/>
            <w:tcW w:w="683"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室外配电及照明控制柜</w:t>
            </w:r>
            <w:r/>
          </w:p>
        </w:tc>
        <w:tc>
          <w:tcPr>
            <w:shd w:val="clear" w:color="auto" w:fill="auto"/>
            <w:tcW w:w="2506" w:type="pct"/>
            <w:vAlign w:val="center"/>
            <w:textDirection w:val="lrTb"/>
            <w:noWrap w:val="false"/>
          </w:tcPr>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室外落地安装，含箱内元器件、仪表、箱体接地等</w:t>
            </w:r>
            <w:r>
              <w:rPr>
                <w:rFonts w:hint="eastAsia" w:ascii="宋体" w:hAnsi="宋体" w:eastAsia="宋体" w:cs="宋体"/>
                <w:color w:val="000000"/>
                <w:sz w:val="24"/>
                <w:szCs w:val="24"/>
                <w:highlight w:val="none"/>
                <w:lang w:eastAsia="zh-CN" w:bidi="ar"/>
              </w:rPr>
              <w:t xml:space="preserve">。</w:t>
            </w:r>
            <w:r/>
          </w:p>
        </w:tc>
        <w:tc>
          <w:tcPr>
            <w:shd w:val="clear" w:color="auto" w:fill="auto"/>
            <w:tcW w:w="613"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面</w:t>
            </w:r>
            <w:r/>
          </w:p>
        </w:tc>
        <w:tc>
          <w:tcPr>
            <w:shd w:val="clear" w:color="auto" w:fill="auto"/>
            <w:tcW w:w="82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 </w:t>
            </w:r>
            <w:r/>
          </w:p>
        </w:tc>
      </w:tr>
      <w:tr>
        <w:trPr>
          <w:trHeight w:val="1140"/>
        </w:trPr>
        <w:tc>
          <w:tcPr>
            <w:shd w:val="clear" w:color="auto" w:fill="auto"/>
            <w:tcW w:w="375"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p>
        </w:tc>
        <w:tc>
          <w:tcPr>
            <w:shd w:val="clear" w:color="auto" w:fill="auto"/>
            <w:tcW w:w="683"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机械单元控制柜</w:t>
            </w:r>
            <w:r/>
          </w:p>
        </w:tc>
        <w:tc>
          <w:tcPr>
            <w:shd w:val="clear" w:color="auto" w:fill="auto"/>
            <w:tcW w:w="2506"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机械单元箱体内安装，含ATS、双变频器、电气元器件、仪表等</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br/>
            </w:r>
            <w:r/>
          </w:p>
        </w:tc>
        <w:tc>
          <w:tcPr>
            <w:shd w:val="clear" w:color="auto" w:fill="auto"/>
            <w:tcW w:w="613"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面</w:t>
            </w:r>
            <w:r/>
          </w:p>
        </w:tc>
        <w:tc>
          <w:tcPr>
            <w:shd w:val="clear" w:color="auto" w:fill="auto"/>
            <w:tcW w:w="82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trHeight w:val="1140"/>
        </w:trPr>
        <w:tc>
          <w:tcPr>
            <w:shd w:val="clear" w:color="auto" w:fill="auto"/>
            <w:tcW w:w="375"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p>
        </w:tc>
        <w:tc>
          <w:tcPr>
            <w:shd w:val="clear" w:color="auto" w:fill="auto"/>
            <w:tcW w:w="683"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传感器柜</w:t>
            </w:r>
            <w:r/>
          </w:p>
        </w:tc>
        <w:tc>
          <w:tcPr>
            <w:shd w:val="clear" w:color="auto" w:fill="auto"/>
            <w:tcW w:w="2506"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室内落地安装，含温湿度、CO</w:t>
            </w:r>
            <w:r>
              <w:rPr>
                <w:rFonts w:hint="eastAsia" w:ascii="宋体" w:hAnsi="宋体" w:eastAsia="宋体" w:cs="宋体"/>
                <w:color w:val="000000"/>
                <w:sz w:val="24"/>
                <w:szCs w:val="24"/>
                <w:highlight w:val="none"/>
                <w:vertAlign w:val="subscript"/>
                <w:lang w:bidi="ar"/>
              </w:rPr>
              <w:t xml:space="preserve">2</w:t>
            </w:r>
            <w:r>
              <w:rPr>
                <w:rFonts w:hint="eastAsia" w:ascii="宋体" w:hAnsi="宋体" w:eastAsia="宋体" w:cs="宋体"/>
                <w:color w:val="000000"/>
                <w:sz w:val="24"/>
                <w:szCs w:val="24"/>
                <w:highlight w:val="none"/>
                <w:lang w:bidi="ar"/>
              </w:rPr>
              <w:t xml:space="preserve">传感器各1个及室内外压差检测管。</w:t>
            </w:r>
            <w:r/>
          </w:p>
        </w:tc>
        <w:tc>
          <w:tcPr>
            <w:shd w:val="clear" w:color="auto" w:fill="auto"/>
            <w:tcW w:w="613"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面</w:t>
            </w:r>
            <w:r/>
          </w:p>
        </w:tc>
        <w:tc>
          <w:tcPr>
            <w:shd w:val="clear" w:color="auto" w:fill="auto"/>
            <w:tcW w:w="82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 </w:t>
            </w:r>
            <w:r/>
          </w:p>
        </w:tc>
      </w:tr>
      <w:tr>
        <w:trPr>
          <w:trHeight w:val="2000"/>
        </w:trPr>
        <w:tc>
          <w:tcPr>
            <w:shd w:val="clear" w:color="auto" w:fill="auto"/>
            <w:tcW w:w="375"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p>
        </w:tc>
        <w:tc>
          <w:tcPr>
            <w:shd w:val="clear" w:color="auto" w:fill="auto"/>
            <w:tcW w:w="683"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风冷热泵模块机组</w:t>
            </w:r>
            <w:r/>
          </w:p>
        </w:tc>
        <w:tc>
          <w:tcPr>
            <w:shd w:val="clear" w:color="auto" w:fill="auto"/>
            <w:tcW w:w="2506" w:type="pct"/>
            <w:vAlign w:val="center"/>
            <w:textDirection w:val="lrTb"/>
            <w:noWrap w:val="false"/>
          </w:tcPr>
          <w:p>
            <w:pPr>
              <w:rPr>
                <w:rFonts w:ascii="宋体" w:hAnsi="宋体" w:eastAsia="宋体" w:cs="宋体"/>
                <w:color w:val="000000"/>
                <w:sz w:val="24"/>
                <w:szCs w:val="24"/>
                <w:highlight w:val="none"/>
              </w:rPr>
            </w:pPr>
            <w:r>
              <w:rPr>
                <w:rStyle w:val="963"/>
                <w:rFonts w:hint="default" w:ascii="宋体" w:hAnsi="宋体" w:eastAsia="宋体" w:cs="宋体"/>
                <w:sz w:val="24"/>
                <w:szCs w:val="24"/>
                <w:highlight w:val="none"/>
                <w:lang w:bidi="ar"/>
              </w:rPr>
              <w:t xml:space="preserve">▲1、额定制冷量≥195kW，额定制热量≥210kW，功率60kW；</w:t>
            </w:r>
            <w:r>
              <w:rPr>
                <w:rStyle w:val="963"/>
                <w:rFonts w:hint="default" w:ascii="宋体" w:hAnsi="宋体" w:eastAsia="宋体" w:cs="宋体"/>
                <w:sz w:val="24"/>
                <w:szCs w:val="24"/>
                <w:highlight w:val="none"/>
                <w:lang w:bidi="ar"/>
              </w:rPr>
              <w:br/>
            </w:r>
            <w:r>
              <w:rPr>
                <w:rStyle w:val="963"/>
                <w:rFonts w:hint="default" w:ascii="宋体" w:hAnsi="宋体" w:eastAsia="宋体" w:cs="宋体"/>
                <w:sz w:val="24"/>
                <w:szCs w:val="24"/>
                <w:highlight w:val="none"/>
                <w:lang w:bidi="ar"/>
              </w:rPr>
              <w:t xml:space="preserve">2、循环泵：2台，流量40m</w:t>
            </w:r>
            <w:r>
              <w:rPr>
                <w:rFonts w:hint="eastAsia" w:ascii="宋体" w:hAnsi="宋体" w:eastAsia="宋体" w:cs="宋体"/>
                <w:color w:val="000000"/>
                <w:sz w:val="24"/>
                <w:szCs w:val="24"/>
                <w:highlight w:val="none"/>
                <w:vertAlign w:val="superscript"/>
                <w:lang w:bidi="ar"/>
              </w:rPr>
              <w:t xml:space="preserve">3</w:t>
            </w:r>
            <w:r>
              <w:rPr>
                <w:rStyle w:val="963"/>
                <w:rFonts w:hint="default" w:ascii="宋体" w:hAnsi="宋体" w:eastAsia="宋体" w:cs="宋体"/>
                <w:sz w:val="24"/>
                <w:szCs w:val="24"/>
                <w:highlight w:val="none"/>
                <w:lang w:bidi="ar"/>
              </w:rPr>
              <w:t xml:space="preserve">/h，扬程28m，功率5.5kW；</w:t>
            </w:r>
            <w:r>
              <w:rPr>
                <w:rStyle w:val="963"/>
                <w:rFonts w:hint="default" w:ascii="宋体" w:hAnsi="宋体" w:eastAsia="宋体" w:cs="宋体"/>
                <w:sz w:val="24"/>
                <w:szCs w:val="24"/>
                <w:highlight w:val="none"/>
                <w:lang w:bidi="ar"/>
              </w:rPr>
              <w:br/>
            </w:r>
            <w:r>
              <w:rPr>
                <w:rStyle w:val="963"/>
                <w:rFonts w:hint="default" w:ascii="宋体" w:hAnsi="宋体" w:eastAsia="宋体" w:cs="宋体"/>
                <w:sz w:val="24"/>
                <w:szCs w:val="24"/>
                <w:highlight w:val="none"/>
                <w:lang w:bidi="ar"/>
              </w:rPr>
              <w:t xml:space="preserve">3、高位定压水箱：有效容积≥1m</w:t>
            </w:r>
            <w:r>
              <w:rPr>
                <w:rFonts w:hint="eastAsia" w:ascii="宋体" w:hAnsi="宋体" w:eastAsia="宋体" w:cs="宋体"/>
                <w:color w:val="000000"/>
                <w:sz w:val="24"/>
                <w:szCs w:val="24"/>
                <w:highlight w:val="none"/>
                <w:vertAlign w:val="superscript"/>
                <w:lang w:bidi="ar"/>
              </w:rPr>
              <w:t xml:space="preserve">3</w:t>
            </w:r>
            <w:r>
              <w:rPr>
                <w:rStyle w:val="963"/>
                <w:rFonts w:hint="default" w:ascii="宋体" w:hAnsi="宋体" w:eastAsia="宋体" w:cs="宋体"/>
                <w:sz w:val="24"/>
                <w:szCs w:val="24"/>
                <w:highlight w:val="none"/>
                <w:lang w:bidi="ar"/>
              </w:rPr>
              <w:t xml:space="preserve">，带玻璃馆液压计，材质不锈钢板；</w:t>
            </w:r>
            <w:r>
              <w:rPr>
                <w:rStyle w:val="963"/>
                <w:rFonts w:hint="default" w:ascii="宋体" w:hAnsi="宋体" w:eastAsia="宋体" w:cs="宋体"/>
                <w:sz w:val="24"/>
                <w:szCs w:val="24"/>
                <w:highlight w:val="none"/>
                <w:lang w:bidi="ar"/>
              </w:rPr>
              <w:br/>
            </w:r>
            <w:r>
              <w:rPr>
                <w:rStyle w:val="963"/>
                <w:rFonts w:hint="default" w:ascii="宋体" w:hAnsi="宋体" w:eastAsia="宋体" w:cs="宋体"/>
                <w:sz w:val="24"/>
                <w:szCs w:val="24"/>
                <w:highlight w:val="none"/>
                <w:lang w:bidi="ar"/>
              </w:rPr>
              <w:t xml:space="preserve">4、缓冲水箱：有效容积≥0.5m</w:t>
            </w:r>
            <w:r>
              <w:rPr>
                <w:rFonts w:hint="eastAsia" w:ascii="宋体" w:hAnsi="宋体" w:eastAsia="宋体" w:cs="宋体"/>
                <w:color w:val="000000"/>
                <w:sz w:val="24"/>
                <w:szCs w:val="24"/>
                <w:highlight w:val="none"/>
                <w:vertAlign w:val="superscript"/>
                <w:lang w:bidi="ar"/>
              </w:rPr>
              <w:t xml:space="preserve">3</w:t>
            </w:r>
            <w:r>
              <w:rPr>
                <w:rStyle w:val="963"/>
                <w:rFonts w:hint="default" w:ascii="宋体" w:hAnsi="宋体" w:eastAsia="宋体" w:cs="宋体"/>
                <w:sz w:val="24"/>
                <w:szCs w:val="24"/>
                <w:highlight w:val="none"/>
                <w:lang w:bidi="ar"/>
              </w:rPr>
              <w:t xml:space="preserve">，材质不锈钢板；</w:t>
            </w:r>
            <w:r>
              <w:rPr>
                <w:rStyle w:val="963"/>
                <w:rFonts w:hint="default" w:ascii="宋体" w:hAnsi="宋体" w:eastAsia="宋体" w:cs="宋体"/>
                <w:sz w:val="24"/>
                <w:szCs w:val="24"/>
                <w:highlight w:val="none"/>
                <w:lang w:bidi="ar"/>
              </w:rPr>
              <w:br/>
            </w:r>
            <w:r>
              <w:rPr>
                <w:rStyle w:val="963"/>
                <w:rFonts w:hint="default" w:ascii="宋体" w:hAnsi="宋体" w:eastAsia="宋体" w:cs="宋体"/>
                <w:sz w:val="24"/>
                <w:szCs w:val="24"/>
                <w:highlight w:val="none"/>
                <w:lang w:bidi="ar"/>
              </w:rPr>
              <w:t xml:space="preserve">5、含管道、阀门、防冻液等安装辅材。</w:t>
            </w:r>
            <w:r/>
          </w:p>
        </w:tc>
        <w:tc>
          <w:tcPr>
            <w:shd w:val="clear" w:color="auto" w:fill="auto"/>
            <w:tcW w:w="613"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shd w:val="clear" w:color="auto" w:fill="auto"/>
            <w:tcW w:w="82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 </w:t>
            </w:r>
            <w:r/>
          </w:p>
        </w:tc>
      </w:tr>
      <w:tr>
        <w:trPr>
          <w:trHeight w:val="855"/>
        </w:trPr>
        <w:tc>
          <w:tcPr>
            <w:shd w:val="clear" w:color="auto" w:fill="auto"/>
            <w:tcW w:w="375"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p>
        </w:tc>
        <w:tc>
          <w:tcPr>
            <w:shd w:val="clear" w:color="auto" w:fill="auto"/>
            <w:tcW w:w="683"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柴油发电机组</w:t>
            </w:r>
            <w:r/>
          </w:p>
        </w:tc>
        <w:tc>
          <w:tcPr>
            <w:shd w:val="clear" w:color="auto" w:fill="auto"/>
            <w:tcW w:w="2506"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1、主用功率</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30kW；</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2、全铜无刷发电机；</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3、配置：静音箱体、水套加热器、防冻液、机油、RS485通讯。</w:t>
            </w:r>
            <w:r/>
          </w:p>
        </w:tc>
        <w:tc>
          <w:tcPr>
            <w:shd w:val="clear" w:color="auto" w:fill="auto"/>
            <w:tcW w:w="613"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shd w:val="clear" w:color="auto" w:fill="auto"/>
            <w:tcW w:w="82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trHeight w:val="1709"/>
        </w:trPr>
        <w:tc>
          <w:tcPr>
            <w:shd w:val="clear" w:color="auto" w:fill="auto"/>
            <w:tcW w:w="375"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p>
        </w:tc>
        <w:tc>
          <w:tcPr>
            <w:shd w:val="clear" w:color="auto" w:fill="auto"/>
            <w:tcW w:w="683"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照明灯具</w:t>
            </w:r>
            <w:r/>
          </w:p>
        </w:tc>
        <w:tc>
          <w:tcPr>
            <w:shd w:val="clear" w:color="auto" w:fill="auto"/>
            <w:tcW w:w="2506" w:type="pct"/>
            <w:vAlign w:val="center"/>
            <w:textDirection w:val="lrTb"/>
            <w:noWrap w:val="false"/>
          </w:tcPr>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▲1、灯具功率≥360W，灯具寿命≥50000小时，适用环境温度-40℃~50℃，灯体内置防雷装置，灯具使用高压驱动电源，灯具防触电等级I类，防尘、防水，防固体异物等级IP68；</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▲2、使用分体式轻体照明，分体式灯具，驱动地面专门放置，灯体重量不超过5KG，模组化光源；</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3、灯具光效≥170LM/W，显色指数≥70，色温5700K＆5000K，功率因数≥0.95，电压220V，频率50/60HZ；</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4、灯具芯片数量不少于204颗；</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5、灯具须提供光度数据测试文件，文件中含配光曲线图，空间等照度曲线图，灯具环带光通量数据，灯具亮度限制曲线等相关数据信息；</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▲6、灯具依据国标GB/T 33721-2017进行能效测试，须提供LED光源LM-80测试报告。LED 灯具的光通维持寿命试验:1000小时法测试，灯具光通维持率≥98.4%，灯具内LED光源 9000小时光通维持率≥98.12</w:t>
            </w:r>
            <w:r>
              <w:rPr>
                <w:rFonts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，50000小时光通维持率≥82.28%；</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7、灯具须提供光源光谱测试报告，色差≤0.0009，色纯度≥7%</w:t>
            </w:r>
            <w:r>
              <w:rPr>
                <w:rFonts w:hint="eastAsia" w:ascii="宋体" w:hAnsi="宋体" w:eastAsia="宋体" w:cs="宋体"/>
                <w:color w:val="000000"/>
                <w:sz w:val="24"/>
                <w:szCs w:val="24"/>
                <w:highlight w:val="none"/>
                <w:lang w:eastAsia="zh-CN" w:bidi="ar"/>
              </w:rPr>
              <w:t xml:space="preserve">。</w:t>
            </w:r>
            <w:r/>
          </w:p>
        </w:tc>
        <w:tc>
          <w:tcPr>
            <w:shd w:val="clear" w:color="auto" w:fill="auto"/>
            <w:tcW w:w="613"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shd w:val="clear" w:color="auto" w:fill="auto"/>
            <w:tcW w:w="82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 </w:t>
            </w:r>
            <w:r/>
          </w:p>
        </w:tc>
      </w:tr>
      <w:tr>
        <w:trPr>
          <w:trHeight w:val="2964"/>
        </w:trPr>
        <w:tc>
          <w:tcPr>
            <w:shd w:val="clear" w:color="auto" w:fill="auto"/>
            <w:tcW w:w="375"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p>
        </w:tc>
        <w:tc>
          <w:tcPr>
            <w:shd w:val="clear" w:color="auto" w:fill="auto"/>
            <w:tcW w:w="683"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气膜智能、移动互联管理系统</w:t>
            </w:r>
            <w:r/>
          </w:p>
        </w:tc>
        <w:tc>
          <w:tcPr>
            <w:shd w:val="clear" w:color="auto" w:fill="auto"/>
            <w:tcW w:w="2506"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1、室内外风速、压力、雨雪等传感器系统设置及控制；</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2、多模式工作状态自动切换；</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3、空气质量监测与自动调节；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4、运行数据统计及分析；</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5、含编程组态软件及传感器系统；</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▲6、智能管理系统针对气膜设计使用，须提供计算机软件著作权登记证书及人机交互使用界面截图。                                                                                                                 </w:t>
            </w:r>
            <w:r/>
          </w:p>
        </w:tc>
        <w:tc>
          <w:tcPr>
            <w:shd w:val="clear" w:color="auto" w:fill="auto"/>
            <w:tcW w:w="613"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shd w:val="clear" w:color="auto" w:fill="auto"/>
            <w:tcW w:w="82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 </w:t>
            </w:r>
            <w:r/>
          </w:p>
        </w:tc>
      </w:tr>
      <w:tr>
        <w:trPr>
          <w:trHeight w:val="1670"/>
        </w:trPr>
        <w:tc>
          <w:tcPr>
            <w:shd w:val="clear" w:color="auto" w:fill="auto"/>
            <w:tcW w:w="375"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p>
        </w:tc>
        <w:tc>
          <w:tcPr>
            <w:shd w:val="clear" w:color="auto" w:fill="auto"/>
            <w:tcW w:w="683"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旋转门</w:t>
            </w:r>
            <w:r/>
          </w:p>
        </w:tc>
        <w:tc>
          <w:tcPr>
            <w:shd w:val="clear" w:color="auto" w:fill="auto"/>
            <w:tcW w:w="2506"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1、直径2.2m，高度2.60m；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2、一体式手动旋转门，钢制门框，不锈钢外饰，壁厚≥5mm，5</w:t>
            </w:r>
            <w:r>
              <w:rPr>
                <w:rFonts w:ascii="宋体" w:hAnsi="宋体" w:eastAsia="宋体" w:cs="宋体"/>
                <w:color w:val="000000"/>
                <w:sz w:val="24"/>
                <w:szCs w:val="24"/>
                <w:highlight w:val="none"/>
                <w:lang w:bidi="ar"/>
              </w:rPr>
              <w:t xml:space="preserve">mm</w:t>
            </w:r>
            <w:r>
              <w:rPr>
                <w:rFonts w:hint="eastAsia" w:ascii="宋体" w:hAnsi="宋体" w:eastAsia="宋体" w:cs="宋体"/>
                <w:color w:val="000000"/>
                <w:sz w:val="24"/>
                <w:szCs w:val="24"/>
                <w:highlight w:val="none"/>
                <w:lang w:bidi="ar"/>
              </w:rPr>
              <w:t xml:space="preserve">+5</w:t>
            </w:r>
            <w:r>
              <w:rPr>
                <w:rFonts w:ascii="宋体" w:hAnsi="宋体" w:eastAsia="宋体" w:cs="宋体"/>
                <w:color w:val="000000"/>
                <w:sz w:val="24"/>
                <w:szCs w:val="24"/>
                <w:highlight w:val="none"/>
                <w:lang w:bidi="ar"/>
              </w:rPr>
              <w:t xml:space="preserve">mm</w:t>
            </w:r>
            <w:r>
              <w:rPr>
                <w:rFonts w:hint="eastAsia" w:ascii="宋体" w:hAnsi="宋体" w:eastAsia="宋体" w:cs="宋体"/>
                <w:color w:val="000000"/>
                <w:sz w:val="24"/>
                <w:szCs w:val="24"/>
                <w:highlight w:val="none"/>
                <w:lang w:bidi="ar"/>
              </w:rPr>
              <w:t xml:space="preserve">夹胶玻璃门扇，带防雨檐，门边气密性处理及相关五金配件。                                                                                                             </w:t>
            </w:r>
            <w:r/>
          </w:p>
        </w:tc>
        <w:tc>
          <w:tcPr>
            <w:shd w:val="clear" w:color="auto" w:fill="auto"/>
            <w:tcW w:w="613"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shd w:val="clear" w:color="auto" w:fill="auto"/>
            <w:tcW w:w="82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r>
      <w:tr>
        <w:trPr>
          <w:trHeight w:val="1506"/>
        </w:trPr>
        <w:tc>
          <w:tcPr>
            <w:shd w:val="clear" w:color="auto" w:fill="auto"/>
            <w:tcW w:w="375"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p>
        </w:tc>
        <w:tc>
          <w:tcPr>
            <w:shd w:val="clear" w:color="auto" w:fill="auto"/>
            <w:tcW w:w="683"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应急门</w:t>
            </w:r>
            <w:r/>
          </w:p>
        </w:tc>
        <w:tc>
          <w:tcPr>
            <w:shd w:val="clear" w:color="auto" w:fill="auto"/>
            <w:tcW w:w="2506"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1、门体尺寸宽1.70m*高2.45m；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2、气膜专用平衡门，钢质门框，不锈钢外门板，门板内设保温层，含推杆式门锁、防爆观察窗、应急灯。                                                                                                                                     </w:t>
            </w:r>
            <w:r/>
          </w:p>
        </w:tc>
        <w:tc>
          <w:tcPr>
            <w:shd w:val="clear" w:color="auto" w:fill="auto"/>
            <w:tcW w:w="613"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樘</w:t>
            </w:r>
            <w:r/>
          </w:p>
        </w:tc>
        <w:tc>
          <w:tcPr>
            <w:shd w:val="clear" w:color="auto" w:fill="auto"/>
            <w:tcW w:w="82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r>
      <w:tr>
        <w:trPr>
          <w:trHeight w:val="1616"/>
        </w:trPr>
        <w:tc>
          <w:tcPr>
            <w:shd w:val="clear" w:color="auto" w:fill="auto"/>
            <w:tcW w:w="375"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w:t>
            </w:r>
            <w:r/>
          </w:p>
        </w:tc>
        <w:tc>
          <w:tcPr>
            <w:shd w:val="clear" w:color="auto" w:fill="auto"/>
            <w:tcW w:w="683"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宽幅应急门</w:t>
            </w:r>
            <w:r/>
          </w:p>
        </w:tc>
        <w:tc>
          <w:tcPr>
            <w:shd w:val="clear" w:color="auto" w:fill="auto"/>
            <w:tcW w:w="2506"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1、门体尺寸宽1.980m*高2.450m；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2、气膜专用的平衡门，钢质门框，不锈钢外门板，门板内设保温层，含推杆式门锁、防爆观察窗、应急灯。                                                                                                                                      </w:t>
            </w:r>
            <w:r/>
          </w:p>
        </w:tc>
        <w:tc>
          <w:tcPr>
            <w:shd w:val="clear" w:color="auto" w:fill="auto"/>
            <w:tcW w:w="613"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樘</w:t>
            </w:r>
            <w:r/>
          </w:p>
        </w:tc>
        <w:tc>
          <w:tcPr>
            <w:shd w:val="clear" w:color="auto" w:fill="auto"/>
            <w:tcW w:w="82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 </w:t>
            </w:r>
            <w:r/>
          </w:p>
        </w:tc>
      </w:tr>
      <w:tr>
        <w:trPr>
          <w:trHeight w:val="1393"/>
        </w:trPr>
        <w:tc>
          <w:tcPr>
            <w:shd w:val="clear" w:color="auto" w:fill="auto"/>
            <w:tcW w:w="375"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w:t>
            </w:r>
            <w:r/>
          </w:p>
        </w:tc>
        <w:tc>
          <w:tcPr>
            <w:shd w:val="clear" w:color="auto" w:fill="auto"/>
            <w:tcW w:w="683"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丙烯酸弹性面层</w:t>
            </w:r>
            <w:r/>
          </w:p>
        </w:tc>
        <w:tc>
          <w:tcPr>
            <w:shd w:val="clear" w:color="auto" w:fill="auto"/>
            <w:tcW w:w="2506" w:type="pct"/>
            <w:vAlign w:val="center"/>
            <w:textDirection w:val="lrTb"/>
            <w:noWrap w:val="false"/>
          </w:tcPr>
          <w:p>
            <w:pPr>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1、5mm</w:t>
            </w:r>
            <w:r>
              <w:rPr>
                <w:rFonts w:hint="eastAsia" w:ascii="宋体" w:hAnsi="宋体" w:eastAsia="宋体" w:cs="宋体"/>
                <w:color w:val="000000"/>
                <w:sz w:val="24"/>
                <w:szCs w:val="24"/>
                <w:highlight w:val="none"/>
                <w:lang w:eastAsia="zh-CN" w:bidi="ar"/>
              </w:rPr>
              <w:t xml:space="preserve">水性丙烯酸弹性球场面层 </w:t>
            </w:r>
            <w:r/>
          </w:p>
          <w:p>
            <w:pPr>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基础水性表面处理剂1遍</w:t>
            </w:r>
            <w:r/>
          </w:p>
          <w:p>
            <w:pPr>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封底层1遍</w:t>
            </w:r>
            <w:r/>
          </w:p>
          <w:p>
            <w:pPr>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水性</w:t>
            </w:r>
            <w:r>
              <w:rPr>
                <w:rFonts w:hint="eastAsia" w:ascii="宋体" w:hAnsi="宋体" w:eastAsia="宋体" w:cs="宋体"/>
                <w:color w:val="000000"/>
                <w:sz w:val="24"/>
                <w:szCs w:val="24"/>
                <w:highlight w:val="none"/>
                <w:lang w:val="en-US" w:eastAsia="zh-CN" w:bidi="ar"/>
              </w:rPr>
              <w:t xml:space="preserve">丙烯酸弹性</w:t>
            </w:r>
            <w:r>
              <w:rPr>
                <w:rFonts w:hint="eastAsia" w:ascii="宋体" w:hAnsi="宋体" w:eastAsia="宋体" w:cs="宋体"/>
                <w:color w:val="000000"/>
                <w:sz w:val="24"/>
                <w:szCs w:val="24"/>
                <w:highlight w:val="none"/>
                <w:lang w:eastAsia="zh-CN" w:bidi="ar"/>
              </w:rPr>
              <w:t xml:space="preserve">整平层</w:t>
            </w:r>
            <w:r>
              <w:rPr>
                <w:rFonts w:hint="eastAsia" w:ascii="宋体" w:hAnsi="宋体" w:eastAsia="宋体" w:cs="宋体"/>
                <w:color w:val="000000"/>
                <w:sz w:val="24"/>
                <w:szCs w:val="24"/>
                <w:highlight w:val="none"/>
                <w:lang w:val="en-US" w:eastAsia="zh-CN" w:bidi="ar"/>
              </w:rPr>
              <w:t xml:space="preserve">2遍</w:t>
            </w:r>
            <w:r/>
          </w:p>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eastAsia="zh-CN" w:bidi="ar"/>
              </w:rPr>
              <w:t xml:space="preserve">水性</w:t>
            </w:r>
            <w:r>
              <w:rPr>
                <w:rFonts w:hint="eastAsia" w:ascii="宋体" w:hAnsi="宋体" w:eastAsia="宋体" w:cs="宋体"/>
                <w:color w:val="000000"/>
                <w:sz w:val="24"/>
                <w:szCs w:val="24"/>
                <w:highlight w:val="none"/>
                <w:lang w:val="en-US" w:eastAsia="zh-CN" w:bidi="ar"/>
              </w:rPr>
              <w:t xml:space="preserve">丙烯酸</w:t>
            </w:r>
            <w:r>
              <w:rPr>
                <w:rFonts w:hint="eastAsia" w:ascii="宋体" w:hAnsi="宋体" w:eastAsia="宋体" w:cs="宋体"/>
                <w:color w:val="000000"/>
                <w:sz w:val="24"/>
                <w:szCs w:val="24"/>
                <w:highlight w:val="none"/>
                <w:lang w:eastAsia="zh-CN" w:bidi="ar"/>
              </w:rPr>
              <w:t xml:space="preserve">弹性缓冲层</w:t>
            </w:r>
            <w:r>
              <w:rPr>
                <w:rFonts w:hint="eastAsia" w:ascii="宋体" w:hAnsi="宋体" w:eastAsia="宋体" w:cs="宋体"/>
                <w:color w:val="000000"/>
                <w:sz w:val="24"/>
                <w:szCs w:val="24"/>
                <w:highlight w:val="none"/>
                <w:lang w:val="en-US" w:eastAsia="zh-CN" w:bidi="ar"/>
              </w:rPr>
              <w:t xml:space="preserve">4遍</w:t>
            </w:r>
            <w:r/>
          </w:p>
          <w:p>
            <w:pPr>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水性</w:t>
            </w:r>
            <w:r>
              <w:rPr>
                <w:rFonts w:hint="eastAsia" w:ascii="宋体" w:hAnsi="宋体" w:eastAsia="宋体" w:cs="宋体"/>
                <w:color w:val="000000"/>
                <w:sz w:val="24"/>
                <w:szCs w:val="24"/>
                <w:highlight w:val="none"/>
                <w:lang w:val="en-US" w:eastAsia="zh-CN" w:bidi="ar"/>
              </w:rPr>
              <w:t xml:space="preserve">丙烯酸弹性</w:t>
            </w:r>
            <w:r>
              <w:rPr>
                <w:rFonts w:hint="eastAsia" w:ascii="宋体" w:hAnsi="宋体" w:eastAsia="宋体" w:cs="宋体"/>
                <w:color w:val="000000"/>
                <w:sz w:val="24"/>
                <w:szCs w:val="24"/>
                <w:highlight w:val="none"/>
                <w:lang w:eastAsia="zh-CN" w:bidi="ar"/>
              </w:rPr>
              <w:t xml:space="preserve">整平层</w:t>
            </w:r>
            <w:r>
              <w:rPr>
                <w:rFonts w:hint="eastAsia" w:ascii="宋体" w:hAnsi="宋体" w:eastAsia="宋体" w:cs="宋体"/>
                <w:color w:val="000000"/>
                <w:sz w:val="24"/>
                <w:szCs w:val="24"/>
                <w:highlight w:val="none"/>
                <w:lang w:val="en-US" w:eastAsia="zh-CN" w:bidi="ar"/>
              </w:rPr>
              <w:t xml:space="preserve">2遍</w:t>
            </w:r>
            <w:r/>
          </w:p>
          <w:p>
            <w:pPr>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eastAsia="zh-CN" w:bidi="ar"/>
              </w:rPr>
              <w:t xml:space="preserve">水性</w:t>
            </w:r>
            <w:r>
              <w:rPr>
                <w:rFonts w:hint="eastAsia" w:ascii="宋体" w:hAnsi="宋体" w:eastAsia="宋体" w:cs="宋体"/>
                <w:color w:val="000000"/>
                <w:sz w:val="24"/>
                <w:szCs w:val="24"/>
                <w:highlight w:val="none"/>
                <w:lang w:val="en-US" w:eastAsia="zh-CN" w:bidi="ar"/>
              </w:rPr>
              <w:t xml:space="preserve">丙烯酸</w:t>
            </w:r>
            <w:r>
              <w:rPr>
                <w:rFonts w:hint="eastAsia" w:ascii="宋体" w:hAnsi="宋体" w:eastAsia="宋体" w:cs="宋体"/>
                <w:color w:val="000000"/>
                <w:sz w:val="24"/>
                <w:szCs w:val="24"/>
                <w:highlight w:val="none"/>
                <w:lang w:eastAsia="zh-CN" w:bidi="ar"/>
              </w:rPr>
              <w:t xml:space="preserve">耐磨防滑面层</w:t>
            </w:r>
            <w:r>
              <w:rPr>
                <w:rFonts w:hint="eastAsia" w:ascii="宋体" w:hAnsi="宋体" w:eastAsia="宋体" w:cs="宋体"/>
                <w:color w:val="000000"/>
                <w:sz w:val="24"/>
                <w:szCs w:val="24"/>
                <w:highlight w:val="none"/>
                <w:lang w:val="en-US" w:eastAsia="zh-CN" w:bidi="ar"/>
              </w:rPr>
              <w:t xml:space="preserve">4遍</w:t>
            </w:r>
            <w:r/>
          </w:p>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画线：水性运动地坪标线涂料</w:t>
            </w:r>
            <w:r/>
          </w:p>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2、水性丙烯酸胶粘剂稀释稳定性，提供带有CMA标识的检测报告，</w:t>
            </w:r>
            <w:r>
              <w:rPr>
                <w:rFonts w:hint="eastAsia" w:ascii="宋体" w:hAnsi="宋体" w:eastAsia="宋体" w:cs="宋体"/>
                <w:color w:val="000000"/>
                <w:sz w:val="24"/>
                <w:szCs w:val="24"/>
                <w:highlight w:val="none"/>
                <w:lang w:val="en-US" w:bidi="ar"/>
              </w:rPr>
              <w:t xml:space="preserve">根据国家标准</w:t>
            </w:r>
            <w:r>
              <w:rPr>
                <w:rFonts w:hint="eastAsia" w:ascii="宋体" w:hAnsi="宋体" w:eastAsia="宋体" w:cs="宋体"/>
                <w:color w:val="000000"/>
                <w:sz w:val="24"/>
                <w:szCs w:val="24"/>
                <w:highlight w:val="none"/>
                <w:lang w:val="en-US" w:eastAsia="zh-CN" w:bidi="ar"/>
              </w:rPr>
              <w:t xml:space="preserve">GB/T 11175-2021中稀释稳定性检测方法检测，水性丙烯酸胶粘剂与水混和，静置72小时，无分层，无破乳。</w:t>
            </w:r>
            <w:r/>
          </w:p>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bidi="ar"/>
              </w:rPr>
              <w:t xml:space="preserve">水性丙烯酸胶粘剂</w:t>
            </w:r>
            <w:r>
              <w:rPr>
                <w:rFonts w:hint="eastAsia" w:ascii="宋体" w:hAnsi="宋体" w:eastAsia="宋体" w:cs="宋体"/>
                <w:color w:val="000000"/>
                <w:sz w:val="24"/>
                <w:szCs w:val="24"/>
                <w:highlight w:val="none"/>
                <w:lang w:val="en-US" w:eastAsia="zh-CN" w:bidi="ar"/>
              </w:rPr>
              <w:t xml:space="preserve">水分含量,提供带有CMA标识的检测报告，</w:t>
            </w:r>
            <w:r>
              <w:rPr>
                <w:rFonts w:hint="eastAsia" w:ascii="宋体" w:hAnsi="宋体" w:eastAsia="宋体" w:cs="宋体"/>
                <w:color w:val="000000"/>
                <w:sz w:val="24"/>
                <w:szCs w:val="24"/>
                <w:highlight w:val="none"/>
                <w:lang w:val="en-US" w:bidi="ar"/>
              </w:rPr>
              <w:t xml:space="preserve">根据国家标准GB18583-2008标准</w:t>
            </w:r>
            <w:r>
              <w:rPr>
                <w:rFonts w:hint="eastAsia" w:ascii="宋体" w:hAnsi="宋体" w:eastAsia="宋体" w:cs="宋体"/>
                <w:color w:val="000000"/>
                <w:sz w:val="24"/>
                <w:szCs w:val="24"/>
                <w:highlight w:val="none"/>
                <w:lang w:val="en-US" w:eastAsia="zh-CN" w:bidi="ar"/>
              </w:rPr>
              <w:t xml:space="preserve">检测，</w:t>
            </w:r>
            <w:r>
              <w:rPr>
                <w:rFonts w:hint="eastAsia" w:ascii="宋体" w:hAnsi="宋体" w:eastAsia="宋体" w:cs="宋体"/>
                <w:color w:val="000000"/>
                <w:sz w:val="24"/>
                <w:szCs w:val="24"/>
                <w:highlight w:val="none"/>
                <w:lang w:val="en-US" w:bidi="ar"/>
              </w:rPr>
              <w:t xml:space="preserve">出具</w:t>
            </w:r>
            <w:r>
              <w:rPr>
                <w:rFonts w:hint="eastAsia" w:ascii="宋体" w:hAnsi="宋体" w:eastAsia="宋体" w:cs="宋体"/>
                <w:color w:val="000000"/>
                <w:sz w:val="24"/>
                <w:szCs w:val="24"/>
                <w:highlight w:val="none"/>
                <w:lang w:val="en-US" w:eastAsia="zh-CN" w:bidi="ar"/>
              </w:rPr>
              <w:t xml:space="preserve">报告</w:t>
            </w:r>
            <w:r>
              <w:rPr>
                <w:rFonts w:hint="eastAsia" w:ascii="宋体" w:hAnsi="宋体" w:eastAsia="宋体" w:cs="宋体"/>
                <w:color w:val="000000"/>
                <w:sz w:val="24"/>
                <w:szCs w:val="24"/>
                <w:highlight w:val="none"/>
                <w:lang w:val="en-US" w:bidi="ar"/>
              </w:rPr>
              <w:t xml:space="preserve">中</w:t>
            </w:r>
            <w:r>
              <w:rPr>
                <w:rFonts w:hint="eastAsia" w:ascii="宋体" w:hAnsi="宋体" w:eastAsia="宋体" w:cs="宋体"/>
                <w:color w:val="000000"/>
                <w:sz w:val="24"/>
                <w:szCs w:val="24"/>
                <w:highlight w:val="none"/>
                <w:lang w:val="en-US" w:eastAsia="zh-CN" w:bidi="ar"/>
              </w:rPr>
              <w:t xml:space="preserve">有</w:t>
            </w:r>
            <w:r>
              <w:rPr>
                <w:rFonts w:hint="eastAsia" w:ascii="宋体" w:hAnsi="宋体" w:eastAsia="宋体" w:cs="宋体"/>
                <w:color w:val="000000"/>
                <w:sz w:val="24"/>
                <w:szCs w:val="24"/>
                <w:highlight w:val="none"/>
                <w:lang w:val="en-US" w:bidi="ar"/>
              </w:rPr>
              <w:t xml:space="preserve">水分含量＞20%的检测报告</w:t>
            </w:r>
            <w:r>
              <w:rPr>
                <w:rFonts w:hint="eastAsia" w:ascii="宋体" w:hAnsi="宋体" w:eastAsia="宋体" w:cs="宋体"/>
                <w:color w:val="000000"/>
                <w:sz w:val="24"/>
                <w:szCs w:val="24"/>
                <w:highlight w:val="none"/>
                <w:lang w:val="en-US" w:eastAsia="zh-CN" w:bidi="ar"/>
              </w:rPr>
              <w:t xml:space="preserve">。</w:t>
            </w:r>
            <w:r/>
          </w:p>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bidi="ar"/>
              </w:rPr>
              <w:t xml:space="preserve">水性丙烯酸合成面层材料</w:t>
            </w:r>
            <w:r>
              <w:rPr>
                <w:rFonts w:hint="eastAsia" w:ascii="宋体" w:hAnsi="宋体" w:eastAsia="宋体" w:cs="宋体"/>
                <w:color w:val="000000"/>
                <w:sz w:val="24"/>
                <w:szCs w:val="24"/>
                <w:highlight w:val="none"/>
                <w:lang w:val="en-US" w:eastAsia="zh-CN" w:bidi="ar"/>
              </w:rPr>
              <w:t xml:space="preserve">,提供带有CMA标识的检测报告，</w:t>
            </w:r>
            <w:r>
              <w:rPr>
                <w:rFonts w:hint="eastAsia" w:ascii="宋体" w:hAnsi="宋体" w:eastAsia="宋体" w:cs="宋体"/>
                <w:color w:val="000000"/>
                <w:sz w:val="24"/>
                <w:szCs w:val="24"/>
                <w:highlight w:val="none"/>
                <w:lang w:val="en-US" w:bidi="ar"/>
              </w:rPr>
              <w:t xml:space="preserve">根据国家标准GB/T8430-19</w:t>
            </w:r>
            <w:r>
              <w:rPr>
                <w:rFonts w:hint="eastAsia"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val="en-US" w:bidi="ar"/>
              </w:rPr>
              <w:t xml:space="preserve">8对水性丙烯酸合成材料面层进行耐色牢度检测，出具的检测报告中耐色牢度（500h）达到6级。</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bidi="ar"/>
              </w:rPr>
              <w:t xml:space="preserve">水性运动地坪标线涂料中有害物质含量</w:t>
            </w:r>
            <w:r>
              <w:rPr>
                <w:rFonts w:hint="eastAsia" w:ascii="宋体" w:hAnsi="宋体" w:eastAsia="宋体" w:cs="宋体"/>
                <w:color w:val="000000"/>
                <w:sz w:val="24"/>
                <w:szCs w:val="24"/>
                <w:highlight w:val="none"/>
                <w:lang w:val="en-US" w:eastAsia="zh-CN" w:bidi="ar"/>
              </w:rPr>
              <w:t xml:space="preserve">，提供符合GB 36246-2018《中小学合成材料面层运动场地》要求的检测报告</w:t>
            </w:r>
            <w:r>
              <w:rPr>
                <w:rFonts w:hint="eastAsia" w:ascii="宋体" w:hAnsi="宋体" w:eastAsia="宋体" w:cs="宋体"/>
                <w:color w:val="000000"/>
                <w:sz w:val="24"/>
                <w:szCs w:val="24"/>
                <w:highlight w:val="none"/>
                <w:lang w:val="en-US" w:bidi="ar"/>
              </w:rPr>
              <w:t xml:space="preserve">；出具的检测报告中</w:t>
            </w:r>
            <w:r>
              <w:rPr>
                <w:rFonts w:hint="eastAsia" w:ascii="宋体" w:hAnsi="宋体" w:eastAsia="宋体" w:cs="宋体"/>
                <w:color w:val="000000"/>
                <w:sz w:val="24"/>
                <w:szCs w:val="24"/>
                <w:highlight w:val="none"/>
                <w:lang w:val="en-US" w:eastAsia="zh-CN" w:bidi="ar"/>
              </w:rPr>
              <w:t xml:space="preserve">3 种邻苯二甲酸酯类化合物（DBP、BBP、DEHP）总和，3 种邻苯二甲酸酯类化合物（DNOP、DINP、DIDP）总和，短链氯化石蜡，TDI和HDI总和，游离甲醛，苯，甲苯、二甲苯和乙苯总和，可溶性重金属</w:t>
            </w:r>
            <w:r>
              <w:rPr>
                <w:rFonts w:hint="eastAsia" w:ascii="宋体" w:hAnsi="宋体" w:eastAsia="宋体" w:cs="宋体"/>
                <w:color w:val="000000"/>
                <w:sz w:val="24"/>
                <w:szCs w:val="24"/>
                <w:highlight w:val="none"/>
                <w:lang w:bidi="ar"/>
              </w:rPr>
              <w:t xml:space="preserve">铅、镉、铬、汞均未检出</w:t>
            </w:r>
            <w:r>
              <w:rPr>
                <w:rFonts w:hint="eastAsia" w:ascii="宋体" w:hAnsi="宋体" w:eastAsia="宋体" w:cs="宋体"/>
                <w:color w:val="000000"/>
                <w:sz w:val="24"/>
                <w:szCs w:val="24"/>
                <w:highlight w:val="none"/>
                <w:lang w:val="en-US" w:bidi="ar"/>
              </w:rPr>
              <w:t xml:space="preserve">。</w:t>
            </w:r>
            <w:r/>
          </w:p>
        </w:tc>
        <w:tc>
          <w:tcPr>
            <w:shd w:val="clear" w:color="auto" w:fill="auto"/>
            <w:tcW w:w="613"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平方米</w:t>
            </w:r>
            <w:r/>
          </w:p>
        </w:tc>
        <w:tc>
          <w:tcPr>
            <w:shd w:val="clear" w:color="auto" w:fill="auto"/>
            <w:tcW w:w="82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2237.5 </w:t>
            </w:r>
            <w:r/>
          </w:p>
        </w:tc>
      </w:tr>
      <w:tr>
        <w:trPr>
          <w:trHeight w:val="1995"/>
        </w:trPr>
        <w:tc>
          <w:tcPr>
            <w:shd w:val="clear" w:color="auto" w:fill="auto"/>
            <w:tcW w:w="375"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w:t>
            </w:r>
            <w:r/>
          </w:p>
        </w:tc>
        <w:tc>
          <w:tcPr>
            <w:shd w:val="clear" w:color="auto" w:fill="auto"/>
            <w:tcW w:w="683"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音响设备</w:t>
            </w:r>
            <w:r/>
          </w:p>
        </w:tc>
        <w:tc>
          <w:tcPr>
            <w:shd w:val="clear" w:color="auto" w:fill="auto"/>
            <w:tcW w:w="2506"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1、12寸全频扩声音箱7只，含音箱支架；</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2、合并级扩声功放4台；</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3、调音台1台；</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4、UHF一拖四无线手持麦克风1套；</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5、反馈抑制器1台；</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6、电源时序器1台；</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7、含线材辅料、机柜、安装费等。</w:t>
            </w:r>
            <w:r/>
          </w:p>
        </w:tc>
        <w:tc>
          <w:tcPr>
            <w:shd w:val="clear" w:color="auto" w:fill="auto"/>
            <w:tcW w:w="613"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p>
        </w:tc>
        <w:tc>
          <w:tcPr>
            <w:shd w:val="clear" w:color="auto" w:fill="auto"/>
            <w:tcW w:w="82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trHeight w:val="4898"/>
        </w:trPr>
        <w:tc>
          <w:tcPr>
            <w:shd w:val="clear" w:color="auto" w:fill="auto"/>
            <w:tcW w:w="375"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w:t>
            </w:r>
            <w:r/>
          </w:p>
        </w:tc>
        <w:tc>
          <w:tcPr>
            <w:shd w:val="clear" w:color="auto" w:fill="auto"/>
            <w:tcW w:w="683"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人员通道</w:t>
            </w:r>
            <w:r/>
          </w:p>
        </w:tc>
        <w:tc>
          <w:tcPr>
            <w:shd w:val="clear" w:color="auto" w:fill="auto"/>
            <w:tcW w:w="2506"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1、包含人员通道左边道、右边道、中间道及身份识别产品；</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2、闸机机身采用不锈钢材质，设备应离线支持500000个用户（用户权限应能配置为管理员），500000张卡片容量，500000笔记录存储；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设备应支持同时16台设备（PC或手机，手机可连接设备wifi热点、NFC）通过WEB管理界面批量配置，实现设备的批量激活、批量设置网络参数和功能参数，同时能进行人员管理、设备器件状态查看、远程开关门及常开常闭控制、遥控器和灯效配置等功能。设备应支持一组通道调试仅需登录一个设备IP；</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4、设备应支持仅使用一根网线实现一组通道主从闸机的同步与网络通讯，设备应支持单侧通道独立使用,具有雷达探测防夹功能、防尾随功能、雷达探测识别开门功能；</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、设备支持语音模块，应能根据用户需求自定义语音播报内容，通过文字转换为提示语音的TTS功能，同时支持设置联动语音提示；</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、设备应支持异常开门、翻越、滞留、反向闯入、尾随、通行超时、误闯等行为检测，且会有报警提示（包括语音播报、指示灯、IO信号联动输出），同时上传报警事件；</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bidi="ar"/>
              </w:rPr>
              <w:t xml:space="preserve">、设备应支持交替通行模式、记忆模式、支持多人授权通行（一次授权，允许多人通行）、9种开闸通行模式设置、消防联动、时段管控、反潜回功能；</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bidi="ar"/>
              </w:rPr>
              <w:t xml:space="preserve">、设备通行速度应支持20人≤每分钟通行人数≤70人，应支持门翼开/关门速度0.5s~1.5s 10档可调，支持延时关门，延时时长0s-10s可调；</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bidi="ar"/>
              </w:rPr>
              <w:t xml:space="preserve">、设备应同时支持电流防夹（机械防夹）和激光雷达防夹两种模式；</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bidi="ar"/>
              </w:rPr>
              <w:t xml:space="preserve">、设备应支持本地，平台和上位机人数统计功能，支持进出两个方向通过人数的独立检测；</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设备支持通过管理软件和交互终端对通道实现远程开门、关门、常开、常闭、解除常开、解除常闭等功能。交互终端应能实时监控设备的运行状态；</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val="en-US" w:eastAsia="zh-CN" w:bidi="ar"/>
              </w:rPr>
              <w:t xml:space="preserve">11</w:t>
            </w:r>
            <w:r>
              <w:rPr>
                <w:rFonts w:hint="eastAsia" w:ascii="宋体" w:hAnsi="宋体" w:eastAsia="宋体" w:cs="宋体"/>
                <w:color w:val="000000"/>
                <w:sz w:val="24"/>
                <w:szCs w:val="24"/>
                <w:highlight w:val="none"/>
                <w:lang w:bidi="ar"/>
              </w:rPr>
              <w:t xml:space="preserve">、设备应支持M1卡、CPU卡、NFC等读卡器识读设备、二维码扫描仪、人脸识别组件、身份证阅读器等设备集成，实现多种认证方式组合应用。二维码扫描仪和读卡器识别设备可以集成安装在同一个位置，扫码区也能完成卡片识读；</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、满足学校统一进行人员信息下发、权限管理等使用管理要求。</w:t>
            </w:r>
            <w:r/>
          </w:p>
        </w:tc>
        <w:tc>
          <w:tcPr>
            <w:shd w:val="clear" w:color="auto" w:fill="auto"/>
            <w:tcW w:w="613"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p>
        </w:tc>
        <w:tc>
          <w:tcPr>
            <w:shd w:val="clear" w:color="auto" w:fill="auto"/>
            <w:tcW w:w="82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trHeight w:val="855"/>
        </w:trPr>
        <w:tc>
          <w:tcPr>
            <w:shd w:val="clear" w:color="auto" w:fill="auto"/>
            <w:tcW w:w="375"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w:t>
            </w:r>
            <w:r/>
          </w:p>
        </w:tc>
        <w:tc>
          <w:tcPr>
            <w:shd w:val="clear" w:color="auto" w:fill="auto"/>
            <w:tcW w:w="683"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围网</w:t>
            </w:r>
            <w:r/>
          </w:p>
        </w:tc>
        <w:tc>
          <w:tcPr>
            <w:shd w:val="clear" w:color="auto" w:fill="auto"/>
            <w:tcW w:w="2506"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1、种类：包塑钢丝围网</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2、高度：2m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3、部位：设备平台</w:t>
            </w:r>
            <w:r/>
          </w:p>
        </w:tc>
        <w:tc>
          <w:tcPr>
            <w:shd w:val="clear" w:color="auto" w:fill="auto"/>
            <w:tcW w:w="613"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平方米</w:t>
            </w:r>
            <w:r/>
          </w:p>
        </w:tc>
        <w:tc>
          <w:tcPr>
            <w:shd w:val="clear" w:color="auto" w:fill="auto"/>
            <w:tcW w:w="82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60</w:t>
            </w:r>
            <w:r/>
          </w:p>
        </w:tc>
      </w:tr>
      <w:tr>
        <w:trPr>
          <w:trHeight w:val="360"/>
        </w:trPr>
        <w:tc>
          <w:tcPr>
            <w:shd w:val="clear" w:color="auto" w:fill="auto"/>
            <w:tcW w:w="375"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w:t>
            </w:r>
            <w:r/>
          </w:p>
        </w:tc>
        <w:tc>
          <w:tcPr>
            <w:shd w:val="clear" w:color="auto" w:fill="auto"/>
            <w:tcW w:w="683"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控制电缆</w:t>
            </w:r>
            <w:r/>
          </w:p>
        </w:tc>
        <w:tc>
          <w:tcPr>
            <w:shd w:val="clear" w:color="auto" w:fill="auto"/>
            <w:tcW w:w="2506" w:type="pct"/>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设备间控制电缆，不含进线电缆</w:t>
            </w:r>
            <w:r/>
          </w:p>
        </w:tc>
        <w:tc>
          <w:tcPr>
            <w:shd w:val="clear" w:color="auto" w:fill="auto"/>
            <w:tcW w:w="613"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p>
        </w:tc>
        <w:tc>
          <w:tcPr>
            <w:shd w:val="clear" w:color="auto" w:fill="auto"/>
            <w:tcW w:w="82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bl>
    <w:p>
      <w:pPr>
        <w:ind w:firstLine="482"/>
        <w:spacing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气膜馆建筑尺寸：60米（长）*40米（宽）*13米（高）</w:t>
      </w:r>
      <w:r/>
    </w:p>
    <w:p>
      <w:pPr>
        <w:ind w:firstLine="482"/>
        <w:spacing w:line="48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注：本项目核心产品</w:t>
      </w:r>
      <w:r>
        <w:rPr>
          <w:rFonts w:hint="eastAsia" w:ascii="宋体" w:hAnsi="宋体" w:eastAsia="宋体" w:cs="宋体"/>
          <w:b/>
          <w:bCs/>
          <w:sz w:val="24"/>
          <w:szCs w:val="24"/>
          <w:highlight w:val="none"/>
          <w:lang w:val="en-US" w:eastAsia="zh-CN"/>
        </w:rPr>
        <w:t xml:space="preserve">为</w:t>
      </w:r>
      <w:r>
        <w:rPr>
          <w:rFonts w:hint="eastAsia" w:ascii="宋体" w:hAnsi="宋体" w:eastAsia="宋体" w:cs="宋体"/>
          <w:color w:val="000000"/>
          <w:sz w:val="24"/>
          <w:szCs w:val="24"/>
          <w:highlight w:val="none"/>
          <w:lang w:bidi="ar"/>
        </w:rPr>
        <w:t xml:space="preserve">气膜主体</w:t>
      </w:r>
      <w:r>
        <w:rPr>
          <w:rFonts w:hint="eastAsia" w:ascii="宋体" w:hAnsi="宋体" w:eastAsia="宋体" w:cs="宋体"/>
          <w:color w:val="000000"/>
          <w:sz w:val="24"/>
          <w:szCs w:val="24"/>
          <w:highlight w:val="none"/>
          <w:lang w:eastAsia="zh-CN" w:bidi="ar"/>
        </w:rPr>
        <w:t xml:space="preserve">。</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五、综合说明及要求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1.供应商所投产品应能够至少达到以上技术参数要求，同时必须明确所投产品的品牌、规格及一些必须说明的技术参数等，否则将可能导致其投标文件被评标委员会拒绝。</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2.供应商必须承诺招标文件中提出的全部技术规格与要求，如果其中某些条款不响应时，应在文件中逐条列出，未列出的视同响应。</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3.投标总报价一次报定，包括所有货物的供货、辅助材料、人工、运输、检验、送货、保险、装卸、仓储、代理服务费、保管、各种税费及其他伴随服务等一切必须费用。</w:t>
      </w:r>
      <w:r/>
    </w:p>
    <w:p>
      <w:pPr>
        <w:ind w:firstLine="480"/>
        <w:spacing w:line="360" w:lineRule="auto"/>
        <w:rPr>
          <w:rFonts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4.售后服务要求</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本项目免费质保期不少于</w:t>
      </w:r>
      <w:r>
        <w:rPr>
          <w:rFonts w:ascii="宋体" w:hAnsi="宋体" w:eastAsia="宋体" w:cs="宋体"/>
          <w:b/>
          <w:bCs/>
          <w:sz w:val="24"/>
          <w:szCs w:val="24"/>
          <w:highlight w:val="none"/>
        </w:rPr>
        <w:t xml:space="preserve">2</w:t>
      </w:r>
      <w:r>
        <w:rPr>
          <w:rFonts w:hint="eastAsia" w:ascii="宋体" w:hAnsi="宋体" w:eastAsia="宋体" w:cs="宋体"/>
          <w:b/>
          <w:bCs/>
          <w:sz w:val="24"/>
          <w:szCs w:val="24"/>
          <w:highlight w:val="none"/>
        </w:rPr>
        <w:t xml:space="preserve">年，自项目全面验收合格之日起计算。</w:t>
      </w:r>
      <w:r>
        <w:rPr>
          <w:rFonts w:hint="eastAsia" w:ascii="宋体" w:hAnsi="宋体" w:eastAsia="宋体" w:cs="宋体"/>
          <w:sz w:val="24"/>
          <w:szCs w:val="24"/>
          <w:highlight w:val="none"/>
        </w:rPr>
        <w:t xml:space="preserve">免费质保期内，若非人为原因出现质量问题，乙方负责无条件维修或更换。采购人报修后，乙方须在24小时内响应，2小时内到达现场，8小时内完成维修；如需更换或送修，须在2个工作日内解决完毕。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5.验收标准及要求</w:t>
      </w:r>
      <w:r/>
    </w:p>
    <w:p>
      <w:pPr>
        <w:numPr>
          <w:ilvl w:val="255"/>
          <w:numId w:val="0"/>
        </w:numPr>
        <w:ind w:firstLine="48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到货验收：货物到场后，中标单位须确保气膜馆材料、设备的规格、材质、数量与合同及装箱单一致，合格证、质量证明文件齐全，包装完好。经学校现场核验签字确认后，方可拆箱安装。</w:t>
      </w:r>
      <w:r/>
    </w:p>
    <w:p>
      <w:pPr>
        <w:numPr>
          <w:ilvl w:val="255"/>
          <w:numId w:val="0"/>
        </w:numPr>
        <w:ind w:firstLine="48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竣工验收：项目完工后，由学校组织开展验收，验收标准须符合国家现行相关规范及招标文件</w:t>
      </w:r>
      <w:r>
        <w:rPr>
          <w:rFonts w:hint="eastAsia" w:ascii="宋体" w:hAnsi="宋体" w:eastAsia="宋体" w:cs="宋体"/>
          <w:sz w:val="24"/>
          <w:szCs w:val="24"/>
          <w:highlight w:val="none"/>
          <w:lang w:val="en-US" w:eastAsia="zh-CN" w:bidi="ar"/>
        </w:rPr>
        <w:t xml:space="preserve">等</w:t>
      </w:r>
      <w:r>
        <w:rPr>
          <w:rFonts w:hint="eastAsia" w:ascii="宋体" w:hAnsi="宋体" w:eastAsia="宋体" w:cs="宋体"/>
          <w:sz w:val="24"/>
          <w:szCs w:val="24"/>
          <w:highlight w:val="none"/>
          <w:lang w:bidi="ar"/>
        </w:rPr>
        <w:t xml:space="preserve">约定要求。中标单位须</w:t>
      </w:r>
      <w:r>
        <w:rPr>
          <w:rFonts w:hint="eastAsia" w:ascii="宋体" w:hAnsi="宋体" w:eastAsia="宋体" w:cs="宋体"/>
          <w:sz w:val="24"/>
          <w:szCs w:val="24"/>
          <w:highlight w:val="none"/>
          <w:lang w:val="en-US" w:eastAsia="zh-CN" w:bidi="ar"/>
        </w:rPr>
        <w:t xml:space="preserve">及时</w:t>
      </w:r>
      <w:r>
        <w:rPr>
          <w:rFonts w:hint="eastAsia" w:ascii="宋体" w:hAnsi="宋体" w:eastAsia="宋体" w:cs="宋体"/>
          <w:sz w:val="24"/>
          <w:szCs w:val="24"/>
          <w:highlight w:val="none"/>
          <w:lang w:bidi="ar"/>
        </w:rPr>
        <w:t xml:space="preserve">提交气膜主体检测报告，包含两项：①由国家认可检测机构出具的外膜检测报告，燃烧性能达到B1级；②带有CMA标识、依据GB 18401</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t xml:space="preserve">2010（C类）检测的报告，甲醛、异味、pH 值指标均合格。学校有权对项目关键物料实施抽样复检，复检不合格的，不予通过验收。上述</w:t>
      </w:r>
      <w:r>
        <w:rPr>
          <w:rFonts w:hint="eastAsia" w:ascii="宋体" w:hAnsi="宋体" w:eastAsia="宋体" w:cs="宋体"/>
          <w:sz w:val="24"/>
          <w:szCs w:val="24"/>
          <w:highlight w:val="none"/>
          <w:lang w:val="en-US" w:eastAsia="zh-CN" w:bidi="ar"/>
        </w:rPr>
        <w:t xml:space="preserve">所有涉及</w:t>
      </w:r>
      <w:r>
        <w:rPr>
          <w:rFonts w:hint="eastAsia" w:ascii="宋体" w:hAnsi="宋体" w:eastAsia="宋体" w:cs="宋体"/>
          <w:sz w:val="24"/>
          <w:szCs w:val="24"/>
          <w:highlight w:val="none"/>
          <w:lang w:bidi="ar"/>
        </w:rPr>
        <w:t xml:space="preserve">检测</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复检的</w:t>
      </w:r>
      <w:r>
        <w:rPr>
          <w:rFonts w:hint="eastAsia" w:ascii="宋体" w:hAnsi="宋体" w:eastAsia="宋体" w:cs="宋体"/>
          <w:sz w:val="24"/>
          <w:szCs w:val="24"/>
          <w:highlight w:val="none"/>
          <w:lang w:bidi="ar"/>
        </w:rPr>
        <w:t xml:space="preserve">费用</w:t>
      </w:r>
      <w:r>
        <w:rPr>
          <w:rFonts w:hint="eastAsia" w:ascii="宋体" w:hAnsi="宋体" w:eastAsia="宋体" w:cs="宋体"/>
          <w:sz w:val="24"/>
          <w:szCs w:val="24"/>
          <w:highlight w:val="none"/>
          <w:lang w:val="en-US" w:eastAsia="zh-CN" w:bidi="ar"/>
        </w:rPr>
        <w:t xml:space="preserve">均</w:t>
      </w:r>
      <w:r>
        <w:rPr>
          <w:rFonts w:hint="eastAsia" w:ascii="宋体" w:hAnsi="宋体" w:eastAsia="宋体" w:cs="宋体"/>
          <w:sz w:val="24"/>
          <w:szCs w:val="24"/>
          <w:highlight w:val="none"/>
          <w:lang w:bidi="ar"/>
        </w:rPr>
        <w:t xml:space="preserve">由中标单位承担。项目资料齐全且全部</w:t>
      </w:r>
      <w:r>
        <w:rPr>
          <w:rFonts w:hint="eastAsia" w:ascii="宋体" w:hAnsi="宋体" w:eastAsia="宋体" w:cs="宋体"/>
          <w:sz w:val="24"/>
          <w:szCs w:val="24"/>
          <w:highlight w:val="none"/>
          <w:lang w:val="en-US" w:eastAsia="zh-CN" w:bidi="ar"/>
        </w:rPr>
        <w:t xml:space="preserve">合格</w:t>
      </w:r>
      <w:r>
        <w:rPr>
          <w:rFonts w:hint="eastAsia" w:ascii="宋体" w:hAnsi="宋体" w:eastAsia="宋体" w:cs="宋体"/>
          <w:sz w:val="24"/>
          <w:szCs w:val="24"/>
          <w:highlight w:val="none"/>
          <w:lang w:bidi="ar"/>
        </w:rPr>
        <w:t xml:space="preserve">有效的，方可验收通过。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6.服务期内，供应商为本项目配备的所有人员，如发生工伤及其他意外事故，全部责任均由供应商自行承担，采购人不承担任何责任。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7.交货期限：</w:t>
      </w:r>
      <w:r>
        <w:rPr>
          <w:rFonts w:ascii="宋体" w:hAnsi="宋体" w:eastAsia="宋体" w:cs="宋体"/>
          <w:sz w:val="24"/>
          <w:szCs w:val="24"/>
          <w:highlight w:val="none"/>
        </w:rPr>
        <w:t xml:space="preserve">60</w:t>
      </w:r>
      <w:r>
        <w:rPr>
          <w:rFonts w:hint="eastAsia" w:ascii="宋体" w:hAnsi="宋体" w:eastAsia="宋体" w:cs="宋体"/>
          <w:sz w:val="24"/>
          <w:szCs w:val="24"/>
          <w:highlight w:val="none"/>
        </w:rPr>
        <w:t xml:space="preserve">天。</w:t>
      </w:r>
      <w:r/>
    </w:p>
    <w:p>
      <w:pPr>
        <w:ind w:firstLine="480"/>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b/>
          <w:bCs/>
          <w:sz w:val="24"/>
          <w:szCs w:val="24"/>
          <w:highlight w:val="none"/>
        </w:rPr>
        <w:t xml:space="preserve">标“★”的指标有负偏离的，其投标文件作无效标处理。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9.凡涉及招标文件的补充说明和修改，均以苏州市政府采购网发布的通知为准。</w:t>
      </w:r>
      <w:r/>
    </w:p>
    <w:p>
      <w:pPr>
        <w:ind w:firstLine="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709" w:footer="709" w:gutter="0"/>
          <w:cols w:num="1" w:sep="0" w:space="1701" w:equalWidth="1"/>
          <w:docGrid w:linePitch="360"/>
        </w:sect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4" w:name="_Toc3769"/>
      <w:r>
        <w:rPr>
          <w:rFonts w:ascii="宋体" w:hAnsi="宋体" w:eastAsia="宋体" w:cs="宋体"/>
          <w:b/>
          <w:sz w:val="44"/>
          <w:highlight w:val="none"/>
        </w:rPr>
        <w:t xml:space="preserve">第五章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合同条款</w:t>
      </w:r>
      <w:bookmarkEnd w:id="4"/>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8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jc w:val="center"/>
        <w:spacing w:after="12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政府采购合同书</w:t>
      </w:r>
      <w:r/>
    </w:p>
    <w:p>
      <w:pPr>
        <w:ind w:firstLine="480"/>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甲方：苏州大学</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地址：</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联系人：</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联系电话：</w:t>
      </w:r>
      <w:r/>
    </w:p>
    <w:p>
      <w:pPr>
        <w:ind w:firstLine="42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乙方：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地址：</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联系人：</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联系电话：</w:t>
      </w:r>
      <w:r/>
    </w:p>
    <w:p>
      <w:pPr>
        <w:ind w:firstLine="42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根据《中华人民共和国民法典》等相关法律法规的规定，甲乙双方就此次成交的【苏州大学天赐庄校区东区南门空地改造为跆拳道气膜馆】项目（以下简称“本项目”）购销事宜，签订本合同书，以兹共同遵守。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一、下列文件为本合同不可分割</w:t>
      </w:r>
      <w:r>
        <w:rPr>
          <w:rFonts w:ascii="宋体" w:hAnsi="宋体" w:eastAsia="宋体" w:cs="宋体"/>
          <w:sz w:val="24"/>
          <w:highlight w:val="none"/>
        </w:rPr>
        <w:t xml:space="preserve">部分，并构成一个整体，需综合解释、相互补充。如果下列文件内容出现不一致的情形，在保证按照采购文件确定的事项的前提下，组成本合同的多个文件的优先适用顺序如下：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（1）本合同书及本合同书签署后双方以书面形式确认的补充协议等；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（2）中标通知书；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rPr>
          <w:rFonts w:hint="eastAsia" w:ascii="宋体" w:hAnsi="宋体" w:eastAsia="宋体" w:cs="宋体"/>
          <w:sz w:val="24"/>
          <w:highlight w:val="none"/>
        </w:rPr>
        <w:t xml:space="preserve">响应文件</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（5）乙方在招标过程中所作的其它承诺、声明、书面澄清等。</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二、合同内容</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（一）项目内容：乙方负责完成甲方的</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项目”</w:t>
      </w:r>
      <w:r>
        <w:rPr>
          <w:rFonts w:ascii="宋体" w:hAnsi="宋体" w:eastAsia="宋体" w:cs="宋体"/>
          <w:sz w:val="24"/>
          <w:highlight w:val="none"/>
        </w:rPr>
        <w:t xml:space="preserve">，具体内容</w:t>
      </w:r>
      <w:r>
        <w:rPr>
          <w:rFonts w:hint="eastAsia" w:ascii="宋体" w:hAnsi="宋体" w:eastAsia="宋体" w:cs="宋体"/>
          <w:sz w:val="24"/>
          <w:highlight w:val="none"/>
        </w:rPr>
        <w:t xml:space="preserve">详见招标文件；</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（二）交付期限：</w:t>
      </w:r>
      <w:r>
        <w:rPr>
          <w:rFonts w:ascii="宋体" w:hAnsi="宋体" w:eastAsia="宋体" w:cs="宋体"/>
          <w:sz w:val="24"/>
          <w:szCs w:val="24"/>
          <w:highlight w:val="none"/>
        </w:rPr>
        <w:t xml:space="preserve">60</w:t>
      </w:r>
      <w:r>
        <w:rPr>
          <w:rFonts w:hint="eastAsia" w:ascii="宋体" w:hAnsi="宋体" w:eastAsia="宋体" w:cs="宋体"/>
          <w:sz w:val="24"/>
          <w:szCs w:val="24"/>
          <w:highlight w:val="none"/>
        </w:rPr>
        <w:t xml:space="preserve">天</w:t>
      </w:r>
      <w:r>
        <w:rPr>
          <w:rFonts w:hint="eastAsia" w:ascii="宋体" w:hAnsi="宋体" w:eastAsia="宋体" w:cs="宋体"/>
          <w:sz w:val="24"/>
          <w:highlight w:val="none"/>
        </w:rPr>
        <w:t xml:space="preserve">。</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（三）交付地点：</w:t>
      </w:r>
      <w:r>
        <w:rPr>
          <w:rFonts w:hint="eastAsia" w:ascii="宋体" w:hAnsi="宋体" w:eastAsia="宋体" w:cs="宋体"/>
          <w:sz w:val="24"/>
          <w:highlight w:val="none"/>
        </w:rPr>
        <w:t xml:space="preserve">苏州大学天赐庄校区东区南门。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w:t>
      </w:r>
      <w:r>
        <w:rPr>
          <w:rFonts w:hint="eastAsia" w:ascii="宋体" w:hAnsi="宋体" w:eastAsia="宋体" w:cs="宋体"/>
          <w:sz w:val="24"/>
          <w:highlight w:val="none"/>
        </w:rPr>
        <w:t xml:space="preserve">免费</w:t>
      </w:r>
      <w:r>
        <w:rPr>
          <w:rFonts w:ascii="宋体" w:hAnsi="宋体" w:eastAsia="宋体" w:cs="宋体"/>
          <w:sz w:val="24"/>
          <w:highlight w:val="none"/>
        </w:rPr>
        <w:t xml:space="preserve">质保期：【</w:t>
      </w:r>
      <w:r>
        <w:rPr>
          <w:rFonts w:hint="eastAsia" w:ascii="宋体" w:hAnsi="宋体" w:eastAsia="宋体" w:cs="宋体"/>
          <w:sz w:val="24"/>
          <w:highlight w:val="none"/>
        </w:rPr>
        <w:t xml:space="preserve">     </w:t>
      </w:r>
      <w:r>
        <w:rPr>
          <w:rFonts w:ascii="宋体" w:hAnsi="宋体" w:eastAsia="宋体" w:cs="宋体"/>
          <w:sz w:val="24"/>
          <w:highlight w:val="none"/>
        </w:rPr>
        <w:t xml:space="preserve">】年，自货物经甲方验收通过之日起开始计算。</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三、价格与支付</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（一）本合同金额按此次中标（成交）价格执行，本合同总金额（含税）为人民币（大写）</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）。上述合同总金额已</w:t>
      </w:r>
      <w:r>
        <w:rPr>
          <w:rFonts w:hint="eastAsia" w:ascii="宋体" w:hAnsi="宋体" w:eastAsia="宋体" w:cs="宋体"/>
          <w:sz w:val="24"/>
          <w:highlight w:val="none"/>
        </w:rPr>
        <w:t xml:space="preserve">包括所有货物的供货、辅助材料、人工、运输、检验、送货、保险、装卸、仓储、代理服务费、保管、各种税费及其他伴随服务等一切必须费用。</w:t>
      </w:r>
      <w:r>
        <w:rPr>
          <w:rFonts w:ascii="宋体" w:hAnsi="宋体" w:eastAsia="宋体" w:cs="宋体"/>
          <w:sz w:val="24"/>
          <w:highlight w:val="none"/>
        </w:rPr>
        <w:t xml:space="preserve">除非本合同另有约定或经甲乙双方协商同意，乙方不得再要求</w:t>
      </w:r>
      <w:r>
        <w:rPr>
          <w:rFonts w:ascii="宋体" w:hAnsi="宋体" w:eastAsia="宋体" w:cs="宋体"/>
          <w:sz w:val="24"/>
          <w:szCs w:val="24"/>
          <w:highlight w:val="none"/>
        </w:rPr>
        <w:t xml:space="preserve">追加任何其他费用。同时，除本合同另有约定外，本合同价格在实施期间不因市场变化因素而变动。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注：1.乙方需在合同签订之前递交履约保证金，履约保证金为合同金额的10%。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2.乙方应当以支票、汇票、本票或者金融机构、担保机构出具的见索即付保函等非现金形式提交履约保证金(保函内容须经学校认可)。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（二）合同价款的支付及付款方式：</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1.付款方式：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（1）乙方完成</w:t>
      </w:r>
      <w:r>
        <w:rPr>
          <w:rFonts w:hint="eastAsia" w:ascii="宋体" w:hAnsi="宋体" w:eastAsia="宋体" w:cs="宋体"/>
          <w:sz w:val="24"/>
          <w:szCs w:val="24"/>
          <w:highlight w:val="none"/>
          <w:lang w:val="en-US" w:eastAsia="zh-CN"/>
        </w:rPr>
        <w:t xml:space="preserve">项目施工</w:t>
      </w:r>
      <w:r>
        <w:rPr>
          <w:rFonts w:hint="eastAsia" w:ascii="宋体" w:hAnsi="宋体" w:eastAsia="宋体" w:cs="宋体"/>
          <w:sz w:val="24"/>
          <w:szCs w:val="24"/>
          <w:highlight w:val="none"/>
        </w:rPr>
        <w:t xml:space="preserve">后支付至合同价款的60%；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）项目通过验收后，提供项目结算资料及</w:t>
      </w:r>
      <w:r>
        <w:rPr>
          <w:rFonts w:hint="eastAsia" w:ascii="宋体" w:hAnsi="宋体" w:eastAsia="宋体" w:cs="宋体"/>
          <w:sz w:val="24"/>
          <w:szCs w:val="24"/>
          <w:highlight w:val="none"/>
          <w:lang w:val="en-US" w:eastAsia="zh-CN"/>
        </w:rPr>
        <w:t xml:space="preserve">验收</w:t>
      </w:r>
      <w:r>
        <w:rPr>
          <w:rFonts w:hint="eastAsia" w:ascii="宋体" w:hAnsi="宋体" w:eastAsia="宋体" w:cs="宋体"/>
          <w:sz w:val="24"/>
          <w:szCs w:val="24"/>
          <w:highlight w:val="none"/>
        </w:rPr>
        <w:t xml:space="preserve">资料，经审计后支付至结算价格的100%。</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2.乙方提请甲方付款前，应提供以下资料：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（1）合法有效且符合甲方要求的发票；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（2）随货物附带的所有有关资料（如质量保证书等）；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（3）由甲乙双方签章的《政府采购合同履行验收报告》（《政府采购合同履行验收报告》于本项目经甲</w:t>
      </w:r>
      <w:r>
        <w:rPr>
          <w:rFonts w:ascii="宋体" w:hAnsi="宋体" w:eastAsia="宋体" w:cs="宋体"/>
          <w:sz w:val="24"/>
          <w:highlight w:val="none"/>
        </w:rPr>
        <w:t xml:space="preserve">方验收后提供）。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若乙方未按要求提供上述资料的，甲方有权迟延付款，且不承担逾期付款的违约责任。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付款方式：银行转账或数字人民币转账。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（1）乙方数字人民币账户信息如下：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账户名：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开户行：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数字人民币账号（数币钱包ID）：</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（2）乙方银行转账账户信息如下：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开户名称：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开户银行：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银行账号：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根据现行税法对甲方征收的与本合同有关的一切税费均由甲方承担；根据现行税法对乙方征收的与本合同有关的一切税费均由乙方承担。</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四、质量保证</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应保证其向甲方提供的货物是全新的、未使用过的，并且不是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等非甲方原因而造成的任何不足或故障负责。质保期内货物出现质量问题的，乙方应负责包修、包退、包换，由此产生的一切费用均由乙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（二）乙方应按照本合同约定的质量标准提供合格的货物，如未约定质量标准的，应按照强制性国家标准履行</w:t>
      </w:r>
      <w:r>
        <w:rPr>
          <w:rFonts w:hint="eastAsia" w:ascii="宋体" w:hAnsi="宋体" w:eastAsia="宋体" w:cs="宋体"/>
          <w:sz w:val="24"/>
          <w:highlight w:val="none"/>
        </w:rPr>
        <w:t xml:space="preserve">；</w:t>
      </w:r>
      <w:r>
        <w:rPr>
          <w:rFonts w:ascii="宋体" w:hAnsi="宋体" w:eastAsia="宋体" w:cs="宋体"/>
          <w:sz w:val="24"/>
          <w:highlight w:val="none"/>
        </w:rPr>
        <w:t xml:space="preserve">没有强制性国家标准的,按照推荐性国家标准履行</w:t>
      </w:r>
      <w:r>
        <w:rPr>
          <w:rFonts w:hint="eastAsia" w:ascii="宋体" w:hAnsi="宋体" w:eastAsia="宋体" w:cs="宋体"/>
          <w:sz w:val="24"/>
          <w:highlight w:val="none"/>
        </w:rPr>
        <w:t xml:space="preserve">；</w:t>
      </w:r>
      <w:r>
        <w:rPr>
          <w:rFonts w:ascii="宋体" w:hAnsi="宋体" w:eastAsia="宋体" w:cs="宋体"/>
          <w:sz w:val="24"/>
          <w:highlight w:val="none"/>
        </w:rPr>
        <w:t xml:space="preserve">没有推荐性国家标准的,按照行业标准履行</w:t>
      </w:r>
      <w:r>
        <w:rPr>
          <w:rFonts w:hint="eastAsia" w:ascii="宋体" w:hAnsi="宋体" w:eastAsia="宋体" w:cs="宋体"/>
          <w:sz w:val="24"/>
          <w:highlight w:val="none"/>
        </w:rPr>
        <w:t xml:space="preserve">；</w:t>
      </w:r>
      <w:r>
        <w:rPr>
          <w:rFonts w:ascii="宋体" w:hAnsi="宋体" w:eastAsia="宋体" w:cs="宋体"/>
          <w:sz w:val="24"/>
          <w:highlight w:val="none"/>
        </w:rPr>
        <w:t xml:space="preserve">没有国家标准、行业标准的,按照通常标准或者符合合同目的的特定标准履行。同时存在不同标准的，以最高标准为准。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根据甲方按本合同约定的检验标准检验的结果或具有法定检验资质的第三方检验机构出具的检验结果，如果设备的数量、质量或规格与本合同约定不符或证实设备是有缺陷的，包括潜在缺陷或使用不符合要求的材料等，甲方有权以书面形式通知乙方并提出索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主张。如甲方在使用乙方提供的标的物构成上述侵权的，乙方应承担全部责任，并赔偿由此给甲方造成的一切直接、间接损失。</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五、包装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（二）乙方应保证其提供的货物是原包装未拆封的商品，在交付甲方验收前不得拆箱。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（三）运输、贮存和搬运方式应按制造厂商的要求进行，两块标志邻接面之间应用适合的衬垫材料分隔，以免在运输、搬运过程中磨损标志板面。标志板应贮存在干净、干燥的室内。</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六、标的物的交付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（一）本项目货物的所有权自货物由乙方交付甲方时转移。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（二）乙方应当按照本合同约定的期限和约定的地点交付货物。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（三）乙方应当按照本合同约定或者交易习惯向甲方交付提取货物单证以外的有关单证和资料。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（四）本合同中所称“交付”，除根据上下文明显指到货时的交货外，均指完成安装调试后的交付。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（五）乙方负责安排货物运输，因交货产生的运输、装卸、安装、保险等相关费用全部由乙方承担。货物在交付甲方并通过验收合格前，其灭失、损毁的风险由乙方承担。</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七、伴随服务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（一）乙方除应按照本合同约定及甲方的要求履行按期按量交付合格货物的义务外，还应当提供下列服务：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货物的现场安装、启动、调试、监督（如果必须安装、调试的话）；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提供货物组装和一般维修所必需的工具；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在本合同规定的期限内对所提供的货物实行运行监督、维修服务的前提条件是该服务并不能免除乙方在质量保证期内应承担的义务；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rPr>
          <w:rFonts w:hint="eastAsia" w:ascii="宋体" w:hAnsi="宋体" w:eastAsia="宋体" w:cs="宋体"/>
          <w:sz w:val="24"/>
          <w:highlight w:val="none"/>
        </w:rPr>
        <w:t xml:space="preserve">.</w:t>
      </w:r>
      <w:r>
        <w:rPr>
          <w:rFonts w:ascii="宋体" w:hAnsi="宋体" w:eastAsia="宋体" w:cs="宋体"/>
          <w:sz w:val="24"/>
          <w:highlight w:val="none"/>
        </w:rPr>
        <w:t xml:space="preserve">对甲方技术人员进行技术指导或培训服务。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（二）除本合同另有规定外，伴随服务的费用均已包含在本合同总价款中，甲方不再另行向乙方支付任何其他费用。</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八、标的物的检验和验收</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一</w:t>
      </w:r>
      <w:r>
        <w:rPr>
          <w:rFonts w:hint="eastAsia" w:ascii="宋体" w:hAnsi="宋体" w:eastAsia="宋体" w:cs="宋体"/>
          <w:sz w:val="24"/>
          <w:highlight w:val="none"/>
        </w:rPr>
        <w:t xml:space="preserve">）到货验收：货物到场后，乙方须确保气膜馆材料、设备的规格、材质、数量与合同及装箱单一致，合格证、质量证明文件齐全，包装完好。经学校现场核验签字确认后，方可拆箱安装。</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rPr>
        <w:t xml:space="preserve">）竣工验收：项目完工后，由学校组织开展验收，验收标准须符合国家现行相关规范及招标文件约定要求。乙方须按期提交气膜主体检测报告，包含两项：①由国家认可检测机构出具的外膜检测报告，燃烧性能达到B1级；②带有CMA标识、依据GB 18401-2010（C类）检测的报告，甲醛、异味、pH 值指标均合格。学校有权对项目关键物料实施抽样复检，复检不合格的，不予通过验收。上述所有涉及检测、复检的费用均由乙方承担。项目资料齐全且全部合格有效的，方可验收通过。</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三</w:t>
      </w:r>
      <w:r>
        <w:rPr>
          <w:rFonts w:ascii="宋体" w:hAnsi="宋体" w:eastAsia="宋体" w:cs="宋体"/>
          <w:sz w:val="24"/>
          <w:highlight w:val="none"/>
        </w:rPr>
        <w:t xml:space="preserve">）由于甲方自身能力、检验方法和检验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九、标的物提出异议的时间和办法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甲方在验收过程中，应当于双方约定的验收期间内将货物的数量或质量不符合约定的情况及处理方式以书面形式通知乙方。若货物存在甲方无法检验的质量问题，则对该货物的检验不受验收期间的限制，但甲方应在发现质量问题后及时提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如果甲方在验收期满后15日内既不出具验收合格证明又未提出书面异议的，乙方应当自验收期满后30日内对甲方进行催告，经乙方催告后甲方在15日内仍未出具验收合格证明或提出书面异议的，视为验收合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十、售后服务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自项目全面验收合格之日起，整个项目免费质保期为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年，在免费质保期内出现质量问题（人为除外），乙方负责无条件维修或更换。采购人报修后，乙方在</w:t>
      </w:r>
      <w:r>
        <w:rPr>
          <w:rFonts w:hint="eastAsia" w:ascii="宋体" w:hAnsi="宋体" w:eastAsia="宋体" w:cs="宋体"/>
          <w:sz w:val="24"/>
          <w:highlight w:val="none"/>
          <w:u w:val="single"/>
        </w:rPr>
        <w:t xml:space="preserve"> 24 </w:t>
      </w:r>
      <w:r>
        <w:rPr>
          <w:rFonts w:hint="eastAsia" w:ascii="宋体" w:hAnsi="宋体" w:eastAsia="宋体" w:cs="宋体"/>
          <w:sz w:val="24"/>
          <w:highlight w:val="none"/>
        </w:rPr>
        <w:t xml:space="preserve">小时内响应，</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小时内到达现场，</w:t>
      </w:r>
      <w:r>
        <w:rPr>
          <w:rFonts w:hint="eastAsia" w:ascii="宋体" w:hAnsi="宋体" w:eastAsia="宋体" w:cs="宋体"/>
          <w:sz w:val="24"/>
          <w:highlight w:val="none"/>
          <w:u w:val="single"/>
        </w:rPr>
        <w:t xml:space="preserve">  8  </w:t>
      </w:r>
      <w:r>
        <w:rPr>
          <w:rFonts w:hint="eastAsia" w:ascii="宋体" w:hAnsi="宋体" w:eastAsia="宋体" w:cs="宋体"/>
          <w:sz w:val="24"/>
          <w:highlight w:val="none"/>
        </w:rPr>
        <w:t xml:space="preserve">小时内完成甲方提出的维修要求，如需更换或送修，必须在</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个工作日内解决。</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十一、安全生产</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1.在项目实施及质保期间，乙方应当配备必要的安全生产管理人员，负责强化项目实施人员安全教育和安全管理，如实施过程中存在人身安全风险的，乙方应当为实施人员购买必要的人身安全保险。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2.所有作业人员均需按照国家法律法规之规定，取得对应上岗资格证书、作业许可证书、特种作业证书等相关资格证书，方可上岗作业。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w:t>
      </w:r>
      <w:r>
        <w:rPr>
          <w:rFonts w:hint="eastAsia" w:ascii="宋体" w:hAnsi="宋体" w:eastAsia="宋体" w:cs="宋体"/>
          <w:color w:val="000000"/>
          <w:sz w:val="24"/>
          <w:szCs w:val="24"/>
          <w:highlight w:val="none"/>
        </w:rPr>
        <w:t xml:space="preserve">若发生安全事故或者财产损害，乙方应当及时妥善处理，若因此导致任何影响甲方正常经营的事由出现，甲方有权不经通知乙方即选择下列一项或多项处理措施：（1）暂扣乙方剩余合同价款 ，待乙方妥善解决事故后再予以支付。（2）从甲方尚未支付给乙方的款项中先行垫付给事故当事人或其家属相关的费用。在此情形下，甲方实施上述行为不代表甲方认可甲方在该事故中承担责任。且甲方对实施该行为造成的一切后果不承担任何责任。</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十二、违约责任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合同一方不履行合同义务或者履行合同义务不符合约定的，应当承担继续履行、采取补救措施或赔偿损失等违约责任。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（一）甲方违约责任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本合同生效后，甲方无正当理由要求退货的，应向乙方支付本合同总金额</w:t>
      </w:r>
      <w:r>
        <w:rPr>
          <w:rFonts w:hint="eastAsia" w:ascii="宋体" w:hAnsi="宋体" w:eastAsia="宋体" w:cs="宋体"/>
          <w:sz w:val="24"/>
          <w:highlight w:val="none"/>
        </w:rPr>
        <w:t xml:space="preserve">5</w:t>
      </w:r>
      <w:r>
        <w:rPr>
          <w:rFonts w:ascii="宋体" w:hAnsi="宋体" w:eastAsia="宋体" w:cs="宋体"/>
          <w:sz w:val="24"/>
          <w:highlight w:val="none"/>
        </w:rPr>
        <w:t xml:space="preserve">%的违约金。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甲方</w:t>
      </w:r>
      <w:r>
        <w:rPr>
          <w:rFonts w:hint="eastAsia" w:ascii="宋体" w:hAnsi="宋体" w:eastAsia="宋体" w:cs="宋体"/>
          <w:sz w:val="24"/>
          <w:highlight w:val="none"/>
        </w:rPr>
        <w:t xml:space="preserve">因自身原因无故</w:t>
      </w:r>
      <w:r>
        <w:rPr>
          <w:rFonts w:ascii="宋体" w:hAnsi="宋体" w:eastAsia="宋体" w:cs="宋体"/>
          <w:sz w:val="24"/>
          <w:highlight w:val="none"/>
        </w:rPr>
        <w:t xml:space="preserve">逾期支付合同价款的，每逾期1日，应向乙方支付逾期付款金额万分之四的违约金，但甲方支付的该项违约金总额以逾期付款金额的</w:t>
      </w:r>
      <w:r>
        <w:rPr>
          <w:rFonts w:hint="eastAsia" w:ascii="宋体" w:hAnsi="宋体" w:eastAsia="宋体" w:cs="宋体"/>
          <w:sz w:val="24"/>
          <w:highlight w:val="none"/>
        </w:rPr>
        <w:t xml:space="preserve">5</w:t>
      </w:r>
      <w:r>
        <w:rPr>
          <w:rFonts w:ascii="宋体" w:hAnsi="宋体" w:eastAsia="宋体" w:cs="宋体"/>
          <w:sz w:val="24"/>
          <w:highlight w:val="none"/>
        </w:rPr>
        <w:t xml:space="preserve">%为限。</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甲方违反本合同规定，无正当理由拒绝接收乙方交付的合格标的物的，应当承担因此给乙方造成的损失。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乙方未能按本合同约定的期限交付质量符合本合同约定货物的，甲方有权选择采取以下一种或多种措施：</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（1）每逾期一日，要求乙方按照本合同总金额的万分之四向甲方支付违约金，并在甲方指定期限内交付符合本合同约定的货物。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（2）甲方有权直接解除本合同，同时乙方应当立即退回已收取的全部款项并向甲方支付本合同总金额【20】%的违约金。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因乙方违约导致甲方解除合同的，甲方有权另行采购本合同约定的设备，乙方应当支付甲方因此额外支付的费用和受到的损失，包括但不限于</w:t>
      </w:r>
      <w:r>
        <w:rPr>
          <w:rFonts w:hint="eastAsia" w:ascii="宋体" w:hAnsi="宋体" w:eastAsia="宋体" w:cs="宋体"/>
          <w:sz w:val="24"/>
          <w:highlight w:val="none"/>
        </w:rPr>
        <w:t xml:space="preserve">：</w:t>
      </w:r>
      <w:r>
        <w:rPr>
          <w:rFonts w:ascii="宋体" w:hAnsi="宋体" w:eastAsia="宋体" w:cs="宋体"/>
          <w:sz w:val="24"/>
          <w:highlight w:val="none"/>
        </w:rPr>
        <w:t xml:space="preserve"> 采购费用以及因退货所产生的运输、存储费用，因乙方违约导致逾期交付的损失（损失参照合同约定的逾期交付违约金计算方式进行认定）等一切费用和损失。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本项目禁止任何形式的转包与分包，如乙方出现违反上述约定的情况，甲方有权解除本合同，同时乙方应当立即退回已收取的全部款项并向甲方支付本合同总金额【20】%的违约金。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rPr>
          <w:rFonts w:hint="eastAsia" w:ascii="宋体" w:hAnsi="宋体" w:eastAsia="宋体" w:cs="宋体"/>
          <w:sz w:val="24"/>
          <w:highlight w:val="none"/>
        </w:rPr>
        <w:t xml:space="preserve">.</w:t>
      </w:r>
      <w:r>
        <w:rPr>
          <w:rFonts w:ascii="宋体" w:hAnsi="宋体" w:eastAsia="宋体" w:cs="宋体"/>
          <w:sz w:val="24"/>
          <w:highlight w:val="none"/>
        </w:rPr>
        <w:t xml:space="preserve">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rPr>
          <w:rFonts w:hint="eastAsia" w:ascii="宋体" w:hAnsi="宋体" w:eastAsia="宋体" w:cs="宋体"/>
          <w:sz w:val="24"/>
          <w:highlight w:val="none"/>
        </w:rPr>
        <w:t xml:space="preserve">.</w:t>
      </w:r>
      <w:r>
        <w:rPr>
          <w:rFonts w:ascii="宋体" w:hAnsi="宋体" w:eastAsia="宋体" w:cs="宋体"/>
          <w:sz w:val="24"/>
          <w:highlight w:val="none"/>
        </w:rPr>
        <w:t xml:space="preserve">乙方因履行本合同而需向甲方支付款项的（包括但不限于违约赔偿、退款等），甲方有权直接自未付款项中予以抵扣，不足部分甲方有权要求乙方补足。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6</w:t>
      </w:r>
      <w:r>
        <w:rPr>
          <w:rFonts w:hint="eastAsia" w:ascii="宋体" w:hAnsi="宋体" w:eastAsia="宋体" w:cs="宋体"/>
          <w:sz w:val="24"/>
          <w:highlight w:val="none"/>
        </w:rPr>
        <w:t xml:space="preserve">.</w:t>
      </w:r>
      <w:r>
        <w:rPr>
          <w:rFonts w:ascii="宋体" w:hAnsi="宋体" w:eastAsia="宋体" w:cs="宋体"/>
          <w:sz w:val="24"/>
          <w:highlight w:val="none"/>
        </w:rPr>
        <w:t xml:space="preserve">乙方逾期支付本合同约定的任何款项（包括但不限于违约赔偿、退款等）的，每逾期一日，乙方应当</w:t>
      </w:r>
      <w:r>
        <w:rPr>
          <w:rFonts w:hint="eastAsia" w:ascii="宋体" w:hAnsi="宋体" w:eastAsia="宋体" w:cs="宋体"/>
          <w:sz w:val="24"/>
          <w:highlight w:val="none"/>
          <w:lang w:val="en-US" w:eastAsia="zh-CN"/>
        </w:rPr>
        <w:t xml:space="preserve">向</w:t>
      </w:r>
      <w:r>
        <w:rPr>
          <w:rFonts w:ascii="宋体" w:hAnsi="宋体" w:eastAsia="宋体" w:cs="宋体"/>
          <w:sz w:val="24"/>
          <w:highlight w:val="none"/>
        </w:rPr>
        <w:t xml:space="preserve">甲方支付逾期金额万分之四的违约金。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7</w:t>
      </w:r>
      <w:r>
        <w:rPr>
          <w:rFonts w:hint="eastAsia" w:ascii="宋体" w:hAnsi="宋体" w:eastAsia="宋体" w:cs="宋体"/>
          <w:sz w:val="24"/>
          <w:highlight w:val="none"/>
        </w:rPr>
        <w:t xml:space="preserve">.</w:t>
      </w:r>
      <w:r>
        <w:rPr>
          <w:rFonts w:ascii="宋体" w:hAnsi="宋体" w:eastAsia="宋体" w:cs="宋体"/>
          <w:sz w:val="24"/>
          <w:highlight w:val="none"/>
        </w:rPr>
        <w:t xml:space="preserve">本合同约定的乙方应付违约金不足以弥补甲方一切直接或间接损失的，乙方应当足额赔偿。</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乙方对</w:t>
      </w:r>
      <w:r>
        <w:rPr>
          <w:rFonts w:hint="eastAsia" w:ascii="宋体" w:hAnsi="宋体" w:eastAsia="宋体" w:cs="宋体"/>
          <w:sz w:val="24"/>
          <w:highlight w:val="none"/>
        </w:rPr>
        <w:t xml:space="preserve">响应文件</w:t>
      </w:r>
      <w:r>
        <w:rPr>
          <w:rFonts w:ascii="宋体" w:hAnsi="宋体" w:eastAsia="宋体" w:cs="宋体"/>
          <w:sz w:val="24"/>
          <w:highlight w:val="none"/>
        </w:rPr>
        <w:t xml:space="preserve">中承诺函所承诺的内容未按约定提供，甲方有权终止合同，并</w:t>
      </w:r>
      <w:r>
        <w:rPr>
          <w:rFonts w:hint="eastAsia" w:ascii="宋体" w:hAnsi="宋体" w:eastAsia="宋体" w:cs="宋体"/>
          <w:sz w:val="24"/>
          <w:highlight w:val="none"/>
          <w:lang w:val="en-US" w:eastAsia="zh-CN"/>
        </w:rPr>
        <w:t xml:space="preserve">要求乙方</w:t>
      </w:r>
      <w:r>
        <w:rPr>
          <w:rFonts w:ascii="宋体" w:hAnsi="宋体" w:eastAsia="宋体" w:cs="宋体"/>
          <w:sz w:val="24"/>
          <w:highlight w:val="none"/>
        </w:rPr>
        <w:t xml:space="preserve">支付本合同总金额【20】%的违约金。</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十三、不可抗力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（一）合同一方因不可抗力不能履行合同的，根据不可抗力的影响，部分或者全部免除责任。但合同一方迟延履行后发生不可抗力的，不能免除责任。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（二）合同一方因不可抗力不能履行合同的，应当在不可抗力发生后3日内通知对方，以减轻可能给对方造成的损失，并应当在不可抗力通知发出后的7日内提供书面证明文件。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（三）不可抗力事由消除后，合同继续履行或解除等相关事宜，由合同双方协商解决。</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十四、索赔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（一）乙方交付的本合同货物的质量、数量、规格、性能等经检验、验收不合格的，甲方有权根据当地产品质量检验机构或其他有关部门出具的检验、验收证书向乙方提出索赔。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（二）在本合同规定的检验期限和质量保证期内，如果乙方对甲方提出的索赔或异议有责任，则乙方应按甲方同意的下列一种或多种方式解决索赔事宜：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乙方同意退货，并按本合同规定的货币形式将货款退还给甲方，并且承担由此发生的一切直接、间接损失和费用，包括利息、银行手续费、运费、总包配合费、保险费、检验费、仓储费、装卸费以及为保护退回货物所需的其他必要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根据货物的低劣程度、损坏程度以及甲方遭受损失的数额，经甲乙双方协商确定降低货物的价格。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乙方应在收到甲方书面索赔通知后7日内，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十五、合同的解除和转让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（一）除《政府采购法》第49条、第50条第二款规定的情形及本合同约定的情形外，本合同签订后，甲乙双方不得擅自变更、解除或终止本合同。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（二）有下列情形之一的，合同一方可以解除合同：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因不可抗力致使不能实现合同目的的，未受不可抗力影响的一方有权解除合同；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因合同一方违约导致合同不能履行的，另一方有权解除合同；</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.本合同约定或者法律规定一方可以解除的情形发生时；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有权解除合同的一方，应当在违约事实或不可抗力发生后30日内书面通知对方解除本合同，本合同在书面通知到达对方时解除。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（三）乙方不得将本合同的部分或全部义务转让给任何第三方。</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十六、合同的生效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本合同自甲乙双方法定（授权）代表人签字并盖章后生效。</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十七、争议解决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甲乙双方因履行本合同或与本合同有关的一切事项发生争议的，应友好协商解决；协商不成的，任何一方均有权向甲方所在地人民法院起诉。因乙方违约或乙方追究甲方违约但不成立，导致甲方为处理此纠纷产生的费用由乙方承担，该费用包括但不限于公证费、诉讼费、保全费、鉴定费、执行费、律师费、差旅费等。</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十八、其他附则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（一）合同份数：本合同一式</w:t>
      </w:r>
      <w:r>
        <w:rPr>
          <w:rFonts w:ascii="宋体" w:hAnsi="宋体" w:cs="宋体"/>
          <w:color w:val="000000"/>
          <w:sz w:val="24"/>
          <w:highlight w:val="none"/>
        </w:rPr>
        <w:t xml:space="preserve">玖份</w:t>
      </w:r>
      <w:r>
        <w:rPr>
          <w:rFonts w:ascii="宋体" w:hAnsi="宋体" w:eastAsia="宋体" w:cs="宋体"/>
          <w:sz w:val="24"/>
          <w:highlight w:val="none"/>
        </w:rPr>
        <w:t xml:space="preserve">，甲方</w:t>
      </w:r>
      <w:r>
        <w:rPr>
          <w:rFonts w:hint="eastAsia" w:ascii="宋体" w:hAnsi="宋体" w:eastAsia="宋体" w:cs="宋体"/>
          <w:color w:val="000000"/>
          <w:sz w:val="24"/>
          <w:szCs w:val="24"/>
          <w:highlight w:val="none"/>
        </w:rPr>
        <w:t xml:space="preserve">伍份</w:t>
      </w:r>
      <w:r>
        <w:rPr>
          <w:rFonts w:ascii="宋体" w:hAnsi="宋体" w:eastAsia="宋体" w:cs="宋体"/>
          <w:sz w:val="24"/>
          <w:highlight w:val="none"/>
        </w:rPr>
        <w:t xml:space="preserve">，乙方</w:t>
      </w:r>
      <w:r>
        <w:rPr>
          <w:rFonts w:ascii="宋体" w:hAnsi="宋体" w:cs="宋体"/>
          <w:color w:val="000000"/>
          <w:sz w:val="24"/>
          <w:highlight w:val="none"/>
        </w:rPr>
        <w:t xml:space="preserve">叁份</w:t>
      </w:r>
      <w:r>
        <w:rPr>
          <w:rFonts w:ascii="宋体" w:hAnsi="宋体" w:eastAsia="宋体" w:cs="宋体"/>
          <w:sz w:val="24"/>
          <w:highlight w:val="none"/>
        </w:rPr>
        <w:t xml:space="preserve">，采购代理机构执壹份，各份合同具有同等法律效力。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本合同未尽事宜应按《中华人民共和国民法典》《中华人民共和国政府采购法》以及其它法律、法规之规定解释，在执行过程中甲乙双方应在不违背本合同和采购文件的原则下协商解决，协商结果以书面形式盖章记录，作为本合同的附件，与本合同具有同等法律效力，但须提交采购代理机构壹份备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（三）本合同首部所载明的双方地址为甲乙双方认可的相关文件、法律文书送达地址，任何一方如更换通信地址应于3日内书面通知另一方，未通知的自行承担送达不能等不利后果。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（以下无正文）</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甲方（盖章）：</w:t>
      </w:r>
      <w:r>
        <w:rPr>
          <w:rFonts w:hint="eastAsia" w:ascii="宋体" w:hAnsi="宋体" w:eastAsia="宋体" w:cs="宋体"/>
          <w:sz w:val="24"/>
          <w:highlight w:val="none"/>
        </w:rPr>
        <w:t xml:space="preserve">苏州大学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法定（授权）代表人（签字）：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乙方（盖章）：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法定（授权）代表人（签字）：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rPr>
          <w:highlight w:val="none"/>
        </w:rP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rPr>
          <w:rFonts w:ascii="宋体" w:hAnsi="宋体" w:eastAsia="宋体" w:cs="宋体"/>
          <w:b/>
          <w:sz w:val="44"/>
          <w:highlight w:val="none"/>
        </w:rPr>
      </w:pPr>
      <w:r/>
      <w:bookmarkStart w:id="5" w:name="_Toc9204"/>
      <w:r>
        <w:rPr>
          <w:rFonts w:ascii="宋体" w:hAnsi="宋体" w:eastAsia="宋体" w:cs="宋体"/>
          <w:b/>
          <w:sz w:val="44"/>
          <w:highlight w:val="none"/>
        </w:rPr>
        <w:br w:type="page" w:clear="all"/>
      </w:r>
      <w:r/>
    </w:p>
    <w:p>
      <w:pPr>
        <w:pStyle w:val="752"/>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752"/>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第六章 评标办法及标准</w:t>
      </w:r>
      <w:bookmarkEnd w:id="5"/>
      <w:r/>
      <w:r/>
    </w:p>
    <w:p>
      <w:pPr>
        <w:ind w:firstLine="1968"/>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一、评标办法：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本次招标评标采用</w:t>
      </w:r>
      <w:r>
        <w:rPr>
          <w:rFonts w:ascii="宋体" w:hAnsi="宋体" w:eastAsia="宋体" w:cs="宋体"/>
          <w:sz w:val="24"/>
          <w:highlight w:val="none"/>
          <w:u w:val="single"/>
        </w:rPr>
        <w:t xml:space="preserve">综合评分法</w:t>
      </w:r>
      <w:r>
        <w:rPr>
          <w:rFonts w:ascii="宋体" w:hAnsi="宋体" w:eastAsia="宋体" w:cs="宋体"/>
          <w:sz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评标时，评标委员会成员按照招标文件规定的评分标准，独立对每个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的投标文件进行评价、打分。将评委对投标文件的除价格部分外的其他因素评分，并按算术平均法汇总，计算出每个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的评标总得分。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通过资格审查、符合性审查的不同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参加同一合同项下投标，提供的品牌相同的，按一家</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计算，评审后综合得分最高的同品牌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获得中标人资格；评审综合得分相同的，由采购人或采购人委托评标委员会确定一个投标报价最低的同品牌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获得中标人资格；同品牌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综合得分和投标报价均相同的，由评标委员会采取随机抽取方式确定获得中标人资格的同品牌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，其他同品牌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不作为中标人。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w:t>
      </w:r>
      <w:r>
        <w:rPr>
          <w:rFonts w:hint="eastAsia" w:ascii="宋体" w:hAnsi="宋体" w:eastAsia="宋体" w:cs="宋体"/>
          <w:b/>
          <w:sz w:val="24"/>
          <w:highlight w:val="none"/>
        </w:rPr>
        <w:t xml:space="preserve">评审要求</w:t>
      </w:r>
      <w:r>
        <w:rPr>
          <w:rFonts w:ascii="宋体" w:hAnsi="宋体" w:eastAsia="宋体" w:cs="宋体"/>
          <w:b/>
          <w:sz w:val="24"/>
          <w:highlight w:val="none"/>
        </w:rPr>
        <w:t xml:space="preserve">：</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1.政府采购评审中出现下列情形之一的，评审委员会应当启动异常低价投标（响应）审查程序：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9"/>
        <w:ind w:left="0" w:right="0" w:firstLine="482"/>
        <w:rPr>
          <w:rFonts w:hint="default" w:ascii="宋体" w:hAnsi="宋体" w:eastAsia="宋体" w:cs="宋体"/>
          <w:b/>
          <w:bCs/>
          <w:sz w:val="24"/>
          <w:szCs w:val="24"/>
          <w:highlight w:val="none"/>
        </w:rPr>
      </w:pPr>
      <w:r>
        <w:rPr>
          <w:rFonts w:ascii="宋体" w:hAnsi="宋体" w:eastAsia="宋体" w:cs="宋体"/>
          <w:b/>
          <w:bCs/>
          <w:sz w:val="24"/>
          <w:szCs w:val="24"/>
          <w:highlight w:val="none"/>
        </w:rPr>
        <w:t xml:space="preserve">2.针对中小型企业、残疾人福利企业和监狱企业的评审：</w:t>
      </w:r>
      <w:r/>
    </w:p>
    <w:p>
      <w:pPr>
        <w:pStyle w:val="769"/>
        <w:ind w:left="0" w:right="0" w:firstLine="480"/>
        <w:rPr>
          <w:rFonts w:hint="default" w:ascii="宋体" w:hAnsi="宋体" w:eastAsia="宋体" w:cs="宋体"/>
          <w:b/>
          <w:bCs/>
          <w:color w:val="000000"/>
          <w:sz w:val="24"/>
          <w:szCs w:val="24"/>
          <w:highlight w:val="none"/>
        </w:rPr>
      </w:pPr>
      <w:r>
        <w:rPr>
          <w:rFonts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color w:val="000000"/>
          <w:sz w:val="24"/>
          <w:szCs w:val="24"/>
          <w:highlight w:val="none"/>
        </w:rPr>
        <w:t xml:space="preserve">对小型和微型企业产品或服务的价格给予10%的扣除，用扣除后的价格参与评审。</w:t>
      </w:r>
      <w:r/>
    </w:p>
    <w:p>
      <w:pPr>
        <w:pStyle w:val="769"/>
        <w:ind w:left="0" w:right="0" w:firstLine="482"/>
        <w:rPr>
          <w:rFonts w:hint="default"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w:t>
      </w:r>
      <w:r>
        <w:rPr>
          <w:rStyle w:val="793"/>
          <w:rFonts w:ascii="宋体" w:hAnsi="宋体" w:eastAsia="宋体" w:cs="宋体"/>
          <w:sz w:val="24"/>
          <w:szCs w:val="24"/>
          <w:highlight w:val="none"/>
          <w:shd w:val="clear" w:color="auto" w:fill="ffffff"/>
        </w:rPr>
        <w:t xml:space="preserve">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pStyle w:val="769"/>
        <w:ind w:left="0" w:right="0" w:firstLine="480"/>
        <w:rPr>
          <w:rFonts w:hint="default" w:ascii="宋体" w:hAnsi="宋体" w:eastAsia="宋体" w:cs="宋体"/>
          <w:sz w:val="24"/>
          <w:szCs w:val="24"/>
          <w:highlight w:val="none"/>
        </w:rPr>
      </w:pPr>
      <w:r>
        <w:rPr>
          <w:rFonts w:ascii="宋体" w:hAnsi="宋体" w:eastAsia="宋体" w:cs="宋体"/>
          <w:sz w:val="24"/>
          <w:highlight w:val="none"/>
        </w:rPr>
        <w:t xml:space="preserve">当采购项目或者采购包中含有多种产品，供应商为该采购项目或者采购包提供的</w:t>
      </w:r>
      <w:r>
        <w:rPr>
          <w:rFonts w:ascii="宋体" w:hAnsi="宋体" w:eastAsia="宋体" w:cs="宋体"/>
          <w:b/>
          <w:bCs/>
          <w:sz w:val="24"/>
          <w:highlight w:val="none"/>
        </w:rPr>
        <w:t xml:space="preserve">符合本国产品标准的产品成本之和占该供应商提供的全部产品成本之和的比例达到80%以上</w:t>
      </w:r>
      <w:r>
        <w:rPr>
          <w:rFonts w:ascii="宋体" w:hAnsi="宋体" w:eastAsia="宋体" w:cs="宋体"/>
          <w:sz w:val="24"/>
          <w:highlight w:val="none"/>
        </w:rPr>
        <w:t xml:space="preserve">时，依法对该供应商提供的全部产品给予价格评审优惠，即</w:t>
      </w:r>
      <w:r>
        <w:rPr>
          <w:rFonts w:ascii="宋体" w:hAnsi="宋体" w:eastAsia="宋体" w:cs="宋体"/>
          <w:b/>
          <w:bCs/>
          <w:sz w:val="24"/>
          <w:highlight w:val="none"/>
        </w:rPr>
        <w:t xml:space="preserve">对该供应商提供的全部产品的总报价给予20%的价格扣除</w:t>
      </w:r>
      <w:r>
        <w:rPr>
          <w:rFonts w:ascii="宋体" w:hAnsi="宋体" w:eastAsia="宋体" w:cs="宋体"/>
          <w:sz w:val="24"/>
          <w:highlight w:val="none"/>
        </w:rPr>
        <w:t xml:space="preserve">，用扣除后的价格参与评审。</w:t>
      </w:r>
      <w:r/>
    </w:p>
    <w:p>
      <w:pPr>
        <w:rPr>
          <w:rFonts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p>
    <w:p>
      <w:pPr>
        <w:ind w:firstLine="480"/>
        <w:spacing w:line="360" w:lineRule="auto"/>
        <w:widowControl w:val="off"/>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三、评分标准</w:t>
      </w:r>
      <w:r/>
    </w:p>
    <w:tbl>
      <w:tblPr>
        <w:tblStyle w:val="762"/>
        <w:tblW w:w="50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2"/>
        <w:gridCol w:w="1236"/>
        <w:gridCol w:w="6274"/>
        <w:gridCol w:w="851"/>
      </w:tblGrid>
      <w:tr>
        <w:trPr>
          <w:jc w:val="center"/>
          <w:trHeight w:val="770"/>
        </w:trPr>
        <w:tc>
          <w:tcPr>
            <w:gridSpan w:val="2"/>
            <w:tcW w:w="1305" w:type="pct"/>
            <w:vAlign w:val="center"/>
            <w:textDirection w:val="lrTb"/>
            <w:noWrap/>
          </w:tcPr>
          <w:p>
            <w:pPr>
              <w:pStyle w:val="791"/>
              <w:ind w:left="0" w:firstLine="0"/>
              <w:jc w:val="center"/>
              <w:rPr>
                <w:rFonts w:ascii="宋体" w:hAnsi="宋体" w:eastAsia="宋体" w:cs="宋体"/>
                <w:szCs w:val="24"/>
                <w:highlight w:val="none"/>
              </w:rPr>
            </w:pPr>
            <w:r>
              <w:rPr>
                <w:rFonts w:hint="eastAsia" w:ascii="宋体" w:hAnsi="宋体" w:eastAsia="宋体" w:cs="宋体"/>
                <w:szCs w:val="24"/>
                <w:highlight w:val="none"/>
              </w:rPr>
              <w:t xml:space="preserve">考核项目</w:t>
            </w:r>
            <w:r/>
          </w:p>
        </w:tc>
        <w:tc>
          <w:tcPr>
            <w:tcW w:w="3253" w:type="pct"/>
            <w:vAlign w:val="center"/>
            <w:textDirection w:val="lrTb"/>
            <w:noWrap/>
          </w:tcPr>
          <w:p>
            <w:pPr>
              <w:pStyle w:val="791"/>
              <w:ind w:left="0" w:firstLine="0"/>
              <w:jc w:val="center"/>
              <w:rPr>
                <w:rFonts w:ascii="宋体" w:hAnsi="宋体" w:eastAsia="宋体" w:cs="宋体"/>
                <w:szCs w:val="24"/>
                <w:highlight w:val="none"/>
              </w:rPr>
            </w:pPr>
            <w:r>
              <w:rPr>
                <w:rFonts w:hint="eastAsia" w:ascii="宋体" w:hAnsi="宋体" w:eastAsia="宋体" w:cs="宋体"/>
                <w:szCs w:val="24"/>
                <w:highlight w:val="none"/>
              </w:rPr>
              <w:t xml:space="preserve">评分标准</w:t>
            </w:r>
            <w:r/>
          </w:p>
        </w:tc>
        <w:tc>
          <w:tcPr>
            <w:tcW w:w="441" w:type="pct"/>
            <w:vAlign w:val="center"/>
            <w:textDirection w:val="lrTb"/>
            <w:noWrap/>
          </w:tcPr>
          <w:p>
            <w:pPr>
              <w:pStyle w:val="791"/>
              <w:ind w:left="0" w:firstLine="0"/>
              <w:jc w:val="center"/>
              <w:rPr>
                <w:rFonts w:ascii="宋体" w:hAnsi="宋体" w:eastAsia="宋体" w:cs="宋体"/>
                <w:szCs w:val="24"/>
                <w:highlight w:val="none"/>
                <w:lang w:val="zh-CN"/>
              </w:rPr>
            </w:pPr>
            <w:r>
              <w:rPr>
                <w:rFonts w:hint="eastAsia" w:ascii="宋体" w:hAnsi="宋体" w:eastAsia="宋体" w:cs="宋体"/>
                <w:szCs w:val="24"/>
                <w:highlight w:val="none"/>
                <w:lang w:val="zh-CN"/>
              </w:rPr>
              <w:t xml:space="preserve">分值</w:t>
            </w:r>
            <w:r/>
          </w:p>
        </w:tc>
      </w:tr>
      <w:tr>
        <w:trPr>
          <w:jc w:val="center"/>
          <w:trHeight w:val="1594"/>
        </w:trPr>
        <w:tc>
          <w:tcPr>
            <w:gridSpan w:val="2"/>
            <w:tcW w:w="1305" w:type="pct"/>
            <w:vAlign w:val="center"/>
            <w:textDirection w:val="lrTb"/>
            <w:noWrap/>
          </w:tcPr>
          <w:p>
            <w:pPr>
              <w:pStyle w:val="791"/>
              <w:ind w:left="0" w:firstLine="0"/>
              <w:jc w:val="center"/>
              <w:rPr>
                <w:rFonts w:ascii="宋体" w:hAnsi="宋体" w:eastAsia="宋体" w:cs="宋体"/>
                <w:szCs w:val="24"/>
                <w:highlight w:val="none"/>
              </w:rPr>
            </w:pPr>
            <w:r>
              <w:rPr>
                <w:rFonts w:hint="eastAsia" w:ascii="宋体" w:hAnsi="宋体" w:eastAsia="宋体" w:cs="宋体"/>
                <w:szCs w:val="24"/>
                <w:highlight w:val="none"/>
              </w:rPr>
              <w:t xml:space="preserve">报价分30分</w:t>
            </w:r>
            <w:r/>
          </w:p>
        </w:tc>
        <w:tc>
          <w:tcPr>
            <w:tcW w:w="3253" w:type="pct"/>
            <w:vAlign w:val="center"/>
            <w:textDirection w:val="lrTb"/>
            <w:noWrap/>
          </w:tcPr>
          <w:p>
            <w:pPr>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第一步：投标报价低于或等于采购预算（或最高限价）的，为有效投标报价。超采购预算（或最高限价）的投标报价为无效投标报价。</w:t>
            </w:r>
            <w:r/>
          </w:p>
          <w:p>
            <w:pPr>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第二步：在所有有效投标报价中满足招标文件要求，且投标价格最低的投标报价为评标基准价，其他投标人的价格分按照下列公式计算（计算结果四舍五入保留两位小数）。</w:t>
            </w:r>
            <w:r/>
          </w:p>
          <w:p>
            <w:pPr>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投标报价得分＝（评标基准价/投标报价）×30%×100</w:t>
            </w:r>
            <w:r/>
          </w:p>
        </w:tc>
        <w:tc>
          <w:tcPr>
            <w:tcW w:w="441" w:type="pct"/>
            <w:vAlign w:val="center"/>
            <w:textDirection w:val="lrTb"/>
            <w:noWrap/>
          </w:tcPr>
          <w:p>
            <w:pPr>
              <w:jc w:val="center"/>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30</w:t>
            </w:r>
            <w:r/>
          </w:p>
        </w:tc>
      </w:tr>
      <w:tr>
        <w:trPr>
          <w:jc w:val="center"/>
          <w:trHeight w:val="1449"/>
        </w:trPr>
        <w:tc>
          <w:tcPr>
            <w:tcW w:w="664" w:type="pct"/>
            <w:vAlign w:val="center"/>
            <w:vMerge w:val="restart"/>
            <w:textDirection w:val="lrTb"/>
            <w:noWrap/>
          </w:tcPr>
          <w:p>
            <w:pPr>
              <w:jc w:val="center"/>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技术商务（70分）</w:t>
            </w:r>
            <w:r/>
          </w:p>
        </w:tc>
        <w:tc>
          <w:tcPr>
            <w:tcW w:w="640" w:type="pct"/>
            <w:vAlign w:val="center"/>
            <w:textDirection w:val="lrTb"/>
            <w:noWrap/>
          </w:tcPr>
          <w:p>
            <w:pPr>
              <w:jc w:val="center"/>
              <w:rPr>
                <w:rFonts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技术指标响应性</w:t>
            </w:r>
            <w:r/>
          </w:p>
          <w:p>
            <w:pPr>
              <w:jc w:val="center"/>
              <w:rPr>
                <w:rFonts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w:t>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eastAsia="zh-Hans"/>
              </w:rPr>
              <w:t xml:space="preserve">分）</w:t>
            </w:r>
            <w:r/>
          </w:p>
        </w:tc>
        <w:tc>
          <w:tcPr>
            <w:tcW w:w="3253" w:type="pct"/>
            <w:vAlign w:val="center"/>
            <w:textDirection w:val="lrTb"/>
            <w:noWrap/>
          </w:tcPr>
          <w:p>
            <w:pPr>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完全响应采购文件“第四章 采购内容”中所有技术参数指标的得10分；标“▲”的指标每负偏离一条扣1分，未作标注的指标每负偏离一条扣</w:t>
            </w:r>
            <w:r>
              <w:rPr>
                <w:rFonts w:ascii="宋体" w:hAnsi="宋体" w:eastAsia="宋体" w:cs="宋体"/>
                <w:sz w:val="24"/>
                <w:szCs w:val="24"/>
                <w:highlight w:val="none"/>
              </w:rPr>
              <w:t xml:space="preserve">0.5</w:t>
            </w:r>
            <w:r>
              <w:rPr>
                <w:rFonts w:hint="eastAsia" w:ascii="宋体" w:hAnsi="宋体" w:eastAsia="宋体" w:cs="宋体"/>
                <w:sz w:val="24"/>
                <w:szCs w:val="24"/>
                <w:highlight w:val="none"/>
              </w:rPr>
              <w:t xml:space="preserve">分，扣完为止。标“★”的指标有负偏离的，其投标文件作无效标处理，不再进行后续评审。</w:t>
            </w:r>
            <w:r/>
          </w:p>
        </w:tc>
        <w:tc>
          <w:tcPr>
            <w:tcW w:w="441" w:type="pct"/>
            <w:vAlign w:val="center"/>
            <w:textDirection w:val="lrTb"/>
            <w:noWrap/>
          </w:tcPr>
          <w:p>
            <w:pPr>
              <w:jc w:val="center"/>
              <w:spacing w:line="35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90"/>
        </w:trPr>
        <w:tc>
          <w:tcPr>
            <w:tcW w:w="664" w:type="pct"/>
            <w:vAlign w:val="center"/>
            <w:vMerge w:val="continue"/>
            <w:textDirection w:val="lrTb"/>
            <w:noWrap/>
          </w:tcPr>
          <w:p>
            <w:pPr>
              <w:jc w:val="center"/>
              <w:spacing w:line="44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640" w:type="pct"/>
            <w:vAlign w:val="center"/>
            <w:textDirection w:val="lrTb"/>
            <w:noWrap/>
          </w:tcPr>
          <w:p>
            <w:pPr>
              <w:jc w:val="center"/>
              <w:rPr>
                <w:rFonts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总体部署及实施方案</w:t>
            </w:r>
            <w:r/>
          </w:p>
          <w:p>
            <w:pPr>
              <w:jc w:val="center"/>
              <w:rPr>
                <w:rFonts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（1</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Hans"/>
              </w:rPr>
              <w:t xml:space="preserve">分）</w:t>
            </w:r>
            <w:r/>
          </w:p>
        </w:tc>
        <w:tc>
          <w:tcPr>
            <w:tcW w:w="3253" w:type="pct"/>
            <w:vAlign w:val="center"/>
            <w:textDirection w:val="lrTb"/>
            <w:noWrap/>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根据供应商针对项目特点制定的实施方案总体概述综合评分。包括项</w:t>
            </w:r>
            <w:r>
              <w:rPr>
                <w:rFonts w:hint="eastAsia" w:ascii="微软雅黑" w:hAnsi="微软雅黑" w:eastAsia="微软雅黑" w:cs="微软雅黑"/>
                <w:sz w:val="24"/>
                <w:szCs w:val="24"/>
                <w:highlight w:val="none"/>
              </w:rPr>
              <w:t xml:space="preserve">⽬</w:t>
            </w:r>
            <w:r>
              <w:rPr>
                <w:rFonts w:hint="eastAsia" w:ascii="宋体" w:hAnsi="宋体" w:eastAsia="宋体" w:cs="宋体"/>
                <w:sz w:val="24"/>
                <w:szCs w:val="24"/>
                <w:highlight w:val="none"/>
              </w:rPr>
              <w:t xml:space="preserve">实施过程中的资源配备、项</w:t>
            </w:r>
            <w:r>
              <w:rPr>
                <w:rFonts w:hint="eastAsia" w:ascii="微软雅黑" w:hAnsi="微软雅黑" w:eastAsia="微软雅黑" w:cs="微软雅黑"/>
                <w:sz w:val="24"/>
                <w:szCs w:val="24"/>
                <w:highlight w:val="none"/>
              </w:rPr>
              <w:t xml:space="preserve">⽬</w:t>
            </w:r>
            <w:r>
              <w:rPr>
                <w:rFonts w:hint="eastAsia" w:ascii="宋体" w:hAnsi="宋体" w:eastAsia="宋体" w:cs="宋体"/>
                <w:sz w:val="24"/>
                <w:szCs w:val="24"/>
                <w:highlight w:val="none"/>
              </w:rPr>
              <w:t xml:space="preserve">进度计划、</w:t>
            </w:r>
            <w:r>
              <w:rPr>
                <w:rFonts w:hint="eastAsia" w:ascii="微软雅黑" w:hAnsi="微软雅黑" w:eastAsia="微软雅黑" w:cs="微软雅黑"/>
                <w:sz w:val="24"/>
                <w:szCs w:val="24"/>
                <w:highlight w:val="none"/>
              </w:rPr>
              <w:t xml:space="preserve">⻛</w:t>
            </w:r>
            <w:r>
              <w:rPr>
                <w:rFonts w:hint="eastAsia" w:ascii="宋体" w:hAnsi="宋体" w:eastAsia="宋体" w:cs="宋体"/>
                <w:sz w:val="24"/>
                <w:szCs w:val="24"/>
                <w:highlight w:val="none"/>
              </w:rPr>
              <w:t xml:space="preserve">险管控措施等，保证项</w:t>
            </w:r>
            <w:r>
              <w:rPr>
                <w:rFonts w:hint="eastAsia" w:ascii="微软雅黑" w:hAnsi="微软雅黑" w:eastAsia="微软雅黑" w:cs="微软雅黑"/>
                <w:sz w:val="24"/>
                <w:szCs w:val="24"/>
                <w:highlight w:val="none"/>
              </w:rPr>
              <w:t xml:space="preserve">⽬</w:t>
            </w:r>
            <w:r>
              <w:rPr>
                <w:rFonts w:hint="eastAsia" w:ascii="宋体" w:hAnsi="宋体" w:eastAsia="宋体" w:cs="宋体"/>
                <w:sz w:val="24"/>
                <w:szCs w:val="24"/>
                <w:highlight w:val="none"/>
              </w:rPr>
              <w:t xml:space="preserve">正常稳定实施、装备稳定运</w:t>
            </w:r>
            <w:r>
              <w:rPr>
                <w:rFonts w:hint="eastAsia" w:ascii="微软雅黑" w:hAnsi="微软雅黑" w:eastAsia="微软雅黑" w:cs="微软雅黑"/>
                <w:sz w:val="24"/>
                <w:szCs w:val="24"/>
                <w:highlight w:val="none"/>
              </w:rPr>
              <w:t xml:space="preserve">⾏</w:t>
            </w:r>
            <w:r>
              <w:rPr>
                <w:rFonts w:hint="eastAsia" w:ascii="宋体" w:hAnsi="宋体" w:eastAsia="宋体" w:cs="宋体"/>
                <w:sz w:val="24"/>
                <w:szCs w:val="24"/>
                <w:highlight w:val="none"/>
              </w:rPr>
              <w:t xml:space="preserve">等，完整、合理、高效的，得13分；较为完整、合理、高效的，得11分；具有一定可行性的，得9分；基本可行但略有不足的，得6分；有涉及但不全面的，得3分；概述空洞、缺乏实质性内容的，得1分；未提供不得分。</w:t>
            </w:r>
            <w:r/>
          </w:p>
        </w:tc>
        <w:tc>
          <w:tcPr>
            <w:tcW w:w="441" w:type="pct"/>
            <w:vAlign w:val="center"/>
            <w:textDirection w:val="lrTb"/>
            <w:noWrap/>
          </w:tcPr>
          <w:p>
            <w:pPr>
              <w:jc w:val="center"/>
              <w:spacing w:line="35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13</w:t>
            </w:r>
            <w:r/>
          </w:p>
        </w:tc>
      </w:tr>
      <w:tr>
        <w:trPr>
          <w:jc w:val="center"/>
          <w:trHeight w:val="90"/>
        </w:trPr>
        <w:tc>
          <w:tcPr>
            <w:tcW w:w="664" w:type="pct"/>
            <w:vAlign w:val="center"/>
            <w:vMerge w:val="continue"/>
            <w:textDirection w:val="lrTb"/>
            <w:noWrap/>
          </w:tcPr>
          <w:p>
            <w:pPr>
              <w:jc w:val="center"/>
              <w:spacing w:line="44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64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进度计划保障措施</w:t>
            </w:r>
            <w:r/>
          </w:p>
          <w:p>
            <w:pPr>
              <w:jc w:val="center"/>
              <w:rPr>
                <w:rFonts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Hans"/>
              </w:rPr>
              <w:t xml:space="preserve">）</w:t>
            </w:r>
            <w:r/>
          </w:p>
        </w:tc>
        <w:tc>
          <w:tcPr>
            <w:tcW w:w="3253" w:type="pct"/>
            <w:vAlign w:val="center"/>
            <w:textDirection w:val="lrTb"/>
            <w:noWrap/>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根据安装进度计划和各阶段进度的保障措施等综合评分。施工进度计划及其保障措施清晰明了、科学合理、可实施性强的，得6分；较为清晰、可实施性较强的，得4分；合理性、可实施性均一般的，得3分；有涉及但不全面的，得2分；方案空洞、针对性较差的，得1分；未提供不得分</w:t>
            </w:r>
            <w:r/>
          </w:p>
        </w:tc>
        <w:tc>
          <w:tcPr>
            <w:tcW w:w="441" w:type="pct"/>
            <w:vAlign w:val="center"/>
            <w:textDirection w:val="lrTb"/>
            <w:noWrap/>
          </w:tcPr>
          <w:p>
            <w:pPr>
              <w:jc w:val="center"/>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6</w:t>
            </w:r>
            <w:r/>
          </w:p>
        </w:tc>
      </w:tr>
      <w:tr>
        <w:trPr>
          <w:jc w:val="center"/>
          <w:trHeight w:val="90"/>
        </w:trPr>
        <w:tc>
          <w:tcPr>
            <w:tcW w:w="664" w:type="pct"/>
            <w:vAlign w:val="center"/>
            <w:vMerge w:val="continue"/>
            <w:textDirection w:val="lrTb"/>
            <w:noWrap/>
          </w:tcPr>
          <w:p>
            <w:pPr>
              <w:jc w:val="center"/>
              <w:spacing w:line="44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640" w:type="pct"/>
            <w:vAlign w:val="center"/>
            <w:textDirection w:val="lrTb"/>
            <w:noWrap/>
          </w:tcPr>
          <w:p>
            <w:pPr>
              <w:jc w:val="center"/>
              <w:rPr>
                <w:rFonts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劳动力、机械设备和材料投入</w:t>
            </w:r>
            <w:r/>
          </w:p>
          <w:p>
            <w:pPr>
              <w:jc w:val="center"/>
              <w:rPr>
                <w:rFonts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Hans"/>
              </w:rPr>
              <w:t xml:space="preserve">）</w:t>
            </w:r>
            <w:r/>
          </w:p>
        </w:tc>
        <w:tc>
          <w:tcPr>
            <w:tcW w:w="3253" w:type="pct"/>
            <w:vAlign w:val="center"/>
            <w:textDirection w:val="lrTb"/>
            <w:noWrap/>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根据劳动力、机械设备和材料投入计划等综合评分。人、机、料投入科学合理，能完全满足施工需要的，得6分；较科学合理、基本满足施工需要的，得4分；有涉及但不全面的得2分；未提供不得分。</w:t>
            </w:r>
            <w:r/>
          </w:p>
        </w:tc>
        <w:tc>
          <w:tcPr>
            <w:tcW w:w="441" w:type="pct"/>
            <w:vAlign w:val="center"/>
            <w:textDirection w:val="lrTb"/>
            <w:noWrap/>
          </w:tcPr>
          <w:p>
            <w:pPr>
              <w:jc w:val="center"/>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6</w:t>
            </w:r>
            <w:r/>
          </w:p>
        </w:tc>
      </w:tr>
      <w:tr>
        <w:trPr>
          <w:jc w:val="center"/>
          <w:trHeight w:val="90"/>
        </w:trPr>
        <w:tc>
          <w:tcPr>
            <w:tcW w:w="664" w:type="pct"/>
            <w:vAlign w:val="center"/>
            <w:vMerge w:val="continue"/>
            <w:textDirection w:val="lrTb"/>
            <w:noWrap/>
          </w:tcPr>
          <w:p>
            <w:pPr>
              <w:jc w:val="center"/>
              <w:spacing w:line="44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640" w:type="pct"/>
            <w:vAlign w:val="center"/>
            <w:textDirection w:val="lrTb"/>
            <w:noWrap/>
          </w:tcPr>
          <w:p>
            <w:pPr>
              <w:jc w:val="center"/>
              <w:rPr>
                <w:rFonts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项目实施重难点和解决方案</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Hans"/>
              </w:rPr>
              <w:t xml:space="preserve">（</w:t>
            </w:r>
            <w:r>
              <w:rPr>
                <w:rFonts w:hint="eastAsia" w:ascii="宋体" w:hAnsi="宋体" w:eastAsia="宋体" w:cs="宋体"/>
                <w:sz w:val="24"/>
                <w:szCs w:val="24"/>
                <w:highlight w:val="none"/>
              </w:rPr>
              <w:t xml:space="preserve">8分</w:t>
            </w:r>
            <w:r>
              <w:rPr>
                <w:rFonts w:hint="eastAsia" w:ascii="宋体" w:hAnsi="宋体" w:eastAsia="宋体" w:cs="宋体"/>
                <w:sz w:val="24"/>
                <w:szCs w:val="24"/>
                <w:highlight w:val="none"/>
                <w:lang w:eastAsia="zh-Hans"/>
              </w:rPr>
              <w:t xml:space="preserve">）</w:t>
            </w:r>
            <w:r/>
          </w:p>
        </w:tc>
        <w:tc>
          <w:tcPr>
            <w:tcW w:w="3253" w:type="pct"/>
            <w:vAlign w:val="center"/>
            <w:textDirection w:val="lrTb"/>
            <w:noWrap/>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根据关键施工技术、工艺及项目实施的重点、难点和解决方案等综合评分。关键施工技术列举全面，重难点分析透彻、处理方法可行的，得8分；关键施工技术列举较为全面，重难点分析较透彻、处理方法较可行的，得7分；分析简略、处理方法基本可行的，得5分；有涉及但不全面的，得3分；方案空洞、缺乏实质性内容的，得1分；未提供不得分。</w:t>
            </w:r>
            <w:r/>
          </w:p>
        </w:tc>
        <w:tc>
          <w:tcPr>
            <w:tcW w:w="441" w:type="pct"/>
            <w:vAlign w:val="center"/>
            <w:textDirection w:val="lrTb"/>
            <w:noWrap/>
          </w:tcPr>
          <w:p>
            <w:pPr>
              <w:jc w:val="center"/>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8</w:t>
            </w:r>
            <w:r/>
          </w:p>
        </w:tc>
      </w:tr>
      <w:tr>
        <w:trPr>
          <w:jc w:val="center"/>
          <w:trHeight w:val="1595"/>
        </w:trPr>
        <w:tc>
          <w:tcPr>
            <w:tcW w:w="664" w:type="pct"/>
            <w:vAlign w:val="center"/>
            <w:vMerge w:val="continue"/>
            <w:textDirection w:val="lrTb"/>
            <w:noWrap/>
          </w:tcPr>
          <w:p>
            <w:pPr>
              <w:jc w:val="center"/>
              <w:spacing w:line="38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640" w:type="pct"/>
            <w:vAlign w:val="center"/>
            <w:textDirection w:val="lrTb"/>
            <w:noWrap/>
          </w:tcPr>
          <w:p>
            <w:pPr>
              <w:jc w:val="center"/>
              <w:rPr>
                <w:rFonts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质量控制方案（</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eastAsia="zh-Hans"/>
              </w:rPr>
              <w:t xml:space="preserve">分）</w:t>
            </w:r>
            <w:r/>
          </w:p>
        </w:tc>
        <w:tc>
          <w:tcPr>
            <w:tcW w:w="3253" w:type="pct"/>
            <w:vAlign w:val="center"/>
            <w:textDirection w:val="lrTb"/>
            <w:noWrap/>
          </w:tcPr>
          <w:p>
            <w:pPr>
              <w:spacing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根据质量、安全、现场保护、环境（噪音、灰尘等）保护措施综合评分。</w:t>
            </w:r>
            <w:r>
              <w:rPr>
                <w:rFonts w:hint="eastAsia" w:ascii="宋体" w:hAnsi="宋体" w:eastAsia="宋体" w:cs="宋体"/>
                <w:sz w:val="24"/>
                <w:szCs w:val="24"/>
                <w:highlight w:val="none"/>
                <w:lang w:val="en-US" w:eastAsia="zh-CN"/>
              </w:rPr>
              <w:t xml:space="preserve"> </w:t>
            </w:r>
            <w:r/>
          </w:p>
          <w:p>
            <w:pPr>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各项措施可操作性强、内容描述详细的，得6分；具有一定可操作性，内容描述较详细的，得4分；可操作性一般的，得3分；内容描述不够全面的，得2分；措施针对性较差的，得1分；未提供不得分。</w:t>
            </w:r>
            <w:r/>
          </w:p>
        </w:tc>
        <w:tc>
          <w:tcPr>
            <w:tcW w:w="441" w:type="pct"/>
            <w:vAlign w:val="center"/>
            <w:textDirection w:val="lrTb"/>
            <w:noWrap/>
          </w:tcPr>
          <w:p>
            <w:pPr>
              <w:jc w:val="center"/>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6</w:t>
            </w:r>
            <w:r/>
          </w:p>
        </w:tc>
      </w:tr>
      <w:tr>
        <w:trPr>
          <w:jc w:val="center"/>
          <w:trHeight w:val="1595"/>
        </w:trPr>
        <w:tc>
          <w:tcPr>
            <w:tcW w:w="664" w:type="pct"/>
            <w:vAlign w:val="center"/>
            <w:vMerge w:val="continue"/>
            <w:textDirection w:val="lrTb"/>
            <w:noWrap/>
          </w:tcPr>
          <w:p>
            <w:pPr>
              <w:jc w:val="center"/>
              <w:spacing w:line="38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64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Hans"/>
              </w:rPr>
              <w:t xml:space="preserve">人</w:t>
            </w:r>
            <w:r>
              <w:rPr>
                <w:rFonts w:hint="eastAsia" w:ascii="宋体" w:hAnsi="宋体" w:eastAsia="宋体" w:cs="宋体"/>
                <w:sz w:val="24"/>
                <w:szCs w:val="24"/>
                <w:highlight w:val="none"/>
              </w:rPr>
              <w:t xml:space="preserve">员组织方案（8分）</w:t>
            </w:r>
            <w:r/>
          </w:p>
        </w:tc>
        <w:tc>
          <w:tcPr>
            <w:tcW w:w="3253" w:type="pct"/>
            <w:vAlign w:val="center"/>
            <w:textDirection w:val="lrTb"/>
            <w:noWrap/>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根据供应商针对本项目提供的施工人员安排综合评定，主要考察人员的组织安排、安全管理、质量管理和保障措施等。人员组织合理，施工安全管理、质量管理、保障措施完整可行，可操作性强的得8分；人员组织较合理，施工安全管理、质量管理、保障措施较完整可行，可操作性较强的得7分；人员组织基本合理，施工安全管理、质量管理、保障措施基本可行，有一定操作性的得6分；有涉及但不全面的，得3分；概述空洞、缺乏实质性内容的，得1分；未提供或与项目严重不符，不得分。</w:t>
            </w:r>
            <w:r/>
          </w:p>
        </w:tc>
        <w:tc>
          <w:tcPr>
            <w:tcW w:w="441" w:type="pct"/>
            <w:vAlign w:val="center"/>
            <w:textDirection w:val="lrTb"/>
            <w:noWrap/>
          </w:tcPr>
          <w:p>
            <w:pPr>
              <w:jc w:val="center"/>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8</w:t>
            </w:r>
            <w:r/>
          </w:p>
        </w:tc>
      </w:tr>
      <w:tr>
        <w:trPr>
          <w:jc w:val="center"/>
          <w:trHeight w:val="1595"/>
        </w:trPr>
        <w:tc>
          <w:tcPr>
            <w:tcW w:w="664" w:type="pct"/>
            <w:vAlign w:val="center"/>
            <w:vMerge w:val="continue"/>
            <w:textDirection w:val="lrTb"/>
            <w:noWrap/>
          </w:tcPr>
          <w:p>
            <w:pPr>
              <w:jc w:val="center"/>
              <w:spacing w:line="38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640" w:type="pct"/>
            <w:vAlign w:val="center"/>
            <w:vMerge w:val="restart"/>
            <w:textDirection w:val="lrTb"/>
            <w:noWrap/>
          </w:tcPr>
          <w:p>
            <w:pPr>
              <w:jc w:val="both"/>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售后服务（6分）</w:t>
            </w:r>
            <w:r/>
          </w:p>
        </w:tc>
        <w:tc>
          <w:tcPr>
            <w:tcW w:w="3253" w:type="pct"/>
            <w:vAlign w:val="center"/>
            <w:textDirection w:val="lrTb"/>
            <w:noWrap/>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售后服务方案</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1、针对本项目的售后服务体系、方式、具体内容等；</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2、针对本项目的售后服务应急措施方案；</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3、针对本项目的售后服务配套措施。</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上述每项应逐条叙述。内容完整，条理清晰的得5分；内容有一定合理性、可行性的得3分；每项叙述内容与采购需求偏差较大或未作完整叙述的，不得分。</w:t>
            </w:r>
            <w:r/>
          </w:p>
        </w:tc>
        <w:tc>
          <w:tcPr>
            <w:tcW w:w="441" w:type="pct"/>
            <w:vAlign w:val="center"/>
            <w:textDirection w:val="lrTb"/>
            <w:noWrap/>
          </w:tcPr>
          <w:p>
            <w:pPr>
              <w:jc w:val="center"/>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r>
      <w:tr>
        <w:trPr>
          <w:jc w:val="center"/>
          <w:trHeight w:val="90"/>
        </w:trPr>
        <w:tc>
          <w:tcPr>
            <w:tcW w:w="664" w:type="pct"/>
            <w:vAlign w:val="center"/>
            <w:vMerge w:val="continue"/>
            <w:textDirection w:val="lrTb"/>
            <w:noWrap/>
          </w:tcPr>
          <w:p>
            <w:pPr>
              <w:jc w:val="center"/>
              <w:spacing w:line="38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640" w:type="pct"/>
            <w:vAlign w:val="center"/>
            <w:vMerge w:val="continue"/>
            <w:textDirection w:val="lrTb"/>
            <w:noWrap/>
          </w:tcPr>
          <w:p>
            <w:pPr>
              <w:jc w:val="both"/>
              <w:spacing w:line="44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3253" w:type="pct"/>
            <w:vAlign w:val="center"/>
            <w:textDirection w:val="lrTb"/>
            <w:noWrap/>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质保期：满足招标文件要求的质保期基础上，承诺延长质保期的每延长1年加0.5分，最多加1分。</w:t>
            </w:r>
            <w:r/>
          </w:p>
        </w:tc>
        <w:tc>
          <w:tcPr>
            <w:tcW w:w="441" w:type="pct"/>
            <w:vAlign w:val="center"/>
            <w:textDirection w:val="lrTb"/>
            <w:noWrap/>
          </w:tcPr>
          <w:p>
            <w:pPr>
              <w:jc w:val="center"/>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980"/>
        </w:trPr>
        <w:tc>
          <w:tcPr>
            <w:tcW w:w="664" w:type="pct"/>
            <w:vAlign w:val="center"/>
            <w:vMerge w:val="continue"/>
            <w:textDirection w:val="lrTb"/>
            <w:noWrap/>
          </w:tcPr>
          <w:p>
            <w:pPr>
              <w:jc w:val="center"/>
              <w:spacing w:line="38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640" w:type="pct"/>
            <w:vAlign w:val="center"/>
            <w:vMerge w:val="restart"/>
            <w:textDirection w:val="lrTb"/>
            <w:noWrap/>
          </w:tcPr>
          <w:p>
            <w:pPr>
              <w:jc w:val="both"/>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履约能力（4分）</w:t>
            </w:r>
            <w:r/>
          </w:p>
        </w:tc>
        <w:tc>
          <w:tcPr>
            <w:tcW w:w="3253" w:type="pct"/>
            <w:vAlign w:val="center"/>
            <w:textDirection w:val="lrTb"/>
            <w:noWrap/>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具有（有效期内）国家标准《质量管理体系认证证书》、《环境管理体系认证证书》、《职业健康安全管理体系认证证书》的，每提供一个得1分，最高得3分。（响应文件中提供证书扫描件及中国认监委网站查询结果截图，提供不全或未提供的不得分。）</w:t>
            </w:r>
            <w:r/>
          </w:p>
        </w:tc>
        <w:tc>
          <w:tcPr>
            <w:tcW w:w="441" w:type="pct"/>
            <w:vAlign w:val="center"/>
            <w:textDirection w:val="lrTb"/>
            <w:noWrap/>
          </w:tcPr>
          <w:p>
            <w:pPr>
              <w:jc w:val="center"/>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jc w:val="center"/>
          <w:trHeight w:val="1100"/>
        </w:trPr>
        <w:tc>
          <w:tcPr>
            <w:tcW w:w="664" w:type="pct"/>
            <w:vAlign w:val="center"/>
            <w:vMerge w:val="continue"/>
            <w:textDirection w:val="lrTb"/>
            <w:noWrap/>
          </w:tcPr>
          <w:p>
            <w:pPr>
              <w:jc w:val="center"/>
              <w:spacing w:line="38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640" w:type="pct"/>
            <w:vAlign w:val="center"/>
            <w:vMerge w:val="continue"/>
            <w:textDirection w:val="lrTb"/>
            <w:noWrap/>
          </w:tcPr>
          <w:p>
            <w:pPr>
              <w:jc w:val="both"/>
              <w:spacing w:line="3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3253" w:type="pct"/>
            <w:vAlign w:val="center"/>
            <w:textDirection w:val="lrTb"/>
            <w:noWrap/>
          </w:tcPr>
          <w:p>
            <w:pPr>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供应商具有有效的国家标准（GB/T27922-2011）售后服务认证证书五星级及以上的得1分。（须提供证书扫描件并加盖公章，不提供或提供不完整或无法辨认不得分）。</w:t>
            </w:r>
            <w:r/>
          </w:p>
        </w:tc>
        <w:tc>
          <w:tcPr>
            <w:tcW w:w="441" w:type="pct"/>
            <w:vAlign w:val="center"/>
            <w:textDirection w:val="lrTb"/>
            <w:noWrap/>
          </w:tcPr>
          <w:p>
            <w:pPr>
              <w:jc w:val="center"/>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794"/>
        </w:trPr>
        <w:tc>
          <w:tcPr>
            <w:tcW w:w="664" w:type="pct"/>
            <w:vAlign w:val="center"/>
            <w:vMerge w:val="continue"/>
            <w:textDirection w:val="lrTb"/>
            <w:noWrap/>
          </w:tcPr>
          <w:p>
            <w:pPr>
              <w:jc w:val="center"/>
              <w:spacing w:line="38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640" w:type="pct"/>
            <w:vAlign w:val="center"/>
            <w:textDirection w:val="lrTb"/>
            <w:noWrap/>
          </w:tcPr>
          <w:p>
            <w:pPr>
              <w:jc w:val="both"/>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供应商业绩</w:t>
            </w:r>
            <w:r/>
          </w:p>
          <w:p>
            <w:pPr>
              <w:jc w:val="both"/>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（3分）</w:t>
            </w:r>
            <w:r/>
          </w:p>
        </w:tc>
        <w:tc>
          <w:tcPr>
            <w:tcW w:w="3253" w:type="pct"/>
            <w:vAlign w:val="center"/>
            <w:textDirection w:val="lrTb"/>
            <w:noWrap/>
          </w:tcPr>
          <w:p>
            <w:pPr>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供应商自2023年9月以来(以验收证明为准)</w:t>
            </w:r>
            <w:r>
              <w:rPr>
                <w:rFonts w:hint="eastAsia" w:ascii="宋体" w:hAnsi="宋体" w:eastAsia="宋体" w:cs="宋体"/>
                <w:sz w:val="24"/>
                <w:szCs w:val="24"/>
                <w:highlight w:val="none"/>
                <w:lang w:val="en-US" w:eastAsia="zh-CN"/>
              </w:rPr>
              <w:t xml:space="preserve">承担</w:t>
            </w:r>
            <w:r>
              <w:rPr>
                <w:rFonts w:hint="eastAsia" w:ascii="宋体" w:hAnsi="宋体" w:eastAsia="宋体" w:cs="宋体"/>
                <w:sz w:val="24"/>
                <w:szCs w:val="24"/>
                <w:highlight w:val="none"/>
              </w:rPr>
              <w:t xml:space="preserve">的类似项目，每提供一个业绩证明得1分，累计计算，最高得3分。(提供合同和验收证明等证明材料扫描件并加盖供应商公章，无法或难以核实的业绩不予认可，未提供或提供不全的不得分)。</w:t>
            </w:r>
            <w:r/>
          </w:p>
        </w:tc>
        <w:tc>
          <w:tcPr>
            <w:tcW w:w="441" w:type="pct"/>
            <w:vAlign w:val="center"/>
            <w:textDirection w:val="lrTb"/>
            <w:noWrap/>
          </w:tcPr>
          <w:p>
            <w:pPr>
              <w:jc w:val="center"/>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bl>
    <w:p>
      <w:pPr>
        <w:jc w:val="both"/>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ind w:firstLine="482"/>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w:panose1 w:val="020B0503020204020204"/>
  </w:font>
  <w:font w:name="Calibri">
    <w:panose1 w:val="020F0502020204030204"/>
  </w:font>
  <w:font w:name="等线">
    <w:panose1 w:val="02010600030101010101"/>
  </w:font>
  <w:font w:name="仿宋">
    <w:panose1 w:val="02010609060101010101"/>
  </w:font>
  <w:font w:name="华文细黑">
    <w:panose1 w:val="02010600040101010101"/>
  </w:font>
  <w:font w:name="楷体_GB2312">
    <w:panose1 w:val="02010609060101010101"/>
  </w:font>
  <w:font w:name="Courier New">
    <w:panose1 w:val="02070309020205020404"/>
  </w:font>
  <w:font w:name="仿宋_GB2312">
    <w:panose1 w:val="02010609060101010101"/>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761"/>
    <w:link w:val="752"/>
    <w:uiPriority w:val="9"/>
    <w:rPr>
      <w:rFonts w:ascii="Arial" w:hAnsi="Arial" w:eastAsia="Arial" w:cs="Arial"/>
      <w:sz w:val="40"/>
      <w:szCs w:val="40"/>
    </w:rPr>
  </w:style>
  <w:style w:type="character" w:styleId="715">
    <w:name w:val="Heading 2 Char"/>
    <w:basedOn w:val="761"/>
    <w:link w:val="753"/>
    <w:uiPriority w:val="9"/>
    <w:rPr>
      <w:rFonts w:ascii="Arial" w:hAnsi="Arial" w:eastAsia="Arial" w:cs="Arial"/>
      <w:sz w:val="34"/>
    </w:rPr>
  </w:style>
  <w:style w:type="character" w:styleId="716">
    <w:name w:val="Heading 3 Char"/>
    <w:basedOn w:val="761"/>
    <w:link w:val="754"/>
    <w:uiPriority w:val="9"/>
    <w:rPr>
      <w:rFonts w:ascii="Arial" w:hAnsi="Arial" w:eastAsia="Arial" w:cs="Arial"/>
      <w:sz w:val="30"/>
      <w:szCs w:val="30"/>
    </w:rPr>
  </w:style>
  <w:style w:type="character" w:styleId="717">
    <w:name w:val="Heading 4 Char"/>
    <w:basedOn w:val="761"/>
    <w:link w:val="755"/>
    <w:uiPriority w:val="9"/>
    <w:rPr>
      <w:rFonts w:ascii="Arial" w:hAnsi="Arial" w:eastAsia="Arial" w:cs="Arial"/>
      <w:b/>
      <w:bCs/>
      <w:sz w:val="26"/>
      <w:szCs w:val="26"/>
    </w:rPr>
  </w:style>
  <w:style w:type="character" w:styleId="718">
    <w:name w:val="Heading 5 Char"/>
    <w:basedOn w:val="761"/>
    <w:link w:val="756"/>
    <w:uiPriority w:val="9"/>
    <w:rPr>
      <w:rFonts w:ascii="Arial" w:hAnsi="Arial" w:eastAsia="Arial" w:cs="Arial"/>
      <w:b/>
      <w:bCs/>
      <w:sz w:val="24"/>
      <w:szCs w:val="24"/>
    </w:rPr>
  </w:style>
  <w:style w:type="character" w:styleId="719">
    <w:name w:val="Heading 6 Char"/>
    <w:basedOn w:val="761"/>
    <w:link w:val="757"/>
    <w:uiPriority w:val="9"/>
    <w:rPr>
      <w:rFonts w:ascii="Arial" w:hAnsi="Arial" w:eastAsia="Arial" w:cs="Arial"/>
      <w:b/>
      <w:bCs/>
      <w:sz w:val="22"/>
      <w:szCs w:val="22"/>
    </w:rPr>
  </w:style>
  <w:style w:type="character" w:styleId="720">
    <w:name w:val="Heading 7 Char"/>
    <w:basedOn w:val="761"/>
    <w:link w:val="758"/>
    <w:uiPriority w:val="9"/>
    <w:rPr>
      <w:rFonts w:ascii="Arial" w:hAnsi="Arial" w:eastAsia="Arial" w:cs="Arial"/>
      <w:b/>
      <w:bCs/>
      <w:i/>
      <w:iCs/>
      <w:sz w:val="22"/>
      <w:szCs w:val="22"/>
    </w:rPr>
  </w:style>
  <w:style w:type="character" w:styleId="721">
    <w:name w:val="Heading 8 Char"/>
    <w:basedOn w:val="761"/>
    <w:link w:val="759"/>
    <w:uiPriority w:val="9"/>
    <w:rPr>
      <w:rFonts w:ascii="Arial" w:hAnsi="Arial" w:eastAsia="Arial" w:cs="Arial"/>
      <w:i/>
      <w:iCs/>
      <w:sz w:val="22"/>
      <w:szCs w:val="22"/>
    </w:rPr>
  </w:style>
  <w:style w:type="character" w:styleId="722">
    <w:name w:val="Heading 9 Char"/>
    <w:basedOn w:val="761"/>
    <w:link w:val="760"/>
    <w:uiPriority w:val="9"/>
    <w:rPr>
      <w:rFonts w:ascii="Arial" w:hAnsi="Arial" w:eastAsia="Arial" w:cs="Arial"/>
      <w:i/>
      <w:iCs/>
      <w:sz w:val="21"/>
      <w:szCs w:val="21"/>
    </w:rPr>
  </w:style>
  <w:style w:type="character" w:styleId="723">
    <w:name w:val="Title Char"/>
    <w:basedOn w:val="761"/>
    <w:link w:val="788"/>
    <w:uiPriority w:val="10"/>
    <w:rPr>
      <w:sz w:val="48"/>
      <w:szCs w:val="48"/>
    </w:rPr>
  </w:style>
  <w:style w:type="character" w:styleId="724">
    <w:name w:val="Subtitle Char"/>
    <w:basedOn w:val="761"/>
    <w:link w:val="781"/>
    <w:uiPriority w:val="11"/>
    <w:rPr>
      <w:sz w:val="24"/>
      <w:szCs w:val="24"/>
    </w:rPr>
  </w:style>
  <w:style w:type="character" w:styleId="725">
    <w:name w:val="Quote Char"/>
    <w:link w:val="812"/>
    <w:uiPriority w:val="29"/>
    <w:rPr>
      <w:i/>
    </w:rPr>
  </w:style>
  <w:style w:type="character" w:styleId="726">
    <w:name w:val="Intense Quote Char"/>
    <w:link w:val="814"/>
    <w:uiPriority w:val="30"/>
    <w:rPr>
      <w:i/>
    </w:rPr>
  </w:style>
  <w:style w:type="character" w:styleId="727">
    <w:name w:val="Header Char"/>
    <w:basedOn w:val="761"/>
    <w:link w:val="778"/>
    <w:uiPriority w:val="99"/>
  </w:style>
  <w:style w:type="character" w:styleId="728">
    <w:name w:val="Caption Char"/>
    <w:basedOn w:val="765"/>
    <w:link w:val="776"/>
    <w:uiPriority w:val="99"/>
  </w:style>
  <w:style w:type="table" w:styleId="72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8">
    <w:name w:val="Footnote Text Char"/>
    <w:link w:val="782"/>
    <w:uiPriority w:val="99"/>
    <w:rPr>
      <w:sz w:val="18"/>
    </w:rPr>
  </w:style>
  <w:style w:type="character" w:styleId="749">
    <w:name w:val="Endnote Text Char"/>
    <w:link w:val="774"/>
    <w:uiPriority w:val="99"/>
    <w:rPr>
      <w:sz w:val="20"/>
    </w:rPr>
  </w:style>
  <w:style w:type="paragraph" w:styleId="750">
    <w:name w:val="TOC Heading"/>
    <w:uiPriority w:val="39"/>
    <w:unhideWhenUsed/>
  </w:style>
  <w:style w:type="paragraph" w:styleId="751" w:default="1">
    <w:name w:val="Normal"/>
    <w:uiPriority w:val="0"/>
    <w:qFormat/>
    <w:rPr>
      <w:rFonts w:asciiTheme="minorHAnsi" w:hAnsiTheme="minorHAnsi" w:eastAsiaTheme="minorEastAsia" w:cstheme="minorBidi"/>
      <w:sz w:val="21"/>
      <w:szCs w:val="22"/>
      <w:lang w:val="en-US" w:eastAsia="zh-CN" w:bidi="ar-SA"/>
    </w:rPr>
  </w:style>
  <w:style w:type="paragraph" w:styleId="752">
    <w:name w:val="Heading 1"/>
    <w:basedOn w:val="751"/>
    <w:next w:val="751"/>
    <w:link w:val="799"/>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800"/>
    <w:uiPriority w:val="9"/>
    <w:unhideWhenUsed/>
    <w:qFormat/>
    <w:pPr>
      <w:keepLines/>
      <w:keepNext/>
      <w:spacing w:before="360" w:after="200"/>
      <w:outlineLvl w:val="1"/>
    </w:pPr>
    <w:rPr>
      <w:rFonts w:ascii="Arial" w:hAnsi="Arial" w:eastAsia="Arial" w:cs="Arial"/>
      <w:sz w:val="34"/>
    </w:rPr>
  </w:style>
  <w:style w:type="paragraph" w:styleId="754">
    <w:name w:val="Heading 3"/>
    <w:link w:val="801"/>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55">
    <w:name w:val="Heading 4"/>
    <w:link w:val="802"/>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56">
    <w:name w:val="Heading 5"/>
    <w:link w:val="803"/>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7">
    <w:name w:val="Heading 6"/>
    <w:link w:val="804"/>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58">
    <w:name w:val="Heading 7"/>
    <w:link w:val="805"/>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59">
    <w:name w:val="Heading 8"/>
    <w:link w:val="806"/>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60">
    <w:name w:val="Heading 9"/>
    <w:link w:val="807"/>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64">
    <w:name w:val="Normal Indent"/>
    <w:basedOn w:val="751"/>
    <w:next w:val="751"/>
    <w:uiPriority w:val="0"/>
    <w:unhideWhenUsed/>
    <w:qFormat/>
    <w:pPr>
      <w:ind w:firstLine="420"/>
    </w:pPr>
    <w:rPr>
      <w:sz w:val="24"/>
    </w:rPr>
  </w:style>
  <w:style w:type="paragraph" w:styleId="765">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66">
    <w:name w:val="annotation text"/>
    <w:basedOn w:val="751"/>
    <w:link w:val="965"/>
    <w:uiPriority w:val="99"/>
    <w:semiHidden/>
    <w:unhideWhenUsed/>
    <w:qFormat/>
    <w:rPr>
      <w:rFonts w:eastAsia="宋体"/>
      <w:b/>
      <w:sz w:val="24"/>
    </w:rPr>
  </w:style>
  <w:style w:type="paragraph" w:styleId="767">
    <w:name w:val="Body Text"/>
    <w:basedOn w:val="751"/>
    <w:next w:val="751"/>
    <w:uiPriority w:val="0"/>
    <w:unhideWhenUsed/>
    <w:qFormat/>
    <w:pPr>
      <w:spacing w:after="120"/>
    </w:pPr>
    <w:rPr>
      <w:rFonts w:ascii="Times New Roman" w:hAnsi="Times New Roman"/>
    </w:rPr>
  </w:style>
  <w:style w:type="paragraph" w:styleId="768">
    <w:name w:val="Body Text Indent"/>
    <w:basedOn w:val="751"/>
    <w:link w:val="962"/>
    <w:uiPriority w:val="0"/>
    <w:qFormat/>
    <w:pPr>
      <w:ind w:left="570"/>
      <w:spacing w:line="520" w:lineRule="exact"/>
    </w:pPr>
    <w:rPr>
      <w:rFonts w:ascii="方正仿宋简体" w:hAnsi="创艺简仿宋" w:eastAsia="方正仿宋简体"/>
      <w:sz w:val="24"/>
      <w:szCs w:val="20"/>
    </w:rPr>
  </w:style>
  <w:style w:type="paragraph" w:styleId="769">
    <w:name w:val="Block Text"/>
    <w:basedOn w:val="751"/>
    <w:uiPriority w:val="0"/>
    <w:qFormat/>
    <w:pPr>
      <w:ind w:left="630" w:right="-609" w:firstLine="420"/>
      <w:spacing w:line="360" w:lineRule="auto"/>
    </w:pPr>
    <w:rPr>
      <w:rFonts w:hint="eastAsia" w:ascii="仿宋_GB2312" w:eastAsia="仿宋_GB2312"/>
    </w:rPr>
  </w:style>
  <w:style w:type="paragraph" w:styleId="770">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71">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72">
    <w:name w:val="Plain Text"/>
    <w:basedOn w:val="751"/>
    <w:uiPriority w:val="0"/>
    <w:qFormat/>
    <w:rPr>
      <w:rFonts w:hint="eastAsia" w:ascii="宋体" w:hAnsi="Courier New"/>
    </w:rPr>
  </w:style>
  <w:style w:type="paragraph" w:styleId="77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74">
    <w:name w:val="endnote text"/>
    <w:link w:val="945"/>
    <w:uiPriority w:val="99"/>
    <w:semiHidden/>
    <w:unhideWhenUsed/>
    <w:qFormat/>
    <w:rPr>
      <w:rFonts w:asciiTheme="minorHAnsi" w:hAnsiTheme="minorHAnsi" w:eastAsiaTheme="minorEastAsia" w:cstheme="minorBidi"/>
      <w:szCs w:val="22"/>
      <w:lang w:val="en-US" w:eastAsia="zh-CN" w:bidi="ar-SA"/>
    </w:rPr>
  </w:style>
  <w:style w:type="paragraph" w:styleId="775">
    <w:name w:val="Balloon Text"/>
    <w:basedOn w:val="751"/>
    <w:link w:val="961"/>
    <w:uiPriority w:val="99"/>
    <w:semiHidden/>
    <w:unhideWhenUsed/>
    <w:qFormat/>
    <w:rPr>
      <w:sz w:val="18"/>
      <w:szCs w:val="18"/>
    </w:rPr>
  </w:style>
  <w:style w:type="paragraph" w:styleId="776">
    <w:name w:val="Footer"/>
    <w:link w:val="818"/>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7">
    <w:name w:val="envelope return"/>
    <w:basedOn w:val="751"/>
    <w:uiPriority w:val="0"/>
    <w:qFormat/>
    <w:rPr>
      <w:rFonts w:ascii="Arial" w:hAnsi="Arial" w:eastAsia="宋体"/>
      <w:szCs w:val="24"/>
    </w:rPr>
  </w:style>
  <w:style w:type="paragraph" w:styleId="778">
    <w:name w:val="Header"/>
    <w:link w:val="816"/>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9">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80">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81">
    <w:name w:val="Subtitle"/>
    <w:link w:val="811"/>
    <w:uiPriority w:val="11"/>
    <w:qFormat/>
    <w:pPr>
      <w:spacing w:before="200" w:after="200"/>
    </w:pPr>
    <w:rPr>
      <w:rFonts w:asciiTheme="minorHAnsi" w:hAnsiTheme="minorHAnsi" w:eastAsiaTheme="minorEastAsia" w:cstheme="minorBidi"/>
      <w:sz w:val="24"/>
      <w:szCs w:val="24"/>
      <w:lang w:val="en-US" w:eastAsia="zh-CN" w:bidi="ar-SA"/>
    </w:rPr>
  </w:style>
  <w:style w:type="paragraph" w:styleId="782">
    <w:name w:val="footnote text"/>
    <w:link w:val="944"/>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83">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84">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85">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86">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87">
    <w:name w:val="Normal (Web)"/>
    <w:basedOn w:val="751"/>
    <w:uiPriority w:val="0"/>
    <w:qFormat/>
    <w:pPr>
      <w:spacing w:before="100" w:beforeAutospacing="1" w:after="100" w:afterAutospacing="1"/>
    </w:pPr>
    <w:rPr>
      <w:rFonts w:cs="Times New Roman"/>
      <w:sz w:val="24"/>
    </w:rPr>
  </w:style>
  <w:style w:type="paragraph" w:styleId="788">
    <w:name w:val="Title"/>
    <w:link w:val="810"/>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89">
    <w:name w:val="annotation subject"/>
    <w:basedOn w:val="766"/>
    <w:next w:val="766"/>
    <w:link w:val="966"/>
    <w:uiPriority w:val="99"/>
    <w:semiHidden/>
    <w:unhideWhenUsed/>
    <w:qFormat/>
    <w:rPr>
      <w:rFonts w:eastAsiaTheme="minorEastAsia"/>
      <w:bCs/>
      <w:sz w:val="21"/>
    </w:rPr>
  </w:style>
  <w:style w:type="paragraph" w:styleId="790">
    <w:name w:val="Body Text First Indent"/>
    <w:basedOn w:val="767"/>
    <w:uiPriority w:val="0"/>
    <w:qFormat/>
    <w:pPr>
      <w:ind w:firstLine="420"/>
    </w:pPr>
  </w:style>
  <w:style w:type="paragraph" w:styleId="791">
    <w:name w:val="Body Text First Indent 2"/>
    <w:basedOn w:val="768"/>
    <w:next w:val="751"/>
    <w:uiPriority w:val="0"/>
    <w:qFormat/>
    <w:pPr>
      <w:ind w:firstLine="420"/>
    </w:pPr>
  </w:style>
  <w:style w:type="table" w:styleId="7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Strong"/>
    <w:basedOn w:val="761"/>
    <w:uiPriority w:val="0"/>
    <w:qFormat/>
    <w:rPr>
      <w:b/>
    </w:rPr>
  </w:style>
  <w:style w:type="character" w:styleId="794">
    <w:name w:val="endnote reference"/>
    <w:uiPriority w:val="99"/>
    <w:semiHidden/>
    <w:unhideWhenUsed/>
    <w:qFormat/>
    <w:rPr>
      <w:vertAlign w:val="superscript"/>
    </w:rPr>
  </w:style>
  <w:style w:type="character" w:styleId="795">
    <w:name w:val="Emphasis"/>
    <w:basedOn w:val="761"/>
    <w:uiPriority w:val="0"/>
    <w:qFormat/>
    <w:rPr>
      <w:i/>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annotation reference"/>
    <w:basedOn w:val="761"/>
    <w:uiPriority w:val="0"/>
    <w:qFormat/>
    <w:rPr>
      <w:sz w:val="21"/>
      <w:szCs w:val="21"/>
    </w:rPr>
  </w:style>
  <w:style w:type="character" w:styleId="798">
    <w:name w:val="footnote reference"/>
    <w:uiPriority w:val="99"/>
    <w:unhideWhenUsed/>
    <w:qFormat/>
    <w:rPr>
      <w:vertAlign w:val="superscript"/>
    </w:rPr>
  </w:style>
  <w:style w:type="character" w:styleId="799" w:customStyle="1">
    <w:name w:val="标题 1 字符"/>
    <w:link w:val="752"/>
    <w:uiPriority w:val="9"/>
    <w:qFormat/>
    <w:rPr>
      <w:rFonts w:ascii="Arial" w:hAnsi="Arial" w:eastAsia="Arial" w:cs="Arial"/>
      <w:sz w:val="40"/>
      <w:szCs w:val="40"/>
    </w:rPr>
  </w:style>
  <w:style w:type="character" w:styleId="800" w:customStyle="1">
    <w:name w:val="标题 2 字符"/>
    <w:link w:val="753"/>
    <w:uiPriority w:val="9"/>
    <w:qFormat/>
    <w:rPr>
      <w:rFonts w:ascii="Arial" w:hAnsi="Arial" w:eastAsia="Arial" w:cs="Arial"/>
      <w:sz w:val="34"/>
    </w:rPr>
  </w:style>
  <w:style w:type="character" w:styleId="801" w:customStyle="1">
    <w:name w:val="标题 3 字符"/>
    <w:link w:val="754"/>
    <w:uiPriority w:val="9"/>
    <w:qFormat/>
    <w:rPr>
      <w:rFonts w:ascii="Arial" w:hAnsi="Arial" w:eastAsia="Arial" w:cs="Arial"/>
      <w:sz w:val="30"/>
      <w:szCs w:val="30"/>
    </w:rPr>
  </w:style>
  <w:style w:type="character" w:styleId="802" w:customStyle="1">
    <w:name w:val="标题 4 字符"/>
    <w:link w:val="755"/>
    <w:uiPriority w:val="9"/>
    <w:qFormat/>
    <w:rPr>
      <w:rFonts w:ascii="Arial" w:hAnsi="Arial" w:eastAsia="Arial" w:cs="Arial"/>
      <w:b/>
      <w:bCs/>
      <w:sz w:val="26"/>
      <w:szCs w:val="26"/>
    </w:rPr>
  </w:style>
  <w:style w:type="character" w:styleId="803" w:customStyle="1">
    <w:name w:val="标题 5 字符"/>
    <w:link w:val="756"/>
    <w:uiPriority w:val="9"/>
    <w:qFormat/>
    <w:rPr>
      <w:rFonts w:ascii="Arial" w:hAnsi="Arial" w:eastAsia="Arial" w:cs="Arial"/>
      <w:b/>
      <w:bCs/>
      <w:sz w:val="24"/>
      <w:szCs w:val="24"/>
    </w:rPr>
  </w:style>
  <w:style w:type="character" w:styleId="804" w:customStyle="1">
    <w:name w:val="标题 6 字符"/>
    <w:link w:val="757"/>
    <w:uiPriority w:val="9"/>
    <w:qFormat/>
    <w:rPr>
      <w:rFonts w:ascii="Arial" w:hAnsi="Arial" w:eastAsia="Arial" w:cs="Arial"/>
      <w:b/>
      <w:bCs/>
      <w:sz w:val="22"/>
      <w:szCs w:val="22"/>
    </w:rPr>
  </w:style>
  <w:style w:type="character" w:styleId="805" w:customStyle="1">
    <w:name w:val="标题 7 字符"/>
    <w:link w:val="758"/>
    <w:uiPriority w:val="9"/>
    <w:qFormat/>
    <w:rPr>
      <w:rFonts w:ascii="Arial" w:hAnsi="Arial" w:eastAsia="Arial" w:cs="Arial"/>
      <w:b/>
      <w:bCs/>
      <w:i/>
      <w:iCs/>
      <w:sz w:val="22"/>
      <w:szCs w:val="22"/>
    </w:rPr>
  </w:style>
  <w:style w:type="character" w:styleId="806" w:customStyle="1">
    <w:name w:val="标题 8 字符"/>
    <w:link w:val="759"/>
    <w:uiPriority w:val="9"/>
    <w:qFormat/>
    <w:rPr>
      <w:rFonts w:ascii="Arial" w:hAnsi="Arial" w:eastAsia="Arial" w:cs="Arial"/>
      <w:i/>
      <w:iCs/>
      <w:sz w:val="22"/>
      <w:szCs w:val="22"/>
    </w:rPr>
  </w:style>
  <w:style w:type="character" w:styleId="807" w:customStyle="1">
    <w:name w:val="标题 9 字符"/>
    <w:link w:val="760"/>
    <w:uiPriority w:val="9"/>
    <w:qFormat/>
    <w:rPr>
      <w:rFonts w:ascii="Arial" w:hAnsi="Arial" w:eastAsia="Arial" w:cs="Arial"/>
      <w:i/>
      <w:iCs/>
      <w:sz w:val="21"/>
      <w:szCs w:val="21"/>
    </w:rPr>
  </w:style>
  <w:style w:type="paragraph" w:styleId="808">
    <w:name w:val="List Paragraph"/>
    <w:basedOn w:val="751"/>
    <w:uiPriority w:val="34"/>
    <w:qFormat/>
    <w:pPr>
      <w:contextualSpacing/>
      <w:ind w:left="720"/>
    </w:pPr>
  </w:style>
  <w:style w:type="paragraph" w:styleId="809">
    <w:name w:val="No Spacing"/>
    <w:uiPriority w:val="1"/>
    <w:qFormat/>
    <w:rPr>
      <w:rFonts w:asciiTheme="minorHAnsi" w:hAnsiTheme="minorHAnsi" w:eastAsiaTheme="minorEastAsia" w:cstheme="minorBidi"/>
      <w:sz w:val="21"/>
      <w:szCs w:val="22"/>
      <w:lang w:val="en-US" w:eastAsia="zh-CN" w:bidi="ar-SA"/>
    </w:rPr>
  </w:style>
  <w:style w:type="character" w:styleId="810" w:customStyle="1">
    <w:name w:val="标题 字符"/>
    <w:link w:val="788"/>
    <w:uiPriority w:val="10"/>
    <w:qFormat/>
    <w:rPr>
      <w:sz w:val="48"/>
      <w:szCs w:val="48"/>
    </w:rPr>
  </w:style>
  <w:style w:type="character" w:styleId="811" w:customStyle="1">
    <w:name w:val="副标题 字符"/>
    <w:link w:val="781"/>
    <w:uiPriority w:val="11"/>
    <w:qFormat/>
    <w:rPr>
      <w:sz w:val="24"/>
      <w:szCs w:val="24"/>
    </w:rPr>
  </w:style>
  <w:style w:type="paragraph" w:styleId="812">
    <w:name w:val="Quote"/>
    <w:link w:val="813"/>
    <w:uiPriority w:val="29"/>
    <w:qFormat/>
    <w:pPr>
      <w:ind w:left="720" w:right="720"/>
    </w:pPr>
    <w:rPr>
      <w:rFonts w:asciiTheme="minorHAnsi" w:hAnsiTheme="minorHAnsi" w:eastAsiaTheme="minorEastAsia" w:cstheme="minorBidi"/>
      <w:i/>
      <w:sz w:val="21"/>
      <w:szCs w:val="22"/>
      <w:lang w:val="en-US" w:eastAsia="zh-CN" w:bidi="ar-SA"/>
    </w:rPr>
  </w:style>
  <w:style w:type="character" w:styleId="813" w:customStyle="1">
    <w:name w:val="引用 字符"/>
    <w:link w:val="812"/>
    <w:uiPriority w:val="29"/>
    <w:qFormat/>
    <w:rPr>
      <w:i/>
    </w:rPr>
  </w:style>
  <w:style w:type="paragraph" w:styleId="814">
    <w:name w:val="Intense Quote"/>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15" w:customStyle="1">
    <w:name w:val="明显引用 字符"/>
    <w:link w:val="814"/>
    <w:uiPriority w:val="30"/>
    <w:qFormat/>
    <w:rPr>
      <w:i/>
    </w:rPr>
  </w:style>
  <w:style w:type="character" w:styleId="816" w:customStyle="1">
    <w:name w:val="页眉 字符"/>
    <w:link w:val="778"/>
    <w:uiPriority w:val="99"/>
    <w:qFormat/>
  </w:style>
  <w:style w:type="character" w:styleId="817" w:customStyle="1">
    <w:name w:val="Footer Char"/>
    <w:uiPriority w:val="99"/>
    <w:qFormat/>
  </w:style>
  <w:style w:type="character" w:styleId="818" w:customStyle="1">
    <w:name w:val="页脚 字符"/>
    <w:link w:val="776"/>
    <w:uiPriority w:val="99"/>
    <w:qFormat/>
  </w:style>
  <w:style w:type="table" w:styleId="81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脚注文本 字符"/>
    <w:link w:val="782"/>
    <w:uiPriority w:val="99"/>
    <w:qFormat/>
    <w:rPr>
      <w:sz w:val="18"/>
    </w:rPr>
  </w:style>
  <w:style w:type="character" w:styleId="945" w:customStyle="1">
    <w:name w:val="尾注文本 字符"/>
    <w:link w:val="774"/>
    <w:uiPriority w:val="99"/>
    <w:qFormat/>
    <w:rPr>
      <w:sz w:val="20"/>
    </w:rPr>
  </w:style>
  <w:style w:type="paragraph" w:styleId="946"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47" w:customStyle="1">
    <w:name w:val="WPSOffice手动目录 1"/>
    <w:uiPriority w:val="0"/>
    <w:qFormat/>
    <w:rPr>
      <w:rFonts w:asciiTheme="minorHAnsi" w:hAnsiTheme="minorHAnsi" w:eastAsiaTheme="minorEastAsia" w:cstheme="minorBidi"/>
      <w:lang w:val="en-US" w:eastAsia="zh-CN" w:bidi="ar-SA"/>
    </w:rPr>
  </w:style>
  <w:style w:type="character" w:styleId="948" w:customStyle="1">
    <w:name w:val="font71"/>
    <w:basedOn w:val="761"/>
    <w:uiPriority w:val="0"/>
    <w:qFormat/>
    <w:rPr>
      <w:rFonts w:ascii="Arial" w:hAnsi="Arial" w:cs="Arial"/>
      <w:color w:val="000000"/>
      <w:sz w:val="20"/>
      <w:szCs w:val="20"/>
      <w:u w:val="none"/>
    </w:rPr>
  </w:style>
  <w:style w:type="character" w:styleId="949" w:customStyle="1">
    <w:name w:val="font11"/>
    <w:basedOn w:val="761"/>
    <w:uiPriority w:val="0"/>
    <w:qFormat/>
    <w:rPr>
      <w:rFonts w:hint="eastAsia" w:ascii="宋体" w:hAnsi="宋体" w:eastAsia="宋体" w:cs="宋体"/>
      <w:color w:val="000000"/>
      <w:sz w:val="20"/>
      <w:szCs w:val="20"/>
      <w:u w:val="none"/>
    </w:rPr>
  </w:style>
  <w:style w:type="character" w:styleId="950" w:customStyle="1">
    <w:name w:val="font81"/>
    <w:basedOn w:val="761"/>
    <w:uiPriority w:val="0"/>
    <w:qFormat/>
    <w:rPr>
      <w:rFonts w:hint="default" w:ascii="Times New Roman" w:hAnsi="Times New Roman" w:cs="Times New Roman"/>
      <w:color w:val="000000"/>
      <w:sz w:val="20"/>
      <w:szCs w:val="20"/>
      <w:u w:val="none"/>
    </w:rPr>
  </w:style>
  <w:style w:type="paragraph" w:styleId="951" w:customStyle="1">
    <w:name w:val="Normal_17"/>
    <w:uiPriority w:val="0"/>
    <w:qFormat/>
    <w:rPr>
      <w:rFonts w:ascii="Times New Roman" w:hAnsi="Times New Roman" w:eastAsia="Times New Roman" w:cs="Times New Roman"/>
      <w:sz w:val="24"/>
      <w:szCs w:val="24"/>
      <w:lang w:val="en-US" w:eastAsia="zh-CN" w:bidi="ar-SA"/>
    </w:rPr>
  </w:style>
  <w:style w:type="character" w:styleId="952" w:customStyle="1">
    <w:name w:val="font21"/>
    <w:basedOn w:val="761"/>
    <w:uiPriority w:val="0"/>
    <w:qFormat/>
    <w:rPr>
      <w:rFonts w:hint="eastAsia" w:ascii="宋体" w:hAnsi="宋体" w:eastAsia="宋体" w:cs="宋体"/>
      <w:color w:val="ff0000"/>
      <w:sz w:val="20"/>
      <w:szCs w:val="20"/>
      <w:u w:val="none"/>
    </w:rPr>
  </w:style>
  <w:style w:type="paragraph" w:styleId="953" w:customStyle="1">
    <w:name w:val="纯文本1"/>
    <w:basedOn w:val="751"/>
    <w:uiPriority w:val="0"/>
    <w:qFormat/>
    <w:rPr>
      <w:rFonts w:ascii="宋体" w:hAnsi="Courier New" w:eastAsia="楷体_GB2312"/>
      <w:sz w:val="26"/>
    </w:rPr>
  </w:style>
  <w:style w:type="character" w:styleId="954" w:customStyle="1">
    <w:name w:val="font51"/>
    <w:basedOn w:val="761"/>
    <w:uiPriority w:val="0"/>
    <w:qFormat/>
    <w:rPr>
      <w:rFonts w:hint="eastAsia" w:ascii="华文细黑" w:hAnsi="华文细黑" w:eastAsia="华文细黑" w:cs="华文细黑"/>
      <w:color w:val="000000"/>
      <w:sz w:val="20"/>
      <w:szCs w:val="20"/>
      <w:u w:val="none"/>
      <w:vertAlign w:val="superscript"/>
    </w:rPr>
  </w:style>
  <w:style w:type="paragraph" w:styleId="955" w:customStyle="1">
    <w:name w:val="标题 11"/>
    <w:basedOn w:val="751"/>
    <w:next w:val="751"/>
    <w:uiPriority w:val="0"/>
    <w:qFormat/>
    <w:pPr>
      <w:jc w:val="center"/>
      <w:keepNext/>
      <w:outlineLvl w:val="0"/>
    </w:pPr>
    <w:rPr>
      <w:rFonts w:ascii="楷体_GB2312" w:hAnsi="Times New Roman" w:eastAsia="楷体_GB2312" w:cs="Times New Roman"/>
      <w:sz w:val="28"/>
      <w:szCs w:val="28"/>
    </w:rPr>
  </w:style>
  <w:style w:type="paragraph" w:styleId="956" w:customStyle="1">
    <w:name w:val="Table Paragraph"/>
    <w:basedOn w:val="751"/>
    <w:uiPriority w:val="1"/>
    <w:qFormat/>
    <w:rPr>
      <w:sz w:val="24"/>
    </w:rPr>
  </w:style>
  <w:style w:type="paragraph" w:styleId="957" w:customStyle="1">
    <w:name w:val="首行缩进"/>
    <w:basedOn w:val="751"/>
    <w:uiPriority w:val="0"/>
    <w:qFormat/>
    <w:pPr>
      <w:ind w:firstLine="480"/>
    </w:pPr>
    <w:rPr>
      <w:lang w:val="zh-CN"/>
    </w:rPr>
  </w:style>
  <w:style w:type="paragraph" w:styleId="958" w:customStyle="1">
    <w:name w:val="Table Text"/>
    <w:basedOn w:val="751"/>
    <w:uiPriority w:val="0"/>
    <w:semiHidden/>
    <w:qFormat/>
    <w:rPr>
      <w:rFonts w:ascii="仿宋" w:hAnsi="仿宋" w:eastAsia="仿宋" w:cs="宋体"/>
      <w:color w:val="000000"/>
      <w:sz w:val="28"/>
      <w:szCs w:val="28"/>
    </w:rPr>
  </w:style>
  <w:style w:type="paragraph" w:styleId="959"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60"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961" w:customStyle="1">
    <w:name w:val="批注框文本 字符"/>
    <w:basedOn w:val="761"/>
    <w:link w:val="775"/>
    <w:uiPriority w:val="99"/>
    <w:semiHidden/>
    <w:qFormat/>
    <w:rPr>
      <w:rFonts w:asciiTheme="minorHAnsi" w:hAnsiTheme="minorHAnsi" w:eastAsiaTheme="minorEastAsia" w:cstheme="minorBidi"/>
      <w:sz w:val="18"/>
      <w:szCs w:val="18"/>
    </w:rPr>
  </w:style>
  <w:style w:type="character" w:styleId="962" w:customStyle="1">
    <w:name w:val="正文文本缩进 字符"/>
    <w:basedOn w:val="761"/>
    <w:link w:val="768"/>
    <w:uiPriority w:val="0"/>
    <w:qFormat/>
    <w:rPr>
      <w:rFonts w:ascii="方正仿宋简体" w:hAnsi="创艺简仿宋" w:eastAsia="方正仿宋简体" w:cstheme="minorBidi"/>
      <w:sz w:val="24"/>
    </w:rPr>
  </w:style>
  <w:style w:type="character" w:styleId="963" w:customStyle="1">
    <w:name w:val="font31"/>
    <w:basedOn w:val="761"/>
    <w:uiPriority w:val="0"/>
    <w:qFormat/>
    <w:rPr>
      <w:rFonts w:hint="eastAsia" w:ascii="等线" w:hAnsi="等线" w:eastAsia="等线" w:cs="等线"/>
      <w:color w:val="000000"/>
      <w:sz w:val="22"/>
      <w:szCs w:val="22"/>
      <w:u w:val="none"/>
    </w:rPr>
  </w:style>
  <w:style w:type="character" w:styleId="964" w:customStyle="1">
    <w:name w:val="font41"/>
    <w:basedOn w:val="761"/>
    <w:uiPriority w:val="0"/>
    <w:qFormat/>
    <w:rPr>
      <w:rFonts w:hint="eastAsia" w:ascii="等线" w:hAnsi="等线" w:eastAsia="等线" w:cs="等线"/>
      <w:color w:val="000000"/>
      <w:sz w:val="22"/>
      <w:szCs w:val="22"/>
      <w:u w:val="none"/>
    </w:rPr>
  </w:style>
  <w:style w:type="character" w:styleId="965" w:customStyle="1">
    <w:name w:val="批注文字 字符"/>
    <w:basedOn w:val="761"/>
    <w:link w:val="766"/>
    <w:uiPriority w:val="99"/>
    <w:semiHidden/>
    <w:qFormat/>
    <w:rPr>
      <w:rFonts w:asciiTheme="minorHAnsi" w:hAnsiTheme="minorHAnsi" w:cstheme="minorBidi"/>
      <w:b/>
      <w:sz w:val="24"/>
      <w:szCs w:val="22"/>
    </w:rPr>
  </w:style>
  <w:style w:type="character" w:styleId="966" w:customStyle="1">
    <w:name w:val="批注主题 字符"/>
    <w:basedOn w:val="965"/>
    <w:link w:val="789"/>
    <w:uiPriority w:val="99"/>
    <w:semiHidden/>
    <w:qFormat/>
    <w:rPr>
      <w:rFonts w:asciiTheme="minorHAnsi" w:hAnsiTheme="minorHAnsi" w:eastAsiaTheme="minorEastAsia" w:cstheme="minorBidi"/>
      <w:bCs/>
      <w:sz w:val="21"/>
      <w:szCs w:val="22"/>
    </w:rPr>
  </w:style>
  <w:style w:type="numbering" w:styleId="9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王雅</cp:lastModifiedBy>
  <cp:revision>71</cp:revision>
  <dcterms:created xsi:type="dcterms:W3CDTF">2024-11-19T01:25:00Z</dcterms:created>
  <dcterms:modified xsi:type="dcterms:W3CDTF">2026-10-28T08:45:19Z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1351D2DA78CB485D95146C63F1218F3F_13</vt:lpwstr>
  </property>
  <property fmtid="{D5CDD505-2E9C-101B-9397-08002B2CF9AE}" pid="4" name="KSOTemplateDocerSaveRecord">
    <vt:lpwstr>eyJoZGlkIjoiZDA5YWNjOWMwOTA2ZDA2N2ZhMzM0NzFhNGZhYWUxMGMiLCJ1c2VySWQiOiIxMTAwNzg1MTUyIn0=</vt:lpwstr>
  </property>
</Properties>
</file>