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72"/>
        <w:ind w:firstLine="0"/>
        <w:jc w:val="center"/>
        <w:spacing w:line="360" w:lineRule="auto"/>
        <w:shd w:val="clear" w:color="auto" w:fill="auto"/>
        <w:rPr>
          <w:rFonts w:hint="eastAsia" w:ascii="宋体" w:hAnsi="宋体" w:cs="宋体"/>
          <w:b/>
          <w:bCs/>
          <w:color w:val="000000"/>
          <w:sz w:val="72"/>
          <w:szCs w:val="72"/>
          <w:highlight w:val="none"/>
          <w:lang w:val="en-US" w:eastAsia="zh-CN"/>
        </w:rPr>
        <w:outlineLvl w:val="9"/>
      </w:pPr>
      <w:r>
        <w:rPr>
          <w:rFonts w:hint="eastAsia" w:ascii="宋体" w:hAnsi="宋体" w:cs="宋体"/>
          <w:b/>
          <w:bCs/>
          <w:color w:val="000000"/>
          <w:sz w:val="72"/>
          <w:szCs w:val="72"/>
          <w:highlight w:val="none"/>
          <w:lang w:val="en-US" w:eastAsia="zh-CN"/>
        </w:rPr>
      </w:r>
      <w:r/>
    </w:p>
    <w:p>
      <w:pPr>
        <w:pStyle w:val="1372"/>
        <w:ind w:left="0" w:firstLine="0"/>
        <w:jc w:val="center"/>
        <w:spacing w:line="360" w:lineRule="auto"/>
        <w:shd w:val="clear" w:color="auto" w:fill="auto"/>
        <w:rPr>
          <w:rFonts w:hint="eastAsia" w:ascii="宋体" w:hAnsi="宋体" w:eastAsia="宋体" w:cs="宋体"/>
          <w:b/>
          <w:bCs/>
          <w:color w:val="000000"/>
          <w:sz w:val="72"/>
          <w:szCs w:val="72"/>
          <w:highlight w:val="none"/>
          <w:lang w:eastAsia="zh-CN"/>
        </w:rPr>
        <w:outlineLvl w:val="9"/>
      </w:pPr>
      <w:r>
        <w:rPr>
          <w:rFonts w:hint="eastAsia" w:ascii="宋体" w:hAnsi="宋体" w:cs="宋体"/>
          <w:b/>
          <w:bCs/>
          <w:color w:val="000000"/>
          <w:sz w:val="72"/>
          <w:szCs w:val="72"/>
          <w:highlight w:val="none"/>
          <w:lang w:val="en-US" w:eastAsia="zh-CN"/>
        </w:rPr>
        <w:t xml:space="preserve">竞争性磋商</w:t>
      </w:r>
      <w:r>
        <w:rPr>
          <w:rFonts w:hint="eastAsia" w:ascii="宋体" w:hAnsi="宋体" w:cs="宋体"/>
          <w:b/>
          <w:bCs/>
          <w:color w:val="000000"/>
          <w:sz w:val="72"/>
          <w:szCs w:val="72"/>
          <w:highlight w:val="none"/>
          <w:lang w:eastAsia="zh-CN"/>
        </w:rPr>
        <w:t xml:space="preserve">文件</w:t>
      </w:r>
      <w:r>
        <w:rPr>
          <w:rFonts w:hint="eastAsia" w:ascii="宋体" w:hAnsi="宋体" w:eastAsia="宋体" w:cs="宋体"/>
          <w:b/>
          <w:bCs/>
          <w:color w:val="000000"/>
          <w:sz w:val="72"/>
          <w:szCs w:val="72"/>
          <w:highlight w:val="none"/>
          <w:lang w:eastAsia="zh-CN"/>
        </w:rPr>
      </w:r>
      <w:r/>
    </w:p>
    <w:p>
      <w:pPr>
        <w:pStyle w:val="1372"/>
        <w:ind w:left="0"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372"/>
        <w:ind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1002"/>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项目名称</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1002"/>
              <w:ind w:left="0" w:firstLine="0"/>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2026年度东海县曲阳镇农村公路城张线（Y017）提档升级工程（专门面向中小企业）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1002"/>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1002"/>
              <w:ind w:left="0" w:firstLine="0"/>
              <w:jc w:val="both"/>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JSZC-320722-YTGL-C2026-0006</w:t>
            </w:r>
            <w:r>
              <w:rPr>
                <w:rFonts w:hint="eastAsia" w:ascii="宋体" w:hAnsi="宋体" w:eastAsia="宋体" w:cs="宋体"/>
                <w:b/>
                <w:bCs/>
                <w:color w:val="000000"/>
                <w:spacing w:val="16"/>
                <w:sz w:val="32"/>
                <w:szCs w:val="32"/>
                <w:highlight w:val="none"/>
                <w:lang w:eastAsia="zh-CN"/>
              </w:rPr>
            </w:r>
            <w:r/>
          </w:p>
        </w:tc>
      </w:tr>
    </w:tbl>
    <w:p>
      <w:pPr>
        <w:pStyle w:val="1372"/>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72"/>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72"/>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1002"/>
              <w:ind w:left="0" w:firstLine="0"/>
              <w:jc w:val="left"/>
              <w:spacing w:line="360" w:lineRule="auto"/>
              <w:shd w:val="clear" w:color="auto" w:fill="auto"/>
              <w:rPr>
                <w:rFonts w:ascii="宋体" w:hAnsi="宋体" w:cs="宋体"/>
                <w:color w:val="000000"/>
                <w:highlight w:val="none"/>
              </w:rPr>
              <w:framePr w:w="11623" w:h="2578" w:vAnchor="page" w:hAnchor="page" w:x="1299" w:y="10811" w:hRule="atLeast"/>
            </w:pPr>
            <w:r/>
            <w:bookmarkStart w:id="0" w:name="OLE_LINK31"/>
            <w:r/>
            <w:bookmarkStart w:id="1" w:name="OLE_LINK4"/>
            <w:r>
              <w:rPr>
                <w:rFonts w:hint="eastAsia" w:ascii="宋体" w:hAnsi="宋体" w:cs="宋体"/>
                <w:b/>
                <w:bCs/>
                <w:color w:val="000000"/>
                <w:sz w:val="32"/>
                <w:highlight w:val="none"/>
              </w:rPr>
              <w:t xml:space="preserve">采   购  人：</w:t>
            </w:r>
            <w:r>
              <w:rPr>
                <w:rFonts w:ascii="宋体" w:hAnsi="宋体" w:cs="宋体"/>
                <w:color w:val="000000"/>
                <w:highlight w:val="none"/>
              </w:rPr>
            </w:r>
            <w:r/>
          </w:p>
        </w:tc>
        <w:tc>
          <w:tcPr>
            <w:gridSpan w:val="2"/>
            <w:tcW w:w="6154" w:type="dxa"/>
            <w:vAlign w:val="center"/>
            <w:textDirection w:val="lrTb"/>
            <w:noWrap w:val="false"/>
          </w:tcPr>
          <w:p>
            <w:pPr>
              <w:pStyle w:val="1040"/>
              <w:ind w:left="0" w:firstLine="0"/>
              <w:spacing w:line="360" w:lineRule="auto"/>
              <w:shd w:val="clear" w:color="auto" w:fill="auto"/>
              <w:rPr>
                <w:rFonts w:hint="eastAsia" w:hAnsi="宋体" w:eastAsia="宋体" w:cs="宋体"/>
                <w:b/>
                <w:bCs/>
                <w:color w:val="000000"/>
                <w:sz w:val="32"/>
                <w:szCs w:val="32"/>
                <w:highlight w:val="none"/>
                <w:lang w:eastAsia="zh-CN"/>
              </w:rPr>
              <w:framePr w:w="11623" w:h="2578" w:vAnchor="page" w:hAnchor="page" w:x="1299" w:y="10811" w:hRule="atLeast"/>
            </w:pPr>
            <w:r/>
            <w:bookmarkEnd w:id="0"/>
            <w:r/>
            <w:bookmarkEnd w:id="1"/>
            <w:r>
              <w:rPr>
                <w:rFonts w:hint="eastAsia" w:hAnsi="宋体" w:cs="宋体"/>
                <w:b/>
                <w:bCs/>
                <w:color w:val="000000"/>
                <w:sz w:val="32"/>
                <w:szCs w:val="32"/>
                <w:highlight w:val="none"/>
                <w:lang w:eastAsia="zh-CN"/>
              </w:rPr>
              <w:t xml:space="preserve">东海县曲阳镇人民政府</w:t>
            </w:r>
            <w:r>
              <w:rPr>
                <w:rFonts w:hint="eastAsia" w:hAnsi="宋体" w:eastAsia="宋体" w:cs="宋体"/>
                <w:b/>
                <w:bCs/>
                <w:color w:val="000000"/>
                <w:sz w:val="32"/>
                <w:szCs w:val="32"/>
                <w:highlight w:val="none"/>
                <w:lang w:eastAsia="zh-CN"/>
              </w:rPr>
            </w:r>
            <w:r/>
          </w:p>
        </w:tc>
      </w:tr>
      <w:tr>
        <w:trPr>
          <w:trHeight w:val="797"/>
        </w:trPr>
        <w:tc>
          <w:tcPr>
            <w:gridSpan w:val="2"/>
            <w:tcW w:w="2485" w:type="dxa"/>
            <w:vAlign w:val="center"/>
            <w:textDirection w:val="lrTb"/>
            <w:noWrap w:val="false"/>
          </w:tcPr>
          <w:p>
            <w:pPr>
              <w:pStyle w:val="1002"/>
              <w:ind w:left="0" w:firstLine="0"/>
              <w:jc w:val="left"/>
              <w:spacing w:line="360" w:lineRule="auto"/>
              <w:shd w:val="clear" w:color="auto" w:fill="auto"/>
              <w:rPr>
                <w:rFonts w:ascii="宋体" w:hAnsi="宋体" w:cs="宋体"/>
                <w:color w:val="000000"/>
                <w:highlight w:val="none"/>
              </w:rPr>
              <w:framePr w:w="11623" w:h="2578" w:vAnchor="page" w:hAnchor="page" w:x="1299" w:y="10811" w:hRule="atLeast"/>
            </w:pPr>
            <w:r>
              <w:rPr>
                <w:rFonts w:hint="eastAsia" w:ascii="宋体" w:hAnsi="宋体" w:cs="宋体"/>
                <w:b/>
                <w:bCs/>
                <w:color w:val="000000"/>
                <w:sz w:val="32"/>
                <w:highlight w:val="none"/>
              </w:rPr>
              <w:t xml:space="preserve">采购代理机构：</w:t>
            </w:r>
            <w:r>
              <w:rPr>
                <w:rFonts w:ascii="宋体" w:hAnsi="宋体" w:cs="宋体"/>
                <w:color w:val="000000"/>
                <w:highlight w:val="none"/>
              </w:rPr>
            </w:r>
            <w:r/>
          </w:p>
        </w:tc>
        <w:tc>
          <w:tcPr>
            <w:gridSpan w:val="2"/>
            <w:tcW w:w="6154" w:type="dxa"/>
            <w:vAlign w:val="center"/>
            <w:textDirection w:val="lrTb"/>
            <w:noWrap w:val="false"/>
          </w:tcPr>
          <w:p>
            <w:pPr>
              <w:pStyle w:val="1040"/>
              <w:ind w:left="0" w:firstLine="0"/>
              <w:spacing w:line="360" w:lineRule="auto"/>
              <w:shd w:val="clear" w:color="auto" w:fill="auto"/>
              <w:rPr>
                <w:rFonts w:hint="eastAsia" w:hAnsi="宋体" w:eastAsia="宋体" w:cs="宋体"/>
                <w:b/>
                <w:bCs/>
                <w:color w:val="000000"/>
                <w:sz w:val="28"/>
                <w:szCs w:val="28"/>
                <w:highlight w:val="none"/>
                <w:lang w:eastAsia="zh-CN"/>
              </w:rPr>
              <w:framePr w:w="11623" w:h="2578" w:vAnchor="page" w:hAnchor="page" w:x="1299" w:y="10811" w:hRule="atLeast"/>
            </w:pPr>
            <w:r>
              <w:rPr>
                <w:rFonts w:hint="eastAsia" w:hAnsi="宋体" w:cs="宋体"/>
                <w:b/>
                <w:bCs/>
                <w:color w:val="000000"/>
                <w:spacing w:val="20"/>
                <w:sz w:val="32"/>
                <w:highlight w:val="none"/>
                <w:lang w:eastAsia="zh-CN"/>
              </w:rPr>
              <w:t xml:space="preserve">连云港云途项目管理有限公司  </w:t>
            </w:r>
            <w:r>
              <w:rPr>
                <w:rFonts w:hint="eastAsia" w:hAnsi="宋体" w:eastAsia="宋体" w:cs="宋体"/>
                <w:b/>
                <w:bCs/>
                <w:color w:val="000000"/>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1040"/>
              <w:ind w:left="0" w:firstLine="0"/>
              <w:jc w:val="center"/>
              <w:spacing w:line="360" w:lineRule="auto"/>
              <w:shd w:val="clear" w:color="auto" w:fill="auto"/>
              <w:rPr>
                <w:rFonts w:hAnsi="宋体" w:eastAsia="宋体" w:cs="宋体"/>
                <w:b/>
                <w:color w:val="000000"/>
                <w:sz w:val="32"/>
                <w:szCs w:val="32"/>
                <w:highlight w:val="none"/>
                <w:lang w:val="en-US" w:eastAsia="zh-CN"/>
              </w:rPr>
              <w:framePr w:w="11623" w:h="2578" w:vAnchor="page" w:hAnchor="page" w:x="1299" w:y="10811" w:hRule="atLeast"/>
            </w:pPr>
            <w:r/>
            <w:bookmarkStart w:id="2" w:name="OLE_LINK35"/>
            <w:r/>
            <w:bookmarkStart w:id="3" w:name="OLE_LINK12"/>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9</w:t>
            </w:r>
            <w:r>
              <w:rPr>
                <w:rFonts w:hint="eastAsia" w:hAnsi="宋体" w:cs="宋体"/>
                <w:b/>
                <w:color w:val="000000"/>
                <w:sz w:val="32"/>
                <w:szCs w:val="32"/>
                <w:highlight w:val="none"/>
              </w:rPr>
              <w:t xml:space="preserve">月</w:t>
            </w:r>
            <w:bookmarkEnd w:id="2"/>
            <w:r/>
            <w:bookmarkEnd w:id="3"/>
            <w:r>
              <w:rPr>
                <w:rFonts w:hAnsi="宋体" w:eastAsia="宋体" w:cs="宋体"/>
                <w:b/>
                <w:color w:val="000000"/>
                <w:sz w:val="32"/>
                <w:szCs w:val="32"/>
                <w:highlight w:val="none"/>
                <w:lang w:val="en-US" w:eastAsia="zh-CN"/>
              </w:rPr>
            </w:r>
            <w:r/>
          </w:p>
        </w:tc>
      </w:tr>
    </w:tbl>
    <w:p>
      <w:pPr>
        <w:pStyle w:val="1002"/>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02"/>
        <w:spacing w:line="360" w:lineRule="auto"/>
        <w:shd w:val="clear" w:color="auto" w:fill="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1002"/>
        <w:jc w:val="center"/>
        <w:spacing w:line="360" w:lineRule="auto"/>
        <w:shd w:val="clear" w:color="auto" w:fill="auto"/>
        <w:rPr>
          <w:rFonts w:hint="eastAsia" w:ascii="宋体" w:hAnsi="宋体" w:eastAsia="宋体" w:cs="宋体"/>
          <w:b/>
          <w:color w:val="000000"/>
          <w:sz w:val="44"/>
          <w:szCs w:val="21"/>
          <w:highlight w:val="none"/>
          <w:lang w:eastAsia="zh-CN"/>
        </w:rPr>
        <w:outlineLvl w:val="9"/>
      </w:pPr>
      <w:r>
        <w:rPr>
          <w:rFonts w:hint="eastAsia" w:ascii="宋体" w:hAnsi="宋体" w:eastAsia="宋体" w:cs="宋体"/>
          <w:b/>
          <w:color w:val="000000"/>
          <w:sz w:val="44"/>
          <w:szCs w:val="21"/>
          <w:highlight w:val="none"/>
          <w:lang w:eastAsia="zh-CN"/>
        </w:rPr>
      </w:r>
      <w:r/>
    </w:p>
    <w:p>
      <w:pPr>
        <w:pStyle w:val="1002"/>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76"/>
        <w:spacing w:line="360" w:lineRule="auto"/>
        <w:tabs>
          <w:tab w:val="right" w:pos="9747"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TOC \o "1-1" \h \u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_Toc6927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52"/>
          <w:highlight w:val="none"/>
          <w:lang w:val="en-US" w:eastAsia="zh-CN" w:bidi="ar-SA"/>
        </w:rPr>
        <w:t xml:space="preserve">第一章 </w:t>
      </w:r>
      <w:r>
        <w:rPr>
          <w:rFonts w:hint="eastAsia" w:ascii="宋体" w:hAnsi="宋体" w:eastAsia="宋体" w:cs="宋体"/>
          <w:bCs/>
          <w:color w:val="000000"/>
          <w:szCs w:val="52"/>
          <w:highlight w:val="none"/>
          <w:lang w:val="en-US" w:eastAsia="zh-CN"/>
        </w:rPr>
        <w:t xml:space="preserve">竞争性磋商公告</w:t>
      </w:r>
      <w:r>
        <w:rPr>
          <w:color w:val="000000"/>
          <w:highlight w:val="none"/>
        </w:rPr>
        <w:tab/>
      </w:r>
      <w:r>
        <w:rPr>
          <w:color w:val="000000"/>
          <w:highlight w:val="none"/>
        </w:rPr>
        <w:fldChar w:fldCharType="begin"/>
      </w:r>
      <w:r>
        <w:rPr>
          <w:color w:val="000000"/>
          <w:highlight w:val="none"/>
        </w:rPr>
        <w:instrText xml:space="preserve"> PAGEREF _Toc6927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_Toc26344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第二章 </w:t>
      </w:r>
      <w:r>
        <w:rPr>
          <w:rFonts w:hint="eastAsia" w:ascii="宋体" w:hAnsi="宋体" w:eastAsia="宋体" w:cs="宋体"/>
          <w:bCs/>
          <w:color w:val="000000"/>
          <w:szCs w:val="44"/>
          <w:highlight w:val="none"/>
          <w:lang w:eastAsia="zh-CN"/>
        </w:rPr>
        <w:t xml:space="preserve">供应商</w:t>
      </w:r>
      <w:r>
        <w:rPr>
          <w:rFonts w:hint="eastAsia" w:ascii="宋体" w:hAnsi="宋体" w:eastAsia="宋体" w:cs="宋体"/>
          <w:bCs/>
          <w:color w:val="000000"/>
          <w:szCs w:val="44"/>
          <w:highlight w:val="none"/>
        </w:rPr>
        <w:t xml:space="preserve">须知</w:t>
      </w:r>
      <w:r>
        <w:rPr>
          <w:color w:val="000000"/>
          <w:highlight w:val="none"/>
        </w:rPr>
        <w:tab/>
      </w:r>
      <w:r>
        <w:rPr>
          <w:color w:val="000000"/>
          <w:highlight w:val="none"/>
        </w:rPr>
        <w:fldChar w:fldCharType="begin"/>
      </w:r>
      <w:r>
        <w:rPr>
          <w:color w:val="000000"/>
          <w:highlight w:val="none"/>
        </w:rPr>
        <w:instrText xml:space="preserve"> PAGEREF _Toc26344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_Toc8400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三</w:t>
      </w:r>
      <w:r>
        <w:rPr>
          <w:rFonts w:hint="eastAsia" w:ascii="宋体" w:hAnsi="宋体" w:eastAsia="宋体" w:cs="宋体"/>
          <w:bCs/>
          <w:color w:val="000000"/>
          <w:szCs w:val="44"/>
          <w:highlight w:val="none"/>
        </w:rPr>
        <w:t xml:space="preserve">章  政府采购合同格式</w:t>
      </w:r>
      <w:r>
        <w:rPr>
          <w:color w:val="000000"/>
          <w:highlight w:val="none"/>
        </w:rPr>
        <w:tab/>
      </w:r>
      <w:r>
        <w:rPr>
          <w:color w:val="000000"/>
          <w:highlight w:val="none"/>
        </w:rPr>
        <w:fldChar w:fldCharType="begin"/>
      </w:r>
      <w:r>
        <w:rPr>
          <w:color w:val="000000"/>
          <w:highlight w:val="none"/>
        </w:rPr>
        <w:instrText xml:space="preserve"> PAGEREF _Toc8400 \h </w:instrText>
      </w:r>
      <w:r>
        <w:rPr>
          <w:color w:val="000000"/>
          <w:highlight w:val="none"/>
        </w:rPr>
        <w:fldChar w:fldCharType="separate"/>
      </w:r>
      <w:r>
        <w:rPr>
          <w:color w:val="000000"/>
          <w:highlight w:val="none"/>
        </w:rPr>
        <w:t xml:space="preserve">25</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_Toc12603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四</w:t>
      </w:r>
      <w:r>
        <w:rPr>
          <w:rFonts w:hint="eastAsia" w:ascii="宋体" w:hAnsi="宋体" w:eastAsia="宋体" w:cs="宋体"/>
          <w:bCs/>
          <w:color w:val="000000"/>
          <w:szCs w:val="44"/>
          <w:highlight w:val="none"/>
        </w:rPr>
        <w:t xml:space="preserve">章 </w:t>
      </w:r>
      <w:r>
        <w:rPr>
          <w:rFonts w:hint="eastAsia" w:ascii="宋体" w:hAnsi="宋体" w:eastAsia="宋体" w:cs="宋体"/>
          <w:bCs/>
          <w:color w:val="000000"/>
          <w:szCs w:val="44"/>
          <w:highlight w:val="none"/>
          <w:lang w:eastAsia="zh-CN"/>
        </w:rPr>
        <w:t xml:space="preserve">技术标准和要求</w:t>
      </w:r>
      <w:r>
        <w:rPr>
          <w:color w:val="000000"/>
          <w:highlight w:val="none"/>
        </w:rPr>
        <w:tab/>
      </w:r>
      <w:r>
        <w:rPr>
          <w:color w:val="000000"/>
          <w:highlight w:val="none"/>
        </w:rPr>
        <w:fldChar w:fldCharType="begin"/>
      </w:r>
      <w:r>
        <w:rPr>
          <w:color w:val="000000"/>
          <w:highlight w:val="none"/>
        </w:rPr>
        <w:instrText xml:space="preserve"> PAGEREF _Toc12603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_Toc32727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五</w:t>
      </w:r>
      <w:r>
        <w:rPr>
          <w:rFonts w:hint="eastAsia" w:ascii="宋体" w:hAnsi="宋体" w:eastAsia="宋体" w:cs="宋体"/>
          <w:bCs/>
          <w:color w:val="000000"/>
          <w:szCs w:val="44"/>
          <w:highlight w:val="none"/>
        </w:rPr>
        <w:t xml:space="preserve">章 工程量清单</w:t>
      </w:r>
      <w:r>
        <w:rPr>
          <w:color w:val="000000"/>
          <w:highlight w:val="none"/>
        </w:rPr>
        <w:tab/>
      </w:r>
      <w:r>
        <w:rPr>
          <w:color w:val="000000"/>
          <w:highlight w:val="none"/>
        </w:rPr>
        <w:fldChar w:fldCharType="begin"/>
      </w:r>
      <w:r>
        <w:rPr>
          <w:color w:val="000000"/>
          <w:highlight w:val="none"/>
        </w:rPr>
        <w:instrText xml:space="preserve"> PAGEREF _Toc32727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_Toc16538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六</w:t>
      </w:r>
      <w:r>
        <w:rPr>
          <w:rFonts w:hint="eastAsia" w:ascii="宋体" w:hAnsi="宋体" w:eastAsia="宋体" w:cs="宋体"/>
          <w:bCs/>
          <w:color w:val="000000"/>
          <w:szCs w:val="44"/>
          <w:highlight w:val="none"/>
        </w:rPr>
        <w:t xml:space="preserve">章 图纸和技术资料</w:t>
      </w:r>
      <w:r>
        <w:rPr>
          <w:color w:val="000000"/>
          <w:highlight w:val="none"/>
        </w:rPr>
        <w:tab/>
      </w:r>
      <w:r>
        <w:rPr>
          <w:color w:val="000000"/>
          <w:highlight w:val="none"/>
        </w:rPr>
        <w:fldChar w:fldCharType="begin"/>
      </w:r>
      <w:r>
        <w:rPr>
          <w:color w:val="000000"/>
          <w:highlight w:val="none"/>
        </w:rPr>
        <w:instrText xml:space="preserve"> PAGEREF _Toc16538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_Toc13307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lang w:val="en-US" w:eastAsia="zh-CN" w:bidi="ar-SA"/>
        </w:rPr>
        <w:t xml:space="preserve">第七章</w:t>
      </w:r>
      <w:r>
        <w:rPr>
          <w:rFonts w:hint="eastAsia" w:ascii="宋体" w:hAnsi="宋体" w:eastAsia="宋体" w:cs="宋体"/>
          <w:bCs/>
          <w:color w:val="000000"/>
          <w:szCs w:val="44"/>
          <w:highlight w:val="none"/>
          <w:lang w:val="en-US" w:eastAsia="zh-CN"/>
        </w:rPr>
        <w:t xml:space="preserve"> </w:t>
      </w:r>
      <w:r>
        <w:rPr>
          <w:rFonts w:hint="eastAsia" w:ascii="宋体" w:hAnsi="宋体" w:eastAsia="宋体" w:cs="宋体"/>
          <w:bCs/>
          <w:color w:val="000000"/>
          <w:szCs w:val="44"/>
          <w:highlight w:val="none"/>
        </w:rPr>
        <w:t xml:space="preserve">评审方法和评审标准</w:t>
      </w:r>
      <w:r>
        <w:rPr>
          <w:color w:val="000000"/>
          <w:highlight w:val="none"/>
        </w:rPr>
        <w:tab/>
      </w:r>
      <w:r>
        <w:rPr>
          <w:color w:val="000000"/>
          <w:highlight w:val="none"/>
        </w:rPr>
        <w:fldChar w:fldCharType="begin"/>
      </w:r>
      <w:r>
        <w:rPr>
          <w:color w:val="000000"/>
          <w:highlight w:val="none"/>
        </w:rPr>
        <w:instrText xml:space="preserve"> PAGEREF _Toc13307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054"/>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_Toc18063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lang w:val="en-US" w:eastAsia="zh-CN"/>
        </w:rPr>
        <w:t xml:space="preserve">第八章 </w:t>
      </w:r>
      <w:r>
        <w:rPr>
          <w:rFonts w:hint="eastAsia" w:ascii="宋体" w:hAnsi="宋体" w:eastAsia="宋体" w:cs="宋体"/>
          <w:bCs/>
          <w:color w:val="000000"/>
          <w:szCs w:val="44"/>
          <w:highlight w:val="none"/>
          <w:lang w:eastAsia="zh-CN"/>
        </w:rPr>
        <w:t xml:space="preserve">响应文件</w:t>
      </w:r>
      <w:r>
        <w:rPr>
          <w:rFonts w:hint="eastAsia" w:ascii="宋体" w:hAnsi="宋体" w:eastAsia="宋体" w:cs="宋体"/>
          <w:bCs/>
          <w:color w:val="000000"/>
          <w:szCs w:val="44"/>
          <w:highlight w:val="none"/>
        </w:rPr>
        <w:t xml:space="preserve">格式</w:t>
      </w:r>
      <w:r>
        <w:rPr>
          <w:color w:val="000000"/>
          <w:highlight w:val="none"/>
        </w:rPr>
        <w:tab/>
      </w:r>
      <w:r>
        <w:rPr>
          <w:color w:val="000000"/>
          <w:highlight w:val="none"/>
        </w:rPr>
        <w:fldChar w:fldCharType="begin"/>
      </w:r>
      <w:r>
        <w:rPr>
          <w:color w:val="000000"/>
          <w:highlight w:val="none"/>
        </w:rPr>
        <w:instrText xml:space="preserve"> PAGEREF _Toc18063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376"/>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r>
      <w:r/>
    </w:p>
    <w:p>
      <w:pPr>
        <w:pStyle w:val="1376"/>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0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513622226"/>
      <w:r/>
      <w:bookmarkStart w:id="5" w:name="_Toc19488"/>
      <w:r/>
      <w:bookmarkStart w:id="6" w:name="_Toc15864"/>
      <w:r/>
      <w:bookmarkStart w:id="7" w:name="_Toc204595692"/>
      <w:r/>
      <w:bookmarkStart w:id="8" w:name="_Toc224532086"/>
      <w:r>
        <w:rPr>
          <w:rFonts w:hint="eastAsia" w:ascii="宋体" w:hAnsi="宋体" w:eastAsia="宋体" w:cs="宋体"/>
          <w:color w:val="000000"/>
          <w:highlight w:val="none"/>
        </w:rPr>
      </w:r>
      <w:r/>
    </w:p>
    <w:p>
      <w:pPr>
        <w:pStyle w:val="1002"/>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bookmarkStart w:id="10" w:name="_Toc6927"/>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bookmarkEnd w:id="10"/>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4"/>
      </w:tblGrid>
      <w:tr>
        <w:trPr>
          <w:trHeight w:val="1380"/>
        </w:trPr>
        <w:tc>
          <w:tcPr>
            <w:tcW w:w="9854" w:type="dxa"/>
            <w:vAlign w:val="center"/>
            <w:textDirection w:val="lrTb"/>
            <w:noWrap w:val="false"/>
          </w:tcPr>
          <w:p>
            <w:pPr>
              <w:pStyle w:val="1002"/>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1002"/>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2026年度东海县曲阳镇农村公路城张线（Y017）提档升级工程（专门面向中小企业）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10</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12</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1002"/>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p>
      <w:pPr>
        <w:pStyle w:val="1002"/>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100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1、项目编号：JSZC-320722-YTGL-C2026-0006</w:t>
      </w:r>
      <w:r>
        <w:rPr>
          <w:rFonts w:hint="eastAsia" w:ascii="宋体" w:hAnsi="宋体" w:eastAsia="宋体" w:cs="宋体"/>
          <w:color w:val="000000"/>
          <w:sz w:val="24"/>
          <w:szCs w:val="24"/>
          <w:highlight w:val="none"/>
          <w:lang w:val="en-US" w:eastAsia="zh-CN"/>
        </w:rPr>
      </w:r>
      <w:r/>
    </w:p>
    <w:p>
      <w:pPr>
        <w:pStyle w:val="100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2026年度东海县曲阳镇农村公路城张线（Y017）提档升级工程（专门面向中小企业）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02"/>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150</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1002"/>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 1499553.80  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0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color w:val="000000"/>
          <w:szCs w:val="28"/>
          <w:highlight w:val="none"/>
        </w:rPr>
        <w:t xml:space="preserve">对</w:t>
      </w:r>
      <w:r>
        <w:rPr>
          <w:rFonts w:hint="eastAsia" w:ascii="宋体" w:hAnsi="宋体"/>
          <w:color w:val="000000"/>
          <w:szCs w:val="28"/>
          <w:highlight w:val="none"/>
          <w:lang w:eastAsia="zh-CN"/>
        </w:rPr>
        <w:t xml:space="preserve">2026年度东海县曲阳镇农村公路城张线（Y017）提档升级工程（专</w:t>
      </w:r>
      <w:r>
        <w:rPr>
          <w:rFonts w:hint="eastAsia" w:ascii="宋体" w:hAnsi="宋体"/>
          <w:color w:val="000000"/>
          <w:szCs w:val="28"/>
          <w:highlight w:val="none"/>
          <w:lang w:eastAsia="zh-CN"/>
        </w:rPr>
        <w:t xml:space="preserve">门面向中小企业），道路全长约2.1km，四级公路，对现有混凝土路面进行“白改黑”</w:t>
      </w:r>
      <w:r>
        <w:rPr>
          <w:rFonts w:hint="eastAsia" w:ascii="宋体" w:hAnsi="宋体"/>
          <w:color w:val="000000"/>
          <w:szCs w:val="28"/>
          <w:highlight w:val="none"/>
          <w:lang w:val="en-US" w:eastAsia="zh-CN"/>
        </w:rPr>
        <w:t xml:space="preserve">,</w:t>
      </w:r>
      <w:r>
        <w:rPr>
          <w:rFonts w:hint="eastAsia" w:ascii="宋体" w:hAnsi="宋体"/>
          <w:color w:val="000000"/>
          <w:highlight w:val="none"/>
        </w:rPr>
        <w:t xml:space="preserve">具体详见图纸及工程量清单。</w:t>
      </w:r>
      <w:r>
        <w:rPr>
          <w:rFonts w:hint="eastAsia" w:ascii="宋体" w:hAnsi="宋体" w:eastAsia="宋体" w:cs="宋体"/>
          <w:color w:val="000000"/>
          <w:sz w:val="24"/>
          <w:szCs w:val="24"/>
          <w:highlight w:val="none"/>
          <w:lang w:eastAsia="zh-CN"/>
        </w:rPr>
      </w:r>
      <w:r/>
    </w:p>
    <w:p>
      <w:pPr>
        <w:pStyle w:val="1002"/>
        <w:ind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eastAsia="zh-CN"/>
        </w:rPr>
        <w:t xml:space="preserve">东海县</w:t>
      </w:r>
      <w:r>
        <w:rPr>
          <w:rFonts w:ascii="宋体" w:hAnsi="宋体" w:eastAsia="宋体" w:cs="宋体"/>
          <w:color w:val="000000"/>
          <w:sz w:val="24"/>
          <w:szCs w:val="24"/>
          <w:highlight w:val="none"/>
          <w:lang w:val="en-US"/>
        </w:rPr>
      </w:r>
      <w:r/>
    </w:p>
    <w:p>
      <w:pPr>
        <w:pStyle w:val="10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100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质量标准：工程交工验收的质量评定：合格且质量评分必须达90分及以上；工程竣工验收的质量评定：优良。</w:t>
      </w:r>
      <w:r>
        <w:rPr>
          <w:rFonts w:hint="eastAsia" w:ascii="宋体" w:hAnsi="宋体" w:eastAsia="宋体" w:cs="宋体"/>
          <w:color w:val="000000"/>
          <w:sz w:val="24"/>
          <w:szCs w:val="24"/>
          <w:highlight w:val="none"/>
        </w:rPr>
      </w:r>
      <w:r/>
    </w:p>
    <w:p>
      <w:pPr>
        <w:pStyle w:val="100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1002"/>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1002"/>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1002"/>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bookmarkStart w:id="11" w:name="_Toc28359091"/>
      <w:r/>
      <w:bookmarkStart w:id="12" w:name="_Toc28359014"/>
      <w:r>
        <w:rPr>
          <w:rFonts w:hint="eastAsia" w:ascii="宋体" w:hAnsi="宋体" w:eastAsia="宋体" w:cs="Times New Roman"/>
          <w:b/>
          <w:bCs/>
          <w:color w:val="000000"/>
          <w:sz w:val="24"/>
          <w:szCs w:val="24"/>
          <w:highlight w:val="none"/>
          <w:lang w:val="zh-CN" w:eastAsia="zh-CN"/>
        </w:rPr>
        <w:t xml:space="preserve">（一）满足《中华人民共和国政府采购法》第二十二条规定，并提供以下材料：</w:t>
      </w:r>
      <w:r>
        <w:rPr>
          <w:rFonts w:hint="eastAsia" w:ascii="宋体" w:hAnsi="宋体" w:eastAsia="宋体" w:cs="Times New Roman"/>
          <w:b/>
          <w:bCs/>
          <w:color w:val="000000"/>
          <w:sz w:val="24"/>
          <w:szCs w:val="24"/>
          <w:highlight w:val="none"/>
          <w:lang w:val="zh-CN" w:eastAsia="zh-CN"/>
        </w:rPr>
      </w:r>
      <w:r/>
    </w:p>
    <w:p>
      <w:pPr>
        <w:pStyle w:val="1002"/>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1、</w:t>
      </w:r>
      <w:r>
        <w:rPr>
          <w:rFonts w:hint="eastAsia" w:ascii="宋体" w:hAnsi="宋体" w:eastAsia="宋体" w:cs="宋体"/>
          <w:color w:val="000000"/>
          <w:sz w:val="24"/>
          <w:szCs w:val="28"/>
          <w:highlight w:val="none"/>
        </w:rPr>
        <w:t xml:space="preserve">法人或者其他组织的营业执照等证明文件，自然人的身份证明；</w:t>
      </w:r>
      <w:r>
        <w:rPr>
          <w:rFonts w:hint="eastAsia" w:ascii="宋体" w:hAnsi="宋体" w:eastAsia="宋体" w:cs="宋体"/>
          <w:color w:val="000000"/>
          <w:sz w:val="24"/>
          <w:szCs w:val="28"/>
          <w:highlight w:val="none"/>
        </w:rPr>
      </w:r>
      <w:r/>
    </w:p>
    <w:p>
      <w:pPr>
        <w:pStyle w:val="1002"/>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2、</w:t>
      </w:r>
      <w:r>
        <w:rPr>
          <w:rFonts w:hint="eastAsia" w:ascii="宋体" w:hAnsi="宋体" w:eastAsia="宋体" w:cs="宋体"/>
          <w:color w:val="000000"/>
          <w:sz w:val="24"/>
          <w:szCs w:val="28"/>
          <w:highlight w:val="none"/>
        </w:rPr>
        <w:t xml:space="preserve">具有良好的商业信誉和健全的财务会计制度。按连财购〔2023〕4 号文件要求， 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1002"/>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szCs w:val="28"/>
          <w:highlight w:val="none"/>
        </w:rPr>
        <w:t xml:space="preserve">依法缴纳税收和社会保障资金的相关材料。（按连财购〔2023〕4 号文件要求，符合要求的提交《财务状况报告及税收、社会保障资金缴纳情况承诺函》，格式详见采购文件）；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1002"/>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szCs w:val="28"/>
          <w:highlight w:val="none"/>
        </w:rPr>
        <w:t xml:space="preserve">具备履行合同所必需的设备和专业技术能力的声明及证明材料（见格式）； </w:t>
      </w:r>
      <w:r>
        <w:rPr>
          <w:rFonts w:hint="eastAsia" w:ascii="宋体" w:hAnsi="宋体" w:eastAsia="宋体" w:cs="宋体"/>
          <w:color w:val="000000"/>
          <w:sz w:val="24"/>
          <w:szCs w:val="28"/>
          <w:highlight w:val="none"/>
        </w:rPr>
      </w:r>
      <w:r/>
    </w:p>
    <w:p>
      <w:pPr>
        <w:pStyle w:val="100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rPr>
        <w:t xml:space="preserve">参加政府采购活动前3年内在经营活动中没有重大违法记录的书面声明。（书面声明见格式）。</w:t>
      </w:r>
      <w:r>
        <w:rPr>
          <w:rFonts w:hint="eastAsia" w:ascii="宋体" w:hAnsi="宋体" w:eastAsia="宋体" w:cs="宋体"/>
          <w:color w:val="000000"/>
          <w:sz w:val="24"/>
          <w:highlight w:val="none"/>
          <w:lang w:eastAsia="zh-CN"/>
        </w:rPr>
      </w:r>
      <w:r/>
    </w:p>
    <w:p>
      <w:pPr>
        <w:pStyle w:val="1002"/>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（二）落实政府采购需满足的资格要求：</w:t>
      </w:r>
      <w:r>
        <w:rPr>
          <w:rFonts w:hint="eastAsia" w:ascii="宋体" w:hAnsi="宋体" w:eastAsia="宋体" w:cs="Times New Roman"/>
          <w:color w:val="000000"/>
          <w:sz w:val="24"/>
          <w:szCs w:val="24"/>
          <w:highlight w:val="none"/>
          <w:lang w:val="zh-CN"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格式。</w:t>
      </w:r>
      <w:r>
        <w:rPr>
          <w:rFonts w:hint="eastAsia" w:ascii="宋体" w:hAnsi="宋体" w:eastAsia="宋体" w:cs="Times New Roman"/>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（三）本项目的特定资格要求：</w:t>
      </w:r>
      <w:r>
        <w:rPr>
          <w:rFonts w:hint="eastAsia" w:ascii="宋体" w:hAnsi="宋体" w:eastAsia="宋体" w:cs="Times New Roman"/>
          <w:b/>
          <w:bCs/>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b/>
          <w:bCs/>
          <w:color w:val="000000"/>
          <w:sz w:val="24"/>
          <w:szCs w:val="24"/>
          <w:highlight w:val="none"/>
          <w:lang w:val="en-US" w:eastAsia="zh-CN"/>
        </w:rPr>
      </w:pPr>
      <w:r/>
      <w:bookmarkEnd w:id="11"/>
      <w:r/>
      <w:bookmarkEnd w:id="12"/>
      <w:r>
        <w:rPr>
          <w:rFonts w:hint="eastAsia" w:ascii="宋体" w:hAnsi="宋体" w:eastAsia="宋体" w:cs="Times New Roman"/>
          <w:color w:val="000000"/>
          <w:sz w:val="24"/>
          <w:szCs w:val="24"/>
          <w:highlight w:val="none"/>
          <w:lang w:val="en-US" w:eastAsia="zh-CN"/>
        </w:rPr>
        <w:t xml:space="preserve">1、供应商须具备建设行政主管部门核发的</w:t>
      </w:r>
      <w:r>
        <w:rPr>
          <w:rFonts w:hint="eastAsia" w:ascii="宋体" w:hAnsi="宋体" w:eastAsia="宋体" w:cs="Times New Roman"/>
          <w:b/>
          <w:bCs/>
          <w:color w:val="000000"/>
          <w:sz w:val="24"/>
          <w:szCs w:val="24"/>
          <w:highlight w:val="none"/>
          <w:lang w:val="en-US" w:eastAsia="zh-CN"/>
        </w:rPr>
        <w:t xml:space="preserve">公路工程施工总承包三级及以上资质(在有效期内）；且具备有效的企业安全生产许可证（在有效期内）。</w:t>
      </w:r>
      <w:r>
        <w:rPr>
          <w:rFonts w:hint="eastAsia" w:ascii="宋体" w:hAnsi="宋体" w:eastAsia="宋体" w:cs="Times New Roman"/>
          <w:b/>
          <w:bCs/>
          <w:color w:val="000000"/>
          <w:sz w:val="24"/>
          <w:szCs w:val="24"/>
          <w:highlight w:val="none"/>
          <w:lang w:val="en-US" w:eastAsia="zh-CN"/>
        </w:rPr>
      </w:r>
      <w:r/>
    </w:p>
    <w:p>
      <w:pPr>
        <w:pStyle w:val="1002"/>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2、拟派项目经理须具有</w:t>
      </w:r>
      <w:r>
        <w:rPr>
          <w:rFonts w:hint="eastAsia" w:ascii="宋体" w:hAnsi="宋体" w:eastAsia="宋体" w:cs="Times New Roman"/>
          <w:b/>
          <w:bCs/>
          <w:color w:val="000000"/>
          <w:sz w:val="24"/>
          <w:szCs w:val="24"/>
          <w:highlight w:val="none"/>
          <w:lang w:val="en-US" w:eastAsia="zh-CN"/>
        </w:rPr>
        <w:t xml:space="preserve">公路工程专业二级及以上</w:t>
      </w:r>
      <w:r>
        <w:rPr>
          <w:rFonts w:hint="eastAsia" w:ascii="宋体" w:hAnsi="宋体" w:eastAsia="宋体" w:cs="Times New Roman"/>
          <w:b/>
          <w:bCs/>
          <w:color w:val="000000"/>
          <w:sz w:val="24"/>
          <w:szCs w:val="24"/>
          <w:highlight w:val="none"/>
          <w:lang w:val="en-US" w:eastAsia="zh-CN"/>
        </w:rPr>
        <w:t xml:space="preserve">建造师</w:t>
      </w:r>
      <w:r>
        <w:rPr>
          <w:rFonts w:hint="eastAsia" w:ascii="宋体" w:hAnsi="宋体" w:eastAsia="宋体" w:cs="Times New Roman"/>
          <w:b/>
          <w:bCs/>
          <w:color w:val="000000"/>
          <w:sz w:val="24"/>
          <w:szCs w:val="24"/>
          <w:highlight w:val="none"/>
          <w:lang w:val="en-US" w:eastAsia="zh-CN"/>
        </w:rPr>
        <w:t xml:space="preserve">(在有效期内)，并具有安全生产考核合格证(B类)(在有效期内)。</w:t>
      </w:r>
      <w:r>
        <w:rPr>
          <w:rFonts w:hint="eastAsia" w:ascii="宋体" w:hAnsi="宋体" w:eastAsia="宋体" w:cs="Times New Roman"/>
          <w:b/>
          <w:bCs/>
          <w:color w:val="000000"/>
          <w:sz w:val="24"/>
          <w:szCs w:val="24"/>
          <w:highlight w:val="none"/>
          <w:lang w:val="zh-CN" w:eastAsia="zh-CN"/>
        </w:rPr>
      </w:r>
      <w:r/>
    </w:p>
    <w:p>
      <w:pPr>
        <w:pStyle w:val="1002"/>
        <w:ind w:firstLine="480"/>
        <w:jc w:val="left"/>
        <w:spacing w:line="360" w:lineRule="auto"/>
        <w:widowControl w:val="off"/>
        <w:rPr>
          <w:rFonts w:ascii="宋体" w:hAnsi="宋体" w:eastAsia="宋体" w:cs="Times New Roman"/>
          <w:color w:val="000000"/>
          <w:sz w:val="24"/>
          <w:szCs w:val="24"/>
          <w:highlight w:val="none"/>
          <w:lang w:val="zh-CN" w:eastAsia="zh-CN"/>
        </w:rPr>
      </w:pPr>
      <w:r/>
      <w:bookmarkEnd w:id="7"/>
      <w:r/>
      <w:bookmarkEnd w:id="8"/>
      <w:r/>
      <w:bookmarkStart w:id="13" w:name="_Toc204595693"/>
      <w:r/>
      <w:bookmarkStart w:id="14" w:name="_Toc515874988"/>
      <w:r/>
      <w:bookmarkStart w:id="15" w:name="_Toc224532087"/>
      <w:r/>
      <w:bookmarkStart w:id="16" w:name="_Toc31104"/>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rFonts w:ascii="宋体" w:hAnsi="宋体" w:eastAsia="宋体" w:cs="Times New Roman"/>
          <w:color w:val="000000"/>
          <w:sz w:val="24"/>
          <w:szCs w:val="24"/>
          <w:highlight w:val="none"/>
          <w:lang w:val="zh-CN" w:eastAsia="zh-CN"/>
        </w:rPr>
      </w:r>
      <w:r/>
    </w:p>
    <w:p>
      <w:pPr>
        <w:pStyle w:val="1002"/>
        <w:ind w:firstLine="480"/>
        <w:jc w:val="left"/>
        <w:spacing w:line="360" w:lineRule="auto"/>
        <w:widowControl w:val="off"/>
        <w:rPr>
          <w:rFonts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项目负责人必须为供应商本单位正式职工，</w:t>
      </w:r>
      <w:r>
        <w:rPr>
          <w:rFonts w:hint="eastAsia" w:ascii="宋体" w:hAnsi="宋体" w:eastAsia="宋体" w:cs="Times New Roman"/>
          <w:b/>
          <w:bCs/>
          <w:color w:val="000000"/>
          <w:sz w:val="24"/>
          <w:szCs w:val="24"/>
          <w:highlight w:val="none"/>
          <w:lang w:val="zh-CN" w:eastAsia="zh-CN"/>
        </w:rPr>
        <w:t xml:space="preserve">提供2026年3月（含）以来任意一个月由磋商供应商为其缴纳的社保证明（加盖社保中心章或社保中心参保缴费证明电子专用章）（已退休仍在执业有效期内的必须提供退休证明及聘用合同）</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供应商无不良行为、无借牌挂靠行为、项目负责人无不良行为承诺书，供应商、法定代表人、项目负责人无行贿犯罪记录承诺书。</w:t>
      </w:r>
      <w:r>
        <w:rPr>
          <w:rFonts w:hint="eastAsia" w:ascii="宋体" w:hAnsi="宋体" w:eastAsia="宋体" w:cs="Times New Roman"/>
          <w:b/>
          <w:bCs/>
          <w:color w:val="000000"/>
          <w:sz w:val="24"/>
          <w:szCs w:val="24"/>
          <w:highlight w:val="none"/>
          <w:lang w:val="zh-CN" w:eastAsia="zh-CN"/>
        </w:rPr>
        <w:t xml:space="preserve">（见供应商承诺书格式）</w:t>
      </w:r>
      <w:r>
        <w:rPr>
          <w:rFonts w:hint="eastAsia" w:ascii="宋体" w:hAnsi="宋体" w:eastAsia="宋体" w:cs="Times New Roman"/>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eastAsia="zh-CN"/>
        </w:rPr>
        <w:t xml:space="preserve">本项目</w:t>
      </w:r>
      <w:r>
        <w:rPr>
          <w:rFonts w:hint="eastAsia" w:ascii="宋体" w:hAnsi="宋体" w:eastAsia="宋体" w:cs="Times New Roman"/>
          <w:b/>
          <w:bCs/>
          <w:color w:val="000000"/>
          <w:sz w:val="24"/>
          <w:szCs w:val="24"/>
          <w:highlight w:val="none"/>
          <w:lang w:val="zh-CN" w:eastAsia="zh-CN"/>
        </w:rPr>
        <w:t xml:space="preserve">执行江苏省住房和城乡建设厅《关于开展建筑业企业资质动态监管工作的公告》（[2018]第6号）、连建发[2019]182号文，关于企业资质动态核查，由供应商在响应文件中作</w:t>
      </w:r>
      <w:r>
        <w:rPr>
          <w:rFonts w:hint="eastAsia"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zh-CN" w:eastAsia="zh-CN"/>
        </w:rPr>
        <w:t xml:space="preserve">承诺</w:t>
      </w:r>
      <w:r>
        <w:rPr>
          <w:rFonts w:hint="eastAsia" w:ascii="宋体" w:hAnsi="宋体" w:eastAsia="宋体" w:cs="Times New Roman"/>
          <w:b/>
          <w:bCs/>
          <w:color w:val="000000"/>
          <w:sz w:val="24"/>
          <w:szCs w:val="24"/>
          <w:highlight w:val="none"/>
          <w:lang w:val="en-US" w:eastAsia="zh-CN"/>
        </w:rPr>
        <w:t xml:space="preserve">书</w:t>
      </w:r>
      <w:r>
        <w:rPr>
          <w:rFonts w:hint="eastAsia" w:ascii="宋体" w:hAnsi="宋体" w:eastAsia="宋体" w:cs="Times New Roman"/>
          <w:b/>
          <w:bCs/>
          <w:color w:val="000000"/>
          <w:sz w:val="24"/>
          <w:szCs w:val="24"/>
          <w:highlight w:val="none"/>
          <w:lang w:val="zh-CN" w:eastAsia="zh-CN"/>
        </w:rPr>
        <w:t xml:space="preserve">，若投标有效期内企业资质核查不合格，将主动放弃中标资格。</w:t>
      </w:r>
      <w:r>
        <w:rPr>
          <w:rFonts w:hint="eastAsia" w:ascii="宋体" w:hAnsi="宋体" w:eastAsia="宋体" w:cs="Times New Roman"/>
          <w:b/>
          <w:bCs/>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lang w:val="zh-CN"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响应文件中。评标时以评委现场实时查询为准。</w:t>
      </w:r>
      <w:r>
        <w:rPr>
          <w:rFonts w:hint="eastAsia" w:ascii="宋体" w:hAnsi="宋体" w:eastAsia="宋体" w:cs="Times New Roman"/>
          <w:b/>
          <w:bCs/>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本项目中标后不允许违法分包或转包。</w:t>
      </w:r>
      <w:r>
        <w:rPr>
          <w:rFonts w:hint="eastAsia" w:ascii="宋体" w:hAnsi="宋体" w:eastAsia="宋体" w:cs="Times New Roman"/>
          <w:color w:val="000000"/>
          <w:sz w:val="24"/>
          <w:szCs w:val="24"/>
          <w:highlight w:val="none"/>
          <w:lang w:val="zh-CN" w:eastAsia="zh-CN"/>
        </w:rPr>
      </w:r>
      <w:r/>
    </w:p>
    <w:p>
      <w:pPr>
        <w:pStyle w:val="1002"/>
        <w:ind w:firstLine="480"/>
        <w:jc w:val="left"/>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若供应商的法定代表人参加磋商的，则需提供法定代表人资格证明及本人的身份证；若授权委托代理人参加磋商的，则提供企业法人委托书、授权委托人身份证复印件及被授权人身份证。</w:t>
      </w:r>
      <w:r>
        <w:rPr>
          <w:rFonts w:hint="eastAsia" w:ascii="宋体" w:hAnsi="宋体" w:eastAsia="宋体" w:cs="Times New Roman"/>
          <w:color w:val="000000"/>
          <w:sz w:val="24"/>
          <w:szCs w:val="24"/>
          <w:highlight w:val="none"/>
          <w:lang w:val="en-US" w:eastAsia="zh-CN"/>
        </w:rPr>
      </w:r>
      <w:r/>
    </w:p>
    <w:p>
      <w:pPr>
        <w:pStyle w:val="1002"/>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eastAsia="zh-CN"/>
        </w:rPr>
        <w:t xml:space="preserve">法律法规规定的其他条件。</w:t>
      </w:r>
      <w:r>
        <w:rPr>
          <w:rFonts w:hint="eastAsia" w:ascii="宋体" w:hAnsi="宋体" w:eastAsia="宋体" w:cs="Times New Roman"/>
          <w:color w:val="000000"/>
          <w:sz w:val="24"/>
          <w:szCs w:val="24"/>
          <w:highlight w:val="none"/>
          <w:lang w:val="zh-CN" w:eastAsia="zh-CN"/>
        </w:rPr>
      </w:r>
      <w:r/>
    </w:p>
    <w:p>
      <w:pPr>
        <w:pStyle w:val="1068"/>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000000"/>
          <w:sz w:val="32"/>
          <w:szCs w:val="32"/>
          <w:highlight w:val="none"/>
        </w:rPr>
        <w:t xml:space="preserve">三、获取</w:t>
      </w:r>
      <w:r>
        <w:rPr>
          <w:rFonts w:hint="eastAsia" w:cs="宋体"/>
          <w:b/>
          <w:color w:val="000000"/>
          <w:sz w:val="32"/>
          <w:szCs w:val="32"/>
          <w:highlight w:val="none"/>
          <w:lang w:val="en-US" w:eastAsia="zh-CN"/>
        </w:rPr>
        <w:t xml:space="preserve">采购</w:t>
      </w:r>
      <w:r>
        <w:rPr>
          <w:rFonts w:hint="eastAsia" w:ascii="宋体" w:hAnsi="宋体" w:cs="宋体"/>
          <w:b/>
          <w:color w:val="000000"/>
          <w:sz w:val="32"/>
          <w:szCs w:val="32"/>
          <w:highlight w:val="none"/>
          <w:lang w:eastAsia="zh-CN"/>
        </w:rPr>
        <w:t xml:space="preserve">文件</w:t>
      </w:r>
      <w:r>
        <w:rPr>
          <w:rFonts w:hint="eastAsia" w:ascii="宋体" w:hAnsi="宋体" w:eastAsia="宋体" w:cs="宋体"/>
          <w:b/>
          <w:color w:val="000000"/>
          <w:sz w:val="32"/>
          <w:szCs w:val="32"/>
          <w:highlight w:val="none"/>
          <w:lang w:eastAsia="zh-CN"/>
        </w:rPr>
      </w:r>
      <w:r/>
    </w:p>
    <w:p>
      <w:pPr>
        <w:pStyle w:val="1002"/>
        <w:ind w:firstLine="480"/>
        <w:jc w:val="left"/>
        <w:spacing w:line="360" w:lineRule="auto"/>
        <w:shd w:val="clear" w:color="auto" w:fill="auto"/>
        <w:rPr>
          <w:rFonts w:hint="eastAsia" w:ascii="宋体" w:hAnsi="宋体" w:eastAsia="宋体" w:cs="宋体"/>
          <w:color w:val="000000"/>
          <w:sz w:val="24"/>
          <w:highlight w:val="none"/>
          <w:lang w:eastAsia="zh-CN"/>
        </w:rPr>
      </w:pPr>
      <w:r/>
      <w:bookmarkStart w:id="17" w:name="_Toc28359092"/>
      <w:r/>
      <w:bookmarkStart w:id="18" w:name="_Toc35393801"/>
      <w:r/>
      <w:bookmarkStart w:id="19" w:name="_Toc28359015"/>
      <w:r/>
      <w:bookmarkStart w:id="20" w:name="_Toc35393632"/>
      <w:r>
        <w:rPr>
          <w:rFonts w:hint="eastAsia" w:ascii="宋体" w:hAnsi="宋体" w:cs="宋体"/>
          <w:color w:val="000000"/>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color w:val="000000"/>
          <w:sz w:val="24"/>
          <w:highlight w:val="none"/>
          <w:lang w:eastAsia="zh-CN"/>
        </w:rPr>
      </w:r>
      <w:r/>
    </w:p>
    <w:p>
      <w:pPr>
        <w:pStyle w:val="1002"/>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02"/>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color w:val="000000"/>
          <w:sz w:val="24"/>
          <w:highlight w:val="none"/>
          <w:lang w:val="en-US" w:eastAsia="zh-CN"/>
        </w:rPr>
      </w:r>
      <w:r/>
    </w:p>
    <w:p>
      <w:pPr>
        <w:pStyle w:val="1002"/>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highlight w:val="none"/>
        </w:rPr>
        <w:t xml:space="preserve">售价：0</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元</w:t>
      </w:r>
      <w:r>
        <w:rPr>
          <w:rFonts w:hint="eastAsia" w:ascii="宋体" w:hAnsi="宋体" w:eastAsia="宋体" w:cs="宋体"/>
          <w:color w:val="000000"/>
          <w:sz w:val="24"/>
          <w:szCs w:val="24"/>
          <w:highlight w:val="none"/>
        </w:rPr>
      </w:r>
      <w:r/>
    </w:p>
    <w:p>
      <w:pPr>
        <w:pStyle w:val="1002"/>
        <w:ind w:left="0" w:firstLine="0"/>
        <w:keepLines/>
        <w:keepNext/>
        <w:spacing w:line="360" w:lineRule="auto"/>
        <w:shd w:val="clear" w:color="auto" w:fill="auto"/>
        <w:rPr>
          <w:rFonts w:ascii="宋体" w:hAnsi="宋体" w:eastAsia="宋体" w:cs="宋体"/>
          <w:b/>
          <w:color w:val="000000"/>
          <w:sz w:val="32"/>
          <w:szCs w:val="32"/>
          <w:highlight w:val="none"/>
          <w:lang w:val="en-US" w:eastAsia="zh-CN"/>
        </w:rPr>
        <w:outlineLvl w:val="1"/>
      </w:pPr>
      <w:r>
        <w:rPr>
          <w:rFonts w:hint="eastAsia" w:ascii="宋体" w:hAnsi="宋体" w:cs="宋体"/>
          <w:b/>
          <w:color w:val="000000"/>
          <w:sz w:val="32"/>
          <w:szCs w:val="32"/>
          <w:highlight w:val="none"/>
        </w:rPr>
        <w:t xml:space="preserve">四、</w:t>
      </w:r>
      <w:bookmarkEnd w:id="17"/>
      <w:r/>
      <w:bookmarkEnd w:id="18"/>
      <w:r/>
      <w:bookmarkEnd w:id="19"/>
      <w:r/>
      <w:bookmarkEnd w:id="20"/>
      <w:r>
        <w:rPr>
          <w:rFonts w:hint="eastAsia" w:ascii="宋体" w:hAnsi="宋体" w:cs="宋体"/>
          <w:b/>
          <w:bCs/>
          <w:color w:val="000000"/>
          <w:sz w:val="32"/>
          <w:szCs w:val="32"/>
          <w:highlight w:val="none"/>
          <w:lang w:val="en-US" w:eastAsia="zh-CN"/>
        </w:rPr>
        <w:t xml:space="preserve">响应</w:t>
      </w:r>
      <w:r>
        <w:rPr>
          <w:rFonts w:hint="eastAsia" w:ascii="宋体" w:hAnsi="宋体" w:cs="宋体"/>
          <w:b/>
          <w:bCs/>
          <w:color w:val="000000"/>
          <w:sz w:val="32"/>
          <w:szCs w:val="32"/>
          <w:highlight w:val="none"/>
          <w:lang w:eastAsia="zh-CN"/>
        </w:rPr>
        <w:t xml:space="preserve">文件</w:t>
      </w:r>
      <w:r>
        <w:rPr>
          <w:rFonts w:hint="eastAsia" w:ascii="宋体" w:hAnsi="宋体" w:cs="宋体"/>
          <w:b/>
          <w:bCs/>
          <w:color w:val="000000"/>
          <w:sz w:val="32"/>
          <w:szCs w:val="32"/>
          <w:highlight w:val="none"/>
          <w:lang w:val="en-US" w:eastAsia="zh-CN"/>
        </w:rPr>
        <w:t xml:space="preserve">提交</w:t>
      </w:r>
      <w:r>
        <w:rPr>
          <w:rFonts w:ascii="宋体" w:hAnsi="宋体" w:eastAsia="宋体" w:cs="宋体"/>
          <w:b/>
          <w:color w:val="000000"/>
          <w:sz w:val="32"/>
          <w:szCs w:val="32"/>
          <w:highlight w:val="none"/>
          <w:lang w:val="en-US" w:eastAsia="zh-CN"/>
        </w:rPr>
      </w:r>
      <w:r/>
    </w:p>
    <w:p>
      <w:pPr>
        <w:pStyle w:val="1002"/>
        <w:ind w:firstLine="480"/>
        <w:jc w:val="left"/>
        <w:spacing w:line="360" w:lineRule="auto"/>
        <w:rPr>
          <w:rFonts w:ascii="宋体" w:hAnsi="宋体" w:eastAsia="宋体" w:cs="Times New Roman"/>
          <w:color w:val="000000"/>
          <w:sz w:val="24"/>
          <w:szCs w:val="24"/>
          <w:highlight w:val="none"/>
        </w:rPr>
      </w:pPr>
      <w:r/>
      <w:bookmarkStart w:id="21" w:name="_Toc20177"/>
      <w:r/>
      <w:bookmarkStart w:id="22" w:name="_Toc28359094"/>
      <w:r/>
      <w:bookmarkStart w:id="23" w:name="_Toc28359017"/>
      <w:r/>
      <w:bookmarkStart w:id="24" w:name="_Toc35393803"/>
      <w:r/>
      <w:bookmarkStart w:id="25" w:name="_Toc35393634"/>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提交响应文件截止时间</w:t>
      </w:r>
      <w:r>
        <w:rPr>
          <w:rFonts w:ascii="宋体" w:hAnsi="宋体" w:eastAsia="宋体" w:cs="Times New Roman"/>
          <w:color w:val="000000"/>
          <w:sz w:val="24"/>
          <w:szCs w:val="24"/>
          <w:highlight w:val="none"/>
        </w:rPr>
      </w:r>
      <w:r/>
    </w:p>
    <w:p>
      <w:pPr>
        <w:pStyle w:val="1002"/>
        <w:ind w:firstLine="480"/>
        <w:spacing w:line="360" w:lineRule="auto"/>
        <w:shd w:val="clear" w:color="auto" w:fill="auto"/>
        <w:rPr>
          <w:rFonts w:hint="eastAsia" w:ascii="宋体" w:hAnsi="宋体" w:cs="宋体"/>
          <w:b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color w:val="000000"/>
          <w:sz w:val="24"/>
          <w:szCs w:val="24"/>
          <w:highlight w:val="none"/>
        </w:rPr>
        <w:t xml:space="preserve">（北京时间）</w:t>
      </w:r>
      <w:r>
        <w:rPr>
          <w:rFonts w:hint="eastAsia" w:ascii="宋体" w:hAnsi="宋体" w:cs="宋体"/>
          <w:b w:val="0"/>
          <w:color w:val="000000"/>
          <w:sz w:val="24"/>
          <w:szCs w:val="24"/>
          <w:highlight w:val="none"/>
          <w:lang w:eastAsia="zh-CN"/>
        </w:rPr>
        <w:t xml:space="preserve">。</w:t>
      </w:r>
      <w:bookmarkEnd w:id="21"/>
      <w:r>
        <w:rPr>
          <w:rFonts w:hint="eastAsia" w:ascii="宋体" w:hAnsi="宋体" w:cs="宋体"/>
          <w:b w:val="0"/>
          <w:color w:val="000000"/>
          <w:sz w:val="24"/>
          <w:szCs w:val="24"/>
          <w:highlight w:val="none"/>
          <w:lang w:eastAsia="zh-CN"/>
        </w:rPr>
      </w:r>
      <w:r/>
    </w:p>
    <w:p>
      <w:pPr>
        <w:pStyle w:val="1002"/>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1002"/>
        <w:ind w:left="0" w:firstLine="0"/>
        <w:keepLines/>
        <w:keepNext/>
        <w:spacing w:line="360" w:lineRule="auto"/>
        <w:shd w:val="clear" w:color="auto" w:fill="auto"/>
        <w:rPr>
          <w:rFonts w:hint="eastAsia" w:ascii="宋体" w:hAnsi="宋体" w:eastAsia="宋体" w:cs="宋体"/>
          <w:b/>
          <w:color w:val="000000"/>
          <w:sz w:val="32"/>
          <w:szCs w:val="32"/>
          <w:highlight w:val="none"/>
          <w:lang w:val="en-US" w:eastAsia="zh-CN"/>
        </w:rPr>
        <w:outlineLvl w:val="1"/>
      </w:pPr>
      <w:r>
        <w:rPr>
          <w:rFonts w:hint="eastAsia" w:ascii="宋体" w:hAnsi="宋体" w:eastAsia="宋体" w:cs="宋体"/>
          <w:b/>
          <w:color w:val="000000"/>
          <w:sz w:val="32"/>
          <w:szCs w:val="32"/>
          <w:highlight w:val="none"/>
          <w:lang w:val="en-US" w:eastAsia="zh-CN"/>
        </w:rPr>
        <w:t xml:space="preserve">五、开启</w:t>
      </w:r>
      <w:r>
        <w:rPr>
          <w:rFonts w:hint="eastAsia" w:ascii="宋体" w:hAnsi="宋体" w:eastAsia="宋体" w:cs="宋体"/>
          <w:b/>
          <w:color w:val="000000"/>
          <w:sz w:val="32"/>
          <w:szCs w:val="32"/>
          <w:highlight w:val="none"/>
          <w:lang w:val="en-US" w:eastAsia="zh-CN"/>
        </w:rPr>
      </w:r>
      <w:r/>
    </w:p>
    <w:p>
      <w:pPr>
        <w:pStyle w:val="1093"/>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color w:val="000000"/>
          <w:sz w:val="24"/>
          <w:szCs w:val="24"/>
          <w:highlight w:val="none"/>
        </w:rPr>
        <w:t xml:space="preserve">（北京时间）</w:t>
      </w:r>
      <w:r>
        <w:rPr>
          <w:rFonts w:hint="eastAsia"/>
          <w:color w:val="000000"/>
          <w:highlight w:val="none"/>
          <w:lang w:val="en-US" w:eastAsia="zh-CN"/>
        </w:rPr>
      </w:r>
      <w:r/>
    </w:p>
    <w:p>
      <w:pPr>
        <w:pStyle w:val="1093"/>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地点：</w:t>
      </w:r>
      <w:r>
        <w:rPr>
          <w:rFonts w:hint="eastAsia" w:cs="Calibri"/>
          <w:color w:val="000000"/>
          <w:highlight w:val="none"/>
        </w:rPr>
        <w:t xml:space="preserve">“苏采云”政府采购交易</w:t>
      </w:r>
      <w:r>
        <w:rPr>
          <w:rFonts w:hint="eastAsia" w:cs="Calibri"/>
          <w:color w:val="000000"/>
          <w:highlight w:val="none"/>
        </w:rPr>
        <w:t xml:space="preserve">系统网上开标大厅。</w:t>
      </w:r>
      <w:r>
        <w:rPr>
          <w:rFonts w:hint="eastAsia"/>
          <w:color w:val="000000"/>
          <w:highlight w:val="none"/>
          <w:lang w:val="en-US" w:eastAsia="zh-CN"/>
        </w:rPr>
      </w:r>
      <w:r/>
    </w:p>
    <w:p>
      <w:pPr>
        <w:pStyle w:val="1093"/>
        <w:numPr>
          <w:ilvl w:val="0"/>
          <w:numId w:val="0"/>
        </w:numP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w:t>
      </w:r>
      <w:bookmarkEnd w:id="22"/>
      <w:r/>
      <w:bookmarkEnd w:id="23"/>
      <w:r/>
      <w:bookmarkEnd w:id="24"/>
      <w:r/>
      <w:bookmarkEnd w:id="25"/>
      <w:r>
        <w:rPr>
          <w:rFonts w:hint="eastAsia" w:ascii="宋体" w:hAnsi="宋体" w:cs="宋体"/>
          <w:b/>
          <w:color w:val="000000"/>
          <w:sz w:val="32"/>
          <w:szCs w:val="32"/>
          <w:highlight w:val="none"/>
          <w:lang w:eastAsia="zh-CN"/>
        </w:rPr>
        <w:t xml:space="preserve">公告期限</w:t>
      </w:r>
      <w:r>
        <w:rPr>
          <w:rFonts w:hint="eastAsia" w:ascii="宋体" w:hAnsi="宋体" w:eastAsia="宋体" w:cs="宋体"/>
          <w:b/>
          <w:color w:val="000000"/>
          <w:sz w:val="32"/>
          <w:szCs w:val="32"/>
          <w:highlight w:val="none"/>
          <w:lang w:eastAsia="zh-CN"/>
        </w:rPr>
      </w:r>
      <w:r/>
    </w:p>
    <w:p>
      <w:pPr>
        <w:pStyle w:val="1002"/>
        <w:ind w:firstLine="480"/>
        <w:spacing w:line="360" w:lineRule="auto"/>
        <w:shd w:val="clear" w:color="auto" w:fill="auto"/>
        <w:rPr>
          <w:rFonts w:hint="eastAsia" w:ascii="宋体" w:hAnsi="宋体" w:eastAsia="宋体" w:cs="宋体"/>
          <w:color w:val="000000"/>
          <w:sz w:val="24"/>
          <w:szCs w:val="24"/>
          <w:highlight w:val="none"/>
        </w:rPr>
      </w:pPr>
      <w:r/>
      <w:bookmarkStart w:id="26" w:name="_Toc35393626"/>
      <w:r/>
      <w:bookmarkStart w:id="27" w:name="_Toc38985268"/>
      <w:r/>
      <w:bookmarkStart w:id="28" w:name="_Toc35393795"/>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635"/>
      <w:r/>
      <w:bookmarkStart w:id="30" w:name="_Toc35393804"/>
      <w:r>
        <w:rPr>
          <w:rFonts w:hint="eastAsia" w:ascii="宋体" w:hAnsi="宋体" w:eastAsia="宋体" w:cs="宋体"/>
          <w:color w:val="000000"/>
          <w:sz w:val="24"/>
          <w:szCs w:val="24"/>
          <w:highlight w:val="none"/>
        </w:rPr>
      </w:r>
      <w:r/>
    </w:p>
    <w:p>
      <w:pPr>
        <w:pStyle w:val="1002"/>
        <w:numPr>
          <w:ilvl w:val="0"/>
          <w:numId w:val="0"/>
        </w:numPr>
        <w:spacing w:line="360" w:lineRule="auto"/>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bidi="ar-SA"/>
        </w:rPr>
        <w:t xml:space="preserve">七</w:t>
      </w:r>
      <w:r>
        <w:rPr>
          <w:rFonts w:hint="eastAsia" w:ascii="宋体" w:hAnsi="宋体" w:eastAsia="宋体" w:cs="宋体"/>
          <w:b/>
          <w:color w:val="000000"/>
          <w:sz w:val="32"/>
          <w:szCs w:val="32"/>
          <w:highlight w:val="none"/>
          <w:lang w:val="en-US" w:eastAsia="zh-CN" w:bidi="ar-SA"/>
        </w:rPr>
        <w:t xml:space="preserve">、</w:t>
      </w:r>
      <w:r>
        <w:rPr>
          <w:rFonts w:hint="eastAsia" w:ascii="宋体" w:hAnsi="宋体" w:cs="宋体"/>
          <w:b/>
          <w:color w:val="000000"/>
          <w:sz w:val="32"/>
          <w:szCs w:val="32"/>
          <w:highlight w:val="none"/>
        </w:rPr>
        <w:t xml:space="preserve">其他补充事宜</w:t>
      </w:r>
      <w:bookmarkEnd w:id="29"/>
      <w:r/>
      <w:bookmarkEnd w:id="30"/>
      <w:r>
        <w:rPr>
          <w:rFonts w:hint="eastAsia" w:ascii="宋体" w:hAnsi="宋体" w:cs="宋体"/>
          <w:b/>
          <w:color w:val="000000"/>
          <w:sz w:val="32"/>
          <w:szCs w:val="32"/>
          <w:highlight w:val="none"/>
        </w:rPr>
      </w:r>
      <w:r/>
    </w:p>
    <w:p>
      <w:pPr>
        <w:pStyle w:val="1002"/>
        <w:ind w:firstLine="480"/>
        <w:jc w:val="left"/>
        <w:spacing w:line="360" w:lineRule="auto"/>
        <w:shd w:val="clear" w:color="auto" w:fill="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highlight w:val="none"/>
        </w:rPr>
        <w:t xml:space="preserve">本次磋商不收取磋商保证金。</w:t>
      </w:r>
      <w:r>
        <w:rPr>
          <w:rFonts w:hint="eastAsia" w:ascii="宋体" w:hAnsi="宋体" w:cs="宋体"/>
          <w:color w:val="000000"/>
          <w:sz w:val="24"/>
          <w:szCs w:val="28"/>
          <w:highlight w:val="none"/>
        </w:rPr>
      </w:r>
      <w:r/>
    </w:p>
    <w:p>
      <w:pPr>
        <w:pStyle w:val="1068"/>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8"/>
          <w:highlight w:val="none"/>
          <w:u w:val="none"/>
        </w:rPr>
        <w:t xml:space="preserve">2.本</w:t>
      </w:r>
      <w:r>
        <w:rPr>
          <w:rFonts w:hint="eastAsia" w:cs="宋体"/>
          <w:i w:val="0"/>
          <w:iCs w:val="0"/>
          <w:color w:val="000000"/>
          <w:sz w:val="24"/>
          <w:szCs w:val="28"/>
          <w:highlight w:val="none"/>
          <w:u w:val="none"/>
          <w:lang w:val="en-US" w:eastAsia="zh-CN"/>
        </w:rPr>
        <w:t xml:space="preserve">采购文件</w:t>
      </w:r>
      <w:r>
        <w:rPr>
          <w:rFonts w:hint="eastAsia" w:ascii="宋体" w:hAnsi="宋体" w:cs="宋体"/>
          <w:i w:val="0"/>
          <w:iCs w:val="0"/>
          <w:color w:val="000000"/>
          <w:sz w:val="24"/>
          <w:szCs w:val="28"/>
          <w:highlight w:val="none"/>
          <w:u w:val="none"/>
        </w:rPr>
        <w:t xml:space="preserve">中斜体且有下划线部分为实质性要求和条件，</w:t>
      </w:r>
      <w:r>
        <w:rPr>
          <w:rFonts w:hint="eastAsia" w:ascii="宋体" w:hAnsi="宋体" w:cs="宋体"/>
          <w:color w:val="000000"/>
          <w:sz w:val="24"/>
          <w:szCs w:val="28"/>
          <w:highlight w:val="none"/>
        </w:rPr>
        <w:t xml:space="preserve">如不满足将按无效响应文件处理。</w:t>
      </w:r>
      <w:r>
        <w:rPr>
          <w:rFonts w:hint="eastAsia" w:ascii="宋体" w:hAnsi="宋体" w:cs="宋体"/>
          <w:i w:val="0"/>
          <w:iCs w:val="0"/>
          <w:color w:val="000000"/>
          <w:sz w:val="24"/>
          <w:szCs w:val="28"/>
          <w:highlight w:val="none"/>
          <w:u w:val="none"/>
        </w:rPr>
      </w:r>
      <w:r/>
    </w:p>
    <w:p>
      <w:pPr>
        <w:pStyle w:val="1002"/>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1002"/>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68"/>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68"/>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.无论出于何种原因，采购人在采购活动开始前可对</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文件进行修改、补充或变更，其内容作为</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文件编制或提交失误，由此造成的一切损失由供应商自行承担。 </w:t>
      </w:r>
      <w:r>
        <w:rPr>
          <w:rFonts w:hint="eastAsia" w:ascii="宋体" w:hAnsi="宋体" w:cs="宋体"/>
          <w:color w:val="000000"/>
          <w:sz w:val="24"/>
          <w:szCs w:val="28"/>
          <w:highlight w:val="none"/>
        </w:rPr>
      </w:r>
      <w:r/>
    </w:p>
    <w:p>
      <w:pPr>
        <w:pStyle w:val="1093"/>
        <w:ind w:firstLine="480"/>
        <w:spacing w:line="360" w:lineRule="auto"/>
        <w:rPr>
          <w:rFonts w:hint="eastAsia" w:hAnsi="宋体" w:cs="宋体"/>
          <w:color w:val="000000"/>
          <w:sz w:val="24"/>
          <w:szCs w:val="24"/>
          <w:highlight w:val="none"/>
          <w:lang w:val="en-US" w:eastAsia="zh-CN"/>
        </w:rPr>
      </w:pPr>
      <w:r>
        <w:rPr>
          <w:rFonts w:hint="eastAsia" w:cs="宋体"/>
          <w:color w:val="000000"/>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93"/>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10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1002"/>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1002"/>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color w:val="000000"/>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1002"/>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1002"/>
        <w:jc w:val="left"/>
        <w:spacing w:line="360" w:lineRule="auto"/>
        <w:shd w:val="clear" w:color="auto" w:fill="auto"/>
        <w:rPr>
          <w:rFonts w:hint="eastAsia" w:ascii="宋体" w:hAnsi="宋体" w:cs="宋体"/>
          <w:color w:val="000000"/>
          <w:sz w:val="24"/>
          <w:highlight w:val="none"/>
        </w:rPr>
      </w:pPr>
      <w:r>
        <w:rPr>
          <w:rFonts w:hint="eastAsia"/>
          <w:color w:val="000000"/>
          <w:sz w:val="24"/>
          <w:szCs w:val="24"/>
          <w:highlight w:val="none"/>
        </w:rPr>
        <w:t xml:space="preserve">因</w:t>
      </w:r>
      <w:r>
        <w:rPr>
          <w:rFonts w:hint="eastAsia"/>
          <w:color w:val="000000"/>
          <w:sz w:val="24"/>
          <w:szCs w:val="24"/>
          <w:highlight w:val="none"/>
          <w:lang w:eastAsia="zh-CN"/>
        </w:rPr>
        <w:t xml:space="preserve">供应商</w:t>
      </w:r>
      <w:r>
        <w:rPr>
          <w:rFonts w:hint="eastAsia"/>
          <w:color w:val="000000"/>
          <w:sz w:val="24"/>
          <w:szCs w:val="24"/>
          <w:highlight w:val="none"/>
        </w:rPr>
        <w:t xml:space="preserve">未按要求操作原因导致电子投标文件被拒绝、造成无效响应的，</w:t>
      </w:r>
      <w:r>
        <w:rPr>
          <w:rFonts w:hint="eastAsia" w:ascii="Calibri" w:hAnsi="Calibri" w:eastAsia="宋体" w:cs="Times New Roman"/>
          <w:color w:val="000000"/>
          <w:sz w:val="24"/>
          <w:szCs w:val="24"/>
          <w:highlight w:val="none"/>
        </w:rPr>
        <w:t xml:space="preserve">自行承担一切损失。</w:t>
      </w:r>
      <w:r>
        <w:rPr>
          <w:rFonts w:hint="eastAsia" w:ascii="宋体" w:hAnsi="宋体" w:cs="宋体"/>
          <w:color w:val="000000"/>
          <w:sz w:val="24"/>
          <w:highlight w:val="none"/>
        </w:rPr>
      </w:r>
      <w:r/>
    </w:p>
    <w:p>
      <w:pPr>
        <w:pStyle w:val="1002"/>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有关本次招标的事项若存在变动或修改，敬请及时关注采购代理机构在“江苏政府采购网”发布的更正公告。</w:t>
      </w:r>
      <w:r>
        <w:rPr>
          <w:rFonts w:hint="eastAsia" w:ascii="宋体" w:hAnsi="宋体" w:cs="宋体"/>
          <w:color w:val="000000"/>
          <w:sz w:val="24"/>
          <w:highlight w:val="none"/>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28359018"/>
      <w:r/>
      <w:bookmarkStart w:id="32" w:name="_Toc35393636"/>
      <w:r/>
      <w:bookmarkStart w:id="33" w:name="_Toc28359095"/>
      <w:r/>
      <w:bookmarkStart w:id="34" w:name="_Toc35393805"/>
      <w:r>
        <w:rPr>
          <w:rFonts w:hint="eastAsia"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w:t>
      </w:r>
      <w:bookmarkEnd w:id="31"/>
      <w:r/>
      <w:bookmarkEnd w:id="32"/>
      <w:r/>
      <w:bookmarkEnd w:id="33"/>
      <w:r/>
      <w:bookmarkEnd w:id="34"/>
      <w:r>
        <w:rPr>
          <w:rFonts w:hint="eastAsia" w:ascii="宋体" w:hAnsi="宋体" w:cs="宋体"/>
          <w:b/>
          <w:color w:val="000000"/>
          <w:sz w:val="32"/>
          <w:szCs w:val="32"/>
          <w:highlight w:val="none"/>
          <w:lang w:eastAsia="zh-CN"/>
        </w:rPr>
        <w:t xml:space="preserve">凡对本次采购提出询问，请按以下方式联系。</w:t>
      </w:r>
      <w:r>
        <w:rPr>
          <w:rFonts w:hint="eastAsia" w:ascii="宋体" w:hAnsi="宋体" w:eastAsia="宋体" w:cs="宋体"/>
          <w:b/>
          <w:color w:val="000000"/>
          <w:sz w:val="32"/>
          <w:szCs w:val="32"/>
          <w:highlight w:val="none"/>
          <w:lang w:eastAsia="zh-CN"/>
        </w:rPr>
      </w:r>
      <w:r/>
    </w:p>
    <w:p>
      <w:pPr>
        <w:pStyle w:val="1002"/>
        <w:ind w:left="0" w:firstLine="0"/>
        <w:jc w:val="left"/>
        <w:spacing w:line="360" w:lineRule="auto"/>
        <w:shd w:val="clear" w:color="auto" w:fill="auto"/>
        <w:rPr>
          <w:rFonts w:hint="eastAsia" w:ascii="宋体" w:hAnsi="宋体" w:eastAsia="宋体" w:cs="宋体"/>
          <w:color w:val="000000"/>
          <w:sz w:val="24"/>
          <w:szCs w:val="24"/>
          <w:highlight w:val="none"/>
        </w:rPr>
      </w:pPr>
      <w:r/>
      <w:bookmarkStart w:id="35" w:name="_Toc35393637"/>
      <w:r/>
      <w:bookmarkStart w:id="36" w:name="_Toc28359019"/>
      <w:r/>
      <w:bookmarkStart w:id="37" w:name="_Toc28359096"/>
      <w:r/>
      <w:bookmarkStart w:id="38" w:name="_Toc35393806"/>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东海县曲阳镇人民政府</w:t>
      </w:r>
      <w:r>
        <w:rPr>
          <w:rFonts w:hint="eastAsia" w:ascii="宋体" w:hAnsi="宋体" w:eastAsia="宋体" w:cs="宋体"/>
          <w:color w:val="000000"/>
          <w:sz w:val="24"/>
          <w:szCs w:val="24"/>
          <w:highlight w:val="none"/>
          <w:lang w:eastAsia="zh-CN"/>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rPr>
      </w:pPr>
      <w:r/>
      <w:bookmarkEnd w:id="35"/>
      <w:r/>
      <w:bookmarkEnd w:id="36"/>
      <w:r/>
      <w:bookmarkEnd w:id="37"/>
      <w:r/>
      <w:bookmarkEnd w:id="38"/>
      <w:r>
        <w:rPr>
          <w:rFonts w:hint="eastAsia" w:ascii="宋体" w:hAnsi="宋体" w:eastAsia="宋体" w:cs="宋体"/>
          <w:color w:val="000000"/>
          <w:sz w:val="24"/>
          <w:szCs w:val="24"/>
          <w:highlight w:val="none"/>
        </w:rPr>
        <w:t xml:space="preserve">地　　址：江苏省连云港市东海县曲阳镇驻地</w:t>
      </w:r>
      <w:r>
        <w:rPr>
          <w:rFonts w:hint="eastAsia" w:ascii="宋体" w:hAnsi="宋体" w:eastAsia="宋体" w:cs="宋体"/>
          <w:color w:val="000000"/>
          <w:sz w:val="24"/>
          <w:szCs w:val="24"/>
          <w:highlight w:val="none"/>
        </w:rPr>
      </w:r>
      <w:r/>
    </w:p>
    <w:p>
      <w:pPr>
        <w:pStyle w:val="1002"/>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宁主任</w:t>
      </w:r>
      <w:r>
        <w:rPr>
          <w:rFonts w:ascii="宋体" w:hAnsi="宋体" w:eastAsia="宋体" w:cs="宋体"/>
          <w:color w:val="000000"/>
          <w:sz w:val="24"/>
          <w:szCs w:val="24"/>
          <w:highlight w:val="none"/>
          <w:lang w:val="en-US" w:eastAsia="zh-CN"/>
        </w:rPr>
      </w:r>
      <w:r/>
    </w:p>
    <w:p>
      <w:pPr>
        <w:pStyle w:val="1002"/>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15151278669</w:t>
      </w:r>
      <w:r>
        <w:rPr>
          <w:rFonts w:ascii="宋体" w:hAnsi="宋体" w:eastAsia="宋体" w:cs="宋体"/>
          <w:color w:val="000000"/>
          <w:sz w:val="24"/>
          <w:szCs w:val="24"/>
          <w:highlight w:val="none"/>
          <w:lang w:val="en-US" w:eastAsia="zh-CN"/>
        </w:rPr>
      </w:r>
      <w:r/>
    </w:p>
    <w:p>
      <w:pPr>
        <w:pStyle w:val="1002"/>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rPr>
      </w:pPr>
      <w:r/>
      <w:bookmarkStart w:id="39" w:name="_Toc28359021"/>
      <w:r/>
      <w:bookmarkStart w:id="40" w:name="_Toc28359098"/>
      <w:r/>
      <w:bookmarkStart w:id="41" w:name="_Toc35393808"/>
      <w:r/>
      <w:bookmarkStart w:id="42" w:name="_Toc3539363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连云港云途项目管理有限公司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cs="宋体"/>
          <w:color w:val="000000"/>
          <w:szCs w:val="21"/>
          <w:highlight w:val="none"/>
          <w:shd w:val="clear" w:color="auto" w:fill="ffffff"/>
        </w:rPr>
        <w:t xml:space="preserve">连云港市东海县牛山街道海陵东路99号</w:t>
      </w:r>
      <w:r>
        <w:rPr>
          <w:rFonts w:hint="eastAsia" w:ascii="宋体" w:hAnsi="宋体" w:eastAsia="宋体" w:cs="宋体"/>
          <w:color w:val="000000"/>
          <w:sz w:val="24"/>
          <w:szCs w:val="24"/>
          <w:highlight w:val="none"/>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彭</w:t>
      </w:r>
      <w:r>
        <w:rPr>
          <w:rFonts w:hint="eastAsia" w:ascii="宋体" w:hAnsi="宋体" w:eastAsia="宋体" w:cs="宋体"/>
          <w:color w:val="000000"/>
          <w:sz w:val="24"/>
          <w:szCs w:val="24"/>
          <w:highlight w:val="none"/>
          <w:lang w:eastAsia="zh-CN"/>
        </w:rPr>
        <w:t xml:space="preserve">工</w:t>
      </w:r>
      <w:r>
        <w:rPr>
          <w:rFonts w:hint="eastAsia" w:ascii="宋体" w:hAnsi="宋体" w:eastAsia="宋体" w:cs="宋体"/>
          <w:color w:val="000000"/>
          <w:sz w:val="24"/>
          <w:szCs w:val="24"/>
          <w:highlight w:val="none"/>
          <w:lang w:eastAsia="zh-CN"/>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13675245678</w:t>
      </w:r>
      <w:r>
        <w:rPr>
          <w:rFonts w:hint="eastAsia" w:ascii="宋体" w:hAnsi="宋体" w:eastAsia="宋体" w:cs="宋体"/>
          <w:color w:val="000000"/>
          <w:sz w:val="24"/>
          <w:szCs w:val="24"/>
          <w:highlight w:val="none"/>
          <w:lang w:eastAsia="zh-CN"/>
        </w:rPr>
      </w:r>
      <w:r/>
    </w:p>
    <w:p>
      <w:pPr>
        <w:pStyle w:val="1002"/>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bookmarkEnd w:id="39"/>
      <w:r/>
      <w:bookmarkEnd w:id="40"/>
      <w:r/>
      <w:bookmarkEnd w:id="41"/>
      <w:r/>
      <w:bookmarkEnd w:id="42"/>
      <w:r>
        <w:rPr>
          <w:rFonts w:hint="eastAsia" w:ascii="宋体" w:hAnsi="宋体" w:eastAsia="宋体" w:cs="宋体"/>
          <w:color w:val="000000"/>
          <w:sz w:val="24"/>
          <w:szCs w:val="24"/>
          <w:highlight w:val="none"/>
        </w:rPr>
      </w:r>
      <w:r/>
    </w:p>
    <w:p>
      <w:pPr>
        <w:pStyle w:val="1002"/>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彭</w:t>
      </w:r>
      <w:r>
        <w:rPr>
          <w:rFonts w:hint="eastAsia" w:ascii="宋体" w:hAnsi="宋体" w:eastAsia="宋体" w:cs="宋体"/>
          <w:color w:val="000000"/>
          <w:sz w:val="24"/>
          <w:szCs w:val="24"/>
          <w:highlight w:val="none"/>
          <w:lang w:eastAsia="zh-CN"/>
        </w:rPr>
        <w:t xml:space="preserve">工</w:t>
      </w:r>
      <w:r>
        <w:rPr>
          <w:rFonts w:hint="eastAsia" w:ascii="宋体" w:hAnsi="宋体" w:eastAsia="宋体" w:cs="宋体"/>
          <w:color w:val="000000"/>
          <w:sz w:val="24"/>
          <w:szCs w:val="24"/>
          <w:highlight w:val="none"/>
          <w:lang w:eastAsia="zh-CN"/>
        </w:rPr>
      </w:r>
      <w:r/>
    </w:p>
    <w:p>
      <w:pPr>
        <w:pStyle w:val="1002"/>
        <w:ind w:firstLine="480"/>
        <w:jc w:val="left"/>
        <w:spacing w:line="360" w:lineRule="auto"/>
        <w:shd w:val="clear" w:color="auto" w:fill="auto"/>
        <w:rPr>
          <w:rFonts w:hint="eastAsia" w:ascii="宋体" w:hAnsi="宋体" w:eastAsia="宋体" w:cs="宋体"/>
          <w:b/>
          <w:bCs/>
          <w:color w:val="000000"/>
          <w:sz w:val="44"/>
          <w:szCs w:val="52"/>
          <w:highlight w:val="none"/>
          <w:lang w:val="en-US" w:eastAsia="zh-CN" w:bidi="ar-SA"/>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13675245678</w:t>
      </w:r>
      <w:r>
        <w:rPr>
          <w:rFonts w:hint="eastAsia" w:ascii="宋体" w:hAnsi="宋体" w:eastAsia="宋体" w:cs="宋体"/>
          <w:color w:val="000000"/>
          <w:sz w:val="24"/>
          <w:szCs w:val="24"/>
          <w:highlight w:val="none"/>
        </w:rPr>
        <w:br w:type="page" w:clear="all"/>
      </w:r>
      <w:bookmarkStart w:id="43" w:name="_Toc26344"/>
      <w:r/>
      <w:bookmarkStart w:id="44" w:name="_Toc27391"/>
      <w:r>
        <w:rPr>
          <w:rFonts w:hint="eastAsia" w:ascii="宋体" w:hAnsi="宋体" w:eastAsia="宋体" w:cs="宋体"/>
          <w:b/>
          <w:bCs/>
          <w:color w:val="000000"/>
          <w:sz w:val="44"/>
          <w:szCs w:val="52"/>
          <w:highlight w:val="none"/>
          <w:lang w:val="en-US" w:eastAsia="zh-CN" w:bidi="ar-SA"/>
        </w:rPr>
        <w:t xml:space="preserve">第二章 供应商须知</w:t>
      </w:r>
      <w:bookmarkEnd w:id="43"/>
      <w:r/>
      <w:bookmarkEnd w:id="44"/>
      <w:r>
        <w:rPr>
          <w:rFonts w:hint="eastAsia" w:ascii="宋体" w:hAnsi="宋体" w:eastAsia="宋体" w:cs="宋体"/>
          <w:b/>
          <w:bCs/>
          <w:color w:val="000000"/>
          <w:sz w:val="44"/>
          <w:szCs w:val="52"/>
          <w:highlight w:val="none"/>
          <w:lang w:val="en-US" w:eastAsia="zh-CN" w:bidi="ar-SA"/>
        </w:rPr>
      </w:r>
      <w:r/>
    </w:p>
    <w:p>
      <w:pPr>
        <w:pStyle w:val="1002"/>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0"/>
      </w:pPr>
      <w:r/>
      <w:bookmarkStart w:id="45" w:name="_Toc9219"/>
      <w:r>
        <w:rPr>
          <w:rFonts w:hint="eastAsia" w:ascii="宋体" w:hAnsi="宋体" w:eastAsia="宋体" w:cs="宋体"/>
          <w:b/>
          <w:bCs/>
          <w:color w:val="000000"/>
          <w:sz w:val="28"/>
          <w:szCs w:val="28"/>
          <w:highlight w:val="none"/>
          <w:lang w:val="en-US" w:eastAsia="zh-CN"/>
        </w:rPr>
        <w:t xml:space="preserve">一、总则</w:t>
      </w:r>
      <w:bookmarkEnd w:id="45"/>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6" w:name="_Toc20823276"/>
      <w:r/>
      <w:bookmarkStart w:id="47" w:name="_Toc513029204"/>
      <w:r/>
      <w:bookmarkStart w:id="48" w:name="_Toc458694821"/>
      <w:r/>
      <w:bookmarkStart w:id="49" w:name="_Toc16938520"/>
      <w:r>
        <w:rPr>
          <w:rFonts w:hint="eastAsia" w:ascii="宋体" w:hAnsi="宋体" w:eastAsia="宋体" w:cs="宋体"/>
          <w:b/>
          <w:bCs/>
          <w:color w:val="000000"/>
          <w:sz w:val="28"/>
          <w:szCs w:val="28"/>
          <w:highlight w:val="none"/>
          <w:lang w:val="en-US" w:eastAsia="zh-CN"/>
        </w:rPr>
        <w:t xml:space="preserve">1</w:t>
      </w:r>
      <w:bookmarkEnd w:id="46"/>
      <w:r>
        <w:rPr>
          <w:rFonts w:hint="eastAsia" w:ascii="宋体" w:hAnsi="宋体" w:eastAsia="宋体" w:cs="宋体"/>
          <w:b/>
          <w:bCs/>
          <w:color w:val="000000"/>
          <w:sz w:val="28"/>
          <w:szCs w:val="28"/>
          <w:highlight w:val="none"/>
          <w:lang w:val="en-US" w:eastAsia="zh-CN"/>
        </w:rPr>
        <w:t xml:space="preserve">、采购方式</w:t>
      </w:r>
      <w:bookmarkEnd w:id="47"/>
      <w:r/>
      <w:bookmarkEnd w:id="48"/>
      <w:r/>
      <w:bookmarkEnd w:id="49"/>
      <w:r>
        <w:rPr>
          <w:rFonts w:hint="eastAsia" w:ascii="宋体" w:hAnsi="宋体" w:eastAsia="宋体" w:cs="宋体"/>
          <w:b/>
          <w:bCs/>
          <w:color w:val="000000"/>
          <w:sz w:val="28"/>
          <w:szCs w:val="28"/>
          <w:highlight w:val="none"/>
          <w:lang w:val="en-US" w:eastAsia="zh-CN"/>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0" w:name="_Toc20823277"/>
      <w:r/>
      <w:bookmarkStart w:id="51" w:name="_Toc16938521"/>
      <w:r/>
      <w:bookmarkStart w:id="52" w:name="_Toc513029205"/>
      <w:r>
        <w:rPr>
          <w:rFonts w:hint="eastAsia" w:ascii="宋体" w:hAnsi="宋体" w:eastAsia="宋体" w:cs="宋体"/>
          <w:b/>
          <w:bCs/>
          <w:color w:val="000000"/>
          <w:sz w:val="28"/>
          <w:szCs w:val="28"/>
          <w:highlight w:val="none"/>
          <w:lang w:val="en-US" w:eastAsia="zh-CN"/>
        </w:rPr>
        <w:t xml:space="preserve">2、合格的</w:t>
      </w:r>
      <w:bookmarkEnd w:id="50"/>
      <w:r/>
      <w:bookmarkEnd w:id="51"/>
      <w:r/>
      <w:bookmarkEnd w:id="52"/>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lang w:val="en-US" w:eastAsia="zh-CN"/>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3" w:name="_Toc513029206"/>
      <w:r/>
      <w:bookmarkStart w:id="54" w:name="_Toc20823278"/>
      <w:r/>
      <w:bookmarkStart w:id="55" w:name="_Toc16938522"/>
      <w:r>
        <w:rPr>
          <w:rFonts w:hint="eastAsia" w:ascii="宋体" w:hAnsi="宋体" w:eastAsia="宋体" w:cs="宋体"/>
          <w:b/>
          <w:bCs/>
          <w:color w:val="000000"/>
          <w:sz w:val="28"/>
          <w:szCs w:val="28"/>
          <w:highlight w:val="none"/>
          <w:lang w:val="en-US" w:eastAsia="zh-CN"/>
        </w:rPr>
        <w:t xml:space="preserve">3、适用法律</w:t>
      </w:r>
      <w:bookmarkEnd w:id="53"/>
      <w:r/>
      <w:bookmarkEnd w:id="54"/>
      <w:r/>
      <w:bookmarkEnd w:id="55"/>
      <w:r>
        <w:rPr>
          <w:rFonts w:hint="eastAsia" w:ascii="宋体" w:hAnsi="宋体" w:eastAsia="宋体" w:cs="宋体"/>
          <w:b/>
          <w:bCs/>
          <w:color w:val="000000"/>
          <w:sz w:val="28"/>
          <w:szCs w:val="28"/>
          <w:highlight w:val="none"/>
          <w:lang w:val="en-US" w:eastAsia="zh-CN"/>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6" w:name="_Toc462564067"/>
      <w:r/>
      <w:bookmarkStart w:id="57" w:name="_Toc20823279"/>
      <w:r/>
      <w:bookmarkStart w:id="58" w:name="_Toc16938523"/>
      <w:r/>
      <w:bookmarkStart w:id="59" w:name="_Toc513029207"/>
      <w:r>
        <w:rPr>
          <w:rFonts w:hint="eastAsia" w:ascii="宋体" w:hAnsi="宋体" w:eastAsia="宋体" w:cs="宋体"/>
          <w:b/>
          <w:bCs/>
          <w:color w:val="000000"/>
          <w:sz w:val="28"/>
          <w:szCs w:val="28"/>
          <w:highlight w:val="none"/>
          <w:lang w:val="en-US" w:eastAsia="zh-CN"/>
        </w:rPr>
        <w:t xml:space="preserve">4、磋商费用</w:t>
      </w:r>
      <w:bookmarkEnd w:id="56"/>
      <w:r/>
      <w:bookmarkEnd w:id="57"/>
      <w:r/>
      <w:bookmarkEnd w:id="58"/>
      <w:r/>
      <w:bookmarkEnd w:id="59"/>
      <w:r>
        <w:rPr>
          <w:rFonts w:hint="eastAsia" w:ascii="宋体" w:hAnsi="宋体" w:eastAsia="宋体" w:cs="宋体"/>
          <w:b/>
          <w:bCs/>
          <w:color w:val="000000"/>
          <w:sz w:val="28"/>
          <w:szCs w:val="28"/>
          <w:highlight w:val="none"/>
          <w:lang w:val="en-US" w:eastAsia="zh-CN"/>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连云港云途项目管理有限公司  </w:t>
      </w:r>
      <w:r>
        <w:rPr>
          <w:rFonts w:hint="eastAsia" w:ascii="宋体" w:hAnsi="宋体" w:eastAsia="宋体" w:cs="宋体"/>
          <w:color w:val="000000"/>
          <w:sz w:val="24"/>
          <w:highlight w:val="none"/>
        </w:rPr>
        <w:t xml:space="preserve">（以下简称</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5、磋商文件的约束力</w:t>
      </w:r>
      <w:r>
        <w:rPr>
          <w:rFonts w:hint="eastAsia" w:ascii="宋体" w:hAnsi="宋体" w:eastAsia="宋体" w:cs="宋体"/>
          <w:b/>
          <w:bCs/>
          <w:color w:val="000000"/>
          <w:sz w:val="28"/>
          <w:szCs w:val="28"/>
          <w:highlight w:val="none"/>
          <w:lang w:val="en-US" w:eastAsia="zh-CN"/>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并且视为已经知道或应当知道自身权益是否受到了损害。</w:t>
      </w:r>
      <w:r>
        <w:rPr>
          <w:rFonts w:hint="eastAsia" w:ascii="宋体" w:hAnsi="宋体" w:eastAsia="宋体" w:cs="宋体"/>
          <w:color w:val="000000"/>
          <w:sz w:val="24"/>
          <w:highlight w:val="none"/>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0" w:name="_Toc11567"/>
      <w:r>
        <w:rPr>
          <w:rFonts w:hint="eastAsia" w:ascii="宋体" w:hAnsi="宋体" w:eastAsia="宋体" w:cs="宋体"/>
          <w:b/>
          <w:bCs/>
          <w:color w:val="000000"/>
          <w:sz w:val="28"/>
          <w:szCs w:val="28"/>
          <w:highlight w:val="none"/>
          <w:lang w:val="en-US" w:eastAsia="zh-CN"/>
        </w:rPr>
        <w:t xml:space="preserve">二、磋商文件</w:t>
      </w:r>
      <w:bookmarkEnd w:id="60"/>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6、磋商文件构成</w:t>
      </w:r>
      <w:r>
        <w:rPr>
          <w:rFonts w:hint="eastAsia" w:ascii="宋体" w:hAnsi="宋体" w:eastAsia="宋体" w:cs="宋体"/>
          <w:b/>
          <w:bCs/>
          <w:color w:val="000000"/>
          <w:sz w:val="28"/>
          <w:szCs w:val="28"/>
          <w:highlight w:val="none"/>
          <w:lang w:val="en-US" w:eastAsia="zh-CN"/>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7、磋商文件的澄清</w:t>
      </w:r>
      <w:r>
        <w:rPr>
          <w:rFonts w:hint="eastAsia" w:ascii="宋体" w:hAnsi="宋体" w:eastAsia="宋体" w:cs="宋体"/>
          <w:b/>
          <w:bCs/>
          <w:color w:val="000000"/>
          <w:sz w:val="28"/>
          <w:szCs w:val="28"/>
          <w:highlight w:val="none"/>
          <w:lang w:val="en-US" w:eastAsia="zh-CN"/>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8、磋商文件的修改</w:t>
      </w:r>
      <w:r>
        <w:rPr>
          <w:rFonts w:hint="eastAsia" w:ascii="宋体" w:hAnsi="宋体" w:eastAsia="宋体" w:cs="宋体"/>
          <w:b/>
          <w:bCs/>
          <w:color w:val="000000"/>
          <w:sz w:val="28"/>
          <w:szCs w:val="28"/>
          <w:highlight w:val="none"/>
          <w:lang w:val="en-US" w:eastAsia="zh-CN"/>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02"/>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1" w:name="_Toc10463"/>
      <w:r>
        <w:rPr>
          <w:rFonts w:hint="eastAsia" w:ascii="宋体" w:hAnsi="宋体" w:eastAsia="宋体" w:cs="宋体"/>
          <w:b/>
          <w:bCs/>
          <w:color w:val="000000"/>
          <w:sz w:val="28"/>
          <w:szCs w:val="28"/>
          <w:highlight w:val="none"/>
          <w:lang w:val="en-US" w:eastAsia="zh-CN"/>
        </w:rPr>
        <w:t xml:space="preserve">三、响应文件的编制</w:t>
      </w:r>
      <w:bookmarkEnd w:id="61"/>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9、响应文件的语言及度量衡单位</w:t>
      </w:r>
      <w:r>
        <w:rPr>
          <w:rFonts w:hint="eastAsia" w:ascii="宋体" w:hAnsi="宋体" w:eastAsia="宋体" w:cs="宋体"/>
          <w:b/>
          <w:bCs/>
          <w:color w:val="000000"/>
          <w:sz w:val="28"/>
          <w:szCs w:val="28"/>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10、响应文件构成</w:t>
      </w:r>
      <w:r>
        <w:rPr>
          <w:rFonts w:hint="eastAsia" w:ascii="宋体" w:hAnsi="宋体" w:eastAsia="宋体" w:cs="宋体"/>
          <w:b/>
          <w:bCs/>
          <w:color w:val="000000"/>
          <w:sz w:val="28"/>
          <w:szCs w:val="28"/>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2" w:name="_Toc49090507"/>
      <w:r/>
      <w:bookmarkStart w:id="63" w:name="_Toc49090509"/>
      <w:r/>
      <w:bookmarkStart w:id="64" w:name="_Toc513029216"/>
      <w:r/>
      <w:bookmarkStart w:id="65" w:name="_Toc14577357"/>
      <w:r/>
      <w:bookmarkStart w:id="66" w:name="_Toc14577354"/>
      <w:r/>
      <w:bookmarkStart w:id="67" w:name="_Toc513029219"/>
      <w:r/>
      <w:bookmarkStart w:id="68" w:name="_Toc49090508"/>
      <w:r>
        <w:rPr>
          <w:rFonts w:hint="eastAsia" w:ascii="宋体" w:hAnsi="宋体" w:eastAsia="宋体" w:cs="宋体"/>
          <w:b/>
          <w:bCs/>
          <w:color w:val="000000"/>
          <w:sz w:val="28"/>
          <w:szCs w:val="28"/>
          <w:highlight w:val="none"/>
          <w:lang w:val="en-US" w:eastAsia="zh-CN"/>
        </w:rPr>
        <w:t xml:space="preserve">11、证明磋商响应标的符合磋商文件规定的文件</w:t>
      </w:r>
      <w:bookmarkEnd w:id="62"/>
      <w:r/>
      <w:bookmarkEnd w:id="63"/>
      <w:r/>
      <w:bookmarkEnd w:id="64"/>
      <w:r/>
      <w:bookmarkEnd w:id="65"/>
      <w:r/>
      <w:bookmarkEnd w:id="66"/>
      <w:r/>
      <w:bookmarkEnd w:id="67"/>
      <w:r/>
      <w:bookmarkEnd w:id="68"/>
      <w:r>
        <w:rPr>
          <w:rFonts w:hint="eastAsia" w:ascii="宋体" w:hAnsi="宋体" w:eastAsia="宋体" w:cs="宋体"/>
          <w:b/>
          <w:bCs/>
          <w:color w:val="000000"/>
          <w:sz w:val="28"/>
          <w:szCs w:val="28"/>
          <w:highlight w:val="none"/>
          <w:lang w:val="en-US" w:eastAsia="zh-CN"/>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应按照磋商文件要求提交证明文件，证明其及磋商响应标的符合磋商文件规定。</w:t>
      </w:r>
      <w:r>
        <w:rPr>
          <w:rFonts w:hint="eastAsia" w:ascii="宋体" w:hAnsi="宋体" w:eastAsia="宋体" w:cs="宋体"/>
          <w:color w:val="000000"/>
          <w:sz w:val="24"/>
          <w:highlight w:val="none"/>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11.2</w:t>
      </w:r>
      <w:r>
        <w:rPr>
          <w:rFonts w:hint="eastAsia" w:ascii="宋体" w:hAnsi="宋体" w:eastAsia="宋体" w:cs="宋体"/>
          <w:color w:val="000000"/>
          <w:sz w:val="24"/>
          <w:highlight w:val="none"/>
        </w:rPr>
        <w:t xml:space="preserve">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002"/>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11.3供应商</w:t>
      </w:r>
      <w:r>
        <w:rPr>
          <w:rFonts w:hint="eastAsia" w:ascii="宋体" w:hAnsi="宋体" w:eastAsia="宋体" w:cs="宋体"/>
          <w:color w:val="000000"/>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sz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12、磋商响应有效期</w:t>
      </w:r>
      <w:r>
        <w:rPr>
          <w:rFonts w:hint="eastAsia" w:ascii="宋体" w:hAnsi="宋体" w:eastAsia="宋体" w:cs="宋体"/>
          <w:b/>
          <w:bCs/>
          <w:color w:val="000000"/>
          <w:sz w:val="28"/>
          <w:szCs w:val="28"/>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13、磋商响应有效期的延长</w:t>
      </w:r>
      <w:r>
        <w:rPr>
          <w:rFonts w:hint="eastAsia" w:ascii="宋体" w:hAnsi="宋体" w:eastAsia="宋体" w:cs="宋体"/>
          <w:b/>
          <w:bCs/>
          <w:color w:val="000000"/>
          <w:sz w:val="28"/>
          <w:szCs w:val="28"/>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9" w:name="_Toc9762"/>
      <w:r>
        <w:rPr>
          <w:rFonts w:hint="eastAsia" w:ascii="宋体" w:hAnsi="宋体" w:eastAsia="宋体" w:cs="宋体"/>
          <w:b/>
          <w:bCs/>
          <w:color w:val="000000"/>
          <w:sz w:val="28"/>
          <w:szCs w:val="28"/>
          <w:highlight w:val="none"/>
          <w:lang w:val="en-US" w:eastAsia="zh-CN"/>
        </w:rPr>
        <w:t xml:space="preserve">四、磋商报价</w:t>
      </w:r>
      <w:bookmarkEnd w:id="69"/>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14、磋商报价</w:t>
      </w:r>
      <w:r>
        <w:rPr>
          <w:rFonts w:hint="eastAsia" w:ascii="宋体" w:hAnsi="宋体" w:eastAsia="宋体" w:cs="宋体"/>
          <w:b/>
          <w:bCs/>
          <w:color w:val="000000"/>
          <w:sz w:val="28"/>
          <w:szCs w:val="28"/>
          <w:highlight w:val="none"/>
          <w:lang w:val="en-US"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1002"/>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color w:val="000000"/>
          <w:highlight w:val="none"/>
        </w:rPr>
        <w:t xml:space="preserve">《</w:t>
      </w:r>
      <w:r>
        <w:rPr>
          <w:rFonts w:ascii="宋体" w:hAnsi="宋体" w:eastAsia="宋体" w:cs="宋体"/>
          <w:color w:val="000000"/>
          <w:sz w:val="24"/>
          <w:szCs w:val="24"/>
          <w:highlight w:val="none"/>
        </w:rPr>
        <w:t xml:space="preserve">建设工程工程量清单计价标准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江苏省市政工程消耗量</w:t>
      </w:r>
      <w:r>
        <w:rPr>
          <w:color w:val="000000"/>
          <w:highlight w:val="none"/>
        </w:rPr>
        <w:t xml:space="preserve">》、近期的《连云港市建设工程材料市场参考价》</w:t>
      </w:r>
      <w:r>
        <w:rPr>
          <w:rFonts w:hint="eastAsia"/>
          <w:color w:val="000000"/>
          <w:highlight w:val="none"/>
          <w:lang w:eastAsia="zh-CN"/>
        </w:rPr>
        <w:t xml:space="preserve">，</w:t>
      </w:r>
      <w:r>
        <w:rPr>
          <w:rFonts w:hint="eastAsia"/>
          <w:color w:val="000000"/>
          <w:highlight w:val="none"/>
          <w:lang w:val="en-US" w:eastAsia="zh-CN"/>
        </w:rPr>
        <w:t xml:space="preserve">有最新标准的按最新标准执行</w:t>
      </w:r>
      <w:r>
        <w:rPr>
          <w:color w:val="000000"/>
          <w:highlight w:val="none"/>
        </w:rPr>
        <w:t xml:space="preserve">。</w:t>
      </w:r>
      <w:r>
        <w:rPr>
          <w:rFonts w:hint="eastAsia" w:ascii="宋体" w:hAnsi="宋体" w:eastAsia="宋体" w:cs="宋体"/>
          <w:color w:val="000000"/>
          <w:highlight w:val="none"/>
          <w:lang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1002"/>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15、报价货币</w:t>
      </w:r>
      <w:r>
        <w:rPr>
          <w:rFonts w:hint="eastAsia" w:ascii="宋体" w:hAnsi="宋体" w:eastAsia="宋体" w:cs="宋体"/>
          <w:b/>
          <w:bCs/>
          <w:color w:val="000000"/>
          <w:sz w:val="28"/>
          <w:szCs w:val="28"/>
          <w:highlight w:val="none"/>
          <w:lang w:val="en-US"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16、磋商报价的编制要求</w:t>
      </w:r>
      <w:r>
        <w:rPr>
          <w:rFonts w:hint="eastAsia" w:ascii="宋体" w:hAnsi="宋体" w:eastAsia="宋体" w:cs="宋体"/>
          <w:b/>
          <w:bCs/>
          <w:color w:val="000000"/>
          <w:sz w:val="28"/>
          <w:szCs w:val="28"/>
          <w:highlight w:val="none"/>
          <w:lang w:val="en-US"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1002"/>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9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1002"/>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1002"/>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0" w:name="_Toc31635"/>
      <w:r>
        <w:rPr>
          <w:rFonts w:hint="eastAsia" w:ascii="宋体" w:hAnsi="宋体" w:eastAsia="宋体" w:cs="宋体"/>
          <w:b/>
          <w:bCs/>
          <w:color w:val="000000"/>
          <w:sz w:val="28"/>
          <w:szCs w:val="28"/>
          <w:highlight w:val="none"/>
          <w:lang w:val="en-US" w:eastAsia="zh-CN"/>
        </w:rPr>
        <w:t xml:space="preserve">五、响应文件的提交</w:t>
      </w:r>
      <w:bookmarkEnd w:id="70"/>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17、电子磋商响应文件的递交</w:t>
      </w:r>
      <w:r>
        <w:rPr>
          <w:rFonts w:hint="eastAsia" w:ascii="宋体" w:hAnsi="宋体" w:eastAsia="宋体" w:cs="宋体"/>
          <w:b/>
          <w:bCs/>
          <w:color w:val="000000"/>
          <w:sz w:val="28"/>
          <w:szCs w:val="28"/>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18、提交响应文件截止时间</w:t>
      </w:r>
      <w:r>
        <w:rPr>
          <w:rFonts w:hint="eastAsia" w:ascii="宋体" w:hAnsi="宋体" w:eastAsia="宋体" w:cs="宋体"/>
          <w:b/>
          <w:bCs/>
          <w:color w:val="000000"/>
          <w:sz w:val="28"/>
          <w:szCs w:val="28"/>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19、响应文件的拒收</w:t>
      </w:r>
      <w:r>
        <w:rPr>
          <w:rFonts w:hint="eastAsia" w:ascii="宋体" w:hAnsi="宋体" w:eastAsia="宋体" w:cs="宋体"/>
          <w:b/>
          <w:bCs/>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1068"/>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color w:val="000000"/>
          <w:sz w:val="28"/>
          <w:szCs w:val="28"/>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68"/>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1" w:name="_Toc30978"/>
      <w:r>
        <w:rPr>
          <w:rFonts w:hint="eastAsia" w:ascii="宋体" w:hAnsi="宋体" w:eastAsia="宋体" w:cs="宋体"/>
          <w:b/>
          <w:bCs/>
          <w:color w:val="000000"/>
          <w:sz w:val="28"/>
          <w:szCs w:val="28"/>
          <w:highlight w:val="none"/>
          <w:lang w:val="en-US" w:eastAsia="zh-CN"/>
        </w:rPr>
        <w:t xml:space="preserve">六、响应文件的解密与评审</w:t>
      </w:r>
      <w:bookmarkEnd w:id="71"/>
      <w:r>
        <w:rPr>
          <w:rFonts w:hint="eastAsia" w:ascii="宋体" w:hAnsi="宋体" w:eastAsia="宋体" w:cs="宋体"/>
          <w:b/>
          <w:bCs/>
          <w:color w:val="000000"/>
          <w:sz w:val="28"/>
          <w:szCs w:val="28"/>
          <w:highlight w:val="none"/>
          <w:lang w:val="en-US" w:eastAsia="zh-CN"/>
        </w:rPr>
      </w:r>
      <w:r/>
    </w:p>
    <w:p>
      <w:pPr>
        <w:pStyle w:val="1068"/>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w:t>
      </w:r>
      <w:r>
        <w:rPr>
          <w:rFonts w:hint="eastAsia" w:ascii="宋体" w:hAnsi="宋体" w:eastAsia="宋体" w:cs="宋体"/>
          <w:color w:val="000000"/>
          <w:sz w:val="24"/>
          <w:szCs w:val="24"/>
          <w:highlight w:val="none"/>
        </w:rPr>
        <w:t xml:space="preserve">册》规定，在苏采云系统规定的时间内对磋商响应文件进行解密。</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68"/>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068"/>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1068"/>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68"/>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68"/>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8"/>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1002"/>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1002"/>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68"/>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68"/>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68"/>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068"/>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w:t>
      </w:r>
      <w:r>
        <w:rPr>
          <w:rFonts w:hint="eastAsia" w:ascii="宋体" w:hAnsi="宋体" w:eastAsia="宋体" w:cs="宋体"/>
          <w:color w:val="000000"/>
          <w:sz w:val="24"/>
          <w:szCs w:val="24"/>
          <w:highlight w:val="none"/>
        </w:rPr>
        <w:t xml:space="preserve">应性只根据响应文件本身的内容，而不寻求外部的证据。</w:t>
      </w:r>
      <w:r>
        <w:rPr>
          <w:rFonts w:hint="eastAsia" w:ascii="宋体" w:hAnsi="宋体" w:eastAsia="宋体" w:cs="宋体"/>
          <w:color w:val="000000"/>
          <w:sz w:val="24"/>
          <w:szCs w:val="24"/>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1002"/>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1002"/>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1002"/>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68"/>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color w:val="000000"/>
          <w:sz w:val="28"/>
          <w:szCs w:val="28"/>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sz w:val="24"/>
          <w:szCs w:val="24"/>
          <w:highlight w:val="none"/>
        </w:rPr>
        <w:t xml:space="preserve">商在苏采云系统规定的时间内未成</w:t>
      </w:r>
      <w:r>
        <w:rPr>
          <w:rFonts w:hint="eastAsia" w:ascii="宋体" w:hAnsi="宋体" w:eastAsia="宋体" w:cs="宋体"/>
          <w:b/>
          <w:bCs/>
          <w:color w:val="000000"/>
          <w:sz w:val="24"/>
          <w:szCs w:val="24"/>
          <w:highlight w:val="none"/>
        </w:rPr>
        <w:t xml:space="preserve">功解密电子响应文件的。</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100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w:t>
      </w:r>
      <w:r>
        <w:rPr>
          <w:rFonts w:hint="eastAsia" w:ascii="宋体" w:hAnsi="宋体" w:eastAsia="宋体" w:cs="宋体"/>
          <w:b/>
          <w:bCs/>
          <w:color w:val="000000"/>
          <w:sz w:val="24"/>
          <w:szCs w:val="24"/>
          <w:highlight w:val="none"/>
          <w:lang w:eastAsia="zh-CN"/>
        </w:rPr>
        <w:t xml:space="preserve">国家发展改革委</w:t>
      </w:r>
      <w:r>
        <w:rPr>
          <w:rFonts w:hint="eastAsia" w:ascii="宋体" w:hAnsi="宋体" w:eastAsia="宋体" w:cs="宋体"/>
          <w:b/>
          <w:bCs/>
          <w:color w:val="000000"/>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1002"/>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68"/>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68"/>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w:t>
      </w:r>
      <w:r>
        <w:rPr>
          <w:rFonts w:hint="eastAsia" w:ascii="宋体" w:hAnsi="宋体" w:eastAsia="宋体" w:cs="宋体"/>
          <w:color w:val="000000"/>
          <w:sz w:val="24"/>
          <w:szCs w:val="24"/>
          <w:highlight w:val="none"/>
        </w:rPr>
        <w:t xml:space="preserve">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68"/>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68"/>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68"/>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2" w:name="_Toc120614219"/>
      <w:r/>
      <w:bookmarkStart w:id="73" w:name="_Toc5923"/>
      <w:r>
        <w:rPr>
          <w:rFonts w:hint="eastAsia" w:ascii="宋体" w:hAnsi="宋体" w:eastAsia="宋体" w:cs="宋体"/>
          <w:b/>
          <w:bCs/>
          <w:color w:val="000000"/>
          <w:sz w:val="28"/>
          <w:szCs w:val="28"/>
          <w:highlight w:val="none"/>
          <w:lang w:val="en-US" w:eastAsia="zh-CN"/>
        </w:rPr>
        <w:t xml:space="preserve">七、</w:t>
      </w:r>
      <w:bookmarkEnd w:id="72"/>
      <w:r>
        <w:rPr>
          <w:rFonts w:hint="eastAsia" w:ascii="宋体" w:hAnsi="宋体" w:eastAsia="宋体" w:cs="宋体"/>
          <w:b/>
          <w:bCs/>
          <w:color w:val="000000"/>
          <w:sz w:val="28"/>
          <w:szCs w:val="28"/>
          <w:highlight w:val="none"/>
          <w:lang w:val="en-US" w:eastAsia="zh-CN"/>
        </w:rPr>
        <w:t xml:space="preserve">成交</w:t>
      </w:r>
      <w:bookmarkEnd w:id="73"/>
      <w:r>
        <w:rPr>
          <w:rFonts w:hint="eastAsia" w:ascii="宋体" w:hAnsi="宋体" w:eastAsia="宋体" w:cs="宋体"/>
          <w:b/>
          <w:bCs/>
          <w:color w:val="000000"/>
          <w:sz w:val="28"/>
          <w:szCs w:val="28"/>
          <w:highlight w:val="none"/>
          <w:lang w:val="en-US" w:eastAsia="zh-CN"/>
        </w:rPr>
      </w:r>
      <w:r/>
    </w:p>
    <w:p>
      <w:pPr>
        <w:pStyle w:val="1068"/>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74" w:name="_Toc200451960"/>
      <w:r>
        <w:rPr>
          <w:rFonts w:hint="eastAsia" w:ascii="宋体" w:hAnsi="宋体" w:eastAsia="宋体" w:cs="宋体"/>
          <w:b/>
          <w:bCs/>
          <w:color w:val="000000"/>
          <w:sz w:val="28"/>
          <w:szCs w:val="28"/>
          <w:highlight w:val="none"/>
          <w:lang w:val="en-US" w:eastAsia="zh-CN"/>
        </w:rPr>
        <w:t xml:space="preserve">28、质疑处理</w:t>
      </w:r>
      <w:bookmarkEnd w:id="74"/>
      <w:r>
        <w:rPr>
          <w:rFonts w:hint="eastAsia" w:ascii="宋体" w:hAnsi="宋体" w:eastAsia="宋体" w:cs="宋体"/>
          <w:b/>
          <w:bCs/>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068"/>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68"/>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68"/>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29、成交通知书</w:t>
      </w:r>
      <w:r>
        <w:rPr>
          <w:rFonts w:hint="eastAsia" w:ascii="宋体" w:hAnsi="宋体" w:eastAsia="宋体" w:cs="宋体"/>
          <w:b/>
          <w:bCs/>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5" w:name="_Toc120614220"/>
      <w:r/>
      <w:bookmarkStart w:id="76" w:name="_Toc513029236"/>
      <w:r/>
      <w:bookmarkStart w:id="77" w:name="_Toc16938552"/>
      <w:r/>
      <w:bookmarkStart w:id="78" w:name="_Toc20823308"/>
      <w:r/>
      <w:bookmarkStart w:id="79" w:name="_Toc2658"/>
      <w:r>
        <w:rPr>
          <w:rFonts w:hint="eastAsia" w:ascii="宋体" w:hAnsi="宋体" w:eastAsia="宋体" w:cs="宋体"/>
          <w:b/>
          <w:bCs/>
          <w:color w:val="000000"/>
          <w:sz w:val="28"/>
          <w:szCs w:val="28"/>
          <w:highlight w:val="none"/>
          <w:lang w:val="en-US" w:eastAsia="zh-CN"/>
        </w:rPr>
        <w:t xml:space="preserve">八、授予合同</w:t>
      </w:r>
      <w:bookmarkEnd w:id="75"/>
      <w:r/>
      <w:bookmarkEnd w:id="76"/>
      <w:r/>
      <w:bookmarkEnd w:id="77"/>
      <w:r/>
      <w:bookmarkEnd w:id="78"/>
      <w:r/>
      <w:bookmarkEnd w:id="79"/>
      <w:r>
        <w:rPr>
          <w:rFonts w:hint="eastAsia" w:ascii="宋体" w:hAnsi="宋体" w:eastAsia="宋体" w:cs="宋体"/>
          <w:b/>
          <w:bCs/>
          <w:color w:val="000000"/>
          <w:sz w:val="28"/>
          <w:szCs w:val="28"/>
          <w:highlight w:val="none"/>
          <w:lang w:val="en-US" w:eastAsia="zh-CN"/>
        </w:rPr>
      </w:r>
      <w:r/>
    </w:p>
    <w:p>
      <w:pPr>
        <w:pStyle w:val="1002"/>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30、签订合同</w:t>
      </w:r>
      <w:r>
        <w:rPr>
          <w:rFonts w:hint="eastAsia" w:ascii="宋体" w:hAnsi="宋体" w:eastAsia="宋体" w:cs="宋体"/>
          <w:b/>
          <w:bCs/>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68"/>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80" w:name="_Toc120614221"/>
      <w:r/>
      <w:bookmarkStart w:id="81" w:name="_Toc16938558"/>
      <w:r/>
      <w:bookmarkStart w:id="82" w:name="_Toc513029242"/>
      <w:r/>
      <w:bookmarkStart w:id="83" w:name="_Toc479757207"/>
      <w:r/>
      <w:bookmarkStart w:id="84" w:name="_Toc20823314"/>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80"/>
      <w:r/>
      <w:bookmarkEnd w:id="81"/>
      <w:r/>
      <w:bookmarkEnd w:id="82"/>
      <w:r/>
      <w:bookmarkEnd w:id="83"/>
      <w:r/>
      <w:bookmarkEnd w:id="84"/>
      <w:r>
        <w:rPr>
          <w:rFonts w:hint="eastAsia" w:ascii="宋体" w:hAnsi="宋体" w:eastAsia="宋体" w:cs="宋体"/>
          <w:b/>
          <w:bCs/>
          <w:i w:val="0"/>
          <w:iCs w:val="0"/>
          <w:color w:val="000000"/>
          <w:sz w:val="28"/>
          <w:szCs w:val="28"/>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10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85" w:name="_Toc513029237"/>
      <w:r/>
      <w:bookmarkStart w:id="86" w:name="_Toc20823309"/>
      <w:r/>
      <w:bookmarkStart w:id="87" w:name="_Toc16938553"/>
      <w:r/>
      <w:bookmarkStart w:id="88" w:name="_Toc21745"/>
      <w:r>
        <w:rPr>
          <w:rFonts w:hint="eastAsia" w:ascii="宋体" w:hAnsi="宋体" w:eastAsia="宋体" w:cs="宋体"/>
          <w:b/>
          <w:bCs/>
          <w:color w:val="000000"/>
          <w:sz w:val="28"/>
          <w:szCs w:val="28"/>
          <w:highlight w:val="none"/>
          <w:lang w:val="en-US" w:eastAsia="zh-CN"/>
        </w:rPr>
        <w:t xml:space="preserve">九、政策功能</w:t>
      </w:r>
      <w:bookmarkEnd w:id="85"/>
      <w:r/>
      <w:bookmarkEnd w:id="86"/>
      <w:r/>
      <w:bookmarkEnd w:id="87"/>
      <w:r/>
      <w:bookmarkEnd w:id="88"/>
      <w:r>
        <w:rPr>
          <w:rFonts w:hint="eastAsia" w:ascii="宋体" w:hAnsi="宋体" w:eastAsia="宋体" w:cs="宋体"/>
          <w:b/>
          <w:bCs/>
          <w:color w:val="000000"/>
          <w:sz w:val="28"/>
          <w:szCs w:val="28"/>
          <w:highlight w:val="none"/>
          <w:lang w:val="en-US" w:eastAsia="zh-CN"/>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100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100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1002"/>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快递包装政府采购需求标准（试行）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绿色数据中心政府采购需求标准（试行）》。</w:t>
      </w:r>
      <w:r>
        <w:rPr>
          <w:rFonts w:hint="eastAsia" w:ascii="宋体" w:hAnsi="宋体" w:eastAsia="宋体" w:cs="宋体"/>
          <w:b w:val="0"/>
          <w:bCs w:val="0"/>
          <w:color w:val="000000"/>
          <w:sz w:val="24"/>
          <w:highlight w:val="none"/>
          <w:lang w:val="en-US"/>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1002"/>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台式计算机政府采购需求标准（2023年版）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便携式计算机政府采购需求标准（2023年版）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一体式计算机政府采购需求标准（2023年版）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工作站政府采购需求标准（2023年版）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通用服务器政府采购需求标准（2023年版）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操作系统政府采购需求标准（2023年版）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6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w:t>
      </w:r>
      <w:r>
        <w:rPr>
          <w:rFonts w:hint="eastAsia" w:eastAsia="宋体" w:cs="宋体"/>
          <w:b/>
          <w:bCs/>
          <w:i w:val="0"/>
          <w:iCs w:val="0"/>
          <w:color w:val="000000"/>
          <w:sz w:val="28"/>
          <w:szCs w:val="28"/>
          <w:highlight w:val="none"/>
          <w:lang w:val="en-US" w:eastAsia="zh-CN"/>
        </w:rPr>
        <w:t xml:space="preserve">其他</w:t>
      </w:r>
      <w:r>
        <w:rPr>
          <w:rFonts w:hint="eastAsia" w:ascii="宋体" w:hAnsi="宋体" w:eastAsia="宋体" w:cs="宋体"/>
          <w:b/>
          <w:bCs/>
          <w:i w:val="0"/>
          <w:iCs w:val="0"/>
          <w:color w:val="000000"/>
          <w:sz w:val="28"/>
          <w:szCs w:val="28"/>
          <w:highlight w:val="none"/>
          <w:lang w:val="en-US" w:eastAsia="zh-CN"/>
        </w:rPr>
        <w:t xml:space="preserve">事项</w:t>
      </w:r>
      <w:r>
        <w:rPr>
          <w:rFonts w:hint="eastAsia" w:ascii="宋体" w:hAnsi="宋体" w:eastAsia="宋体" w:cs="宋体"/>
          <w:b/>
          <w:bCs/>
          <w:i w:val="0"/>
          <w:iCs w:val="0"/>
          <w:color w:val="000000"/>
          <w:sz w:val="28"/>
          <w:szCs w:val="28"/>
          <w:highlight w:val="none"/>
          <w:lang w:val="en-US" w:eastAsia="zh-CN"/>
        </w:rPr>
      </w:r>
      <w:r/>
    </w:p>
    <w:p>
      <w:pPr>
        <w:pStyle w:val="1002"/>
        <w:ind w:left="0" w:right="0" w:firstLine="480"/>
        <w:spacing w:before="0" w:after="0" w:line="360" w:lineRule="auto"/>
        <w:shd w:val="clear" w:color="auto" w:fill="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38.1</w:t>
      </w:r>
      <w:r>
        <w:rPr>
          <w:rFonts w:hint="eastAsia" w:ascii="宋体" w:hAnsi="宋体" w:eastAsia="宋体" w:cs="宋体"/>
          <w:b/>
          <w:bCs/>
          <w:color w:val="000000"/>
          <w:sz w:val="24"/>
          <w:szCs w:val="24"/>
          <w:highlight w:val="none"/>
        </w:rPr>
        <w:t xml:space="preserve">本工程的采购代理服务费、招标控制价及清单编制费由采购人承担，按照“关于印发《江苏省招标代理服务收费》的指导意见（苏招协【2022】002号）及《江苏省建设工程造价咨询服务收费标准》（苏建价协[2022]7号）”收费标准收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共计20515.00元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02"/>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1002"/>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1002"/>
        <w:ind w:left="0" w:firstLine="0"/>
        <w:jc w:val="center"/>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质疑函范本</w:t>
      </w:r>
      <w:r>
        <w:rPr>
          <w:rFonts w:hint="eastAsia" w:ascii="宋体" w:hAnsi="宋体" w:eastAsia="宋体" w:cs="宋体"/>
          <w:b/>
          <w:bCs/>
          <w:color w:val="000000"/>
          <w:sz w:val="24"/>
          <w:szCs w:val="24"/>
          <w:highlight w:val="none"/>
        </w:rPr>
      </w:r>
      <w:r/>
    </w:p>
    <w:p>
      <w:pPr>
        <w:pStyle w:val="100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（采购人/采购代理机构）</w:t>
      </w:r>
      <w:r>
        <w:rPr>
          <w:rFonts w:hint="eastAsia" w:ascii="宋体" w:hAnsi="宋体" w:eastAsia="宋体" w:cs="宋体"/>
          <w:bCs/>
          <w:color w:val="000000"/>
          <w:sz w:val="24"/>
          <w:szCs w:val="24"/>
          <w:highlight w:val="none"/>
        </w:rPr>
      </w:r>
      <w:r/>
    </w:p>
    <w:p>
      <w:pPr>
        <w:pStyle w:val="100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40"/>
        <w:ind w:firstLine="48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100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00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sz w:val="24"/>
          <w:szCs w:val="24"/>
          <w:highlight w:val="none"/>
        </w:rPr>
      </w:r>
      <w:r/>
    </w:p>
    <w:p>
      <w:pPr>
        <w:pStyle w:val="100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00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00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100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sz w:val="24"/>
          <w:szCs w:val="24"/>
          <w:highlight w:val="none"/>
        </w:rPr>
      </w:r>
      <w:r/>
    </w:p>
    <w:p>
      <w:pPr>
        <w:pStyle w:val="1002"/>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1002"/>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100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89" w:name="_Toc11750"/>
      <w:r>
        <w:rPr>
          <w:rFonts w:hint="eastAsia" w:ascii="宋体" w:hAnsi="宋体" w:eastAsia="宋体" w:cs="宋体"/>
          <w:b/>
          <w:bCs/>
          <w:color w:val="000000"/>
          <w:sz w:val="44"/>
          <w:szCs w:val="44"/>
          <w:highlight w:val="none"/>
        </w:rPr>
        <w:br w:type="page" w:clear="all"/>
      </w:r>
      <w:bookmarkStart w:id="90" w:name="_Toc8400"/>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89"/>
      <w:r/>
      <w:bookmarkEnd w:id="90"/>
      <w:r>
        <w:rPr>
          <w:rFonts w:hint="eastAsia" w:ascii="宋体" w:hAnsi="宋体" w:eastAsia="宋体" w:cs="宋体"/>
          <w:b/>
          <w:bCs/>
          <w:color w:val="000000"/>
          <w:sz w:val="44"/>
          <w:szCs w:val="44"/>
          <w:highlight w:val="none"/>
        </w:rPr>
      </w:r>
      <w:r/>
    </w:p>
    <w:p>
      <w:pPr>
        <w:pStyle w:val="1002"/>
        <w:jc w:val="center"/>
        <w:spacing w:line="360" w:lineRule="auto"/>
        <w:widowControl/>
        <w:rPr>
          <w:b/>
          <w:bCs/>
          <w:color w:val="000000"/>
          <w:sz w:val="52"/>
          <w:szCs w:val="52"/>
          <w:highlight w:val="none"/>
          <w:lang w:eastAsia="zh-CN" w:bidi="ar"/>
        </w:rPr>
      </w:pPr>
      <w:r/>
      <w:bookmarkStart w:id="91" w:name="_Toc224532088"/>
      <w:r/>
      <w:bookmarkStart w:id="92" w:name="_Toc515874991"/>
      <w:r/>
      <w:bookmarkStart w:id="93" w:name="_Toc142708870"/>
      <w:r/>
      <w:bookmarkStart w:id="94" w:name="_Toc153678433"/>
      <w:r/>
      <w:bookmarkStart w:id="95" w:name="OLE_LINK6"/>
      <w:r/>
      <w:bookmarkStart w:id="96" w:name="_Toc18837"/>
      <w:r/>
      <w:bookmarkStart w:id="97" w:name="_Toc31605"/>
      <w:r>
        <w:rPr>
          <w:b/>
          <w:bCs/>
          <w:color w:val="000000"/>
          <w:sz w:val="52"/>
          <w:szCs w:val="52"/>
          <w:highlight w:val="none"/>
          <w:lang w:eastAsia="zh-CN" w:bidi="ar"/>
        </w:rPr>
      </w:r>
      <w:r/>
    </w:p>
    <w:p>
      <w:pPr>
        <w:pStyle w:val="1002"/>
        <w:jc w:val="center"/>
        <w:spacing w:line="360" w:lineRule="auto"/>
        <w:widowControl/>
        <w:rPr>
          <w:b/>
          <w:bCs/>
          <w:color w:val="000000"/>
          <w:sz w:val="52"/>
          <w:szCs w:val="52"/>
          <w:highlight w:val="none"/>
          <w:lang w:eastAsia="zh-CN" w:bidi="ar"/>
        </w:rPr>
      </w:pPr>
      <w:r>
        <w:rPr>
          <w:rFonts w:hint="eastAsia"/>
          <w:b/>
          <w:bCs/>
          <w:color w:val="000000"/>
          <w:sz w:val="52"/>
          <w:szCs w:val="52"/>
          <w:highlight w:val="none"/>
          <w:lang w:val="en-US" w:eastAsia="zh-CN" w:bidi="ar"/>
        </w:rPr>
        <w:t xml:space="preserve">东 海 县</w:t>
      </w:r>
      <w:r>
        <w:rPr>
          <w:rFonts w:hint="eastAsia"/>
          <w:b/>
          <w:bCs/>
          <w:color w:val="000000"/>
          <w:sz w:val="52"/>
          <w:szCs w:val="52"/>
          <w:highlight w:val="none"/>
          <w:lang w:eastAsia="zh-CN" w:bidi="ar"/>
        </w:rPr>
        <w:t xml:space="preserve"> 政 府 采 购</w:t>
      </w:r>
      <w:r>
        <w:rPr>
          <w:b/>
          <w:bCs/>
          <w:color w:val="000000"/>
          <w:sz w:val="52"/>
          <w:szCs w:val="52"/>
          <w:highlight w:val="none"/>
          <w:lang w:eastAsia="zh-CN" w:bidi="ar"/>
        </w:rPr>
      </w:r>
      <w:r/>
    </w:p>
    <w:p>
      <w:pPr>
        <w:pStyle w:val="1002"/>
        <w:ind w:firstLine="1041"/>
        <w:spacing w:line="360" w:lineRule="auto"/>
        <w:widowControl/>
        <w:rPr>
          <w:b/>
          <w:bCs/>
          <w:color w:val="000000"/>
          <w:sz w:val="52"/>
          <w:szCs w:val="52"/>
          <w:highlight w:val="none"/>
          <w:lang w:eastAsia="zh-CN" w:bidi="ar"/>
        </w:rPr>
      </w:pPr>
      <w:r>
        <w:rPr>
          <w:b/>
          <w:bCs/>
          <w:color w:val="000000"/>
          <w:sz w:val="52"/>
          <w:szCs w:val="52"/>
          <w:highlight w:val="none"/>
          <w:lang w:eastAsia="zh-CN" w:bidi="ar"/>
        </w:rPr>
      </w:r>
      <w:r/>
    </w:p>
    <w:p>
      <w:pPr>
        <w:pStyle w:val="1002"/>
        <w:ind w:firstLine="1291"/>
        <w:spacing w:line="360" w:lineRule="auto"/>
        <w:widowControl/>
        <w:tabs>
          <w:tab w:val="left" w:pos="899" w:leader="none"/>
        </w:tabs>
        <w:rPr>
          <w:color w:val="000000"/>
          <w:highlight w:val="none"/>
          <w:lang w:eastAsia="zh-CN"/>
        </w:rPr>
      </w:pPr>
      <w:r>
        <w:rPr>
          <w:rFonts w:hint="eastAsia"/>
          <w:b/>
          <w:bCs/>
          <w:color w:val="000000"/>
          <w:sz w:val="43"/>
          <w:szCs w:val="43"/>
          <w:highlight w:val="none"/>
          <w:u w:val="single"/>
          <w:lang w:eastAsia="zh-CN" w:bidi="ar"/>
        </w:rPr>
        <w:t xml:space="preserve">                         </w:t>
      </w:r>
      <w:r>
        <w:rPr>
          <w:rFonts w:hint="eastAsia"/>
          <w:b/>
          <w:bCs/>
          <w:color w:val="000000"/>
          <w:sz w:val="43"/>
          <w:szCs w:val="43"/>
          <w:highlight w:val="none"/>
          <w:lang w:eastAsia="zh-CN" w:bidi="ar"/>
        </w:rPr>
        <w:t xml:space="preserve">合同 </w:t>
      </w:r>
      <w:r>
        <w:rPr>
          <w:color w:val="000000"/>
          <w:highlight w:val="none"/>
          <w:lang w:eastAsia="zh-CN"/>
        </w:rPr>
      </w:r>
      <w:r/>
    </w:p>
    <w:p>
      <w:pPr>
        <w:pStyle w:val="1002"/>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02"/>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94"/>
        <w:spacing w:line="360" w:lineRule="auto"/>
        <w:rPr>
          <w:rFonts w:hAnsi="宋体" w:cs="宋体"/>
          <w:b/>
          <w:bCs/>
          <w:color w:val="000000"/>
          <w:sz w:val="43"/>
          <w:szCs w:val="43"/>
          <w:highlight w:val="none"/>
          <w:lang w:bidi="ar"/>
        </w:rPr>
      </w:pPr>
      <w:r>
        <w:rPr>
          <w:rFonts w:hAnsi="宋体" w:cs="宋体"/>
          <w:b/>
          <w:bCs/>
          <w:color w:val="000000"/>
          <w:sz w:val="43"/>
          <w:szCs w:val="43"/>
          <w:highlight w:val="none"/>
          <w:lang w:bidi="ar"/>
        </w:rPr>
      </w:r>
      <w:r/>
    </w:p>
    <w:p>
      <w:pPr>
        <w:pStyle w:val="1002"/>
        <w:spacing w:line="360" w:lineRule="auto"/>
        <w:rPr>
          <w:color w:val="000000"/>
          <w:highlight w:val="none"/>
          <w:lang w:eastAsia="zh-CN"/>
        </w:rPr>
      </w:pPr>
      <w:r>
        <w:rPr>
          <w:color w:val="000000"/>
          <w:highlight w:val="none"/>
          <w:lang w:eastAsia="zh-CN"/>
        </w:rPr>
      </w:r>
      <w:r/>
    </w:p>
    <w:p>
      <w:pPr>
        <w:pStyle w:val="1002"/>
        <w:ind w:firstLine="800"/>
        <w:spacing w:line="360" w:lineRule="auto"/>
        <w:widowControl/>
        <w:rPr>
          <w:color w:val="000000"/>
          <w:sz w:val="20"/>
          <w:highlight w:val="none"/>
          <w:lang w:eastAsia="zh-CN"/>
        </w:rPr>
      </w:pPr>
      <w:r>
        <w:rPr>
          <w:rFonts w:hint="eastAsia"/>
          <w:b/>
          <w:bCs/>
          <w:color w:val="000000"/>
          <w:sz w:val="40"/>
          <w:szCs w:val="40"/>
          <w:highlight w:val="none"/>
          <w:lang w:eastAsia="zh-CN" w:bidi="ar"/>
        </w:rPr>
        <w:t xml:space="preserve">合同编号： </w:t>
      </w:r>
      <w:r>
        <w:rPr>
          <w:color w:val="000000"/>
          <w:sz w:val="20"/>
          <w:highlight w:val="none"/>
          <w:lang w:eastAsia="zh-CN"/>
        </w:rPr>
      </w:r>
      <w:r/>
    </w:p>
    <w:p>
      <w:pPr>
        <w:pStyle w:val="1002"/>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02"/>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94"/>
        <w:spacing w:line="360" w:lineRule="auto"/>
        <w:rPr>
          <w:rFonts w:hAnsi="宋体" w:cs="宋体"/>
          <w:b/>
          <w:bCs/>
          <w:color w:val="000000"/>
          <w:sz w:val="43"/>
          <w:szCs w:val="43"/>
          <w:highlight w:val="none"/>
          <w:lang w:bidi="ar"/>
        </w:rPr>
      </w:pPr>
      <w:r>
        <w:rPr>
          <w:rFonts w:hAnsi="宋体" w:cs="宋体"/>
          <w:b/>
          <w:bCs/>
          <w:color w:val="000000"/>
          <w:sz w:val="43"/>
          <w:szCs w:val="43"/>
          <w:highlight w:val="none"/>
          <w:lang w:bidi="ar"/>
        </w:rPr>
      </w:r>
      <w:r/>
    </w:p>
    <w:p>
      <w:pPr>
        <w:pStyle w:val="1002"/>
        <w:ind w:firstLine="800"/>
        <w:spacing w:line="360" w:lineRule="auto"/>
        <w:widowControl/>
        <w:rPr>
          <w:color w:val="000000"/>
          <w:sz w:val="20"/>
          <w:highlight w:val="none"/>
          <w:lang w:eastAsia="zh-CN"/>
        </w:rPr>
      </w:pPr>
      <w:r>
        <w:rPr>
          <w:rFonts w:hint="eastAsia"/>
          <w:b/>
          <w:bCs/>
          <w:color w:val="000000"/>
          <w:sz w:val="40"/>
          <w:szCs w:val="40"/>
          <w:highlight w:val="none"/>
          <w:lang w:eastAsia="zh-CN" w:bidi="ar"/>
        </w:rPr>
        <w:t xml:space="preserve">采购人： </w:t>
      </w:r>
      <w:r>
        <w:rPr>
          <w:color w:val="000000"/>
          <w:sz w:val="20"/>
          <w:highlight w:val="none"/>
          <w:lang w:eastAsia="zh-CN"/>
        </w:rPr>
      </w:r>
      <w:r/>
    </w:p>
    <w:p>
      <w:pPr>
        <w:pStyle w:val="1002"/>
        <w:ind w:firstLine="800"/>
        <w:spacing w:line="360" w:lineRule="auto"/>
        <w:widowControl/>
        <w:rPr>
          <w:b/>
          <w:bCs/>
          <w:color w:val="000000"/>
          <w:sz w:val="31"/>
          <w:szCs w:val="31"/>
          <w:highlight w:val="none"/>
          <w:lang w:eastAsia="zh-CN" w:bidi="ar"/>
        </w:rPr>
      </w:pPr>
      <w:r>
        <w:rPr>
          <w:rFonts w:hint="eastAsia"/>
          <w:b/>
          <w:bCs/>
          <w:color w:val="000000"/>
          <w:sz w:val="40"/>
          <w:szCs w:val="40"/>
          <w:highlight w:val="none"/>
          <w:lang w:eastAsia="zh-CN" w:bidi="ar"/>
        </w:rPr>
        <w:t xml:space="preserve">成交供应商： </w:t>
      </w:r>
      <w:r>
        <w:rPr>
          <w:b/>
          <w:bCs/>
          <w:color w:val="000000"/>
          <w:sz w:val="31"/>
          <w:szCs w:val="31"/>
          <w:highlight w:val="none"/>
          <w:lang w:eastAsia="zh-CN" w:bidi="ar"/>
        </w:rPr>
      </w:r>
      <w:r/>
    </w:p>
    <w:p>
      <w:pPr>
        <w:pStyle w:val="1002"/>
        <w:jc w:val="center"/>
        <w:spacing w:line="360" w:lineRule="auto"/>
        <w:widowControl/>
        <w:rPr>
          <w:b/>
          <w:bCs/>
          <w:color w:val="000000"/>
          <w:sz w:val="56"/>
          <w:szCs w:val="56"/>
          <w:highlight w:val="none"/>
          <w:lang w:eastAsia="zh-CN" w:bidi="ar"/>
        </w:rPr>
      </w:pPr>
      <w:r>
        <w:rPr>
          <w:b/>
          <w:bCs/>
          <w:color w:val="000000"/>
          <w:sz w:val="56"/>
          <w:szCs w:val="56"/>
          <w:highlight w:val="none"/>
          <w:lang w:eastAsia="zh-CN" w:bidi="ar"/>
        </w:rPr>
      </w:r>
      <w:r/>
    </w:p>
    <w:p>
      <w:pPr>
        <w:pStyle w:val="1005"/>
        <w:jc w:val="center"/>
        <w:spacing w:line="360" w:lineRule="auto"/>
        <w:rPr>
          <w:rFonts w:hint="eastAsia" w:ascii="宋体" w:hAnsi="宋体" w:eastAsia="宋体" w:cs="宋体"/>
          <w:bCs w:val="0"/>
          <w:color w:val="000000"/>
          <w:highlight w:val="none"/>
        </w:rPr>
      </w:pPr>
      <w:r>
        <w:rPr>
          <w:b/>
          <w:bCs/>
          <w:color w:val="000000"/>
          <w:sz w:val="36"/>
          <w:szCs w:val="36"/>
          <w:highlight w:val="none"/>
          <w:lang w:eastAsia="zh-CN" w:bidi="ar"/>
        </w:rPr>
        <w:br w:type="page" w:clear="all"/>
      </w:r>
      <w:r>
        <w:rPr>
          <w:rFonts w:hint="eastAsia" w:ascii="宋体" w:hAnsi="宋体" w:eastAsia="宋体" w:cs="宋体"/>
          <w:bCs w:val="0"/>
          <w:color w:val="000000"/>
          <w:highlight w:val="none"/>
        </w:rPr>
        <w:t xml:space="preserve">第一节 通用合同条款</w:t>
      </w:r>
      <w:r>
        <w:rPr>
          <w:rFonts w:hint="eastAsia" w:ascii="宋体" w:hAnsi="宋体" w:eastAsia="宋体" w:cs="宋体"/>
          <w:bCs w:val="0"/>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“通用合同条款”采用《标准施工招标文件》（</w:t>
      </w:r>
      <w:r>
        <w:rPr>
          <w:rFonts w:hint="eastAsia" w:ascii="宋体" w:hAnsi="宋体" w:eastAsia="宋体" w:cs="宋体"/>
          <w:color w:val="000000"/>
          <w:sz w:val="24"/>
          <w:highlight w:val="none"/>
          <w:lang w:val="en-US" w:eastAsia="zh-CN"/>
        </w:rPr>
        <w:t xml:space="preserve">2007</w:t>
      </w:r>
      <w:r>
        <w:rPr>
          <w:rFonts w:hint="eastAsia" w:ascii="宋体" w:hAnsi="宋体" w:eastAsia="宋体" w:cs="宋体"/>
          <w:color w:val="000000"/>
          <w:sz w:val="24"/>
          <w:highlight w:val="none"/>
        </w:rPr>
        <w:t xml:space="preserve">年版）的“通用合同条款”。</w:t>
      </w:r>
      <w:bookmarkStart w:id="98" w:name="_Toc503307431"/>
      <w:r/>
      <w:bookmarkStart w:id="99" w:name="_Toc238559199"/>
      <w:r/>
      <w:bookmarkStart w:id="100" w:name="_Toc503901923"/>
      <w:r>
        <w:rPr>
          <w:rFonts w:hint="eastAsia" w:ascii="宋体" w:hAnsi="宋体" w:eastAsia="宋体" w:cs="宋体"/>
          <w:color w:val="000000"/>
          <w:sz w:val="24"/>
          <w:highlight w:val="none"/>
        </w:rPr>
      </w:r>
      <w:r/>
    </w:p>
    <w:p>
      <w:pPr>
        <w:pStyle w:val="1002"/>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1002"/>
        <w:jc w:val="center"/>
        <w:spacing w:line="360" w:lineRule="auto"/>
        <w:rPr>
          <w:rFonts w:hint="eastAsia" w:ascii="宋体" w:hAnsi="宋体" w:eastAsia="宋体" w:cs="宋体"/>
          <w:bCs w:val="0"/>
          <w:color w:val="000000"/>
          <w:highlight w:val="none"/>
        </w:rPr>
        <w:outlineLvl w:val="9"/>
      </w:pPr>
      <w:r>
        <w:rPr>
          <w:rFonts w:hint="eastAsia" w:ascii="宋体" w:hAnsi="宋体" w:eastAsia="宋体" w:cs="宋体"/>
          <w:bCs w:val="0"/>
          <w:color w:val="000000"/>
          <w:highlight w:val="none"/>
        </w:rPr>
      </w:r>
      <w:r/>
    </w:p>
    <w:p>
      <w:pPr>
        <w:pStyle w:val="1002"/>
        <w:jc w:val="center"/>
        <w:spacing w:line="360" w:lineRule="auto"/>
        <w:rPr>
          <w:rFonts w:hint="eastAsia" w:ascii="宋体" w:hAnsi="宋体" w:eastAsia="宋体" w:cs="宋体"/>
          <w:bCs w:val="0"/>
          <w:color w:val="000000"/>
          <w:highlight w:val="none"/>
        </w:rPr>
        <w:outlineLvl w:val="9"/>
      </w:pPr>
      <w:r>
        <w:rPr>
          <w:rFonts w:hint="eastAsia" w:ascii="宋体" w:hAnsi="宋体" w:eastAsia="宋体" w:cs="宋体"/>
          <w:bCs w:val="0"/>
          <w:color w:val="000000"/>
          <w:highlight w:val="none"/>
        </w:rPr>
      </w:r>
      <w:r/>
    </w:p>
    <w:p>
      <w:pPr>
        <w:pStyle w:val="1002"/>
        <w:jc w:val="center"/>
        <w:spacing w:line="360" w:lineRule="auto"/>
        <w:rPr>
          <w:rFonts w:hint="eastAsia" w:ascii="宋体" w:hAnsi="宋体" w:eastAsia="宋体" w:cs="宋体"/>
          <w:bCs w:val="0"/>
          <w:color w:val="000000"/>
          <w:highlight w:val="none"/>
        </w:rPr>
        <w:outlineLvl w:val="9"/>
      </w:pPr>
      <w:r>
        <w:rPr>
          <w:rFonts w:hint="eastAsia" w:ascii="宋体" w:hAnsi="宋体" w:eastAsia="宋体" w:cs="宋体"/>
          <w:bCs w:val="0"/>
          <w:color w:val="000000"/>
          <w:highlight w:val="none"/>
        </w:rPr>
      </w:r>
      <w:r/>
    </w:p>
    <w:p>
      <w:pPr>
        <w:pStyle w:val="1005"/>
        <w:jc w:val="center"/>
        <w:spacing w:line="360" w:lineRule="auto"/>
        <w:rPr>
          <w:rFonts w:hint="eastAsia" w:ascii="宋体" w:hAnsi="宋体" w:eastAsia="宋体" w:cs="宋体"/>
          <w:color w:val="000000"/>
          <w:highlight w:val="none"/>
        </w:rPr>
      </w:pPr>
      <w:r>
        <w:rPr>
          <w:rFonts w:hint="eastAsia" w:ascii="宋体" w:hAnsi="宋体" w:eastAsia="宋体" w:cs="宋体"/>
          <w:bCs w:val="0"/>
          <w:color w:val="000000"/>
          <w:highlight w:val="none"/>
        </w:rPr>
        <w:t xml:space="preserve">第二节 专用合同条款</w:t>
      </w:r>
      <w:bookmarkEnd w:id="98"/>
      <w:r/>
      <w:bookmarkEnd w:id="99"/>
      <w:r/>
      <w:bookmarkEnd w:id="100"/>
      <w:r/>
      <w:bookmarkStart w:id="101" w:name="_Toc238559200"/>
      <w:r/>
      <w:bookmarkEnd w:id="101"/>
      <w:r>
        <w:rPr>
          <w:rFonts w:hint="eastAsia" w:ascii="宋体" w:hAnsi="宋体" w:eastAsia="宋体" w:cs="宋体"/>
          <w:color w:val="000000"/>
          <w:highlight w:val="none"/>
        </w:rPr>
      </w:r>
      <w:r/>
    </w:p>
    <w:p>
      <w:pPr>
        <w:pStyle w:val="1002"/>
        <w:numPr>
          <w:ilvl w:val="0"/>
          <w:numId w:val="0"/>
        </w:numPr>
        <w:ind w:firstLine="560"/>
        <w:jc w:val="center"/>
        <w:spacing w:line="360" w:lineRule="auto"/>
        <w:rPr>
          <w:rFonts w:hint="eastAsia" w:ascii="宋体" w:hAnsi="宋体" w:eastAsia="宋体" w:cs="宋体"/>
          <w:bCs w:val="0"/>
          <w:color w:val="000000"/>
          <w:sz w:val="28"/>
          <w:szCs w:val="28"/>
          <w:highlight w:val="none"/>
        </w:rPr>
        <w:outlineLvl w:val="9"/>
      </w:pPr>
      <w:r/>
      <w:bookmarkStart w:id="102" w:name="_Toc238559201"/>
      <w:r>
        <w:rPr>
          <w:rFonts w:hint="eastAsia" w:ascii="宋体" w:hAnsi="宋体" w:eastAsia="宋体" w:cs="宋体"/>
          <w:bCs w:val="0"/>
          <w:color w:val="000000"/>
          <w:sz w:val="28"/>
          <w:szCs w:val="28"/>
          <w:highlight w:val="none"/>
          <w:lang w:val="en-US" w:eastAsia="zh-CN" w:bidi="ar-SA"/>
        </w:rPr>
        <w:t xml:space="preserve">A.</w:t>
      </w:r>
      <w:r>
        <w:rPr>
          <w:rFonts w:hint="eastAsia" w:ascii="宋体" w:hAnsi="宋体" w:eastAsia="宋体" w:cs="宋体"/>
          <w:bCs w:val="0"/>
          <w:color w:val="000000"/>
          <w:sz w:val="28"/>
          <w:szCs w:val="28"/>
          <w:highlight w:val="none"/>
        </w:rPr>
        <w:t xml:space="preserve">专用合同条款</w:t>
      </w:r>
      <w:bookmarkEnd w:id="102"/>
      <w:r>
        <w:rPr>
          <w:rFonts w:hint="eastAsia" w:ascii="宋体" w:hAnsi="宋体" w:eastAsia="宋体" w:cs="宋体"/>
          <w:bCs w:val="0"/>
          <w:color w:val="000000"/>
          <w:sz w:val="28"/>
          <w:szCs w:val="28"/>
          <w:highlight w:val="none"/>
        </w:rPr>
      </w:r>
      <w:r/>
    </w:p>
    <w:p>
      <w:pPr>
        <w:pStyle w:val="1002"/>
        <w:spacing w:line="360" w:lineRule="auto"/>
        <w:rPr>
          <w:rFonts w:hint="eastAsia" w:ascii="宋体" w:hAnsi="宋体" w:eastAsia="宋体" w:cs="宋体"/>
          <w:bCs/>
          <w:color w:val="000000"/>
          <w:sz w:val="32"/>
          <w:szCs w:val="32"/>
          <w:highlight w:val="none"/>
        </w:rPr>
      </w:pPr>
      <w:r>
        <w:rPr>
          <w:rFonts w:hint="eastAsia" w:ascii="宋体" w:hAnsi="宋体" w:eastAsia="宋体" w:cs="宋体"/>
          <w:color w:val="000000"/>
          <w:sz w:val="24"/>
          <w:highlight w:val="none"/>
        </w:rPr>
        <w:t xml:space="preserve">“A．公路工程专用合同条款”的内容详见《公路工程标准施工招标文件》（2018年版）。</w:t>
      </w:r>
      <w:r>
        <w:rPr>
          <w:rFonts w:hint="eastAsia" w:ascii="宋体" w:hAnsi="宋体" w:eastAsia="宋体" w:cs="宋体"/>
          <w:bCs/>
          <w:color w:val="000000"/>
          <w:sz w:val="32"/>
          <w:szCs w:val="32"/>
          <w:highlight w:val="none"/>
        </w:rPr>
      </w:r>
      <w:r/>
    </w:p>
    <w:p>
      <w:pPr>
        <w:pStyle w:val="1002"/>
        <w:numPr>
          <w:ilvl w:val="0"/>
          <w:numId w:val="0"/>
        </w:numPr>
        <w:spacing w:line="360" w:lineRule="auto"/>
        <w:rPr>
          <w:rFonts w:hint="eastAsia"/>
          <w:color w:val="000000"/>
          <w:highlight w:val="none"/>
          <w:lang w:eastAsia="zh-CN"/>
        </w:rPr>
      </w:pPr>
      <w:r>
        <w:rPr>
          <w:rFonts w:hint="eastAsia"/>
          <w:color w:val="000000"/>
          <w:highlight w:val="none"/>
          <w:lang w:eastAsia="zh-CN"/>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center"/>
        <w:pageBreakBefore w:val="0"/>
        <w:spacing w:after="0" w:line="360" w:lineRule="auto"/>
        <w:widowControl w:val="off"/>
        <w:rPr>
          <w:rFonts w:hint="eastAsia" w:ascii="宋体" w:hAnsi="宋体" w:eastAsia="宋体" w:cs="宋体"/>
          <w:bCs w:val="0"/>
          <w:color w:val="000000"/>
          <w:sz w:val="32"/>
          <w:szCs w:val="32"/>
          <w:highlight w:val="none"/>
        </w:rPr>
        <w:outlineLvl w:val="9"/>
      </w:pPr>
      <w:r/>
      <w:bookmarkStart w:id="103" w:name="_Toc238559202"/>
      <w:r>
        <w:rPr>
          <w:rFonts w:hint="eastAsia" w:ascii="宋体" w:hAnsi="宋体" w:eastAsia="宋体" w:cs="宋体"/>
          <w:bCs w:val="0"/>
          <w:color w:val="000000"/>
          <w:sz w:val="32"/>
          <w:szCs w:val="32"/>
          <w:highlight w:val="none"/>
        </w:rPr>
        <w:br w:type="page" w:clear="all"/>
      </w:r>
      <w:r>
        <w:rPr>
          <w:rFonts w:hint="eastAsia" w:ascii="宋体" w:hAnsi="宋体" w:eastAsia="宋体" w:cs="宋体"/>
          <w:bCs w:val="0"/>
          <w:color w:val="000000"/>
          <w:sz w:val="32"/>
          <w:szCs w:val="32"/>
          <w:highlight w:val="none"/>
        </w:rPr>
        <w:t xml:space="preserve">B．</w:t>
      </w:r>
      <w:bookmarkEnd w:id="103"/>
      <w:r/>
      <w:bookmarkStart w:id="104" w:name="_Toc238559203"/>
      <w:r/>
      <w:bookmarkStart w:id="105" w:name="_Toc234744454"/>
      <w:r/>
      <w:bookmarkStart w:id="106" w:name="_Toc234675086"/>
      <w:r>
        <w:rPr>
          <w:rFonts w:hint="eastAsia" w:ascii="宋体" w:hAnsi="宋体" w:eastAsia="宋体" w:cs="宋体"/>
          <w:bCs w:val="0"/>
          <w:color w:val="000000"/>
          <w:sz w:val="32"/>
          <w:szCs w:val="32"/>
          <w:highlight w:val="none"/>
        </w:rPr>
        <w:t xml:space="preserve">项目专用合同条款</w:t>
      </w:r>
      <w:bookmarkEnd w:id="104"/>
      <w:r/>
      <w:bookmarkEnd w:id="105"/>
      <w:r/>
      <w:bookmarkEnd w:id="106"/>
      <w:r>
        <w:rPr>
          <w:rFonts w:hint="eastAsia" w:ascii="宋体" w:hAnsi="宋体" w:eastAsia="宋体" w:cs="宋体"/>
          <w:bCs w:val="0"/>
          <w:color w:val="000000"/>
          <w:sz w:val="32"/>
          <w:szCs w:val="32"/>
          <w:highlight w:val="none"/>
        </w:rPr>
      </w:r>
      <w:r/>
    </w:p>
    <w:p>
      <w:pPr>
        <w:pStyle w:val="1217"/>
        <w:ind w:firstLine="0"/>
        <w:jc w:val="center"/>
        <w:pageBreakBefore w:val="0"/>
        <w:spacing w:before="120" w:after="120" w:line="360" w:lineRule="auto"/>
        <w:widowControl w:val="off"/>
        <w:rPr>
          <w:rFonts w:hint="eastAsia" w:ascii="宋体" w:hAnsi="宋体" w:eastAsia="宋体" w:cs="宋体"/>
          <w:b/>
          <w:color w:val="000000"/>
          <w:sz w:val="24"/>
          <w:szCs w:val="24"/>
          <w:highlight w:val="none"/>
        </w:rPr>
        <w:outlineLvl w:val="9"/>
      </w:pPr>
      <w:r/>
      <w:bookmarkStart w:id="107" w:name="_Toc238559204"/>
      <w:r/>
      <w:bookmarkStart w:id="108" w:name="_Toc234675087"/>
      <w:r/>
      <w:bookmarkStart w:id="109" w:name="_Toc503901924"/>
      <w:r/>
      <w:bookmarkStart w:id="110" w:name="_Toc234744455"/>
      <w:r/>
      <w:bookmarkStart w:id="111" w:name="_Toc432244511"/>
      <w:r/>
      <w:bookmarkStart w:id="112" w:name="_Toc503307432"/>
      <w:r>
        <w:rPr>
          <w:rFonts w:hint="eastAsia" w:ascii="宋体" w:hAnsi="宋体" w:eastAsia="宋体" w:cs="宋体"/>
          <w:b/>
          <w:color w:val="000000"/>
          <w:sz w:val="24"/>
          <w:szCs w:val="24"/>
          <w:highlight w:val="none"/>
        </w:rPr>
        <w:t xml:space="preserve">项目专用合同条款数据表</w:t>
      </w:r>
      <w:bookmarkEnd w:id="107"/>
      <w:r/>
      <w:bookmarkEnd w:id="108"/>
      <w:r/>
      <w:bookmarkEnd w:id="109"/>
      <w:r/>
      <w:bookmarkEnd w:id="110"/>
      <w:r/>
      <w:bookmarkEnd w:id="111"/>
      <w:r/>
      <w:bookmarkEnd w:id="112"/>
      <w:r>
        <w:rPr>
          <w:rFonts w:hint="eastAsia" w:ascii="宋体" w:hAnsi="宋体" w:eastAsia="宋体" w:cs="宋体"/>
          <w:b/>
          <w:color w:val="000000"/>
          <w:sz w:val="24"/>
          <w:szCs w:val="24"/>
          <w:highlight w:val="none"/>
        </w:rPr>
      </w:r>
      <w:r/>
    </w:p>
    <w:tbl>
      <w:tblPr>
        <w:tblW w:w="9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093"/>
        <w:gridCol w:w="7810"/>
      </w:tblGrid>
      <w:tr>
        <w:trPr>
          <w:trHeight w:val="20"/>
        </w:trPr>
        <w:tc>
          <w:tcPr>
            <w:tcW w:w="569" w:type="dxa"/>
            <w:vAlign w:val="center"/>
            <w:textDirection w:val="lrTb"/>
            <w:noWrap w:val="false"/>
          </w:tcPr>
          <w:p>
            <w:pPr>
              <w:pStyle w:val="1002"/>
              <w:ind w:left="-117" w:right="-106"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right="-106"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条目号</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编列内容</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发 包 人：东海县曲阳镇人民政府</w:t>
            </w:r>
            <w:r>
              <w:rPr>
                <w:rFonts w:hint="eastAsia" w:ascii="宋体" w:hAnsi="宋体" w:eastAsia="宋体" w:cs="宋体"/>
                <w:color w:val="000000"/>
                <w:sz w:val="24"/>
                <w:szCs w:val="24"/>
                <w:highlight w:val="none"/>
                <w:lang w:val="en-US" w:eastAsia="zh-CN"/>
              </w:rPr>
            </w:r>
            <w:r/>
          </w:p>
          <w:p>
            <w:pPr>
              <w:pStyle w:val="1002"/>
              <w:ind w:firstLine="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址：江苏省连云港市东海县曲阳镇驻地</w:t>
            </w:r>
            <w:r>
              <w:rPr>
                <w:rFonts w:ascii="宋体" w:hAnsi="宋体" w:eastAsia="宋体" w:cs="宋体"/>
                <w:color w:val="000000"/>
                <w:sz w:val="24"/>
                <w:szCs w:val="24"/>
                <w:highlight w:val="none"/>
                <w:lang w:val="en-US" w:eastAsia="zh-CN"/>
              </w:rPr>
            </w:r>
            <w:r/>
          </w:p>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邮政编码：222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1.1.2.6</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 理 人：将在合同协议书中明确</w:t>
            </w:r>
            <w:r>
              <w:rPr>
                <w:rFonts w:hint="eastAsia" w:ascii="宋体" w:hAnsi="宋体" w:eastAsia="宋体" w:cs="宋体"/>
                <w:color w:val="000000"/>
                <w:sz w:val="24"/>
                <w:szCs w:val="24"/>
                <w:highlight w:val="none"/>
              </w:rPr>
            </w:r>
            <w:r/>
          </w:p>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址：将在合同协议书中明确</w:t>
            </w:r>
            <w:r>
              <w:rPr>
                <w:rFonts w:hint="eastAsia" w:ascii="宋体" w:hAnsi="宋体" w:eastAsia="宋体" w:cs="宋体"/>
                <w:color w:val="000000"/>
                <w:sz w:val="24"/>
                <w:szCs w:val="24"/>
                <w:highlight w:val="none"/>
              </w:rPr>
            </w:r>
            <w:r/>
          </w:p>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邮政编码：将在合同协议书中明确</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1.1.4.5</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缺陷责任期：自实际交工日期起计算24个月。</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1.6.3</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图纸需要修改和补充的，应由监理人取得发包人同意后，在该工程或工程相应部位施工前</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天签发图纸修改图给承包人</w:t>
            </w:r>
            <w:r>
              <w:rPr>
                <w:rFonts w:hint="eastAsia" w:ascii="宋体" w:hAnsi="宋体" w:eastAsia="宋体" w:cs="宋体"/>
                <w:color w:val="000000"/>
                <w:sz w:val="24"/>
                <w:szCs w:val="24"/>
                <w:highlight w:val="none"/>
              </w:rPr>
            </w:r>
            <w:r/>
          </w:p>
        </w:tc>
      </w:tr>
      <w:tr>
        <w:trPr>
          <w:trHeight w:val="1055"/>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监理人在行使下列权力前需要经发包人事先批准：</w:t>
            </w:r>
            <w:r>
              <w:rPr>
                <w:rFonts w:hint="eastAsia" w:ascii="宋体" w:hAnsi="宋体" w:eastAsia="宋体" w:cs="宋体"/>
                <w:color w:val="000000"/>
                <w:sz w:val="24"/>
                <w:szCs w:val="24"/>
                <w:highlight w:val="none"/>
              </w:rPr>
            </w:r>
            <w:r/>
          </w:p>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（6）根据第15.3款发出的变更指示，所有单项工程变更不论金额大小均需经发包人签署同意意见后，由承包人实施。</w:t>
            </w:r>
            <w:r>
              <w:rPr>
                <w:rFonts w:hint="eastAsia" w:ascii="宋体" w:hAnsi="宋体" w:eastAsia="宋体" w:cs="宋体"/>
                <w:color w:val="000000"/>
                <w:sz w:val="24"/>
                <w:szCs w:val="24"/>
                <w:highlight w:val="none"/>
              </w:rPr>
            </w:r>
            <w:r/>
          </w:p>
        </w:tc>
      </w:tr>
      <w:tr>
        <w:trPr>
          <w:trHeight w:val="541"/>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b/>
                <w:bCs/>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发包人是否提供材料和工程设备：</w:t>
            </w:r>
            <w:r>
              <w:rPr>
                <w:rFonts w:hint="eastAsia" w:ascii="宋体" w:hAnsi="宋体" w:eastAsia="宋体" w:cs="宋体"/>
                <w:color w:val="000000"/>
                <w:sz w:val="24"/>
                <w:szCs w:val="24"/>
                <w:highlight w:val="none"/>
                <w:u w:val="single"/>
              </w:rPr>
              <w:t xml:space="preserve">否 </w:t>
            </w:r>
            <w:r>
              <w:rPr>
                <w:rFonts w:hint="eastAsia" w:ascii="宋体" w:hAnsi="宋体" w:eastAsia="宋体" w:cs="宋体"/>
                <w:b/>
                <w:bCs/>
                <w:color w:val="000000"/>
                <w:sz w:val="24"/>
                <w:szCs w:val="24"/>
                <w:highlight w:val="none"/>
                <w:u w:val="singl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发包人是否提供施工设备和临时设备：</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8.1.1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发包人提供测量基准点、基准线和水准点及其书面资料的期限：</w:t>
            </w:r>
            <w:r>
              <w:rPr>
                <w:rFonts w:hint="eastAsia" w:ascii="宋体" w:hAnsi="宋体" w:eastAsia="宋体" w:cs="宋体"/>
                <w:color w:val="000000"/>
                <w:sz w:val="24"/>
                <w:szCs w:val="24"/>
                <w:highlight w:val="none"/>
                <w:u w:val="single"/>
              </w:rPr>
              <w:t xml:space="preserve">发出开工通知后7天内；</w:t>
            </w:r>
            <w:r>
              <w:rPr>
                <w:rFonts w:hint="eastAsia" w:ascii="宋体" w:hAnsi="宋体" w:eastAsia="宋体" w:cs="宋体"/>
                <w:color w:val="000000"/>
                <w:sz w:val="24"/>
                <w:szCs w:val="24"/>
                <w:highlight w:val="none"/>
                <w:u w:val="single"/>
              </w:rPr>
            </w:r>
            <w:r/>
          </w:p>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承包人将施工控制网资料报送监理人审批的期限：</w:t>
            </w:r>
            <w:r>
              <w:rPr>
                <w:rFonts w:hint="eastAsia" w:ascii="宋体" w:hAnsi="宋体" w:eastAsia="宋体" w:cs="宋体"/>
                <w:color w:val="000000"/>
                <w:sz w:val="24"/>
                <w:szCs w:val="24"/>
                <w:highlight w:val="none"/>
                <w:u w:val="single"/>
              </w:rPr>
              <w:t xml:space="preserve">在收到发包人提供的上述资料后28天内。</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逾期交工违约金：</w:t>
            </w:r>
            <w:r>
              <w:rPr>
                <w:rFonts w:hint="eastAsia" w:ascii="宋体" w:hAnsi="宋体" w:eastAsia="宋体" w:cs="宋体"/>
                <w:color w:val="000000"/>
                <w:sz w:val="24"/>
                <w:szCs w:val="24"/>
                <w:highlight w:val="none"/>
                <w:u w:val="single"/>
              </w:rPr>
              <w:t xml:space="preserve">10000元</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逾期交工违约金限额：</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提前交工的奖金：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元/天</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提前交工的奖金限额：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15.5.2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承包人提出的合理化建议降低了合同价格或者提高了工程经济效益的，发包人按所节约成本的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%或增加收益的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%给予奖励</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本项目不调差</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810" w:type="dxa"/>
            <w:vAlign w:val="top"/>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开工预付款金额：/</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810" w:type="dxa"/>
            <w:vAlign w:val="top"/>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材料、设备预付款比例：/</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承包人在每个付款周期末向监理人提交进度付款申请单的份数：</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17.3.3（1）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进度付款证书最低限额：</w:t>
            </w:r>
            <w:r>
              <w:rPr>
                <w:rFonts w:hint="eastAsia" w:ascii="宋体" w:hAnsi="宋体" w:eastAsia="宋体" w:cs="宋体"/>
                <w:color w:val="000000"/>
                <w:sz w:val="24"/>
                <w:szCs w:val="24"/>
                <w:highlight w:val="none"/>
                <w:u w:val="single"/>
              </w:rPr>
              <w:t xml:space="preserve">不适用</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17.3.3（2）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逾期付款违约金的利率：无息</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17.4.1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质量保证金百分比：</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%工程结算价款。</w:t>
            </w:r>
            <w:r>
              <w:rPr>
                <w:rFonts w:hint="eastAsia" w:ascii="宋体" w:hAnsi="宋体" w:eastAsia="宋体" w:cs="宋体"/>
                <w:color w:val="000000"/>
                <w:sz w:val="24"/>
                <w:szCs w:val="24"/>
                <w:highlight w:val="none"/>
              </w:rPr>
            </w:r>
            <w:r/>
          </w:p>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质量保证金是否计付利息：否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17.5.1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承包人向监理人提交交工付款申请单（包括相关证明材料）的份数：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17.6.1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承包人向监理人提交最终结清申请单（包括相关证明材料）的份数：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竣工资料的份数：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18.5.1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单位工程或工程设备是否需要投入施工期运行：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18.6.1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本工程及工程设备是否进行试运行：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19.7</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保修期：自实际交工日期起计算5年</w:t>
            </w:r>
            <w:r>
              <w:rPr>
                <w:rFonts w:hint="eastAsia" w:ascii="宋体" w:hAnsi="宋体" w:eastAsia="宋体" w:cs="宋体"/>
                <w:color w:val="000000"/>
                <w:sz w:val="24"/>
                <w:szCs w:val="24"/>
                <w:highlight w:val="none"/>
              </w:rPr>
            </w:r>
            <w:r/>
          </w:p>
        </w:tc>
      </w:tr>
      <w:tr>
        <w:trPr>
          <w:trHeight w:val="23"/>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23"/>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20.4.2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332"/>
        </w:trPr>
        <w:tc>
          <w:tcPr>
            <w:tcW w:w="569"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02"/>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02"/>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争议的最终解决方式：</w:t>
            </w:r>
            <w:r>
              <w:rPr>
                <w:rFonts w:hint="eastAsia" w:ascii="宋体" w:hAnsi="宋体" w:eastAsia="宋体" w:cs="宋体"/>
                <w:color w:val="000000"/>
                <w:sz w:val="24"/>
                <w:szCs w:val="24"/>
                <w:highlight w:val="none"/>
                <w:u w:val="single"/>
              </w:rPr>
              <w:t xml:space="preserve">向发包人所在地人民法院提起诉讼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02"/>
        <w:ind w:firstLine="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firstLine="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pageBreakBefore w:val="0"/>
        <w:spacing w:line="360" w:lineRule="auto"/>
        <w:widowControl w:val="off"/>
        <w:rPr>
          <w:rFonts w:hint="eastAsia" w:ascii="宋体" w:hAnsi="宋体" w:eastAsia="宋体" w:cs="宋体"/>
          <w:color w:val="000000"/>
          <w:highlight w:val="none"/>
        </w:rPr>
        <w:sectPr>
          <w:footnotePr/>
          <w:endnotePr/>
          <w:type w:val="nextPage"/>
          <w:pgSz w:w="11906" w:h="16838" w:orient="portrait"/>
          <w:pgMar w:top="1361" w:right="1304" w:bottom="1361" w:left="1474" w:header="851" w:footer="992" w:gutter="0"/>
          <w:cols w:num="1" w:sep="0" w:space="1701" w:equalWidth="1"/>
          <w:docGrid w:linePitch="360"/>
        </w:sectPr>
        <w:outlineLvl w:val="9"/>
      </w:pPr>
      <w:r>
        <w:rPr>
          <w:rFonts w:hint="eastAsia" w:ascii="宋体" w:hAnsi="宋体" w:eastAsia="宋体" w:cs="宋体"/>
          <w:color w:val="000000"/>
          <w:highlight w:val="none"/>
        </w:rPr>
      </w:r>
      <w:r/>
    </w:p>
    <w:p>
      <w:pPr>
        <w:pStyle w:val="1217"/>
        <w:ind w:left="0" w:firstLine="0"/>
        <w:jc w:val="center"/>
        <w:pageBreakBefore w:val="0"/>
        <w:spacing w:before="120" w:after="120" w:line="360" w:lineRule="auto"/>
        <w:widowControl w:val="off"/>
        <w:rPr>
          <w:rFonts w:hint="eastAsia" w:ascii="宋体" w:hAnsi="宋体" w:eastAsia="宋体" w:cs="宋体"/>
          <w:b/>
          <w:color w:val="000000"/>
          <w:sz w:val="32"/>
          <w:szCs w:val="32"/>
          <w:highlight w:val="none"/>
        </w:rPr>
        <w:outlineLvl w:val="2"/>
      </w:pPr>
      <w:r/>
      <w:bookmarkStart w:id="113" w:name="_Toc238559205"/>
      <w:r/>
      <w:bookmarkStart w:id="114" w:name="_Toc155855602"/>
      <w:r/>
      <w:bookmarkStart w:id="115" w:name="_Toc503901925"/>
      <w:r/>
      <w:bookmarkStart w:id="116" w:name="_Toc162056628"/>
      <w:r/>
      <w:bookmarkStart w:id="117" w:name="_Toc238559206"/>
      <w:r/>
      <w:bookmarkStart w:id="118" w:name="_Toc155592579"/>
      <w:r/>
      <w:bookmarkStart w:id="119" w:name="_Toc503307433"/>
      <w:r/>
      <w:bookmarkStart w:id="120" w:name="_Toc234744456"/>
      <w:r/>
      <w:bookmarkStart w:id="121" w:name="_Toc170618594"/>
      <w:r/>
      <w:bookmarkStart w:id="122" w:name="_Toc234675088"/>
      <w:r/>
      <w:bookmarkStart w:id="123" w:name="_Toc432244512"/>
      <w:r/>
      <w:bookmarkStart w:id="124" w:name="_Toc209948442"/>
      <w:r>
        <w:rPr>
          <w:rFonts w:hint="eastAsia" w:ascii="宋体" w:hAnsi="宋体" w:eastAsia="宋体" w:cs="宋体"/>
          <w:b/>
          <w:color w:val="000000"/>
          <w:sz w:val="32"/>
          <w:szCs w:val="32"/>
          <w:highlight w:val="none"/>
        </w:rPr>
        <w:t xml:space="preserve">项目专用合同条款</w:t>
      </w:r>
      <w:bookmarkEnd w:id="113"/>
      <w:r/>
      <w:bookmarkEnd w:id="114"/>
      <w:r/>
      <w:bookmarkEnd w:id="115"/>
      <w:r/>
      <w:bookmarkEnd w:id="116"/>
      <w:r/>
      <w:bookmarkEnd w:id="118"/>
      <w:r/>
      <w:bookmarkEnd w:id="119"/>
      <w:r/>
      <w:bookmarkEnd w:id="120"/>
      <w:r/>
      <w:bookmarkEnd w:id="121"/>
      <w:r/>
      <w:bookmarkEnd w:id="122"/>
      <w:r/>
      <w:bookmarkEnd w:id="123"/>
      <w:r/>
      <w:bookmarkEnd w:id="124"/>
      <w:r>
        <w:rPr>
          <w:rFonts w:hint="eastAsia" w:ascii="宋体" w:hAnsi="宋体" w:eastAsia="宋体" w:cs="宋体"/>
          <w:b/>
          <w:color w:val="000000"/>
          <w:sz w:val="32"/>
          <w:szCs w:val="32"/>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1.一般约定</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1.1.2.2 发包人：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本项目发包人为</w:t>
      </w:r>
      <w:r>
        <w:rPr>
          <w:rFonts w:hint="eastAsia" w:ascii="宋体" w:hAnsi="宋体" w:eastAsia="宋体" w:cs="宋体"/>
          <w:color w:val="000000"/>
          <w:sz w:val="24"/>
          <w:szCs w:val="24"/>
          <w:highlight w:val="none"/>
          <w:lang w:eastAsia="zh-CN"/>
        </w:rPr>
        <w:t xml:space="preserve">东海县李埝乡人民政府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1.1.2.6 监理人：在合同协议书中予以明确。</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1.1.3工程和设备</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第1.1.3.10目细化为：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第1.1.3.11目细化为：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临时占地：临时占地</w:t>
      </w:r>
      <w:r>
        <w:rPr>
          <w:rFonts w:hint="eastAsia" w:ascii="宋体" w:hAnsi="宋体" w:eastAsia="宋体" w:cs="宋体"/>
          <w:color w:val="000000"/>
          <w:sz w:val="24"/>
          <w:szCs w:val="24"/>
          <w:highlight w:val="none"/>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rPr>
          <w:rFonts w:hint="eastAsia" w:ascii="宋体" w:hAnsi="宋体" w:eastAsia="宋体" w:cs="宋体"/>
          <w:color w:val="000000"/>
          <w:sz w:val="24"/>
          <w:szCs w:val="24"/>
          <w:highlight w:val="none"/>
        </w:rPr>
      </w:r>
      <w:r/>
    </w:p>
    <w:p>
      <w:pPr>
        <w:pStyle w:val="133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合同文件的优先顺序</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组成合同的各项文件应互相解释，互为说明。除项目专用合同条款另有约定外，解释合同文件的优先顺序如下：</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（1）合同实施期间，发包人和承包人签订的其他协议（如果有）</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（2）合同协议书及各种合同附件（含廉政合同、安全生产合同、合同补充协议和合同谈判过程中的澄清文件和补充资料）；</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（4）补遗书；</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（5）投标函及投标函附录；</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（6）项目专用合同条款；</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（7）招标文件项目专用本；</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（8）公路工程专用合同条款；</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（9）通用合同条款；</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（10）工程量清单计量规则；</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（11）技术规范；</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（12）图纸；</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（13）已标价工程量清单；</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（14）承包人有关人员、设备投入的承诺及投标文件中的施工组织设计；</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（15）国家最新颁布的各种技术规范，检验评定标准及相关的规章制度；</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（16）构成本合同组成部分的其他文件。</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合同协议书</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通用条款本款后增加一段：“承包人在签订并履行合同协议时，同时应签订并履行《廉政合同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安全生产合同》（格式见中华人民共和国交通运输部《公路工程标准施工招标文件》2018年版）。</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删除1.6.3款内容。</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1.6.4款内容修改为: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承包人的一般义务</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4.1.2 依法纳税</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本项补充：</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中国政府(江苏省)根据现行税法和有关部门现行规定就本合同项下向承包人征收的所有税金及其他应交纳的所有费用均由承包人摊入各工程子目的单价中。施工期间，税费等按照国家、省、市有关规定据实调整。</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4.1.4 对施工作业和施工方法的完备性负责</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w:t>
      </w:r>
      <w:r>
        <w:rPr>
          <w:rFonts w:hint="eastAsia" w:ascii="宋体" w:hAnsi="宋体" w:eastAsia="宋体" w:cs="宋体"/>
          <w:color w:val="000000"/>
          <w:sz w:val="24"/>
          <w:szCs w:val="24"/>
          <w:highlight w:val="none"/>
        </w:rPr>
        <w:t xml:space="preserve">如因承包人采取的措施不力，造成河道阻塞或者影响铁路、公路、航道正常安全运营而</w:t>
      </w:r>
      <w:r>
        <w:rPr>
          <w:rFonts w:hint="eastAsia" w:ascii="宋体" w:hAnsi="宋体" w:eastAsia="宋体" w:cs="宋体"/>
          <w:color w:val="000000"/>
          <w:sz w:val="24"/>
          <w:szCs w:val="24"/>
          <w:highlight w:val="none"/>
          <w:lang w:eastAsia="zh-CN"/>
        </w:rPr>
        <w:t xml:space="preserve">给其他</w:t>
      </w:r>
      <w:r>
        <w:rPr>
          <w:rFonts w:hint="eastAsia" w:ascii="宋体" w:hAnsi="宋体" w:eastAsia="宋体" w:cs="宋体"/>
          <w:color w:val="000000"/>
          <w:sz w:val="24"/>
          <w:szCs w:val="24"/>
          <w:highlight w:val="none"/>
        </w:rPr>
        <w:t xml:space="preserve">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4.1.8 为他人提供方便</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（1）承包人应</w:t>
      </w:r>
      <w:r>
        <w:rPr>
          <w:rFonts w:hint="eastAsia" w:ascii="宋体" w:hAnsi="宋体" w:eastAsia="宋体" w:cs="宋体"/>
          <w:b/>
          <w:bCs/>
          <w:color w:val="000000"/>
          <w:sz w:val="24"/>
          <w:szCs w:val="24"/>
          <w:highlight w:val="none"/>
        </w:rPr>
        <w:t xml:space="preserve">无偿提供</w:t>
      </w:r>
      <w:r>
        <w:rPr>
          <w:rFonts w:hint="eastAsia" w:ascii="宋体" w:hAnsi="宋体" w:eastAsia="宋体" w:cs="宋体"/>
          <w:color w:val="000000"/>
          <w:sz w:val="24"/>
          <w:szCs w:val="24"/>
          <w:highlight w:val="none"/>
        </w:rPr>
        <w:t xml:space="preserve">由其建设和维护的临时道路等给发包人、监理人员或发包人许可的其他承包人使用，为其他承包人提供现场通道、施工场地和空间，并提供稳定的电源、水源接口等必要的施工条件和服务。</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（2）监理人有权协调工程的实施并对工程的衔接提出指示，承包人应在监理人的统一协调下工作。承包人由此增加的费用应认为已含入工程量清单各细目的单价或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价中，发包人不单独计列。</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000000"/>
          <w:sz w:val="24"/>
          <w:szCs w:val="24"/>
          <w:highlight w:val="none"/>
        </w:rPr>
        <w:t xml:space="preserve">并承担相应的费用。</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（4）承包人应妥善处理好与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标段承包人的关系，发生交叉施工时，应相互配合，友好协作（特别是道路运输过程中便道、便桥的相互使用），并无条件服从发包人统一协调。</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4.1.10 其他义务</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4.1.10（6）款约定为：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（6）承包人应履行的其他义务：</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承包人应按照发包人和监理人的要求，及时上报满足工期要求的年度、月、周进度计划至监理人、发包人审批。承包人应严格执行发包人或监理人提出的阶段性工期要求，根据要求合理编制施工方案和工期计划。</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3）承包人应接受省、市、县（区）交通运输行业主管部门及其执法监督机构等单位对其工程施工质量的监督与检查，凡工程质量不合格的工程不验收、不支付，并应自费拆除重建。</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4）承包人必须建立针对本合同工程的施工质量保证体系，做到“横向到边、纵向到底、控制有效”，加强施工过程中的自检，互检和交接检工作。</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6）承包人应对本标段的分包、雇用劳务、运输、供料等委托单位的经济往来全权负责。在工程结束后撤出现场前均应结算清楚。否则，承包人与委托单位之间发生的经济纠纷，应由承包人承担一切经济和法律责任。</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本项目承包人应在发包人或监理人的指示下，为本项目其他工程提供必要的便利条件。承包人因此发生的一切费用均应含入所报的单价或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9）承包人应按发包人要求及时将废弃材料等施工垃圾清理外运（抛弃点自行考虑并承担相关费用）、处理，承包人垃圾处理必须满足环保、自然资源等相关部门的规定。上述费用均含在相关的单价或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w:t>
      </w:r>
      <w:r>
        <w:rPr>
          <w:rFonts w:hint="eastAsia" w:ascii="宋体" w:hAnsi="宋体" w:eastAsia="宋体" w:cs="宋体"/>
          <w:b/>
          <w:color w:val="000000"/>
          <w:sz w:val="24"/>
          <w:szCs w:val="24"/>
          <w:highlight w:val="none"/>
          <w:lang w:val="zh-CN"/>
        </w:rPr>
        <w:t xml:space="preserve">承包人需充分考虑现场情况，施工现场通讯条件、过路过桥费用、施工所需供电、供水由承包人自行调查解决并承担所有费用，所需费用含入工程量清单中各工程细目的单价及总价中，发包人不另计列。承包人如需利用或借用已有的道路、桥梁等公共设施，需采取切实可行的措施保障原有设施的安全，不得造成对借用或利用的已有道路、桥梁等公</w:t>
      </w:r>
      <w:r>
        <w:rPr>
          <w:rFonts w:hint="eastAsia" w:ascii="宋体" w:hAnsi="宋体" w:eastAsia="宋体" w:cs="宋体"/>
          <w:b/>
          <w:bCs/>
          <w:color w:val="000000"/>
          <w:sz w:val="24"/>
          <w:szCs w:val="24"/>
          <w:highlight w:val="none"/>
          <w:lang w:val="zh-CN"/>
        </w:rPr>
        <w:t xml:space="preserve">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12）承包人应精心组织施工，充分考虑各项保证措施，保证竣工时工程质量达到</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等级。若承包人未达到质量目标的要求，应无条件采取措施补救，直至工程达到</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等级，所需费用含入工程量清单中各工程细目的单价及</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价中，发包人不另计列。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16）本工程合同价将视为</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工程报价。承包人应精心组织施工，充分考虑各项保证措施。若承包人未达到质量目标的要求，应无条件采取措施补救，直至工程达到</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等级，所需费用含入工程量清单中各工程细目的单价及</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价中，</w:t>
      </w:r>
      <w:r>
        <w:rPr>
          <w:rFonts w:hint="eastAsia"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不另计列。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strike/>
          <w:color w:val="000000"/>
          <w:sz w:val="24"/>
          <w:szCs w:val="24"/>
          <w:highlight w:val="none"/>
        </w:rPr>
        <w:outlineLvl w:val="9"/>
      </w:pPr>
      <w:r>
        <w:rPr>
          <w:rFonts w:hint="eastAsia" w:ascii="宋体" w:hAnsi="宋体" w:eastAsia="宋体" w:cs="宋体"/>
          <w:b/>
          <w:color w:val="000000"/>
          <w:sz w:val="24"/>
          <w:szCs w:val="24"/>
          <w:highlight w:val="none"/>
        </w:rPr>
        <w:t xml:space="preserve">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r>
        <w:rPr>
          <w:rFonts w:hint="eastAsia" w:ascii="宋体" w:hAnsi="宋体" w:eastAsia="宋体" w:cs="宋体"/>
          <w:b/>
          <w:strike/>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18）本项目挖除旧路面材料及其他建筑垃圾由承包人自行处置，</w:t>
      </w:r>
      <w:r>
        <w:rPr>
          <w:rFonts w:hint="eastAsia"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将不另行计量与支付。</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19）本项目发包人要求承包人水泥混凝土的生产及运输必须严格按照省、市、县（区）相关环保规定执行，符合环保要求，所需费用均含在相关的单价或总额价内，发包人不再单独计列。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220）</w:t>
      </w:r>
      <w:r>
        <w:rPr>
          <w:rFonts w:hint="eastAsia" w:ascii="宋体" w:hAnsi="宋体" w:eastAsia="宋体" w:cs="宋体"/>
          <w:b/>
          <w:color w:val="000000"/>
          <w:sz w:val="24"/>
          <w:szCs w:val="24"/>
          <w:highlight w:val="none"/>
          <w:lang w:eastAsia="zh-CN"/>
        </w:rPr>
        <w:t xml:space="preserve">本项目为农村公路工程，所有后期资料、竣工等全部按照交通的相关标准和规范执行。</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）本项目合同签订后，若施工图发生变化，发包人将根据最终的施工图会同招标代理、监理、跟踪审计单位对工程量清单进行调整，并将调整后的工程量清单作为计量支付管理的依据。</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）关于农民工工资支付管理：</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a、本项目需全面贯彻落实和严格执行《</w:t>
      </w:r>
      <w:r>
        <w:rPr>
          <w:rFonts w:hint="eastAsia" w:ascii="宋体" w:hAnsi="宋体" w:eastAsia="宋体" w:cs="宋体"/>
          <w:b/>
          <w:color w:val="000000"/>
          <w:sz w:val="24"/>
          <w:szCs w:val="24"/>
          <w:highlight w:val="none"/>
          <w:lang w:eastAsia="zh-CN"/>
        </w:rPr>
        <w:t xml:space="preserve">民法典》《</w:t>
      </w:r>
      <w:r>
        <w:rPr>
          <w:rFonts w:hint="eastAsia" w:ascii="宋体" w:hAnsi="宋体" w:eastAsia="宋体" w:cs="宋体"/>
          <w:b/>
          <w:color w:val="000000"/>
          <w:sz w:val="24"/>
          <w:szCs w:val="24"/>
          <w:highlight w:val="none"/>
        </w:rPr>
        <w:t xml:space="preserve">保障农民工工资支付条例</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b、施工单位（包括中标单位、专业分包单位和劳务分包单位等，下同）在施工现场应至少配备1名劳资专员，专门负责保障农民工工资支付管理的各项工作。</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c、施工单位应当依法与农民工本人签订劳动合同和进场承诺书。劳动合同应当约定合同期限、工作地点、工作时间、施工内容、计价方式、工资标准、支付周期、支付时间等相关条款。</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d、施工单位应对农民工进行实名制管理，应建立进场农民工实名制管理台账。台账报发包人备案，并至少保存至项目交工且农民工工资全部结清后三年。</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e、施工单位应当规范实名制管理方式，强化现场考勤管理，及时准确地向发包人报备农民工实名制考勤信息。施工单位将考勤记录按月在项目现场显著位置向农民工公示。</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g、施工单位应当与银行签订农民工工资代发协议，按月考核农民工工作量并编制工资支付表，经农民工本人签字或手印确认后，通过农民工工资专用账户向农民工发放工资。</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h、农民工工资应当按照合同约定准确计薪、按时足额支付。施工单位不得克扣或拖欠农民工工资，不得将经营风险转嫁给农民工，不得采取每月支付生活费、年底结算工资的方式支付工资。</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i、施工单位应当在施工现场显著位置设置维权信息告示牌。</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j、工程已经全部完成且农民工工资支付完毕后，施工单位需按照相关规定注销农民工工资专用账户。</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k、施工单位应当按照相关规定缴纳农民工工资保证金或者出具等额保函。</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l、交通运输主管部门将按照《江苏省公路水运建设市场信用信息管理办法》规定，将本项目农民工工资拖欠等失信行为信息录入信用信息系统，并在省交通运输主管部门网站和信用交通江苏网站上公布。</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n、本项目按照《连云港市工程建设领域保障农民工工资支付规范化管理指导手册》及《连云港市建设工程项目农民工工资管理标准化台账》的规定建立标准化台账。</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o、其他具体要求请按相关法律法规及其他文件的规定执行，如承包人未按规定缴纳农民工工资保证金及开通农民工工资专用账户，则发包人有权取消其中标资格。</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）本项目严禁转包、违法分包，一经发现，视其情节严重程度严肃处理,直至清退出场解除合同。</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）本项目施工过程中，承包人需严格按照《公路工程质量检验评定标准JTG F80/1-2017》提交原材料自检报告。</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履约担保</w:t>
      </w:r>
      <w:r>
        <w:rPr>
          <w:rFonts w:hint="eastAsia" w:ascii="宋体" w:hAnsi="宋体" w:eastAsia="宋体" w:cs="宋体"/>
          <w:color w:val="000000"/>
          <w:sz w:val="24"/>
          <w:szCs w:val="24"/>
          <w:highlight w:val="none"/>
        </w:rPr>
      </w:r>
      <w:r/>
    </w:p>
    <w:p>
      <w:pPr>
        <w:pStyle w:val="1002"/>
        <w:ind w:firstLine="42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分包</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第4.3.2款在原款末增加:</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本项目如有分包应严格按照交通运输部关于印发《公路工程施工分包管理办法》的通知（交公路规〔2024〕2号）、交通运输部办公厅关于印发《公路工程施工分包负面清单（2024年版）》的通知（交办公路〔2024〕6号）、《江苏省公路工程施工分包管理实施细则》（苏交规〔2015〕2号文）、《关于贯彻执行&lt;江苏省公路工程施工分包管理实施细则&gt;的意见》（苏交建工〔2015〕22号文）等相关规定实施。</w:t>
      </w:r>
      <w:r>
        <w:rPr>
          <w:rFonts w:hint="eastAsia" w:cs="宋体"/>
          <w:color w:val="000000"/>
          <w:sz w:val="24"/>
          <w:szCs w:val="24"/>
          <w:highlight w:val="none"/>
          <w:lang w:val="en-US" w:eastAsia="zh-CN"/>
        </w:rPr>
        <w:t xml:space="preserve">本项目施工内容包含公路工程交安设施，若承包人不具备公路交通工程专业（公路安全设施分项）承包资质的，应将该部分工程分包给具备相应资质的单位。</w:t>
      </w:r>
      <w:r>
        <w:rPr>
          <w:rFonts w:ascii="宋体" w:hAnsi="宋体" w:eastAsia="宋体" w:cs="宋体"/>
          <w:color w:val="000000"/>
          <w:sz w:val="24"/>
          <w:szCs w:val="24"/>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第4.3.3（6）款在原款末增加:</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发包人对承包人与分包人之间的法律与经济纠纷不承担任何责任或义务。</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本款补充第4.3.8、4.3.9、4.3.10项：</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（1）以明显低于合理的市场最低价格水平进行分包的；</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（2）以低于本项目中其他合同段同类工程最低单价进行分包的；</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（3）承包人提取的分包管理费明显高于该分包工程市场利润水平的。</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承包人低于成本价分包的，其分包合同不予审查通过和备案，由监理人督促改正。</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4.3.9承包人代发分包人农民工工资，并遵照下列要求：</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（1）承包人应与分包人依法订立书面分包合同，约定工程款计量周期、工程款进度结算办法。</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（2）承包人应在分包合同中要求分包人按月考核农民工工作量并编制工资支付表，经农民工本人签字确认后，与当月工程进度等情况一并交承包人。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（3）承包人根据分包人编制的工资支付表，通过农民工工资专用账户直接将工资，支付到农民工本人的银行账户，并向分包人提供代发工资凭证。</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（4）用于支付农民工工资的银行账户所绑定的农民工本人社会保障卡或者银行卡，承包人（包括其分包人）不得以任何理由扣押或者变相扣押。</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4.3.10本项目严禁转包、违法分包，一经发现，视其情节严重程度严肃处理,直至清退出场解除合同。</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 承包人人员的管理</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增加4.6.6、4.6.7、4.6.8项：</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4.6.6 承包人投入本工程的项目经理、项目总工目前应</w:t>
      </w:r>
      <w:r>
        <w:rPr>
          <w:rFonts w:hint="eastAsia" w:ascii="宋体" w:hAnsi="宋体" w:eastAsia="宋体" w:cs="宋体"/>
          <w:b/>
          <w:color w:val="000000"/>
          <w:sz w:val="24"/>
          <w:szCs w:val="24"/>
          <w:highlight w:val="none"/>
          <w:lang w:val="zh-CN"/>
        </w:rPr>
        <w:t xml:space="preserve">无在岗项目（指目前未在其他项目上任职，或虽在其他项目上任职但本项目中标后能够从该项目撤离）</w:t>
      </w:r>
      <w:r>
        <w:rPr>
          <w:rFonts w:hint="eastAsia" w:ascii="宋体" w:hAnsi="宋体" w:eastAsia="宋体" w:cs="宋体"/>
          <w:b/>
          <w:color w:val="000000"/>
          <w:sz w:val="24"/>
          <w:szCs w:val="24"/>
          <w:highlight w:val="none"/>
        </w:rPr>
        <w:t xml:space="preserve">，并能确保在发包人规定的时间内进场（合同签订后5个工作日内），开展本工程。</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项目经理部人员出勤考核办法如下： </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（1）项目经理部应安装人脸识别考勤机，制定工作人员考勤表，安排专人负责日常考勤工作并定期向项目发包人汇报出勤情况。 </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项目经理部主要技术、管理人员（不含后勤辅助人员）每个月出勤不得少于22天（2月份为20天），已履行请假手续但出勤少于22天的按照以下标准处罚：项目经理5000元/人·天、技术负责人5000元/人·天、其他管理人员3000元/人·天，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所有管理人员在工作期间应佩戴胸卡，上印挂牌人照片、姓名、职务或岗位等内容，并应统一着装。</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4.6.7 为了贯彻落实质量终身制，承包人的有关人员还应遵守以下规定：</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签订前，承包人必须向发包人提交投标文件中填报的主要人员以及合同附件四要求的其他管理和技术人员的身份证复印件；特殊工种人员，还必须提交相关主管部门签发的专业培训合格证或上岗证，供查对。</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4.6.8 合同签订后，承包人承诺的项目经理、项目总工等必须按发包人要求及时到位，并进驻现场，否则按照第本合同第22.1条违约处罚，并限期责令整改，若整改不到位，情节特别严重的，发包人有权终止合同。</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4.7 撤换承包人项目经理和其他人员</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在原款末增加: </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tabs>
          <w:tab w:val="left" w:pos="279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未事先征得发包人同意，承包人不得擅自更换项目经理、项目副经理（若有）与项目总工及其他主要人员，即使发包人同意，更换项目经理、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经理与项目总工等主要人员，对此，承包人不得拒绝。</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tabs>
          <w:tab w:val="left" w:pos="279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如项目经理、项目总工未按要求时间进场，或进场后，未经批准又私自离开工地，发包人将按照5000元/人˙天扣罚违约金，其他主要人员按3000元/人˙天扣罚违约金，直至缺员进场为止。</w:t>
      </w:r>
      <w:r>
        <w:rPr>
          <w:rFonts w:hint="eastAsia" w:ascii="宋体" w:hAnsi="宋体" w:eastAsia="宋体" w:cs="宋体"/>
          <w:b/>
          <w:bCs/>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 保障承包人人员的合法权益</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本款补充第4.8.7～4.8.10项：</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4.8.7 承包人应自行聘（雇）用当地或其他来源的职员或工人，但不得从为发包人或监理人服务的人员中招聘雇员和工人。承包人雇用员工应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完善劳务注册手续，并与他雇用的员工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订立</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承包人在处理劳务事宜时，应充分考虑和尊重法定的节假日和公认的农作季节，尊重宗教习惯和风俗习惯，由于承包人处理不当引起的费用或纠纷等责任由承包人自负。</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4.9工程价款应专款专用</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4.10承包人现场踏勘</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增加4.10.3条款：</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增加4.10.4条款：</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4.11 不利物质条件</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第4.11.1项不利物质条件的范围包括：</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下列“不利物质条件”应视为承包人在接受合同时已经预见其影响，并已在合同价中计入因其影响而可能发生的一切费用： </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（1）工程实体高温、过冬需要采取必要的保护措施；</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（2）工程实体在雨季施工需要采取必要的保护措施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02"/>
        <w:ind w:left="1151" w:hanging="1151"/>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4.13 开展党建工作要求</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有条件的承包人应按规定在项目现场设立基层党组织。不满足上述情形的，承包人应创造条件使党员能够参加党组织生活并接受相应管理。</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dstrike/>
          <w:color w:val="000000"/>
          <w:sz w:val="24"/>
          <w:szCs w:val="24"/>
          <w:highlight w:val="none"/>
        </w:rPr>
        <w:outlineLvl w:val="9"/>
      </w:pPr>
      <w:r>
        <w:rPr>
          <w:rFonts w:hint="eastAsia" w:ascii="宋体" w:hAnsi="宋体" w:eastAsia="宋体" w:cs="宋体"/>
          <w:color w:val="000000"/>
          <w:sz w:val="24"/>
          <w:szCs w:val="24"/>
          <w:highlight w:val="none"/>
        </w:rPr>
        <w:t xml:space="preserve">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r>
        <w:rPr>
          <w:rFonts w:hint="eastAsia" w:ascii="宋体" w:hAnsi="宋体" w:eastAsia="宋体" w:cs="宋体"/>
          <w:dstrike/>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5.材料和工程设备</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承包人提供的材料和工程设备</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补充第5.1.4项、5.1.5项：</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承包人的施工机械、设备应在工程所在地办理机械、设备的安全施工相关手续，并符合环保相关要求，接受监督与管理，完成相关手续后方可投入使用。</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发包人提供的材料和工程设备</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本项目发包人不提供任何材料和工程设备。</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6.施工设备和临时设施</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第6.3款细化为：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承包人的施工机械、设备应在工程所在地办理机械、设备的安全施工相关手续，接受监督与管理，完成相关手续后方可投入使用。</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7.交通运输</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第7.2.1项细化为：</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承包人在施工过程中应在服从全局、保障施工期的基础上，遵循发包人、行政主管部门提出的相关要求</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制定详细可行的交通组织方案及临时安全设施设置方案。承包人的投标报价中应充分考虑相关行政部门可能收取的各项费用、可能发生的方案审查费、协调工作费用和规费等，上述费用均含在相关的单价或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作为一个有丰富施工经验的承包人，应充分考虑施工过程中相关施工干扰影响致使人工、机械效率降低而增加的费用，包含在相关项目的报价中，发包人将不另行支付。如因承包人采取的措施不力，导致未按规定运行而给其他部门或个人造成一切损失，或造成工程工期的拖延或施工费用的增加，均由承包人自行负责。</w:t>
      </w:r>
      <w:r>
        <w:rPr>
          <w:rFonts w:hint="eastAsia" w:ascii="宋体" w:hAnsi="宋体" w:eastAsia="宋体" w:cs="宋体"/>
          <w:b/>
          <w:bCs/>
          <w:color w:val="000000"/>
          <w:sz w:val="24"/>
          <w:szCs w:val="24"/>
          <w:highlight w:val="none"/>
          <w:lang w:val="zh-CN"/>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如因承包人采取的措施不力，交通未按规定运行而给其他部门或个人造成的一切损失，或造成工程工期的拖延或施工费用的增加，均由承包人自行负责。</w:t>
      </w:r>
      <w:r>
        <w:rPr>
          <w:rFonts w:hint="eastAsia" w:ascii="宋体" w:hAnsi="宋体" w:eastAsia="宋体" w:cs="宋体"/>
          <w:color w:val="000000"/>
          <w:sz w:val="24"/>
          <w:szCs w:val="24"/>
          <w:highlight w:val="none"/>
          <w:lang w:val="zh-CN"/>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补充第7.2.3款为：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7.5款细化为：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为保证道路交通安全及运输畅通,承包人应采取以下措施:</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(a)施工期间，承包人必须在与交通、公安部门和地方政府协商下，采取足够的引导交通措施；</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(b)承包人制定运输计划时，应避开现有道路上在高峰时的运输。</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(c)采取必要的限载措施，保证上述设施不被破坏。</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补充第7.7款为：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8.2 施工测量</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补充8.2.3、8.2.4款：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8.2.4 承包人应当将每次施工测量资料报监理人审核，对于重要的主体工程的施工测量资料，应至少在48小时前通知监理人进行复测。</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8.3 基准资料错误的责任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承包人应对发包人提供的基准资料进行核实，发现错误，应及时通知监理人和发包人，否则应承担相应责任。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增加8.5款：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承包人应当将每次施工测量资料报监理人审核，对于重要的主体工程的施工测量资料，应至少在施工前2天通知监理人进行复测。</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承包人配备的测量人员、测量仪器和工具必须合格和满足工程精度的要求。</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在施工过程中，承包人应经常对使用的测量仪器进行定期检查与校正，填写检查证书报监理人核查。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9.2 承包人的施工安全责任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第9.2.5项约定为：</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根据“交通部《公路水运工程安全生产监督管理办法》（</w:t>
      </w:r>
      <w:r>
        <w:rPr>
          <w:rFonts w:hint="eastAsia" w:ascii="宋体" w:hAnsi="宋体" w:eastAsia="宋体" w:cs="宋体"/>
          <w:b/>
          <w:color w:val="000000"/>
          <w:sz w:val="24"/>
          <w:szCs w:val="24"/>
          <w:highlight w:val="none"/>
          <w:lang w:val="zh-CN"/>
        </w:rPr>
        <w:t xml:space="preserve">交通运输部令2017年第25号</w:t>
      </w:r>
      <w:r>
        <w:rPr>
          <w:rFonts w:hint="eastAsia" w:ascii="宋体" w:hAnsi="宋体" w:eastAsia="宋体" w:cs="宋体"/>
          <w:b/>
          <w:color w:val="000000"/>
          <w:sz w:val="24"/>
          <w:szCs w:val="24"/>
          <w:highlight w:val="none"/>
        </w:rPr>
        <w:t xml:space="preserve">）”和“《企业安全生产费用提取和使用管理办法》财资【2022】136号”、《江苏省公路水运工程安全生产费用管理办法》（</w:t>
      </w:r>
      <w:r>
        <w:rPr>
          <w:rFonts w:hint="eastAsia" w:ascii="宋体" w:hAnsi="宋体" w:eastAsia="宋体" w:cs="宋体"/>
          <w:b/>
          <w:color w:val="000000"/>
          <w:sz w:val="24"/>
          <w:szCs w:val="24"/>
          <w:highlight w:val="none"/>
          <w:lang w:eastAsia="zh-CN"/>
        </w:rPr>
        <w:t xml:space="preserve">苏交规〔2025〕1号</w:t>
      </w:r>
      <w:r>
        <w:rPr>
          <w:rFonts w:hint="eastAsia" w:ascii="宋体" w:hAnsi="宋体" w:eastAsia="宋体" w:cs="宋体"/>
          <w:b/>
          <w:color w:val="000000"/>
          <w:sz w:val="24"/>
          <w:szCs w:val="24"/>
          <w:highlight w:val="none"/>
        </w:rPr>
        <w:t xml:space="preserve">）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w:t>
      </w:r>
      <w:r>
        <w:rPr>
          <w:rFonts w:hint="eastAsia" w:ascii="宋体" w:hAnsi="宋体" w:eastAsia="宋体" w:cs="宋体"/>
          <w:color w:val="000000"/>
          <w:sz w:val="24"/>
          <w:szCs w:val="24"/>
          <w:highlight w:val="none"/>
          <w:lang w:eastAsia="zh-CN"/>
        </w:rPr>
        <w:t xml:space="preserve">苏交规〔2025〕1号</w:t>
      </w:r>
      <w:r>
        <w:rPr>
          <w:rFonts w:hint="eastAsia" w:ascii="宋体" w:hAnsi="宋体" w:eastAsia="宋体" w:cs="宋体"/>
          <w:color w:val="000000"/>
          <w:sz w:val="24"/>
          <w:szCs w:val="24"/>
          <w:highlight w:val="none"/>
        </w:rPr>
        <w:t xml:space="preserve">）和《江苏省公路水运工程安全生产费用使用指南》（</w:t>
      </w:r>
      <w:r>
        <w:rPr>
          <w:rFonts w:hint="eastAsia" w:ascii="宋体" w:hAnsi="宋体" w:eastAsia="宋体" w:cs="宋体"/>
          <w:color w:val="000000"/>
          <w:sz w:val="24"/>
          <w:szCs w:val="24"/>
          <w:highlight w:val="none"/>
          <w:lang w:eastAsia="zh-CN"/>
        </w:rPr>
        <w:t xml:space="preserve">苏交规〔2025〕1号</w:t>
      </w:r>
      <w:r>
        <w:rPr>
          <w:rFonts w:hint="eastAsia" w:ascii="宋体" w:hAnsi="宋体" w:eastAsia="宋体" w:cs="宋体"/>
          <w:color w:val="000000"/>
          <w:sz w:val="24"/>
          <w:szCs w:val="24"/>
          <w:highlight w:val="none"/>
        </w:rPr>
        <w:t xml:space="preserve">）以及发包人的相关规定，根据工程安全生产情况报发包人签字确认后据实支付。</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如果承包人的安全措施达不到要求，发包人有权委托其他单位完成，对此发生的所有费用从承包人的安全生产费中支付。</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安全生产费用应当用于施工安全防护用具及设施的购买、维护和更新，安全生产措施的落实，安全生产条件的改善，不得挪作他用。</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 </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承包人在申请安全生产费支付时，应向监理人和发包人提供相应证明材料，已证明承包人发生的安全生产费用属实。</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第9.2.8项补充： </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承包人应遵守《中华人民共和国安全生产法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江苏省安全生产条例》和《江苏省公路施工路段管理办法》的规定，制定合理的交通安全组织方案，尽量减少对周边交通的影响。</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治安保卫</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补充9.3.4项：</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在符合合同要求的范围内，进行为工程的施工和竣工以及对任何缺陷做必要的补救，均应以不使下述各方面遭受不必要的和不恰当的干扰为条件：</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公众的便利；</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公用道路或私人道路以及通往属于发包人或他人财产的人行小道的进入使用和占用；</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河流、航道、铁路、城镇道路和其他公共交通运输线路等；</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区中或地下的属于公共、团体或他人的管线和设施。</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 环境保护</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补充9.4.12项：</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补充9.4.13项</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tabs>
          <w:tab w:val="left" w:pos="279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9.4.13 </w:t>
      </w:r>
      <w:r>
        <w:rPr>
          <w:rFonts w:hint="eastAsia" w:ascii="宋体" w:hAnsi="宋体" w:eastAsia="宋体" w:cs="宋体"/>
          <w:b/>
          <w:bCs/>
          <w:color w:val="000000"/>
          <w:sz w:val="24"/>
          <w:szCs w:val="24"/>
          <w:highlight w:val="none"/>
        </w:rPr>
        <w:t xml:space="preserve">做好施工现场扬尘治理工作。施工组织实施计划中应有专门章节编制工地现场扬尘控制方案。</w:t>
      </w:r>
      <w:r>
        <w:rPr>
          <w:rFonts w:hint="eastAsia" w:ascii="宋体" w:hAnsi="宋体" w:eastAsia="宋体" w:cs="宋体"/>
          <w:b/>
          <w:bCs/>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补充9.4.14项</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9.4.14 本项目承包人在施工过程中应严格遵守《中华人民共和国大气污染防治法</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000000"/>
          <w:sz w:val="24"/>
          <w:szCs w:val="24"/>
          <w:highlight w:val="none"/>
        </w:rPr>
        <w:t xml:space="preserve">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000000"/>
          <w:sz w:val="24"/>
          <w:szCs w:val="24"/>
          <w:highlight w:val="none"/>
        </w:rPr>
        <w:t xml:space="preserve">等相关规定，按照招标文件及发包人要求，在合同实施过程中</w:t>
      </w:r>
      <w:r>
        <w:rPr>
          <w:rFonts w:hint="eastAsia" w:ascii="宋体" w:hAnsi="宋体" w:eastAsia="宋体" w:cs="宋体"/>
          <w:b/>
          <w:color w:val="000000"/>
          <w:sz w:val="24"/>
          <w:szCs w:val="24"/>
          <w:highlight w:val="none"/>
        </w:rPr>
        <w:t xml:space="preserve">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9.5 事故处理</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增加9.5.2条款：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10.1 合同进度计划</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（1）承包人编制施工方案说明的内容：</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必须有以下几个内容（但不限于）：</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①组织体系、质保体系、安全体系；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②施工方案；</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交通组织方案。</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承包人应在签订合同协议书后28天之内按发包人和监理人的要求将其编制的施工方案应报送监理人审批，且工程开工前必须提交所有资料并按要求报监。</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合同进度计划的修订</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补充10.5款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10.5计划编制工具</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发包人有可能要求承包人统一采用计划编制与管理软件，用于编制工程进度旬报、月报、季报和年报计划。</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开工和交工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 竣工</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承包人未按要求及时提交竣工资料（包含电子档案）时，建设单位有权在支付中扣除中标价的0.1%或投标价中竣工文件费（取大值）。</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11.4 异常恶劣的气候条件</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上述不利降水的衡量标准如下：</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 按本省气象部门统计的降水资料，取最近二十年的平均降水天数为标准；</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color w:val="000000"/>
          <w:sz w:val="24"/>
          <w:szCs w:val="24"/>
          <w:highlight w:val="none"/>
          <w:lang w:eastAsia="zh-CN"/>
        </w:rPr>
        <w:t xml:space="preserve">其他月份</w:t>
      </w:r>
      <w:r>
        <w:rPr>
          <w:rFonts w:hint="eastAsia" w:ascii="宋体" w:hAnsi="宋体" w:eastAsia="宋体" w:cs="宋体"/>
          <w:color w:val="000000"/>
          <w:sz w:val="24"/>
          <w:szCs w:val="24"/>
          <w:highlight w:val="none"/>
        </w:rPr>
        <w:t xml:space="preserve">的异常良好的气候的时间予以补偿。异常气候在每一个月对工程进度影响的评定应在整个合同期内予以累计。</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 不考虑每一降水过程后所影响的施工时间。</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11.6 工期提前</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12.1承包人暂停施工的责任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12.1（5）由承包人承担的其他暂停施工：无  </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工程质量</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 工程质量要求</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本款补充第13.1.6～13.1.9项</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13.1.6工程质量交工验收时本合同项目所含分项工程合格率应为100%，工程质量为合格，工程竣工验收的质量为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13.1.8 本工程缺陷责任期为工程交工验收合格后24个月，如因承包人原因造成的工程缺陷、病害或其他不合格之处，承包人必须及时组织修补、重建和修复，其缺陷修复费用由承包人自行负责。</w:t>
      </w:r>
      <w:r>
        <w:rPr>
          <w:rFonts w:hint="eastAsia" w:ascii="宋体" w:hAnsi="宋体" w:eastAsia="宋体" w:cs="宋体"/>
          <w:b/>
          <w:bCs/>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13.1.9 涉及主体工程的质量、安全、进度，发包人将另行制定相关管理办法对承包人进行考核。</w:t>
      </w:r>
      <w:r>
        <w:rPr>
          <w:rFonts w:hint="eastAsia" w:ascii="宋体" w:hAnsi="宋体" w:eastAsia="宋体" w:cs="宋体"/>
          <w:b/>
          <w:bCs/>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 承包人的质量管理</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本款补充第13.2.11项、13.2.12项</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13.2.11 承包人应接受相关部门对其工程施工质量的监督与检查，凡工程质量不合格的将不验收、不支付，并应自费拆除重建。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13.2.12 承包人必须建立针对本合同的施工质量保证系，做到“横向到边、纵向到底、控制有效”，加强施工过程中的自检、互检和交接检工作。</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13.5 工程隐蔽部位覆盖前的检查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第13.5.1条细化为：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承包人应对全部隐蔽工程进行拍摄或照相并应保证监理人有充分的机会对将要覆盖或隐蔽的工程进行检查或量测，特别是在基础以上的任一部分工程修筑之前，对该基础进行检查。</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14.试验和检验</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补充14.5、14.6、14.7款：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14.5 当承包人与监理人或发包人委托的试验检测中心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就材料或设备的检验结果发生争端时，双方可以共同将材料或设备的检查和检验委托给第三方的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检验单位。该检验单位必须具有建设主管部门及技术监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督部门的相关认证资格。当该独立检验单位对材料或设备的检验结果证明监理人或发包人委托的试验检测中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心检验的结果是正确的，则承包人应接受监理人或发包人的指令，并承担委托检验费，否则，委托费应由监理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人或发包人承担。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14.7 在合同实施期间，根据工程需要，发包人可能在本工程工地进行有关试验，承包人应积极配合并承担相应的工作，但不得对因此可能发生的人工、机械闲置损失向发包人提出补偿要求。</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变更</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 变更的估价原则</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15.4.4项细化为：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15.4.4 已标价工程量清单中无适用或类似子目的单价时，发包人将根据投标截止日所在月前一个月的材料信息价确定预算价格，并按照承包人中标合同价（不含暂列金额、暂估价）与最高投标限价（不含暂列金额、暂估价）的比值同比例下浮确定综合单价。</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材料信息指导价根据《连云港工程建设经济》中连云港市的价格确定，《连云港工程建设经济》价格中没有的，以江苏省交通运输厅网上发布的连云港地区价格为准，若都没有的，由参建各方（发包人、承包人、监理人、审计单位）另行协商确定。</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15.6 暂列金额</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02"/>
        <w:ind w:left="0" w:firstLine="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 法律变化引起的价格调整</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施工期间，税费等按照国家、省、市有关规定据实调整。</w:t>
      </w:r>
      <w:r>
        <w:rPr>
          <w:rFonts w:hint="eastAsia" w:ascii="宋体" w:hAnsi="宋体" w:eastAsia="宋体" w:cs="宋体"/>
          <w:b/>
          <w:bCs/>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增加16.3款：</w:t>
      </w:r>
      <w:r>
        <w:rPr>
          <w:rFonts w:hint="eastAsia" w:ascii="宋体" w:hAnsi="宋体" w:eastAsia="宋体" w:cs="宋体"/>
          <w:color w:val="000000"/>
          <w:sz w:val="24"/>
          <w:szCs w:val="24"/>
          <w:highlight w:val="none"/>
        </w:rPr>
      </w:r>
      <w:r/>
    </w:p>
    <w:p>
      <w:pPr>
        <w:pStyle w:val="1002"/>
        <w:ind w:left="0" w:firstLine="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16.3 人工单价调整</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本项目人工费、机械人工费合同实施过程中不予调整。</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增加16.4款：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16.4 清单调整</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bookmarkStart w:id="125" w:name="_Toc234382906"/>
      <w:r>
        <w:rPr>
          <w:rFonts w:hint="eastAsia" w:ascii="宋体" w:hAnsi="宋体" w:eastAsia="宋体" w:cs="宋体"/>
          <w:color w:val="000000"/>
          <w:sz w:val="24"/>
          <w:szCs w:val="24"/>
          <w:highlight w:val="none"/>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承包人应按照总价不变的原则根据发包人的要求对有关单价进行平衡调整。</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 预付款</w:t>
      </w:r>
      <w:bookmarkEnd w:id="125"/>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17.2.1预付款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本项约定为：本工程不设开工预付款。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 工程进度付款</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17.3.3 进度付款证书和支付时间</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（1）监理人在收到承包人进度付款申请单以及相应的支持性证明文件（含</w:t>
      </w:r>
      <w:r>
        <w:rPr>
          <w:rFonts w:hint="eastAsia" w:ascii="宋体" w:hAnsi="宋体" w:eastAsia="宋体" w:cs="宋体"/>
          <w:color w:val="000000"/>
          <w:sz w:val="24"/>
          <w:szCs w:val="24"/>
          <w:highlight w:val="none"/>
        </w:rPr>
        <w:t xml:space="preserve">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（2）发包人未按期支付的，按项目专用条款数据表中约定的利率向承包人支付逾期付款违约金。违约金计算基数为发包人的全部未付款额，时间从应付而未付该款额之日算起（不计复利）。</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（3）监理人出具进度付款证书，不应视为监理人已同意、批准或接受了承包人完成的该部分工作。</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第17.3.3项补充以下内容</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第17.3款中有关支付内容不适用，本项目工程款按如下规定支付：</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eastAsia="宋体"/>
          <w:color w:val="000000"/>
          <w:highlight w:val="none"/>
          <w:lang w:eastAsia="zh-CN"/>
        </w:rPr>
        <w:outlineLvl w:val="9"/>
      </w:pPr>
      <w:r>
        <w:rPr>
          <w:rFonts w:hint="eastAsia" w:ascii="宋体" w:hAnsi="宋体" w:eastAsia="宋体" w:cs="宋体"/>
          <w:b/>
          <w:color w:val="000000"/>
          <w:sz w:val="24"/>
          <w:szCs w:val="24"/>
          <w:highlight w:val="none"/>
          <w:u w:val="single"/>
          <w:lang w:eastAsia="zh-CN"/>
        </w:rPr>
        <w:t xml:space="preserve">工程竣工验收合格</w:t>
      </w:r>
      <w:r>
        <w:rPr>
          <w:rFonts w:hint="eastAsia" w:ascii="宋体" w:hAnsi="宋体" w:eastAsia="宋体" w:cs="宋体"/>
          <w:b/>
          <w:color w:val="000000"/>
          <w:sz w:val="24"/>
          <w:szCs w:val="24"/>
          <w:highlight w:val="none"/>
          <w:u w:val="single"/>
          <w:lang w:val="en-US" w:eastAsia="zh-CN"/>
        </w:rPr>
        <w:t xml:space="preserve">并经审计后，支付至合同价的97%（以财政资金到位为前提）；剩余3%作为质量保证金，在缺陷责任期满后付清（无息）。每次付款时，承包人须提供符合税法规定的增值税专用发票，否则由此产生的迟延付款责任由承包人自行承担。</w:t>
      </w:r>
      <w:r>
        <w:rPr>
          <w:rFonts w:hint="eastAsia" w:eastAsia="宋体"/>
          <w:color w:val="000000"/>
          <w:highlight w:val="none"/>
          <w:lang w:eastAsia="zh-CN"/>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项目结算经审计，核减额（核减额=发包人审定金额－审计单位审定金额；审计单位审定金额为经审计单位、施工方和发包人认可的金额）超出5%导致的审计追加费用由承包人承担，在支付中直接扣减。</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1、</w:t>
      </w:r>
      <w:r>
        <w:rPr>
          <w:rFonts w:hint="eastAsia" w:cs="宋体"/>
          <w:b/>
          <w:color w:val="000000"/>
          <w:sz w:val="24"/>
          <w:szCs w:val="24"/>
          <w:highlight w:val="none"/>
          <w:lang w:val="en-US" w:eastAsia="zh-CN"/>
        </w:rPr>
        <w:t xml:space="preserve">依据上级补助</w:t>
      </w:r>
      <w:r>
        <w:rPr>
          <w:rFonts w:hint="eastAsia" w:ascii="宋体" w:hAnsi="宋体" w:eastAsia="宋体" w:cs="宋体"/>
          <w:b/>
          <w:color w:val="000000"/>
          <w:sz w:val="24"/>
          <w:szCs w:val="24"/>
          <w:highlight w:val="none"/>
          <w:lang w:val="en-US" w:eastAsia="zh-CN"/>
        </w:rPr>
        <w:t xml:space="preserve">资金</w:t>
      </w:r>
      <w:r>
        <w:rPr>
          <w:rFonts w:hint="eastAsia" w:cs="宋体"/>
          <w:b/>
          <w:color w:val="000000"/>
          <w:sz w:val="24"/>
          <w:szCs w:val="24"/>
          <w:highlight w:val="none"/>
          <w:lang w:val="en-US" w:eastAsia="zh-CN"/>
        </w:rPr>
        <w:t xml:space="preserve">拨付进度，如上级补助</w:t>
      </w:r>
      <w:r>
        <w:rPr>
          <w:rFonts w:hint="eastAsia" w:ascii="宋体" w:hAnsi="宋体" w:eastAsia="宋体" w:cs="宋体"/>
          <w:b/>
          <w:color w:val="000000"/>
          <w:sz w:val="24"/>
          <w:szCs w:val="24"/>
          <w:highlight w:val="none"/>
          <w:lang w:val="en-US" w:eastAsia="zh-CN"/>
        </w:rPr>
        <w:t xml:space="preserve">资金</w:t>
      </w:r>
      <w:r>
        <w:rPr>
          <w:rFonts w:hint="eastAsia" w:cs="宋体"/>
          <w:b/>
          <w:color w:val="000000"/>
          <w:sz w:val="24"/>
          <w:szCs w:val="24"/>
          <w:highlight w:val="none"/>
          <w:lang w:val="en-US" w:eastAsia="zh-CN"/>
        </w:rPr>
        <w:t xml:space="preserve">未及时足额到李埝乡财政所账户，则按照上级补助</w:t>
      </w:r>
      <w:r>
        <w:rPr>
          <w:rFonts w:hint="eastAsia" w:ascii="宋体" w:hAnsi="宋体" w:eastAsia="宋体" w:cs="宋体"/>
          <w:b/>
          <w:color w:val="000000"/>
          <w:sz w:val="24"/>
          <w:szCs w:val="24"/>
          <w:highlight w:val="none"/>
          <w:lang w:val="en-US" w:eastAsia="zh-CN"/>
        </w:rPr>
        <w:t xml:space="preserve">资金</w:t>
      </w:r>
      <w:r>
        <w:rPr>
          <w:rFonts w:hint="eastAsia" w:cs="宋体"/>
          <w:b/>
          <w:color w:val="000000"/>
          <w:sz w:val="24"/>
          <w:szCs w:val="24"/>
          <w:highlight w:val="none"/>
          <w:lang w:val="en-US" w:eastAsia="zh-CN"/>
        </w:rPr>
        <w:t xml:space="preserve">到乡财政额度支付工程款，工程款支付比例不超第17.3款约定。</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2、在第1.1.4.5目约定的缺陷责任期满时，承包人没有完成缺陷责任的，发包人有权扣留未履行的剩余工作所需金额相应的未计量支付款，并有权根据第19.3款约定要求延长缺陷责任期，直至完成剩余工作为止。</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3、依据终审结果需承包人返还工程款时，承包人应按发包人要求的时限及时返还，否则，发包人有权扣减相应的未支付计量支付款予以抵扣。</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4、合同工期内，增值税率如有调整，在结算时根据国家规定据实调整。</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本合同其余有关支付条款如与有本项不一致之处均按此项执行。</w:t>
      </w:r>
      <w:r>
        <w:rPr>
          <w:rFonts w:hint="eastAsia" w:ascii="宋体" w:hAnsi="宋体" w:eastAsia="宋体" w:cs="宋体"/>
          <w:b/>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第17.3.5款：</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b/>
          <w:color w:val="000000"/>
          <w:sz w:val="24"/>
          <w:szCs w:val="24"/>
          <w:highlight w:val="none"/>
          <w:u w:val="single"/>
        </w:rPr>
        <w:outlineLvl w:val="9"/>
      </w:pPr>
      <w:r>
        <w:rPr>
          <w:rFonts w:hint="eastAsia" w:ascii="宋体" w:hAnsi="宋体" w:eastAsia="宋体" w:cs="宋体"/>
          <w:color w:val="000000"/>
          <w:sz w:val="24"/>
          <w:szCs w:val="24"/>
          <w:highlight w:val="none"/>
        </w:rPr>
        <w:t xml:space="preserve">农民工工资保证金的缴存时间: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农民工工资保证金的缴存金额:</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农民工工资保证金的扣留条件:</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b/>
          <w:color w:val="000000"/>
          <w:sz w:val="24"/>
          <w:szCs w:val="24"/>
          <w:highlight w:val="none"/>
          <w:u w:val="single"/>
        </w:rPr>
        <w:outlineLvl w:val="9"/>
      </w:pPr>
      <w:r>
        <w:rPr>
          <w:rFonts w:hint="eastAsia" w:ascii="宋体" w:hAnsi="宋体" w:eastAsia="宋体" w:cs="宋体"/>
          <w:color w:val="000000"/>
          <w:sz w:val="24"/>
          <w:szCs w:val="24"/>
          <w:highlight w:val="none"/>
        </w:rPr>
        <w:t xml:space="preserve">农民工工资保证金的返还时间: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02"/>
        <w:ind w:left="1151" w:hanging="1151"/>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17.4 质量保证金</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第17.4.1项细化为：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本项目质量保证金包含在交工验收后未支付的工程款内。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第17.4.2项细化为：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18.7 竣工清场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补充18.7.3款：</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为完成合同工程而由承包人实施的临时工程，工程竣工之后经监理人和发包人批准不须拆除的，其所有权归属发包人。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 工程保险</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建筑工程一切险由承包人以承包人与发包人联名投保，投保条件与保险费率由承包人根据江苏省保险行业协会有关公路工程保险的相关规定自行考虑，其费用在工程量清单100章计列。发包人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20.1.1当本合同工程发生损失或损害时，承包人应按保险单规定的条件和期限及时向承保人报告，并抄送发包人和监理人。如损害继续发生，承包人在递交第一次报告后，每7天报告一次，直到损害结束。</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20.1.2 工程一切险的保险范围应包括开工日直至本合同工程（或其单项工程）竣工颁发竣工证书为止，发包人和承包人遭受的并由投保协议所规定的损失或损害。但是，以下（1）、（2）两项应由承包人负责投保；</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（1）在缺陷责任期内发生的损失和损害，但起因是在缺陷责任期开始之前；</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（2）承包人在按第19条规定而施工的作业中引起的损失或损害。</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20.4 第三者责任险</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第三者责任险由承包人以承包人与发包人联名投保，投保条件与保险费率由承包人根据江苏省保险行业协会有关公路工程保险的相关规定自行考虑，其费用在工程量清单100章计列。发包人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20.5  </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保险</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（2）承包人根</w:t>
      </w:r>
      <w:r>
        <w:rPr>
          <w:rFonts w:hint="eastAsia" w:ascii="宋体" w:hAnsi="宋体" w:eastAsia="宋体" w:cs="宋体"/>
          <w:color w:val="000000"/>
          <w:sz w:val="24"/>
          <w:szCs w:val="24"/>
          <w:highlight w:val="none"/>
          <w:lang w:eastAsia="zh-CN"/>
        </w:rPr>
        <w:t xml:space="preserve">关于印发《安全生产责任保险实施办法》的通知（应急〔2025〕27号）</w:t>
      </w:r>
      <w:r>
        <w:rPr>
          <w:rFonts w:hint="eastAsia" w:ascii="宋体" w:hAnsi="宋体" w:eastAsia="宋体" w:cs="宋体"/>
          <w:color w:val="000000"/>
          <w:sz w:val="24"/>
          <w:szCs w:val="24"/>
          <w:highlight w:val="none"/>
        </w:rPr>
        <w:t xml:space="preserve">应投保的安全生产责任险由承包人自行投保，保险费用由承包人承担并含在</w:t>
      </w:r>
      <w:r>
        <w:rPr>
          <w:rFonts w:hint="eastAsia" w:ascii="宋体" w:hAnsi="宋体" w:eastAsia="宋体" w:cs="宋体"/>
          <w:color w:val="000000"/>
          <w:sz w:val="24"/>
          <w:szCs w:val="24"/>
          <w:highlight w:val="none"/>
          <w:lang w:val="en-US" w:eastAsia="zh-CN"/>
        </w:rPr>
        <w:t xml:space="preserve">安全生产费</w:t>
      </w:r>
      <w:r>
        <w:rPr>
          <w:rFonts w:hint="eastAsia" w:ascii="宋体" w:hAnsi="宋体" w:eastAsia="宋体" w:cs="宋体"/>
          <w:color w:val="000000"/>
          <w:sz w:val="24"/>
          <w:szCs w:val="24"/>
          <w:highlight w:val="none"/>
        </w:rPr>
        <w:t xml:space="preserve">中，不单独列支。如出现应保未保的情况，由此而产生的损失，由承包人自行承担。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color w:val="000000"/>
          <w:sz w:val="24"/>
          <w:szCs w:val="24"/>
          <w:highlight w:val="none"/>
          <w:lang w:eastAsia="zh-CN"/>
        </w:rPr>
        <w:t xml:space="preserve">《江苏省人力资源社会保障厅江苏省财政厅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w:t>
      </w:r>
      <w:r>
        <w:rPr>
          <w:rFonts w:hint="eastAsia" w:ascii="宋体" w:hAnsi="宋体" w:eastAsia="宋体" w:cs="宋体"/>
          <w:color w:val="000000"/>
          <w:sz w:val="24"/>
          <w:szCs w:val="24"/>
          <w:highlight w:val="none"/>
        </w:rPr>
        <w:t xml:space="preserve">的规定，在建设工程开工前，以工程项目为单元参加工伤保险，按项目工程合同总造价的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‰缴纳工伤保险</w:t>
      </w:r>
      <w:r>
        <w:rPr>
          <w:rFonts w:hint="eastAsia" w:ascii="宋体" w:hAnsi="宋体" w:eastAsia="宋体" w:cs="宋体"/>
          <w:color w:val="000000"/>
          <w:sz w:val="24"/>
          <w:szCs w:val="24"/>
          <w:highlight w:val="none"/>
        </w:rPr>
        <w:t xml:space="preserve">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20.6.1 保险凭证</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承包人向发包人提交各项保险生效的证据和保险单副本的期限：合同签订后28天内。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20.6.4 保险金不足的补偿</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保险金不足以补偿损失的（包括免赔偿和超过赔偿限额的部分），应按下列对发包人或承包人责任的规定，由发包人或承包人承担：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2、由于发包人风险所造成的损失或损害：</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b、由于承包人责任引起的事故损失或损害，已投保的保险无法赔偿的部分由承包人承担。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d、由于发包人风险和若干其他风险结合而造成的上述损失和损害，在按照本款(a)或(c)(视情况而定)进行处理时，应考虑承包人和发包人双方按比例承担的责任。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3、属于发包人的风险包括：</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a、地震、海啸、龙卷风及其他自然灾害，但承包人从发包人提供的参考资料中能合理预见或能合理采取防范措施的自然灾害除外；</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b、雷电、火灾、爆炸，但因承包人责任造成的火灾和爆炸除外；</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c、飞机坠毁，飞机部件或飞行物体坠落；</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d、战争、政变、征用、罢工、暴乱、骚乱，但纯系承包人由本合同工程施工引起的骚乱除外；</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e、核反应、辐射或放射性污染；</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f、除合同规定者外，永久工程的任何区段或单位工程被发包人使用或占用所造成的损失或损害；</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g、属于本工程设计引起的损失或损害(由承包人负责的设计除外)；</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上述a～c项风险应按照第20条的规定办理保险，以便在风险发生时，能保护发包人和承包人的利益不受到损害。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4、但是，由于下列情况本应却未能从承保人处收回偿额，应由承包人全部负责：</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a、承包人未按保险单规定的条件和期限及时向承保人报告事故情况；</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b、承包人未履行保险单中规定的被保险人的义务。</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不可抗力</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21.1 不可抗力的确认</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21.1.1项补充：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本项所述(1)、(4)目风险应按照合同条款第20条的规定办理保险，以便在风险发生时，能保护发包人和承包人的利益不受到损害。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21.3 不可抗力后果及其处理</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21.3.1项(1)款补充：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c、由于不可抗力风险和若干其他风险结合而造成的上述损失和损害，在按照本目(a)或(b)(视情况而定)进行处理时，应考虑承包人和发包人双方按比例承担的责任。</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 承包人违约</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22.1.1 承包人违约的情形</w:t>
      </w:r>
      <w:r>
        <w:rPr>
          <w:rFonts w:hint="eastAsia" w:ascii="宋体" w:hAnsi="宋体" w:eastAsia="宋体" w:cs="宋体"/>
          <w:color w:val="000000"/>
          <w:sz w:val="24"/>
          <w:szCs w:val="24"/>
          <w:highlight w:val="none"/>
        </w:rPr>
      </w:r>
      <w:r/>
    </w:p>
    <w:p>
      <w:pPr>
        <w:pStyle w:val="1002"/>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增加22.1.1（11）、（12）目</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增加22.1.1（11）目如下：</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承包人不服从发包人对交叉施工的协调及统一安排。</w:t>
      </w:r>
      <w:r>
        <w:rPr>
          <w:rFonts w:hint="eastAsia" w:ascii="宋体" w:hAnsi="宋体" w:eastAsia="宋体" w:cs="宋体"/>
          <w:b/>
          <w:bCs/>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增加22.1.1（12）目如下：</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由于承包人原因引起暂时停工，承包人不采取积极补救措施造成工期严重延误。</w:t>
      </w:r>
      <w:r>
        <w:rPr>
          <w:rFonts w:hint="eastAsia" w:ascii="宋体" w:hAnsi="宋体" w:eastAsia="宋体" w:cs="宋体"/>
          <w:b/>
          <w:bCs/>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22.1.2 当承包人发生第22.1.1项约定的违约情况时，发包人有权向承包人课以违约金，具体约定如下：</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如果发生22.1.1款承包人违约的情况，发包人可视承包人违约的严重程度采取下列措施之一：</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承包人、供货商等的经济纠纷和法律责任，也不赔偿任何费用。</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此外，当承包人发生了下述违约现象之后，发包人可依据下列具体情况扣除承包人的违约金：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 承包人在监理人规定的截止日前，投标书附表中所列的项目经理、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 项目经理、项目总工原则上不允许更换，承包人除不可抗力以外不得擅自更换项目经理与项目总工及其他主要人员，即使发包人同意更换，则更换项目经理、项目总工必须接受每人次5万元人民币的违约处罚。若出现其他人员更换时，按每人次2万元人民币</w:t>
      </w:r>
      <w:r>
        <w:rPr>
          <w:rFonts w:hint="eastAsia" w:ascii="宋体" w:hAnsi="宋体" w:eastAsia="宋体" w:cs="宋体"/>
          <w:b/>
          <w:color w:val="000000"/>
          <w:sz w:val="24"/>
          <w:szCs w:val="24"/>
          <w:highlight w:val="none"/>
        </w:rPr>
        <w:t xml:space="preserve">处以违约金。若因上述主要人员不能胜任本职工作、行为不端或玩忽职守的，发包人有权根据工程实施情况主动要求承包人立即更换，并有权根据前述标准进行处罚，对此，承包人不得拒绝。承包人投入本项目的项目经理、项目总工、其他管理人员必须确保每月至少有22天（2月份为20天）在施工现场，发包人将实行考勤制度，若承包人不满足上述规定，项目经理和项目总工按5000元/每人每天的标准处以承包人违约金，其他管理人员按3000元/每人每天的标准处以承包人违约金，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承包人在监理人规定的截止日前，投标函附表中所列的主要机械及试验、测量设备不能按时进场，每迟到1天，发包人将按照该设备的台班费的三倍处以违约金，直到设备进场为止。</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 在工程实施期间，未经监理人批准，承包人进场的施工机械和材料试验、质检仪器设备撤离现场，发包人将按该设备的重置价值处以承包人违约金。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(5) 承包人应对照发包人下达的年度、季度、月度计划，采取有效措施并确保完成，同时承包人必须落实发包人（总监）对某一节点工序提出新的工期要求，并确保到位。延迟工期的，发包人将按5000元/天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(6) 在施工期间，承包人若违反施工操作及管理程序，一经发包人发现，则按10000元/次的标准处以承包人违约金。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(7) 承包人在施工期间如果在各种报表及检查试验记录中自己作假或诱导监理人作假，一经查实，发包人将按每次2万元的标准处以承包人违约金，并将当事人清理出场。</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 工程质量交工验收时本合同项目所含分项工程合格率应为100%、</w:t>
      </w:r>
      <w:r>
        <w:rPr>
          <w:rFonts w:hint="eastAsia" w:ascii="宋体" w:hAnsi="宋体" w:eastAsia="宋体" w:cs="宋体"/>
          <w:b/>
          <w:bCs/>
          <w:color w:val="000000"/>
          <w:sz w:val="24"/>
          <w:szCs w:val="24"/>
          <w:highlight w:val="none"/>
        </w:rPr>
        <w:t xml:space="preserve">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color w:val="000000"/>
          <w:sz w:val="24"/>
          <w:szCs w:val="24"/>
          <w:highlight w:val="none"/>
        </w:rPr>
        <w:t xml:space="preserve">，否则发包人</w:t>
      </w:r>
      <w:r>
        <w:rPr>
          <w:rFonts w:hint="eastAsia" w:ascii="宋体" w:hAnsi="宋体" w:eastAsia="宋体" w:cs="宋体"/>
          <w:b/>
          <w:color w:val="000000"/>
          <w:sz w:val="24"/>
          <w:szCs w:val="24"/>
          <w:highlight w:val="none"/>
          <w:lang w:val="en-US" w:eastAsia="zh-CN"/>
        </w:rPr>
        <w:t xml:space="preserve">按</w:t>
      </w:r>
      <w:r>
        <w:rPr>
          <w:rFonts w:hint="eastAsia" w:ascii="宋体" w:hAnsi="宋体" w:eastAsia="宋体" w:cs="宋体"/>
          <w:b/>
          <w:color w:val="000000"/>
          <w:sz w:val="24"/>
          <w:szCs w:val="24"/>
          <w:highlight w:val="none"/>
        </w:rPr>
        <w:t xml:space="preserve">合同价的2%的标准处以承包人违约金。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 承包人在施工期间未能做好环境保护工作，使得周边环境遭到破坏或污染（包括扬尘污染），经监理人认可后，每次按照10000元/次的标准处以承包人违约金。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(15) 建筑垃圾不按照现场总平面布置位置堆放，不按时外运或垃圾堆放场已满，不及时外运，每发现一次，应承担违约金1000元，并按监理通知限定的期限每拖延一天整改，应承担违约金1000元，违约金总额累加。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(16) 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(18) 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(19) 在施工现场穿拖鞋或凉鞋的工人，每人次应承担违约金100元，管理人员每人次应承担违约金200元，违约金总额累加。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(20) 进入施工现场不戴安全帽者，每人次应承担违约金100元，管理人员每人次应承担违约金200元，违约金总额累加。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(21) 安全通道不合格、无安全通道指示标志、无封道指示标志、安全通道无照明、照明设施无人及时维护者，每一项或每一条应承担违约金300元,按监理通知限定的期限每拖一天整改，应承担违约金300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(23) 承包人应加强现场防火管理，若因现场发生火灾而引起的安全事故，承包人应向发包人支付5000元违约金，同时承担一切经济损失及法律责任。</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24）周例会、专题会等，每迟到或早退一次应承担违约金200元人民币，每缺席一次应承担违约金500元人民币，项目经理、项目总工缺席一次支付违约金1000元。如拖延不交者，发包人有权从承包人工程款中加倍扣除。</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（25）承包人须按监理要求报相关文件资料、施工组织设计、专题方案等，除发包人要求的有关文件以外，所有文件资料必须先送达监理，由监理审核转发，拒绝不执行者应承担违约金500元。</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（26）承包人管理人员不能有效组织现场施工，不能与发包人或监理很好配合开展现场的管理工作，或对于工人的无理取闹行为不能采取有效措施加以制止，每次应承担违约金500元。</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（27）限期整改的项目，或周例会、发包人、监理通知要求完成的工作，承包人无正当理由未按时完成，被监理确认，每一项应承担违约金500元，每拖延一天整改应承担违约金100元，违约金总额累计计算。</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（28）监理下发暂停施工指令期间，强行野蛮施工的，每次应承担违约金1000元。</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（29）发包人、监理下达的书面或口头通知，不能及时、较好的配合的应承担违约金500元。</w:t>
      </w:r>
      <w:r>
        <w:rPr>
          <w:rFonts w:hint="eastAsia" w:ascii="宋体" w:hAnsi="宋体" w:eastAsia="宋体" w:cs="宋体"/>
          <w:b/>
          <w:color w:val="000000"/>
          <w:sz w:val="24"/>
          <w:szCs w:val="24"/>
          <w:highlight w:val="none"/>
        </w:rPr>
      </w:r>
      <w:r/>
    </w:p>
    <w:p>
      <w:pPr>
        <w:pStyle w:val="1002"/>
        <w:ind w:firstLine="379"/>
        <w:pageBreakBefore w:val="0"/>
        <w:spacing w:line="360" w:lineRule="auto"/>
        <w:widowControl w:val="off"/>
        <w:rPr>
          <w:rFonts w:hint="eastAsia" w:ascii="宋体" w:hAnsi="宋体" w:eastAsia="宋体" w:cs="宋体"/>
          <w:b/>
          <w:color w:val="000000"/>
          <w:sz w:val="24"/>
          <w:szCs w:val="24"/>
          <w:highlight w:val="none"/>
          <w:u w:val="none"/>
        </w:rPr>
        <w:outlineLvl w:val="9"/>
      </w:pPr>
      <w:r>
        <w:rPr>
          <w:rFonts w:hint="eastAsia" w:ascii="宋体" w:hAnsi="宋体" w:eastAsia="宋体" w:cs="宋体"/>
          <w:b/>
          <w:color w:val="000000"/>
          <w:sz w:val="24"/>
          <w:szCs w:val="24"/>
          <w:highlight w:val="none"/>
          <w:u w:val="none"/>
        </w:rPr>
        <w:t xml:space="preserve">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r>
        <w:rPr>
          <w:rFonts w:hint="eastAsia" w:ascii="宋体" w:hAnsi="宋体" w:eastAsia="宋体" w:cs="宋体"/>
          <w:b/>
          <w:color w:val="000000"/>
          <w:sz w:val="24"/>
          <w:szCs w:val="24"/>
          <w:highlight w:val="none"/>
          <w:u w:val="none"/>
        </w:rPr>
      </w:r>
      <w:r/>
    </w:p>
    <w:p>
      <w:pPr>
        <w:pStyle w:val="1002"/>
        <w:ind w:firstLine="379"/>
        <w:pageBreakBefore w:val="0"/>
        <w:spacing w:line="360" w:lineRule="auto"/>
        <w:widowControl w:val="off"/>
        <w:rPr>
          <w:rFonts w:hint="eastAsia" w:ascii="宋体" w:hAnsi="宋体" w:eastAsia="宋体" w:cs="宋体"/>
          <w:color w:val="000000"/>
          <w:sz w:val="24"/>
          <w:szCs w:val="24"/>
          <w:highlight w:val="none"/>
          <w:u w:val="none"/>
        </w:rPr>
        <w:outlineLvl w:val="9"/>
      </w:pPr>
      <w:r>
        <w:rPr>
          <w:rFonts w:hint="eastAsia" w:ascii="宋体" w:hAnsi="宋体" w:eastAsia="宋体" w:cs="宋体"/>
          <w:b/>
          <w:color w:val="000000"/>
          <w:sz w:val="24"/>
          <w:szCs w:val="24"/>
          <w:highlight w:val="none"/>
          <w:u w:val="none"/>
        </w:rPr>
        <w:t xml:space="preserve">本合同所列违约金，承包人必须在收到处罚通知书后5个工作日内向发包人指定账户缴纳，否则发包人将按违约金额的两倍从工程计量款中扣除。</w:t>
      </w:r>
      <w:r>
        <w:rPr>
          <w:rFonts w:hint="eastAsia" w:ascii="宋体" w:hAnsi="宋体" w:eastAsia="宋体" w:cs="宋体"/>
          <w:color w:val="000000"/>
          <w:sz w:val="24"/>
          <w:szCs w:val="24"/>
          <w:highlight w:val="none"/>
          <w:u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22.1.3 承包人违约解除合同</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在本项后增加一自然段如下：</w:t>
      </w:r>
      <w:r>
        <w:rPr>
          <w:rFonts w:hint="eastAsia" w:ascii="宋体" w:hAnsi="宋体" w:eastAsia="宋体" w:cs="宋体"/>
          <w:b/>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000000"/>
          <w:sz w:val="24"/>
          <w:szCs w:val="24"/>
          <w:highlight w:val="none"/>
          <w:lang w:eastAsia="zh-CN"/>
        </w:rPr>
        <w:t xml:space="preserve">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bookmarkStart w:id="126" w:name="_Hlk73618667"/>
      <w:r>
        <w:rPr>
          <w:rFonts w:hint="eastAsia" w:ascii="宋体" w:hAnsi="宋体" w:eastAsia="宋体" w:cs="宋体"/>
          <w:color w:val="000000"/>
          <w:sz w:val="24"/>
          <w:szCs w:val="24"/>
          <w:highlight w:val="none"/>
        </w:rPr>
        <w:t xml:space="preserve">23.索赔</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23.1 承包人索赔的提出</w:t>
      </w:r>
      <w:r>
        <w:rPr>
          <w:rFonts w:hint="eastAsia" w:ascii="宋体" w:hAnsi="宋体" w:eastAsia="宋体" w:cs="宋体"/>
          <w:color w:val="000000"/>
          <w:sz w:val="24"/>
          <w:szCs w:val="24"/>
          <w:highlight w:val="none"/>
        </w:rPr>
      </w:r>
      <w:r/>
    </w:p>
    <w:p>
      <w:pPr>
        <w:pStyle w:val="1002"/>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工程或工点，不予考虑。</w:t>
      </w:r>
      <w:bookmarkEnd w:id="126"/>
      <w:r>
        <w:rPr>
          <w:rFonts w:hint="eastAsia" w:ascii="宋体" w:hAnsi="宋体" w:eastAsia="宋体" w:cs="宋体"/>
          <w:b/>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补充25款为：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25．廉政建设</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补充26款为：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26．履约考核</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补充27款为：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27．节能、环保要求</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27.1承包人在工程实施期间，应按照国家、江苏省相关文件规定，按照节能、环保的要求进行施工，并制定相应的保障措施。</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承包人应做好以下节能减排管理工作：</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①建立健全能源消耗原始记录和设备能耗台账，按照交通运输部《原材料、能源统计报表制度》的规定，向上级报送能源消耗报表，同时应报送统计分析报告。</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②建立设备用能技术档案，节能技术措施、设备运行能源消耗指标等有关节能方面的技术文件、资料要与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技术文件同等归档。</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③加强能源计量管理，配备必要的能源计量器具。</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④承包人的技术、机务等管理部门，应实行节能管理责任制，并接受上级部门的监督检查。</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⑤加强机械施工组织及设备管理，提高能源效率。</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⑥大力推广应用节能“新技术、新工艺、新产品、新材料”。</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⑦开展节能培训和群众性的节能宣传活动。</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⑨承包人要贯彻执行设备的技术管理制度，对在用的重点耗能设备要实行经常性的维护、保养，定期检查、修理，保持良好的技术状况。</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⑩对技术状况差、耗能高的重点耗能设备，要有停止使用、限期技术改造和更新的具体条件和措施。</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⑪重点耗能设备的节能技术改造必须通过有关节能技术部门的节能技术检测、鉴定，并提出报告，能耗指标达到规定要求的，方可用于施工。</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 承包人应按本合同专用条款9.4款要求做好的环境保护工作外，还应做好以下工作：</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27.3.1 承包人应严格执行国家有关水域或环境生态保护的规定，合理选择施工船机和施工工艺，采取有效措施，减少施工对周边水域的影响。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27.3.2 施工期间承包人应严格执行关于生态的环保措施要求，严禁捕杀珍稀水生生物，并尽可能的不采用爆破或弱爆破工艺，避免对水生生的直接伤害。禁止将废弃物、散体施工材料抛入水中。</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27.3.3 现场发掘的所有化石、有价值的古物和对地质、考古有意义（或价值）的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遣迹或物品，均为政府的绝对财产。一旦发现上述文物，承包人应采用一切有效的预防措施防止其雇员或</w:t>
      </w:r>
      <w:r>
        <w:rPr>
          <w:rFonts w:hint="eastAsia" w:ascii="宋体" w:hAnsi="宋体" w:eastAsia="宋体" w:cs="宋体"/>
          <w:color w:val="000000"/>
          <w:sz w:val="24"/>
          <w:szCs w:val="24"/>
          <w:highlight w:val="none"/>
          <w:lang w:eastAsia="zh-CN"/>
        </w:rPr>
        <w:t xml:space="preserve">其他人员</w:t>
      </w:r>
      <w:r>
        <w:rPr>
          <w:rFonts w:hint="eastAsia" w:ascii="宋体" w:hAnsi="宋体" w:eastAsia="宋体" w:cs="宋体"/>
          <w:color w:val="000000"/>
          <w:sz w:val="24"/>
          <w:szCs w:val="24"/>
          <w:highlight w:val="none"/>
        </w:rPr>
        <w:t xml:space="preserve">占为己有或损坏任何上述物品，并马上通知监理人。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27.3.4 如果由于承包人未执行有关规定而发生赔偿，一切损失及费用应由承包人自行承担。</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补充28款为：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28. 质量、安全、进度检查考核</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建设期间，发包人另行制定建设质量、安全、进度等考核及奖惩管理办法，承包人应遵照执行。</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bookmarkStart w:id="127" w:name="_Hlk73618713"/>
      <w:r>
        <w:rPr>
          <w:rFonts w:hint="eastAsia" w:ascii="宋体" w:hAnsi="宋体" w:eastAsia="宋体" w:cs="宋体"/>
          <w:color w:val="000000"/>
          <w:sz w:val="24"/>
          <w:szCs w:val="24"/>
          <w:highlight w:val="none"/>
        </w:rPr>
        <w:t xml:space="preserve">补充29款为：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29.施工工艺要求</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详见招标文件附件）。</w:t>
      </w:r>
      <w:bookmarkEnd w:id="127"/>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补充30款为：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bookmarkStart w:id="128" w:name="_Hlk73618740"/>
      <w:r>
        <w:rPr>
          <w:rFonts w:hint="eastAsia" w:ascii="宋体" w:hAnsi="宋体" w:eastAsia="宋体" w:cs="宋体"/>
          <w:color w:val="000000"/>
          <w:sz w:val="24"/>
          <w:szCs w:val="24"/>
          <w:highlight w:val="none"/>
        </w:rPr>
        <w:t xml:space="preserve">30.承包人退出机制</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发包人对不能满足各阶段工作目标的承包人实行强制退出本项目建设的办法。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30.1 部分退出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(1)人员退出：承包人的主要管理人员和技术骨干如不满足要求的，按4.6.6项的规定计扣违约金。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(2)机械退出：机械设备达不到额定产能的85%者退出，并按监理人或发包人的要求及时组织性能良好的同类型的机械进驻施工现场。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(3)专业队伍退出：在施工过程中累计发生两次较大质量问题者强制退出。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(4)工程进度达不到上述要求，承包人增加人员、设备仍达不到进度要求的，发包人有权对相应分项工程进行强制分割处理。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30.2 整体退出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(1)出现转包、非法分包；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(2)出现重大安全责任事故，造成严重社会影响；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(3)出现重大质量事故，严重影响工程质量和进度，造成严重社会影响；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(4)由承包人自身原因导致使计划任务无法完成的；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整体退出的施工企业，发包人将建议交通主管部门降低其信用等级。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30.3 退出清算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(1)发包人对承包人整体退出本项目工程建设进行公示，并要求承包人对拖欠款项的单位和个人及时清算；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(2)发包人扣押履约担保、质量保证金，停止计量支付；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(3)承包人必须向发包人提交已完成工程的齐全的施工资料。 </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(4)承包人应无条件接受，但承包人应按发包人要求提供已有的临时设施(如便道、电力线路等)供特殊分包人使用，且承包人不得为此要求增加任何费用。</w:t>
      </w:r>
      <w:bookmarkEnd w:id="128"/>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补充31款为：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31.内控签批</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确保项目资料真实可靠，本项目合同签订前，中标人必须提供针对本项目的内控签批流程，明确项目签字人员名单、身份证号码以及签字留样。本项目将对项目经理部印章样本留样，对项目经理、项目技术负责人签字样本留样。</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补充32款为：</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32.串标、围标</w:t>
      </w:r>
      <w:r>
        <w:rPr>
          <w:rFonts w:hint="eastAsia" w:ascii="宋体" w:hAnsi="宋体" w:eastAsia="宋体" w:cs="宋体"/>
          <w:color w:val="000000"/>
          <w:sz w:val="24"/>
          <w:szCs w:val="24"/>
          <w:highlight w:val="none"/>
        </w:rPr>
      </w:r>
      <w:r/>
    </w:p>
    <w:p>
      <w:pPr>
        <w:pStyle w:val="1002"/>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合同实施过程中，如发包人发现承包人在投标阶段存在串标、围标相关情形，则承包人已完工程量将不予计量支付。</w:t>
      </w: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2"/>
        <w:jc w:val="center"/>
        <w:pageBreakBefore w:val="0"/>
        <w:spacing w:line="360" w:lineRule="auto"/>
        <w:widowControl w:val="off"/>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br w:type="page" w:clear="all"/>
      </w:r>
      <w:bookmarkStart w:id="129" w:name="_Toc503307434"/>
      <w:r/>
      <w:bookmarkStart w:id="130" w:name="_Toc503901926"/>
      <w:r>
        <w:rPr>
          <w:rFonts w:hint="eastAsia" w:ascii="宋体" w:hAnsi="宋体" w:eastAsia="宋体" w:cs="宋体"/>
          <w:bCs w:val="0"/>
          <w:color w:val="000000"/>
          <w:sz w:val="24"/>
          <w:szCs w:val="24"/>
          <w:highlight w:val="none"/>
        </w:rPr>
        <w:t xml:space="preserve">第三节 合同附件格式</w:t>
      </w:r>
      <w:bookmarkEnd w:id="117"/>
      <w:r/>
      <w:bookmarkEnd w:id="129"/>
      <w:r/>
      <w:bookmarkEnd w:id="130"/>
      <w:r>
        <w:rPr>
          <w:rFonts w:hint="eastAsia" w:ascii="宋体" w:hAnsi="宋体" w:eastAsia="宋体" w:cs="宋体"/>
          <w:bCs w:val="0"/>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附件一：合同协议书</w:t>
      </w: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注：引用</w:t>
      </w:r>
      <w:r>
        <w:rPr>
          <w:rFonts w:hint="eastAsia" w:ascii="宋体" w:hAnsi="宋体" w:eastAsia="宋体" w:cs="宋体"/>
          <w:color w:val="000000"/>
          <w:sz w:val="24"/>
          <w:szCs w:val="24"/>
          <w:highlight w:val="none"/>
          <w:lang w:eastAsia="zh-CN"/>
        </w:rPr>
        <w:t xml:space="preserve">中华人民共和国</w:t>
      </w:r>
      <w:r>
        <w:rPr>
          <w:rFonts w:hint="eastAsia" w:ascii="宋体" w:hAnsi="宋体" w:eastAsia="宋体" w:cs="宋体"/>
          <w:color w:val="000000"/>
          <w:sz w:val="24"/>
          <w:szCs w:val="24"/>
          <w:highlight w:val="none"/>
        </w:rPr>
        <w:t xml:space="preserve">交通运输部《公路工程标准施工招标文件》（2018年版）</w:t>
      </w: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附件二：廉政合同</w:t>
      </w: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注：引用</w:t>
      </w:r>
      <w:r>
        <w:rPr>
          <w:rFonts w:hint="eastAsia" w:ascii="宋体" w:hAnsi="宋体" w:eastAsia="宋体" w:cs="宋体"/>
          <w:color w:val="000000"/>
          <w:sz w:val="24"/>
          <w:szCs w:val="24"/>
          <w:highlight w:val="none"/>
          <w:lang w:eastAsia="zh-CN"/>
        </w:rPr>
        <w:t xml:space="preserve">中华人民共和国</w:t>
      </w:r>
      <w:r>
        <w:rPr>
          <w:rFonts w:hint="eastAsia" w:ascii="宋体" w:hAnsi="宋体" w:eastAsia="宋体" w:cs="宋体"/>
          <w:color w:val="000000"/>
          <w:sz w:val="24"/>
          <w:szCs w:val="24"/>
          <w:highlight w:val="none"/>
        </w:rPr>
        <w:t xml:space="preserve">交通运输部《公路工程标准施工招标文件》（2018年版）</w:t>
      </w: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附件三：安全生产合同</w:t>
      </w:r>
      <w:r>
        <w:rPr>
          <w:rFonts w:hint="eastAsia" w:ascii="宋体" w:hAnsi="宋体" w:eastAsia="宋体" w:cs="宋体"/>
          <w:color w:val="000000"/>
          <w:sz w:val="24"/>
          <w:szCs w:val="24"/>
          <w:highlight w:val="none"/>
        </w:rPr>
      </w:r>
      <w:r/>
    </w:p>
    <w:p>
      <w:pPr>
        <w:pStyle w:val="100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注：引用</w:t>
      </w:r>
      <w:r>
        <w:rPr>
          <w:rFonts w:hint="eastAsia" w:ascii="宋体" w:hAnsi="宋体" w:eastAsia="宋体" w:cs="宋体"/>
          <w:color w:val="000000"/>
          <w:sz w:val="24"/>
          <w:szCs w:val="24"/>
          <w:highlight w:val="none"/>
          <w:lang w:eastAsia="zh-CN"/>
        </w:rPr>
        <w:t xml:space="preserve">中华人民共和国</w:t>
      </w:r>
      <w:r>
        <w:rPr>
          <w:rFonts w:hint="eastAsia" w:ascii="宋体" w:hAnsi="宋体" w:eastAsia="宋体" w:cs="宋体"/>
          <w:color w:val="000000"/>
          <w:sz w:val="24"/>
          <w:szCs w:val="24"/>
          <w:highlight w:val="none"/>
        </w:rPr>
        <w:t xml:space="preserve">交通运输部《公路工程标准施工招标文件》（2018年版）</w:t>
      </w:r>
      <w:r>
        <w:rPr>
          <w:rFonts w:hint="eastAsia" w:ascii="宋体" w:hAnsi="宋体" w:eastAsia="宋体" w:cs="宋体"/>
          <w:color w:val="000000"/>
          <w:sz w:val="24"/>
          <w:szCs w:val="24"/>
          <w:highlight w:val="none"/>
        </w:rPr>
      </w:r>
      <w:r/>
    </w:p>
    <w:p>
      <w:pPr>
        <w:pStyle w:val="1002"/>
        <w:pageBreakBefore w:val="0"/>
        <w:spacing w:line="360" w:lineRule="auto"/>
        <w:widowControl w:val="off"/>
        <w:rPr>
          <w:color w:val="000000"/>
          <w:highlight w:val="none"/>
        </w:rPr>
        <w:outlineLvl w:val="9"/>
      </w:pPr>
      <w:r>
        <w:rPr>
          <w:color w:val="000000"/>
          <w:highlight w:val="none"/>
        </w:rPr>
      </w:r>
      <w:r/>
    </w:p>
    <w:p>
      <w:pPr>
        <w:pStyle w:val="1002"/>
        <w:ind w:firstLine="480"/>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002"/>
        <w:spacing w:line="360" w:lineRule="auto"/>
        <w:rPr>
          <w:rFonts w:ascii="宋体" w:hAnsi="宋体" w:eastAsia="宋体" w:cs="宋体"/>
          <w:color w:val="000000"/>
          <w:highlight w:val="none"/>
        </w:rPr>
      </w:pPr>
      <w:r>
        <w:rPr>
          <w:rFonts w:hint="eastAsia" w:ascii="宋体" w:hAnsi="宋体" w:eastAsia="宋体" w:cs="宋体"/>
          <w:color w:val="000000"/>
          <w:highlight w:val="none"/>
        </w:rPr>
        <w:br w:type="page" w:clear="all"/>
      </w:r>
      <w:r>
        <w:rPr>
          <w:rFonts w:ascii="宋体" w:hAnsi="宋体" w:eastAsia="宋体" w:cs="宋体"/>
          <w:color w:val="000000"/>
          <w:highlight w:val="none"/>
        </w:rPr>
      </w:r>
      <w:r/>
    </w:p>
    <w:p>
      <w:pPr>
        <w:pStyle w:val="1002"/>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附件4</w:t>
      </w:r>
      <w:r>
        <w:rPr>
          <w:rFonts w:ascii="宋体" w:hAnsi="宋体" w:eastAsia="宋体" w:cs="宋体"/>
          <w:color w:val="000000"/>
          <w:highlight w:val="none"/>
        </w:rPr>
      </w:r>
      <w:r/>
    </w:p>
    <w:p>
      <w:pPr>
        <w:pStyle w:val="1002"/>
        <w:ind w:left="0" w:firstLine="643"/>
        <w:jc w:val="center"/>
        <w:spacing w:line="360" w:lineRule="auto"/>
        <w:widowControl w:val="off"/>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不拖欠农民工工资承诺书</w:t>
      </w:r>
      <w:r>
        <w:rPr>
          <w:rFonts w:ascii="宋体" w:hAnsi="宋体" w:eastAsia="宋体" w:cs="宋体"/>
          <w:b/>
          <w:bCs/>
          <w:color w:val="000000"/>
          <w:sz w:val="32"/>
          <w:szCs w:val="32"/>
          <w:highlight w:val="none"/>
        </w:rPr>
      </w:r>
      <w:r/>
    </w:p>
    <w:p>
      <w:pPr>
        <w:pStyle w:val="1002"/>
        <w:ind w:firstLine="422"/>
        <w:jc w:val="center"/>
        <w:spacing w:line="360" w:lineRule="auto"/>
        <w:rPr>
          <w:rFonts w:ascii="宋体" w:hAnsi="宋体" w:eastAsia="宋体" w:cs="宋体"/>
          <w:b/>
          <w:color w:val="000000"/>
          <w:szCs w:val="21"/>
          <w:highlight w:val="none"/>
          <w:u w:val="single"/>
        </w:rPr>
      </w:pPr>
      <w:r>
        <w:rPr>
          <w:rFonts w:ascii="宋体" w:hAnsi="宋体" w:eastAsia="宋体" w:cs="宋体"/>
          <w:b/>
          <w:color w:val="000000"/>
          <w:szCs w:val="21"/>
          <w:highlight w:val="none"/>
          <w:u w:val="singl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为保护农民工的合法权益，不拖欠农民工工资，本人（法定代表人姓名）以（承包人全称）法定代表人的资格，郑重承诺：</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本单位中标承建（项目名称）需要使用农民工时，将保证做到：</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》规定雇用和使用农民工，工资将直接发给农民工本人，严禁发放给“包工头”。</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3、严格遵守国家和地方关于农民工工资的其他有关规定。</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处罚决定。</w:t>
      </w: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02"/>
        <w:ind w:left="0" w:right="0" w:firstLine="480"/>
        <w:jc w:val="both"/>
        <w:spacing w:before="0" w:after="0"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02"/>
        <w:ind w:left="0" w:right="0" w:firstLine="480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 </w:t>
      </w:r>
      <w:r>
        <w:rPr>
          <w:rFonts w:ascii="宋体" w:hAnsi="宋体" w:eastAsia="宋体" w:cs="宋体"/>
          <w:color w:val="000000"/>
          <w:sz w:val="24"/>
          <w:szCs w:val="24"/>
          <w:highlight w:val="none"/>
        </w:rPr>
      </w:r>
      <w:r/>
    </w:p>
    <w:p>
      <w:pPr>
        <w:pStyle w:val="1002"/>
        <w:ind w:left="0" w:right="0" w:firstLine="480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ascii="宋体" w:hAnsi="宋体" w:eastAsia="宋体" w:cs="宋体"/>
          <w:color w:val="000000"/>
          <w:sz w:val="24"/>
          <w:szCs w:val="24"/>
          <w:highlight w:val="none"/>
        </w:rPr>
      </w:r>
      <w:r/>
    </w:p>
    <w:p>
      <w:pPr>
        <w:pStyle w:val="1002"/>
        <w:ind w:left="0" w:right="0" w:firstLine="4800"/>
        <w:jc w:val="both"/>
        <w:spacing w:before="0"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ascii="宋体" w:hAnsi="宋体" w:eastAsia="宋体" w:cs="宋体"/>
          <w:color w:val="000000"/>
          <w:sz w:val="24"/>
          <w:szCs w:val="24"/>
          <w:highlight w:val="none"/>
        </w:rPr>
      </w:r>
      <w:r/>
    </w:p>
    <w:p>
      <w:pPr>
        <w:pStyle w:val="1002"/>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1002"/>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bookmarkStart w:id="131" w:name="_Toc12603"/>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91"/>
      <w:r/>
      <w:bookmarkEnd w:id="92"/>
      <w:r/>
      <w:bookmarkEnd w:id="93"/>
      <w:r/>
      <w:bookmarkEnd w:id="94"/>
      <w:r/>
      <w:bookmarkEnd w:id="95"/>
      <w:r>
        <w:rPr>
          <w:rFonts w:hint="eastAsia" w:ascii="宋体" w:hAnsi="宋体" w:eastAsia="宋体" w:cs="宋体"/>
          <w:b/>
          <w:bCs/>
          <w:color w:val="000000"/>
          <w:sz w:val="44"/>
          <w:szCs w:val="44"/>
          <w:highlight w:val="none"/>
          <w:lang w:eastAsia="zh-CN"/>
        </w:rPr>
        <w:t xml:space="preserve">技术标准和要求</w:t>
      </w:r>
      <w:bookmarkEnd w:id="96"/>
      <w:r/>
      <w:bookmarkEnd w:id="97"/>
      <w:r/>
      <w:bookmarkEnd w:id="131"/>
      <w:r>
        <w:rPr>
          <w:rFonts w:hint="eastAsia" w:ascii="宋体" w:hAnsi="宋体" w:eastAsia="宋体" w:cs="宋体"/>
          <w:b/>
          <w:bCs/>
          <w:color w:val="000000"/>
          <w:sz w:val="44"/>
          <w:szCs w:val="44"/>
          <w:highlight w:val="none"/>
          <w:lang w:eastAsia="zh-CN"/>
        </w:rPr>
      </w:r>
      <w:r/>
    </w:p>
    <w:p>
      <w:pPr>
        <w:pStyle w:val="1002"/>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0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color w:val="000000"/>
          <w:sz w:val="24"/>
          <w:szCs w:val="24"/>
          <w:highlight w:val="none"/>
        </w:rPr>
      </w:r>
      <w:r/>
    </w:p>
    <w:p>
      <w:pPr>
        <w:pStyle w:val="1002"/>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1002"/>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（一）本工程采用的计价规范</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1、《公路工程预算定额》（JTG/T3832-2018）；</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2、《公路工程建设项目概算预算编制方法》（JTG3830-2018）；</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3、《公路工程估算定额》（JTG/T3821-2018）；</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4、《公路工程概算定额》（JTG/T3831-2018）；</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5、连云港市及江苏省相关文件精神等。</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（二）本工程采用的技术规范</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1、采用国家现行相关的国家标准和行业标准；</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2、《公路工程标准施工招标文件》（2018年版），本竞争性磋商文件中与《公路工程标准施工招标文件》（2018年版） “第七章  技术规范”同一内容表述不一致时，以本竞争性磋商文件优先。 </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2、采用行业标准的不得低于国家标准； </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lang w:bidi="ar"/>
        </w:rPr>
      </w:r>
      <w:r/>
    </w:p>
    <w:p>
      <w:pPr>
        <w:pStyle w:val="1002"/>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color w:val="000000"/>
          <w:sz w:val="24"/>
          <w:szCs w:val="24"/>
          <w:highlight w:val="none"/>
          <w:lang w:bidi="ar"/>
        </w:rPr>
      </w:r>
      <w:r/>
    </w:p>
    <w:p>
      <w:pPr>
        <w:pStyle w:val="1002"/>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1002"/>
        <w:ind w:firstLine="482"/>
        <w:spacing w:line="360" w:lineRule="auto"/>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30日历天</w:t>
      </w:r>
      <w:r>
        <w:rPr>
          <w:rFonts w:hint="eastAsia" w:ascii="宋体" w:hAnsi="宋体" w:eastAsia="宋体"/>
          <w:b/>
          <w:bCs/>
          <w:i/>
          <w:iCs/>
          <w:color w:val="000000"/>
          <w:highlight w:val="none"/>
          <w:u w:val="single"/>
        </w:rPr>
        <w:t xml:space="preserve">（具体开工日期以采购人</w:t>
      </w:r>
      <w:r>
        <w:rPr>
          <w:rFonts w:hint="eastAsia" w:ascii="宋体" w:hAnsi="宋体" w:eastAsia="宋体"/>
          <w:b/>
          <w:bCs/>
          <w:i/>
          <w:iCs/>
          <w:color w:val="000000"/>
          <w:highlight w:val="none"/>
          <w:u w:val="single"/>
          <w:lang w:val="en-US" w:eastAsia="zh-CN"/>
        </w:rPr>
        <w:t xml:space="preserve">或监理</w:t>
      </w:r>
      <w:r>
        <w:rPr>
          <w:rFonts w:hint="eastAsia" w:ascii="宋体" w:hAnsi="宋体" w:eastAsia="宋体"/>
          <w:b/>
          <w:bCs/>
          <w:i/>
          <w:iCs/>
          <w:color w:val="000000"/>
          <w:highlight w:val="none"/>
          <w:u w:val="single"/>
        </w:rPr>
        <w:t xml:space="preserve">发出的书面开工令为准）。</w:t>
      </w:r>
      <w:r>
        <w:rPr>
          <w:rFonts w:hint="eastAsia" w:ascii="宋体" w:hAnsi="宋体" w:eastAsia="宋体"/>
          <w:b/>
          <w:bCs/>
          <w:i/>
          <w:iCs/>
          <w:color w:val="000000"/>
          <w:highlight w:val="none"/>
          <w:u w:val="single"/>
        </w:rPr>
      </w:r>
      <w:r/>
    </w:p>
    <w:p>
      <w:pPr>
        <w:pStyle w:val="1002"/>
        <w:ind w:firstLine="482"/>
        <w:spacing w:line="360" w:lineRule="auto"/>
        <w:rPr>
          <w:rFonts w:hint="eastAsia" w:ascii="宋体" w:hAnsi="宋体" w:eastAsia="宋体" w:cs="宋体"/>
          <w:b/>
          <w:i/>
          <w:iCs/>
          <w:color w:val="000000"/>
          <w:highlight w:val="none"/>
          <w:u w:val="single"/>
          <w:lang w:eastAsia="zh-CN"/>
        </w:rPr>
      </w:pPr>
      <w:r>
        <w:rPr>
          <w:rFonts w:hint="eastAsia" w:ascii="宋体" w:hAnsi="宋体" w:eastAsia="宋体" w:cs="宋体"/>
          <w:b/>
          <w:i/>
          <w:iCs/>
          <w:color w:val="000000"/>
          <w:highlight w:val="none"/>
          <w:u w:val="single"/>
        </w:rPr>
        <w:t xml:space="preserve">2</w:t>
      </w:r>
      <w:r>
        <w:rPr>
          <w:rFonts w:ascii="宋体" w:hAnsi="宋体" w:eastAsia="宋体" w:cs="宋体"/>
          <w:b/>
          <w:i/>
          <w:iCs/>
          <w:color w:val="000000"/>
          <w:highlight w:val="none"/>
          <w:u w:val="single"/>
        </w:rPr>
        <w:t xml:space="preserve">、付款方式</w:t>
      </w:r>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eastAsia="zh-CN"/>
        </w:rPr>
        <w:t xml:space="preserve">施工过程中发包人向承包人支付工程确认计量款的30％；工程交工验收合格后发包人向承包人支付至工程确认计量款的70％；工程审计结束后发包人向承包人支付至工程审计结算价（最终以发包人委托的有资质第三方机构审计报告为依据）的97%；余下工程审计结算价的3%作为质量保证金在缺陷责任期满且所有相关资料齐全提交发包人审核批准后30日内一次性结清。</w:t>
      </w:r>
      <w:r>
        <w:rPr>
          <w:rFonts w:hint="eastAsia" w:ascii="宋体" w:hAnsi="宋体" w:eastAsia="宋体" w:cs="宋体"/>
          <w:b/>
          <w:i/>
          <w:iCs/>
          <w:color w:val="000000"/>
          <w:highlight w:val="none"/>
          <w:u w:val="single"/>
          <w:lang w:eastAsia="zh-CN"/>
        </w:rPr>
      </w:r>
      <w:r/>
    </w:p>
    <w:p>
      <w:pPr>
        <w:pStyle w:val="1002"/>
        <w:ind w:firstLine="482"/>
        <w:spacing w:line="360" w:lineRule="auto"/>
        <w:rPr>
          <w:rFonts w:hint="eastAsia" w:ascii="宋体" w:hAnsi="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highlight w:val="none"/>
          <w:u w:val="single"/>
        </w:rPr>
        <w:t xml:space="preserve">3</w:t>
      </w:r>
      <w:r>
        <w:rPr>
          <w:rFonts w:ascii="宋体" w:hAnsi="宋体" w:eastAsia="宋体" w:cs="宋体"/>
          <w:b/>
          <w:bCs w:val="0"/>
          <w:i/>
          <w:iCs/>
          <w:color w:val="000000"/>
          <w:highlight w:val="none"/>
          <w:u w:val="single"/>
        </w:rPr>
        <w:t xml:space="preserve">、</w:t>
      </w:r>
      <w:r>
        <w:rPr>
          <w:rFonts w:hint="eastAsia" w:ascii="宋体" w:hAnsi="宋体" w:cs="宋体"/>
          <w:b/>
          <w:bCs w:val="0"/>
          <w:i/>
          <w:iCs/>
          <w:color w:val="000000"/>
          <w:szCs w:val="21"/>
          <w:highlight w:val="none"/>
          <w:u w:val="single"/>
          <w:lang w:bidi="ar"/>
        </w:rPr>
        <w:t xml:space="preserve">质量标准：执行国家现行验收标准，等级为合格。</w:t>
      </w:r>
      <w:r>
        <w:rPr>
          <w:rFonts w:hint="eastAsia" w:ascii="宋体" w:hAnsi="宋体" w:cs="宋体"/>
          <w:b/>
          <w:bCs w:val="0"/>
          <w:i/>
          <w:iCs/>
          <w:color w:val="000000"/>
          <w:szCs w:val="21"/>
          <w:highlight w:val="none"/>
          <w:u w:val="single"/>
          <w:lang w:bidi="ar"/>
        </w:rPr>
      </w:r>
      <w:r/>
    </w:p>
    <w:p>
      <w:pPr>
        <w:pStyle w:val="1002"/>
        <w:ind w:firstLine="482"/>
        <w:spacing w:line="360" w:lineRule="auto"/>
        <w:rPr>
          <w:rFonts w:ascii="宋体" w:hAnsi="宋体" w:eastAsia="宋体" w:cs="宋体"/>
          <w:b/>
          <w:i/>
          <w:iCs/>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highlight w:val="none"/>
          <w:u w:val="single"/>
          <w:lang w:val="en-US" w:eastAsia="zh-CN"/>
        </w:rPr>
        <w:t xml:space="preserve">4</w:t>
      </w:r>
      <w:r>
        <w:rPr>
          <w:rFonts w:hint="eastAsia" w:ascii="宋体" w:hAnsi="宋体" w:eastAsia="宋体" w:cs="宋体"/>
          <w:b/>
          <w:i/>
          <w:iCs/>
          <w:color w:val="000000"/>
          <w:highlight w:val="none"/>
          <w:u w:val="single"/>
        </w:rPr>
        <w:t xml:space="preserve">、</w:t>
      </w:r>
      <w:bookmarkStart w:id="132" w:name="OLE_LINK15"/>
      <w:r>
        <w:rPr>
          <w:rFonts w:ascii="宋体" w:hAnsi="宋体" w:eastAsia="宋体" w:cs="宋体"/>
          <w:b/>
          <w:i/>
          <w:iCs/>
          <w:color w:val="000000"/>
          <w:highlight w:val="none"/>
          <w:u w:val="single"/>
        </w:rPr>
        <w:t xml:space="preserve">履约保证金</w:t>
      </w:r>
      <w:bookmarkEnd w:id="132"/>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val="en-US" w:eastAsia="zh-CN"/>
        </w:rPr>
        <w:t xml:space="preserve">本项目不收取履约保证金</w:t>
      </w:r>
      <w:r>
        <w:rPr>
          <w:rFonts w:ascii="宋体" w:hAnsi="宋体" w:eastAsia="宋体" w:cs="宋体"/>
          <w:b/>
          <w:i/>
          <w:iCs/>
          <w:color w:val="000000"/>
          <w:highlight w:val="none"/>
          <w:u w:val="single"/>
        </w:rPr>
        <w:t xml:space="preserve">。</w:t>
      </w:r>
      <w:r>
        <w:rPr>
          <w:rFonts w:ascii="宋体" w:hAnsi="宋体" w:eastAsia="宋体" w:cs="宋体"/>
          <w:b/>
          <w:i/>
          <w:iCs/>
          <w:color w:val="000000"/>
          <w:highlight w:val="none"/>
          <w:u w:val="single"/>
        </w:rPr>
      </w:r>
      <w:r/>
    </w:p>
    <w:p>
      <w:pPr>
        <w:pStyle w:val="1002"/>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Cs w:val="21"/>
          <w:highlight w:val="none"/>
          <w:u w:val="single"/>
          <w:lang w:val="en-US" w:eastAsia="zh-CN" w:bidi="ar"/>
        </w:rPr>
        <w:t xml:space="preserve">5</w:t>
      </w:r>
      <w:r>
        <w:rPr>
          <w:rFonts w:hint="eastAsia" w:ascii="宋体" w:hAnsi="宋体" w:eastAsia="宋体" w:cs="宋体"/>
          <w:b/>
          <w:bCs w:val="0"/>
          <w:i/>
          <w:iCs/>
          <w:color w:val="000000"/>
          <w:szCs w:val="21"/>
          <w:highlight w:val="none"/>
          <w:u w:val="single"/>
          <w:lang w:bidi="ar"/>
        </w:rPr>
        <w:t xml:space="preserve">、技术标准和要求详见本工程施工图说明以及国家有关的工程建设标准强制性条文。</w:t>
      </w:r>
      <w:r>
        <w:rPr>
          <w:rFonts w:hint="eastAsia" w:ascii="宋体" w:hAnsi="宋体" w:eastAsia="宋体" w:cs="宋体"/>
          <w:b/>
          <w:bCs w:val="0"/>
          <w:i/>
          <w:iCs/>
          <w:color w:val="000000"/>
          <w:szCs w:val="21"/>
          <w:highlight w:val="none"/>
          <w:u w:val="single"/>
          <w:lang w:bidi="ar"/>
        </w:rPr>
      </w:r>
      <w:r/>
    </w:p>
    <w:p>
      <w:pPr>
        <w:pStyle w:val="1002"/>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Cs w:val="21"/>
          <w:highlight w:val="none"/>
          <w:u w:val="single"/>
          <w:lang w:val="en-US" w:eastAsia="zh-CN" w:bidi="ar"/>
        </w:rPr>
        <w:t xml:space="preserve">6</w:t>
      </w:r>
      <w:r>
        <w:rPr>
          <w:rFonts w:hint="eastAsia" w:ascii="宋体" w:hAnsi="宋体" w:eastAsia="宋体" w:cs="宋体"/>
          <w:b/>
          <w:bCs w:val="0"/>
          <w:i/>
          <w:iCs/>
          <w:color w:val="000000"/>
          <w:szCs w:val="21"/>
          <w:highlight w:val="none"/>
          <w:u w:val="single"/>
          <w:lang w:bidi="ar"/>
        </w:rPr>
        <w:t xml:space="preserve">、质量标准：工程交工验收的质量评定：合格且质量评分必须达90分及以上；工程竣工验收的质量评定：优良。安全目标：落实安全生产主体责任，确保本工程无安全生产责任事故发生。</w:t>
      </w:r>
      <w:r>
        <w:rPr>
          <w:rFonts w:hint="eastAsia" w:ascii="宋体" w:hAnsi="宋体" w:eastAsia="宋体" w:cs="宋体"/>
          <w:b/>
          <w:bCs w:val="0"/>
          <w:i/>
          <w:iCs/>
          <w:color w:val="000000"/>
          <w:szCs w:val="21"/>
          <w:highlight w:val="none"/>
          <w:u w:val="single"/>
          <w:lang w:bidi="ar"/>
        </w:rPr>
      </w:r>
      <w:r/>
    </w:p>
    <w:p>
      <w:pPr>
        <w:pStyle w:val="1002"/>
        <w:ind w:firstLine="0"/>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1002"/>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1002"/>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1002"/>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1002"/>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33" w:name="_Toc153678434"/>
      <w:r/>
      <w:bookmarkStart w:id="134" w:name="_Toc142708871"/>
      <w:r/>
      <w:bookmarkStart w:id="135" w:name="_Toc224532089"/>
      <w:r/>
      <w:bookmarkStart w:id="136" w:name="_Toc515874992"/>
      <w:r/>
      <w:bookmarkStart w:id="137" w:name="_Toc6129"/>
      <w:r/>
      <w:bookmarkStart w:id="138" w:name="_Toc28603"/>
      <w:r/>
      <w:bookmarkStart w:id="139" w:name="_Toc204595694"/>
      <w:r>
        <w:rPr>
          <w:rFonts w:hint="eastAsia" w:ascii="宋体" w:hAnsi="宋体" w:eastAsia="宋体" w:cs="宋体"/>
          <w:color w:val="000000"/>
          <w:highlight w:val="none"/>
        </w:rPr>
      </w:r>
      <w:r/>
    </w:p>
    <w:p>
      <w:pPr>
        <w:pStyle w:val="1002"/>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40" w:name="_Toc32727"/>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133"/>
      <w:r/>
      <w:bookmarkEnd w:id="134"/>
      <w:r>
        <w:rPr>
          <w:rFonts w:hint="eastAsia" w:ascii="宋体" w:hAnsi="宋体" w:eastAsia="宋体" w:cs="宋体"/>
          <w:b/>
          <w:bCs/>
          <w:color w:val="000000"/>
          <w:sz w:val="44"/>
          <w:szCs w:val="44"/>
          <w:highlight w:val="none"/>
        </w:rPr>
        <w:t xml:space="preserve">工程量清单</w:t>
      </w:r>
      <w:bookmarkEnd w:id="135"/>
      <w:r/>
      <w:bookmarkEnd w:id="136"/>
      <w:r/>
      <w:bookmarkEnd w:id="137"/>
      <w:r/>
      <w:bookmarkEnd w:id="138"/>
      <w:r/>
      <w:bookmarkEnd w:id="139"/>
      <w:r/>
      <w:bookmarkEnd w:id="140"/>
      <w:r>
        <w:rPr>
          <w:rFonts w:hint="eastAsia" w:ascii="宋体" w:hAnsi="宋体" w:eastAsia="宋体" w:cs="宋体"/>
          <w:color w:val="000000"/>
          <w:highlight w:val="none"/>
        </w:rPr>
      </w:r>
      <w:r/>
    </w:p>
    <w:p>
      <w:pPr>
        <w:pStyle w:val="1002"/>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41" w:name="_Toc515874993"/>
      <w:r/>
      <w:bookmarkStart w:id="142" w:name="_Toc204595695"/>
      <w:r/>
      <w:bookmarkStart w:id="143" w:name="_Toc224532090"/>
      <w:r>
        <w:rPr>
          <w:rFonts w:hint="eastAsia" w:ascii="宋体" w:hAnsi="宋体" w:eastAsia="宋体" w:cs="宋体"/>
          <w:color w:val="000000"/>
          <w:highlight w:val="none"/>
        </w:rPr>
        <w:br w:type="page" w:clear="all"/>
      </w:r>
      <w:bookmarkStart w:id="144" w:name="_Toc10628"/>
      <w:r/>
      <w:bookmarkStart w:id="145" w:name="_Toc9612"/>
      <w:r/>
      <w:bookmarkStart w:id="146" w:name="_Toc1653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141"/>
      <w:r/>
      <w:bookmarkEnd w:id="142"/>
      <w:r/>
      <w:bookmarkEnd w:id="143"/>
      <w:r/>
      <w:bookmarkEnd w:id="144"/>
      <w:r/>
      <w:bookmarkEnd w:id="145"/>
      <w:r/>
      <w:bookmarkEnd w:id="146"/>
      <w:r>
        <w:rPr>
          <w:rFonts w:hint="eastAsia" w:ascii="宋体" w:hAnsi="宋体" w:eastAsia="宋体" w:cs="宋体"/>
          <w:color w:val="000000"/>
          <w:highlight w:val="none"/>
        </w:rPr>
      </w:r>
      <w:r/>
    </w:p>
    <w:p>
      <w:pPr>
        <w:pStyle w:val="1002"/>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147" w:name="_Toc204595696"/>
      <w:r/>
      <w:bookmarkStart w:id="148" w:name="_Toc224532091"/>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02"/>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49" w:name="_Toc13032"/>
      <w:r/>
      <w:bookmarkStart w:id="150" w:name="_Toc515874994"/>
      <w:r>
        <w:rPr>
          <w:rFonts w:hint="eastAsia" w:ascii="宋体" w:hAnsi="宋体" w:eastAsia="宋体" w:cs="宋体"/>
          <w:b/>
          <w:bCs/>
          <w:color w:val="000000"/>
          <w:sz w:val="44"/>
          <w:szCs w:val="44"/>
          <w:highlight w:val="none"/>
          <w:lang w:val="en-US" w:eastAsia="zh-CN" w:bidi="ar-SA"/>
        </w:rPr>
        <w:br w:type="page" w:clear="all"/>
      </w:r>
      <w:bookmarkStart w:id="151" w:name="_Toc13307"/>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149"/>
      <w:r/>
      <w:bookmarkEnd w:id="151"/>
      <w:r>
        <w:rPr>
          <w:rFonts w:hint="eastAsia" w:ascii="宋体" w:hAnsi="宋体" w:eastAsia="宋体" w:cs="宋体"/>
          <w:b/>
          <w:bCs/>
          <w:color w:val="000000"/>
          <w:sz w:val="44"/>
          <w:szCs w:val="44"/>
          <w:highlight w:val="none"/>
        </w:rPr>
      </w:r>
      <w:r/>
    </w:p>
    <w:p>
      <w:pPr>
        <w:pStyle w:val="1372"/>
        <w:ind w:left="0" w:firstLine="0"/>
        <w:spacing w:before="0" w:after="0" w:line="36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rPr>
      </w:r>
      <w:r/>
    </w:p>
    <w:p>
      <w:pPr>
        <w:pStyle w:val="1002"/>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1002"/>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72"/>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二、磋商小组</w:t>
      </w:r>
      <w:r>
        <w:rPr>
          <w:rFonts w:hint="eastAsia" w:ascii="宋体" w:hAnsi="宋体" w:cs="宋体"/>
          <w:b/>
          <w:color w:val="000000"/>
          <w:highlight w:val="none"/>
          <w:lang w:val="en-US" w:eastAsia="zh-CN"/>
        </w:rPr>
      </w:r>
      <w:r/>
    </w:p>
    <w:p>
      <w:pPr>
        <w:pStyle w:val="1002"/>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72"/>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三、评标方法：综合评分法</w:t>
      </w:r>
      <w:r>
        <w:rPr>
          <w:rFonts w:hint="eastAsia" w:ascii="宋体" w:hAnsi="宋体" w:cs="宋体"/>
          <w:b/>
          <w:color w:val="000000"/>
          <w:highlight w:val="none"/>
          <w:lang w:val="en-US" w:eastAsia="zh-CN"/>
        </w:rPr>
      </w:r>
      <w:r/>
    </w:p>
    <w:p>
      <w:pPr>
        <w:pStyle w:val="1372"/>
        <w:spacing w:before="0"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1002"/>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1002"/>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1002"/>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1002"/>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1002"/>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1002"/>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66"/>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66"/>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02"/>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1002"/>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2"/>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1035"/>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75</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92"/>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1068"/>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68"/>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1068"/>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1002"/>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74"/>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(40</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1002"/>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以竣工验收证明时间为准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类似公路工程</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2"/>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1074"/>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1002"/>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项目负责人</w:t>
            </w:r>
            <w:r>
              <w:rPr>
                <w:rFonts w:hint="eastAsia" w:ascii="宋体" w:hAnsi="宋体" w:eastAsia="宋体" w:cs="宋体"/>
                <w:b/>
                <w:bCs/>
                <w:color w:val="000000"/>
                <w:sz w:val="24"/>
                <w:szCs w:val="24"/>
                <w:highlight w:val="none"/>
                <w:lang w:val="en-US" w:eastAsia="zh-CN"/>
              </w:rPr>
            </w:r>
            <w:r/>
          </w:p>
          <w:p>
            <w:pPr>
              <w:pStyle w:val="1002"/>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val="en-US" w:eastAsia="zh-CN"/>
              </w:rPr>
            </w:r>
            <w:r/>
          </w:p>
        </w:tc>
        <w:tc>
          <w:tcPr>
            <w:tcW w:w="6299" w:type="dxa"/>
            <w:vAlign w:val="center"/>
            <w:textDirection w:val="lrTb"/>
            <w:noWrap w:val="false"/>
          </w:tcPr>
          <w:p>
            <w:pPr>
              <w:pStyle w:val="100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拟投入的项目负责人具有中级</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职称得5分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100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注:提供相关证书及社会保险缴纳证明(提供投标单位为其缴纳的2025年3月以来任意一个月的社保。</w:t>
            </w:r>
            <w:r>
              <w:rPr>
                <w:rFonts w:hint="eastAsia" w:ascii="宋体" w:hAnsi="宋体" w:eastAsia="宋体" w:cs="宋体"/>
                <w:b/>
                <w:bCs/>
                <w:color w:val="000000"/>
                <w:sz w:val="24"/>
                <w:szCs w:val="24"/>
                <w:highlight w:val="none"/>
                <w:lang w:val="en-US" w:eastAsia="zh-CN"/>
              </w:rPr>
            </w:r>
            <w:r/>
          </w:p>
        </w:tc>
      </w:tr>
      <w:tr>
        <w:trPr>
          <w:trHeight w:val="90"/>
        </w:trPr>
        <w:tc>
          <w:tcPr>
            <w:tcW w:w="1345" w:type="dxa"/>
            <w:vAlign w:val="top"/>
            <w:vMerge w:val="continue"/>
            <w:textDirection w:val="lrTb"/>
            <w:noWrap w:val="false"/>
          </w:tcPr>
          <w:p>
            <w:pPr>
              <w:pStyle w:val="100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firstLine="0"/>
              <w:jc w:val="center"/>
              <w:spacing w:line="360" w:lineRule="auto"/>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项目团队</w:t>
            </w:r>
            <w:r>
              <w:rPr>
                <w:rFonts w:hint="eastAsia" w:ascii="宋体" w:hAnsi="宋体" w:eastAsia="宋体" w:cs="宋体"/>
                <w:b/>
                <w:color w:val="000000"/>
                <w:sz w:val="24"/>
                <w:szCs w:val="24"/>
                <w:highlight w:val="none"/>
                <w:lang w:val="en-US" w:eastAsia="zh-CN" w:bidi="ar"/>
              </w:rPr>
            </w:r>
            <w:r/>
          </w:p>
          <w:p>
            <w:pPr>
              <w:pStyle w:val="1002"/>
              <w:ind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（15分</w:t>
            </w: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100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供应商拟派项目组成员中(不含项目负责人)技术负责人具有中级及以上职称的得5分；具有专职安全员的得3分；</w:t>
            </w:r>
            <w:r>
              <w:rPr>
                <w:rFonts w:hint="eastAsia" w:ascii="宋体" w:hAnsi="宋体" w:eastAsia="宋体" w:cs="宋体"/>
                <w:color w:val="000000"/>
                <w:sz w:val="24"/>
                <w:szCs w:val="24"/>
                <w:highlight w:val="none"/>
                <w:lang w:val="en-US" w:eastAsia="zh-CN"/>
              </w:rPr>
            </w:r>
            <w:r/>
          </w:p>
          <w:p>
            <w:pPr>
              <w:pStyle w:val="100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另每多增加一人中级工程师及以上职称的得1分。</w:t>
            </w:r>
            <w:r>
              <w:rPr>
                <w:rFonts w:hint="eastAsia" w:ascii="宋体" w:hAnsi="宋体" w:eastAsia="宋体" w:cs="宋体"/>
                <w:color w:val="000000"/>
                <w:sz w:val="24"/>
                <w:szCs w:val="24"/>
                <w:highlight w:val="none"/>
                <w:lang w:val="en-US" w:eastAsia="zh-CN"/>
              </w:rPr>
            </w:r>
            <w:r/>
          </w:p>
          <w:p>
            <w:pPr>
              <w:pStyle w:val="100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本项最高得15分。</w:t>
            </w:r>
            <w:r>
              <w:rPr>
                <w:rFonts w:hint="eastAsia" w:ascii="宋体" w:hAnsi="宋体" w:eastAsia="宋体" w:cs="宋体"/>
                <w:color w:val="000000"/>
                <w:sz w:val="24"/>
                <w:szCs w:val="24"/>
                <w:highlight w:val="none"/>
                <w:lang w:val="en-US" w:eastAsia="zh-CN"/>
              </w:rPr>
            </w:r>
            <w:r/>
          </w:p>
          <w:p>
            <w:pPr>
              <w:pStyle w:val="1002"/>
              <w:spacing w:line="360" w:lineRule="auto"/>
              <w:rPr>
                <w:rFonts w:ascii="宋体" w:hAnsi="宋体" w:eastAsia="宋体" w:cs="宋体"/>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注:提供相关证书及社会保险缴纳证明(提供投标单位为其缴纳的2025年3月以来任意一个月的社保。</w:t>
            </w:r>
            <w:r>
              <w:rPr>
                <w:rFonts w:ascii="宋体" w:hAnsi="宋体" w:eastAsia="宋体" w:cs="宋体"/>
                <w:color w:val="000000"/>
                <w:highlight w:val="none"/>
                <w:lang w:val="en-US" w:eastAsia="zh-CN"/>
              </w:rPr>
            </w:r>
            <w:r/>
          </w:p>
        </w:tc>
      </w:tr>
      <w:tr>
        <w:trPr>
          <w:trHeight w:val="337"/>
        </w:trPr>
        <w:tc>
          <w:tcPr>
            <w:tcW w:w="1345" w:type="dxa"/>
            <w:vAlign w:val="top"/>
            <w:vMerge w:val="restart"/>
            <w:textDirection w:val="lrTb"/>
            <w:noWrap w:val="false"/>
          </w:tcPr>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8"/>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68"/>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35</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68"/>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93"/>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cs="宋体"/>
                <w:b/>
                <w:bCs/>
                <w:color w:val="000000"/>
                <w:spacing w:val="5"/>
                <w:sz w:val="24"/>
                <w:szCs w:val="24"/>
                <w:highlight w:val="none"/>
                <w:lang w:val="en-US" w:eastAsia="zh-CN"/>
              </w:rPr>
              <w:t xml:space="preserve">2.</w:t>
            </w: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393"/>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ascii="宋体" w:hAnsi="宋体" w:eastAsia="宋体" w:cs="宋体"/>
                <w:b/>
                <w:bCs/>
                <w:color w:val="000000"/>
                <w:spacing w:val="5"/>
                <w:sz w:val="24"/>
                <w:szCs w:val="24"/>
                <w:highlight w:val="none"/>
                <w:lang w:val="en-US" w:eastAsia="zh-CN"/>
              </w:rPr>
              <w:t xml:space="preserve">7</w:t>
            </w:r>
            <w:r>
              <w:rPr>
                <w:rFonts w:hint="eastAsia" w:ascii="宋体" w:hAnsi="宋体" w:eastAsia="宋体" w:cs="宋体"/>
                <w:b/>
                <w:bCs/>
                <w:color w:val="000000"/>
                <w:spacing w:val="5"/>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393"/>
              <w:ind w:left="0" w:firstLine="48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1002"/>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76"/>
                <w:rFonts w:hint="eastAsia" w:ascii="宋体" w:hAnsi="宋体" w:eastAsia="宋体" w:cs="宋体"/>
                <w:color w:val="000000"/>
                <w:sz w:val="24"/>
                <w:szCs w:val="24"/>
                <w:highlight w:val="none"/>
                <w:lang w:val="en-US" w:eastAsia="zh-CN" w:bidi="ar"/>
              </w:rPr>
              <w:t xml:space="preserve">7分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02"/>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76"/>
                <w:rFonts w:hint="eastAsia" w:ascii="宋体" w:hAnsi="宋体" w:eastAsia="宋体" w:cs="宋体"/>
                <w:color w:val="000000"/>
                <w:sz w:val="24"/>
                <w:szCs w:val="24"/>
                <w:highlight w:val="none"/>
                <w:lang w:val="en-US" w:eastAsia="zh-CN" w:bidi="ar"/>
              </w:rPr>
              <w:t xml:space="preserve">5分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02"/>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76"/>
                <w:rFonts w:hint="eastAsia" w:ascii="宋体" w:hAnsi="宋体" w:eastAsia="宋体" w:cs="宋体"/>
                <w:color w:val="000000"/>
                <w:sz w:val="24"/>
                <w:szCs w:val="24"/>
                <w:highlight w:val="none"/>
                <w:lang w:val="en-US" w:eastAsia="zh-CN" w:bidi="ar"/>
              </w:rPr>
              <w:t xml:space="preserve">3分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02"/>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重难点分析内容简略单薄，分析深度不足，贴合项目实际程度低，措施无针对性、通用性较强的，得</w:t>
            </w:r>
            <w:r>
              <w:rPr>
                <w:rStyle w:val="1076"/>
                <w:rFonts w:hint="eastAsia" w:ascii="宋体" w:hAnsi="宋体" w:eastAsia="宋体" w:cs="宋体"/>
                <w:color w:val="000000"/>
                <w:sz w:val="24"/>
                <w:szCs w:val="24"/>
                <w:highlight w:val="none"/>
                <w:lang w:val="en-US" w:eastAsia="zh-CN" w:bidi="ar"/>
              </w:rPr>
              <w:t xml:space="preserve">1分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393"/>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068"/>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68"/>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068"/>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68"/>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w:t>
            </w:r>
            <w:r>
              <w:rPr>
                <w:rFonts w:hint="eastAsia" w:ascii="宋体" w:hAnsi="宋体" w:eastAsia="宋体" w:cs="宋体"/>
                <w:bCs/>
                <w:color w:val="000000"/>
                <w:sz w:val="24"/>
                <w:szCs w:val="24"/>
                <w:highlight w:val="none"/>
              </w:rPr>
              <w:t xml:space="preserve">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8"/>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1068"/>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68"/>
              <w:numPr>
                <w:ilvl w:val="0"/>
                <w:numId w:val="0"/>
              </w:numPr>
              <w:ind w:firstLine="480"/>
              <w:jc w:val="both"/>
              <w:spacing w:beforeAutospacing="0" w:afterAutospacing="0" w:line="360" w:lineRule="auto"/>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根据供应商提供的劳动力、机械设备和材料投入计划</w:t>
            </w:r>
            <w:r>
              <w:rPr>
                <w:rFonts w:hint="eastAsia" w:ascii="宋体" w:hAnsi="宋体" w:eastAsia="宋体" w:cs="宋体"/>
                <w:color w:val="000000"/>
                <w:highlight w:val="none"/>
                <w:lang w:val="en-US" w:eastAsia="zh-CN"/>
              </w:rPr>
              <w:t xml:space="preserve">方案进行评审，方案内容包含但不限于：</w:t>
            </w:r>
            <w:r>
              <w:rPr>
                <w:rFonts w:hint="eastAsia" w:ascii="宋体" w:hAnsi="宋体" w:eastAsia="宋体" w:cs="宋体"/>
                <w:color w:val="000000"/>
                <w:highlight w:val="none"/>
                <w:lang w:eastAsia="zh-CN"/>
              </w:rPr>
              <w:t xml:space="preserve">劳动力配备、机械设备及材料投入计划科学性合理性和针对性</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68"/>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68"/>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0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72"/>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7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7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37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Cs/>
          <w:color w:val="000000"/>
          <w:highlight w:val="none"/>
        </w:rPr>
      </w:r>
      <w:r/>
    </w:p>
    <w:p>
      <w:pPr>
        <w:pStyle w:val="1002"/>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52" w:name="_Toc18063"/>
      <w:r/>
      <w:bookmarkStart w:id="153" w:name="_Toc2300"/>
      <w:r/>
      <w:bookmarkStart w:id="154" w:name="_Toc25828"/>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147"/>
      <w:r/>
      <w:bookmarkEnd w:id="148"/>
      <w:r/>
      <w:bookmarkEnd w:id="150"/>
      <w:r/>
      <w:bookmarkEnd w:id="152"/>
      <w:r/>
      <w:bookmarkEnd w:id="153"/>
      <w:r/>
      <w:bookmarkEnd w:id="154"/>
      <w:r>
        <w:rPr>
          <w:rFonts w:hint="eastAsia" w:ascii="宋体" w:hAnsi="宋体" w:eastAsia="宋体" w:cs="宋体"/>
          <w:b/>
          <w:bCs/>
          <w:color w:val="000000"/>
          <w:sz w:val="44"/>
          <w:szCs w:val="44"/>
          <w:highlight w:val="none"/>
        </w:rPr>
      </w:r>
      <w:r/>
    </w:p>
    <w:p>
      <w:pPr>
        <w:pStyle w:val="1002"/>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1002"/>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1002"/>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02"/>
        <w:ind w:left="0" w:firstLine="0"/>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1002"/>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68"/>
        <w:ind w:firstLine="1606"/>
        <w:jc w:val="both"/>
        <w:spacing w:line="360" w:lineRule="auto"/>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68"/>
        <w:ind w:firstLine="1606"/>
        <w:jc w:val="both"/>
        <w:spacing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68"/>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8"/>
        <w:ind w:firstLine="1606"/>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68"/>
        <w:ind w:firstLine="1606"/>
        <w:jc w:val="both"/>
        <w:spacing w:line="360" w:lineRule="auto"/>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6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6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6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6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6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6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68"/>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1002"/>
        <w:jc w:val="center"/>
        <w:spacing w:line="360" w:lineRule="auto"/>
        <w:rPr>
          <w:color w:val="000000"/>
          <w:sz w:val="24"/>
          <w:szCs w:val="24"/>
          <w:highlight w:val="none"/>
        </w:rPr>
      </w:pPr>
      <w:r>
        <w:rPr>
          <w:rFonts w:hint="eastAsia" w:ascii="宋体" w:hAnsi="宋体" w:eastAsia="宋体" w:cs="宋体"/>
          <w:b/>
          <w:bCs/>
          <w:color w:val="000000"/>
          <w:sz w:val="32"/>
          <w:szCs w:val="32"/>
          <w:highlight w:val="none"/>
        </w:rPr>
        <w:t xml:space="preserve">响应文件目录</w:t>
      </w:r>
      <w:r>
        <w:rPr>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color w:val="000000"/>
          <w:sz w:val="24"/>
          <w:szCs w:val="24"/>
          <w:highlight w:val="none"/>
        </w:rPr>
      </w:r>
      <w:r/>
    </w:p>
    <w:p>
      <w:pPr>
        <w:pStyle w:val="1002"/>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02"/>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color w:val="000000"/>
          <w:sz w:val="24"/>
          <w:szCs w:val="24"/>
          <w:highlight w:val="none"/>
        </w:rPr>
      </w:r>
      <w:r/>
    </w:p>
    <w:p>
      <w:pPr>
        <w:pStyle w:val="1002"/>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color w:val="000000"/>
          <w:sz w:val="24"/>
          <w:szCs w:val="24"/>
          <w:highlight w:val="none"/>
          <w:u w:val="singl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color w:val="000000"/>
          <w:sz w:val="24"/>
          <w:szCs w:val="24"/>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68"/>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68"/>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68"/>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68"/>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1002"/>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68"/>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color w:val="000000"/>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68"/>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1002"/>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1002"/>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pStyle w:val="100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1002"/>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1002"/>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1002"/>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rPr>
      </w:r>
      <w:r/>
    </w:p>
    <w:p>
      <w:pPr>
        <w:pStyle w:val="1002"/>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1002"/>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right="-46"/>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02"/>
        <w:ind w:right="4305"/>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法定代表人（签字、签章或印鉴）：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2"/>
        <w:ind w:left="0" w:firstLine="0"/>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68"/>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100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02"/>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1002"/>
        <w:ind w:firstLine="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1002"/>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09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rPr>
        <w:t xml:space="preserve">编号：</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68"/>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1002"/>
        <w:numPr>
          <w:ilvl w:val="0"/>
          <w:numId w:val="0"/>
        </w:numPr>
        <w:ind w:firstLine="480"/>
        <w:jc w:val="left"/>
        <w:spacing w:line="360" w:lineRule="auto"/>
        <w:rPr>
          <w:rFonts w:hint="eastAsia" w:ascii="宋体" w:hAnsi="宋体" w:eastAsia="宋体" w:cs="宋体"/>
          <w:bCs/>
          <w:color w:val="000000"/>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color w:val="000000"/>
          <w:sz w:val="36"/>
          <w:szCs w:val="28"/>
          <w:highlight w:val="none"/>
        </w:rPr>
      </w:r>
      <w:r/>
    </w:p>
    <w:p>
      <w:pPr>
        <w:pStyle w:val="100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0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02"/>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09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02"/>
        <w:numPr>
          <w:ilvl w:val="0"/>
          <w:numId w:val="0"/>
        </w:numPr>
        <w:spacing w:before="0" w:after="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p>
      <w:pPr>
        <w:pStyle w:val="1002"/>
        <w:spacing w:line="360" w:lineRule="auto"/>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68"/>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10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2"/>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1002"/>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1002"/>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1002"/>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02"/>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0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0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0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100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0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100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0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bCs/>
          <w:color w:val="000000"/>
          <w:sz w:val="24"/>
          <w:highlight w:val="none"/>
        </w:rPr>
        <w:t xml:space="preserve">日期：</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1068"/>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1068"/>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68"/>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10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68"/>
        <w:jc w:val="both"/>
        <w:keepLines w:val="0"/>
        <w:keepNext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1002"/>
        <w:numPr>
          <w:ilvl w:val="0"/>
          <w:numId w:val="0"/>
        </w:numPr>
        <w:ind w:left="0" w:firstLine="0"/>
        <w:spacing w:line="360" w:lineRule="auto"/>
        <w:shd w:val="clear" w:color="auto" w:fill="auto"/>
        <w:rPr>
          <w:rFonts w:hint="eastAsia" w:ascii="宋体" w:hAnsi="宋体"/>
          <w:b/>
          <w:bCs/>
          <w:color w:val="000000"/>
          <w:sz w:val="44"/>
          <w:szCs w:val="44"/>
          <w:highlight w:val="none"/>
        </w:rPr>
        <w:outlineLvl w:val="9"/>
      </w:pP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02"/>
        <w:numPr>
          <w:ilvl w:val="0"/>
          <w:numId w:val="0"/>
        </w:numPr>
        <w:jc w:val="center"/>
        <w:spacing w:line="360" w:lineRule="auto"/>
        <w:shd w:val="clear" w:color="auto" w:fill="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声  明</w:t>
      </w:r>
      <w:r>
        <w:rPr>
          <w:rFonts w:hint="eastAsia" w:ascii="宋体" w:hAnsi="宋体"/>
          <w:b/>
          <w:bCs/>
          <w:color w:val="000000"/>
          <w:sz w:val="44"/>
          <w:szCs w:val="44"/>
          <w:highlight w:val="none"/>
        </w:rPr>
      </w:r>
      <w:r/>
    </w:p>
    <w:p>
      <w:pPr>
        <w:pStyle w:val="1002"/>
        <w:pageBreakBefore w:val="0"/>
        <w:spacing w:line="360" w:lineRule="auto"/>
        <w:shd w:val="clear" w:color="auto" w:fill="auto"/>
        <w:widowControl w:val="off"/>
        <w:rPr>
          <w:rFonts w:hint="eastAsia"/>
          <w:color w:val="000000"/>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highlight w:val="none"/>
        </w:rPr>
      </w:r>
      <w:r/>
    </w:p>
    <w:p>
      <w:pPr>
        <w:pStyle w:val="1002"/>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02"/>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供应商（公章）：（加盖CA电子公章）                    </w:t>
      </w:r>
      <w:r>
        <w:rPr>
          <w:rFonts w:hint="eastAsia" w:ascii="宋体" w:hAnsi="宋体"/>
          <w:bCs/>
          <w:color w:val="000000"/>
          <w:sz w:val="24"/>
          <w:highlight w:val="none"/>
        </w:rPr>
      </w:r>
      <w:r/>
    </w:p>
    <w:p>
      <w:pPr>
        <w:pStyle w:val="1002"/>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02"/>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1002"/>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02"/>
        <w:ind w:firstLine="481"/>
        <w:spacing w:line="360" w:lineRule="auto"/>
        <w:shd w:val="clear" w:color="auto" w:fill="auto"/>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年  月  日</w:t>
      </w:r>
      <w:r>
        <w:rPr>
          <w:rFonts w:hint="eastAsia" w:ascii="宋体" w:hAnsi="宋体" w:eastAsia="宋体"/>
          <w:bCs/>
          <w:color w:val="000000"/>
          <w:sz w:val="24"/>
          <w:highlight w:val="none"/>
          <w:lang w:val="en-US" w:eastAsia="zh-CN"/>
        </w:rPr>
      </w:r>
      <w:r/>
    </w:p>
    <w:p>
      <w:pPr>
        <w:pStyle w:val="1002"/>
        <w:ind w:firstLine="480"/>
        <w:spacing w:line="360" w:lineRule="auto"/>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68"/>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rFonts w:hint="eastAsia" w:ascii="黑体" w:hAnsi="宋体" w:eastAsia="黑体" w:cs="黑体"/>
          <w:i/>
          <w:iCs/>
          <w:color w:val="000000"/>
          <w:sz w:val="32"/>
          <w:szCs w:val="32"/>
          <w:highlight w:val="none"/>
          <w:u w:val="single"/>
        </w:rPr>
      </w:r>
      <w:r/>
    </w:p>
    <w:p>
      <w:pPr>
        <w:pStyle w:val="10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2"/>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1002"/>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1002"/>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1002"/>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致：</w:t>
      </w:r>
      <w:r>
        <w:rPr>
          <w:rFonts w:hint="eastAsia" w:ascii="Calibri" w:hAnsi="Calibri" w:eastAsia="宋体" w:cs="Times New Roman"/>
          <w:color w:val="000000"/>
          <w:sz w:val="24"/>
          <w:szCs w:val="24"/>
          <w:highlight w:val="none"/>
          <w:u w:val="single"/>
        </w:rPr>
        <w:t xml:space="preserve">采购单位</w:t>
      </w:r>
      <w:r>
        <w:rPr>
          <w:rFonts w:ascii="Calibri" w:hAnsi="Calibri" w:eastAsia="宋体" w:cs="Times New Roman"/>
          <w:color w:val="000000"/>
          <w:sz w:val="24"/>
          <w:szCs w:val="24"/>
          <w:highlight w:val="none"/>
        </w:rPr>
      </w:r>
      <w:r/>
    </w:p>
    <w:p>
      <w:pPr>
        <w:pStyle w:val="1002"/>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本人</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系</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eastAsia="zh-CN"/>
        </w:rPr>
        <w:t xml:space="preserve">供应商名称</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的</w:t>
      </w:r>
      <w:r>
        <w:rPr>
          <w:rFonts w:ascii="Calibri" w:hAnsi="Calibri" w:eastAsia="宋体" w:cs="Times New Roman"/>
          <w:color w:val="000000"/>
          <w:sz w:val="24"/>
          <w:szCs w:val="24"/>
          <w:highlight w:val="none"/>
        </w:rPr>
        <w:t xml:space="preserve">法定代表人</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t xml:space="preserve">现委托</w:t>
      </w:r>
      <w:r>
        <w:rPr>
          <w:rFonts w:hint="eastAsia" w:ascii="Calibri" w:hAnsi="Calibri" w:eastAsia="宋体" w:cs="Times New Roman"/>
          <w:color w:val="000000"/>
          <w:sz w:val="24"/>
          <w:szCs w:val="24"/>
          <w:highlight w:val="none"/>
          <w:u w:val="single"/>
        </w:rPr>
        <w:t xml:space="preserve"> （姓名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为</w:t>
      </w:r>
      <w:r>
        <w:rPr>
          <w:rFonts w:ascii="Calibri" w:hAnsi="Calibri" w:eastAsia="宋体" w:cs="Times New Roman"/>
          <w:color w:val="000000"/>
          <w:sz w:val="24"/>
          <w:szCs w:val="24"/>
          <w:highlight w:val="none"/>
        </w:rPr>
        <w:t xml:space="preserve">我方代理人。</w:t>
      </w:r>
      <w:r>
        <w:rPr>
          <w:rFonts w:hint="eastAsia" w:ascii="Calibri" w:hAnsi="Calibri" w:eastAsia="宋体" w:cs="Times New Roman"/>
          <w:color w:val="000000"/>
          <w:sz w:val="24"/>
          <w:szCs w:val="24"/>
          <w:highlight w:val="none"/>
        </w:rPr>
        <w:t xml:space="preserve">代理人根据</w:t>
      </w:r>
      <w:r>
        <w:rPr>
          <w:rFonts w:ascii="Calibri" w:hAnsi="Calibri" w:eastAsia="宋体" w:cs="Times New Roman"/>
          <w:color w:val="000000"/>
          <w:sz w:val="24"/>
          <w:szCs w:val="24"/>
          <w:highlight w:val="none"/>
        </w:rPr>
        <w:t xml:space="preserve">授权，以我方名义签署、澄清确认、提交、撤回、修改</w:t>
      </w:r>
      <w:r>
        <w:rPr>
          <w:rFonts w:hint="eastAsia" w:ascii="Calibri" w:hAnsi="Calibri"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项目</w:t>
      </w:r>
      <w:r>
        <w:rPr>
          <w:rFonts w:hint="eastAsia" w:ascii="Calibri" w:hAnsi="Calibri" w:eastAsia="宋体" w:cs="Times New Roman"/>
          <w:color w:val="000000"/>
          <w:sz w:val="24"/>
          <w:szCs w:val="24"/>
          <w:highlight w:val="none"/>
          <w:u w:val="single"/>
        </w:rPr>
        <w:t xml:space="preserve">名称） </w:t>
      </w:r>
      <w:r>
        <w:rPr>
          <w:rFonts w:hint="eastAsia" w:ascii="Calibri" w:hAnsi="Calibri"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项目</w:t>
      </w:r>
      <w:r>
        <w:rPr>
          <w:rFonts w:hint="eastAsia" w:ascii="Calibri" w:hAnsi="Calibri" w:eastAsia="宋体" w:cs="Times New Roman"/>
          <w:color w:val="000000"/>
          <w:sz w:val="24"/>
          <w:szCs w:val="24"/>
          <w:highlight w:val="none"/>
        </w:rPr>
        <w:t xml:space="preserve">编号：</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lang w:val="en-US" w:eastAsia="zh-CN"/>
        </w:rPr>
        <w:t xml:space="preserve">投标</w:t>
      </w:r>
      <w:r>
        <w:rPr>
          <w:rFonts w:hint="eastAsia" w:ascii="Calibri" w:hAnsi="Calibri" w:eastAsia="宋体" w:cs="Times New Roman"/>
          <w:color w:val="000000"/>
          <w:sz w:val="24"/>
          <w:szCs w:val="24"/>
          <w:highlight w:val="none"/>
        </w:rPr>
        <w:t xml:space="preserve">文件和</w:t>
      </w:r>
      <w:r>
        <w:rPr>
          <w:rFonts w:ascii="Calibri" w:hAnsi="Calibri" w:eastAsia="宋体" w:cs="Times New Roman"/>
          <w:color w:val="000000"/>
          <w:sz w:val="24"/>
          <w:szCs w:val="24"/>
          <w:highlight w:val="none"/>
        </w:rPr>
        <w:t xml:space="preserve">处理有关事宜，其法律后果由我方承担。</w:t>
      </w:r>
      <w:r>
        <w:rPr>
          <w:rFonts w:ascii="Calibri" w:hAnsi="Calibri" w:eastAsia="宋体" w:cs="Times New Roman"/>
          <w:color w:val="000000"/>
          <w:sz w:val="24"/>
          <w:szCs w:val="24"/>
          <w:highlight w:val="none"/>
        </w:rPr>
      </w:r>
      <w:r/>
    </w:p>
    <w:p>
      <w:pPr>
        <w:pStyle w:val="1002"/>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w:t>
      </w:r>
      <w:r>
        <w:rPr>
          <w:rFonts w:ascii="Calibri" w:hAnsi="Calibri" w:eastAsia="宋体" w:cs="Times New Roman"/>
          <w:color w:val="000000"/>
          <w:sz w:val="24"/>
          <w:szCs w:val="24"/>
          <w:highlight w:val="none"/>
        </w:rPr>
        <w:t xml:space="preserve">期限：自本</w:t>
      </w:r>
      <w:r>
        <w:rPr>
          <w:rFonts w:hint="eastAsia" w:ascii="Calibri" w:hAnsi="Calibri" w:eastAsia="宋体" w:cs="Times New Roman"/>
          <w:color w:val="000000"/>
          <w:sz w:val="24"/>
          <w:szCs w:val="24"/>
          <w:highlight w:val="none"/>
        </w:rPr>
        <w:t xml:space="preserve">授权</w:t>
      </w:r>
      <w:r>
        <w:rPr>
          <w:rFonts w:ascii="Calibri" w:hAnsi="Calibri" w:eastAsia="宋体" w:cs="Times New Roman"/>
          <w:color w:val="000000"/>
          <w:sz w:val="24"/>
          <w:szCs w:val="24"/>
          <w:highlight w:val="none"/>
        </w:rPr>
        <w:t xml:space="preserve">委托书签署之日起至</w:t>
      </w:r>
      <w:r>
        <w:rPr>
          <w:rFonts w:hint="eastAsia" w:ascii="Calibri" w:hAnsi="Calibri" w:eastAsia="宋体" w:cs="Times New Roman"/>
          <w:color w:val="000000"/>
          <w:sz w:val="24"/>
          <w:szCs w:val="24"/>
          <w:highlight w:val="none"/>
        </w:rPr>
        <w:t xml:space="preserve">响应</w:t>
      </w:r>
      <w:r>
        <w:rPr>
          <w:rFonts w:ascii="Calibri" w:hAnsi="Calibri" w:eastAsia="宋体" w:cs="Times New Roman"/>
          <w:color w:val="000000"/>
          <w:sz w:val="24"/>
          <w:szCs w:val="24"/>
          <w:highlight w:val="none"/>
        </w:rPr>
        <w:t xml:space="preserve">有效期</w:t>
      </w:r>
      <w:r>
        <w:rPr>
          <w:rFonts w:hint="eastAsia" w:ascii="Calibri" w:hAnsi="Calibri" w:eastAsia="宋体" w:cs="Times New Roman"/>
          <w:color w:val="000000"/>
          <w:sz w:val="24"/>
          <w:szCs w:val="24"/>
          <w:highlight w:val="none"/>
        </w:rPr>
        <w:t xml:space="preserve">届满</w:t>
      </w:r>
      <w:r>
        <w:rPr>
          <w:rFonts w:ascii="Calibri" w:hAnsi="Calibri" w:eastAsia="宋体" w:cs="Times New Roman"/>
          <w:color w:val="000000"/>
          <w:sz w:val="24"/>
          <w:szCs w:val="24"/>
          <w:highlight w:val="none"/>
        </w:rPr>
        <w:t xml:space="preserve">之日止。</w:t>
      </w:r>
      <w:r>
        <w:rPr>
          <w:rFonts w:ascii="Calibri" w:hAnsi="Calibri" w:eastAsia="宋体" w:cs="Times New Roman"/>
          <w:color w:val="000000"/>
          <w:sz w:val="24"/>
          <w:szCs w:val="24"/>
          <w:highlight w:val="none"/>
        </w:rPr>
      </w:r>
      <w:r/>
    </w:p>
    <w:p>
      <w:pPr>
        <w:pStyle w:val="1002"/>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代理人</w:t>
      </w:r>
      <w:r>
        <w:rPr>
          <w:rFonts w:ascii="Calibri" w:hAnsi="Calibri" w:eastAsia="宋体" w:cs="Times New Roman"/>
          <w:color w:val="000000"/>
          <w:sz w:val="24"/>
          <w:szCs w:val="24"/>
          <w:highlight w:val="none"/>
        </w:rPr>
        <w:t xml:space="preserve">无转委托权。</w:t>
      </w:r>
      <w:r>
        <w:rPr>
          <w:rFonts w:hint="eastAsia" w:ascii="Calibri" w:hAnsi="Calibri" w:eastAsia="宋体" w:cs="Times New Roman"/>
          <w:color w:val="000000"/>
          <w:sz w:val="24"/>
          <w:szCs w:val="24"/>
          <w:highlight w:val="none"/>
          <w:lang w:eastAsia="zh-CN"/>
        </w:rPr>
      </w:r>
      <w:r/>
    </w:p>
    <w:p>
      <w:pPr>
        <w:pStyle w:val="1002"/>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lang w:eastAsia="zh-CN"/>
        </w:rPr>
      </w:r>
      <w:r/>
    </w:p>
    <w:p>
      <w:pPr>
        <w:pStyle w:val="1002"/>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lang w:eastAsia="zh-CN"/>
        </w:rPr>
        <w:t xml:space="preserve">供应商名称</w:t>
      </w:r>
      <w:r>
        <w:rPr>
          <w:rFonts w:ascii="Calibri" w:hAnsi="Calibri" w:eastAsia="宋体" w:cs="Times New Roman"/>
          <w:color w:val="000000"/>
          <w:sz w:val="24"/>
          <w:szCs w:val="24"/>
          <w:highlight w:val="none"/>
        </w:rPr>
        <w:t xml:space="preserve">（加盖公章）：</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02"/>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法定代表人（签字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或</w:t>
      </w:r>
      <w:r>
        <w:rPr>
          <w:rFonts w:hint="eastAsia" w:ascii="Calibri" w:hAnsi="Calibri" w:eastAsia="宋体" w:cs="Times New Roman"/>
          <w:color w:val="000000"/>
          <w:sz w:val="24"/>
          <w:szCs w:val="24"/>
          <w:highlight w:val="none"/>
        </w:rPr>
        <w:t xml:space="preserve">印鉴）</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02"/>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委托代理</w:t>
      </w:r>
      <w:r>
        <w:rPr>
          <w:rFonts w:ascii="Calibri" w:hAnsi="Calibri" w:eastAsia="宋体" w:cs="Times New Roman"/>
          <w:color w:val="000000"/>
          <w:sz w:val="24"/>
          <w:szCs w:val="24"/>
          <w:highlight w:val="none"/>
        </w:rPr>
        <w:t xml:space="preserve">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02"/>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日期：    年     月     日</w:t>
      </w:r>
      <w:r>
        <w:rPr>
          <w:rFonts w:ascii="Calibri" w:hAnsi="Calibri" w:eastAsia="宋体" w:cs="Times New Roman"/>
          <w:color w:val="000000"/>
          <w:sz w:val="24"/>
          <w:szCs w:val="24"/>
          <w:highlight w:val="none"/>
        </w:rPr>
      </w:r>
      <w:r/>
    </w:p>
    <w:p>
      <w:pPr>
        <w:pStyle w:val="1002"/>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02"/>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68"/>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8"/>
        <w:jc w:val="center"/>
        <w:keepLines/>
        <w:keepNext/>
        <w:spacing w:before="260" w:beforeAutospacing="0" w:after="26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68"/>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color w:val="000000"/>
          <w:highlight w:val="none"/>
        </w:rPr>
      </w:r>
      <w:r/>
    </w:p>
    <w:p>
      <w:pPr>
        <w:pStyle w:val="1068"/>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color w:val="000000"/>
          <w:highlight w:val="none"/>
        </w:rPr>
      </w:r>
      <w:r/>
    </w:p>
    <w:p>
      <w:pPr>
        <w:pStyle w:val="1068"/>
        <w:ind w:left="425"/>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color w:val="000000"/>
          <w:highlight w:val="none"/>
        </w:rPr>
      </w:r>
      <w:r/>
    </w:p>
    <w:p>
      <w:pPr>
        <w:pStyle w:val="1068"/>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color w:val="000000"/>
          <w:highlight w:val="none"/>
        </w:rPr>
      </w:r>
      <w:r/>
    </w:p>
    <w:p>
      <w:pPr>
        <w:pStyle w:val="1002"/>
        <w:ind w:firstLine="480"/>
        <w:spacing w:line="360" w:lineRule="auto"/>
        <w:rPr>
          <w:rFonts w:hint="eastAsia"/>
          <w:color w:val="000000"/>
          <w:sz w:val="24"/>
          <w:highlight w:val="none"/>
        </w:rPr>
      </w:pPr>
      <w:r>
        <w:rPr>
          <w:rFonts w:hint="eastAsia"/>
          <w:color w:val="000000"/>
          <w:sz w:val="24"/>
          <w:highlight w:val="none"/>
        </w:rPr>
      </w:r>
      <w:r/>
    </w:p>
    <w:p>
      <w:pPr>
        <w:pStyle w:val="1002"/>
        <w:ind w:firstLine="480"/>
        <w:spacing w:line="360" w:lineRule="auto"/>
        <w:rPr>
          <w:color w:val="000000"/>
          <w:sz w:val="24"/>
          <w:highlight w:val="none"/>
        </w:rPr>
      </w:pPr>
      <w:r>
        <w:rPr>
          <w:rFonts w:hint="eastAsia"/>
          <w:color w:val="000000"/>
          <w:sz w:val="24"/>
          <w:highlight w:val="none"/>
        </w:rPr>
        <w:t xml:space="preserve">供应商（盖章）：</w:t>
      </w:r>
      <w:r>
        <w:rPr>
          <w:color w:val="000000"/>
          <w:sz w:val="24"/>
          <w:highlight w:val="none"/>
        </w:rPr>
      </w:r>
      <w:r/>
    </w:p>
    <w:p>
      <w:pPr>
        <w:pStyle w:val="1002"/>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02"/>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1002"/>
        <w:spacing w:line="360" w:lineRule="auto"/>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1002"/>
        <w:jc w:val="center"/>
        <w:spacing w:line="360" w:lineRule="auto"/>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1002"/>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1002"/>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02"/>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1002"/>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72"/>
              <w:ind w:firstLine="0"/>
              <w:spacing w:before="0" w:after="0"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72"/>
              <w:ind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72"/>
              <w:ind w:firstLine="0"/>
              <w:jc w:val="right"/>
              <w:spacing w:before="0" w:after="0" w:line="360" w:lineRule="auto"/>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1002"/>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02"/>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02"/>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left="0"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8"/>
        <w:ind w:left="0" w:firstLine="3390"/>
        <w:jc w:val="center"/>
        <w:keepLines/>
        <w:keepNext/>
        <w:spacing w:before="260" w:beforeAutospacing="0" w:after="26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color w:val="000000"/>
          <w:sz w:val="24"/>
          <w:szCs w:val="24"/>
          <w:highlight w:val="none"/>
          <w:u w:val="single"/>
        </w:rPr>
      </w:r>
      <w:r/>
    </w:p>
    <w:p>
      <w:pPr>
        <w:pStyle w:val="1002"/>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1002"/>
        <w:ind w:firstLine="36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002"/>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02"/>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02"/>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02"/>
        <w:ind w:right="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02"/>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02"/>
        <w:ind w:firstLine="360"/>
        <w:spacing w:line="360" w:lineRule="auto"/>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1002"/>
        <w:ind w:firstLine="480"/>
        <w:keepLines w:val="0"/>
        <w:keepNext w:val="0"/>
        <w:pageBreakBefore w:val="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02"/>
        <w:ind w:right="480"/>
        <w:keepLines w:val="0"/>
        <w:keepNext w:val="0"/>
        <w:pageBreakBefore w:val="0"/>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1002"/>
        <w:ind w:right="480"/>
        <w:keepLines w:val="0"/>
        <w:keepNext w:val="0"/>
        <w:pageBreakBefore w:val="0"/>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1002"/>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填报说明：</w:t>
      </w:r>
      <w:r>
        <w:rPr>
          <w:rFonts w:ascii="宋体" w:hAnsi="宋体" w:cs="宋体"/>
          <w:b/>
          <w:color w:val="000000"/>
          <w:szCs w:val="21"/>
          <w:highlight w:val="none"/>
        </w:rPr>
      </w:r>
      <w:r/>
    </w:p>
    <w:p>
      <w:pPr>
        <w:pStyle w:val="1002"/>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1、从业人员、营业收入、资产总额填报上一年度数据，无上一年度数据的新成立企业可不填报。</w:t>
      </w:r>
      <w:r>
        <w:rPr>
          <w:rFonts w:ascii="宋体" w:hAnsi="宋体" w:cs="宋体"/>
          <w:b/>
          <w:color w:val="000000"/>
          <w:szCs w:val="21"/>
          <w:highlight w:val="none"/>
        </w:rPr>
      </w:r>
      <w:r/>
    </w:p>
    <w:p>
      <w:pPr>
        <w:pStyle w:val="1002"/>
        <w:ind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2、请供应商如实填写，所填内容将作为评审的依据。如填写不完整，将不享受扶持政策。</w:t>
      </w:r>
      <w:r>
        <w:rPr>
          <w:rFonts w:ascii="宋体" w:hAnsi="宋体" w:cs="宋体"/>
          <w:b/>
          <w:color w:val="000000"/>
          <w:szCs w:val="21"/>
          <w:highlight w:val="none"/>
        </w:rPr>
      </w:r>
      <w:r/>
    </w:p>
    <w:p>
      <w:pPr>
        <w:pStyle w:val="1002"/>
        <w:ind w:firstLine="480"/>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3、成交供应商的《</w:t>
      </w:r>
      <w:r>
        <w:rPr>
          <w:rFonts w:hint="eastAsia" w:ascii="宋体" w:hAnsi="宋体" w:cs="宋体"/>
          <w:b/>
          <w:color w:val="000000"/>
          <w:szCs w:val="21"/>
          <w:highlight w:val="none"/>
          <w:lang w:eastAsia="zh-CN"/>
        </w:rPr>
        <w:t xml:space="preserve">中小微企业声明函</w:t>
      </w:r>
      <w:r>
        <w:rPr>
          <w:rFonts w:hint="eastAsia" w:ascii="宋体" w:hAnsi="宋体" w:cs="宋体"/>
          <w:b/>
          <w:color w:val="000000"/>
          <w:szCs w:val="21"/>
          <w:highlight w:val="none"/>
        </w:rPr>
        <w:t xml:space="preserve">》随成交结果公开。</w:t>
      </w:r>
      <w:r>
        <w:rPr>
          <w:rFonts w:ascii="宋体" w:hAnsi="宋体" w:cs="宋体"/>
          <w:b/>
          <w:color w:val="000000"/>
          <w:szCs w:val="21"/>
          <w:highlight w:val="none"/>
        </w:rPr>
      </w:r>
      <w:r/>
    </w:p>
    <w:p>
      <w:pPr>
        <w:pStyle w:val="1002"/>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02"/>
        <w:ind w:firstLine="643"/>
        <w:jc w:val="center"/>
        <w:keepLines w:val="0"/>
        <w:keepNext w:val="0"/>
        <w:pageBreakBefore w:val="0"/>
        <w:spacing w:line="360" w:lineRule="auto"/>
        <w:shd w:val="clear" w:color="auto" w:fill="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1002"/>
        <w:jc w:val="center"/>
        <w:spacing w:line="360" w:lineRule="auto"/>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1002"/>
        <w:jc w:val="center"/>
        <w:keepLines w:val="0"/>
        <w:keepNext w:val="0"/>
        <w:pageBreakBefore w:val="0"/>
        <w:spacing w:line="360" w:lineRule="auto"/>
        <w:shd w:val="clear" w:color="auto" w:fill="auto"/>
        <w:rPr>
          <w:rFonts w:ascii="宋体" w:hAnsi="宋体" w:cs="宋体"/>
          <w:bCs/>
          <w:color w:val="000000"/>
          <w:sz w:val="36"/>
          <w:szCs w:val="28"/>
          <w:highlight w:val="none"/>
        </w:rPr>
      </w:pPr>
      <w:r>
        <w:rPr>
          <w:rFonts w:ascii="宋体" w:hAnsi="宋体" w:cs="宋体"/>
          <w:bCs/>
          <w:color w:val="000000"/>
          <w:sz w:val="36"/>
          <w:szCs w:val="28"/>
          <w:highlight w:val="none"/>
        </w:rPr>
      </w:r>
      <w:r/>
    </w:p>
    <w:p>
      <w:pPr>
        <w:pStyle w:val="1002"/>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szCs w:val="24"/>
          <w:highlight w:val="none"/>
        </w:rPr>
      </w:r>
      <w:r/>
    </w:p>
    <w:p>
      <w:pPr>
        <w:pStyle w:val="1002"/>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02"/>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right="480" w:firstLine="456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02"/>
        <w:ind w:firstLine="4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bCs/>
          <w:color w:val="000000"/>
          <w:sz w:val="24"/>
          <w:highlight w:val="none"/>
          <w:lang w:val="en-US" w:eastAsia="zh-CN"/>
        </w:rPr>
        <w:t xml:space="preserve">   年  月  日</w:t>
      </w:r>
      <w:r>
        <w:rPr>
          <w:rFonts w:hint="eastAsia" w:ascii="宋体" w:hAnsi="宋体" w:eastAsia="宋体" w:cs="宋体"/>
          <w:color w:val="000000"/>
          <w:sz w:val="24"/>
          <w:szCs w:val="24"/>
          <w:highlight w:val="none"/>
        </w:rPr>
      </w:r>
      <w:r/>
    </w:p>
    <w:p>
      <w:pPr>
        <w:pStyle w:val="1002"/>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02"/>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02"/>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填报说明：</w:t>
      </w:r>
      <w:r>
        <w:rPr>
          <w:rFonts w:ascii="宋体" w:hAnsi="宋体"/>
          <w:b/>
          <w:color w:val="000000"/>
          <w:szCs w:val="21"/>
          <w:highlight w:val="none"/>
        </w:rPr>
      </w:r>
      <w:r/>
    </w:p>
    <w:p>
      <w:pPr>
        <w:pStyle w:val="1002"/>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1、请供应商如实填写，所填内容将作为评审的依据。如填写不完整或不一致，将不享受扶持政策。</w:t>
      </w:r>
      <w:r>
        <w:rPr>
          <w:rFonts w:ascii="宋体" w:hAnsi="宋体"/>
          <w:b/>
          <w:color w:val="000000"/>
          <w:szCs w:val="21"/>
          <w:highlight w:val="none"/>
        </w:rPr>
      </w:r>
      <w:r/>
    </w:p>
    <w:p>
      <w:pPr>
        <w:pStyle w:val="1002"/>
        <w:ind w:firstLine="422"/>
        <w:jc w:val="left"/>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b/>
          <w:color w:val="000000"/>
          <w:szCs w:val="21"/>
          <w:highlight w:val="none"/>
        </w:rPr>
        <w:t xml:space="preserve">2、成交供应商的《残疾人福利性单位声明函》随成交结果公开。</w:t>
      </w:r>
      <w:r>
        <w:rPr>
          <w:rFonts w:ascii="宋体" w:hAnsi="宋体" w:cs="宋体"/>
          <w:b/>
          <w:color w:val="000000"/>
          <w:szCs w:val="21"/>
          <w:highlight w:val="none"/>
        </w:rPr>
      </w:r>
      <w:r/>
    </w:p>
    <w:p>
      <w:pPr>
        <w:pStyle w:val="1002"/>
        <w:numPr>
          <w:ilvl w:val="0"/>
          <w:numId w:val="0"/>
        </w:numPr>
        <w:keepLines w:val="0"/>
        <w:keepNext w:val="0"/>
        <w:pageBreakBefore w:val="0"/>
        <w:spacing w:line="360" w:lineRule="auto"/>
        <w:shd w:val="clear" w:color="auto" w:fill="auto"/>
        <w:rPr>
          <w:rFonts w:hint="eastAsia" w:ascii="宋体" w:hAnsi="宋体" w:cs="宋体"/>
          <w:b/>
          <w:color w:val="000000"/>
          <w:sz w:val="30"/>
          <w:szCs w:val="30"/>
          <w:highlight w:val="none"/>
          <w:u w:val="single"/>
        </w:rPr>
        <w:outlineLvl w:val="9"/>
      </w:pPr>
      <w:r>
        <w:rPr>
          <w:rFonts w:hint="eastAsia" w:ascii="宋体" w:hAnsi="宋体" w:cs="宋体"/>
          <w:b/>
          <w:color w:val="000000"/>
          <w:sz w:val="30"/>
          <w:szCs w:val="30"/>
          <w:highlight w:val="none"/>
          <w:u w:val="single"/>
        </w:rPr>
      </w:r>
      <w:r/>
    </w:p>
    <w:p>
      <w:pPr>
        <w:pStyle w:val="1002"/>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1002"/>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1002"/>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100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color w:val="000000"/>
          <w:szCs w:val="21"/>
          <w:highlight w:val="none"/>
        </w:rPr>
        <w:t xml:space="preserve">所报项目负责人</w:t>
      </w:r>
      <w:r>
        <w:rPr>
          <w:color w:val="000000"/>
          <w:highlight w:val="none"/>
        </w:rPr>
        <w:t xml:space="preserve">无在建</w:t>
      </w:r>
      <w:r>
        <w:rPr>
          <w:rFonts w:hint="eastAsia"/>
          <w:color w:val="000000"/>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100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1002"/>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100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100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w:t>
      </w:r>
      <w:r>
        <w:rPr>
          <w:rFonts w:hint="eastAsia" w:ascii="宋体" w:hAnsi="宋体" w:eastAsia="宋体" w:cs="宋体"/>
          <w:color w:val="000000"/>
          <w:sz w:val="24"/>
          <w:highlight w:val="none"/>
          <w:lang w:val="en-US" w:eastAsia="zh-CN"/>
        </w:rPr>
        <w:t xml:space="preserve">非法</w:t>
      </w:r>
      <w:r>
        <w:rPr>
          <w:rFonts w:hint="eastAsia" w:ascii="宋体" w:hAnsi="宋体" w:eastAsia="宋体" w:cs="宋体"/>
          <w:color w:val="000000"/>
          <w:sz w:val="24"/>
          <w:highlight w:val="none"/>
        </w:rPr>
        <w:t xml:space="preserve">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color w:val="000000"/>
          <w:spacing w:val="-10"/>
          <w:szCs w:val="21"/>
          <w:highlight w:val="none"/>
        </w:rPr>
        <w:t xml:space="preserve">在</w:t>
      </w:r>
      <w:r>
        <w:rPr>
          <w:rFonts w:hint="eastAsia" w:ascii="宋体" w:hAnsi="宋体" w:cs="宋体"/>
          <w:bCs/>
          <w:color w:val="000000"/>
          <w:spacing w:val="-10"/>
          <w:szCs w:val="21"/>
          <w:highlight w:val="none"/>
          <w:lang w:val="en-US" w:eastAsia="zh-CN"/>
        </w:rPr>
        <w:t xml:space="preserve">响应</w:t>
      </w:r>
      <w:r>
        <w:rPr>
          <w:rFonts w:hint="eastAsia" w:ascii="宋体" w:hAnsi="宋体" w:cs="宋体"/>
          <w:bCs/>
          <w:color w:val="000000"/>
          <w:spacing w:val="-10"/>
          <w:szCs w:val="21"/>
          <w:highlight w:val="none"/>
        </w:rPr>
        <w:t xml:space="preserve">文件递交截止时间当日</w:t>
      </w:r>
      <w:r>
        <w:rPr>
          <w:rFonts w:hint="eastAsia" w:ascii="宋体" w:hAnsi="宋体" w:cs="宋体"/>
          <w:bCs/>
          <w:color w:val="000000"/>
          <w:spacing w:val="-10"/>
          <w:szCs w:val="21"/>
          <w:highlight w:val="none"/>
          <w:lang w:eastAsia="zh-CN"/>
        </w:rPr>
        <w:t xml:space="preserve">，</w:t>
      </w:r>
      <w:r>
        <w:rPr>
          <w:rFonts w:hint="eastAsia" w:ascii="宋体" w:hAnsi="宋体" w:cs="宋体"/>
          <w:bCs/>
          <w:color w:val="000000"/>
          <w:spacing w:val="-10"/>
          <w:szCs w:val="21"/>
          <w:highlight w:val="none"/>
          <w:lang w:val="en-US" w:eastAsia="zh-CN"/>
        </w:rPr>
        <w:t xml:space="preserve">我单位</w:t>
      </w:r>
      <w:r>
        <w:rPr>
          <w:rFonts w:hint="eastAsia" w:ascii="宋体" w:hAnsi="宋体" w:cs="宋体"/>
          <w:bCs/>
          <w:color w:val="000000"/>
          <w:spacing w:val="-10"/>
          <w:szCs w:val="21"/>
          <w:highlight w:val="none"/>
        </w:rPr>
        <w:t xml:space="preserve">动态监管</w:t>
      </w:r>
      <w:r>
        <w:rPr>
          <w:rFonts w:hint="eastAsia" w:ascii="宋体" w:hAnsi="宋体" w:cs="宋体"/>
          <w:bCs/>
          <w:color w:val="000000"/>
          <w:spacing w:val="-10"/>
          <w:szCs w:val="21"/>
          <w:highlight w:val="none"/>
          <w:lang w:val="en-US" w:eastAsia="zh-CN"/>
        </w:rPr>
        <w:t xml:space="preserve">未</w:t>
      </w:r>
      <w:r>
        <w:rPr>
          <w:rFonts w:hint="eastAsia" w:ascii="宋体" w:hAnsi="宋体" w:cs="宋体"/>
          <w:bCs/>
          <w:color w:val="000000"/>
          <w:spacing w:val="-10"/>
          <w:szCs w:val="21"/>
          <w:highlight w:val="none"/>
        </w:rPr>
        <w:t xml:space="preserve">处于不合格状态</w:t>
      </w:r>
      <w:r>
        <w:rPr>
          <w:rFonts w:hint="eastAsia" w:ascii="宋体" w:hAnsi="宋体" w:cs="宋体"/>
          <w:bCs/>
          <w:color w:val="000000"/>
          <w:spacing w:val="-10"/>
          <w:szCs w:val="21"/>
          <w:highlight w:val="none"/>
          <w:lang w:eastAsia="zh-CN"/>
        </w:rPr>
        <w:t xml:space="preserve">。</w:t>
      </w:r>
      <w:r>
        <w:rPr>
          <w:rFonts w:hint="eastAsia" w:ascii="宋体" w:hAnsi="宋体" w:eastAsia="宋体" w:cs="宋体"/>
          <w:color w:val="000000"/>
          <w:sz w:val="24"/>
          <w:highlight w:val="none"/>
          <w:lang w:val="en-US" w:eastAsia="zh-CN"/>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1002"/>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100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1002"/>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68"/>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68"/>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68"/>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1002"/>
        <w:ind w:firstLine="0"/>
        <w:jc w:val="center"/>
        <w:spacing w:line="360" w:lineRule="auto"/>
        <w:rPr>
          <w:rFonts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r>
      <w:r/>
    </w:p>
    <w:p>
      <w:pPr>
        <w:pStyle w:val="1002"/>
        <w:ind w:firstLine="0"/>
        <w:jc w:val="center"/>
        <w:spacing w:line="360" w:lineRule="auto"/>
        <w:rPr>
          <w:rFonts w:hint="eastAsia"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t xml:space="preserve">按工程量清单报价</w:t>
      </w:r>
      <w:r>
        <w:rPr>
          <w:rFonts w:hint="eastAsia" w:ascii="宋体" w:hAnsi="宋体" w:cs="宋体"/>
          <w:color w:val="000000"/>
          <w:sz w:val="28"/>
          <w:szCs w:val="32"/>
          <w:highlight w:val="none"/>
        </w:rPr>
      </w:r>
      <w:r/>
    </w:p>
    <w:p>
      <w:pPr>
        <w:pStyle w:val="1002"/>
        <w:ind w:firstLine="420"/>
        <w:jc w:val="center"/>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pStyle w:val="1002"/>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1002"/>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1002"/>
        <w:ind w:firstLine="442"/>
        <w:spacing w:line="360" w:lineRule="auto"/>
        <w:rPr>
          <w:rFonts w:hint="eastAsia" w:ascii="宋体" w:hAnsi="宋体" w:cs="宋体"/>
          <w:b/>
          <w:color w:val="000000"/>
          <w:sz w:val="28"/>
          <w:szCs w:val="28"/>
          <w:highlight w:val="none"/>
        </w:rPr>
      </w:pPr>
      <w:r>
        <w:rPr>
          <w:rFonts w:ascii="宋体" w:hAnsi="宋体" w:cs="宋体"/>
          <w:b/>
          <w:color w:val="000000"/>
          <w:sz w:val="22"/>
          <w:highlight w:val="none"/>
        </w:rPr>
        <w:t xml:space="preserve">注：各分项最终结算价按照磋商首次报价与最后报价作同比例变动</w:t>
      </w:r>
      <w:r>
        <w:rPr>
          <w:rFonts w:hint="eastAsia" w:ascii="宋体" w:hAnsi="宋体" w:cs="宋体"/>
          <w:b/>
          <w:color w:val="000000"/>
          <w:sz w:val="28"/>
          <w:szCs w:val="28"/>
          <w:highlight w:val="none"/>
        </w:rPr>
      </w:r>
      <w:r/>
    </w:p>
    <w:p>
      <w:pPr>
        <w:pStyle w:val="1002"/>
        <w:ind w:firstLine="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8"/>
        <w:numPr>
          <w:ilvl w:val="0"/>
          <w:numId w:val="0"/>
        </w:numPr>
        <w:jc w:val="both"/>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68"/>
        <w:jc w:val="center"/>
        <w:keepLines w:val="0"/>
        <w:keepNext w:val="0"/>
        <w:spacing w:before="0" w:beforeAutospacing="0" w:after="0" w:afterAutospacing="0" w:line="360" w:lineRule="auto"/>
        <w:shd w:val="clear" w:color="auto" w:fill="auto"/>
        <w:widowControl w:val="off"/>
        <w:rPr>
          <w:rFonts w:hint="eastAsia" w:ascii="宋体" w:hAnsi="宋体" w:eastAsia="宋体" w:cs="宋体"/>
          <w:bCs/>
          <w:color w:val="000000"/>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000000"/>
          <w:sz w:val="32"/>
          <w:szCs w:val="32"/>
          <w:highlight w:val="none"/>
        </w:rPr>
        <w:br w:type="page" w:clear="all"/>
      </w:r>
      <w:bookmarkStart w:id="161" w:name="_Toc30442"/>
      <w:r/>
      <w:bookmarkStart w:id="162" w:name="_Toc2279"/>
      <w:r/>
      <w:bookmarkStart w:id="163" w:name="_Toc22356583"/>
      <w:r/>
      <w:bookmarkStart w:id="164" w:name="_Toc513029281"/>
      <w:r/>
      <w:bookmarkStart w:id="165" w:name="_Toc23828483"/>
      <w:r/>
      <w:bookmarkStart w:id="166" w:name="_Toc49090582"/>
      <w:r/>
      <w:bookmarkStart w:id="167" w:name="_Toc120614284"/>
      <w:r/>
      <w:bookmarkStart w:id="168" w:name="_Toc24878535"/>
      <w:r/>
      <w:bookmarkStart w:id="169" w:name="_Toc120614291"/>
      <w:r/>
      <w:bookmarkStart w:id="170" w:name="_Toc26554103"/>
      <w:r>
        <w:rPr>
          <w:rFonts w:hint="eastAsia" w:ascii="宋体" w:hAnsi="宋体" w:eastAsia="宋体" w:cs="宋体"/>
          <w:bCs/>
          <w:color w:val="000000"/>
          <w:sz w:val="36"/>
          <w:szCs w:val="28"/>
          <w:highlight w:val="none"/>
          <w:lang w:val="en-US" w:eastAsia="zh-CN" w:bidi="ar-SA"/>
        </w:rPr>
        <w:t xml:space="preserve">十</w:t>
      </w:r>
      <w:r>
        <w:rPr>
          <w:rFonts w:hint="eastAsia" w:cs="宋体"/>
          <w:bCs/>
          <w:color w:val="000000"/>
          <w:sz w:val="36"/>
          <w:szCs w:val="28"/>
          <w:highlight w:val="none"/>
          <w:lang w:val="en-US" w:eastAsia="zh-CN" w:bidi="ar-SA"/>
        </w:rPr>
        <w:t xml:space="preserve">三</w:t>
      </w:r>
      <w:r>
        <w:rPr>
          <w:rFonts w:hint="eastAsia" w:ascii="宋体" w:hAnsi="宋体" w:eastAsia="宋体" w:cs="宋体"/>
          <w:bCs/>
          <w:color w:val="000000"/>
          <w:sz w:val="36"/>
          <w:szCs w:val="28"/>
          <w:highlight w:val="none"/>
          <w:lang w:val="en-US" w:eastAsia="zh-CN" w:bidi="ar-SA"/>
        </w:rPr>
        <w:t xml:space="preserve">、商务要求响应及偏离表</w:t>
      </w:r>
      <w:r>
        <w:rPr>
          <w:rFonts w:hint="eastAsia" w:ascii="宋体" w:hAnsi="宋体" w:eastAsia="宋体" w:cs="宋体"/>
          <w:bCs/>
          <w:color w:val="000000"/>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68"/>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71" w:name="_Hlt26782999"/>
            <w:r/>
            <w:bookmarkStart w:id="172" w:name="_Hlt26671343"/>
            <w:r/>
            <w:bookmarkStart w:id="173" w:name="_Hlt24879081"/>
            <w:r/>
            <w:bookmarkStart w:id="174" w:name="_Hlt26609391"/>
            <w:r/>
            <w:bookmarkStart w:id="175" w:name="_Hlt26955064"/>
            <w:r/>
            <w:bookmarkStart w:id="176" w:name="_Hlt26955056"/>
            <w:r/>
            <w:bookmarkStart w:id="177" w:name="_Hlt26671372"/>
            <w:r/>
            <w:bookmarkStart w:id="178" w:name="_Hlt26580838"/>
            <w:r>
              <w:rPr>
                <w:rFonts w:hint="eastAsia" w:ascii="宋体" w:hAnsi="宋体" w:eastAsia="宋体" w:cs="宋体"/>
                <w:color w:val="000000"/>
                <w:sz w:val="24"/>
                <w:szCs w:val="24"/>
                <w:highlight w:val="none"/>
              </w:rPr>
              <w:t xml:space="preserve">序号</w:t>
            </w:r>
            <w:r>
              <w:rPr>
                <w:color w:val="000000"/>
                <w:highlight w:val="none"/>
              </w:rPr>
            </w:r>
            <w:r/>
          </w:p>
        </w:tc>
        <w:tc>
          <w:tcPr>
            <w:tcW w:w="3291" w:type="dxa"/>
            <w:vAlign w:val="center"/>
            <w:textDirection w:val="lrTb"/>
            <w:noWrap w:val="false"/>
          </w:tcPr>
          <w:p>
            <w:pPr>
              <w:pStyle w:val="1068"/>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71"/>
            <w:r/>
            <w:bookmarkEnd w:id="172"/>
            <w:r/>
            <w:bookmarkEnd w:id="173"/>
            <w:r/>
            <w:bookmarkEnd w:id="174"/>
            <w:r/>
            <w:bookmarkEnd w:id="175"/>
            <w:r/>
            <w:bookmarkEnd w:id="176"/>
            <w:r/>
            <w:bookmarkEnd w:id="177"/>
            <w:r/>
            <w:bookmarkEnd w:id="178"/>
            <w:r>
              <w:rPr>
                <w:rFonts w:hint="eastAsia" w:ascii="宋体" w:hAnsi="宋体" w:eastAsia="宋体" w:cs="宋体"/>
                <w:color w:val="000000"/>
                <w:sz w:val="24"/>
                <w:szCs w:val="24"/>
                <w:highlight w:val="none"/>
              </w:rPr>
              <w:t xml:space="preserve">磋商文件要求</w:t>
            </w:r>
            <w:r>
              <w:rPr>
                <w:color w:val="000000"/>
                <w:highlight w:val="none"/>
              </w:rPr>
            </w:r>
            <w:r/>
          </w:p>
        </w:tc>
        <w:tc>
          <w:tcPr>
            <w:tcW w:w="2690" w:type="dxa"/>
            <w:vAlign w:val="center"/>
            <w:textDirection w:val="lrTb"/>
            <w:noWrap w:val="false"/>
          </w:tcPr>
          <w:p>
            <w:pPr>
              <w:pStyle w:val="1068"/>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color w:val="000000"/>
                <w:highlight w:val="none"/>
              </w:rPr>
            </w:r>
            <w:r/>
          </w:p>
        </w:tc>
        <w:tc>
          <w:tcPr>
            <w:tcW w:w="1470" w:type="dxa"/>
            <w:vAlign w:val="center"/>
            <w:textDirection w:val="lrTb"/>
            <w:noWrap w:val="false"/>
          </w:tcPr>
          <w:p>
            <w:pPr>
              <w:pStyle w:val="1068"/>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color w:val="000000"/>
                <w:highlight w:val="none"/>
              </w:rPr>
            </w:r>
            <w:r/>
          </w:p>
        </w:tc>
        <w:tc>
          <w:tcPr>
            <w:tcW w:w="1173" w:type="dxa"/>
            <w:vAlign w:val="center"/>
            <w:textDirection w:val="lrTb"/>
            <w:noWrap w:val="false"/>
          </w:tcPr>
          <w:p>
            <w:pPr>
              <w:pStyle w:val="1068"/>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tc>
        <w:tc>
          <w:tcPr>
            <w:tcW w:w="269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68"/>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bl>
    <w:p>
      <w:pPr>
        <w:pStyle w:val="1068"/>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1068"/>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02"/>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1002"/>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02"/>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02"/>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02"/>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29"/>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1002"/>
        <w:spacing w:line="360" w:lineRule="auto"/>
        <w:shd w:val="clear" w:color="auto" w:fill="auto"/>
        <w:rPr>
          <w:rFonts w:ascii="宋体" w:hAnsi="宋体" w:cs="宋体"/>
          <w:b/>
          <w:bCs/>
          <w:color w:val="000000"/>
          <w:sz w:val="28"/>
          <w:szCs w:val="28"/>
          <w:highlight w:val="none"/>
        </w:rPr>
      </w:pPr>
      <w:r/>
      <w:bookmarkEnd w:id="161"/>
      <w:r/>
      <w:bookmarkEnd w:id="162"/>
      <w:r>
        <w:rPr>
          <w:rFonts w:ascii="宋体" w:hAnsi="宋体" w:cs="宋体"/>
          <w:b/>
          <w:bCs/>
          <w:color w:val="000000"/>
          <w:sz w:val="28"/>
          <w:szCs w:val="28"/>
          <w:highlight w:val="none"/>
        </w:rPr>
      </w:r>
      <w:r/>
    </w:p>
    <w:p>
      <w:pPr>
        <w:pStyle w:val="1002"/>
        <w:spacing w:line="360" w:lineRule="auto"/>
        <w:shd w:val="clear" w:color="auto" w:fill="auto"/>
        <w:rPr>
          <w:rFonts w:ascii="宋体" w:hAnsi="宋体" w:cs="宋体"/>
          <w:b/>
          <w:bCs/>
          <w:color w:val="000000"/>
          <w:sz w:val="28"/>
          <w:szCs w:val="28"/>
          <w:highlight w:val="none"/>
        </w:rPr>
      </w:pPr>
      <w:r/>
      <w:bookmarkStart w:id="179" w:name="_Toc27900"/>
      <w:r/>
      <w:bookmarkEnd w:id="179"/>
      <w:r/>
      <w:bookmarkStart w:id="180" w:name="_Toc20606"/>
      <w:r/>
      <w:bookmarkEnd w:id="180"/>
      <w:r>
        <w:rPr>
          <w:rFonts w:ascii="宋体" w:hAnsi="宋体" w:cs="宋体"/>
          <w:b/>
          <w:bCs/>
          <w:color w:val="000000"/>
          <w:sz w:val="28"/>
          <w:szCs w:val="28"/>
          <w:highlight w:val="none"/>
        </w:rPr>
      </w:r>
      <w:r/>
    </w:p>
    <w:p>
      <w:pPr>
        <w:pStyle w:val="1002"/>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02"/>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02"/>
        <w:jc w:val="center"/>
        <w:spacing w:line="360" w:lineRule="auto"/>
        <w:shd w:val="clear" w:color="auto" w:fill="auto"/>
        <w:rPr>
          <w:rFonts w:ascii="宋体" w:hAnsi="宋体" w:eastAsia="宋体" w:cs="宋体"/>
          <w:color w:val="000000"/>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color w:val="000000"/>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68"/>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3291" w:type="dxa"/>
            <w:vAlign w:val="center"/>
            <w:textDirection w:val="lrTb"/>
            <w:noWrap w:val="false"/>
          </w:tcPr>
          <w:p>
            <w:pPr>
              <w:pStyle w:val="1068"/>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招标文件要求</w:t>
            </w:r>
            <w:r>
              <w:rPr>
                <w:rFonts w:ascii="宋体" w:hAnsi="宋体" w:eastAsia="宋体" w:cs="宋体"/>
                <w:color w:val="000000"/>
                <w:highlight w:val="none"/>
              </w:rPr>
            </w:r>
            <w:r/>
          </w:p>
        </w:tc>
        <w:tc>
          <w:tcPr>
            <w:tcW w:w="2852" w:type="dxa"/>
            <w:vAlign w:val="center"/>
            <w:textDirection w:val="lrTb"/>
            <w:noWrap w:val="false"/>
          </w:tcPr>
          <w:p>
            <w:pPr>
              <w:pStyle w:val="1068"/>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W w:w="1308" w:type="dxa"/>
            <w:vAlign w:val="center"/>
            <w:textDirection w:val="lrTb"/>
            <w:noWrap w:val="false"/>
          </w:tcPr>
          <w:p>
            <w:pPr>
              <w:pStyle w:val="1068"/>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s="宋体"/>
                <w:color w:val="000000"/>
                <w:highlight w:val="none"/>
              </w:rPr>
            </w:r>
            <w:r/>
          </w:p>
        </w:tc>
        <w:tc>
          <w:tcPr>
            <w:tcW w:w="1173" w:type="dxa"/>
            <w:vAlign w:val="center"/>
            <w:textDirection w:val="lrTb"/>
            <w:noWrap w:val="false"/>
          </w:tcPr>
          <w:p>
            <w:pPr>
              <w:pStyle w:val="1068"/>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证明材料</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2852"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68"/>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bl>
    <w:p>
      <w:pPr>
        <w:pStyle w:val="1068"/>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color w:val="000000"/>
          <w:highlight w:val="none"/>
        </w:rPr>
      </w:r>
      <w:r/>
    </w:p>
    <w:p>
      <w:pPr>
        <w:pStyle w:val="1002"/>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ind w:left="0" w:firstLine="0"/>
        <w:jc w:val="both"/>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02"/>
        <w:jc w:val="center"/>
        <w:spacing w:line="360" w:lineRule="auto"/>
        <w:rPr>
          <w:rFonts w:ascii="宋体" w:hAnsi="宋体" w:cs="宋体"/>
          <w:b/>
          <w:bCs/>
          <w:color w:val="000000"/>
          <w:sz w:val="28"/>
          <w:szCs w:val="28"/>
          <w:highlight w:val="none"/>
        </w:rPr>
        <w:outlineLvl w:val="1"/>
      </w:pPr>
      <w:r/>
      <w:bookmarkEnd w:id="163"/>
      <w:r/>
      <w:bookmarkEnd w:id="164"/>
      <w:r/>
      <w:bookmarkEnd w:id="165"/>
      <w:r/>
      <w:bookmarkEnd w:id="166"/>
      <w:r/>
      <w:bookmarkEnd w:id="167"/>
      <w:r/>
      <w:bookmarkEnd w:id="168"/>
      <w:r/>
      <w:bookmarkEnd w:id="169"/>
      <w:r/>
      <w:bookmarkEnd w:id="170"/>
      <w:r>
        <w:rPr>
          <w:rFonts w:hint="eastAsia" w:ascii="宋体" w:hAnsi="宋体" w:cs="宋体"/>
          <w:bCs/>
          <w:color w:val="000000"/>
          <w:sz w:val="36"/>
          <w:szCs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五</w:t>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1002"/>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1002"/>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1002"/>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1002"/>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1002"/>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1002"/>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1002"/>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02"/>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1002"/>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1002"/>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02"/>
        <w:spacing w:line="360" w:lineRule="auto"/>
        <w:rPr>
          <w:rFonts w:ascii="宋体" w:hAnsi="宋体" w:cs="宋体"/>
          <w:b/>
          <w:bCs/>
          <w:color w:val="000000"/>
          <w:sz w:val="28"/>
          <w:highlight w:val="none"/>
        </w:rPr>
      </w:pPr>
      <w:r>
        <w:rPr>
          <w:rFonts w:hint="eastAsia" w:ascii="宋体" w:hAnsi="宋体" w:cs="宋体"/>
          <w:b/>
          <w:bCs/>
          <w:color w:val="000000"/>
          <w:sz w:val="28"/>
          <w:highlight w:val="none"/>
        </w:rPr>
        <w:br w:type="page" w:clear="all"/>
      </w:r>
      <w:r>
        <w:rPr>
          <w:rFonts w:ascii="宋体" w:hAnsi="宋体" w:cs="宋体"/>
          <w:b/>
          <w:bCs/>
          <w:color w:val="000000"/>
          <w:sz w:val="28"/>
          <w:highlight w:val="none"/>
        </w:rPr>
      </w:r>
      <w:r/>
    </w:p>
    <w:p>
      <w:pPr>
        <w:pStyle w:val="1002"/>
        <w:jc w:val="center"/>
        <w:spacing w:line="360" w:lineRule="auto"/>
        <w:rPr>
          <w:rFonts w:ascii="宋体" w:hAnsi="宋体" w:cs="宋体"/>
          <w:bCs/>
          <w:color w:val="000000"/>
          <w:sz w:val="36"/>
          <w:szCs w:val="28"/>
          <w:highlight w:val="none"/>
        </w:rPr>
        <w:outlineLvl w:val="1"/>
      </w:pP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六</w:t>
      </w:r>
      <w:r>
        <w:rPr>
          <w:rFonts w:hint="eastAsia" w:ascii="宋体" w:hAnsi="宋体" w:cs="宋体"/>
          <w:bCs/>
          <w:color w:val="000000"/>
          <w:sz w:val="36"/>
          <w:szCs w:val="28"/>
          <w:highlight w:val="none"/>
        </w:rPr>
        <w:t xml:space="preserve">、类似业绩一览表</w:t>
      </w:r>
      <w:r>
        <w:rPr>
          <w:rFonts w:ascii="宋体" w:hAnsi="宋体" w:cs="宋体"/>
          <w:bCs/>
          <w:color w:val="000000"/>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100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100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100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100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100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100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02"/>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1002"/>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02"/>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02"/>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1002"/>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1002"/>
        <w:spacing w:line="360" w:lineRule="auto"/>
        <w:rPr>
          <w:rFonts w:ascii="宋体" w:hAnsi="宋体" w:cs="宋体"/>
          <w:b/>
          <w:bCs/>
          <w:color w:val="000000"/>
          <w:sz w:val="28"/>
          <w:highlight w:val="none"/>
        </w:rPr>
      </w:pPr>
      <w:r>
        <w:rPr>
          <w:rFonts w:ascii="宋体" w:hAnsi="宋体" w:cs="宋体"/>
          <w:b/>
          <w:bCs/>
          <w:color w:val="000000"/>
          <w:sz w:val="28"/>
          <w:highlight w:val="none"/>
        </w:rPr>
      </w:r>
      <w:r/>
    </w:p>
    <w:p>
      <w:pPr>
        <w:pStyle w:val="1002"/>
        <w:jc w:val="center"/>
        <w:spacing w:line="360" w:lineRule="auto"/>
        <w:rPr>
          <w:rFonts w:ascii="宋体" w:hAnsi="宋体" w:cs="宋体"/>
          <w:bCs/>
          <w:color w:val="000000"/>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七</w:t>
      </w:r>
      <w:r>
        <w:rPr>
          <w:rFonts w:hint="eastAsia" w:ascii="宋体" w:hAnsi="宋体" w:cs="宋体"/>
          <w:bCs/>
          <w:color w:val="000000"/>
          <w:sz w:val="36"/>
          <w:szCs w:val="28"/>
          <w:highlight w:val="none"/>
        </w:rPr>
        <w:t xml:space="preserve">、其他材料</w:t>
      </w:r>
      <w:r>
        <w:rPr>
          <w:rFonts w:ascii="宋体" w:hAnsi="宋体" w:cs="宋体"/>
          <w:bCs/>
          <w:color w:val="000000"/>
          <w:sz w:val="36"/>
          <w:szCs w:val="28"/>
          <w:highlight w:val="none"/>
        </w:rPr>
      </w:r>
      <w:r/>
    </w:p>
    <w:p>
      <w:pPr>
        <w:pStyle w:val="1002"/>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1002"/>
        <w:ind w:firstLine="126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color w:val="000000"/>
          <w:highlight w:val="none"/>
        </w:rPr>
      </w:r>
      <w:r/>
    </w:p>
    <w:p>
      <w:pPr>
        <w:pStyle w:val="100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1002"/>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2"/>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2"/>
                    </w:pPr>
                    <w:r/>
                    <w:r/>
                  </w:p>
                </w:txbxContent>
              </v:textbox>
            </v:shape>
          </w:pict>
        </mc:Fallback>
      </mc:AlternateContent>
    </w: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360"/>
      <w:tabs>
        <w:tab w:val="center" w:pos="4153" w:leader="none"/>
        <w:tab w:val="right" w:pos="8306" w:leader="none"/>
      </w:tabs>
      <w:rPr>
        <w:rStyle w:val="1077"/>
      </w:rPr>
      <w:framePr w:wrap="around" w:vAnchor="text" w:hAnchor="margin" w:xAlign="center" w:y="1"/>
    </w:pPr>
    <w:r>
      <w:fldChar w:fldCharType="begin"/>
    </w:r>
    <w:r>
      <w:rPr>
        <w:rStyle w:val="1077"/>
      </w:rPr>
      <w:instrText xml:space="preserve">PAGE  </w:instrText>
    </w:r>
    <w:r>
      <w:fldChar w:fldCharType="end"/>
    </w:r>
    <w:r>
      <w:rPr>
        <w:rStyle w:val="1077"/>
      </w:rPr>
    </w:r>
    <w:r/>
  </w:p>
  <w:p>
    <w:pPr>
      <w:pStyle w:val="1049"/>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02"/>
                    </w:pPr>
                    <w:r/>
                    <w:r/>
                  </w:p>
                </w:txbxContent>
              </v:textbox>
            </v:shape>
          </w:pict>
        </mc:Fallback>
      </mc:AlternateContent>
    </w:r>
    <w:r>
      <w:rPr>
        <w:szCs w:val="21"/>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left="0" w:firstLine="0"/>
      <w:jc w:val="both"/>
      <w:spacing w:line="240" w:lineRule="auto"/>
      <w:tabs>
        <w:tab w:val="center" w:pos="4153" w:leader="none"/>
        <w:tab w:val="right" w:pos="8306" w:leader="none"/>
      </w:tabs>
      <w:rPr>
        <w:rFonts w:hint="eastAsia"/>
      </w:rPr>
    </w:pPr>
    <w:r>
      <w:rPr>
        <w:rFonts w:hint="eastAsia"/>
        <w:lang w:eastAsia="zh-CN"/>
      </w:rPr>
      <w:t xml:space="preserve">连云港云途项目管理有限公司  </w:t>
    </w:r>
    <w:r>
      <w:rPr>
        <w:rFonts w:hint="eastAsia"/>
      </w:rPr>
      <w:t xml:space="preserve">                                                    竞争性磋商文件</w:t>
    </w:r>
    <w:r>
      <w:rPr>
        <w:rFonts w:hint="eastAsia"/>
      </w:rPr>
    </w:r>
    <w:r/>
  </w:p>
  <w:p>
    <w:pPr>
      <w:pStyle w:val="1051"/>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连云港云途项目管理有限公司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02"/>
      </w:pPr>
      <w:rPr>
        <w:rFonts w:hint="eastAsia"/>
      </w:rPr>
    </w:lvl>
    <w:lvl w:ilvl="1">
      <w:start w:val="1"/>
      <w:numFmt w:val="bullet"/>
      <w:isLgl w:val="false"/>
      <w:suff w:val="tab"/>
      <w:lvlText w:val="o"/>
      <w:lvlJc w:val="left"/>
      <w:pPr>
        <w:pStyle w:val="1002"/>
        <w:ind w:left="1440" w:hanging="360"/>
      </w:pPr>
      <w:rPr>
        <w:rFonts w:ascii="Courier New" w:hAnsi="Courier New" w:eastAsia="Courier New" w:cs="Courier New"/>
      </w:rPr>
    </w:lvl>
    <w:lvl w:ilvl="2">
      <w:start w:val="1"/>
      <w:numFmt w:val="bullet"/>
      <w:isLgl w:val="false"/>
      <w:suff w:val="tab"/>
      <w:lvlText w:val="§"/>
      <w:lvlJc w:val="left"/>
      <w:pPr>
        <w:pStyle w:val="1002"/>
        <w:ind w:left="2160" w:hanging="360"/>
      </w:pPr>
      <w:rPr>
        <w:rFonts w:ascii="Wingdings" w:hAnsi="Wingdings" w:eastAsia="Wingdings" w:cs="Wingdings"/>
      </w:rPr>
    </w:lvl>
    <w:lvl w:ilvl="3">
      <w:start w:val="1"/>
      <w:numFmt w:val="bullet"/>
      <w:isLgl w:val="false"/>
      <w:suff w:val="tab"/>
      <w:lvlText w:val="·"/>
      <w:lvlJc w:val="left"/>
      <w:pPr>
        <w:pStyle w:val="1002"/>
        <w:ind w:left="2880" w:hanging="360"/>
      </w:pPr>
      <w:rPr>
        <w:rFonts w:ascii="Symbol" w:hAnsi="Symbol" w:eastAsia="Symbol" w:cs="Symbol"/>
      </w:rPr>
    </w:lvl>
    <w:lvl w:ilvl="4">
      <w:start w:val="1"/>
      <w:numFmt w:val="bullet"/>
      <w:isLgl w:val="false"/>
      <w:suff w:val="tab"/>
      <w:lvlText w:val="o"/>
      <w:lvlJc w:val="left"/>
      <w:pPr>
        <w:pStyle w:val="1002"/>
        <w:ind w:left="3600" w:hanging="360"/>
      </w:pPr>
      <w:rPr>
        <w:rFonts w:ascii="Courier New" w:hAnsi="Courier New" w:eastAsia="Courier New" w:cs="Courier New"/>
      </w:rPr>
    </w:lvl>
    <w:lvl w:ilvl="5">
      <w:start w:val="1"/>
      <w:numFmt w:val="bullet"/>
      <w:isLgl w:val="false"/>
      <w:suff w:val="tab"/>
      <w:lvlText w:val="§"/>
      <w:lvlJc w:val="left"/>
      <w:pPr>
        <w:pStyle w:val="1002"/>
        <w:ind w:left="4320" w:hanging="360"/>
      </w:pPr>
      <w:rPr>
        <w:rFonts w:ascii="Wingdings" w:hAnsi="Wingdings" w:eastAsia="Wingdings" w:cs="Wingdings"/>
      </w:rPr>
    </w:lvl>
    <w:lvl w:ilvl="6">
      <w:start w:val="1"/>
      <w:numFmt w:val="bullet"/>
      <w:isLgl w:val="false"/>
      <w:suff w:val="tab"/>
      <w:lvlText w:val="·"/>
      <w:lvlJc w:val="left"/>
      <w:pPr>
        <w:pStyle w:val="1002"/>
        <w:ind w:left="5040" w:hanging="360"/>
      </w:pPr>
      <w:rPr>
        <w:rFonts w:ascii="Symbol" w:hAnsi="Symbol" w:eastAsia="Symbol" w:cs="Symbol"/>
      </w:rPr>
    </w:lvl>
    <w:lvl w:ilvl="7">
      <w:start w:val="1"/>
      <w:numFmt w:val="bullet"/>
      <w:isLgl w:val="false"/>
      <w:suff w:val="tab"/>
      <w:lvlText w:val="o"/>
      <w:lvlJc w:val="left"/>
      <w:pPr>
        <w:pStyle w:val="1002"/>
        <w:ind w:left="5760" w:hanging="360"/>
      </w:pPr>
      <w:rPr>
        <w:rFonts w:ascii="Courier New" w:hAnsi="Courier New" w:eastAsia="Courier New" w:cs="Courier New"/>
      </w:rPr>
    </w:lvl>
    <w:lvl w:ilvl="8">
      <w:start w:val="1"/>
      <w:numFmt w:val="bullet"/>
      <w:isLgl w:val="false"/>
      <w:suff w:val="tab"/>
      <w:lvlText w:val="§"/>
      <w:lvlJc w:val="left"/>
      <w:pPr>
        <w:pStyle w:val="1002"/>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name w:val="Heading 1"/>
    <w:basedOn w:val="1002"/>
    <w:next w:val="1002"/>
    <w:link w:val="1116"/>
    <w:uiPriority w:val="9"/>
    <w:qFormat/>
    <w:pPr>
      <w:keepLines/>
      <w:keepNext/>
      <w:spacing w:before="480" w:after="200"/>
      <w:outlineLvl w:val="0"/>
    </w:pPr>
    <w:rPr>
      <w:rFonts w:ascii="Arial" w:hAnsi="Arial" w:eastAsia="Arial" w:cs="Arial"/>
      <w:sz w:val="40"/>
      <w:szCs w:val="40"/>
    </w:rPr>
  </w:style>
  <w:style w:type="paragraph" w:styleId="840">
    <w:name w:val="Heading 2"/>
    <w:basedOn w:val="1002"/>
    <w:next w:val="1002"/>
    <w:link w:val="1208"/>
    <w:uiPriority w:val="9"/>
    <w:unhideWhenUsed/>
    <w:qFormat/>
    <w:pPr>
      <w:keepLines/>
      <w:keepNext/>
      <w:spacing w:before="360" w:after="200"/>
      <w:outlineLvl w:val="1"/>
    </w:pPr>
    <w:rPr>
      <w:rFonts w:ascii="Arial" w:hAnsi="Arial" w:eastAsia="Arial" w:cs="Arial"/>
      <w:sz w:val="34"/>
    </w:rPr>
  </w:style>
  <w:style w:type="paragraph" w:styleId="841">
    <w:name w:val="Heading 3"/>
    <w:basedOn w:val="1002"/>
    <w:next w:val="1002"/>
    <w:link w:val="1177"/>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1002"/>
    <w:next w:val="1002"/>
    <w:link w:val="1121"/>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1002"/>
    <w:next w:val="1002"/>
    <w:link w:val="1118"/>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1002"/>
    <w:next w:val="100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02"/>
    <w:next w:val="100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02"/>
    <w:next w:val="100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02"/>
    <w:next w:val="100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No Spacing"/>
    <w:uiPriority w:val="1"/>
    <w:qFormat/>
    <w:pPr>
      <w:spacing w:before="0" w:after="0" w:line="240" w:lineRule="auto"/>
    </w:pPr>
  </w:style>
  <w:style w:type="paragraph" w:styleId="853">
    <w:name w:val="Title"/>
    <w:basedOn w:val="1002"/>
    <w:next w:val="1002"/>
    <w:link w:val="1207"/>
    <w:uiPriority w:val="10"/>
    <w:qFormat/>
    <w:pPr>
      <w:contextualSpacing/>
      <w:spacing w:before="300" w:after="200"/>
    </w:pPr>
    <w:rPr>
      <w:sz w:val="48"/>
      <w:szCs w:val="48"/>
    </w:rPr>
  </w:style>
  <w:style w:type="paragraph" w:styleId="854">
    <w:name w:val="Subtitle"/>
    <w:basedOn w:val="1002"/>
    <w:next w:val="1002"/>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Header"/>
    <w:basedOn w:val="1002"/>
    <w:link w:val="1128"/>
    <w:uiPriority w:val="99"/>
    <w:unhideWhenUsed/>
    <w:pPr>
      <w:spacing w:after="0" w:line="240" w:lineRule="auto"/>
      <w:tabs>
        <w:tab w:val="center" w:pos="7143" w:leader="none"/>
        <w:tab w:val="right" w:pos="14287" w:leader="none"/>
      </w:tabs>
    </w:pPr>
  </w:style>
  <w:style w:type="paragraph" w:styleId="857">
    <w:name w:val="Footer"/>
    <w:basedOn w:val="1002"/>
    <w:link w:val="859"/>
    <w:uiPriority w:val="99"/>
    <w:unhideWhenUsed/>
    <w:pPr>
      <w:spacing w:after="0" w:line="240" w:lineRule="auto"/>
      <w:tabs>
        <w:tab w:val="center" w:pos="7143" w:leader="none"/>
        <w:tab w:val="right" w:pos="14287" w:leader="none"/>
      </w:tabs>
    </w:pPr>
  </w:style>
  <w:style w:type="paragraph" w:styleId="858">
    <w:name w:val="Caption"/>
    <w:basedOn w:val="1002"/>
    <w:next w:val="1002"/>
    <w:uiPriority w:val="35"/>
    <w:semiHidden/>
    <w:unhideWhenUsed/>
    <w:qFormat/>
    <w:pPr>
      <w:spacing w:line="276" w:lineRule="auto"/>
    </w:pPr>
    <w:rPr>
      <w:b/>
      <w:bCs/>
      <w:color w:val="4f81bd" w:themeColor="accent1"/>
      <w:sz w:val="18"/>
      <w:szCs w:val="18"/>
    </w:rPr>
  </w:style>
  <w:style w:type="character" w:styleId="859">
    <w:name w:val="Caption Char"/>
    <w:basedOn w:val="858"/>
    <w:link w:val="857"/>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2"/>
    <w:link w:val="1120"/>
    <w:uiPriority w:val="99"/>
    <w:semiHidden/>
    <w:unhideWhenUsed/>
    <w:pPr>
      <w:spacing w:after="40" w:line="240" w:lineRule="auto"/>
    </w:pPr>
    <w:rPr>
      <w:sz w:val="18"/>
    </w:rPr>
  </w:style>
  <w:style w:type="character" w:styleId="988">
    <w:name w:val="footnote reference"/>
    <w:uiPriority w:val="99"/>
    <w:unhideWhenUsed/>
    <w:rPr>
      <w:vertAlign w:val="superscript"/>
    </w:rPr>
  </w:style>
  <w:style w:type="paragraph" w:styleId="989">
    <w:name w:val="endnote text"/>
    <w:basedOn w:val="1002"/>
    <w:link w:val="990"/>
    <w:uiPriority w:val="99"/>
    <w:semiHidden/>
    <w:unhideWhenUsed/>
    <w:pPr>
      <w:spacing w:after="0" w:line="240" w:lineRule="auto"/>
    </w:pPr>
    <w:rPr>
      <w:sz w:val="20"/>
    </w:rPr>
  </w:style>
  <w:style w:type="character" w:styleId="990">
    <w:name w:val="Endnote Text Char"/>
    <w:link w:val="989"/>
    <w:uiPriority w:val="99"/>
    <w:rPr>
      <w:sz w:val="20"/>
    </w:rPr>
  </w:style>
  <w:style w:type="character" w:styleId="991">
    <w:name w:val="endnote reference"/>
    <w:uiPriority w:val="99"/>
    <w:semiHidden/>
    <w:unhideWhenUsed/>
    <w:rPr>
      <w:vertAlign w:val="superscript"/>
    </w:rPr>
  </w:style>
  <w:style w:type="paragraph" w:styleId="992">
    <w:name w:val="toc 1"/>
    <w:basedOn w:val="1002"/>
    <w:next w:val="1002"/>
    <w:uiPriority w:val="39"/>
    <w:unhideWhenUsed/>
    <w:pPr>
      <w:ind w:left="0" w:right="0" w:firstLine="0"/>
      <w:spacing w:after="57"/>
    </w:pPr>
  </w:style>
  <w:style w:type="paragraph" w:styleId="993">
    <w:name w:val="toc 2"/>
    <w:basedOn w:val="1002"/>
    <w:next w:val="1002"/>
    <w:uiPriority w:val="39"/>
    <w:unhideWhenUsed/>
    <w:pPr>
      <w:ind w:left="283" w:right="0" w:firstLine="0"/>
      <w:spacing w:after="57"/>
    </w:pPr>
  </w:style>
  <w:style w:type="paragraph" w:styleId="994">
    <w:name w:val="toc 3"/>
    <w:basedOn w:val="1002"/>
    <w:next w:val="1002"/>
    <w:uiPriority w:val="39"/>
    <w:unhideWhenUsed/>
    <w:pPr>
      <w:ind w:left="567" w:right="0" w:firstLine="0"/>
      <w:spacing w:after="57"/>
    </w:pPr>
  </w:style>
  <w:style w:type="paragraph" w:styleId="995">
    <w:name w:val="toc 4"/>
    <w:basedOn w:val="1002"/>
    <w:next w:val="1002"/>
    <w:uiPriority w:val="39"/>
    <w:unhideWhenUsed/>
    <w:pPr>
      <w:ind w:left="850" w:right="0" w:firstLine="0"/>
      <w:spacing w:after="57"/>
    </w:pPr>
  </w:style>
  <w:style w:type="paragraph" w:styleId="996">
    <w:name w:val="toc 5"/>
    <w:basedOn w:val="1002"/>
    <w:next w:val="1002"/>
    <w:uiPriority w:val="39"/>
    <w:unhideWhenUsed/>
    <w:pPr>
      <w:ind w:left="1134" w:right="0" w:firstLine="0"/>
      <w:spacing w:after="57"/>
    </w:pPr>
  </w:style>
  <w:style w:type="paragraph" w:styleId="997">
    <w:name w:val="toc 6"/>
    <w:basedOn w:val="1002"/>
    <w:next w:val="1002"/>
    <w:uiPriority w:val="39"/>
    <w:unhideWhenUsed/>
    <w:pPr>
      <w:ind w:left="1417" w:right="0" w:firstLine="0"/>
      <w:spacing w:after="57"/>
    </w:pPr>
  </w:style>
  <w:style w:type="paragraph" w:styleId="998">
    <w:name w:val="toc 7"/>
    <w:basedOn w:val="1002"/>
    <w:next w:val="1002"/>
    <w:uiPriority w:val="39"/>
    <w:unhideWhenUsed/>
    <w:pPr>
      <w:ind w:left="1701" w:right="0" w:firstLine="0"/>
      <w:spacing w:after="57"/>
    </w:pPr>
  </w:style>
  <w:style w:type="paragraph" w:styleId="999">
    <w:name w:val="toc 8"/>
    <w:basedOn w:val="1002"/>
    <w:next w:val="1002"/>
    <w:uiPriority w:val="39"/>
    <w:unhideWhenUsed/>
    <w:pPr>
      <w:ind w:left="1984" w:right="0" w:firstLine="0"/>
      <w:spacing w:after="57"/>
    </w:pPr>
  </w:style>
  <w:style w:type="paragraph" w:styleId="1000">
    <w:name w:val="toc 9"/>
    <w:basedOn w:val="1002"/>
    <w:next w:val="1002"/>
    <w:uiPriority w:val="39"/>
    <w:unhideWhenUsed/>
    <w:pPr>
      <w:ind w:left="2268" w:right="0" w:firstLine="0"/>
      <w:spacing w:after="57"/>
    </w:pPr>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ind w:firstLine="802"/>
      <w:jc w:val="both"/>
      <w:spacing w:line="360" w:lineRule="auto"/>
      <w:widowControl w:val="off"/>
    </w:pPr>
    <w:rPr>
      <w:sz w:val="24"/>
      <w:szCs w:val="24"/>
      <w:lang w:val="en-US" w:eastAsia="zh-CN" w:bidi="ar-SA"/>
    </w:rPr>
  </w:style>
  <w:style w:type="paragraph" w:styleId="1003">
    <w:name w:val="标题 1"/>
    <w:basedOn w:val="1002"/>
    <w:next w:val="1002"/>
    <w:link w:val="1014"/>
    <w:qFormat/>
    <w:pPr>
      <w:ind w:firstLine="0"/>
      <w:jc w:val="center"/>
      <w:keepLines/>
      <w:keepNext/>
      <w:spacing w:line="360" w:lineRule="auto"/>
      <w:outlineLvl w:val="0"/>
    </w:pPr>
    <w:rPr>
      <w:b/>
      <w:bCs/>
      <w:color w:val="000000"/>
      <w:sz w:val="36"/>
      <w:szCs w:val="44"/>
    </w:rPr>
  </w:style>
  <w:style w:type="paragraph" w:styleId="1004">
    <w:name w:val="标题 2"/>
    <w:basedOn w:val="1002"/>
    <w:next w:val="1002"/>
    <w:link w:val="1015"/>
    <w:uiPriority w:val="9"/>
    <w:qFormat/>
    <w:pPr>
      <w:ind w:firstLine="0"/>
      <w:keepLines/>
      <w:keepNext/>
      <w:spacing w:line="360" w:lineRule="auto"/>
      <w:outlineLvl w:val="1"/>
    </w:pPr>
    <w:rPr>
      <w:rFonts w:ascii="Cambria" w:hAnsi="Cambria"/>
      <w:b/>
      <w:bCs/>
      <w:sz w:val="28"/>
      <w:szCs w:val="32"/>
    </w:rPr>
  </w:style>
  <w:style w:type="paragraph" w:styleId="1005">
    <w:name w:val="标题 3"/>
    <w:basedOn w:val="1002"/>
    <w:next w:val="1017"/>
    <w:link w:val="1016"/>
    <w:qFormat/>
    <w:pPr>
      <w:keepLines/>
      <w:keepNext/>
      <w:spacing w:line="360" w:lineRule="auto"/>
      <w:outlineLvl w:val="2"/>
    </w:pPr>
    <w:rPr>
      <w:bCs/>
      <w:szCs w:val="32"/>
    </w:rPr>
  </w:style>
  <w:style w:type="paragraph" w:styleId="1006">
    <w:name w:val="标题 4"/>
    <w:basedOn w:val="1002"/>
    <w:next w:val="1002"/>
    <w:link w:val="1019"/>
    <w:qFormat/>
    <w:pPr>
      <w:keepLines/>
      <w:keepNext/>
      <w:spacing w:before="280" w:after="290" w:line="376" w:lineRule="auto"/>
      <w:outlineLvl w:val="3"/>
    </w:pPr>
    <w:rPr>
      <w:rFonts w:ascii="Cambria" w:hAnsi="Cambria"/>
      <w:b/>
      <w:bCs/>
      <w:sz w:val="28"/>
      <w:szCs w:val="28"/>
    </w:rPr>
  </w:style>
  <w:style w:type="paragraph" w:styleId="1007">
    <w:name w:val="标题 5"/>
    <w:basedOn w:val="1002"/>
    <w:next w:val="1002"/>
    <w:link w:val="1020"/>
    <w:qFormat/>
    <w:pPr>
      <w:keepLines/>
      <w:keepNext/>
      <w:spacing w:before="280" w:after="290" w:line="376" w:lineRule="auto"/>
      <w:outlineLvl w:val="4"/>
    </w:pPr>
    <w:rPr>
      <w:b/>
      <w:bCs/>
      <w:sz w:val="28"/>
      <w:szCs w:val="28"/>
    </w:rPr>
  </w:style>
  <w:style w:type="paragraph" w:styleId="1008">
    <w:name w:val="标题 6"/>
    <w:basedOn w:val="1002"/>
    <w:next w:val="1002"/>
    <w:link w:val="1021"/>
    <w:qFormat/>
    <w:pPr>
      <w:keepLines/>
      <w:keepNext/>
      <w:spacing w:before="240" w:after="64" w:line="320" w:lineRule="auto"/>
      <w:outlineLvl w:val="5"/>
    </w:pPr>
    <w:rPr>
      <w:rFonts w:ascii="Cambria" w:hAnsi="Cambria"/>
      <w:b/>
      <w:bCs/>
      <w:sz w:val="24"/>
    </w:rPr>
  </w:style>
  <w:style w:type="paragraph" w:styleId="1009">
    <w:name w:val="标题 7"/>
    <w:basedOn w:val="1002"/>
    <w:next w:val="1002"/>
    <w:link w:val="1022"/>
    <w:qFormat/>
    <w:pPr>
      <w:keepLines/>
      <w:keepNext/>
      <w:spacing w:before="240" w:after="64" w:line="320" w:lineRule="auto"/>
      <w:outlineLvl w:val="6"/>
    </w:pPr>
    <w:rPr>
      <w:b/>
      <w:bCs/>
      <w:sz w:val="24"/>
    </w:rPr>
  </w:style>
  <w:style w:type="paragraph" w:styleId="1010">
    <w:name w:val="标题 8"/>
    <w:basedOn w:val="1002"/>
    <w:next w:val="1002"/>
    <w:link w:val="1023"/>
    <w:qFormat/>
    <w:pPr>
      <w:keepLines/>
      <w:keepNext/>
      <w:spacing w:before="240" w:after="64" w:line="320" w:lineRule="auto"/>
      <w:outlineLvl w:val="7"/>
    </w:pPr>
    <w:rPr>
      <w:rFonts w:ascii="Cambria" w:hAnsi="Cambria"/>
      <w:sz w:val="24"/>
    </w:rPr>
  </w:style>
  <w:style w:type="paragraph" w:styleId="1011">
    <w:name w:val="标题 9"/>
    <w:basedOn w:val="1002"/>
    <w:next w:val="1002"/>
    <w:link w:val="1024"/>
    <w:qFormat/>
    <w:pPr>
      <w:keepLines/>
      <w:keepNext/>
      <w:spacing w:before="240" w:after="64" w:line="320" w:lineRule="auto"/>
      <w:outlineLvl w:val="8"/>
    </w:pPr>
    <w:rPr>
      <w:rFonts w:ascii="Cambria" w:hAnsi="Cambria"/>
      <w:szCs w:val="21"/>
    </w:rPr>
  </w:style>
  <w:style w:type="character" w:styleId="1012">
    <w:name w:val="默认段落字体"/>
    <w:next w:val="1012"/>
    <w:link w:val="1002"/>
    <w:semiHidden/>
  </w:style>
  <w:style w:type="table" w:styleId="1013">
    <w:name w:val="普通表格"/>
    <w:next w:val="1013"/>
    <w:link w:val="1002"/>
    <w:semiHidden/>
    <w:tblPr/>
  </w:style>
  <w:style w:type="character" w:styleId="1014">
    <w:name w:val="标题 1 Char"/>
    <w:next w:val="1014"/>
    <w:link w:val="1003"/>
    <w:rPr>
      <w:rFonts w:ascii="Times New Roman" w:hAnsi="Times New Roman" w:eastAsia="宋体"/>
      <w:b/>
      <w:bCs/>
      <w:color w:val="000000"/>
      <w:sz w:val="36"/>
      <w:szCs w:val="44"/>
    </w:rPr>
  </w:style>
  <w:style w:type="character" w:styleId="1015">
    <w:name w:val="标题 2 Char"/>
    <w:basedOn w:val="1012"/>
    <w:next w:val="1015"/>
    <w:link w:val="1004"/>
    <w:uiPriority w:val="9"/>
    <w:rPr>
      <w:rFonts w:ascii="Cambria" w:hAnsi="Cambria" w:eastAsia="宋体"/>
      <w:b/>
      <w:bCs/>
      <w:sz w:val="28"/>
      <w:szCs w:val="32"/>
    </w:rPr>
  </w:style>
  <w:style w:type="character" w:styleId="1016">
    <w:name w:val="标题 3 Char1"/>
    <w:next w:val="1016"/>
    <w:link w:val="1005"/>
    <w:rPr>
      <w:rFonts w:eastAsia="宋体"/>
      <w:b w:val="0"/>
      <w:bCs/>
      <w:sz w:val="24"/>
      <w:szCs w:val="32"/>
    </w:rPr>
  </w:style>
  <w:style w:type="paragraph" w:styleId="1017">
    <w:name w:val="正文缩进"/>
    <w:basedOn w:val="1002"/>
    <w:next w:val="1017"/>
    <w:link w:val="1018"/>
    <w:pPr>
      <w:ind w:firstLine="420"/>
      <w:spacing w:line="360" w:lineRule="atLeast"/>
    </w:pPr>
    <w:rPr>
      <w:sz w:val="21"/>
      <w:szCs w:val="20"/>
    </w:rPr>
  </w:style>
  <w:style w:type="character" w:styleId="1018">
    <w:name w:val="正文缩进 Char"/>
    <w:next w:val="1018"/>
    <w:link w:val="1017"/>
    <w:rPr>
      <w:sz w:val="21"/>
    </w:rPr>
  </w:style>
  <w:style w:type="character" w:styleId="1019">
    <w:name w:val="标题 4 Char"/>
    <w:basedOn w:val="1012"/>
    <w:next w:val="1019"/>
    <w:link w:val="1006"/>
    <w:rPr>
      <w:rFonts w:ascii="Cambria" w:hAnsi="Cambria"/>
      <w:b/>
      <w:bCs/>
      <w:sz w:val="28"/>
      <w:szCs w:val="28"/>
    </w:rPr>
  </w:style>
  <w:style w:type="character" w:styleId="1020">
    <w:name w:val="标题 5 Char"/>
    <w:basedOn w:val="1012"/>
    <w:next w:val="1020"/>
    <w:link w:val="1007"/>
    <w:rPr>
      <w:b/>
      <w:bCs/>
      <w:sz w:val="28"/>
      <w:szCs w:val="28"/>
    </w:rPr>
  </w:style>
  <w:style w:type="character" w:styleId="1021">
    <w:name w:val="标题 6 Char"/>
    <w:basedOn w:val="1012"/>
    <w:next w:val="1021"/>
    <w:link w:val="1008"/>
    <w:rPr>
      <w:rFonts w:ascii="Cambria" w:hAnsi="Cambria"/>
      <w:b/>
      <w:bCs/>
      <w:sz w:val="24"/>
      <w:szCs w:val="24"/>
    </w:rPr>
  </w:style>
  <w:style w:type="character" w:styleId="1022">
    <w:name w:val="标题 7 Char"/>
    <w:basedOn w:val="1012"/>
    <w:next w:val="1022"/>
    <w:link w:val="1009"/>
    <w:rPr>
      <w:b/>
      <w:bCs/>
      <w:sz w:val="24"/>
      <w:szCs w:val="24"/>
    </w:rPr>
  </w:style>
  <w:style w:type="character" w:styleId="1023">
    <w:name w:val="标题 8 Char"/>
    <w:basedOn w:val="1012"/>
    <w:next w:val="1023"/>
    <w:link w:val="1010"/>
    <w:rPr>
      <w:rFonts w:ascii="Cambria" w:hAnsi="Cambria"/>
      <w:sz w:val="24"/>
      <w:szCs w:val="24"/>
    </w:rPr>
  </w:style>
  <w:style w:type="character" w:styleId="1024">
    <w:name w:val="标题 9 Char"/>
    <w:basedOn w:val="1012"/>
    <w:next w:val="1024"/>
    <w:link w:val="1011"/>
    <w:rPr>
      <w:rFonts w:ascii="Cambria" w:hAnsi="Cambria"/>
      <w:sz w:val="21"/>
      <w:szCs w:val="21"/>
    </w:rPr>
  </w:style>
  <w:style w:type="paragraph" w:styleId="1025">
    <w:name w:val="目录 7"/>
    <w:basedOn w:val="1002"/>
    <w:next w:val="1002"/>
    <w:link w:val="1002"/>
    <w:uiPriority w:val="39"/>
    <w:pPr>
      <w:ind w:left="2520"/>
    </w:pPr>
    <w:rPr>
      <w:rFonts w:ascii="Calibri" w:hAnsi="Calibri"/>
      <w:szCs w:val="22"/>
    </w:rPr>
  </w:style>
  <w:style w:type="paragraph" w:styleId="1026">
    <w:name w:val="题注"/>
    <w:basedOn w:val="1002"/>
    <w:next w:val="1002"/>
    <w:link w:val="1002"/>
    <w:qFormat/>
    <w:rPr>
      <w:rFonts w:ascii="Cambria" w:hAnsi="Cambria" w:eastAsia="黑体"/>
      <w:sz w:val="20"/>
      <w:szCs w:val="20"/>
    </w:rPr>
  </w:style>
  <w:style w:type="paragraph" w:styleId="1027">
    <w:name w:val="文档结构图"/>
    <w:basedOn w:val="1002"/>
    <w:next w:val="1027"/>
    <w:link w:val="1028"/>
    <w:pPr>
      <w:shd w:val="clear" w:color="auto" w:fill="000080"/>
    </w:pPr>
    <w:rPr>
      <w:sz w:val="21"/>
    </w:rPr>
  </w:style>
  <w:style w:type="character" w:styleId="1028">
    <w:name w:val="文档结构图 Char"/>
    <w:next w:val="1028"/>
    <w:link w:val="1027"/>
    <w:rPr>
      <w:sz w:val="21"/>
      <w:szCs w:val="24"/>
      <w:shd w:val="clear" w:color="auto" w:fill="000080"/>
    </w:rPr>
  </w:style>
  <w:style w:type="paragraph" w:styleId="1029">
    <w:name w:val="批注文字"/>
    <w:basedOn w:val="1002"/>
    <w:next w:val="1029"/>
    <w:link w:val="1030"/>
    <w:pPr>
      <w:jc w:val="left"/>
    </w:pPr>
    <w:rPr>
      <w:sz w:val="21"/>
    </w:rPr>
  </w:style>
  <w:style w:type="character" w:styleId="1030">
    <w:name w:val="批注文字 Char"/>
    <w:next w:val="1030"/>
    <w:link w:val="1029"/>
    <w:rPr>
      <w:sz w:val="21"/>
      <w:szCs w:val="24"/>
    </w:rPr>
  </w:style>
  <w:style w:type="paragraph" w:styleId="1031">
    <w:name w:val="正文文本 3"/>
    <w:basedOn w:val="1002"/>
    <w:next w:val="1031"/>
    <w:link w:val="1032"/>
    <w:uiPriority w:val="99"/>
    <w:pPr>
      <w:spacing w:after="120"/>
    </w:pPr>
    <w:rPr>
      <w:sz w:val="16"/>
      <w:szCs w:val="16"/>
    </w:rPr>
  </w:style>
  <w:style w:type="character" w:styleId="1032">
    <w:name w:val="正文文本 3 Char"/>
    <w:next w:val="1032"/>
    <w:link w:val="1031"/>
    <w:uiPriority w:val="99"/>
    <w:rPr>
      <w:sz w:val="16"/>
      <w:szCs w:val="16"/>
    </w:rPr>
  </w:style>
  <w:style w:type="paragraph" w:styleId="1033">
    <w:name w:val="正文文本"/>
    <w:basedOn w:val="1002"/>
    <w:next w:val="1033"/>
    <w:link w:val="1034"/>
    <w:pPr>
      <w:jc w:val="center"/>
    </w:pPr>
    <w:rPr>
      <w:sz w:val="21"/>
    </w:rPr>
  </w:style>
  <w:style w:type="character" w:styleId="1034">
    <w:name w:val="正文文本 Char"/>
    <w:next w:val="1034"/>
    <w:link w:val="1033"/>
    <w:rPr>
      <w:sz w:val="21"/>
      <w:szCs w:val="24"/>
    </w:rPr>
  </w:style>
  <w:style w:type="paragraph" w:styleId="1035">
    <w:name w:val="正文文本缩进"/>
    <w:basedOn w:val="1002"/>
    <w:next w:val="1035"/>
    <w:link w:val="1036"/>
    <w:pPr>
      <w:ind w:firstLine="301"/>
      <w:spacing w:line="200" w:lineRule="exact"/>
    </w:pPr>
    <w:rPr>
      <w:rFonts w:ascii="宋体" w:hAnsi="Courier New"/>
      <w:spacing w:val="-4"/>
      <w:sz w:val="18"/>
      <w:szCs w:val="20"/>
    </w:rPr>
  </w:style>
  <w:style w:type="character" w:styleId="1036">
    <w:name w:val="正文文本缩进 Char"/>
    <w:next w:val="1036"/>
    <w:link w:val="1035"/>
    <w:rPr>
      <w:rFonts w:ascii="宋体" w:hAnsi="Courier New"/>
      <w:spacing w:val="-4"/>
      <w:sz w:val="18"/>
    </w:rPr>
  </w:style>
  <w:style w:type="paragraph" w:styleId="1037">
    <w:name w:val="索引 4"/>
    <w:basedOn w:val="1002"/>
    <w:next w:val="1002"/>
    <w:link w:val="1002"/>
    <w:pPr>
      <w:ind w:left="600"/>
    </w:pPr>
  </w:style>
  <w:style w:type="paragraph" w:styleId="1038">
    <w:name w:val="目录 5"/>
    <w:basedOn w:val="1002"/>
    <w:next w:val="1002"/>
    <w:link w:val="1002"/>
    <w:uiPriority w:val="39"/>
    <w:pPr>
      <w:ind w:left="1050"/>
      <w:tabs>
        <w:tab w:val="right" w:pos="8296" w:leader="dot"/>
      </w:tabs>
    </w:pPr>
    <w:rPr>
      <w:rFonts w:ascii="Calibri" w:hAnsi="Calibri"/>
      <w:szCs w:val="22"/>
    </w:rPr>
  </w:style>
  <w:style w:type="paragraph" w:styleId="1039">
    <w:name w:val="目录 3"/>
    <w:basedOn w:val="1002"/>
    <w:next w:val="1002"/>
    <w:link w:val="1002"/>
    <w:uiPriority w:val="39"/>
    <w:pPr>
      <w:ind w:left="840"/>
    </w:pPr>
    <w:rPr>
      <w:rFonts w:ascii="Calibri" w:hAnsi="Calibri"/>
      <w:szCs w:val="22"/>
    </w:rPr>
  </w:style>
  <w:style w:type="paragraph" w:styleId="1040">
    <w:name w:val="纯文本"/>
    <w:basedOn w:val="1002"/>
    <w:next w:val="1040"/>
    <w:link w:val="1041"/>
    <w:qFormat/>
    <w:rPr>
      <w:rFonts w:ascii="宋体" w:hAnsi="Courier New"/>
      <w:sz w:val="21"/>
      <w:szCs w:val="20"/>
    </w:rPr>
  </w:style>
  <w:style w:type="character" w:styleId="1041">
    <w:name w:val="纯文本 Char"/>
    <w:next w:val="1041"/>
    <w:link w:val="1040"/>
    <w:rPr>
      <w:rFonts w:ascii="宋体" w:hAnsi="Courier New" w:eastAsia="宋体"/>
      <w:sz w:val="21"/>
      <w:lang w:val="en-US" w:eastAsia="zh-CN" w:bidi="ar-SA"/>
    </w:rPr>
  </w:style>
  <w:style w:type="paragraph" w:styleId="1042">
    <w:name w:val="目录 8"/>
    <w:basedOn w:val="1002"/>
    <w:next w:val="1002"/>
    <w:link w:val="1002"/>
    <w:uiPriority w:val="39"/>
    <w:pPr>
      <w:ind w:left="2940"/>
    </w:pPr>
    <w:rPr>
      <w:rFonts w:ascii="Calibri" w:hAnsi="Calibri"/>
      <w:szCs w:val="22"/>
    </w:rPr>
  </w:style>
  <w:style w:type="paragraph" w:styleId="1043">
    <w:name w:val="日期"/>
    <w:basedOn w:val="1002"/>
    <w:next w:val="1002"/>
    <w:link w:val="1044"/>
    <w:pPr>
      <w:ind w:left="100"/>
    </w:pPr>
  </w:style>
  <w:style w:type="character" w:styleId="1044">
    <w:name w:val="日期 Char"/>
    <w:next w:val="1044"/>
    <w:link w:val="1043"/>
    <w:rPr>
      <w:sz w:val="24"/>
      <w:szCs w:val="24"/>
    </w:rPr>
  </w:style>
  <w:style w:type="paragraph" w:styleId="1045">
    <w:name w:val="正文文本缩进 2"/>
    <w:basedOn w:val="1002"/>
    <w:next w:val="1045"/>
    <w:link w:val="1046"/>
    <w:pPr>
      <w:ind w:firstLine="412"/>
    </w:pPr>
    <w:rPr>
      <w:sz w:val="21"/>
    </w:rPr>
  </w:style>
  <w:style w:type="character" w:styleId="1046">
    <w:name w:val="正文文本缩进 2 Char"/>
    <w:next w:val="1046"/>
    <w:link w:val="1045"/>
    <w:rPr>
      <w:sz w:val="21"/>
      <w:szCs w:val="24"/>
    </w:rPr>
  </w:style>
  <w:style w:type="paragraph" w:styleId="1047">
    <w:name w:val="批注框文本"/>
    <w:basedOn w:val="1002"/>
    <w:next w:val="1047"/>
    <w:link w:val="1048"/>
    <w:rPr>
      <w:sz w:val="18"/>
      <w:szCs w:val="18"/>
    </w:rPr>
  </w:style>
  <w:style w:type="character" w:styleId="1048">
    <w:name w:val="批注框文本 Char"/>
    <w:next w:val="1048"/>
    <w:link w:val="1047"/>
    <w:rPr>
      <w:sz w:val="18"/>
      <w:szCs w:val="18"/>
    </w:rPr>
  </w:style>
  <w:style w:type="paragraph" w:styleId="1049">
    <w:name w:val="页脚"/>
    <w:basedOn w:val="1002"/>
    <w:next w:val="1049"/>
    <w:link w:val="1050"/>
    <w:pPr>
      <w:jc w:val="left"/>
      <w:tabs>
        <w:tab w:val="center" w:pos="4153" w:leader="none"/>
        <w:tab w:val="right" w:pos="8306" w:leader="none"/>
      </w:tabs>
    </w:pPr>
    <w:rPr>
      <w:sz w:val="18"/>
      <w:szCs w:val="18"/>
    </w:rPr>
  </w:style>
  <w:style w:type="character" w:styleId="1050">
    <w:name w:val="页脚 Char"/>
    <w:next w:val="1050"/>
    <w:link w:val="1049"/>
    <w:rPr>
      <w:sz w:val="18"/>
      <w:szCs w:val="18"/>
    </w:rPr>
  </w:style>
  <w:style w:type="paragraph" w:styleId="1051">
    <w:name w:val="页眉"/>
    <w:basedOn w:val="1002"/>
    <w:next w:val="1053"/>
    <w:link w:val="1052"/>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2">
    <w:name w:val="页眉 Char"/>
    <w:next w:val="1052"/>
    <w:link w:val="1051"/>
    <w:rPr>
      <w:rFonts w:ascii="宋体" w:hAnsi="Courier New"/>
      <w:sz w:val="18"/>
    </w:rPr>
  </w:style>
  <w:style w:type="paragraph" w:styleId="1053">
    <w:name w:val="Quote1"/>
    <w:basedOn w:val="1002"/>
    <w:next w:val="1002"/>
    <w:link w:val="1002"/>
    <w:uiPriority w:val="99"/>
    <w:qFormat/>
    <w:pPr>
      <w:ind w:left="864" w:right="864"/>
      <w:jc w:val="center"/>
      <w:spacing w:before="200" w:after="160"/>
      <w:widowControl/>
    </w:pPr>
    <w:rPr>
      <w:rFonts w:ascii="宋体"/>
      <w:i/>
      <w:color w:val="404040"/>
    </w:rPr>
  </w:style>
  <w:style w:type="paragraph" w:styleId="1054">
    <w:name w:val="目录 1"/>
    <w:basedOn w:val="1002"/>
    <w:next w:val="1002"/>
    <w:link w:val="1002"/>
    <w:uiPriority w:val="39"/>
    <w:pPr>
      <w:spacing w:line="360" w:lineRule="auto"/>
      <w:tabs>
        <w:tab w:val="right" w:pos="9185" w:leader="dot"/>
      </w:tabs>
    </w:pPr>
    <w:rPr>
      <w:b/>
      <w:sz w:val="24"/>
      <w:szCs w:val="20"/>
    </w:rPr>
  </w:style>
  <w:style w:type="paragraph" w:styleId="1055">
    <w:name w:val="目录 4"/>
    <w:basedOn w:val="1002"/>
    <w:next w:val="1002"/>
    <w:link w:val="1002"/>
    <w:uiPriority w:val="39"/>
    <w:pPr>
      <w:ind w:left="630"/>
      <w:tabs>
        <w:tab w:val="left" w:pos="1890" w:leader="none"/>
        <w:tab w:val="right" w:pos="8296" w:leader="dot"/>
      </w:tabs>
    </w:pPr>
    <w:rPr>
      <w:rFonts w:ascii="Calibri" w:hAnsi="Calibri"/>
      <w:szCs w:val="22"/>
    </w:rPr>
  </w:style>
  <w:style w:type="paragraph" w:styleId="1056">
    <w:name w:val="副标题"/>
    <w:basedOn w:val="1002"/>
    <w:next w:val="1002"/>
    <w:link w:val="1057"/>
    <w:qFormat/>
    <w:pPr>
      <w:jc w:val="center"/>
      <w:spacing w:before="240" w:after="60" w:line="312" w:lineRule="auto"/>
      <w:outlineLvl w:val="1"/>
    </w:pPr>
    <w:rPr>
      <w:rFonts w:ascii="Cambria" w:hAnsi="Cambria"/>
      <w:b/>
      <w:sz w:val="32"/>
      <w:szCs w:val="20"/>
    </w:rPr>
  </w:style>
  <w:style w:type="character" w:styleId="1057">
    <w:name w:val="副标题 Char"/>
    <w:basedOn w:val="1012"/>
    <w:next w:val="1057"/>
    <w:link w:val="1056"/>
    <w:qFormat/>
    <w:rPr>
      <w:rFonts w:ascii="Cambria" w:hAnsi="Cambria"/>
      <w:b/>
      <w:sz w:val="32"/>
    </w:rPr>
  </w:style>
  <w:style w:type="paragraph" w:styleId="1058">
    <w:name w:val="脚注文本"/>
    <w:basedOn w:val="1002"/>
    <w:next w:val="1058"/>
    <w:link w:val="1059"/>
    <w:pPr>
      <w:jc w:val="left"/>
      <w:spacing w:line="312" w:lineRule="atLeast"/>
    </w:pPr>
    <w:rPr>
      <w:sz w:val="18"/>
      <w:szCs w:val="20"/>
    </w:rPr>
  </w:style>
  <w:style w:type="character" w:styleId="1059">
    <w:name w:val="脚注文本 Char"/>
    <w:next w:val="1059"/>
    <w:link w:val="1058"/>
    <w:rPr>
      <w:sz w:val="18"/>
    </w:rPr>
  </w:style>
  <w:style w:type="paragraph" w:styleId="1060">
    <w:name w:val="目录 6"/>
    <w:basedOn w:val="1002"/>
    <w:next w:val="1002"/>
    <w:link w:val="1002"/>
    <w:uiPriority w:val="39"/>
    <w:pPr>
      <w:ind w:left="2100"/>
    </w:pPr>
    <w:rPr>
      <w:rFonts w:ascii="Calibri" w:hAnsi="Calibri"/>
      <w:szCs w:val="22"/>
    </w:rPr>
  </w:style>
  <w:style w:type="paragraph" w:styleId="1061">
    <w:name w:val="正文文本缩进 3"/>
    <w:basedOn w:val="1002"/>
    <w:next w:val="1061"/>
    <w:link w:val="1062"/>
    <w:pPr>
      <w:ind w:left="360"/>
      <w:spacing w:line="400" w:lineRule="exact"/>
    </w:pPr>
  </w:style>
  <w:style w:type="character" w:styleId="1062">
    <w:name w:val="正文文本缩进 3 Char"/>
    <w:next w:val="1062"/>
    <w:link w:val="1061"/>
    <w:rPr>
      <w:rFonts w:eastAsia="宋体"/>
      <w:sz w:val="24"/>
      <w:szCs w:val="24"/>
      <w:lang w:val="en-US" w:eastAsia="zh-CN" w:bidi="ar-SA"/>
    </w:rPr>
  </w:style>
  <w:style w:type="paragraph" w:styleId="1063">
    <w:name w:val="目录 2"/>
    <w:basedOn w:val="1002"/>
    <w:next w:val="1002"/>
    <w:link w:val="1002"/>
    <w:uiPriority w:val="39"/>
    <w:pPr>
      <w:ind w:left="420"/>
    </w:pPr>
  </w:style>
  <w:style w:type="paragraph" w:styleId="1064">
    <w:name w:val="目录 9"/>
    <w:basedOn w:val="1002"/>
    <w:next w:val="1002"/>
    <w:link w:val="1002"/>
    <w:uiPriority w:val="39"/>
    <w:pPr>
      <w:ind w:left="3360"/>
    </w:pPr>
    <w:rPr>
      <w:rFonts w:ascii="Calibri" w:hAnsi="Calibri"/>
      <w:szCs w:val="22"/>
    </w:rPr>
  </w:style>
  <w:style w:type="paragraph" w:styleId="1065">
    <w:name w:val="信息标题"/>
    <w:basedOn w:val="1002"/>
    <w:next w:val="1065"/>
    <w:link w:val="1002"/>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66">
    <w:name w:val="HTML 预设格式"/>
    <w:basedOn w:val="1002"/>
    <w:next w:val="1066"/>
    <w:link w:val="106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67">
    <w:name w:val="HTML 预设格式 Char"/>
    <w:next w:val="1067"/>
    <w:link w:val="1066"/>
    <w:uiPriority w:val="99"/>
    <w:rPr>
      <w:rFonts w:ascii="宋体" w:hAnsi="宋体" w:cs="宋体"/>
      <w:sz w:val="24"/>
      <w:szCs w:val="24"/>
    </w:rPr>
  </w:style>
  <w:style w:type="paragraph" w:styleId="1068">
    <w:name w:val="普通(网站)"/>
    <w:basedOn w:val="1002"/>
    <w:next w:val="1068"/>
    <w:link w:val="1002"/>
    <w:pPr>
      <w:jc w:val="left"/>
      <w:spacing w:before="100" w:beforeAutospacing="1" w:after="100" w:afterAutospacing="1"/>
      <w:widowControl/>
    </w:pPr>
    <w:rPr>
      <w:rFonts w:ascii="宋体" w:hAnsi="宋体" w:cs="宋体"/>
      <w:sz w:val="24"/>
    </w:rPr>
  </w:style>
  <w:style w:type="paragraph" w:styleId="1069">
    <w:name w:val="标题"/>
    <w:basedOn w:val="1002"/>
    <w:next w:val="1002"/>
    <w:link w:val="1070"/>
    <w:qFormat/>
    <w:pPr>
      <w:jc w:val="center"/>
      <w:spacing w:before="240" w:after="60"/>
      <w:outlineLvl w:val="0"/>
    </w:pPr>
    <w:rPr>
      <w:rFonts w:ascii="Cambria" w:hAnsi="Cambria"/>
      <w:b/>
      <w:bCs/>
      <w:sz w:val="32"/>
      <w:szCs w:val="32"/>
    </w:rPr>
  </w:style>
  <w:style w:type="character" w:styleId="1070">
    <w:name w:val="标题 Char"/>
    <w:next w:val="1070"/>
    <w:link w:val="1069"/>
    <w:rPr>
      <w:rFonts w:ascii="Cambria" w:hAnsi="Cambria" w:cs="Times New Roman"/>
      <w:b/>
      <w:bCs/>
      <w:sz w:val="32"/>
      <w:szCs w:val="32"/>
    </w:rPr>
  </w:style>
  <w:style w:type="paragraph" w:styleId="1071">
    <w:name w:val="批注主题"/>
    <w:basedOn w:val="1029"/>
    <w:next w:val="1029"/>
    <w:link w:val="1072"/>
    <w:rPr>
      <w:b/>
      <w:bCs/>
      <w:sz w:val="21"/>
    </w:rPr>
  </w:style>
  <w:style w:type="character" w:styleId="1072">
    <w:name w:val="批注主题 Char"/>
    <w:next w:val="1072"/>
    <w:link w:val="1071"/>
    <w:rPr>
      <w:b/>
      <w:bCs/>
      <w:sz w:val="21"/>
      <w:szCs w:val="24"/>
    </w:rPr>
  </w:style>
  <w:style w:type="paragraph" w:styleId="1073">
    <w:name w:val="正文首行缩进"/>
    <w:basedOn w:val="1033"/>
    <w:next w:val="1073"/>
    <w:link w:val="1002"/>
    <w:uiPriority w:val="99"/>
    <w:unhideWhenUsed/>
    <w:qFormat/>
    <w:pPr>
      <w:ind w:firstLine="420"/>
    </w:pPr>
  </w:style>
  <w:style w:type="paragraph" w:styleId="1074">
    <w:name w:val="正文首行缩进 2"/>
    <w:basedOn w:val="1035"/>
    <w:next w:val="1074"/>
    <w:link w:val="1002"/>
    <w:qFormat/>
    <w:pPr>
      <w:ind w:left="420" w:firstLine="420"/>
      <w:spacing w:after="120" w:line="240" w:lineRule="auto"/>
    </w:pPr>
    <w:rPr>
      <w:rFonts w:cs="宋体"/>
      <w:sz w:val="21"/>
      <w:szCs w:val="21"/>
    </w:rPr>
  </w:style>
  <w:style w:type="table" w:styleId="1075">
    <w:name w:val="网格型"/>
    <w:basedOn w:val="1013"/>
    <w:next w:val="1075"/>
    <w:link w:val="1002"/>
    <w:pPr>
      <w:jc w:val="both"/>
      <w:widowControl w:val="off"/>
    </w:pPr>
    <w:tblPr/>
  </w:style>
  <w:style w:type="character" w:styleId="1076">
    <w:name w:val="要点"/>
    <w:basedOn w:val="1012"/>
    <w:next w:val="1076"/>
    <w:link w:val="1002"/>
    <w:qFormat/>
    <w:rPr>
      <w:rFonts w:cs="Times New Roman"/>
      <w:b/>
    </w:rPr>
  </w:style>
  <w:style w:type="character" w:styleId="1077">
    <w:name w:val="页码"/>
    <w:basedOn w:val="1012"/>
    <w:next w:val="1077"/>
    <w:link w:val="1002"/>
  </w:style>
  <w:style w:type="character" w:styleId="1078">
    <w:name w:val="已访问的超链接"/>
    <w:basedOn w:val="1012"/>
    <w:next w:val="1078"/>
    <w:link w:val="1002"/>
    <w:uiPriority w:val="99"/>
    <w:rPr>
      <w:color w:val="800080"/>
      <w:u w:val="none"/>
    </w:rPr>
  </w:style>
  <w:style w:type="character" w:styleId="1079">
    <w:name w:val="强调"/>
    <w:basedOn w:val="1012"/>
    <w:next w:val="1079"/>
    <w:link w:val="1002"/>
    <w:qFormat/>
    <w:rPr>
      <w:rFonts w:ascii="Times New Roman" w:hAnsi="Times New Roman" w:cs="Times New Roman"/>
      <w:i/>
    </w:rPr>
  </w:style>
  <w:style w:type="character" w:styleId="1080">
    <w:name w:val="HTML 定义"/>
    <w:basedOn w:val="1012"/>
    <w:next w:val="1080"/>
    <w:link w:val="1002"/>
    <w:rPr>
      <w:b w:val="0"/>
      <w:bCs w:val="0"/>
      <w:i w:val="0"/>
      <w:iCs w:val="0"/>
    </w:rPr>
  </w:style>
  <w:style w:type="character" w:styleId="1081">
    <w:name w:val="HTML 打字机"/>
    <w:basedOn w:val="1012"/>
    <w:next w:val="1081"/>
    <w:link w:val="1002"/>
    <w:rPr>
      <w:rFonts w:ascii="monospace" w:hAnsi="monospace" w:eastAsia="monospace" w:cs="monospace"/>
      <w:sz w:val="20"/>
    </w:rPr>
  </w:style>
  <w:style w:type="character" w:styleId="1082">
    <w:name w:val="HTML 缩写"/>
    <w:basedOn w:val="1012"/>
    <w:next w:val="1082"/>
    <w:link w:val="1002"/>
  </w:style>
  <w:style w:type="character" w:styleId="1083">
    <w:name w:val="HTML 变量"/>
    <w:basedOn w:val="1012"/>
    <w:next w:val="1083"/>
    <w:link w:val="1002"/>
    <w:rPr>
      <w:b w:val="0"/>
      <w:bCs w:val="0"/>
      <w:i w:val="0"/>
      <w:iCs w:val="0"/>
    </w:rPr>
  </w:style>
  <w:style w:type="character" w:styleId="1084">
    <w:name w:val="超链接"/>
    <w:basedOn w:val="1012"/>
    <w:next w:val="1084"/>
    <w:link w:val="1002"/>
    <w:uiPriority w:val="99"/>
    <w:rPr>
      <w:color w:val="0000ff"/>
      <w:u w:val="none"/>
    </w:rPr>
  </w:style>
  <w:style w:type="character" w:styleId="1085">
    <w:name w:val="HTML 代码"/>
    <w:basedOn w:val="1012"/>
    <w:next w:val="1085"/>
    <w:link w:val="1002"/>
    <w:rPr>
      <w:rFonts w:ascii="monospace" w:hAnsi="monospace" w:eastAsia="monospace" w:cs="monospace"/>
      <w:b w:val="0"/>
      <w:bCs w:val="0"/>
      <w:i w:val="0"/>
      <w:iCs w:val="0"/>
      <w:sz w:val="20"/>
    </w:rPr>
  </w:style>
  <w:style w:type="character" w:styleId="1086">
    <w:name w:val="批注引用"/>
    <w:next w:val="1086"/>
    <w:link w:val="1002"/>
    <w:rPr>
      <w:sz w:val="21"/>
      <w:szCs w:val="21"/>
    </w:rPr>
  </w:style>
  <w:style w:type="character" w:styleId="1087">
    <w:name w:val="HTML 引文"/>
    <w:basedOn w:val="1012"/>
    <w:next w:val="1087"/>
    <w:link w:val="1002"/>
    <w:rPr>
      <w:b w:val="0"/>
      <w:bCs w:val="0"/>
      <w:i w:val="0"/>
      <w:iCs w:val="0"/>
    </w:rPr>
  </w:style>
  <w:style w:type="character" w:styleId="1088">
    <w:name w:val="HTML 键盘"/>
    <w:basedOn w:val="1012"/>
    <w:next w:val="1088"/>
    <w:link w:val="1002"/>
    <w:rPr>
      <w:rFonts w:ascii="monospace" w:hAnsi="monospace" w:eastAsia="monospace" w:cs="monospace"/>
      <w:sz w:val="20"/>
    </w:rPr>
  </w:style>
  <w:style w:type="character" w:styleId="1089">
    <w:name w:val="HTML 样本"/>
    <w:basedOn w:val="1012"/>
    <w:next w:val="1089"/>
    <w:link w:val="1002"/>
    <w:rPr>
      <w:rFonts w:ascii="monospace" w:hAnsi="monospace" w:eastAsia="monospace" w:cs="monospace"/>
    </w:rPr>
  </w:style>
  <w:style w:type="paragraph" w:styleId="1090">
    <w:name w:val="正文1"/>
    <w:basedOn w:val="1091"/>
    <w:next w:val="1002"/>
    <w:link w:val="1002"/>
    <w:qFormat/>
    <w:pPr>
      <w:ind w:firstLine="0"/>
      <w:spacing w:line="500" w:lineRule="exact"/>
    </w:pPr>
    <w:rPr>
      <w:rFonts w:hAnsi="新宋体"/>
    </w:rPr>
  </w:style>
  <w:style w:type="paragraph" w:styleId="1091">
    <w:name w:val="正文缩进1"/>
    <w:basedOn w:val="1002"/>
    <w:next w:val="1091"/>
    <w:link w:val="1002"/>
    <w:qFormat/>
    <w:pPr>
      <w:ind w:firstLine="420"/>
      <w:spacing w:line="360" w:lineRule="atLeast"/>
    </w:pPr>
    <w:rPr>
      <w:szCs w:val="20"/>
    </w:rPr>
  </w:style>
  <w:style w:type="paragraph" w:styleId="1092">
    <w:name w:val="首行缩进"/>
    <w:basedOn w:val="1002"/>
    <w:next w:val="1092"/>
    <w:link w:val="1002"/>
    <w:qFormat/>
    <w:pPr>
      <w:ind w:firstLine="480"/>
    </w:pPr>
    <w:rPr>
      <w:lang w:val="zh-CN"/>
    </w:rPr>
  </w:style>
  <w:style w:type="paragraph" w:styleId="1093">
    <w:name w:val="Default"/>
    <w:next w:val="1093"/>
    <w:link w:val="1002"/>
    <w:pPr>
      <w:widowControl w:val="off"/>
    </w:pPr>
    <w:rPr>
      <w:rFonts w:cs="Calibri"/>
      <w:color w:val="000000"/>
      <w:sz w:val="24"/>
      <w:szCs w:val="24"/>
      <w:lang w:val="en-US" w:eastAsia="zh-CN" w:bidi="ar-SA"/>
    </w:rPr>
  </w:style>
  <w:style w:type="paragraph" w:styleId="1094">
    <w:name w:val="段"/>
    <w:next w:val="1002"/>
    <w:link w:val="1002"/>
    <w:qFormat/>
    <w:pPr>
      <w:ind w:firstLine="200"/>
      <w:jc w:val="both"/>
      <w:spacing w:line="360" w:lineRule="auto"/>
    </w:pPr>
    <w:rPr>
      <w:rFonts w:ascii="宋体" w:hAnsi="Calibri" w:eastAsia="宋体" w:cs="Times New Roman"/>
      <w:sz w:val="24"/>
      <w:szCs w:val="22"/>
      <w:lang w:val="en-US" w:eastAsia="zh-CN" w:bidi="ar-SA"/>
    </w:rPr>
  </w:style>
  <w:style w:type="character" w:styleId="1095">
    <w:name w:val="表格标题 (2) + MingLiU,13 pt1,间距 0 pt5"/>
    <w:basedOn w:val="1096"/>
    <w:next w:val="1095"/>
    <w:link w:val="1002"/>
    <w:uiPriority w:val="99"/>
    <w:rPr>
      <w:rFonts w:ascii="MingLiU" w:eastAsia="MingLiU" w:cs="MingLiU"/>
      <w:spacing w:val="10"/>
      <w:sz w:val="26"/>
      <w:szCs w:val="26"/>
    </w:rPr>
  </w:style>
  <w:style w:type="character" w:styleId="1096">
    <w:name w:val="表格标题 (2)_"/>
    <w:basedOn w:val="1012"/>
    <w:next w:val="1096"/>
    <w:link w:val="1097"/>
    <w:uiPriority w:val="99"/>
    <w:rPr>
      <w:rFonts w:ascii="MS Mincho" w:eastAsia="MS Mincho" w:cs="MS Mincho"/>
      <w:sz w:val="27"/>
      <w:szCs w:val="27"/>
      <w:shd w:val="clear" w:color="auto" w:fill="ffffff"/>
    </w:rPr>
  </w:style>
  <w:style w:type="paragraph" w:styleId="1097">
    <w:name w:val="表格标题 (2)"/>
    <w:basedOn w:val="1002"/>
    <w:next w:val="1097"/>
    <w:link w:val="1096"/>
    <w:uiPriority w:val="99"/>
    <w:pPr>
      <w:jc w:val="left"/>
      <w:spacing w:line="240" w:lineRule="atLeast"/>
      <w:shd w:val="clear" w:color="auto" w:fill="ffffff"/>
    </w:pPr>
    <w:rPr>
      <w:rFonts w:ascii="MS Mincho" w:eastAsia="MS Mincho" w:cs="MS Mincho"/>
      <w:sz w:val="27"/>
      <w:szCs w:val="27"/>
    </w:rPr>
  </w:style>
  <w:style w:type="character" w:styleId="1098">
    <w:name w:val="Footer Char"/>
    <w:next w:val="1098"/>
    <w:link w:val="1002"/>
    <w:rPr>
      <w:rFonts w:eastAsia="宋体"/>
      <w:sz w:val="18"/>
      <w:szCs w:val="18"/>
      <w:lang w:val="en-US" w:eastAsia="zh-CN" w:bidi="ar-SA"/>
    </w:rPr>
  </w:style>
  <w:style w:type="character" w:styleId="1099">
    <w:name w:val="Balloon Text Char"/>
    <w:next w:val="1099"/>
    <w:link w:val="1002"/>
    <w:rPr>
      <w:sz w:val="18"/>
      <w:lang w:bidi="ar-SA"/>
    </w:rPr>
  </w:style>
  <w:style w:type="character" w:styleId="1100">
    <w:name w:val="书籍标题"/>
    <w:basedOn w:val="1012"/>
    <w:next w:val="1100"/>
    <w:link w:val="1002"/>
    <w:qFormat/>
    <w:rPr>
      <w:b/>
      <w:smallCaps/>
      <w:spacing w:val="5"/>
    </w:rPr>
  </w:style>
  <w:style w:type="character" w:styleId="1101">
    <w:name w:val="Char Char6"/>
    <w:next w:val="1101"/>
    <w:link w:val="1002"/>
    <w:rPr>
      <w:rFonts w:eastAsia="宋体"/>
      <w:b/>
      <w:bCs/>
      <w:sz w:val="32"/>
      <w:szCs w:val="44"/>
      <w:lang w:val="en-US" w:eastAsia="zh-CN" w:bidi="ar-SA"/>
    </w:rPr>
  </w:style>
  <w:style w:type="character" w:styleId="1102">
    <w:name w:val="脚注文本 Char1"/>
    <w:basedOn w:val="1012"/>
    <w:next w:val="1102"/>
    <w:link w:val="1002"/>
    <w:rPr>
      <w:sz w:val="18"/>
      <w:szCs w:val="18"/>
    </w:rPr>
  </w:style>
  <w:style w:type="character" w:styleId="1103">
    <w:name w:val="批注文字 Char2"/>
    <w:next w:val="1103"/>
    <w:link w:val="1002"/>
    <w:rPr>
      <w:rFonts w:eastAsia="宋体"/>
      <w:sz w:val="21"/>
      <w:szCs w:val="24"/>
      <w:lang w:val="en-US" w:eastAsia="zh-CN" w:bidi="ar-SA"/>
    </w:rPr>
  </w:style>
  <w:style w:type="character" w:styleId="1104">
    <w:name w:val="明显引用 Char"/>
    <w:basedOn w:val="1012"/>
    <w:next w:val="1104"/>
    <w:link w:val="1105"/>
    <w:rPr>
      <w:b/>
      <w:i/>
      <w:color w:val="4f81bd"/>
      <w:sz w:val="24"/>
    </w:rPr>
  </w:style>
  <w:style w:type="paragraph" w:styleId="1105">
    <w:name w:val="明显引用"/>
    <w:basedOn w:val="1002"/>
    <w:next w:val="1002"/>
    <w:link w:val="1104"/>
    <w:qFormat/>
    <w:pPr>
      <w:ind w:left="936" w:right="936"/>
      <w:spacing w:before="200" w:after="280"/>
      <w:pBdr>
        <w:bottom w:val="single" w:color="4F81BD" w:sz="4" w:space="4"/>
      </w:pBdr>
    </w:pPr>
    <w:rPr>
      <w:b/>
      <w:i/>
      <w:color w:val="4f81bd"/>
      <w:sz w:val="24"/>
      <w:szCs w:val="20"/>
    </w:rPr>
  </w:style>
  <w:style w:type="character" w:styleId="1106">
    <w:name w:val="hover2"/>
    <w:basedOn w:val="1012"/>
    <w:next w:val="1106"/>
    <w:link w:val="1002"/>
    <w:rPr>
      <w:color w:val="5fb878"/>
    </w:rPr>
  </w:style>
  <w:style w:type="character" w:styleId="1107">
    <w:name w:val="Heading 3 Char1"/>
    <w:next w:val="1107"/>
    <w:link w:val="1002"/>
    <w:rPr>
      <w:rFonts w:eastAsia="宋体"/>
      <w:b/>
      <w:bCs/>
      <w:sz w:val="24"/>
      <w:szCs w:val="32"/>
      <w:lang w:val="en-US" w:eastAsia="zh-CN" w:bidi="ar-SA"/>
    </w:rPr>
  </w:style>
  <w:style w:type="character" w:styleId="1108">
    <w:name w:val="明显参考"/>
    <w:basedOn w:val="1012"/>
    <w:next w:val="1108"/>
    <w:link w:val="1002"/>
    <w:qFormat/>
    <w:rPr>
      <w:b/>
      <w:smallCaps/>
      <w:color w:val="c0504d"/>
      <w:spacing w:val="5"/>
      <w:u w:val="single"/>
    </w:rPr>
  </w:style>
  <w:style w:type="character" w:styleId="1109">
    <w:name w:val="标题 Char2"/>
    <w:next w:val="1109"/>
    <w:link w:val="1002"/>
    <w:rPr>
      <w:rFonts w:ascii="Cambria" w:hAnsi="Cambria" w:eastAsia="宋体" w:cs="Times New Roman"/>
      <w:b/>
      <w:bCs/>
      <w:sz w:val="32"/>
      <w:szCs w:val="32"/>
    </w:rPr>
  </w:style>
  <w:style w:type="character" w:styleId="1110">
    <w:name w:val="Char Char19"/>
    <w:next w:val="1110"/>
    <w:link w:val="1002"/>
    <w:rPr>
      <w:rFonts w:ascii="Arial" w:hAnsi="Arial" w:eastAsia="宋体" w:cs="Times New Roman"/>
      <w:b/>
      <w:bCs/>
      <w:szCs w:val="28"/>
    </w:rPr>
  </w:style>
  <w:style w:type="character" w:styleId="1111">
    <w:name w:val="页眉或页脚"/>
    <w:basedOn w:val="1112"/>
    <w:next w:val="1111"/>
    <w:link w:val="1002"/>
    <w:uiPriority w:val="99"/>
  </w:style>
  <w:style w:type="character" w:styleId="1112">
    <w:name w:val="页眉或页脚_"/>
    <w:basedOn w:val="1012"/>
    <w:next w:val="1112"/>
    <w:link w:val="1113"/>
    <w:uiPriority w:val="99"/>
    <w:rPr>
      <w:rFonts w:ascii="MingLiU" w:eastAsia="MingLiU" w:cs="MingLiU"/>
      <w:spacing w:val="10"/>
      <w:sz w:val="26"/>
      <w:szCs w:val="26"/>
      <w:shd w:val="clear" w:color="auto" w:fill="ffffff"/>
    </w:rPr>
  </w:style>
  <w:style w:type="paragraph" w:styleId="1113">
    <w:name w:val="页眉或页脚1"/>
    <w:basedOn w:val="1002"/>
    <w:next w:val="1113"/>
    <w:link w:val="1112"/>
    <w:uiPriority w:val="99"/>
    <w:pPr>
      <w:jc w:val="left"/>
      <w:spacing w:line="240" w:lineRule="atLeast"/>
      <w:shd w:val="clear" w:color="auto" w:fill="ffffff"/>
    </w:pPr>
    <w:rPr>
      <w:rFonts w:ascii="MingLiU" w:eastAsia="MingLiU" w:cs="MingLiU"/>
      <w:spacing w:val="10"/>
      <w:sz w:val="26"/>
      <w:szCs w:val="26"/>
    </w:rPr>
  </w:style>
  <w:style w:type="character" w:styleId="1114">
    <w:name w:val="Font Style60"/>
    <w:basedOn w:val="1012"/>
    <w:next w:val="1114"/>
    <w:link w:val="1002"/>
    <w:rPr>
      <w:rFonts w:ascii="宋体" w:hAnsi="宋体" w:cs="宋体"/>
      <w:b/>
      <w:bCs/>
      <w:sz w:val="26"/>
      <w:szCs w:val="26"/>
    </w:rPr>
  </w:style>
  <w:style w:type="character" w:styleId="1115">
    <w:name w:val="textcontents"/>
    <w:basedOn w:val="1012"/>
    <w:next w:val="1115"/>
    <w:link w:val="1002"/>
    <w:rPr>
      <w:rFonts w:cs="Times New Roman"/>
    </w:rPr>
  </w:style>
  <w:style w:type="character" w:styleId="1116">
    <w:name w:val="Heading 1 Char"/>
    <w:next w:val="1116"/>
    <w:link w:val="1002"/>
    <w:rPr>
      <w:rFonts w:eastAsia="宋体"/>
      <w:b/>
      <w:bCs/>
      <w:sz w:val="32"/>
      <w:szCs w:val="44"/>
      <w:lang w:val="en-US" w:eastAsia="zh-CN" w:bidi="ar-SA"/>
    </w:rPr>
  </w:style>
  <w:style w:type="character" w:styleId="1117">
    <w:name w:val="标题 3 Char,h3 Char,H3 Char,level_3 Char,PIM 3 Char,Level 3 Head Char,Heading 3 - old Char,sect1.2.3 Char,sect1.2.31 Char,sect1.2.32 Char,sect1.2.311 Char,sect1.2.33 Char,sect1.2.312 Char,Bold Head Char,bh Char,3rd level Char,3 Char,(A-3) Char,BOD 0 Char"/>
    <w:next w:val="1117"/>
    <w:link w:val="1002"/>
    <w:rPr>
      <w:b/>
      <w:bCs/>
      <w:sz w:val="32"/>
      <w:szCs w:val="32"/>
    </w:rPr>
  </w:style>
  <w:style w:type="character" w:styleId="1118">
    <w:name w:val="Heading 5 Char"/>
    <w:next w:val="1118"/>
    <w:link w:val="1002"/>
    <w:rPr>
      <w:rFonts w:eastAsia="宋体"/>
      <w:b/>
      <w:bCs/>
      <w:sz w:val="28"/>
      <w:szCs w:val="28"/>
      <w:lang w:val="en-US" w:eastAsia="zh-CN" w:bidi="ar-SA"/>
    </w:rPr>
  </w:style>
  <w:style w:type="character" w:styleId="1119">
    <w:name w:val="纯文本 Char2"/>
    <w:next w:val="1119"/>
    <w:link w:val="1002"/>
    <w:semiHidden/>
    <w:rPr>
      <w:rFonts w:ascii="宋体" w:hAnsi="Courier New" w:eastAsia="宋体" w:cs="Courier New"/>
      <w:szCs w:val="21"/>
    </w:rPr>
  </w:style>
  <w:style w:type="character" w:styleId="1120">
    <w:name w:val="Footnote Text Char"/>
    <w:next w:val="1120"/>
    <w:link w:val="1002"/>
    <w:rPr>
      <w:rFonts w:eastAsia="宋体"/>
      <w:sz w:val="18"/>
      <w:lang w:val="en-US" w:eastAsia="zh-CN" w:bidi="ar-SA"/>
    </w:rPr>
  </w:style>
  <w:style w:type="character" w:styleId="1121">
    <w:name w:val="Heading 4 Char"/>
    <w:next w:val="1121"/>
    <w:link w:val="1002"/>
    <w:rPr>
      <w:rFonts w:ascii="Arial" w:hAnsi="Arial" w:eastAsia="宋体"/>
      <w:b/>
      <w:bCs/>
      <w:sz w:val="21"/>
      <w:szCs w:val="28"/>
      <w:lang w:val="en-US" w:eastAsia="zh-CN" w:bidi="ar-SA"/>
    </w:rPr>
  </w:style>
  <w:style w:type="character" w:styleId="1122">
    <w:name w:val="日期 Char1"/>
    <w:next w:val="1122"/>
    <w:link w:val="1002"/>
    <w:rPr>
      <w:rFonts w:ascii="Times New Roman" w:hAnsi="Times New Roman" w:eastAsia="宋体" w:cs="Times New Roman"/>
      <w:szCs w:val="24"/>
    </w:rPr>
  </w:style>
  <w:style w:type="character" w:styleId="1123">
    <w:name w:val="二级目录 Char"/>
    <w:next w:val="1123"/>
    <w:link w:val="1124"/>
    <w:rPr>
      <w:rFonts w:eastAsia="Times New Roman"/>
      <w:b/>
      <w:sz w:val="30"/>
      <w:szCs w:val="28"/>
      <w:lang w:val="en-US" w:eastAsia="zh-CN" w:bidi="ar-SA"/>
    </w:rPr>
  </w:style>
  <w:style w:type="paragraph" w:styleId="1124">
    <w:name w:val="二级目录"/>
    <w:next w:val="1002"/>
    <w:link w:val="1123"/>
    <w:pPr>
      <w:ind w:left="720" w:hanging="720"/>
      <w:tabs>
        <w:tab w:val="left" w:pos="720" w:leader="none"/>
      </w:tabs>
      <w:outlineLvl w:val="1"/>
    </w:pPr>
    <w:rPr>
      <w:rFonts w:eastAsia="Times New Roman"/>
      <w:b/>
      <w:sz w:val="30"/>
      <w:szCs w:val="28"/>
      <w:lang w:val="en-US" w:eastAsia="zh-CN" w:bidi="ar-SA"/>
    </w:rPr>
  </w:style>
  <w:style w:type="character" w:styleId="1125">
    <w:name w:val="bigfont"/>
    <w:basedOn w:val="1012"/>
    <w:next w:val="1125"/>
    <w:link w:val="1002"/>
    <w:uiPriority w:val="99"/>
    <w:rPr>
      <w:rFonts w:cs="Times New Roman"/>
    </w:rPr>
  </w:style>
  <w:style w:type="character" w:styleId="1126">
    <w:name w:val="批注主题 Char1"/>
    <w:next w:val="1126"/>
    <w:link w:val="1002"/>
    <w:rPr>
      <w:rFonts w:ascii="Times New Roman" w:hAnsi="Times New Roman" w:eastAsia="宋体" w:cs="Times New Roman"/>
      <w:b/>
      <w:bCs/>
      <w:szCs w:val="24"/>
    </w:rPr>
  </w:style>
  <w:style w:type="character" w:styleId="1127">
    <w:name w:val="Plain Text Char"/>
    <w:next w:val="1127"/>
    <w:link w:val="1002"/>
    <w:rPr>
      <w:rFonts w:ascii="宋体" w:hAnsi="Courier New" w:eastAsia="宋体"/>
      <w:sz w:val="24"/>
      <w:lang w:bidi="ar-SA"/>
    </w:rPr>
  </w:style>
  <w:style w:type="character" w:styleId="1128">
    <w:name w:val="Header Char"/>
    <w:next w:val="1128"/>
    <w:link w:val="1002"/>
    <w:rPr>
      <w:rFonts w:eastAsia="宋体"/>
      <w:sz w:val="18"/>
      <w:szCs w:val="18"/>
      <w:lang w:val="en-US" w:eastAsia="zh-CN" w:bidi="ar-SA"/>
    </w:rPr>
  </w:style>
  <w:style w:type="character" w:styleId="1129">
    <w:name w:val="正文文本 + MS Mincho8,13.5 pt9,间距 0 pt8"/>
    <w:basedOn w:val="1130"/>
    <w:next w:val="1129"/>
    <w:link w:val="1002"/>
    <w:uiPriority w:val="99"/>
    <w:rPr>
      <w:rFonts w:ascii="MS Mincho" w:eastAsia="MS Mincho" w:cs="MS Mincho"/>
      <w:spacing w:val="0"/>
      <w:sz w:val="27"/>
      <w:szCs w:val="27"/>
      <w:lang w:val="en-US" w:eastAsia="en-US"/>
    </w:rPr>
  </w:style>
  <w:style w:type="character" w:styleId="1130">
    <w:name w:val="正文文本 Char1"/>
    <w:basedOn w:val="1012"/>
    <w:next w:val="1130"/>
    <w:link w:val="1002"/>
    <w:rPr>
      <w:rFonts w:ascii="MingLiU" w:eastAsia="MingLiU" w:cs="MingLiU"/>
      <w:spacing w:val="10"/>
      <w:sz w:val="22"/>
      <w:shd w:val="clear" w:color="auto" w:fill="ffffff"/>
    </w:rPr>
  </w:style>
  <w:style w:type="character" w:styleId="1131">
    <w:name w:val="Comment Subject Char"/>
    <w:next w:val="1131"/>
    <w:link w:val="1002"/>
    <w:rPr>
      <w:b/>
      <w:sz w:val="24"/>
      <w:lang w:bidi="ar-SA"/>
    </w:rPr>
  </w:style>
  <w:style w:type="character" w:styleId="1132">
    <w:name w:val="引用 Char1"/>
    <w:basedOn w:val="1012"/>
    <w:next w:val="1132"/>
    <w:link w:val="1002"/>
    <w:uiPriority w:val="29"/>
    <w:rPr>
      <w:i/>
      <w:iCs/>
      <w:color w:val="000000"/>
      <w:sz w:val="21"/>
      <w:szCs w:val="24"/>
    </w:rPr>
  </w:style>
  <w:style w:type="character" w:styleId="1133">
    <w:name w:val="Char Char91"/>
    <w:next w:val="1133"/>
    <w:link w:val="1002"/>
    <w:rPr>
      <w:rFonts w:eastAsia="宋体"/>
      <w:b/>
      <w:bCs/>
      <w:sz w:val="32"/>
      <w:szCs w:val="44"/>
      <w:lang w:val="en-US" w:eastAsia="zh-CN" w:bidi="ar-SA"/>
    </w:rPr>
  </w:style>
  <w:style w:type="character" w:styleId="1134">
    <w:name w:val="正文文本 + MS Mincho,13.5 pt12,间距 0 pt16"/>
    <w:basedOn w:val="1130"/>
    <w:next w:val="1134"/>
    <w:link w:val="1002"/>
    <w:uiPriority w:val="99"/>
  </w:style>
  <w:style w:type="character" w:styleId="1135">
    <w:name w:val="sub_title2"/>
    <w:basedOn w:val="1012"/>
    <w:next w:val="1135"/>
    <w:link w:val="1002"/>
  </w:style>
  <w:style w:type="character" w:styleId="1136">
    <w:name w:val="批注文字 Char Char"/>
    <w:next w:val="1136"/>
    <w:link w:val="1002"/>
    <w:rPr>
      <w:rFonts w:eastAsia="宋体"/>
      <w:sz w:val="21"/>
      <w:szCs w:val="24"/>
      <w:lang w:bidi="ar-SA"/>
    </w:rPr>
  </w:style>
  <w:style w:type="character" w:styleId="1137">
    <w:name w:val="标题 Char1"/>
    <w:next w:val="1137"/>
    <w:link w:val="1002"/>
    <w:uiPriority w:val="10"/>
    <w:rPr>
      <w:rFonts w:ascii="Cambria" w:hAnsi="Cambria" w:eastAsia="宋体" w:cs="Times New Roman"/>
      <w:b/>
      <w:bCs/>
      <w:sz w:val="32"/>
      <w:szCs w:val="32"/>
    </w:rPr>
  </w:style>
  <w:style w:type="character" w:styleId="1138">
    <w:name w:val="Char Char22"/>
    <w:next w:val="1138"/>
    <w:link w:val="1002"/>
    <w:rPr>
      <w:rFonts w:ascii="Times New Roman" w:hAnsi="Times New Roman" w:eastAsia="宋体" w:cs="Times New Roman"/>
      <w:b/>
      <w:bCs/>
      <w:sz w:val="32"/>
      <w:szCs w:val="44"/>
    </w:rPr>
  </w:style>
  <w:style w:type="character" w:styleId="1139">
    <w:name w:val="明显引用 Char Char"/>
    <w:basedOn w:val="1012"/>
    <w:next w:val="1139"/>
    <w:link w:val="1002"/>
    <w:rPr>
      <w:b/>
      <w:i/>
      <w:color w:val="4f81bd"/>
      <w:sz w:val="24"/>
    </w:rPr>
  </w:style>
  <w:style w:type="character" w:styleId="1140">
    <w:name w:val="Char Char24"/>
    <w:next w:val="1140"/>
    <w:link w:val="1002"/>
    <w:rPr>
      <w:rFonts w:eastAsia="宋体"/>
      <w:b/>
      <w:bCs/>
      <w:sz w:val="32"/>
      <w:szCs w:val="44"/>
      <w:lang w:val="en-US" w:eastAsia="zh-CN" w:bidi="ar-SA"/>
    </w:rPr>
  </w:style>
  <w:style w:type="character" w:styleId="1141">
    <w:name w:val="Quote Char"/>
    <w:next w:val="1141"/>
    <w:link w:val="1142"/>
    <w:rPr>
      <w:i/>
      <w:color w:val="000000"/>
      <w:sz w:val="22"/>
    </w:rPr>
  </w:style>
  <w:style w:type="paragraph" w:styleId="1142">
    <w:name w:val="Quote"/>
    <w:basedOn w:val="1002"/>
    <w:next w:val="1002"/>
    <w:link w:val="1141"/>
    <w:qFormat/>
    <w:rPr>
      <w:i/>
      <w:color w:val="000000"/>
      <w:sz w:val="22"/>
      <w:szCs w:val="20"/>
    </w:rPr>
  </w:style>
  <w:style w:type="character" w:styleId="1143">
    <w:name w:val="Char Char Char"/>
    <w:next w:val="1143"/>
    <w:link w:val="1144"/>
    <w:rPr>
      <w:rFonts w:ascii="Tahoma" w:hAnsi="Tahoma"/>
      <w:sz w:val="24"/>
    </w:rPr>
  </w:style>
  <w:style w:type="paragraph" w:styleId="1144">
    <w:name w:val="Char"/>
    <w:basedOn w:val="1002"/>
    <w:next w:val="1144"/>
    <w:link w:val="1143"/>
    <w:rPr>
      <w:rFonts w:ascii="Tahoma" w:hAnsi="Tahoma"/>
      <w:szCs w:val="20"/>
    </w:rPr>
  </w:style>
  <w:style w:type="character" w:styleId="1145">
    <w:name w:val="表格标题 + MS Mincho,13.5 pt8,间距 0 pt4"/>
    <w:basedOn w:val="1146"/>
    <w:next w:val="1145"/>
    <w:link w:val="1002"/>
    <w:uiPriority w:val="99"/>
    <w:rPr>
      <w:rFonts w:ascii="MS Mincho" w:eastAsia="MS Mincho" w:cs="MS Mincho"/>
      <w:spacing w:val="0"/>
      <w:sz w:val="27"/>
      <w:szCs w:val="27"/>
    </w:rPr>
  </w:style>
  <w:style w:type="character" w:styleId="1146">
    <w:name w:val="表格标题_"/>
    <w:basedOn w:val="1012"/>
    <w:next w:val="1146"/>
    <w:link w:val="1147"/>
    <w:uiPriority w:val="99"/>
    <w:rPr>
      <w:rFonts w:ascii="MingLiU" w:eastAsia="MingLiU" w:cs="MingLiU"/>
      <w:spacing w:val="10"/>
      <w:sz w:val="26"/>
      <w:szCs w:val="26"/>
      <w:shd w:val="clear" w:color="auto" w:fill="ffffff"/>
    </w:rPr>
  </w:style>
  <w:style w:type="paragraph" w:styleId="1147">
    <w:name w:val="表格标题"/>
    <w:basedOn w:val="1002"/>
    <w:next w:val="1147"/>
    <w:link w:val="1146"/>
    <w:uiPriority w:val="99"/>
    <w:pPr>
      <w:jc w:val="left"/>
      <w:spacing w:line="240" w:lineRule="atLeast"/>
      <w:shd w:val="clear" w:color="auto" w:fill="ffffff"/>
    </w:pPr>
    <w:rPr>
      <w:rFonts w:ascii="MingLiU" w:eastAsia="MingLiU" w:cs="MingLiU"/>
      <w:spacing w:val="10"/>
      <w:sz w:val="26"/>
      <w:szCs w:val="26"/>
    </w:rPr>
  </w:style>
  <w:style w:type="character" w:styleId="1148">
    <w:name w:val="批注文字 Char1"/>
    <w:next w:val="1148"/>
    <w:link w:val="1002"/>
    <w:rPr>
      <w:rFonts w:ascii="Times New Roman" w:hAnsi="Times New Roman" w:eastAsia="宋体" w:cs="Times New Roman"/>
      <w:szCs w:val="24"/>
    </w:rPr>
  </w:style>
  <w:style w:type="character" w:styleId="1149">
    <w:name w:val="Comment Text Char"/>
    <w:next w:val="1149"/>
    <w:link w:val="1002"/>
    <w:rPr>
      <w:rFonts w:cs="Times New Roman"/>
      <w:sz w:val="24"/>
      <w:szCs w:val="24"/>
    </w:rPr>
  </w:style>
  <w:style w:type="character" w:styleId="1150">
    <w:name w:val="标题 #3_"/>
    <w:basedOn w:val="1012"/>
    <w:next w:val="1150"/>
    <w:link w:val="1151"/>
    <w:uiPriority w:val="99"/>
    <w:rPr>
      <w:rFonts w:ascii="MingLiU" w:eastAsia="MingLiU" w:cs="MingLiU"/>
      <w:spacing w:val="10"/>
      <w:sz w:val="26"/>
      <w:szCs w:val="26"/>
      <w:shd w:val="clear" w:color="auto" w:fill="ffffff"/>
    </w:rPr>
  </w:style>
  <w:style w:type="paragraph" w:styleId="1151">
    <w:name w:val="标题 #3"/>
    <w:basedOn w:val="1002"/>
    <w:next w:val="1151"/>
    <w:link w:val="1150"/>
    <w:uiPriority w:val="99"/>
    <w:pPr>
      <w:jc w:val="left"/>
      <w:spacing w:line="360" w:lineRule="exact"/>
      <w:shd w:val="clear" w:color="auto" w:fill="ffffff"/>
      <w:outlineLvl w:val="2"/>
    </w:pPr>
    <w:rPr>
      <w:rFonts w:ascii="MingLiU" w:eastAsia="MingLiU" w:cs="MingLiU"/>
      <w:spacing w:val="10"/>
      <w:sz w:val="26"/>
      <w:szCs w:val="26"/>
    </w:rPr>
  </w:style>
  <w:style w:type="character" w:styleId="1152">
    <w:name w:val="Body Text Indent 2 Char"/>
    <w:next w:val="1152"/>
    <w:link w:val="1002"/>
    <w:rPr>
      <w:rFonts w:eastAsia="宋体"/>
      <w:sz w:val="21"/>
      <w:szCs w:val="24"/>
      <w:lang w:val="en-US" w:eastAsia="zh-CN" w:bidi="ar-SA"/>
    </w:rPr>
  </w:style>
  <w:style w:type="character" w:styleId="1153">
    <w:name w:val="Char Char181"/>
    <w:next w:val="1153"/>
    <w:link w:val="1002"/>
    <w:rPr>
      <w:b/>
      <w:bCs/>
      <w:sz w:val="44"/>
      <w:szCs w:val="44"/>
    </w:rPr>
  </w:style>
  <w:style w:type="character" w:styleId="1154">
    <w:name w:val=" Char Char23"/>
    <w:basedOn w:val="1012"/>
    <w:next w:val="1154"/>
    <w:link w:val="1002"/>
    <w:rPr>
      <w:rFonts w:ascii="Tahoma" w:hAnsi="Tahoma"/>
      <w:b/>
      <w:sz w:val="44"/>
      <w:szCs w:val="20"/>
    </w:rPr>
  </w:style>
  <w:style w:type="character" w:styleId="1155">
    <w:name w:val="hover1"/>
    <w:basedOn w:val="1012"/>
    <w:next w:val="1155"/>
    <w:link w:val="1002"/>
    <w:rPr>
      <w:color w:val="ffffff"/>
    </w:rPr>
  </w:style>
  <w:style w:type="character" w:styleId="1156">
    <w:name w:val="样式 Char"/>
    <w:next w:val="1156"/>
    <w:link w:val="1157"/>
    <w:rPr>
      <w:rFonts w:ascii="宋体" w:hAnsi="宋体" w:cs="宋体"/>
      <w:sz w:val="24"/>
      <w:szCs w:val="24"/>
      <w:lang w:val="en-US" w:eastAsia="zh-CN" w:bidi="ar-SA"/>
    </w:rPr>
  </w:style>
  <w:style w:type="paragraph" w:styleId="1157">
    <w:name w:val="样式"/>
    <w:next w:val="1157"/>
    <w:link w:val="1156"/>
    <w:pPr>
      <w:widowControl w:val="off"/>
    </w:pPr>
    <w:rPr>
      <w:rFonts w:ascii="宋体" w:hAnsi="宋体" w:cs="宋体"/>
      <w:sz w:val="24"/>
      <w:szCs w:val="24"/>
      <w:lang w:val="en-US" w:eastAsia="zh-CN" w:bidi="ar-SA"/>
    </w:rPr>
  </w:style>
  <w:style w:type="character" w:styleId="1158">
    <w:name w:val="Char Char23"/>
    <w:next w:val="1158"/>
    <w:link w:val="1002"/>
    <w:rPr>
      <w:rFonts w:eastAsia="宋体"/>
      <w:b/>
      <w:bCs/>
      <w:sz w:val="32"/>
      <w:szCs w:val="44"/>
      <w:lang w:val="en-US" w:eastAsia="zh-CN" w:bidi="ar-SA"/>
    </w:rPr>
  </w:style>
  <w:style w:type="character" w:styleId="1159">
    <w:name w:val="文档结构图 Char1"/>
    <w:next w:val="1159"/>
    <w:link w:val="1002"/>
    <w:rPr>
      <w:rFonts w:ascii="宋体" w:hAnsi="Times New Roman" w:eastAsia="宋体" w:cs="Times New Roman"/>
      <w:sz w:val="18"/>
      <w:szCs w:val="18"/>
    </w:rPr>
  </w:style>
  <w:style w:type="character" w:styleId="1160">
    <w:name w:val="不明显参考"/>
    <w:basedOn w:val="1012"/>
    <w:next w:val="1160"/>
    <w:link w:val="1002"/>
    <w:qFormat/>
    <w:rPr>
      <w:smallCaps/>
      <w:color w:val="c0504d"/>
      <w:u w:val="single"/>
    </w:rPr>
  </w:style>
  <w:style w:type="character" w:styleId="1161">
    <w:name w:val="正文文本 + 间距 2 pt"/>
    <w:basedOn w:val="1130"/>
    <w:next w:val="1161"/>
    <w:link w:val="1002"/>
    <w:uiPriority w:val="99"/>
  </w:style>
  <w:style w:type="character" w:styleId="1162">
    <w:name w:val="标题5 Char Char"/>
    <w:next w:val="1162"/>
    <w:link w:val="1163"/>
    <w:rPr>
      <w:rFonts w:ascii="Arial" w:hAnsi="Arial"/>
      <w:b/>
      <w:sz w:val="32"/>
    </w:rPr>
  </w:style>
  <w:style w:type="paragraph" w:styleId="1163">
    <w:name w:val="标题5"/>
    <w:basedOn w:val="1005"/>
    <w:next w:val="1163"/>
    <w:link w:val="1162"/>
    <w:pPr>
      <w:spacing w:line="413" w:lineRule="auto"/>
      <w:tabs>
        <w:tab w:val="left" w:pos="720" w:leader="none"/>
      </w:tabs>
    </w:pPr>
    <w:rPr>
      <w:rFonts w:ascii="Arial" w:hAnsi="Arial"/>
      <w:b/>
      <w:bCs w:val="0"/>
      <w:sz w:val="32"/>
      <w:szCs w:val="20"/>
    </w:rPr>
  </w:style>
  <w:style w:type="character" w:styleId="1164">
    <w:name w:val="超链接_0"/>
    <w:next w:val="1164"/>
    <w:link w:val="1002"/>
    <w:uiPriority w:val="99"/>
    <w:rPr>
      <w:rFonts w:ascii="Calibri" w:hAnsi="Calibri" w:cs="Times New Roman"/>
      <w:color w:val="0000ff"/>
      <w:u w:val="single"/>
    </w:rPr>
  </w:style>
  <w:style w:type="character" w:styleId="1165">
    <w:name w:val="页眉或页脚 + MS Mincho,13.5 pt11,间距 0 pt14"/>
    <w:basedOn w:val="1112"/>
    <w:next w:val="1165"/>
    <w:link w:val="1002"/>
    <w:uiPriority w:val="99"/>
    <w:rPr>
      <w:rFonts w:ascii="MS Mincho" w:eastAsia="MS Mincho" w:cs="MS Mincho"/>
      <w:spacing w:val="0"/>
      <w:sz w:val="27"/>
      <w:szCs w:val="27"/>
      <w:lang w:val="en-US" w:eastAsia="en-US"/>
    </w:rPr>
  </w:style>
  <w:style w:type="character" w:styleId="1166">
    <w:name w:val="列出段落 Char"/>
    <w:next w:val="1166"/>
    <w:link w:val="1167"/>
    <w:uiPriority w:val="34"/>
    <w:qFormat/>
    <w:rPr>
      <w:szCs w:val="24"/>
    </w:rPr>
  </w:style>
  <w:style w:type="paragraph" w:styleId="1167">
    <w:name w:val="列出段落1"/>
    <w:basedOn w:val="1002"/>
    <w:next w:val="1167"/>
    <w:link w:val="1166"/>
    <w:uiPriority w:val="34"/>
    <w:qFormat/>
    <w:pPr>
      <w:ind w:firstLine="420"/>
    </w:pPr>
    <w:rPr>
      <w:sz w:val="20"/>
    </w:rPr>
  </w:style>
  <w:style w:type="character" w:styleId="1168">
    <w:name w:val="纯文本 Char Char"/>
    <w:next w:val="1168"/>
    <w:link w:val="1002"/>
    <w:rPr>
      <w:rFonts w:ascii="宋体" w:hAnsi="Courier New" w:eastAsia="宋体"/>
      <w:sz w:val="21"/>
      <w:lang w:val="en-US" w:eastAsia="zh-CN"/>
    </w:rPr>
  </w:style>
  <w:style w:type="character" w:styleId="1169">
    <w:name w:val="标题 1 Char1"/>
    <w:next w:val="1169"/>
    <w:link w:val="1002"/>
    <w:rPr>
      <w:rFonts w:ascii="Calibri" w:hAnsi="Calibri" w:eastAsia="宋体" w:cs="Arial"/>
      <w:b/>
      <w:sz w:val="44"/>
      <w:szCs w:val="20"/>
    </w:rPr>
  </w:style>
  <w:style w:type="character" w:styleId="1170">
    <w:name w:val="ҳŠChar"/>
    <w:basedOn w:val="1012"/>
    <w:next w:val="1170"/>
    <w:link w:val="1002"/>
    <w:rPr>
      <w:rFonts w:eastAsia="宋体"/>
      <w:sz w:val="18"/>
      <w:szCs w:val="18"/>
      <w:lang w:val="en-US" w:eastAsia="zh-CN" w:bidi="ar-SA"/>
    </w:rPr>
  </w:style>
  <w:style w:type="character" w:styleId="1171">
    <w:name w:val="引用 Char Char"/>
    <w:basedOn w:val="1012"/>
    <w:next w:val="1171"/>
    <w:link w:val="1002"/>
    <w:rPr>
      <w:i/>
      <w:color w:val="000000"/>
      <w:sz w:val="24"/>
    </w:rPr>
  </w:style>
  <w:style w:type="character" w:styleId="1172">
    <w:name w:val="ꌢ 3 Char"/>
    <w:basedOn w:val="1012"/>
    <w:next w:val="1172"/>
    <w:link w:val="1173"/>
    <w:rPr>
      <w:rFonts w:ascii="Ђˎ̥" w:hAnsi="Ђˎ̥"/>
      <w:b/>
      <w:bCs/>
    </w:rPr>
  </w:style>
  <w:style w:type="paragraph" w:styleId="1173">
    <w:name w:val="ꌢ 3"/>
    <w:basedOn w:val="1002"/>
    <w:next w:val="1173"/>
    <w:link w:val="1172"/>
    <w:pPr>
      <w:widowControl/>
    </w:pPr>
    <w:rPr>
      <w:rFonts w:ascii="Ђˎ̥" w:hAnsi="Ђˎ̥"/>
      <w:b/>
      <w:bCs/>
      <w:sz w:val="20"/>
      <w:szCs w:val="20"/>
    </w:rPr>
  </w:style>
  <w:style w:type="character" w:styleId="1174">
    <w:name w:val="引用 Char"/>
    <w:basedOn w:val="1012"/>
    <w:next w:val="1174"/>
    <w:link w:val="1175"/>
    <w:rPr>
      <w:i/>
      <w:color w:val="000000"/>
      <w:sz w:val="24"/>
    </w:rPr>
  </w:style>
  <w:style w:type="paragraph" w:styleId="1175">
    <w:name w:val="引用"/>
    <w:basedOn w:val="1002"/>
    <w:next w:val="1002"/>
    <w:link w:val="1174"/>
    <w:qFormat/>
    <w:rPr>
      <w:i/>
      <w:color w:val="000000"/>
      <w:sz w:val="24"/>
      <w:szCs w:val="20"/>
    </w:rPr>
  </w:style>
  <w:style w:type="character" w:styleId="1176">
    <w:name w:val=" Char Char22"/>
    <w:basedOn w:val="1012"/>
    <w:next w:val="1176"/>
    <w:link w:val="1002"/>
    <w:rPr>
      <w:b/>
      <w:sz w:val="44"/>
    </w:rPr>
  </w:style>
  <w:style w:type="character" w:styleId="1177">
    <w:name w:val="Heading 3 Char"/>
    <w:next w:val="1177"/>
    <w:link w:val="1002"/>
    <w:rPr>
      <w:rFonts w:cs="Times New Roman"/>
      <w:b/>
      <w:bCs/>
      <w:sz w:val="32"/>
      <w:szCs w:val="32"/>
    </w:rPr>
  </w:style>
  <w:style w:type="character" w:styleId="1178">
    <w:name w:val="正文文本 + 9.5 pt"/>
    <w:basedOn w:val="1130"/>
    <w:next w:val="1178"/>
    <w:link w:val="1002"/>
    <w:uiPriority w:val="99"/>
    <w:rPr>
      <w:sz w:val="19"/>
      <w:szCs w:val="19"/>
    </w:rPr>
  </w:style>
  <w:style w:type="character" w:styleId="1179">
    <w:name w:val="Comment Text Char1"/>
    <w:next w:val="1179"/>
    <w:link w:val="1002"/>
    <w:rPr>
      <w:sz w:val="24"/>
      <w:lang w:bidi="ar-SA"/>
    </w:rPr>
  </w:style>
  <w:style w:type="character" w:styleId="1180">
    <w:name w:val="无间隔 Char"/>
    <w:basedOn w:val="1012"/>
    <w:next w:val="1180"/>
    <w:link w:val="1181"/>
    <w:uiPriority w:val="99"/>
    <w:rPr>
      <w:sz w:val="21"/>
      <w:szCs w:val="24"/>
    </w:rPr>
  </w:style>
  <w:style w:type="paragraph" w:styleId="1181">
    <w:name w:val="无间隔"/>
    <w:basedOn w:val="1002"/>
    <w:next w:val="1181"/>
    <w:link w:val="1180"/>
    <w:qFormat/>
  </w:style>
  <w:style w:type="character" w:styleId="1182">
    <w:name w:val="批注框文本 Char1"/>
    <w:next w:val="1182"/>
    <w:link w:val="1002"/>
    <w:rPr>
      <w:rFonts w:ascii="Times New Roman" w:hAnsi="Times New Roman" w:eastAsia="宋体" w:cs="Times New Roman"/>
      <w:sz w:val="18"/>
      <w:szCs w:val="18"/>
    </w:rPr>
  </w:style>
  <w:style w:type="character" w:styleId="1183">
    <w:name w:val="明显引用 Char1"/>
    <w:basedOn w:val="1012"/>
    <w:next w:val="1183"/>
    <w:link w:val="1002"/>
    <w:uiPriority w:val="30"/>
    <w:rPr>
      <w:b/>
      <w:bCs/>
      <w:i/>
      <w:iCs/>
      <w:color w:val="4f81bd"/>
      <w:sz w:val="21"/>
      <w:szCs w:val="24"/>
    </w:rPr>
  </w:style>
  <w:style w:type="character" w:styleId="1184">
    <w:name w:val="ꌢ 2 Char"/>
    <w:basedOn w:val="1012"/>
    <w:next w:val="1184"/>
    <w:link w:val="1185"/>
    <w:rPr>
      <w:rFonts w:ascii="Arial" w:hAnsi="Arial"/>
      <w:b/>
      <w:bCs/>
    </w:rPr>
  </w:style>
  <w:style w:type="paragraph" w:styleId="1185">
    <w:name w:val="ꌢ 2"/>
    <w:basedOn w:val="1002"/>
    <w:next w:val="1185"/>
    <w:link w:val="1184"/>
    <w:pPr>
      <w:widowControl/>
    </w:pPr>
    <w:rPr>
      <w:rFonts w:ascii="Arial" w:hAnsi="Arial"/>
      <w:b/>
      <w:bCs/>
      <w:sz w:val="20"/>
      <w:szCs w:val="20"/>
    </w:rPr>
  </w:style>
  <w:style w:type="character" w:styleId="1186">
    <w:name w:val="Document Map Char"/>
    <w:next w:val="1186"/>
    <w:link w:val="1002"/>
    <w:rPr>
      <w:rFonts w:eastAsia="宋体"/>
      <w:sz w:val="21"/>
      <w:szCs w:val="24"/>
      <w:lang w:val="en-US" w:eastAsia="zh-CN" w:bidi="ar-SA"/>
    </w:rPr>
  </w:style>
  <w:style w:type="character" w:styleId="1187">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87"/>
    <w:link w:val="1002"/>
    <w:qFormat/>
    <w:rPr>
      <w:rFonts w:ascii="宋体" w:hAnsi="Courier New" w:eastAsia="宋体"/>
    </w:rPr>
  </w:style>
  <w:style w:type="character" w:styleId="1188">
    <w:name w:val="副标题 Char1"/>
    <w:basedOn w:val="1012"/>
    <w:next w:val="1188"/>
    <w:link w:val="1002"/>
    <w:uiPriority w:val="11"/>
    <w:rPr>
      <w:rFonts w:ascii="Cambria" w:hAnsi="Cambria" w:cs="Times New Roman"/>
      <w:b/>
      <w:bCs/>
      <w:sz w:val="32"/>
      <w:szCs w:val="32"/>
    </w:rPr>
  </w:style>
  <w:style w:type="character" w:styleId="1189">
    <w:name w:val="ҳŻ"/>
    <w:basedOn w:val="1012"/>
    <w:next w:val="1189"/>
    <w:link w:val="1190"/>
    <w:rPr>
      <w:rFonts w:ascii="宋体" w:hAnsi="宋体" w:cs="宋体"/>
      <w:sz w:val="32"/>
      <w:szCs w:val="32"/>
    </w:rPr>
  </w:style>
  <w:style w:type="paragraph" w:styleId="1190">
    <w:name w:val="ҳŠChar1"/>
    <w:basedOn w:val="1002"/>
    <w:next w:val="1190"/>
    <w:link w:val="1189"/>
    <w:pPr>
      <w:jc w:val="center"/>
      <w:keepNext/>
      <w:spacing w:before="100" w:beforeAutospacing="1" w:after="120" w:line="400" w:lineRule="atLeast"/>
      <w:widowControl/>
    </w:pPr>
    <w:rPr>
      <w:rFonts w:ascii="宋体" w:hAnsi="宋体" w:cs="宋体"/>
      <w:sz w:val="32"/>
      <w:szCs w:val="32"/>
    </w:rPr>
  </w:style>
  <w:style w:type="character" w:styleId="1191">
    <w:name w:val="apple-converted-space"/>
    <w:basedOn w:val="1012"/>
    <w:next w:val="1191"/>
    <w:link w:val="1002"/>
  </w:style>
  <w:style w:type="character" w:styleId="1192">
    <w:name w:val="Char Char20"/>
    <w:next w:val="1192"/>
    <w:link w:val="1002"/>
    <w:rPr>
      <w:rFonts w:ascii="Times New Roman" w:hAnsi="Times New Roman" w:eastAsia="宋体" w:cs="Times New Roman"/>
      <w:b/>
      <w:bCs/>
      <w:sz w:val="24"/>
      <w:szCs w:val="32"/>
    </w:rPr>
  </w:style>
  <w:style w:type="character" w:styleId="1193">
    <w:name w:val=" Char Char"/>
    <w:next w:val="1193"/>
    <w:link w:val="1002"/>
    <w:rPr>
      <w:rFonts w:ascii="宋体" w:hAnsi="Courier New" w:eastAsia="宋体" w:cs="Courier New"/>
      <w:sz w:val="21"/>
      <w:szCs w:val="21"/>
      <w:lang w:val="en-US" w:eastAsia="zh-CN" w:bidi="ar-SA"/>
    </w:rPr>
  </w:style>
  <w:style w:type="character" w:styleId="1194">
    <w:name w:val="Char Char2"/>
    <w:basedOn w:val="1012"/>
    <w:next w:val="1194"/>
    <w:link w:val="1195"/>
    <w:rPr>
      <w:sz w:val="21"/>
    </w:rPr>
  </w:style>
  <w:style w:type="paragraph" w:styleId="1195">
    <w:name w:val="Char3"/>
    <w:basedOn w:val="1002"/>
    <w:next w:val="1195"/>
    <w:link w:val="1194"/>
    <w:rPr>
      <w:szCs w:val="20"/>
    </w:rPr>
  </w:style>
  <w:style w:type="character" w:styleId="1196">
    <w:name w:val="hover"/>
    <w:basedOn w:val="1012"/>
    <w:next w:val="1196"/>
    <w:link w:val="1002"/>
    <w:rPr>
      <w:color w:val="5fb878"/>
    </w:rPr>
  </w:style>
  <w:style w:type="character" w:styleId="1197">
    <w:name w:val="Char Char"/>
    <w:next w:val="1197"/>
    <w:link w:val="1002"/>
    <w:uiPriority w:val="99"/>
    <w:rPr>
      <w:rFonts w:ascii="Tahoma" w:hAnsi="Tahoma" w:eastAsia="宋体"/>
      <w:sz w:val="24"/>
      <w:lang w:val="en-US" w:eastAsia="zh-CN" w:bidi="ar-SA"/>
    </w:rPr>
  </w:style>
  <w:style w:type="character" w:styleId="1198">
    <w:name w:val="Char Char21"/>
    <w:next w:val="1198"/>
    <w:link w:val="1002"/>
    <w:rPr>
      <w:rFonts w:ascii="Arial" w:hAnsi="Arial" w:eastAsia="黑体" w:cs="Times New Roman"/>
      <w:b/>
      <w:bCs/>
      <w:sz w:val="32"/>
      <w:szCs w:val="32"/>
    </w:rPr>
  </w:style>
  <w:style w:type="character" w:styleId="1199">
    <w:name w:val="Date Char"/>
    <w:next w:val="1199"/>
    <w:link w:val="1002"/>
    <w:rPr>
      <w:rFonts w:eastAsia="宋体"/>
      <w:sz w:val="21"/>
      <w:szCs w:val="24"/>
      <w:lang w:val="en-US" w:eastAsia="zh-CN" w:bidi="ar-SA"/>
    </w:rPr>
  </w:style>
  <w:style w:type="character" w:styleId="1200">
    <w:name w:val="不明显强调"/>
    <w:basedOn w:val="1012"/>
    <w:next w:val="1200"/>
    <w:link w:val="1002"/>
    <w:qFormat/>
    <w:rPr>
      <w:i/>
      <w:color w:val="808080"/>
    </w:rPr>
  </w:style>
  <w:style w:type="character" w:styleId="1201">
    <w:name w:val="Intense Quote Char"/>
    <w:next w:val="1201"/>
    <w:link w:val="1202"/>
    <w:rPr>
      <w:b/>
      <w:i/>
      <w:color w:val="4f81bd"/>
      <w:sz w:val="22"/>
    </w:rPr>
  </w:style>
  <w:style w:type="paragraph" w:styleId="1202">
    <w:name w:val="Intense Quote"/>
    <w:basedOn w:val="1002"/>
    <w:next w:val="1002"/>
    <w:link w:val="1201"/>
    <w:qFormat/>
    <w:pPr>
      <w:ind w:left="936" w:right="936"/>
      <w:spacing w:before="200" w:after="280"/>
      <w:pBdr>
        <w:bottom w:val="single" w:color="4F81BD" w:sz="4" w:space="4"/>
      </w:pBdr>
    </w:pPr>
    <w:rPr>
      <w:b/>
      <w:i/>
      <w:color w:val="4f81bd"/>
      <w:sz w:val="22"/>
      <w:szCs w:val="20"/>
    </w:rPr>
  </w:style>
  <w:style w:type="character" w:styleId="1203">
    <w:name w:val="Body Text Indent Char"/>
    <w:next w:val="1203"/>
    <w:link w:val="1002"/>
    <w:rPr>
      <w:rFonts w:ascii="宋体" w:hAnsi="宋体" w:eastAsia="宋体"/>
      <w:sz w:val="21"/>
      <w:lang w:val="en-US" w:eastAsia="zh-CN" w:bidi="ar-SA"/>
    </w:rPr>
  </w:style>
  <w:style w:type="character" w:styleId="1204">
    <w:name w:val="标题4 Char Char"/>
    <w:next w:val="1204"/>
    <w:link w:val="1002"/>
    <w:rPr>
      <w:rFonts w:ascii="Arial" w:hAnsi="Arial"/>
      <w:b/>
      <w:sz w:val="32"/>
      <w:lang w:bidi="ar-SA"/>
    </w:rPr>
  </w:style>
  <w:style w:type="character" w:styleId="1205">
    <w:name w:val="正文文本 + 间距 2 pt1"/>
    <w:basedOn w:val="1130"/>
    <w:next w:val="1205"/>
    <w:link w:val="1002"/>
    <w:uiPriority w:val="99"/>
    <w:rPr>
      <w:spacing w:val="40"/>
      <w:sz w:val="26"/>
      <w:szCs w:val="26"/>
      <w:u w:val="none"/>
    </w:rPr>
  </w:style>
  <w:style w:type="character" w:styleId="1206">
    <w:name w:val="Variable"/>
    <w:next w:val="1206"/>
    <w:link w:val="1002"/>
    <w:uiPriority w:val="99"/>
    <w:rPr>
      <w:i/>
    </w:rPr>
  </w:style>
  <w:style w:type="character" w:styleId="1207">
    <w:name w:val="Title Char"/>
    <w:next w:val="1207"/>
    <w:link w:val="1002"/>
    <w:rPr>
      <w:rFonts w:ascii="Cambria" w:hAnsi="Cambria"/>
      <w:b/>
      <w:sz w:val="32"/>
      <w:lang w:bidi="ar-SA"/>
    </w:rPr>
  </w:style>
  <w:style w:type="character" w:styleId="1208">
    <w:name w:val="Heading 2 Char"/>
    <w:next w:val="1208"/>
    <w:link w:val="1002"/>
    <w:rPr>
      <w:rFonts w:ascii="Arial" w:hAnsi="Arial" w:eastAsia="黑体"/>
      <w:b/>
      <w:bCs/>
      <w:sz w:val="32"/>
      <w:szCs w:val="32"/>
      <w:lang w:val="en-US" w:eastAsia="zh-CN" w:bidi="ar-SA"/>
    </w:rPr>
  </w:style>
  <w:style w:type="character" w:styleId="1209">
    <w:name w:val="明显强调"/>
    <w:basedOn w:val="1012"/>
    <w:next w:val="1209"/>
    <w:link w:val="1002"/>
    <w:qFormat/>
    <w:rPr>
      <w:b/>
      <w:i/>
      <w:color w:val="4f81bd"/>
    </w:rPr>
  </w:style>
  <w:style w:type="character" w:styleId="1210">
    <w:name w:val="Char Char18"/>
    <w:next w:val="1210"/>
    <w:link w:val="1002"/>
    <w:rPr>
      <w:rFonts w:ascii="Times New Roman" w:hAnsi="Times New Roman" w:eastAsia="宋体" w:cs="Times New Roman"/>
      <w:b/>
      <w:bCs/>
      <w:sz w:val="28"/>
      <w:szCs w:val="28"/>
    </w:rPr>
  </w:style>
  <w:style w:type="character" w:styleId="1211">
    <w:name w:val="Char Char9"/>
    <w:next w:val="1211"/>
    <w:link w:val="1002"/>
    <w:rPr>
      <w:rFonts w:eastAsia="宋体"/>
      <w:b/>
      <w:bCs/>
      <w:sz w:val="32"/>
      <w:szCs w:val="44"/>
      <w:lang w:val="en-US" w:eastAsia="zh-CN" w:bidi="ar-SA"/>
    </w:rPr>
  </w:style>
  <w:style w:type="character" w:styleId="1212">
    <w:name w:val="标题 2 Char1"/>
    <w:next w:val="1212"/>
    <w:link w:val="1002"/>
    <w:rPr>
      <w:rFonts w:ascii="Arial" w:hAnsi="Arial" w:eastAsia="黑体" w:cs="Calibri"/>
      <w:b/>
      <w:sz w:val="32"/>
      <w:szCs w:val="20"/>
    </w:rPr>
  </w:style>
  <w:style w:type="paragraph" w:styleId="1213">
    <w:name w:val="xl105"/>
    <w:basedOn w:val="1002"/>
    <w:next w:val="1213"/>
    <w:link w:val="1002"/>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14">
    <w:name w:val="修订"/>
    <w:next w:val="1214"/>
    <w:link w:val="1002"/>
    <w:rPr>
      <w:sz w:val="21"/>
      <w:szCs w:val="24"/>
      <w:lang w:val="en-US" w:eastAsia="zh-CN" w:bidi="ar-SA"/>
    </w:rPr>
  </w:style>
  <w:style w:type="paragraph" w:styleId="1215">
    <w:name w:val="font7"/>
    <w:basedOn w:val="1002"/>
    <w:next w:val="1215"/>
    <w:link w:val="1002"/>
    <w:uiPriority w:val="99"/>
    <w:pPr>
      <w:jc w:val="left"/>
      <w:spacing w:before="100" w:beforeAutospacing="1" w:after="100" w:afterAutospacing="1"/>
      <w:widowControl/>
    </w:pPr>
    <w:rPr>
      <w:sz w:val="20"/>
      <w:szCs w:val="20"/>
    </w:rPr>
  </w:style>
  <w:style w:type="paragraph" w:styleId="1216">
    <w:name w:val="xl113"/>
    <w:basedOn w:val="1002"/>
    <w:next w:val="1216"/>
    <w:link w:val="1002"/>
    <w:pPr>
      <w:jc w:val="right"/>
      <w:spacing w:before="100" w:beforeAutospacing="1" w:after="100" w:afterAutospacing="1"/>
      <w:widowControl/>
      <w:pBdr>
        <w:top w:val="single" w:color="000000" w:sz="8" w:space="0"/>
      </w:pBdr>
    </w:pPr>
    <w:rPr>
      <w:rFonts w:ascii="宋体" w:hAnsi="宋体" w:cs="宋体"/>
      <w:sz w:val="24"/>
    </w:rPr>
  </w:style>
  <w:style w:type="paragraph" w:styleId="1217">
    <w:name w:val="样式 标题 2 + Times New Roman 四号 非加粗 段前: 5 磅 段后: 0 磅 行距: 固定值 20..."/>
    <w:basedOn w:val="1004"/>
    <w:next w:val="1217"/>
    <w:link w:val="1002"/>
    <w:pPr>
      <w:spacing w:before="100" w:after="0" w:line="400" w:lineRule="exact"/>
    </w:pPr>
    <w:rPr>
      <w:rFonts w:ascii="Times New Roman" w:hAnsi="Times New Roman" w:eastAsia="黑体" w:cs="宋体"/>
      <w:b w:val="0"/>
      <w:bCs w:val="0"/>
      <w:sz w:val="28"/>
      <w:szCs w:val="20"/>
    </w:rPr>
  </w:style>
  <w:style w:type="paragraph" w:styleId="1218">
    <w:name w:val="xl54"/>
    <w:basedOn w:val="1002"/>
    <w:next w:val="1218"/>
    <w:link w:val="100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19">
    <w:name w:val="xl23"/>
    <w:basedOn w:val="1002"/>
    <w:next w:val="1219"/>
    <w:link w:val="1002"/>
    <w:pPr>
      <w:jc w:val="left"/>
      <w:spacing w:before="100" w:beforeAutospacing="1" w:after="100" w:afterAutospacing="1"/>
      <w:widowControl/>
    </w:pPr>
    <w:rPr>
      <w:rFonts w:ascii="宋体" w:hAnsi="宋体" w:cs="宋体"/>
      <w:sz w:val="24"/>
    </w:rPr>
  </w:style>
  <w:style w:type="paragraph" w:styleId="1220">
    <w:name w:val="xl45"/>
    <w:basedOn w:val="1002"/>
    <w:next w:val="1220"/>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name w:val=" Char Char1 Char Char Char"/>
    <w:basedOn w:val="1002"/>
    <w:next w:val="1221"/>
    <w:link w:val="1002"/>
    <w:rPr>
      <w:szCs w:val="20"/>
    </w:rPr>
  </w:style>
  <w:style w:type="paragraph" w:styleId="1222">
    <w:name w:val="Char Char4 Char"/>
    <w:basedOn w:val="1002"/>
    <w:next w:val="1222"/>
    <w:link w:val="1002"/>
    <w:pPr>
      <w:ind w:firstLine="200"/>
      <w:spacing w:line="360" w:lineRule="auto"/>
    </w:pPr>
    <w:rPr>
      <w:rFonts w:ascii="宋体" w:hAnsi="宋体" w:cs="宋体"/>
      <w:sz w:val="24"/>
    </w:rPr>
  </w:style>
  <w:style w:type="paragraph" w:styleId="1223">
    <w:name w:val="xl101"/>
    <w:basedOn w:val="1002"/>
    <w:next w:val="1223"/>
    <w:link w:val="100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24">
    <w:name w:val="xl58"/>
    <w:basedOn w:val="1002"/>
    <w:next w:val="1224"/>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name w:val="xl59"/>
    <w:basedOn w:val="1002"/>
    <w:next w:val="1225"/>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6">
    <w:name w:val="xl29"/>
    <w:basedOn w:val="1002"/>
    <w:next w:val="1226"/>
    <w:link w:val="1002"/>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7">
    <w:name w:val="font0"/>
    <w:basedOn w:val="1002"/>
    <w:next w:val="1227"/>
    <w:link w:val="1002"/>
    <w:uiPriority w:val="99"/>
    <w:pPr>
      <w:jc w:val="left"/>
      <w:spacing w:before="100" w:beforeAutospacing="1" w:after="100" w:afterAutospacing="1"/>
      <w:widowControl/>
    </w:pPr>
    <w:rPr>
      <w:rFonts w:ascii="Arial" w:hAnsi="Arial" w:cs="Arial"/>
      <w:sz w:val="20"/>
      <w:szCs w:val="20"/>
    </w:rPr>
  </w:style>
  <w:style w:type="paragraph" w:styleId="1228">
    <w:name w:val="xl30"/>
    <w:basedOn w:val="1002"/>
    <w:next w:val="1228"/>
    <w:link w:val="1002"/>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9">
    <w:name w:val="Address"/>
    <w:basedOn w:val="1002"/>
    <w:next w:val="1002"/>
    <w:link w:val="1002"/>
    <w:uiPriority w:val="99"/>
    <w:pPr>
      <w:jc w:val="left"/>
    </w:pPr>
    <w:rPr>
      <w:i/>
      <w:sz w:val="24"/>
      <w:szCs w:val="20"/>
    </w:rPr>
  </w:style>
  <w:style w:type="paragraph" w:styleId="1230">
    <w:name w:val="xl69"/>
    <w:basedOn w:val="1002"/>
    <w:next w:val="1230"/>
    <w:link w:val="1002"/>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31">
    <w:name w:val="xl120"/>
    <w:basedOn w:val="1002"/>
    <w:next w:val="1231"/>
    <w:link w:val="1002"/>
    <w:pPr>
      <w:jc w:val="center"/>
      <w:spacing w:before="100" w:beforeAutospacing="1" w:after="100" w:afterAutospacing="1"/>
      <w:widowControl/>
    </w:pPr>
    <w:rPr>
      <w:rFonts w:ascii="宋体" w:hAnsi="宋体" w:cs="宋体"/>
      <w:b/>
      <w:bCs/>
      <w:color w:val="000000"/>
      <w:sz w:val="38"/>
      <w:szCs w:val="38"/>
    </w:rPr>
  </w:style>
  <w:style w:type="paragraph" w:styleId="1232">
    <w:name w:val="xl117"/>
    <w:basedOn w:val="1002"/>
    <w:next w:val="1232"/>
    <w:link w:val="1002"/>
    <w:pPr>
      <w:jc w:val="center"/>
      <w:spacing w:before="100" w:beforeAutospacing="1" w:after="100" w:afterAutospacing="1"/>
      <w:widowControl/>
    </w:pPr>
    <w:rPr>
      <w:rFonts w:ascii="宋体" w:hAnsi="宋体" w:cs="宋体"/>
      <w:sz w:val="24"/>
    </w:rPr>
  </w:style>
  <w:style w:type="paragraph" w:styleId="1233">
    <w:name w:val="xl27"/>
    <w:basedOn w:val="1002"/>
    <w:next w:val="1233"/>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4">
    <w:name w:val="xl73"/>
    <w:basedOn w:val="1002"/>
    <w:next w:val="1234"/>
    <w:link w:val="1002"/>
    <w:pPr>
      <w:jc w:val="right"/>
      <w:spacing w:before="100" w:beforeAutospacing="1" w:after="100" w:afterAutospacing="1"/>
      <w:widowControl/>
      <w:pBdr>
        <w:top w:val="single" w:color="000000" w:sz="8" w:space="0"/>
      </w:pBdr>
    </w:pPr>
    <w:rPr>
      <w:rFonts w:ascii="宋体" w:hAnsi="宋体" w:cs="宋体"/>
      <w:sz w:val="24"/>
    </w:rPr>
  </w:style>
  <w:style w:type="paragraph" w:styleId="1235">
    <w:name w:val="xl114"/>
    <w:basedOn w:val="1002"/>
    <w:next w:val="1235"/>
    <w:link w:val="1002"/>
    <w:pPr>
      <w:jc w:val="left"/>
      <w:spacing w:before="100" w:beforeAutospacing="1" w:after="100" w:afterAutospacing="1"/>
      <w:widowControl/>
    </w:pPr>
    <w:rPr>
      <w:rFonts w:ascii="宋体" w:hAnsi="宋体" w:cs="宋体"/>
      <w:color w:val="000000"/>
      <w:sz w:val="24"/>
    </w:rPr>
  </w:style>
  <w:style w:type="paragraph" w:styleId="1236">
    <w:name w:val="xl51"/>
    <w:basedOn w:val="1002"/>
    <w:next w:val="1236"/>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7">
    <w:name w:val="xl52"/>
    <w:basedOn w:val="1002"/>
    <w:next w:val="1237"/>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38">
    <w:name w:val="Char Char Char1 Char Char Char Char Char Char Char"/>
    <w:basedOn w:val="1002"/>
    <w:next w:val="1238"/>
    <w:link w:val="1002"/>
  </w:style>
  <w:style w:type="paragraph" w:styleId="1239">
    <w:name w:val="Char1"/>
    <w:basedOn w:val="1002"/>
    <w:next w:val="1239"/>
    <w:link w:val="1002"/>
    <w:rPr>
      <w:rFonts w:ascii="Tahoma" w:hAnsi="Tahoma"/>
      <w:sz w:val="24"/>
      <w:szCs w:val="20"/>
    </w:rPr>
  </w:style>
  <w:style w:type="paragraph" w:styleId="1240">
    <w:name w:val="xl64"/>
    <w:basedOn w:val="1002"/>
    <w:next w:val="1240"/>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name w:val="xl116"/>
    <w:basedOn w:val="1002"/>
    <w:next w:val="1241"/>
    <w:link w:val="1002"/>
    <w:pPr>
      <w:jc w:val="left"/>
      <w:spacing w:before="100" w:beforeAutospacing="1" w:after="100" w:afterAutospacing="1"/>
      <w:widowControl/>
    </w:pPr>
    <w:rPr>
      <w:rFonts w:ascii="宋体" w:hAnsi="宋体" w:cs="宋体"/>
      <w:sz w:val="24"/>
    </w:rPr>
  </w:style>
  <w:style w:type="paragraph" w:styleId="1242">
    <w:name w:val="xl63"/>
    <w:basedOn w:val="1002"/>
    <w:next w:val="1242"/>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name w:val="xl97"/>
    <w:basedOn w:val="1002"/>
    <w:next w:val="1243"/>
    <w:link w:val="1002"/>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44">
    <w:name w:val="xl36"/>
    <w:basedOn w:val="1002"/>
    <w:next w:val="1244"/>
    <w:link w:val="1002"/>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45">
    <w:name w:val="xl60"/>
    <w:basedOn w:val="1002"/>
    <w:next w:val="1245"/>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46">
    <w:name w:val="xl48"/>
    <w:basedOn w:val="1002"/>
    <w:next w:val="1246"/>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name w:val=" Char Char Char1 Char Char Char Char Char Char Char"/>
    <w:basedOn w:val="1002"/>
    <w:next w:val="1247"/>
    <w:link w:val="1002"/>
  </w:style>
  <w:style w:type="paragraph" w:styleId="1248">
    <w:name w:val=" Char1"/>
    <w:basedOn w:val="1002"/>
    <w:next w:val="1248"/>
    <w:link w:val="1002"/>
    <w:rPr>
      <w:szCs w:val="21"/>
    </w:rPr>
  </w:style>
  <w:style w:type="paragraph" w:styleId="1249">
    <w:name w:val="char"/>
    <w:basedOn w:val="1002"/>
    <w:next w:val="1249"/>
    <w:link w:val="1002"/>
    <w:pPr>
      <w:jc w:val="left"/>
      <w:spacing w:before="100" w:beforeAutospacing="1" w:after="100" w:afterAutospacing="1"/>
      <w:widowControl/>
    </w:pPr>
    <w:rPr>
      <w:rFonts w:ascii="宋体" w:hAnsi="宋体" w:cs="宋体"/>
      <w:sz w:val="24"/>
    </w:rPr>
  </w:style>
  <w:style w:type="paragraph" w:styleId="1250">
    <w:name w:val="xl79"/>
    <w:basedOn w:val="1002"/>
    <w:next w:val="1250"/>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1">
    <w:name w:val="正文_0"/>
    <w:next w:val="1251"/>
    <w:link w:val="1002"/>
    <w:qFormat/>
    <w:pPr>
      <w:jc w:val="both"/>
      <w:widowControl w:val="off"/>
    </w:pPr>
    <w:rPr>
      <w:rFonts w:ascii="Calibri" w:hAnsi="Calibri"/>
      <w:sz w:val="21"/>
      <w:szCs w:val="22"/>
      <w:lang w:val="en-US" w:eastAsia="zh-CN" w:bidi="ar-SA"/>
    </w:rPr>
  </w:style>
  <w:style w:type="paragraph" w:styleId="1252">
    <w:name w:val="正文(其它)"/>
    <w:basedOn w:val="1002"/>
    <w:next w:val="1252"/>
    <w:link w:val="1002"/>
    <w:pPr>
      <w:jc w:val="center"/>
      <w:spacing w:line="312" w:lineRule="auto"/>
    </w:pPr>
    <w:rPr>
      <w:rFonts w:ascii="黑体" w:eastAsia="黑体"/>
      <w:sz w:val="32"/>
      <w:szCs w:val="32"/>
    </w:rPr>
  </w:style>
  <w:style w:type="paragraph" w:styleId="1253">
    <w:name w:val="xl118"/>
    <w:basedOn w:val="1002"/>
    <w:next w:val="1253"/>
    <w:link w:val="1002"/>
    <w:pPr>
      <w:jc w:val="right"/>
      <w:spacing w:before="100" w:beforeAutospacing="1" w:after="100" w:afterAutospacing="1"/>
      <w:widowControl/>
    </w:pPr>
    <w:rPr>
      <w:rFonts w:ascii="宋体" w:hAnsi="宋体" w:cs="宋体"/>
      <w:sz w:val="24"/>
    </w:rPr>
  </w:style>
  <w:style w:type="paragraph" w:styleId="1254">
    <w:name w:val="xl39"/>
    <w:basedOn w:val="1002"/>
    <w:next w:val="1254"/>
    <w:link w:val="1002"/>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name w:val="xl66"/>
    <w:basedOn w:val="1002"/>
    <w:next w:val="1255"/>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6">
    <w:name w:val="xl26"/>
    <w:basedOn w:val="1002"/>
    <w:next w:val="1256"/>
    <w:link w:val="1002"/>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7">
    <w:name w:val="xl112"/>
    <w:basedOn w:val="1002"/>
    <w:next w:val="1257"/>
    <w:link w:val="1002"/>
    <w:pPr>
      <w:jc w:val="center"/>
      <w:spacing w:before="100" w:beforeAutospacing="1" w:after="100" w:afterAutospacing="1"/>
      <w:widowControl/>
      <w:pBdr>
        <w:top w:val="single" w:color="000000" w:sz="8" w:space="0"/>
      </w:pBdr>
    </w:pPr>
    <w:rPr>
      <w:rFonts w:ascii="宋体" w:hAnsi="宋体" w:cs="宋体"/>
      <w:sz w:val="24"/>
    </w:rPr>
  </w:style>
  <w:style w:type="paragraph" w:styleId="1258">
    <w:name w:val="列出段落"/>
    <w:basedOn w:val="1002"/>
    <w:next w:val="1258"/>
    <w:link w:val="1002"/>
    <w:qFormat/>
    <w:pPr>
      <w:ind w:firstLine="420"/>
    </w:pPr>
  </w:style>
  <w:style w:type="paragraph" w:styleId="1259">
    <w:name w:val="xl100"/>
    <w:basedOn w:val="1002"/>
    <w:next w:val="1259"/>
    <w:link w:val="1002"/>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0">
    <w:name w:val="标题_0"/>
    <w:basedOn w:val="1261"/>
    <w:next w:val="1260"/>
    <w:link w:val="1002"/>
    <w:qFormat/>
    <w:pPr>
      <w:jc w:val="center"/>
      <w:spacing w:before="120" w:after="120" w:line="360" w:lineRule="auto"/>
      <w:outlineLvl w:val="0"/>
    </w:pPr>
    <w:rPr>
      <w:rFonts w:ascii="黑体" w:hAnsi="Arial" w:eastAsia="黑体"/>
      <w:b/>
      <w:bCs/>
      <w:sz w:val="32"/>
      <w:szCs w:val="32"/>
    </w:rPr>
  </w:style>
  <w:style w:type="paragraph" w:styleId="1261">
    <w:name w:val="正文_1"/>
    <w:next w:val="1261"/>
    <w:link w:val="1002"/>
    <w:qFormat/>
    <w:rPr>
      <w:sz w:val="21"/>
      <w:szCs w:val="22"/>
      <w:lang w:val="en-US" w:eastAsia="zh-CN" w:bidi="ar-SA"/>
    </w:rPr>
  </w:style>
  <w:style w:type="paragraph" w:styleId="1262">
    <w:name w:val="xl84"/>
    <w:basedOn w:val="1002"/>
    <w:next w:val="1262"/>
    <w:link w:val="100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3">
    <w:name w:val="xl108"/>
    <w:basedOn w:val="1002"/>
    <w:next w:val="1263"/>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4">
    <w:name w:val="xl22"/>
    <w:basedOn w:val="1002"/>
    <w:next w:val="1264"/>
    <w:link w:val="1002"/>
    <w:pPr>
      <w:jc w:val="center"/>
      <w:spacing w:before="100" w:beforeAutospacing="1" w:after="100" w:afterAutospacing="1"/>
      <w:widowControl/>
    </w:pPr>
    <w:rPr>
      <w:rFonts w:ascii="宋体" w:hAnsi="宋体" w:cs="宋体"/>
      <w:sz w:val="24"/>
    </w:rPr>
  </w:style>
  <w:style w:type="paragraph" w:styleId="1265">
    <w:name w:val="xl50"/>
    <w:basedOn w:val="1002"/>
    <w:next w:val="1265"/>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66">
    <w:name w:val="1"/>
    <w:basedOn w:val="1002"/>
    <w:next w:val="1002"/>
    <w:link w:val="1002"/>
  </w:style>
  <w:style w:type="paragraph" w:styleId="1267">
    <w:name w:val=" Char3"/>
    <w:basedOn w:val="1002"/>
    <w:next w:val="1267"/>
    <w:link w:val="1002"/>
    <w:rPr>
      <w:rFonts w:ascii="Tahoma" w:hAnsi="Tahoma"/>
      <w:sz w:val="24"/>
    </w:rPr>
  </w:style>
  <w:style w:type="paragraph" w:styleId="1268">
    <w:name w:val="xl41"/>
    <w:basedOn w:val="1002"/>
    <w:next w:val="1268"/>
    <w:link w:val="1002"/>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69">
    <w:name w:val="p0"/>
    <w:basedOn w:val="1002"/>
    <w:next w:val="1269"/>
    <w:link w:val="1002"/>
    <w:pPr>
      <w:jc w:val="left"/>
      <w:spacing w:before="100" w:beforeAutospacing="1" w:after="100" w:afterAutospacing="1"/>
      <w:widowControl/>
    </w:pPr>
    <w:rPr>
      <w:rFonts w:ascii="宋体" w:hAnsi="宋体" w:cs="宋体"/>
      <w:sz w:val="24"/>
    </w:rPr>
  </w:style>
  <w:style w:type="paragraph" w:styleId="1270">
    <w:name w:val="xl93"/>
    <w:basedOn w:val="1002"/>
    <w:next w:val="1270"/>
    <w:link w:val="1002"/>
    <w:pPr>
      <w:jc w:val="left"/>
      <w:spacing w:before="100" w:beforeAutospacing="1" w:after="100" w:afterAutospacing="1"/>
      <w:widowControl/>
    </w:pPr>
    <w:rPr>
      <w:rFonts w:ascii="楷体_GB2312" w:hAnsi="宋体" w:eastAsia="楷体_GB2312" w:cs="宋体"/>
      <w:b/>
      <w:bCs/>
      <w:sz w:val="24"/>
    </w:rPr>
  </w:style>
  <w:style w:type="paragraph" w:styleId="1271">
    <w:name w:val="_Style 37"/>
    <w:basedOn w:val="1002"/>
    <w:next w:val="1002"/>
    <w:link w:val="1002"/>
  </w:style>
  <w:style w:type="paragraph" w:styleId="1272">
    <w:name w:val=" Char Char Char Char1 Char Char Char"/>
    <w:basedOn w:val="1002"/>
    <w:next w:val="1272"/>
    <w:link w:val="1002"/>
    <w:rPr>
      <w:rFonts w:ascii="Tahoma" w:hAnsi="Tahoma"/>
      <w:sz w:val="24"/>
      <w:szCs w:val="20"/>
    </w:rPr>
  </w:style>
  <w:style w:type="paragraph" w:styleId="1273">
    <w:name w:val="xl91"/>
    <w:basedOn w:val="1002"/>
    <w:next w:val="1273"/>
    <w:link w:val="1002"/>
    <w:pPr>
      <w:jc w:val="left"/>
      <w:spacing w:before="100" w:beforeAutospacing="1" w:after="100" w:afterAutospacing="1"/>
      <w:widowControl/>
    </w:pPr>
    <w:rPr>
      <w:rFonts w:ascii="楷体_GB2312" w:hAnsi="宋体" w:eastAsia="楷体_GB2312" w:cs="宋体"/>
      <w:b/>
      <w:bCs/>
      <w:color w:val="000000"/>
      <w:sz w:val="24"/>
    </w:rPr>
  </w:style>
  <w:style w:type="paragraph" w:styleId="1274">
    <w:name w:val="xl28"/>
    <w:basedOn w:val="1002"/>
    <w:next w:val="1274"/>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5">
    <w:name w:val="Char Char Char Char Char Char Char"/>
    <w:basedOn w:val="1002"/>
    <w:next w:val="1275"/>
    <w:link w:val="1002"/>
    <w:pPr>
      <w:jc w:val="left"/>
      <w:spacing w:after="160" w:line="240" w:lineRule="exact"/>
      <w:widowControl/>
    </w:pPr>
  </w:style>
  <w:style w:type="paragraph" w:styleId="1276">
    <w:name w:val="xl103"/>
    <w:basedOn w:val="1002"/>
    <w:next w:val="1276"/>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7">
    <w:name w:val="xl43"/>
    <w:basedOn w:val="1002"/>
    <w:next w:val="1277"/>
    <w:link w:val="1002"/>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78">
    <w:name w:val="xl80"/>
    <w:basedOn w:val="1002"/>
    <w:next w:val="1278"/>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name w:val=" Char Char1 Char Char Char Char Char Char Char Char Char Char"/>
    <w:basedOn w:val="1002"/>
    <w:next w:val="1279"/>
    <w:link w:val="1002"/>
    <w:rPr>
      <w:rFonts w:ascii="Tahoma" w:hAnsi="Tahoma"/>
      <w:sz w:val="24"/>
      <w:szCs w:val="20"/>
    </w:rPr>
  </w:style>
  <w:style w:type="paragraph" w:styleId="1280">
    <w:name w:val="xl95"/>
    <w:basedOn w:val="1002"/>
    <w:next w:val="1280"/>
    <w:link w:val="1002"/>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81">
    <w:name w:val="xl25"/>
    <w:basedOn w:val="1002"/>
    <w:next w:val="1281"/>
    <w:link w:val="1002"/>
    <w:uiPriority w:val="99"/>
    <w:pPr>
      <w:jc w:val="center"/>
      <w:spacing w:before="100" w:beforeAutospacing="1" w:after="100" w:afterAutospacing="1"/>
      <w:widowControl/>
    </w:pPr>
    <w:rPr>
      <w:rFonts w:ascii="宋体" w:hAnsi="宋体" w:cs="宋体"/>
      <w:b/>
      <w:bCs/>
      <w:sz w:val="38"/>
      <w:szCs w:val="38"/>
    </w:rPr>
  </w:style>
  <w:style w:type="paragraph" w:styleId="1282">
    <w:name w:val=" Char Char1 Char"/>
    <w:basedOn w:val="1002"/>
    <w:next w:val="1282"/>
    <w:link w:val="1002"/>
    <w:rPr>
      <w:rFonts w:ascii="Tahoma" w:hAnsi="Tahoma"/>
      <w:sz w:val="24"/>
      <w:szCs w:val="20"/>
    </w:rPr>
  </w:style>
  <w:style w:type="paragraph" w:styleId="1283">
    <w:name w:val="默认段落字体 Para Char Char Char Char Char Char Char Char Char Char"/>
    <w:basedOn w:val="1002"/>
    <w:next w:val="1283"/>
    <w:link w:val="1002"/>
    <w:rPr>
      <w:rFonts w:ascii="Tahoma" w:hAnsi="Tahoma"/>
      <w:sz w:val="24"/>
      <w:szCs w:val="20"/>
    </w:rPr>
  </w:style>
  <w:style w:type="paragraph" w:styleId="1284">
    <w:name w:val="xl106"/>
    <w:basedOn w:val="1002"/>
    <w:next w:val="1284"/>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5">
    <w:name w:val="xl111"/>
    <w:basedOn w:val="1002"/>
    <w:next w:val="1285"/>
    <w:link w:val="1002"/>
    <w:pPr>
      <w:jc w:val="left"/>
      <w:spacing w:before="100" w:beforeAutospacing="1" w:after="100" w:afterAutospacing="1"/>
      <w:widowControl/>
      <w:pBdr>
        <w:top w:val="single" w:color="000000" w:sz="8" w:space="0"/>
      </w:pBdr>
    </w:pPr>
    <w:rPr>
      <w:rFonts w:ascii="宋体" w:hAnsi="宋体" w:cs="宋体"/>
      <w:sz w:val="24"/>
    </w:rPr>
  </w:style>
  <w:style w:type="paragraph" w:styleId="1286">
    <w:name w:val="Body Text Indent"/>
    <w:basedOn w:val="1002"/>
    <w:next w:val="1286"/>
    <w:link w:val="1002"/>
    <w:pPr>
      <w:ind w:firstLine="640"/>
      <w:spacing w:line="120" w:lineRule="auto"/>
      <w:tabs>
        <w:tab w:val="left" w:pos="1080" w:leader="none"/>
      </w:tabs>
    </w:pPr>
    <w:rPr>
      <w:sz w:val="32"/>
    </w:rPr>
  </w:style>
  <w:style w:type="paragraph" w:styleId="1287">
    <w:name w:val="2-2ji"/>
    <w:basedOn w:val="1004"/>
    <w:next w:val="1287"/>
    <w:link w:val="1002"/>
    <w:pPr>
      <w:jc w:val="center"/>
      <w:spacing w:before="0" w:after="0" w:line="360" w:lineRule="auto"/>
    </w:pPr>
    <w:rPr>
      <w:rFonts w:ascii="宋体" w:hAnsi="宋体"/>
      <w:sz w:val="36"/>
      <w:szCs w:val="24"/>
    </w:rPr>
  </w:style>
  <w:style w:type="paragraph" w:styleId="1288">
    <w:name w:val="xl75"/>
    <w:basedOn w:val="1002"/>
    <w:next w:val="1288"/>
    <w:link w:val="1002"/>
    <w:pPr>
      <w:jc w:val="center"/>
      <w:spacing w:before="100" w:beforeAutospacing="1" w:after="100" w:afterAutospacing="1"/>
      <w:widowControl/>
    </w:pPr>
    <w:rPr>
      <w:rFonts w:ascii="宋体" w:hAnsi="宋体" w:cs="宋体"/>
      <w:sz w:val="24"/>
    </w:rPr>
  </w:style>
  <w:style w:type="paragraph" w:styleId="1289">
    <w:name w:val="普通(Web)1"/>
    <w:basedOn w:val="1002"/>
    <w:next w:val="1289"/>
    <w:link w:val="1002"/>
    <w:pPr>
      <w:ind w:firstLine="360"/>
      <w:jc w:val="left"/>
      <w:spacing w:after="120" w:line="360" w:lineRule="atLeast"/>
      <w:widowControl/>
    </w:pPr>
    <w:rPr>
      <w:rFonts w:ascii="宋体" w:hAnsi="宋体" w:cs="宋体"/>
      <w:sz w:val="20"/>
      <w:szCs w:val="20"/>
    </w:rPr>
  </w:style>
  <w:style w:type="paragraph" w:styleId="1290">
    <w:name w:val="xl85"/>
    <w:basedOn w:val="1002"/>
    <w:next w:val="1290"/>
    <w:link w:val="100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1">
    <w:name w:val="Blockquote"/>
    <w:basedOn w:val="1002"/>
    <w:next w:val="1291"/>
    <w:link w:val="1002"/>
    <w:uiPriority w:val="99"/>
    <w:pPr>
      <w:ind w:left="360" w:right="360"/>
      <w:jc w:val="left"/>
      <w:spacing w:before="100" w:after="100"/>
    </w:pPr>
    <w:rPr>
      <w:sz w:val="24"/>
      <w:szCs w:val="20"/>
    </w:rPr>
  </w:style>
  <w:style w:type="paragraph" w:styleId="1292">
    <w:name w:val="xl86"/>
    <w:basedOn w:val="1002"/>
    <w:next w:val="1292"/>
    <w:link w:val="100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3">
    <w:name w:val="xl99"/>
    <w:basedOn w:val="1002"/>
    <w:next w:val="1293"/>
    <w:link w:val="1002"/>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94">
    <w:name w:val="Char Char Char Char"/>
    <w:basedOn w:val="1002"/>
    <w:next w:val="1294"/>
    <w:link w:val="1002"/>
    <w:rPr>
      <w:rFonts w:ascii="Tahoma" w:hAnsi="Tahoma"/>
      <w:sz w:val="24"/>
      <w:szCs w:val="20"/>
    </w:rPr>
  </w:style>
  <w:style w:type="paragraph" w:styleId="1295">
    <w:name w:val="xl104"/>
    <w:basedOn w:val="1002"/>
    <w:next w:val="1295"/>
    <w:link w:val="100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6">
    <w:name w:val="xl34"/>
    <w:basedOn w:val="1002"/>
    <w:next w:val="1296"/>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name w:val="xl77"/>
    <w:basedOn w:val="1002"/>
    <w:next w:val="1297"/>
    <w:link w:val="1002"/>
    <w:pPr>
      <w:jc w:val="center"/>
      <w:spacing w:before="100" w:beforeAutospacing="1" w:after="100" w:afterAutospacing="1"/>
      <w:widowControl/>
    </w:pPr>
    <w:rPr>
      <w:rFonts w:ascii="宋体" w:hAnsi="宋体" w:cs="宋体"/>
      <w:b/>
      <w:bCs/>
      <w:color w:val="000000"/>
      <w:sz w:val="38"/>
      <w:szCs w:val="38"/>
    </w:rPr>
  </w:style>
  <w:style w:type="paragraph" w:styleId="1298">
    <w:name w:val="xl37"/>
    <w:basedOn w:val="1002"/>
    <w:next w:val="1298"/>
    <w:link w:val="1002"/>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99">
    <w:name w:val="xl53"/>
    <w:basedOn w:val="1002"/>
    <w:next w:val="1299"/>
    <w:link w:val="1002"/>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00">
    <w:name w:val="xl24"/>
    <w:basedOn w:val="1002"/>
    <w:next w:val="1300"/>
    <w:link w:val="1002"/>
    <w:uiPriority w:val="99"/>
    <w:pPr>
      <w:jc w:val="left"/>
      <w:spacing w:before="100" w:beforeAutospacing="1" w:after="100" w:afterAutospacing="1"/>
      <w:widowControl/>
    </w:pPr>
    <w:rPr>
      <w:rFonts w:ascii="宋体" w:hAnsi="宋体" w:cs="宋体"/>
      <w:sz w:val="24"/>
    </w:rPr>
  </w:style>
  <w:style w:type="paragraph" w:styleId="1301">
    <w:name w:val="xl98"/>
    <w:basedOn w:val="1002"/>
    <w:next w:val="1301"/>
    <w:link w:val="1002"/>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2">
    <w:name w:val="xl65"/>
    <w:basedOn w:val="1002"/>
    <w:next w:val="1302"/>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3">
    <w:name w:val="xl49"/>
    <w:basedOn w:val="1002"/>
    <w:next w:val="1303"/>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4">
    <w:name w:val="List Paragraph"/>
    <w:basedOn w:val="1002"/>
    <w:next w:val="1304"/>
    <w:link w:val="1002"/>
    <w:qFormat/>
    <w:pPr>
      <w:ind w:firstLine="420"/>
    </w:pPr>
    <w:rPr>
      <w:rFonts w:hint="eastAsia"/>
      <w:szCs w:val="21"/>
    </w:rPr>
  </w:style>
  <w:style w:type="paragraph" w:styleId="1305">
    <w:name w:val="xl76"/>
    <w:basedOn w:val="1002"/>
    <w:next w:val="1305"/>
    <w:link w:val="1002"/>
    <w:pPr>
      <w:jc w:val="right"/>
      <w:spacing w:before="100" w:beforeAutospacing="1" w:after="100" w:afterAutospacing="1"/>
      <w:widowControl/>
    </w:pPr>
    <w:rPr>
      <w:rFonts w:ascii="宋体" w:hAnsi="宋体" w:cs="宋体"/>
      <w:sz w:val="24"/>
    </w:rPr>
  </w:style>
  <w:style w:type="paragraph" w:styleId="1306">
    <w:name w:val="xl78"/>
    <w:basedOn w:val="1002"/>
    <w:next w:val="1306"/>
    <w:link w:val="100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07">
    <w:name w:val="xl83"/>
    <w:basedOn w:val="1002"/>
    <w:next w:val="1307"/>
    <w:link w:val="100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08">
    <w:name w:val="xl96"/>
    <w:basedOn w:val="1002"/>
    <w:next w:val="1308"/>
    <w:link w:val="1002"/>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09">
    <w:name w:val="xl46"/>
    <w:basedOn w:val="1002"/>
    <w:next w:val="1309"/>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name w:val="xl61"/>
    <w:basedOn w:val="1002"/>
    <w:next w:val="1310"/>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1">
    <w:name w:val="xl102"/>
    <w:basedOn w:val="1002"/>
    <w:next w:val="1311"/>
    <w:link w:val="100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2">
    <w:name w:val="font6"/>
    <w:basedOn w:val="1002"/>
    <w:next w:val="1312"/>
    <w:link w:val="1002"/>
    <w:uiPriority w:val="99"/>
    <w:pPr>
      <w:jc w:val="left"/>
      <w:spacing w:before="100" w:beforeAutospacing="1" w:after="100" w:afterAutospacing="1"/>
      <w:widowControl/>
    </w:pPr>
    <w:rPr>
      <w:rFonts w:ascii="宋体" w:hAnsi="宋体" w:cs="Arial Unicode MS"/>
      <w:sz w:val="18"/>
      <w:szCs w:val="18"/>
    </w:rPr>
  </w:style>
  <w:style w:type="paragraph" w:styleId="1313">
    <w:name w:val="xl70"/>
    <w:basedOn w:val="1002"/>
    <w:next w:val="1313"/>
    <w:link w:val="1002"/>
    <w:pPr>
      <w:jc w:val="left"/>
      <w:spacing w:before="100" w:beforeAutospacing="1" w:after="100" w:afterAutospacing="1"/>
      <w:widowControl/>
      <w:pBdr>
        <w:top w:val="single" w:color="000000" w:sz="8" w:space="0"/>
      </w:pBdr>
    </w:pPr>
    <w:rPr>
      <w:rFonts w:ascii="宋体" w:hAnsi="宋体" w:cs="宋体"/>
      <w:sz w:val="24"/>
    </w:rPr>
  </w:style>
  <w:style w:type="paragraph" w:styleId="1314">
    <w:name w:val="Char2"/>
    <w:basedOn w:val="1002"/>
    <w:next w:val="1314"/>
    <w:link w:val="1002"/>
    <w:uiPriority w:val="99"/>
  </w:style>
  <w:style w:type="paragraph" w:styleId="1315">
    <w:name w:val="xl92"/>
    <w:basedOn w:val="1002"/>
    <w:next w:val="1315"/>
    <w:link w:val="1002"/>
    <w:pPr>
      <w:jc w:val="left"/>
      <w:spacing w:before="100" w:beforeAutospacing="1" w:after="100" w:afterAutospacing="1"/>
      <w:widowControl/>
    </w:pPr>
    <w:rPr>
      <w:rFonts w:ascii="楷体_GB2312" w:hAnsi="宋体" w:eastAsia="楷体_GB2312" w:cs="宋体"/>
      <w:b/>
      <w:bCs/>
      <w:sz w:val="24"/>
    </w:rPr>
  </w:style>
  <w:style w:type="paragraph" w:styleId="1316">
    <w:name w:val="xl32"/>
    <w:basedOn w:val="1002"/>
    <w:next w:val="1316"/>
    <w:link w:val="1002"/>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17">
    <w:name w:val="xl115"/>
    <w:basedOn w:val="1002"/>
    <w:next w:val="1317"/>
    <w:link w:val="1002"/>
    <w:pPr>
      <w:jc w:val="left"/>
      <w:spacing w:before="100" w:beforeAutospacing="1" w:after="100" w:afterAutospacing="1"/>
      <w:widowControl/>
    </w:pPr>
    <w:rPr>
      <w:rFonts w:ascii="宋体" w:hAnsi="宋体" w:cs="宋体"/>
      <w:sz w:val="24"/>
    </w:rPr>
  </w:style>
  <w:style w:type="paragraph" w:styleId="1318">
    <w:name w:val="xl72"/>
    <w:basedOn w:val="1002"/>
    <w:next w:val="1318"/>
    <w:link w:val="1002"/>
    <w:pPr>
      <w:jc w:val="center"/>
      <w:spacing w:before="100" w:beforeAutospacing="1" w:after="100" w:afterAutospacing="1"/>
      <w:widowControl/>
      <w:pBdr>
        <w:top w:val="single" w:color="000000" w:sz="8" w:space="0"/>
      </w:pBdr>
    </w:pPr>
    <w:rPr>
      <w:rFonts w:ascii="宋体" w:hAnsi="宋体" w:cs="宋体"/>
      <w:sz w:val="24"/>
    </w:rPr>
  </w:style>
  <w:style w:type="paragraph" w:styleId="1319">
    <w:name w:val="xl82"/>
    <w:basedOn w:val="1002"/>
    <w:next w:val="1319"/>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name w:val="TOC Heading"/>
    <w:basedOn w:val="1003"/>
    <w:next w:val="1002"/>
    <w:link w:val="1002"/>
    <w:qFormat/>
    <w:pPr>
      <w:jc w:val="both"/>
      <w:spacing w:before="340" w:after="330" w:line="576" w:lineRule="auto"/>
      <w:outlineLvl w:val="9"/>
    </w:pPr>
    <w:rPr>
      <w:rFonts w:ascii="Calibri" w:hAnsi="Calibri"/>
      <w:sz w:val="44"/>
      <w:lang w:val="en-US" w:eastAsia="zh-CN"/>
    </w:rPr>
  </w:style>
  <w:style w:type="paragraph" w:styleId="1321">
    <w:name w:val=" Char Char Char Char"/>
    <w:basedOn w:val="1002"/>
    <w:next w:val="1321"/>
    <w:link w:val="1002"/>
    <w:semiHidden/>
    <w:pPr>
      <w:jc w:val="left"/>
      <w:spacing w:after="160" w:line="240" w:lineRule="exact"/>
      <w:widowControl/>
    </w:pPr>
    <w:rPr>
      <w:rFonts w:ascii="Verdana" w:hAnsi="Verdana"/>
      <w:sz w:val="20"/>
      <w:szCs w:val="20"/>
      <w:lang w:eastAsia="en-US"/>
    </w:rPr>
  </w:style>
  <w:style w:type="paragraph" w:styleId="1322">
    <w:name w:val="xl40"/>
    <w:basedOn w:val="1002"/>
    <w:next w:val="1322"/>
    <w:link w:val="1002"/>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3">
    <w:name w:val="xl87"/>
    <w:basedOn w:val="1002"/>
    <w:next w:val="1323"/>
    <w:link w:val="1002"/>
    <w:pPr>
      <w:jc w:val="left"/>
      <w:spacing w:before="100" w:beforeAutospacing="1" w:after="100" w:afterAutospacing="1"/>
      <w:widowControl/>
    </w:pPr>
    <w:rPr>
      <w:rFonts w:ascii="宋体" w:hAnsi="宋体" w:cs="宋体"/>
      <w:sz w:val="24"/>
    </w:rPr>
  </w:style>
  <w:style w:type="paragraph" w:styleId="1324">
    <w:name w:val="xl55"/>
    <w:basedOn w:val="1002"/>
    <w:next w:val="1324"/>
    <w:link w:val="1002"/>
    <w:pPr>
      <w:jc w:val="center"/>
      <w:spacing w:before="100" w:beforeAutospacing="1" w:after="100" w:afterAutospacing="1"/>
      <w:widowControl/>
    </w:pPr>
    <w:rPr>
      <w:rFonts w:ascii="宋体" w:hAnsi="宋体" w:cs="宋体"/>
      <w:sz w:val="24"/>
    </w:rPr>
  </w:style>
  <w:style w:type="paragraph" w:styleId="1325">
    <w:name w:val="xl33"/>
    <w:basedOn w:val="1002"/>
    <w:next w:val="1325"/>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name w:val="xl35"/>
    <w:basedOn w:val="1002"/>
    <w:next w:val="1326"/>
    <w:link w:val="1002"/>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name w:val="xl90"/>
    <w:basedOn w:val="1002"/>
    <w:next w:val="1327"/>
    <w:link w:val="1002"/>
    <w:pPr>
      <w:jc w:val="center"/>
      <w:spacing w:before="100" w:beforeAutospacing="1" w:after="100" w:afterAutospacing="1"/>
      <w:widowControl/>
    </w:pPr>
    <w:rPr>
      <w:rFonts w:ascii="宋体" w:hAnsi="宋体" w:cs="宋体"/>
      <w:sz w:val="24"/>
    </w:rPr>
  </w:style>
  <w:style w:type="paragraph" w:styleId="1328">
    <w:name w:val=" Char Char5 Char"/>
    <w:basedOn w:val="1002"/>
    <w:next w:val="1328"/>
    <w:link w:val="1002"/>
    <w:rPr>
      <w:szCs w:val="20"/>
    </w:rPr>
  </w:style>
  <w:style w:type="paragraph" w:styleId="1329">
    <w:name w:val="xl81"/>
    <w:basedOn w:val="1002"/>
    <w:next w:val="1329"/>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0">
    <w:name w:val="reader-word-layer"/>
    <w:basedOn w:val="1002"/>
    <w:next w:val="1330"/>
    <w:link w:val="1002"/>
    <w:pPr>
      <w:jc w:val="left"/>
      <w:spacing w:before="100" w:beforeAutospacing="1" w:after="100" w:afterAutospacing="1"/>
      <w:widowControl/>
    </w:pPr>
    <w:rPr>
      <w:rFonts w:ascii="宋体" w:hAnsi="宋体" w:cs="宋体"/>
      <w:sz w:val="24"/>
    </w:rPr>
  </w:style>
  <w:style w:type="paragraph" w:styleId="1331">
    <w:name w:val="xl44"/>
    <w:basedOn w:val="1002"/>
    <w:next w:val="1331"/>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2">
    <w:name w:val="样式1"/>
    <w:basedOn w:val="1002"/>
    <w:next w:val="1006"/>
    <w:link w:val="1002"/>
    <w:pPr>
      <w:ind w:firstLine="420"/>
      <w:spacing w:line="360" w:lineRule="auto"/>
    </w:pPr>
    <w:rPr>
      <w:rFonts w:ascii="宋体" w:hAnsi="宋体"/>
      <w:szCs w:val="21"/>
    </w:rPr>
  </w:style>
  <w:style w:type="paragraph" w:styleId="1333">
    <w:name w:val="xl62"/>
    <w:basedOn w:val="1002"/>
    <w:next w:val="1333"/>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34">
    <w:name w:val="xl42"/>
    <w:basedOn w:val="1002"/>
    <w:next w:val="1334"/>
    <w:link w:val="1002"/>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35">
    <w:name w:val="xl88"/>
    <w:basedOn w:val="1002"/>
    <w:next w:val="1335"/>
    <w:link w:val="1002"/>
    <w:pPr>
      <w:jc w:val="left"/>
      <w:spacing w:before="100" w:beforeAutospacing="1" w:after="100" w:afterAutospacing="1"/>
      <w:widowControl/>
    </w:pPr>
    <w:rPr>
      <w:rFonts w:ascii="宋体" w:hAnsi="宋体" w:cs="宋体"/>
      <w:sz w:val="24"/>
    </w:rPr>
  </w:style>
  <w:style w:type="paragraph" w:styleId="1336">
    <w:name w:val=" Char"/>
    <w:basedOn w:val="1002"/>
    <w:next w:val="1336"/>
    <w:link w:val="1002"/>
    <w:pPr>
      <w:jc w:val="left"/>
      <w:spacing w:after="160" w:line="240" w:lineRule="exact"/>
      <w:widowControl/>
    </w:pPr>
    <w:rPr>
      <w:rFonts w:ascii="Arial" w:hAnsi="Arial" w:eastAsia="Times New Roman" w:cs="Verdana"/>
      <w:b/>
      <w:sz w:val="24"/>
      <w:szCs w:val="20"/>
      <w:lang w:eastAsia="en-US"/>
    </w:rPr>
  </w:style>
  <w:style w:type="paragraph" w:styleId="1337">
    <w:name w:val="正文缩进_0"/>
    <w:basedOn w:val="1261"/>
    <w:next w:val="1337"/>
    <w:link w:val="1002"/>
    <w:qFormat/>
    <w:pPr>
      <w:ind w:firstLine="420"/>
      <w:jc w:val="both"/>
      <w:widowControl w:val="off"/>
    </w:pPr>
    <w:rPr>
      <w:u w:val="single"/>
    </w:rPr>
  </w:style>
  <w:style w:type="paragraph" w:styleId="1338">
    <w:name w:val="标题 1_0"/>
    <w:basedOn w:val="1251"/>
    <w:next w:val="1251"/>
    <w:link w:val="1002"/>
    <w:qFormat/>
    <w:pPr>
      <w:keepLines/>
      <w:keepNext/>
      <w:spacing w:before="340" w:after="330" w:line="576" w:lineRule="auto"/>
      <w:outlineLvl w:val="0"/>
    </w:pPr>
    <w:rPr>
      <w:rFonts w:ascii="Times New Roman" w:hAnsi="Times New Roman"/>
      <w:b/>
      <w:bCs/>
      <w:sz w:val="44"/>
      <w:szCs w:val="44"/>
    </w:rPr>
  </w:style>
  <w:style w:type="paragraph" w:styleId="1339">
    <w:name w:val="无间隔1"/>
    <w:next w:val="1339"/>
    <w:link w:val="1002"/>
    <w:pPr>
      <w:jc w:val="both"/>
      <w:widowControl w:val="off"/>
    </w:pPr>
    <w:rPr>
      <w:sz w:val="21"/>
      <w:szCs w:val="24"/>
      <w:lang w:val="en-US" w:eastAsia="zh-CN" w:bidi="ar-SA"/>
    </w:rPr>
  </w:style>
  <w:style w:type="paragraph" w:styleId="1340">
    <w:name w:val="xl68"/>
    <w:basedOn w:val="1002"/>
    <w:next w:val="1340"/>
    <w:link w:val="1002"/>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1">
    <w:name w:val="正文_13"/>
    <w:next w:val="1341"/>
    <w:link w:val="1002"/>
    <w:qFormat/>
    <w:pPr>
      <w:jc w:val="both"/>
      <w:widowControl w:val="off"/>
    </w:pPr>
    <w:rPr>
      <w:sz w:val="21"/>
      <w:szCs w:val="24"/>
      <w:lang w:val="en-US" w:eastAsia="zh-CN" w:bidi="ar-SA"/>
    </w:rPr>
  </w:style>
  <w:style w:type="paragraph" w:styleId="1342">
    <w:name w:val="xl67"/>
    <w:basedOn w:val="1002"/>
    <w:next w:val="1342"/>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43">
    <w:name w:val="xl47"/>
    <w:basedOn w:val="1002"/>
    <w:next w:val="1343"/>
    <w:link w:val="10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4">
    <w:name w:val="xl89"/>
    <w:basedOn w:val="1002"/>
    <w:next w:val="1344"/>
    <w:link w:val="1002"/>
    <w:pPr>
      <w:jc w:val="center"/>
      <w:spacing w:before="100" w:beforeAutospacing="1" w:after="100" w:afterAutospacing="1"/>
      <w:widowControl/>
    </w:pPr>
    <w:rPr>
      <w:rFonts w:ascii="宋体" w:hAnsi="宋体" w:cs="宋体"/>
      <w:sz w:val="24"/>
    </w:rPr>
  </w:style>
  <w:style w:type="paragraph" w:styleId="1345">
    <w:name w:val="默认段落字体 Para Char Char Char Char"/>
    <w:basedOn w:val="1002"/>
    <w:next w:val="1345"/>
    <w:link w:val="1002"/>
    <w:rPr>
      <w:sz w:val="30"/>
      <w:szCs w:val="21"/>
    </w:rPr>
  </w:style>
  <w:style w:type="paragraph" w:styleId="1346">
    <w:name w:val="xl119"/>
    <w:basedOn w:val="1002"/>
    <w:next w:val="1346"/>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7">
    <w:name w:val="xl107"/>
    <w:basedOn w:val="1002"/>
    <w:next w:val="1347"/>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name w:val="标题 4_0"/>
    <w:basedOn w:val="1251"/>
    <w:next w:val="1251"/>
    <w:link w:val="1002"/>
    <w:qFormat/>
    <w:pPr>
      <w:keepLines/>
      <w:keepNext/>
      <w:spacing w:before="280" w:after="290" w:line="372" w:lineRule="auto"/>
      <w:outlineLvl w:val="3"/>
    </w:pPr>
    <w:rPr>
      <w:rFonts w:ascii="Cambria" w:hAnsi="Cambria"/>
      <w:b/>
      <w:bCs/>
      <w:sz w:val="28"/>
      <w:szCs w:val="28"/>
    </w:rPr>
  </w:style>
  <w:style w:type="paragraph" w:styleId="1349">
    <w:name w:val=" Char Char4 Char"/>
    <w:basedOn w:val="1002"/>
    <w:next w:val="1349"/>
    <w:link w:val="1002"/>
    <w:pPr>
      <w:ind w:firstLine="200"/>
      <w:spacing w:line="360" w:lineRule="auto"/>
    </w:pPr>
    <w:rPr>
      <w:rFonts w:ascii="宋体" w:hAnsi="宋体" w:cs="宋体"/>
      <w:sz w:val="24"/>
    </w:rPr>
  </w:style>
  <w:style w:type="paragraph" w:styleId="1350">
    <w:name w:val="font8"/>
    <w:basedOn w:val="1002"/>
    <w:next w:val="1350"/>
    <w:link w:val="1002"/>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51">
    <w:name w:val="xl57"/>
    <w:basedOn w:val="1002"/>
    <w:next w:val="1351"/>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2">
    <w:name w:val="xl74"/>
    <w:basedOn w:val="1002"/>
    <w:next w:val="1352"/>
    <w:link w:val="1002"/>
    <w:pPr>
      <w:jc w:val="left"/>
      <w:spacing w:before="100" w:beforeAutospacing="1" w:after="100" w:afterAutospacing="1"/>
      <w:widowControl/>
    </w:pPr>
    <w:rPr>
      <w:rFonts w:ascii="宋体" w:hAnsi="宋体" w:cs="宋体"/>
      <w:color w:val="000000"/>
      <w:sz w:val="24"/>
    </w:rPr>
  </w:style>
  <w:style w:type="paragraph" w:styleId="1353">
    <w:name w:val="xl110"/>
    <w:basedOn w:val="1002"/>
    <w:next w:val="1353"/>
    <w:link w:val="1002"/>
    <w:pPr>
      <w:jc w:val="left"/>
      <w:spacing w:before="100" w:beforeAutospacing="1" w:after="100" w:afterAutospacing="1"/>
      <w:widowControl/>
      <w:pBdr>
        <w:top w:val="single" w:color="000000" w:sz="8" w:space="0"/>
      </w:pBdr>
    </w:pPr>
    <w:rPr>
      <w:rFonts w:ascii="宋体" w:hAnsi="宋体" w:cs="宋体"/>
      <w:sz w:val="24"/>
    </w:rPr>
  </w:style>
  <w:style w:type="paragraph" w:styleId="1354">
    <w:name w:val="flNote"/>
    <w:basedOn w:val="1002"/>
    <w:next w:val="1354"/>
    <w:link w:val="1002"/>
    <w:pPr>
      <w:jc w:val="center"/>
      <w:spacing w:before="320" w:after="160" w:line="360" w:lineRule="atLeast"/>
    </w:pPr>
    <w:rPr>
      <w:rFonts w:ascii="Arial" w:eastAsia="黑体"/>
      <w:sz w:val="30"/>
      <w:szCs w:val="20"/>
    </w:rPr>
  </w:style>
  <w:style w:type="paragraph" w:styleId="1355">
    <w:name w:val="font5"/>
    <w:basedOn w:val="1002"/>
    <w:next w:val="1355"/>
    <w:link w:val="1002"/>
    <w:uiPriority w:val="99"/>
    <w:pPr>
      <w:jc w:val="left"/>
      <w:spacing w:before="100" w:beforeAutospacing="1" w:after="100" w:afterAutospacing="1"/>
      <w:widowControl/>
    </w:pPr>
    <w:rPr>
      <w:rFonts w:ascii="宋体" w:hAnsi="宋体" w:cs="Arial Unicode MS"/>
      <w:sz w:val="20"/>
      <w:szCs w:val="20"/>
    </w:rPr>
  </w:style>
  <w:style w:type="paragraph" w:styleId="1356">
    <w:name w:val="xl56"/>
    <w:basedOn w:val="1002"/>
    <w:next w:val="1356"/>
    <w:link w:val="100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57">
    <w:name w:val="xl94"/>
    <w:basedOn w:val="1002"/>
    <w:next w:val="1357"/>
    <w:link w:val="1002"/>
    <w:pPr>
      <w:jc w:val="left"/>
      <w:spacing w:before="100" w:beforeAutospacing="1" w:after="100" w:afterAutospacing="1"/>
      <w:widowControl/>
    </w:pPr>
    <w:rPr>
      <w:rFonts w:ascii="楷体_GB2312" w:hAnsi="宋体" w:eastAsia="楷体_GB2312" w:cs="宋体"/>
      <w:b/>
      <w:bCs/>
      <w:sz w:val="24"/>
    </w:rPr>
  </w:style>
  <w:style w:type="paragraph" w:styleId="1358">
    <w:name w:val="Default Paragraph Char Char Char Char"/>
    <w:basedOn w:val="1002"/>
    <w:next w:val="1002"/>
    <w:link w:val="1002"/>
    <w:pPr>
      <w:jc w:val="left"/>
      <w:spacing w:line="360" w:lineRule="auto"/>
      <w:widowControl/>
    </w:pPr>
    <w:rPr>
      <w:szCs w:val="20"/>
      <w:lang w:eastAsia="en-US"/>
    </w:rPr>
  </w:style>
  <w:style w:type="paragraph" w:styleId="1359">
    <w:name w:val="标题 3_0"/>
    <w:basedOn w:val="1251"/>
    <w:next w:val="1251"/>
    <w:link w:val="1002"/>
    <w:qFormat/>
    <w:pPr>
      <w:keepLines/>
      <w:keepNext/>
      <w:spacing w:before="260" w:after="260" w:line="413" w:lineRule="auto"/>
      <w:outlineLvl w:val="2"/>
    </w:pPr>
    <w:rPr>
      <w:rFonts w:ascii="Times New Roman" w:hAnsi="Times New Roman"/>
      <w:b/>
      <w:bCs/>
      <w:sz w:val="32"/>
      <w:szCs w:val="32"/>
    </w:rPr>
  </w:style>
  <w:style w:type="paragraph" w:styleId="1360">
    <w:name w:val="Char14 Char Char Char"/>
    <w:basedOn w:val="1002"/>
    <w:next w:val="1360"/>
    <w:link w:val="1002"/>
    <w:uiPriority w:val="99"/>
    <w:rPr>
      <w:szCs w:val="20"/>
    </w:rPr>
  </w:style>
  <w:style w:type="paragraph" w:styleId="1361">
    <w:name w:val="xl109"/>
    <w:basedOn w:val="1002"/>
    <w:next w:val="1361"/>
    <w:link w:val="1002"/>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62">
    <w:name w:val="TOC 标题_0"/>
    <w:basedOn w:val="1338"/>
    <w:next w:val="1251"/>
    <w:link w:val="1002"/>
    <w:qFormat/>
    <w:pPr>
      <w:outlineLvl w:val="9"/>
    </w:pPr>
    <w:rPr>
      <w:rFonts w:ascii="Calibri" w:hAnsi="Calibri"/>
    </w:rPr>
  </w:style>
  <w:style w:type="paragraph" w:styleId="1363">
    <w:name w:val="xl31"/>
    <w:basedOn w:val="1002"/>
    <w:next w:val="1363"/>
    <w:link w:val="1002"/>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4">
    <w:name w:val="xl71"/>
    <w:basedOn w:val="1002"/>
    <w:next w:val="1364"/>
    <w:link w:val="1002"/>
    <w:pPr>
      <w:jc w:val="left"/>
      <w:spacing w:before="100" w:beforeAutospacing="1" w:after="100" w:afterAutospacing="1"/>
      <w:widowControl/>
      <w:pBdr>
        <w:top w:val="single" w:color="000000" w:sz="8" w:space="0"/>
      </w:pBdr>
    </w:pPr>
    <w:rPr>
      <w:rFonts w:ascii="宋体" w:hAnsi="宋体" w:cs="宋体"/>
      <w:sz w:val="24"/>
    </w:rPr>
  </w:style>
  <w:style w:type="paragraph" w:styleId="1365">
    <w:name w:val="正文文本_0"/>
    <w:basedOn w:val="1251"/>
    <w:next w:val="1365"/>
    <w:link w:val="1002"/>
    <w:qFormat/>
    <w:pPr>
      <w:ind w:left="72" w:right="30"/>
      <w:jc w:val="center"/>
      <w:spacing w:after="60" w:line="360" w:lineRule="atLeast"/>
    </w:pPr>
    <w:rPr>
      <w:rFonts w:ascii="Times New Roman" w:hAnsi="Times New Roman"/>
      <w:sz w:val="20"/>
      <w:szCs w:val="20"/>
    </w:rPr>
  </w:style>
  <w:style w:type="paragraph" w:styleId="1366">
    <w:name w:val="TOC 标题"/>
    <w:basedOn w:val="1003"/>
    <w:next w:val="1002"/>
    <w:link w:val="1002"/>
    <w:qFormat/>
    <w:pPr>
      <w:jc w:val="both"/>
      <w:spacing w:before="340" w:after="330" w:line="578" w:lineRule="auto"/>
      <w:outlineLvl w:val="9"/>
    </w:pPr>
    <w:rPr>
      <w:sz w:val="44"/>
      <w:lang w:val="en-US" w:eastAsia="zh-CN"/>
    </w:rPr>
  </w:style>
  <w:style w:type="paragraph" w:styleId="1367">
    <w:name w:val="xl38"/>
    <w:basedOn w:val="1002"/>
    <w:next w:val="1367"/>
    <w:link w:val="1002"/>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8">
    <w:name w:val="列出段落2"/>
    <w:basedOn w:val="1002"/>
    <w:next w:val="1368"/>
    <w:link w:val="1002"/>
    <w:qFormat/>
    <w:pPr>
      <w:ind w:firstLine="420"/>
    </w:pPr>
    <w:rPr>
      <w:rFonts w:ascii="Calibri" w:hAnsi="Calibri"/>
      <w:szCs w:val="22"/>
    </w:rPr>
  </w:style>
  <w:style w:type="paragraph" w:styleId="1369">
    <w:name w:val="样式 标题 3 + (中文) 黑体 小四 非加粗 段前: 7.8 磅 段后: 0 磅 行距: 固定值 20 磅"/>
    <w:basedOn w:val="1005"/>
    <w:next w:val="1369"/>
    <w:link w:val="1002"/>
    <w:pPr>
      <w:spacing w:before="0" w:after="0" w:line="400" w:lineRule="exact"/>
      <w:tabs>
        <w:tab w:val="left" w:pos="720" w:leader="none"/>
      </w:tabs>
    </w:pPr>
    <w:rPr>
      <w:rFonts w:eastAsia="黑体"/>
      <w:b/>
      <w:bCs w:val="0"/>
      <w:sz w:val="24"/>
      <w:szCs w:val="20"/>
    </w:rPr>
  </w:style>
  <w:style w:type="paragraph" w:styleId="1370">
    <w:name w:val="空半行"/>
    <w:basedOn w:val="1002"/>
    <w:next w:val="1370"/>
    <w:link w:val="1002"/>
    <w:pPr>
      <w:spacing w:line="120" w:lineRule="exact"/>
    </w:pPr>
    <w:rPr>
      <w:rFonts w:eastAsia="仿宋_GB2312"/>
      <w:color w:val="ffffff"/>
      <w:sz w:val="30"/>
      <w:szCs w:val="20"/>
    </w:rPr>
  </w:style>
  <w:style w:type="paragraph" w:styleId="1371">
    <w:name w:val="纯文本1"/>
    <w:basedOn w:val="1002"/>
    <w:next w:val="1371"/>
    <w:link w:val="1002"/>
    <w:qFormat/>
    <w:rPr>
      <w:rFonts w:ascii="宋体" w:hAnsi="Courier New"/>
      <w:sz w:val="28"/>
    </w:rPr>
  </w:style>
  <w:style w:type="paragraph" w:styleId="1372">
    <w:name w:val="普通正文"/>
    <w:basedOn w:val="1002"/>
    <w:next w:val="1372"/>
    <w:link w:val="1002"/>
    <w:qFormat/>
    <w:pPr>
      <w:ind w:firstLine="480"/>
      <w:jc w:val="left"/>
      <w:spacing w:before="120" w:after="120" w:line="360" w:lineRule="auto"/>
    </w:pPr>
    <w:rPr>
      <w:rFonts w:ascii="Arial" w:hAnsi="Arial"/>
      <w:sz w:val="24"/>
    </w:rPr>
  </w:style>
  <w:style w:type="paragraph" w:styleId="1373">
    <w:name w:val="Table Paragraph"/>
    <w:basedOn w:val="1002"/>
    <w:next w:val="1373"/>
    <w:link w:val="1002"/>
    <w:uiPriority w:val="1"/>
    <w:qFormat/>
    <w:pPr>
      <w:jc w:val="left"/>
    </w:pPr>
    <w:rPr>
      <w:sz w:val="24"/>
    </w:rPr>
  </w:style>
  <w:style w:type="paragraph" w:styleId="1374">
    <w:name w:val="_Style 3"/>
    <w:next w:val="1374"/>
    <w:link w:val="1002"/>
    <w:uiPriority w:val="1"/>
    <w:qFormat/>
    <w:pPr>
      <w:jc w:val="both"/>
      <w:widowControl w:val="off"/>
    </w:pPr>
    <w:rPr>
      <w:rFonts w:ascii="Times New Roman" w:hAnsi="Times New Roman" w:eastAsia="宋体" w:cs="Times New Roman"/>
      <w:sz w:val="21"/>
      <w:szCs w:val="22"/>
      <w:lang w:val="en-US" w:eastAsia="zh-CN" w:bidi="ar-SA"/>
    </w:rPr>
  </w:style>
  <w:style w:type="paragraph" w:styleId="1375">
    <w:name w:val="纯文本21"/>
    <w:basedOn w:val="1002"/>
    <w:next w:val="1375"/>
    <w:link w:val="1002"/>
    <w:uiPriority w:val="99"/>
    <w:qFormat/>
    <w:rPr>
      <w:rFonts w:ascii="宋体" w:hAnsi="Courier New" w:eastAsia="楷体_GB2312"/>
      <w:sz w:val="26"/>
      <w:szCs w:val="20"/>
    </w:rPr>
  </w:style>
  <w:style w:type="paragraph" w:styleId="1376">
    <w:name w:val="WPSOffice手动目录 1"/>
    <w:next w:val="1376"/>
    <w:link w:val="1002"/>
    <w:rPr>
      <w:sz w:val="20"/>
      <w:szCs w:val="20"/>
    </w:rPr>
  </w:style>
  <w:style w:type="character" w:styleId="1377">
    <w:name w:val="hover3"/>
    <w:basedOn w:val="1012"/>
    <w:next w:val="1377"/>
    <w:link w:val="1002"/>
    <w:rPr>
      <w:color w:val="5fb878"/>
    </w:rPr>
  </w:style>
  <w:style w:type="character" w:styleId="1378">
    <w:name w:val="hover4"/>
    <w:basedOn w:val="1012"/>
    <w:next w:val="1378"/>
    <w:link w:val="1002"/>
    <w:rPr>
      <w:color w:val="ffffff"/>
    </w:rPr>
  </w:style>
  <w:style w:type="character" w:styleId="1379">
    <w:name w:val="first-child"/>
    <w:basedOn w:val="1012"/>
    <w:next w:val="1379"/>
    <w:link w:val="1002"/>
  </w:style>
  <w:style w:type="character" w:styleId="1380">
    <w:name w:val="layui-this"/>
    <w:basedOn w:val="1012"/>
    <w:next w:val="1380"/>
    <w:link w:val="1002"/>
    <w:rPr>
      <w:shd w:val="clear" w:color="auto" w:fill="ffffff"/>
    </w:rPr>
  </w:style>
  <w:style w:type="paragraph" w:styleId="1381">
    <w:name w:val="正文文本缩进 31"/>
    <w:basedOn w:val="1002"/>
    <w:next w:val="1381"/>
    <w:link w:val="1002"/>
    <w:qFormat/>
    <w:pPr>
      <w:ind w:left="360"/>
      <w:spacing w:line="400" w:lineRule="exact"/>
    </w:pPr>
  </w:style>
  <w:style w:type="paragraph" w:styleId="1382">
    <w:name w:val="标题 21"/>
    <w:basedOn w:val="1002"/>
    <w:next w:val="1002"/>
    <w:link w:val="1002"/>
    <w:qFormat/>
    <w:pPr>
      <w:keepLines/>
      <w:keepNext/>
      <w:spacing w:line="360" w:lineRule="auto"/>
      <w:outlineLvl w:val="1"/>
    </w:pPr>
    <w:rPr>
      <w:b/>
      <w:bCs/>
      <w:szCs w:val="32"/>
    </w:rPr>
  </w:style>
  <w:style w:type="paragraph" w:styleId="1383">
    <w:name w:val="标题 31"/>
    <w:basedOn w:val="1002"/>
    <w:next w:val="1002"/>
    <w:link w:val="1002"/>
    <w:qFormat/>
    <w:pPr>
      <w:keepLines/>
      <w:keepNext/>
      <w:spacing w:before="260" w:after="260" w:line="416" w:lineRule="auto"/>
      <w:outlineLvl w:val="2"/>
    </w:pPr>
    <w:rPr>
      <w:b/>
      <w:bCs/>
      <w:sz w:val="32"/>
      <w:szCs w:val="32"/>
    </w:rPr>
  </w:style>
  <w:style w:type="paragraph" w:styleId="1384">
    <w:name w:val="目录 31"/>
    <w:basedOn w:val="1002"/>
    <w:next w:val="1002"/>
    <w:link w:val="1002"/>
    <w:uiPriority w:val="39"/>
    <w:unhideWhenUsed/>
    <w:qFormat/>
    <w:pPr>
      <w:ind w:left="210"/>
      <w:jc w:val="left"/>
    </w:pPr>
    <w:rPr>
      <w:rFonts w:ascii="Calibri" w:hAnsi="Calibri" w:cs="Calibri"/>
      <w:sz w:val="20"/>
      <w:szCs w:val="20"/>
    </w:rPr>
  </w:style>
  <w:style w:type="paragraph" w:styleId="1385">
    <w:name w:val="正文文本缩进1"/>
    <w:basedOn w:val="1002"/>
    <w:next w:val="1386"/>
    <w:link w:val="1002"/>
    <w:qFormat/>
    <w:pPr>
      <w:ind w:left="420" w:firstLine="200"/>
      <w:spacing w:before="100" w:beforeAutospacing="1" w:after="100" w:afterAutospacing="1"/>
    </w:pPr>
    <w:rPr>
      <w:rFonts w:ascii="Calibri" w:hAnsi="Calibri"/>
      <w:szCs w:val="22"/>
    </w:rPr>
  </w:style>
  <w:style w:type="paragraph" w:styleId="1386">
    <w:name w:val="寄信人地址1"/>
    <w:basedOn w:val="1002"/>
    <w:next w:val="1386"/>
    <w:link w:val="1002"/>
    <w:qFormat/>
    <w:pPr>
      <w:ind w:firstLine="480"/>
      <w:jc w:val="left"/>
      <w:spacing w:before="100" w:beforeAutospacing="1" w:after="100" w:afterAutospacing="1"/>
      <w:widowControl/>
      <w:tabs>
        <w:tab w:val="left" w:pos="0" w:leader="none"/>
      </w:tabs>
    </w:pPr>
    <w:rPr>
      <w:rFonts w:ascii="Cambria" w:hAnsi="Cambria"/>
    </w:rPr>
  </w:style>
  <w:style w:type="paragraph" w:styleId="1387">
    <w:name w:val="正文文本1"/>
    <w:basedOn w:val="1002"/>
    <w:next w:val="1093"/>
    <w:link w:val="1002"/>
    <w:qFormat/>
    <w:pPr>
      <w:jc w:val="center"/>
    </w:pPr>
  </w:style>
  <w:style w:type="paragraph" w:styleId="1388">
    <w:name w:val="标题 11"/>
    <w:basedOn w:val="1002"/>
    <w:next w:val="1002"/>
    <w:link w:val="1002"/>
    <w:qFormat/>
    <w:pPr>
      <w:jc w:val="center"/>
      <w:keepLines/>
      <w:keepNext/>
      <w:spacing w:line="360" w:lineRule="auto"/>
      <w:tabs>
        <w:tab w:val="left" w:pos="330" w:leader="none"/>
        <w:tab w:val="left" w:pos="7020" w:leader="none"/>
      </w:tabs>
      <w:outlineLvl w:val="0"/>
    </w:pPr>
    <w:rPr>
      <w:b/>
      <w:bCs/>
      <w:sz w:val="36"/>
      <w:szCs w:val="44"/>
    </w:rPr>
  </w:style>
  <w:style w:type="paragraph" w:styleId="1389">
    <w:name w:val="正文文字 6"/>
    <w:next w:val="1002"/>
    <w:link w:val="1002"/>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90">
    <w:name w:val="网格型1"/>
    <w:basedOn w:val="1391"/>
    <w:next w:val="1390"/>
    <w:link w:val="1002"/>
    <w:qFormat/>
    <w:pPr>
      <w:jc w:val="both"/>
      <w:widowControl w:val="off"/>
    </w:pPr>
    <w:rPr>
      <w:rFonts w:ascii="Times New Roman" w:hAnsi="Times New Roman" w:eastAsia="宋体" w:cs="Times New Roman"/>
      <w:sz w:val="20"/>
      <w:szCs w:val="20"/>
    </w:rPr>
    <w:tblPr/>
  </w:style>
  <w:style w:type="table" w:styleId="1391">
    <w:name w:val="普通表格1"/>
    <w:next w:val="1391"/>
    <w:link w:val="1002"/>
    <w:uiPriority w:val="99"/>
    <w:unhideWhenUsed/>
    <w:qFormat/>
    <w:rPr>
      <w:lang w:val="en-US" w:eastAsia="zh-CN" w:bidi="ar-SA"/>
    </w:rPr>
    <w:tblPr/>
  </w:style>
  <w:style w:type="table" w:styleId="1392">
    <w:name w:val="Table Normal"/>
    <w:next w:val="1392"/>
    <w:link w:val="1002"/>
    <w:unhideWhenUsed/>
    <w:qFormat/>
    <w:tblPr/>
  </w:style>
  <w:style w:type="paragraph" w:styleId="1393">
    <w:name w:val="Table Text"/>
    <w:basedOn w:val="1002"/>
    <w:next w:val="1393"/>
    <w:link w:val="1002"/>
    <w:semiHidden/>
    <w:qFormat/>
    <w:rPr>
      <w:rFonts w:ascii="宋体" w:hAnsi="宋体" w:eastAsia="宋体" w:cs="宋体"/>
      <w:sz w:val="24"/>
      <w:szCs w:val="24"/>
      <w:lang w:val="en-US" w:eastAsia="en-US" w:bidi="ar-SA"/>
    </w:rPr>
  </w:style>
  <w:style w:type="character" w:styleId="1394" w:default="1">
    <w:name w:val="Default Paragraph Font"/>
    <w:uiPriority w:val="1"/>
    <w:semiHidden/>
    <w:unhideWhenUsed/>
  </w:style>
  <w:style w:type="numbering" w:styleId="1395" w:default="1">
    <w:name w:val="No List"/>
    <w:uiPriority w:val="99"/>
    <w:semiHidden/>
    <w:unhideWhenUsed/>
  </w:style>
  <w:style w:type="table" w:styleId="13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云途2</cp:lastModifiedBy>
  <cp:revision>3</cp:revision>
  <dcterms:created xsi:type="dcterms:W3CDTF">2018-07-03T03:23:00Z</dcterms:created>
  <dcterms:modified xsi:type="dcterms:W3CDTF">2026-09-29T08:03:51Z</dcterms:modified>
</cp:coreProperties>
</file>