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right"/>
        <w:rPr>
          <w:rFonts w:ascii="宋体" w:hAnsi="宋体" w:eastAsia="宋体" w:cs="宋体"/>
          <w:color w:val="000000"/>
          <w:sz w:val="36"/>
          <w:highlight w:val="none"/>
          <w:lang w:val="en-US" w:eastAsia="zh-CN"/>
        </w:rPr>
      </w:pPr>
      <w:r>
        <w:rPr>
          <w:rFonts w:ascii="宋体" w:hAnsi="宋体" w:eastAsia="宋体" w:cs="宋体"/>
          <w:color w:val="000000"/>
          <w:sz w:val="36"/>
          <w:highlight w:val="none"/>
          <w:lang w:val="en-US" w:eastAsia="zh-CN"/>
        </w:rPr>
      </w:r>
      <w:r/>
    </w:p>
    <w:p>
      <w:pPr>
        <w:pStyle w:val="826"/>
        <w:jc w:val="right"/>
        <w:rPr>
          <w:rFonts w:hint="eastAsia" w:ascii="宋体" w:hAnsi="宋体" w:cs="宋体"/>
          <w:b/>
          <w:bCs/>
          <w:color w:val="000000"/>
          <w:sz w:val="36"/>
          <w:highlight w:val="none"/>
        </w:rPr>
      </w:pPr>
      <w:r>
        <w:rPr>
          <w:rFonts w:hint="eastAsia" w:ascii="宋体" w:hAnsi="宋体" w:cs="宋体"/>
          <w:b/>
          <w:bCs/>
          <w:color w:val="000000"/>
          <w:sz w:val="36"/>
          <w:highlight w:val="none"/>
        </w:rPr>
        <w:t xml:space="preserve">编号：</w:t>
      </w:r>
      <w:r>
        <w:rPr>
          <w:rFonts w:hint="eastAsia" w:ascii="宋体" w:hAnsi="宋体" w:cs="宋体"/>
          <w:b/>
          <w:bCs/>
          <w:color w:val="000000"/>
          <w:sz w:val="36"/>
          <w:highlight w:val="none"/>
          <w:lang w:eastAsia="zh-CN"/>
        </w:rPr>
        <w:t xml:space="preserve">JSZC-320000-SWGC-G2026-0127</w:t>
      </w:r>
      <w:r>
        <w:rPr>
          <w:rFonts w:hint="eastAsia" w:ascii="宋体" w:hAnsi="宋体" w:cs="宋体"/>
          <w:b/>
          <w:bCs/>
          <w:color w:val="000000"/>
          <w:sz w:val="36"/>
          <w:highlight w:val="none"/>
        </w:rPr>
        <w:t xml:space="preserve">号</w:t>
      </w:r>
      <w:r>
        <w:rPr>
          <w:rFonts w:hint="eastAsia" w:ascii="宋体" w:hAnsi="宋体" w:cs="宋体"/>
          <w:b/>
          <w:bCs/>
          <w:color w:val="000000"/>
          <w:sz w:val="36"/>
          <w:highlight w:val="none"/>
        </w:rPr>
      </w:r>
      <w:r/>
    </w:p>
    <w:p>
      <w:pPr>
        <w:pStyle w:val="82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826"/>
        <w:jc w:val="center"/>
        <w:rPr>
          <w:rFonts w:hint="eastAsia" w:ascii="宋体" w:hAnsi="宋体" w:cs="宋体"/>
          <w:b/>
          <w:bCs/>
          <w:color w:val="000000"/>
          <w:spacing w:val="-17"/>
          <w:sz w:val="36"/>
          <w:highlight w:val="none"/>
        </w:rPr>
      </w:pPr>
      <w:r>
        <w:rPr>
          <w:rFonts w:hint="eastAsia" w:ascii="宋体" w:hAnsi="宋体"/>
          <w:b/>
          <w:bCs/>
          <w:color w:val="000000"/>
          <w:sz w:val="36"/>
          <w:highlight w:val="none"/>
        </w:rPr>
        <w:t xml:space="preserve">扬州大学附属医院</w:t>
      </w:r>
      <w:r>
        <w:rPr>
          <w:rFonts w:hint="eastAsia" w:ascii="宋体" w:hAnsi="宋体" w:cs="宋体"/>
          <w:b/>
          <w:bCs/>
          <w:color w:val="000000"/>
          <w:spacing w:val="-17"/>
          <w:sz w:val="36"/>
          <w:highlight w:val="none"/>
        </w:rPr>
        <w:t xml:space="preserve">安防达标建设项目</w:t>
      </w:r>
      <w:r>
        <w:rPr>
          <w:rFonts w:hint="eastAsia" w:ascii="宋体" w:hAnsi="宋体" w:cs="宋体"/>
          <w:b/>
          <w:bCs/>
          <w:color w:val="000000"/>
          <w:spacing w:val="-17"/>
          <w:sz w:val="36"/>
          <w:highlight w:val="none"/>
        </w:rPr>
      </w:r>
      <w:r/>
    </w:p>
    <w:p>
      <w:pPr>
        <w:pStyle w:val="826"/>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公开招标文件</w:t>
      </w:r>
      <w:r>
        <w:rPr>
          <w:rFonts w:hint="eastAsia" w:ascii="宋体" w:hAnsi="宋体" w:cs="宋体"/>
          <w:b/>
          <w:bCs/>
          <w:color w:val="000000"/>
          <w:sz w:val="36"/>
          <w:highlight w:val="none"/>
        </w:rPr>
      </w:r>
      <w:r/>
    </w:p>
    <w:p>
      <w:pPr>
        <w:pStyle w:val="11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6"/>
        <w:jc w:val="center"/>
        <w:rPr>
          <w:rFonts w:hint="eastAsia" w:ascii="宋体" w:hAnsi="宋体" w:cs="宋体"/>
          <w:color w:val="000000"/>
          <w:sz w:val="36"/>
          <w:highlight w:val="none"/>
        </w:rPr>
      </w:pPr>
      <w:r>
        <w:rPr>
          <w:rFonts w:hint="eastAsia" w:ascii="宋体" w:hAnsi="宋体" w:cs="宋体"/>
          <w:color w:val="000000"/>
          <w:sz w:val="36"/>
          <w:highlight w:val="none"/>
        </w:rPr>
      </w:r>
      <w:r/>
    </w:p>
    <w:p>
      <w:pPr>
        <w:pStyle w:val="826"/>
        <w:jc w:val="center"/>
        <w:rPr>
          <w:rFonts w:hint="eastAsia" w:ascii="宋体" w:hAnsi="宋体" w:cs="宋体"/>
          <w:color w:val="000000"/>
          <w:sz w:val="36"/>
          <w:highlight w:val="none"/>
        </w:rPr>
      </w:pPr>
      <w:r>
        <w:rPr>
          <w:rFonts w:hint="eastAsia" w:ascii="宋体" w:hAnsi="宋体" w:cs="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36"/>
          <w:highlight w:val="none"/>
        </w:rPr>
      </w:r>
      <w:r/>
    </w:p>
    <w:p>
      <w:pPr>
        <w:pStyle w:val="826"/>
        <w:jc w:val="center"/>
        <w:rPr>
          <w:rFonts w:hint="eastAsia" w:ascii="宋体" w:hAnsi="宋体" w:cs="宋体"/>
          <w:color w:val="000000"/>
          <w:sz w:val="36"/>
          <w:highlight w:val="none"/>
        </w:rPr>
      </w:pPr>
      <w:r>
        <w:rPr>
          <w:rFonts w:hint="eastAsia" w:ascii="宋体" w:hAnsi="宋体" w:cs="宋体"/>
          <w:color w:val="000000"/>
          <w:sz w:val="36"/>
          <w:highlight w:val="none"/>
        </w:rPr>
      </w:r>
      <w:r/>
    </w:p>
    <w:p>
      <w:pPr>
        <w:pStyle w:val="82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826"/>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江苏苏维工程管理有限公司</w:t>
      </w:r>
      <w:r>
        <w:rPr>
          <w:rFonts w:hint="eastAsia" w:ascii="宋体" w:hAnsi="宋体" w:cs="宋体"/>
          <w:b/>
          <w:bCs/>
          <w:color w:val="000000"/>
          <w:sz w:val="36"/>
          <w:highlight w:val="none"/>
        </w:rPr>
      </w:r>
      <w:r/>
    </w:p>
    <w:p>
      <w:pPr>
        <w:pStyle w:val="826"/>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2026年</w:t>
      </w:r>
      <w:r>
        <w:rPr>
          <w:rFonts w:hint="eastAsia" w:ascii="宋体" w:hAnsi="宋体" w:cs="宋体"/>
          <w:b/>
          <w:bCs/>
          <w:color w:val="000000"/>
          <w:sz w:val="36"/>
          <w:highlight w:val="none"/>
          <w:lang w:val="en-US" w:eastAsia="zh-CN"/>
        </w:rPr>
        <w:t xml:space="preserve">9</w:t>
      </w:r>
      <w:r>
        <w:rPr>
          <w:rFonts w:hint="eastAsia" w:ascii="宋体" w:hAnsi="宋体" w:cs="宋体"/>
          <w:b/>
          <w:bCs/>
          <w:color w:val="000000"/>
          <w:sz w:val="36"/>
          <w:highlight w:val="none"/>
        </w:rPr>
        <w:t xml:space="preserve">月</w:t>
      </w:r>
      <w:r>
        <w:rPr>
          <w:rFonts w:hint="eastAsia" w:ascii="宋体" w:hAnsi="宋体" w:cs="宋体"/>
          <w:b/>
          <w:bCs/>
          <w:color w:val="000000"/>
          <w:sz w:val="36"/>
          <w:highlight w:val="none"/>
          <w:lang w:val="en-US" w:eastAsia="zh-CN"/>
        </w:rPr>
        <w:t xml:space="preserve">30</w:t>
      </w:r>
      <w:r>
        <w:rPr>
          <w:rFonts w:hint="eastAsia" w:ascii="宋体" w:hAnsi="宋体" w:cs="宋体"/>
          <w:b/>
          <w:bCs/>
          <w:color w:val="000000"/>
          <w:sz w:val="36"/>
          <w:highlight w:val="none"/>
        </w:rPr>
        <w:t xml:space="preserve">日</w:t>
      </w:r>
      <w:r>
        <w:rPr>
          <w:rFonts w:hint="eastAsia" w:ascii="宋体" w:hAnsi="宋体" w:cs="宋体"/>
          <w:b/>
          <w:bCs/>
          <w:color w:val="000000"/>
          <w:sz w:val="36"/>
          <w:highlight w:val="none"/>
        </w:rPr>
      </w:r>
      <w:r/>
    </w:p>
    <w:p>
      <w:pPr>
        <w:pStyle w:val="826"/>
        <w:jc w:val="center"/>
        <w:rPr>
          <w:rFonts w:hint="eastAsia" w:ascii="宋体" w:hAnsi="宋体" w:cs="宋体"/>
          <w:color w:val="000000"/>
          <w:sz w:val="32"/>
          <w:highlight w:val="none"/>
        </w:rPr>
        <w:sectPr>
          <w:headerReference w:type="default" r:id="rId9"/>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color w:val="000000"/>
          <w:sz w:val="32"/>
          <w:highlight w:val="none"/>
        </w:rPr>
      </w:r>
      <w:r/>
    </w:p>
    <w:p>
      <w:pPr>
        <w:pStyle w:val="1116"/>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目 录</w:t>
      </w:r>
      <w:r>
        <w:rPr>
          <w:rFonts w:hint="eastAsia" w:ascii="宋体" w:hAnsi="宋体" w:eastAsia="宋体" w:cs="宋体"/>
          <w:b/>
          <w:bCs/>
          <w:color w:val="000000"/>
          <w:sz w:val="24"/>
          <w:szCs w:val="24"/>
          <w:highlight w:val="none"/>
        </w:rPr>
      </w:r>
      <w:r/>
    </w:p>
    <w:p>
      <w:pPr>
        <w:pStyle w:val="898"/>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\f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投标邀请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_Toc6648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- 1 -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_Toc17642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- 5 -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合同文本</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_Toc20434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- 16 -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采购需求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_Toc5650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- 21 -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评标方法及评标标准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_Toc30892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- 51 -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_Toc2219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- 55 -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2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61"/>
        <w:rPr>
          <w:color w:val="000000"/>
          <w:highlight w:val="none"/>
        </w:rPr>
        <w:sectPr>
          <w:footerReference w:type="default" r:id="rId12"/>
          <w:footnotePr/>
          <w:endnotePr/>
          <w:type w:val="nextPage"/>
          <w:pgSz w:w="11906" w:h="16838" w:orient="portrait"/>
          <w:pgMar w:top="1417" w:right="1134" w:bottom="1417" w:left="1417" w:header="850" w:footer="992" w:gutter="0"/>
          <w:pgNumType w:start="1"/>
          <w:cols w:num="1" w:sep="0" w:space="1701" w:equalWidth="1"/>
          <w:docGrid w:linePitch="360"/>
        </w:sectPr>
      </w:pPr>
      <w:r/>
      <w:bookmarkStart w:id="0" w:name="_Toc55204177"/>
      <w:r>
        <w:rPr>
          <w:color w:val="000000"/>
          <w:highlight w:val="none"/>
        </w:rPr>
      </w:r>
      <w:r/>
    </w:p>
    <w:p>
      <w:pPr>
        <w:pStyle w:val="861"/>
        <w:rPr>
          <w:color w:val="000000"/>
          <w:highlight w:val="none"/>
        </w:rPr>
      </w:pPr>
      <w:r/>
      <w:bookmarkStart w:id="1" w:name="_Toc6648"/>
      <w:r>
        <w:rPr>
          <w:rFonts w:hint="eastAsia"/>
          <w:color w:val="000000"/>
          <w:highlight w:val="none"/>
        </w:rPr>
        <w:t xml:space="preserve">第一章 </w:t>
      </w:r>
      <w:bookmarkEnd w:id="0"/>
      <w:r>
        <w:rPr>
          <w:rFonts w:hint="eastAsia"/>
          <w:color w:val="000000"/>
          <w:highlight w:val="none"/>
        </w:rPr>
        <w:t xml:space="preserve">投标邀请</w:t>
      </w:r>
      <w:bookmarkEnd w:id="1"/>
      <w:r>
        <w:rPr>
          <w:color w:val="000000"/>
          <w:highlight w:val="none"/>
        </w:rPr>
      </w:r>
      <w:r/>
    </w:p>
    <w:p>
      <w:pPr>
        <w:pStyle w:val="826"/>
        <w:ind w:firstLine="420"/>
        <w:jc w:val="left"/>
        <w:spacing w:line="360" w:lineRule="auto"/>
        <w:tabs>
          <w:tab w:val="left" w:pos="266" w:leader="none"/>
        </w:tabs>
        <w:rPr>
          <w:rFonts w:hint="eastAsia" w:ascii="宋体" w:hAnsi="宋体" w:cs="宋体"/>
          <w:color w:val="000000"/>
          <w:szCs w:val="21"/>
          <w:highlight w:val="none"/>
        </w:rPr>
      </w:pPr>
      <w:r>
        <w:rPr>
          <w:rFonts w:hint="eastAsia" w:ascii="宋体" w:hAnsi="宋体" w:cs="宋体"/>
          <w:color w:val="000000"/>
          <w:highlight w:val="none"/>
        </w:rPr>
        <w:t xml:space="preserve">受扬州大学附属医院的委托，江苏苏维工程管理有限公司就</w:t>
      </w:r>
      <w:r>
        <w:rPr>
          <w:rFonts w:hint="eastAsia" w:ascii="宋体" w:hAnsi="宋体" w:cs="宋体"/>
          <w:color w:val="000000"/>
          <w:highlight w:val="none"/>
          <w:lang w:eastAsia="zh-CN"/>
        </w:rPr>
        <w:t xml:space="preserve">扬州大学附属医院安防达标建设项目</w:t>
      </w:r>
      <w:r>
        <w:rPr>
          <w:rFonts w:hint="eastAsia" w:ascii="宋体" w:hAnsi="宋体" w:cs="宋体"/>
          <w:color w:val="000000"/>
          <w:highlight w:val="none"/>
        </w:rPr>
        <w:t xml:space="preserve">（</w:t>
      </w:r>
      <w:r>
        <w:rPr>
          <w:rFonts w:hint="eastAsia" w:ascii="宋体" w:hAnsi="宋体" w:cs="宋体"/>
          <w:color w:val="000000"/>
          <w:szCs w:val="21"/>
          <w:highlight w:val="none"/>
          <w:lang w:eastAsia="zh-CN"/>
        </w:rPr>
        <w:t xml:space="preserve">JSZC-320000-SWGC-G2026-0127</w:t>
      </w:r>
      <w:r>
        <w:rPr>
          <w:rFonts w:hint="eastAsia" w:ascii="宋体" w:hAnsi="宋体" w:cs="宋体"/>
          <w:color w:val="000000"/>
          <w:szCs w:val="21"/>
          <w:highlight w:val="none"/>
        </w:rPr>
        <w:t xml:space="preserve">号）</w:t>
      </w:r>
      <w:r>
        <w:rPr>
          <w:rFonts w:hint="eastAsia" w:ascii="宋体" w:hAnsi="宋体" w:cs="宋体"/>
          <w:color w:val="000000"/>
          <w:highlight w:val="none"/>
        </w:rPr>
        <w:t xml:space="preserve">进行公开招标采购，欢迎符合条件的供应商投标。</w:t>
      </w:r>
      <w:r>
        <w:rPr>
          <w:rFonts w:hint="eastAsia" w:ascii="宋体" w:hAnsi="宋体" w:cs="宋体"/>
          <w:color w:val="000000"/>
          <w:szCs w:val="21"/>
          <w:highlight w:val="none"/>
        </w:rPr>
      </w:r>
      <w:r/>
    </w:p>
    <w:p>
      <w:pPr>
        <w:pStyle w:val="826"/>
        <w:ind w:firstLine="422"/>
        <w:spacing w:line="360" w:lineRule="auto"/>
        <w:rPr>
          <w:rFonts w:hint="eastAsia"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hint="eastAsia" w:ascii="宋体" w:hAnsi="宋体" w:cs="宋体"/>
          <w:b/>
          <w:bCs/>
          <w:color w:val="000000"/>
          <w:highlight w:val="none"/>
        </w:rPr>
      </w:r>
      <w:r/>
    </w:p>
    <w:p>
      <w:pPr>
        <w:pStyle w:val="826"/>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扬州大学附属医院安防达标建设项目</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eastAsia="zh-CN"/>
        </w:rPr>
        <w:t xml:space="preserve">JSZC-320000-SWGC-G2026-0127</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招标项目的潜在投标人应在</w:t>
      </w:r>
      <w:r>
        <w:rPr>
          <w:rFonts w:hint="eastAsia" w:ascii="宋体" w:hAnsi="宋体" w:cs="宋体"/>
          <w:color w:val="000000"/>
          <w:highlight w:val="none"/>
          <w:u w:val="single"/>
        </w:rPr>
        <w:t xml:space="preserve">“江苏政府采购网”“中国政府采购网”“扬州大学附属医院网”自行免费下载</w:t>
      </w:r>
      <w:r>
        <w:rPr>
          <w:rFonts w:hint="eastAsia" w:ascii="宋体" w:hAnsi="宋体" w:cs="宋体"/>
          <w:color w:val="000000"/>
          <w:highlight w:val="none"/>
        </w:rPr>
        <w:t xml:space="preserve">招标文件，并于</w:t>
      </w:r>
      <w:r>
        <w:rPr>
          <w:rFonts w:hint="eastAsia" w:ascii="宋体" w:hAnsi="宋体" w:cs="宋体"/>
          <w:color w:val="ff0000"/>
          <w:highlight w:val="none"/>
          <w:u w:val="single"/>
        </w:rPr>
        <w:t xml:space="preserve">2026年</w:t>
      </w:r>
      <w:r>
        <w:rPr>
          <w:rFonts w:hint="eastAsia" w:ascii="宋体" w:hAnsi="宋体" w:cs="宋体"/>
          <w:color w:val="ff0000"/>
          <w:highlight w:val="none"/>
          <w:u w:val="single"/>
          <w:lang w:val="en-US" w:eastAsia="zh-CN"/>
        </w:rPr>
        <w:t xml:space="preserve">11</w:t>
      </w:r>
      <w:r>
        <w:rPr>
          <w:rFonts w:hint="eastAsia" w:ascii="宋体" w:hAnsi="宋体" w:cs="宋体"/>
          <w:color w:val="ff0000"/>
          <w:highlight w:val="none"/>
          <w:u w:val="single"/>
        </w:rPr>
        <w:t xml:space="preserve">月</w:t>
      </w:r>
      <w:r>
        <w:rPr>
          <w:rFonts w:hint="eastAsia" w:ascii="宋体" w:hAnsi="宋体" w:cs="宋体"/>
          <w:color w:val="ff0000"/>
          <w:highlight w:val="none"/>
          <w:u w:val="single"/>
          <w:lang w:val="en-US" w:eastAsia="zh-CN"/>
        </w:rPr>
        <w:t xml:space="preserve">6</w:t>
      </w:r>
      <w:r>
        <w:rPr>
          <w:rFonts w:hint="eastAsia" w:ascii="宋体" w:hAnsi="宋体" w:cs="宋体"/>
          <w:color w:val="ff0000"/>
          <w:highlight w:val="none"/>
          <w:u w:val="single"/>
        </w:rPr>
        <w:t xml:space="preserve">日上午9</w:t>
      </w:r>
      <w:r>
        <w:rPr>
          <w:rFonts w:hint="eastAsia" w:ascii="宋体" w:hAnsi="宋体" w:cs="宋体"/>
          <w:color w:val="ff0000"/>
          <w:highlight w:val="none"/>
          <w:u w:val="single"/>
          <w:lang w:eastAsia="zh-CN"/>
        </w:rPr>
        <w:t xml:space="preserve">：</w:t>
      </w:r>
      <w:r>
        <w:rPr>
          <w:rFonts w:hint="eastAsia" w:ascii="宋体" w:hAnsi="宋体" w:cs="宋体"/>
          <w:color w:val="ff0000"/>
          <w:highlight w:val="none"/>
          <w:u w:val="single"/>
        </w:rPr>
        <w:t xml:space="preserve">30</w:t>
      </w:r>
      <w:r>
        <w:rPr>
          <w:rFonts w:hint="eastAsia" w:ascii="宋体" w:hAnsi="宋体" w:cs="宋体"/>
          <w:color w:val="000000"/>
          <w:highlight w:val="none"/>
          <w:u w:val="single"/>
        </w:rPr>
        <w:t xml:space="preserve">（北京时间）</w:t>
      </w:r>
      <w:r>
        <w:rPr>
          <w:rFonts w:hint="eastAsia" w:ascii="宋体" w:hAnsi="宋体" w:cs="宋体"/>
          <w:color w:val="000000"/>
          <w:highlight w:val="none"/>
        </w:rPr>
        <w:t xml:space="preserve">前递交投标文件。</w:t>
      </w:r>
      <w:r>
        <w:rPr>
          <w:rFonts w:hint="eastAsia" w:ascii="宋体" w:hAnsi="宋体" w:cs="宋体"/>
          <w:color w:val="000000"/>
          <w:highlight w:val="none"/>
        </w:rPr>
      </w:r>
      <w:r/>
    </w:p>
    <w:p>
      <w:pPr>
        <w:pStyle w:val="826"/>
        <w:ind w:firstLine="422"/>
        <w:spacing w:line="360" w:lineRule="auto"/>
        <w:tabs>
          <w:tab w:val="left" w:pos="266" w:leader="none"/>
        </w:tabs>
        <w:rPr>
          <w:rFonts w:hint="eastAsia" w:ascii="宋体" w:hAnsi="宋体" w:cs="宋体"/>
          <w:b/>
          <w:bCs/>
          <w:color w:val="000000"/>
          <w:highlight w:val="none"/>
        </w:rPr>
      </w:pPr>
      <w:r/>
      <w:bookmarkStart w:id="2" w:name="_Toc28359002"/>
      <w:r/>
      <w:bookmarkStart w:id="3" w:name="_Toc38985263"/>
      <w:r/>
      <w:bookmarkStart w:id="4" w:name="_Toc28359079"/>
      <w:r/>
      <w:bookmarkStart w:id="5" w:name="_Toc35393621"/>
      <w:r/>
      <w:bookmarkStart w:id="6" w:name="_Toc35393790"/>
      <w:r/>
      <w:bookmarkStart w:id="7" w:name="_Hlk24379207"/>
      <w:r>
        <w:rPr>
          <w:rFonts w:hint="eastAsia" w:ascii="宋体" w:hAnsi="宋体" w:cs="宋体"/>
          <w:b/>
          <w:bCs/>
          <w:color w:val="000000"/>
          <w:highlight w:val="none"/>
        </w:rPr>
        <w:t xml:space="preserve">一、项目基本情况</w:t>
      </w:r>
      <w:bookmarkEnd w:id="2"/>
      <w:r/>
      <w:bookmarkEnd w:id="3"/>
      <w:r/>
      <w:bookmarkEnd w:id="4"/>
      <w:r/>
      <w:bookmarkEnd w:id="5"/>
      <w:r/>
      <w:bookmarkEnd w:id="6"/>
      <w:r>
        <w:rPr>
          <w:rFonts w:hint="eastAsia" w:ascii="宋体" w:hAnsi="宋体" w:cs="宋体"/>
          <w:b/>
          <w:bCs/>
          <w:color w:val="000000"/>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JSZC-320000-SWGC-G2026-0127</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826"/>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bookmarkEnd w:id="7"/>
      <w:r>
        <w:rPr>
          <w:rFonts w:hint="eastAsia" w:ascii="宋体" w:hAnsi="宋体" w:cs="宋体"/>
          <w:color w:val="000000"/>
          <w:szCs w:val="21"/>
          <w:highlight w:val="none"/>
          <w:lang w:eastAsia="zh-CN"/>
        </w:rPr>
        <w:t xml:space="preserve">扬州大学附属医院安防达标建设项目</w:t>
      </w:r>
      <w:r>
        <w:rPr>
          <w:rFonts w:hint="eastAsia" w:ascii="宋体" w:hAnsi="宋体" w:eastAsia="宋体" w:cs="宋体"/>
          <w:color w:val="000000"/>
          <w:szCs w:val="21"/>
          <w:highlight w:val="none"/>
          <w:lang w:eastAsia="zh-CN"/>
        </w:rPr>
      </w:r>
      <w:r/>
    </w:p>
    <w:p>
      <w:pPr>
        <w:pStyle w:val="826"/>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color w:val="000000"/>
          <w:szCs w:val="21"/>
          <w:highlight w:val="none"/>
        </w:rPr>
      </w:r>
      <w:r/>
    </w:p>
    <w:tbl>
      <w:tblPr>
        <w:tblW w:w="3245"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3"/>
        <w:gridCol w:w="4669"/>
      </w:tblGrid>
      <w:tr>
        <w:trPr/>
        <w:tc>
          <w:tcPr>
            <w:tcW w:w="1242"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采购包号</w:t>
            </w:r>
            <w:r>
              <w:rPr>
                <w:rFonts w:hint="eastAsia" w:ascii="宋体" w:hAnsi="宋体"/>
                <w:color w:val="000000"/>
                <w:szCs w:val="21"/>
                <w:highlight w:val="none"/>
              </w:rPr>
            </w:r>
            <w:r/>
          </w:p>
        </w:tc>
        <w:tc>
          <w:tcPr>
            <w:tcW w:w="3757"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预算</w:t>
            </w:r>
            <w:r>
              <w:rPr>
                <w:rFonts w:ascii="宋体" w:hAnsi="宋体"/>
                <w:color w:val="000000"/>
                <w:szCs w:val="21"/>
                <w:highlight w:val="none"/>
              </w:rPr>
              <w:t xml:space="preserve">金额</w:t>
            </w:r>
            <w:r>
              <w:rPr>
                <w:rFonts w:hint="eastAsia" w:ascii="宋体" w:hAnsi="宋体"/>
                <w:color w:val="000000"/>
                <w:szCs w:val="21"/>
                <w:highlight w:val="none"/>
              </w:rPr>
              <w:t xml:space="preserve">（人民币</w:t>
            </w:r>
            <w:r>
              <w:rPr>
                <w:rFonts w:ascii="宋体" w:hAnsi="宋体"/>
                <w:color w:val="000000"/>
                <w:szCs w:val="21"/>
                <w:highlight w:val="none"/>
              </w:rPr>
              <w:t xml:space="preserve">：万元</w:t>
            </w:r>
            <w:r>
              <w:rPr>
                <w:rFonts w:hint="eastAsia" w:ascii="宋体" w:hAnsi="宋体"/>
                <w:color w:val="000000"/>
                <w:szCs w:val="21"/>
                <w:highlight w:val="none"/>
              </w:rPr>
              <w:t xml:space="preserve">）</w:t>
            </w:r>
            <w:r>
              <w:rPr>
                <w:rFonts w:hint="eastAsia" w:ascii="宋体" w:hAnsi="宋体"/>
                <w:color w:val="000000"/>
                <w:szCs w:val="21"/>
                <w:highlight w:val="none"/>
              </w:rPr>
            </w:r>
            <w:r/>
          </w:p>
        </w:tc>
      </w:tr>
      <w:tr>
        <w:trPr/>
        <w:tc>
          <w:tcPr>
            <w:tcW w:w="1242"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3757" w:type="dxa"/>
            <w:vAlign w:val="top"/>
            <w:textDirection w:val="lrTb"/>
            <w:noWrap w:val="false"/>
          </w:tcPr>
          <w:p>
            <w:pPr>
              <w:pStyle w:val="826"/>
              <w:ind w:firstLine="420"/>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460</w:t>
            </w:r>
            <w:r>
              <w:rPr>
                <w:rFonts w:ascii="宋体" w:hAnsi="宋体" w:eastAsia="宋体"/>
                <w:color w:val="000000"/>
                <w:szCs w:val="21"/>
                <w:highlight w:val="none"/>
                <w:lang w:val="en-US" w:eastAsia="zh-CN"/>
              </w:rPr>
            </w:r>
            <w:r/>
          </w:p>
        </w:tc>
      </w:tr>
    </w:tbl>
    <w:p>
      <w:pPr>
        <w:pStyle w:val="826"/>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4.最高限价：</w:t>
      </w:r>
      <w:r>
        <w:rPr>
          <w:rFonts w:hint="eastAsia" w:ascii="宋体" w:hAnsi="宋体" w:cs="宋体"/>
          <w:color w:val="000000"/>
          <w:szCs w:val="21"/>
          <w:highlight w:val="none"/>
          <w:lang w:val="en-US" w:eastAsia="zh-CN"/>
        </w:rPr>
        <w:tab/>
      </w:r>
      <w:r>
        <w:rPr>
          <w:rFonts w:hint="eastAsia" w:ascii="宋体" w:hAnsi="宋体" w:eastAsia="宋体" w:cs="宋体"/>
          <w:color w:val="000000"/>
          <w:szCs w:val="21"/>
          <w:highlight w:val="none"/>
          <w:lang w:val="en-US" w:eastAsia="zh-CN"/>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3755"/>
        <w:gridCol w:w="4205"/>
      </w:tblGrid>
      <w:tr>
        <w:trPr/>
        <w:tc>
          <w:tcPr>
            <w:tcW w:w="810"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采购包号</w:t>
            </w:r>
            <w:r>
              <w:rPr>
                <w:rFonts w:hint="eastAsia" w:ascii="宋体" w:hAnsi="宋体"/>
                <w:color w:val="000000"/>
                <w:szCs w:val="21"/>
                <w:highlight w:val="none"/>
              </w:rPr>
            </w:r>
            <w:r/>
          </w:p>
        </w:tc>
        <w:tc>
          <w:tcPr>
            <w:tcW w:w="1976"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是否</w:t>
            </w:r>
            <w:r>
              <w:rPr>
                <w:rFonts w:ascii="宋体" w:hAnsi="宋体"/>
                <w:color w:val="000000"/>
                <w:szCs w:val="21"/>
                <w:highlight w:val="none"/>
              </w:rPr>
              <w:t xml:space="preserve">设定最高</w:t>
            </w:r>
            <w:r>
              <w:rPr>
                <w:rFonts w:hint="eastAsia" w:ascii="宋体" w:hAnsi="宋体"/>
                <w:color w:val="000000"/>
                <w:szCs w:val="21"/>
                <w:highlight w:val="none"/>
              </w:rPr>
              <w:t xml:space="preserve">限价</w:t>
            </w:r>
            <w:r>
              <w:rPr>
                <w:rFonts w:ascii="宋体" w:hAnsi="宋体"/>
                <w:color w:val="000000"/>
                <w:szCs w:val="21"/>
                <w:highlight w:val="none"/>
              </w:rPr>
              <w:t xml:space="preserve">（</w:t>
            </w:r>
            <w:r>
              <w:rPr>
                <w:rFonts w:hint="eastAsia" w:ascii="宋体" w:hAnsi="宋体"/>
                <w:color w:val="000000"/>
                <w:szCs w:val="21"/>
                <w:highlight w:val="none"/>
              </w:rPr>
              <w:t xml:space="preserve">是/否</w:t>
            </w:r>
            <w:r>
              <w:rPr>
                <w:rFonts w:ascii="宋体" w:hAnsi="宋体"/>
                <w:color w:val="000000"/>
                <w:szCs w:val="21"/>
                <w:highlight w:val="none"/>
              </w:rPr>
              <w:t xml:space="preserve">）</w:t>
            </w:r>
            <w:r>
              <w:rPr>
                <w:rFonts w:hint="eastAsia" w:ascii="宋体" w:hAnsi="宋体"/>
                <w:color w:val="000000"/>
                <w:szCs w:val="21"/>
                <w:highlight w:val="none"/>
              </w:rPr>
            </w:r>
            <w:r/>
          </w:p>
        </w:tc>
        <w:tc>
          <w:tcPr>
            <w:tcW w:w="2213"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最高</w:t>
            </w:r>
            <w:r>
              <w:rPr>
                <w:rFonts w:ascii="宋体" w:hAnsi="宋体"/>
                <w:color w:val="000000"/>
                <w:szCs w:val="21"/>
                <w:highlight w:val="none"/>
              </w:rPr>
              <w:t xml:space="preserve">限价</w:t>
            </w:r>
            <w:r>
              <w:rPr>
                <w:rFonts w:hint="eastAsia" w:ascii="宋体" w:hAnsi="宋体"/>
                <w:color w:val="000000"/>
                <w:szCs w:val="21"/>
                <w:highlight w:val="none"/>
              </w:rPr>
              <w:t xml:space="preserve">（人民币</w:t>
            </w:r>
            <w:r>
              <w:rPr>
                <w:rFonts w:ascii="宋体" w:hAnsi="宋体"/>
                <w:color w:val="000000"/>
                <w:szCs w:val="21"/>
                <w:highlight w:val="none"/>
              </w:rPr>
              <w:t xml:space="preserve">：万元</w:t>
            </w:r>
            <w:r>
              <w:rPr>
                <w:rFonts w:hint="eastAsia" w:ascii="宋体" w:hAnsi="宋体"/>
                <w:color w:val="000000"/>
                <w:szCs w:val="21"/>
                <w:highlight w:val="none"/>
              </w:rPr>
              <w:t xml:space="preserve">）</w:t>
            </w:r>
            <w:r>
              <w:rPr>
                <w:rFonts w:hint="eastAsia" w:ascii="宋体" w:hAnsi="宋体"/>
                <w:color w:val="000000"/>
                <w:szCs w:val="21"/>
                <w:highlight w:val="none"/>
              </w:rPr>
            </w:r>
            <w:r/>
          </w:p>
        </w:tc>
      </w:tr>
      <w:tr>
        <w:trPr/>
        <w:tc>
          <w:tcPr>
            <w:tcW w:w="810"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1976"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是</w:t>
            </w:r>
            <w:r>
              <w:rPr>
                <w:rFonts w:hint="eastAsia" w:ascii="宋体" w:hAnsi="宋体"/>
                <w:color w:val="000000"/>
                <w:szCs w:val="21"/>
                <w:highlight w:val="none"/>
              </w:rPr>
            </w:r>
            <w:r/>
          </w:p>
        </w:tc>
        <w:tc>
          <w:tcPr>
            <w:tcW w:w="2213" w:type="dxa"/>
            <w:vAlign w:val="top"/>
            <w:textDirection w:val="lrTb"/>
            <w:noWrap w:val="false"/>
          </w:tcPr>
          <w:p>
            <w:pPr>
              <w:pStyle w:val="826"/>
              <w:ind w:firstLine="420"/>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446</w:t>
            </w:r>
            <w:r>
              <w:rPr>
                <w:rFonts w:ascii="宋体" w:hAnsi="宋体" w:eastAsia="宋体"/>
                <w:color w:val="000000"/>
                <w:szCs w:val="21"/>
                <w:highlight w:val="none"/>
                <w:lang w:val="en-US" w:eastAsia="zh-CN"/>
              </w:rPr>
            </w:r>
            <w:r/>
          </w:p>
        </w:tc>
      </w:tr>
    </w:tbl>
    <w:p>
      <w:pPr>
        <w:pStyle w:val="826"/>
        <w:ind w:firstLine="420"/>
        <w:keepLines w:val="0"/>
        <w:keepNext w:val="0"/>
        <w:pageBreakBefore w:val="0"/>
        <w:spacing w:line="360" w:lineRule="auto"/>
        <w:widowControl w:val="off"/>
        <w:rPr>
          <w:rFonts w:hint="eastAsia" w:ascii="宋体" w:hAnsi="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采购需求：扬州大学附属医院为区域三级甲等综合性医疗机构，现有东、西两大院区，总占地138.2亩，总建筑面积17.3万平方米。院区日常门急诊流量大、人员高度密集，医患人身与财产安全、院区治安管控压力突出。</w:t>
      </w:r>
      <w:r>
        <w:rPr>
          <w:rFonts w:hint="eastAsia" w:ascii="宋体" w:hAnsi="宋体" w:cs="宋体"/>
          <w:color w:val="000000"/>
          <w:highlight w:val="none"/>
          <w:lang w:val="en-US" w:eastAsia="zh-CN"/>
        </w:rPr>
        <w:t xml:space="preserve">本项目采用</w:t>
      </w:r>
      <w:r>
        <w:rPr>
          <w:rFonts w:hint="eastAsia"/>
          <w:color w:val="000000"/>
          <w:highlight w:val="none"/>
        </w:rPr>
        <w:t xml:space="preserve">大数据、云计算、物联网、人工智能新一代信息技术，实施全院智慧安防升级改造，搭建统一综合安防管理体系，补齐现有技防短板，筑牢平安医院安全防线。（详细内容见本招标文件第四章）。</w:t>
      </w:r>
      <w:r>
        <w:rPr>
          <w:rFonts w:hint="eastAsia" w:ascii="宋体" w:hAnsi="宋体" w:cs="宋体"/>
          <w:color w:val="000000"/>
          <w:highlight w:val="none"/>
          <w:u w:val="single"/>
        </w:rPr>
      </w:r>
      <w:r/>
    </w:p>
    <w:p>
      <w:pPr>
        <w:pStyle w:val="826"/>
        <w:ind w:firstLine="420"/>
        <w:keepLines w:val="0"/>
        <w:keepNext w:val="0"/>
        <w:pageBreakBefore w:val="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6.合同履行期限：</w:t>
      </w:r>
      <w:r>
        <w:rPr>
          <w:rFonts w:hint="eastAsia"/>
          <w:color w:val="000000"/>
          <w:highlight w:val="none"/>
        </w:rPr>
        <w:t xml:space="preserve">详见招标文件第四章</w:t>
      </w:r>
      <w:r>
        <w:rPr>
          <w:rFonts w:hint="eastAsia"/>
          <w:color w:val="000000"/>
          <w:highlight w:val="none"/>
          <w:lang w:eastAsia="zh-CN"/>
        </w:rPr>
        <w:t xml:space="preserve">。</w:t>
      </w:r>
      <w:r>
        <w:rPr>
          <w:rFonts w:hint="eastAsia" w:ascii="宋体" w:hAnsi="宋体" w:cs="宋体"/>
          <w:color w:val="000000"/>
          <w:highlight w:val="none"/>
        </w:rPr>
        <w:t xml:space="preserve"> </w:t>
      </w:r>
      <w:r>
        <w:rPr>
          <w:rFonts w:hint="eastAsia" w:ascii="宋体" w:hAnsi="宋体" w:cs="宋体"/>
          <w:color w:val="000000"/>
          <w:highlight w:val="none"/>
        </w:rPr>
      </w:r>
      <w:r/>
    </w:p>
    <w:p>
      <w:pPr>
        <w:pStyle w:val="826"/>
        <w:ind w:firstLine="422"/>
        <w:spacing w:line="360" w:lineRule="auto"/>
        <w:tabs>
          <w:tab w:val="left" w:pos="266" w:leader="none"/>
        </w:tabs>
        <w:rPr>
          <w:rFonts w:hint="eastAsia" w:ascii="宋体" w:hAnsi="宋体" w:cs="宋体"/>
          <w:b/>
          <w:bCs/>
          <w:color w:val="000000"/>
          <w:highlight w:val="none"/>
        </w:rPr>
      </w:pPr>
      <w:r/>
      <w:bookmarkStart w:id="8" w:name="_Toc28359003"/>
      <w:r/>
      <w:bookmarkStart w:id="9" w:name="_Toc35393791"/>
      <w:r/>
      <w:bookmarkStart w:id="10" w:name="_Toc38985264"/>
      <w:r/>
      <w:bookmarkStart w:id="11" w:name="_Toc35393622"/>
      <w:r/>
      <w:bookmarkStart w:id="12" w:name="_Toc28359080"/>
      <w:r>
        <w:rPr>
          <w:rFonts w:hint="eastAsia" w:ascii="宋体" w:hAnsi="宋体" w:cs="宋体"/>
          <w:b/>
          <w:bCs/>
          <w:color w:val="000000"/>
          <w:highlight w:val="none"/>
        </w:rPr>
        <w:t xml:space="preserve">二、申请人的资格要求：</w:t>
      </w:r>
      <w:bookmarkEnd w:id="8"/>
      <w:r/>
      <w:bookmarkEnd w:id="9"/>
      <w:r/>
      <w:bookmarkEnd w:id="10"/>
      <w:r/>
      <w:bookmarkEnd w:id="11"/>
      <w:r/>
      <w:bookmarkEnd w:id="12"/>
      <w:r>
        <w:rPr>
          <w:rFonts w:hint="eastAsia" w:ascii="宋体" w:hAnsi="宋体" w:cs="宋体"/>
          <w:b/>
          <w:bCs/>
          <w:color w:val="000000"/>
          <w:highlight w:val="none"/>
        </w:rPr>
      </w:r>
      <w:r/>
    </w:p>
    <w:p>
      <w:pPr>
        <w:pStyle w:val="826"/>
        <w:ind w:firstLine="420"/>
        <w:spacing w:line="360" w:lineRule="auto"/>
        <w:rPr>
          <w:rFonts w:hint="eastAsia" w:ascii="宋体" w:hAnsi="宋体" w:cs="宋体"/>
          <w:color w:val="000000"/>
          <w:szCs w:val="21"/>
          <w:highlight w:val="none"/>
        </w:rPr>
      </w:pPr>
      <w:r/>
      <w:bookmarkStart w:id="13" w:name="_Toc35393792"/>
      <w:r/>
      <w:bookmarkStart w:id="14" w:name="_Toc38985265"/>
      <w:r/>
      <w:bookmarkStart w:id="15" w:name="_Toc28359081"/>
      <w:r/>
      <w:bookmarkStart w:id="16" w:name="_Toc28359004"/>
      <w:r/>
      <w:bookmarkStart w:id="17" w:name="_Toc35393623"/>
      <w:r>
        <w:rPr>
          <w:rFonts w:hint="eastAsia" w:ascii="宋体" w:hAnsi="宋体" w:cs="宋体"/>
          <w:color w:val="000000"/>
          <w:szCs w:val="21"/>
          <w:highlight w:val="none"/>
        </w:rPr>
        <w:t xml:space="preserve">（一）通用资格要求</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rPr>
          <w:rFonts w:hint="eastAsia" w:ascii="宋体" w:hAnsi="宋体" w:cs="宋体"/>
          <w:color w:val="000000"/>
          <w:szCs w:val="21"/>
          <w:highlight w:val="non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lang w:val="en-US" w:eastAsia="zh-CN"/>
        </w:rPr>
        <w:t xml:space="preserve">上一年度</w:t>
      </w:r>
      <w:r>
        <w:rPr>
          <w:rFonts w:hint="eastAsia" w:ascii="宋体" w:hAnsi="宋体" w:cs="宋体"/>
          <w:i/>
          <w:iCs/>
          <w:color w:val="000000"/>
          <w:szCs w:val="21"/>
          <w:highlight w:val="none"/>
          <w:u w:val="single"/>
        </w:rPr>
        <w:t xml:space="preserve">的财务报告情况；</w:t>
      </w:r>
      <w:r>
        <w:rPr>
          <w:rFonts w:hint="eastAsia" w:ascii="宋体" w:hAnsi="宋体" w:cs="宋体"/>
          <w:b/>
          <w:bCs/>
          <w:i/>
          <w:iCs/>
          <w:color w:val="000000"/>
          <w:szCs w:val="21"/>
          <w:highlight w:val="none"/>
          <w:u w:val="single"/>
        </w:rPr>
        <w:t xml:space="preserve">（成立不满一年无需提供）</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cs="宋体"/>
          <w:b/>
          <w:bCs/>
          <w:i/>
          <w:iCs/>
          <w:color w:val="000000"/>
          <w:highlight w:val="none"/>
          <w:u w:val="single"/>
        </w:rPr>
      </w:pPr>
      <w:r>
        <w:rPr>
          <w:rFonts w:hint="eastAsia" w:ascii="宋体" w:hAnsi="宋体" w:cs="宋体"/>
          <w:i/>
          <w:iCs/>
          <w:color w:val="000000"/>
          <w:szCs w:val="21"/>
          <w:highlight w:val="none"/>
          <w:u w:val="single"/>
        </w:rPr>
        <w:t xml:space="preserve">1.3 依法缴纳税收和社会保障资金的相关材料；</w:t>
      </w:r>
      <w:r>
        <w:rPr>
          <w:rFonts w:hint="eastAsia" w:ascii="宋体" w:hAnsi="宋体" w:cs="宋体"/>
          <w:b/>
          <w:bCs/>
          <w:i/>
          <w:iCs/>
          <w:color w:val="000000"/>
          <w:szCs w:val="21"/>
          <w:highlight w:val="none"/>
          <w:u w:val="single"/>
        </w:rPr>
        <w:t xml:space="preserve">（提供提交投标文件截止时间前一年内至少一个月依法缴纳税收及缴纳社会保障资金的证明材料。投标</w:t>
      </w:r>
      <w:r>
        <w:rPr>
          <w:rFonts w:hint="eastAsia" w:ascii="宋体" w:hAnsi="宋体" w:cs="宋体"/>
          <w:b/>
          <w:bCs/>
          <w:i/>
          <w:iCs/>
          <w:color w:val="000000"/>
          <w:szCs w:val="21"/>
          <w:highlight w:val="none"/>
          <w:u w:val="single"/>
          <w:lang w:val="en-US" w:eastAsia="zh-CN"/>
        </w:rPr>
        <w:t xml:space="preserve">人</w:t>
      </w:r>
      <w:r>
        <w:rPr>
          <w:rFonts w:hint="eastAsia" w:ascii="宋体" w:hAnsi="宋体" w:cs="宋体"/>
          <w:b/>
          <w:bCs/>
          <w:i/>
          <w:iCs/>
          <w:color w:val="000000"/>
          <w:szCs w:val="21"/>
          <w:highlight w:val="none"/>
          <w:u w:val="single"/>
        </w:rPr>
        <w:t xml:space="preserve">依法享受缓缴、免缴税收、社会保障资金的提供证明材料。）（新成立企业距投标截止日不足30日的，可不提供，以新办企业营业执照发放日期为准）</w:t>
      </w:r>
      <w:r>
        <w:rPr>
          <w:rFonts w:hint="eastAsia" w:ascii="宋体" w:hAnsi="宋体" w:cs="宋体"/>
          <w:b/>
          <w:bCs/>
          <w:i/>
          <w:iCs/>
          <w:color w:val="000000"/>
          <w:highlight w:val="none"/>
          <w:u w:val="single"/>
        </w:rPr>
      </w:r>
      <w:r/>
    </w:p>
    <w:p>
      <w:pPr>
        <w:pStyle w:val="826"/>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具备履行合同所必需的设备和专业技术能力的书面声明；</w:t>
      </w:r>
      <w:r>
        <w:rPr>
          <w:rFonts w:hint="eastAsia" w:ascii="宋体" w:hAnsi="宋体" w:cs="宋体"/>
          <w:b/>
          <w:bCs/>
          <w:i/>
          <w:iCs/>
          <w:color w:val="000000"/>
          <w:szCs w:val="21"/>
          <w:highlight w:val="none"/>
          <w:u w:val="singl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参加政府采购活动前3年内在经营活动中没有重大违法记录的书面声明；</w:t>
      </w:r>
      <w:r>
        <w:rPr>
          <w:rFonts w:hint="eastAsia" w:ascii="宋体" w:hAnsi="宋体" w:cs="宋体"/>
          <w:i/>
          <w:iCs/>
          <w:color w:val="000000"/>
          <w:szCs w:val="21"/>
          <w:highlight w:val="none"/>
          <w:u w:val="single"/>
        </w:rPr>
      </w:r>
      <w:r/>
    </w:p>
    <w:p>
      <w:pPr>
        <w:pStyle w:val="82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供应商信用承诺书；</w:t>
      </w:r>
      <w:r>
        <w:rPr>
          <w:rFonts w:hint="eastAsia" w:ascii="宋体" w:hAnsi="宋体" w:cs="宋体"/>
          <w:i/>
          <w:iCs/>
          <w:color w:val="000000"/>
          <w:szCs w:val="21"/>
          <w:highlight w:val="none"/>
          <w:u w:val="single"/>
        </w:rPr>
      </w:r>
      <w:r/>
    </w:p>
    <w:p>
      <w:pPr>
        <w:pStyle w:val="826"/>
        <w:ind w:firstLine="420"/>
        <w:jc w:val="left"/>
        <w:spacing w:line="360" w:lineRule="auto"/>
        <w:rPr>
          <w:rFonts w:hint="eastAsia" w:ascii="宋体" w:hAnsi="宋体" w:cs="宋体"/>
          <w:i/>
          <w:iCs/>
          <w:color w:val="000000"/>
          <w:szCs w:val="21"/>
          <w:highlight w:val="none"/>
          <w:u w:val="single"/>
          <w:lang w:val="en-US" w:eastAsia="zh-CN"/>
        </w:rPr>
      </w:pPr>
      <w:r>
        <w:rPr>
          <w:rFonts w:hint="eastAsia" w:ascii="宋体" w:hAnsi="宋体" w:cs="宋体"/>
          <w:i/>
          <w:iCs/>
          <w:color w:val="000000"/>
          <w:szCs w:val="21"/>
          <w:highlight w:val="none"/>
          <w:u w:val="single"/>
          <w:lang w:val="en-US" w:eastAsia="zh-CN"/>
        </w:rPr>
        <w:t xml:space="preserve">1.7法律、行政法规规定的其他条件；</w:t>
      </w:r>
      <w:r>
        <w:rPr>
          <w:rFonts w:hint="eastAsia" w:ascii="宋体" w:hAnsi="宋体" w:cs="宋体"/>
          <w:i/>
          <w:iCs/>
          <w:color w:val="000000"/>
          <w:szCs w:val="21"/>
          <w:highlight w:val="none"/>
          <w:u w:val="single"/>
          <w:lang w:val="en-US" w:eastAsia="zh-CN"/>
        </w:rPr>
      </w:r>
      <w:r/>
    </w:p>
    <w:p>
      <w:pPr>
        <w:pStyle w:val="82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cs="宋体"/>
          <w:color w:val="000000"/>
          <w:szCs w:val="21"/>
          <w:highlight w:val="none"/>
        </w:rPr>
      </w:r>
      <w:r/>
    </w:p>
    <w:p>
      <w:pPr>
        <w:pStyle w:val="826"/>
        <w:ind w:firstLine="420"/>
        <w:spacing w:line="360" w:lineRule="auto"/>
        <w:rPr>
          <w:rFonts w:ascii="宋体" w:hAnsi="宋体" w:eastAsia="宋体" w:cs="宋体"/>
          <w:b/>
          <w:bCs/>
          <w:i/>
          <w:iCs/>
          <w:color w:val="000000"/>
          <w:szCs w:val="21"/>
          <w:highlight w:val="none"/>
          <w:u w:val="single"/>
          <w:lang w:val="en-US" w:eastAsia="zh-CN"/>
        </w:rPr>
      </w:pPr>
      <w:r>
        <w:rPr>
          <w:rFonts w:hint="eastAsia" w:ascii="宋体" w:hAnsi="宋体" w:cs="宋体"/>
          <w:color w:val="000000"/>
          <w:szCs w:val="21"/>
          <w:highlight w:val="none"/>
        </w:rPr>
        <w:t xml:space="preserve">3.落实政府采购政策需满足的资格要求：</w:t>
      </w:r>
      <w:r>
        <w:rPr>
          <w:rFonts w:hint="eastAsia" w:ascii="宋体" w:hAnsi="宋体" w:cs="宋体"/>
          <w:i/>
          <w:iCs/>
          <w:color w:val="000000"/>
          <w:szCs w:val="21"/>
          <w:highlight w:val="none"/>
          <w:u w:val="single"/>
          <w:lang w:val="en-US" w:eastAsia="zh-CN"/>
        </w:rPr>
        <w:t xml:space="preserve">无 </w:t>
      </w:r>
      <w:r>
        <w:rPr>
          <w:rFonts w:ascii="宋体" w:hAnsi="宋体" w:eastAsia="宋体" w:cs="宋体"/>
          <w:b/>
          <w:bCs/>
          <w:i/>
          <w:iCs/>
          <w:color w:val="000000"/>
          <w:szCs w:val="21"/>
          <w:highlight w:val="none"/>
          <w:u w:val="single"/>
          <w:lang w:val="en-US" w:eastAsia="zh-CN"/>
        </w:rPr>
      </w:r>
      <w:r/>
    </w:p>
    <w:p>
      <w:pPr>
        <w:pStyle w:val="826"/>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4.联合体投标</w:t>
      </w:r>
      <w:r>
        <w:rPr>
          <w:rFonts w:hint="eastAsia" w:ascii="宋体" w:hAnsi="宋体"/>
          <w:color w:val="000000"/>
          <w:szCs w:val="21"/>
          <w:highlight w:val="none"/>
        </w:rPr>
      </w:r>
      <w:r/>
    </w:p>
    <w:tbl>
      <w:tblPr>
        <w:tblW w:w="498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dxa"/>
            <w:vAlign w:val="top"/>
            <w:textDirection w:val="lrTb"/>
            <w:noWrap w:val="false"/>
          </w:tcPr>
          <w:p>
            <w:pPr>
              <w:pStyle w:val="8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采购包号</w:t>
            </w:r>
            <w:r>
              <w:rPr>
                <w:rFonts w:hint="eastAsia" w:ascii="宋体" w:hAnsi="宋体" w:cs="宋体"/>
                <w:color w:val="000000"/>
                <w:szCs w:val="21"/>
                <w:highlight w:val="none"/>
              </w:rPr>
            </w:r>
            <w:r/>
          </w:p>
        </w:tc>
        <w:tc>
          <w:tcPr>
            <w:tcW w:w="1793" w:type="dxa"/>
            <w:vAlign w:val="top"/>
            <w:textDirection w:val="lrTb"/>
            <w:noWrap w:val="false"/>
          </w:tcPr>
          <w:p>
            <w:pPr>
              <w:pStyle w:val="8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是否接受联合体投标（是/否）</w:t>
            </w:r>
            <w:r>
              <w:rPr>
                <w:rFonts w:hint="eastAsia" w:ascii="宋体" w:hAnsi="宋体" w:cs="宋体"/>
                <w:color w:val="000000"/>
                <w:szCs w:val="21"/>
                <w:highlight w:val="none"/>
              </w:rPr>
            </w:r>
            <w:r/>
          </w:p>
        </w:tc>
        <w:tc>
          <w:tcPr>
            <w:tcW w:w="1900" w:type="dxa"/>
            <w:vAlign w:val="top"/>
            <w:textDirection w:val="lrTb"/>
            <w:noWrap w:val="false"/>
          </w:tcPr>
          <w:p>
            <w:pPr>
              <w:pStyle w:val="82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该采购包中联合体成员数量上限</w:t>
            </w:r>
            <w:r>
              <w:rPr>
                <w:rFonts w:hint="eastAsia" w:ascii="宋体" w:hAnsi="宋体" w:cs="宋体"/>
                <w:color w:val="000000"/>
                <w:szCs w:val="21"/>
                <w:highlight w:val="none"/>
              </w:rPr>
            </w:r>
            <w:r/>
          </w:p>
        </w:tc>
      </w:tr>
      <w:tr>
        <w:trPr/>
        <w:tc>
          <w:tcPr>
            <w:tcW w:w="1305" w:type="dxa"/>
            <w:vAlign w:val="top"/>
            <w:textDirection w:val="lrTb"/>
            <w:noWrap w:val="false"/>
          </w:tcPr>
          <w:p>
            <w:pPr>
              <w:pStyle w:val="826"/>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93" w:type="dxa"/>
            <w:vAlign w:val="top"/>
            <w:textDirection w:val="lrTb"/>
            <w:noWrap w:val="false"/>
          </w:tcPr>
          <w:p>
            <w:pPr>
              <w:pStyle w:val="826"/>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c>
          <w:tcPr>
            <w:tcW w:w="1900" w:type="dxa"/>
            <w:vAlign w:val="top"/>
            <w:textDirection w:val="lrTb"/>
            <w:noWrap w:val="false"/>
          </w:tcPr>
          <w:p>
            <w:pPr>
              <w:pStyle w:val="826"/>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（二）本项目的特定资格要求：</w:t>
      </w:r>
      <w:r>
        <w:rPr>
          <w:rFonts w:hint="eastAsia" w:ascii="宋体" w:hAnsi="宋体" w:cs="宋体"/>
          <w:color w:val="000000"/>
          <w:szCs w:val="21"/>
          <w:highlight w:val="none"/>
        </w:rPr>
      </w:r>
      <w:r/>
    </w:p>
    <w:tbl>
      <w:tblPr>
        <w:tblW w:w="30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采购包号</w:t>
            </w:r>
            <w:r>
              <w:rPr>
                <w:rFonts w:hint="eastAsia" w:ascii="宋体" w:hAnsi="宋体"/>
                <w:color w:val="000000"/>
                <w:szCs w:val="21"/>
                <w:highlight w:val="none"/>
              </w:rPr>
            </w:r>
            <w:r/>
          </w:p>
        </w:tc>
        <w:tc>
          <w:tcPr>
            <w:tcW w:w="2864"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特定</w:t>
            </w:r>
            <w:r>
              <w:rPr>
                <w:rFonts w:ascii="宋体" w:hAnsi="宋体"/>
                <w:color w:val="000000"/>
                <w:szCs w:val="21"/>
                <w:highlight w:val="none"/>
              </w:rPr>
              <w:t xml:space="preserve">资格要求</w:t>
            </w:r>
            <w:r>
              <w:rPr>
                <w:rFonts w:hint="eastAsia" w:ascii="宋体" w:hAnsi="宋体"/>
                <w:color w:val="000000"/>
                <w:szCs w:val="21"/>
                <w:highlight w:val="none"/>
              </w:rPr>
            </w:r>
            <w:r/>
          </w:p>
        </w:tc>
      </w:tr>
      <w:tr>
        <w:trPr>
          <w:trHeight w:val="435"/>
        </w:trPr>
        <w:tc>
          <w:tcPr>
            <w:tcW w:w="2135"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2864" w:type="dxa"/>
            <w:vAlign w:val="top"/>
            <w:textDirection w:val="lrTb"/>
            <w:noWrap w:val="false"/>
          </w:tcPr>
          <w:p>
            <w:pPr>
              <w:pStyle w:val="826"/>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无</w:t>
            </w:r>
            <w:r>
              <w:rPr>
                <w:rFonts w:hint="eastAsia" w:ascii="宋体" w:hAnsi="宋体"/>
                <w:color w:val="000000"/>
                <w:szCs w:val="21"/>
                <w:highlight w:val="none"/>
              </w:rPr>
            </w:r>
            <w:r/>
          </w:p>
        </w:tc>
      </w:tr>
    </w:tbl>
    <w:p>
      <w:pPr>
        <w:pStyle w:val="82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（三）其它资格条件：</w:t>
      </w:r>
      <w:r>
        <w:rPr>
          <w:rFonts w:hint="eastAsia" w:ascii="宋体" w:hAnsi="宋体" w:cs="宋体"/>
          <w:color w:val="000000"/>
          <w:szCs w:val="24"/>
          <w:highlight w:val="none"/>
        </w:rPr>
      </w:r>
      <w:r/>
    </w:p>
    <w:p>
      <w:pPr>
        <w:pStyle w:val="82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（1）单位负责人为同一人或者存在直接控股、管理关系的不同供应商，不得参加同一合同项下的政府采购活动；</w:t>
      </w:r>
      <w:r>
        <w:rPr>
          <w:rFonts w:hint="eastAsia" w:ascii="宋体" w:hAnsi="宋体" w:cs="宋体"/>
          <w:color w:val="000000"/>
          <w:szCs w:val="24"/>
          <w:highlight w:val="none"/>
        </w:rPr>
      </w:r>
      <w:r/>
    </w:p>
    <w:p>
      <w:pPr>
        <w:pStyle w:val="826"/>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（2）除单一来源采购项目外，为采购项目提供整体设计、规范编制或者项目管理、监理、检测等服务的供应商，不得再参加该采购项目的其他采购活动；</w:t>
      </w:r>
      <w:r>
        <w:rPr>
          <w:rFonts w:hint="eastAsia" w:ascii="宋体" w:hAnsi="宋体" w:cs="宋体"/>
          <w:color w:val="000000"/>
          <w:szCs w:val="24"/>
          <w:highlight w:val="none"/>
        </w:rPr>
      </w:r>
      <w:r/>
    </w:p>
    <w:p>
      <w:pPr>
        <w:pStyle w:val="826"/>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三、获取招标文件</w:t>
      </w:r>
      <w:bookmarkEnd w:id="13"/>
      <w:r/>
      <w:bookmarkEnd w:id="14"/>
      <w:r/>
      <w:bookmarkEnd w:id="15"/>
      <w:r/>
      <w:bookmarkEnd w:id="16"/>
      <w:r/>
      <w:bookmarkEnd w:id="17"/>
      <w:r>
        <w:rPr>
          <w:rFonts w:hint="eastAsia" w:ascii="宋体" w:hAnsi="宋体" w:cs="宋体"/>
          <w:b/>
          <w:bCs/>
          <w:color w:val="000000"/>
          <w:highlight w:val="none"/>
        </w:rPr>
      </w:r>
      <w:r/>
    </w:p>
    <w:p>
      <w:pPr>
        <w:pStyle w:val="826"/>
        <w:ind w:firstLine="420"/>
        <w:spacing w:line="360" w:lineRule="auto"/>
        <w:rPr>
          <w:rFonts w:hint="eastAsia" w:ascii="宋体" w:hAnsi="宋体" w:cs="宋体"/>
          <w:color w:val="000000"/>
          <w:highlight w:val="none"/>
        </w:rPr>
      </w:pPr>
      <w:r/>
      <w:bookmarkStart w:id="18" w:name="_Toc28359005"/>
      <w:r/>
      <w:bookmarkStart w:id="19" w:name="_Toc28359082"/>
      <w:r/>
      <w:bookmarkStart w:id="20" w:name="_Toc38985266"/>
      <w:r/>
      <w:bookmarkStart w:id="21" w:name="_Toc35393624"/>
      <w:r/>
      <w:bookmarkStart w:id="22" w:name="_Toc35393793"/>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hint="eastAsia" w:ascii="宋体" w:hAnsi="宋体" w:cs="宋体"/>
          <w:color w:val="000000"/>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2.获取方式：“江苏政府采购网”“中国政府采购网”“</w:t>
      </w:r>
      <w:r>
        <w:rPr>
          <w:rFonts w:hint="eastAsia" w:ascii="宋体" w:hAnsi="宋体" w:cs="宋体"/>
          <w:color w:val="000000"/>
          <w:szCs w:val="21"/>
          <w:highlight w:val="none"/>
          <w:lang w:eastAsia="zh-CN"/>
        </w:rPr>
        <w:t xml:space="preserve">扬州大学附属医院网</w:t>
      </w:r>
      <w:r>
        <w:rPr>
          <w:rFonts w:hint="eastAsia" w:ascii="宋体" w:hAnsi="宋体" w:cs="宋体"/>
          <w:color w:val="000000"/>
          <w:szCs w:val="21"/>
          <w:highlight w:val="none"/>
        </w:rPr>
        <w:t xml:space="preserve">”自行免费下载招标文件。</w:t>
      </w:r>
      <w:r>
        <w:rPr>
          <w:rFonts w:hint="eastAsia" w:ascii="宋体" w:hAnsi="宋体" w:cs="宋体"/>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3.潜在供应商访问政府采购管理交易系统（苏采云）的网络地址和方法：</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highlight w:val="none"/>
        </w:rPr>
      </w:r>
      <w:r/>
    </w:p>
    <w:p>
      <w:pPr>
        <w:pStyle w:val="826"/>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（3）“CA数字证书”的办理材料以及供应商操作手册详见：http://zfcg.yangzhou.gov.cn/xzzx/art/2023/art_4d7de1f7865f4a2894fc22bc452f94d8.html</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（4）潜在供应商访问“苏采云”系统的网络地址和方法：“苏采云”系统的网址：https://jszfcg.jsczt.cn/jszc/login 。</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hint="eastAsia" w:ascii="宋体" w:hAnsi="宋体" w:cs="宋体"/>
          <w:b/>
          <w:bCs/>
          <w:color w:val="000000"/>
          <w:szCs w:val="21"/>
          <w:highlight w:val="none"/>
        </w:rPr>
      </w:r>
      <w:r/>
    </w:p>
    <w:p>
      <w:pPr>
        <w:pStyle w:val="826"/>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四、提交投标文件</w:t>
      </w:r>
      <w:bookmarkEnd w:id="18"/>
      <w:r/>
      <w:bookmarkEnd w:id="19"/>
      <w:r>
        <w:rPr>
          <w:rFonts w:hint="eastAsia" w:ascii="宋体" w:hAnsi="宋体" w:cs="宋体"/>
          <w:b/>
          <w:bCs/>
          <w:color w:val="000000"/>
          <w:highlight w:val="none"/>
        </w:rPr>
        <w:t xml:space="preserve">截止时间、开标时间和地点</w:t>
      </w:r>
      <w:bookmarkEnd w:id="20"/>
      <w:r/>
      <w:bookmarkEnd w:id="21"/>
      <w:r/>
      <w:bookmarkEnd w:id="22"/>
      <w:r>
        <w:rPr>
          <w:rFonts w:hint="eastAsia" w:ascii="宋体" w:hAnsi="宋体" w:cs="宋体"/>
          <w:b/>
          <w:bCs/>
          <w:color w:val="000000"/>
          <w:highlight w:val="none"/>
        </w:rPr>
      </w:r>
      <w:r/>
    </w:p>
    <w:p>
      <w:pPr>
        <w:pStyle w:val="826"/>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color w:val="ff0000"/>
          <w:highlight w:val="none"/>
          <w:u w:val="single"/>
        </w:rPr>
        <w:t xml:space="preserve">2026年11月</w:t>
      </w:r>
      <w:r>
        <w:rPr>
          <w:rFonts w:hint="eastAsia" w:ascii="宋体" w:hAnsi="宋体" w:cs="宋体"/>
          <w:color w:val="ff0000"/>
          <w:highlight w:val="none"/>
          <w:u w:val="single"/>
          <w:lang w:val="en-US" w:eastAsia="zh-CN"/>
        </w:rPr>
        <w:t xml:space="preserve">6</w:t>
      </w:r>
      <w:r>
        <w:rPr>
          <w:rFonts w:hint="eastAsia" w:ascii="宋体" w:hAnsi="宋体" w:cs="宋体"/>
          <w:color w:val="ff0000"/>
          <w:highlight w:val="none"/>
          <w:u w:val="single"/>
        </w:rPr>
        <w:t xml:space="preserve">日上午9：30</w:t>
      </w:r>
      <w:r>
        <w:rPr>
          <w:rFonts w:hint="eastAsia" w:ascii="宋体" w:hAnsi="宋体" w:cs="宋体"/>
          <w:color w:val="000000"/>
          <w:highlight w:val="none"/>
        </w:rPr>
        <w:t xml:space="preserve">（北京时间）</w:t>
      </w:r>
      <w:r>
        <w:rPr>
          <w:rFonts w:hint="eastAsia" w:ascii="宋体" w:hAnsi="宋体" w:cs="宋体"/>
          <w:bCs/>
          <w:color w:val="000000"/>
          <w:szCs w:val="21"/>
          <w:highlight w:val="none"/>
          <w:u w:val="single"/>
        </w:rPr>
      </w:r>
      <w:r/>
    </w:p>
    <w:p>
      <w:pPr>
        <w:pStyle w:val="826"/>
        <w:ind w:firstLine="420"/>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2.开标地点：“苏采云”政府采购交易系统</w:t>
      </w:r>
      <w:r>
        <w:rPr>
          <w:rFonts w:hint="eastAsia" w:ascii="宋体" w:hAnsi="宋体" w:cs="宋体"/>
          <w:b/>
          <w:color w:val="000000"/>
          <w:szCs w:val="21"/>
          <w:highlight w:val="none"/>
        </w:rPr>
      </w:r>
      <w:r/>
    </w:p>
    <w:p>
      <w:pPr>
        <w:pStyle w:val="826"/>
        <w:ind w:firstLine="422"/>
        <w:spacing w:line="360" w:lineRule="auto"/>
        <w:tabs>
          <w:tab w:val="left" w:pos="266" w:leader="none"/>
        </w:tabs>
        <w:rPr>
          <w:rFonts w:hint="eastAsia" w:ascii="宋体" w:hAnsi="宋体" w:cs="宋体"/>
          <w:b/>
          <w:bCs/>
          <w:color w:val="000000"/>
          <w:highlight w:val="none"/>
        </w:rPr>
      </w:pPr>
      <w:r/>
      <w:bookmarkStart w:id="23" w:name="_Toc28359007"/>
      <w:r/>
      <w:bookmarkStart w:id="24" w:name="_Toc38985267"/>
      <w:r/>
      <w:bookmarkStart w:id="25" w:name="_Toc35393625"/>
      <w:r/>
      <w:bookmarkStart w:id="26" w:name="_Toc28359084"/>
      <w:r/>
      <w:bookmarkStart w:id="27" w:name="_Toc35393794"/>
      <w:r>
        <w:rPr>
          <w:rFonts w:hint="eastAsia" w:ascii="宋体" w:hAnsi="宋体" w:cs="宋体"/>
          <w:b/>
          <w:bCs/>
          <w:color w:val="000000"/>
          <w:highlight w:val="none"/>
        </w:rPr>
        <w:t xml:space="preserve">五、公告期限</w:t>
      </w:r>
      <w:bookmarkEnd w:id="23"/>
      <w:r/>
      <w:bookmarkEnd w:id="24"/>
      <w:r/>
      <w:bookmarkEnd w:id="25"/>
      <w:r/>
      <w:bookmarkEnd w:id="26"/>
      <w:r/>
      <w:bookmarkEnd w:id="27"/>
      <w:r>
        <w:rPr>
          <w:rFonts w:hint="eastAsia" w:ascii="宋体" w:hAnsi="宋体" w:cs="宋体"/>
          <w:b/>
          <w:bCs/>
          <w:color w:val="000000"/>
          <w:highlight w:val="none"/>
        </w:rPr>
      </w:r>
      <w:r/>
    </w:p>
    <w:p>
      <w:pPr>
        <w:pStyle w:val="826"/>
        <w:ind w:firstLine="420"/>
        <w:spacing w:line="360" w:lineRule="auto"/>
        <w:rPr>
          <w:rFonts w:hint="eastAsia" w:ascii="宋体" w:hAnsi="宋体" w:cs="宋体"/>
          <w:color w:val="000000"/>
          <w:highlight w:val="none"/>
        </w:rPr>
      </w:pPr>
      <w:r/>
      <w:bookmarkStart w:id="28" w:name="_Toc38985268"/>
      <w:r/>
      <w:bookmarkStart w:id="29" w:name="_Toc35393795"/>
      <w:r/>
      <w:bookmarkStart w:id="30" w:name="_Toc35393626"/>
      <w:r>
        <w:rPr>
          <w:rFonts w:hint="eastAsia" w:ascii="宋体" w:hAnsi="宋体" w:cs="宋体"/>
          <w:color w:val="000000"/>
          <w:highlight w:val="none"/>
        </w:rPr>
        <w:t xml:space="preserve">招标公告及招标文件公告期限为自本公告发布之日起5个工作日。</w:t>
      </w:r>
      <w:r>
        <w:rPr>
          <w:rFonts w:hint="eastAsia" w:ascii="宋体" w:hAnsi="宋体" w:cs="宋体"/>
          <w:color w:val="000000"/>
          <w:highlight w:val="none"/>
        </w:rPr>
      </w:r>
      <w:r/>
    </w:p>
    <w:p>
      <w:pPr>
        <w:pStyle w:val="826"/>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六、其他补充事宜</w:t>
      </w:r>
      <w:bookmarkEnd w:id="28"/>
      <w:r/>
      <w:bookmarkEnd w:id="29"/>
      <w:r/>
      <w:bookmarkEnd w:id="30"/>
      <w:r>
        <w:rPr>
          <w:rFonts w:hint="eastAsia" w:ascii="宋体" w:hAnsi="宋体" w:cs="宋体"/>
          <w:b/>
          <w:bCs/>
          <w:color w:val="000000"/>
          <w:highlight w:val="none"/>
        </w:rPr>
      </w:r>
      <w:r/>
    </w:p>
    <w:p>
      <w:pPr>
        <w:pStyle w:val="826"/>
        <w:ind w:firstLine="422"/>
        <w:jc w:val="left"/>
        <w:spacing w:line="360" w:lineRule="auto"/>
        <w:rPr>
          <w:rFonts w:hint="eastAsia" w:ascii="宋体" w:hAnsi="宋体" w:cs="宋体"/>
          <w:b/>
          <w:bCs/>
          <w:color w:val="000000"/>
          <w:highlight w:val="none"/>
        </w:rPr>
      </w:pPr>
      <w:r/>
      <w:bookmarkStart w:id="31" w:name="_Toc38985269"/>
      <w:r/>
      <w:bookmarkStart w:id="32" w:name="_Toc28359008"/>
      <w:r/>
      <w:bookmarkStart w:id="33" w:name="_Toc35393796"/>
      <w:r/>
      <w:bookmarkStart w:id="34" w:name="_Toc28359085"/>
      <w:r/>
      <w:bookmarkStart w:id="35" w:name="_Toc35393627"/>
      <w:r>
        <w:rPr>
          <w:rFonts w:hint="eastAsia" w:ascii="宋体" w:hAnsi="宋体" w:cs="宋体"/>
          <w:b/>
          <w:bCs/>
          <w:color w:val="00000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b/>
          <w:bCs/>
          <w:color w:val="000000"/>
          <w:szCs w:val="21"/>
          <w:highlight w:val="none"/>
        </w:rPr>
        <w:t xml:space="preserve">http://zfcg.yangzhou.gov.cn/xzzx/art/2023/art_4d7de1f7865f4a2894fc22bc452f94d8.html</w:t>
      </w:r>
      <w:r>
        <w:rPr>
          <w:rFonts w:hint="eastAsia" w:ascii="宋体" w:hAnsi="宋体" w:cs="宋体"/>
          <w:b/>
          <w:bCs/>
          <w:color w:val="000000"/>
          <w:highlight w:val="none"/>
        </w:rPr>
      </w:r>
      <w:r/>
    </w:p>
    <w:p>
      <w:pPr>
        <w:pStyle w:val="826"/>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highlight w:val="none"/>
        </w:rPr>
        <w:t xml:space="preserve">领取CA和办理电子签章（请至扬州市文昌东路9号广陵新城市民中心1号楼5楼办理，具体联系方式：18952716110）。</w:t>
      </w:r>
      <w:r>
        <w:rPr>
          <w:rFonts w:hint="eastAsia" w:ascii="宋体" w:hAnsi="宋体" w:cs="宋体"/>
          <w:b/>
          <w:bCs/>
          <w:color w:val="000000"/>
          <w:szCs w:val="21"/>
          <w:highlight w:val="none"/>
        </w:rPr>
      </w:r>
      <w:r/>
    </w:p>
    <w:p>
      <w:pPr>
        <w:pStyle w:val="826"/>
        <w:ind w:firstLine="420"/>
        <w:spacing w:line="360" w:lineRule="auto"/>
        <w:rPr>
          <w:rFonts w:hint="eastAsia" w:ascii="宋体" w:hAnsi="宋体" w:cs="宋体"/>
          <w:bCs/>
          <w:color w:val="000000"/>
          <w:highlight w:val="none"/>
        </w:rPr>
      </w:pPr>
      <w:r>
        <w:rPr>
          <w:rFonts w:hint="eastAsia" w:ascii="宋体" w:hAnsi="宋体" w:cs="宋体"/>
          <w:bCs/>
          <w:color w:val="000000"/>
          <w:szCs w:val="21"/>
          <w:highlight w:val="none"/>
        </w:rPr>
        <w:t xml:space="preserve">2.</w:t>
      </w:r>
      <w:r>
        <w:rPr>
          <w:rFonts w:hint="eastAsia" w:ascii="宋体" w:hAnsi="宋体" w:cs="宋体"/>
          <w:color w:val="000000"/>
          <w:highlight w:val="none"/>
        </w:rPr>
        <w:t xml:space="preserve">本次招标不收取投标保证金。</w:t>
      </w:r>
      <w:r>
        <w:rPr>
          <w:rFonts w:hint="eastAsia" w:ascii="宋体" w:hAnsi="宋体" w:cs="宋体"/>
          <w:bCs/>
          <w:color w:val="000000"/>
          <w:highlight w:val="none"/>
        </w:rPr>
      </w:r>
      <w:r/>
    </w:p>
    <w:p>
      <w:pPr>
        <w:pStyle w:val="826"/>
        <w:ind w:firstLine="420"/>
        <w:spacing w:line="360" w:lineRule="auto"/>
        <w:rPr>
          <w:rFonts w:hint="eastAsia" w:ascii="宋体" w:hAnsi="宋体" w:cs="宋体"/>
          <w:bCs/>
          <w:color w:val="000000"/>
          <w:highlight w:val="none"/>
        </w:rPr>
      </w:pPr>
      <w:r>
        <w:rPr>
          <w:rFonts w:hint="eastAsia" w:ascii="宋体" w:hAnsi="宋体" w:cs="宋体"/>
          <w:color w:val="000000"/>
          <w:szCs w:val="21"/>
          <w:highlight w:val="none"/>
        </w:rPr>
        <w:t xml:space="preserve">3.有关本次招标的事项若存在变动或修改，</w:t>
      </w:r>
      <w:r>
        <w:rPr>
          <w:rFonts w:hint="eastAsia" w:ascii="宋体" w:hAnsi="宋体" w:cs="宋体"/>
          <w:bCs/>
          <w:color w:val="000000"/>
          <w:highlight w:val="none"/>
        </w:rPr>
        <w:t xml:space="preserve">敬请及时关注</w:t>
      </w:r>
      <w:r>
        <w:rPr>
          <w:rFonts w:hint="eastAsia" w:ascii="宋体" w:hAnsi="宋体" w:cs="宋体"/>
          <w:bCs/>
          <w:color w:val="000000"/>
          <w:szCs w:val="21"/>
          <w:highlight w:val="none"/>
        </w:rPr>
        <w:t xml:space="preserve">“江苏政府采购网”“中国政府采购网”“</w:t>
      </w:r>
      <w:r>
        <w:rPr>
          <w:rFonts w:hint="eastAsia" w:ascii="宋体" w:hAnsi="宋体" w:cs="宋体"/>
          <w:bCs/>
          <w:color w:val="000000"/>
          <w:szCs w:val="21"/>
          <w:highlight w:val="none"/>
          <w:lang w:eastAsia="zh-CN"/>
        </w:rPr>
        <w:t xml:space="preserve">扬州大学附属医院网</w:t>
      </w:r>
      <w:r>
        <w:rPr>
          <w:rFonts w:hint="eastAsia" w:ascii="宋体" w:hAnsi="宋体" w:cs="宋体"/>
          <w:bCs/>
          <w:color w:val="000000"/>
          <w:szCs w:val="21"/>
          <w:highlight w:val="none"/>
        </w:rPr>
        <w:t xml:space="preserve">”</w:t>
      </w:r>
      <w:r>
        <w:rPr>
          <w:rFonts w:hint="eastAsia" w:ascii="宋体" w:hAnsi="宋体" w:cs="宋体"/>
          <w:bCs/>
          <w:color w:val="000000"/>
          <w:highlight w:val="none"/>
        </w:rPr>
        <w:t xml:space="preserve">发布的更正公告。</w:t>
      </w:r>
      <w:r>
        <w:rPr>
          <w:rFonts w:hint="eastAsia" w:ascii="宋体" w:hAnsi="宋体" w:cs="宋体"/>
          <w:bCs/>
          <w:color w:val="000000"/>
          <w:highlight w:val="none"/>
        </w:rPr>
      </w:r>
      <w:r/>
    </w:p>
    <w:p>
      <w:pPr>
        <w:pStyle w:val="826"/>
        <w:ind w:firstLine="422"/>
        <w:spacing w:line="360" w:lineRule="auto"/>
        <w:tabs>
          <w:tab w:val="left" w:pos="266" w:leader="none"/>
        </w:tabs>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4.本项目招标文件中所有斜体下划线部分为实质性条款，如不满足，则为无效投标。</w:t>
      </w:r>
      <w:r>
        <w:rPr>
          <w:rFonts w:hint="eastAsia" w:ascii="宋体" w:hAnsi="宋体" w:cs="宋体"/>
          <w:b/>
          <w:i/>
          <w:iCs/>
          <w:color w:val="000000"/>
          <w:highlight w:val="none"/>
          <w:u w:val="single"/>
        </w:rPr>
      </w:r>
      <w:r/>
    </w:p>
    <w:p>
      <w:pPr>
        <w:pStyle w:val="826"/>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5.如在开标时间发生系统崩溃等不可预见的情况，造成开评标活动无法正常进行的，将延迟开评标，具体开评标时间另行通知。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826"/>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6.为落实好政府采购履约资金扶持政策，中标/成交供应商可凭政府采购合同办理融资贷款，详见江苏政府采购网“政采贷”专栏。</w:t>
      </w:r>
      <w:r>
        <w:rPr>
          <w:rFonts w:hint="eastAsia" w:ascii="宋体" w:hAnsi="宋体" w:cs="宋体"/>
          <w:bCs/>
          <w:color w:val="000000"/>
          <w:highlight w:val="none"/>
        </w:rPr>
      </w:r>
      <w:r/>
    </w:p>
    <w:p>
      <w:pPr>
        <w:pStyle w:val="826"/>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7.本项目严格执行政府采购关于支持节能产品、环境</w:t>
      </w:r>
      <w:r>
        <w:rPr>
          <w:rFonts w:hint="eastAsia" w:ascii="宋体" w:hAnsi="宋体" w:cs="宋体"/>
          <w:bCs/>
          <w:color w:val="000000"/>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bCs/>
          <w:color w:val="000000"/>
          <w:highlight w:val="none"/>
        </w:rPr>
      </w:r>
      <w:r/>
    </w:p>
    <w:p>
      <w:pPr>
        <w:pStyle w:val="826"/>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8.供应商对于所投货物的包装应按照“财办库〔2020〕123号《关于印发《商品包装政府采购需求标准（试行）》《快递包装政府采购需求标准（试行）》的通知》”执行。</w:t>
      </w:r>
      <w:r>
        <w:rPr>
          <w:rFonts w:hint="eastAsia" w:ascii="宋体" w:hAnsi="宋体" w:cs="宋体"/>
          <w:bCs/>
          <w:color w:val="000000"/>
          <w:highlight w:val="none"/>
        </w:rPr>
      </w:r>
      <w:r/>
    </w:p>
    <w:p>
      <w:pPr>
        <w:pStyle w:val="826"/>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9.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bCs/>
          <w:color w:val="000000"/>
          <w:highlight w:val="none"/>
        </w:rPr>
      </w:r>
      <w:r/>
    </w:p>
    <w:p>
      <w:pPr>
        <w:pStyle w:val="826"/>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七、本次招标联系方式</w:t>
      </w:r>
      <w:bookmarkEnd w:id="31"/>
      <w:r/>
      <w:bookmarkEnd w:id="32"/>
      <w:r/>
      <w:bookmarkEnd w:id="33"/>
      <w:r/>
      <w:bookmarkEnd w:id="34"/>
      <w:r/>
      <w:bookmarkEnd w:id="35"/>
      <w:r>
        <w:rPr>
          <w:rFonts w:hint="eastAsia" w:ascii="宋体" w:hAnsi="宋体" w:cs="宋体"/>
          <w:b/>
          <w:bCs/>
          <w:color w:val="000000"/>
          <w:highlight w:val="none"/>
        </w:rPr>
      </w:r>
      <w:r/>
    </w:p>
    <w:p>
      <w:pPr>
        <w:pStyle w:val="826"/>
        <w:ind w:firstLine="420"/>
        <w:jc w:val="left"/>
        <w:spacing w:line="360" w:lineRule="auto"/>
        <w:widowControl/>
        <w:rPr>
          <w:rFonts w:hint="eastAsia" w:ascii="宋体" w:hAnsi="宋体" w:cs="宋体"/>
          <w:color w:val="000000"/>
          <w:szCs w:val="21"/>
          <w:highlight w:val="none"/>
        </w:rPr>
      </w:pPr>
      <w:r/>
      <w:bookmarkStart w:id="36" w:name="_Toc28359087"/>
      <w:r/>
      <w:bookmarkStart w:id="37" w:name="_Toc28359010"/>
      <w:r>
        <w:rPr>
          <w:rFonts w:hint="eastAsia" w:ascii="宋体" w:hAnsi="宋体" w:cs="宋体"/>
          <w:color w:val="000000"/>
          <w:highlight w:val="none"/>
        </w:rPr>
        <w:t xml:space="preserve">1.采购人信息</w:t>
      </w:r>
      <w:r>
        <w:rPr>
          <w:rFonts w:hint="eastAsia" w:ascii="宋体" w:hAnsi="宋体" w:cs="宋体"/>
          <w:color w:val="000000"/>
          <w:szCs w:val="21"/>
          <w:highlight w:val="none"/>
        </w:rPr>
      </w:r>
      <w:r/>
    </w:p>
    <w:p>
      <w:pPr>
        <w:pStyle w:val="826"/>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s="宋体"/>
          <w:color w:val="000000"/>
          <w:szCs w:val="21"/>
          <w:highlight w:val="none"/>
        </w:rPr>
        <w:t xml:space="preserve">扬州大学附属医院</w:t>
      </w:r>
      <w:r>
        <w:rPr>
          <w:rFonts w:hint="eastAsia" w:ascii="宋体" w:hAnsi="宋体" w:cs="宋体"/>
          <w:color w:val="000000"/>
          <w:highlight w:val="none"/>
        </w:rPr>
      </w:r>
      <w:r/>
    </w:p>
    <w:p>
      <w:pPr>
        <w:pStyle w:val="826"/>
        <w:ind w:firstLine="420"/>
        <w:jc w:val="left"/>
        <w:spacing w:line="360" w:lineRule="auto"/>
        <w:rPr>
          <w:rFonts w:hint="eastAsia" w:ascii="宋体" w:hAnsi="宋体" w:cs="宋体"/>
          <w:color w:val="000000"/>
          <w:highlight w:val="none"/>
        </w:rPr>
      </w:pPr>
      <w:r/>
      <w:bookmarkStart w:id="38" w:name="_Toc28359009"/>
      <w:r/>
      <w:bookmarkStart w:id="39" w:name="_Toc28359086"/>
      <w:r>
        <w:rPr>
          <w:rFonts w:hint="eastAsia" w:ascii="宋体" w:hAnsi="宋体" w:cs="宋体"/>
          <w:color w:val="000000"/>
          <w:highlight w:val="none"/>
        </w:rPr>
        <w:t xml:space="preserve">地 址：扬州市邗江中路368号</w:t>
      </w:r>
      <w:r>
        <w:rPr>
          <w:rFonts w:hint="eastAsia" w:ascii="宋体" w:hAnsi="宋体" w:cs="宋体"/>
          <w:color w:val="000000"/>
          <w:highlight w:val="none"/>
        </w:rPr>
      </w:r>
      <w:r/>
    </w:p>
    <w:p>
      <w:pPr>
        <w:pStyle w:val="826"/>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联系人：张主任 </w:t>
      </w:r>
      <w:r>
        <w:rPr>
          <w:rFonts w:hint="eastAsia" w:ascii="宋体" w:hAnsi="宋体" w:cs="宋体"/>
          <w:color w:val="000000"/>
          <w:highlight w:val="none"/>
        </w:rPr>
      </w:r>
      <w:r/>
    </w:p>
    <w:p>
      <w:pPr>
        <w:pStyle w:val="826"/>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联系方式：0514-8209955</w:t>
      </w:r>
      <w:r>
        <w:rPr>
          <w:rFonts w:hint="eastAsia" w:ascii="宋体" w:hAnsi="宋体" w:cs="宋体"/>
          <w:color w:val="000000"/>
          <w:highlight w:val="none"/>
          <w:lang w:val="en-US" w:eastAsia="zh-CN"/>
        </w:rPr>
        <w:t xml:space="preserve">2</w:t>
      </w:r>
      <w:r>
        <w:rPr>
          <w:rFonts w:hint="eastAsia" w:ascii="宋体" w:hAnsi="宋体" w:eastAsia="宋体" w:cs="宋体"/>
          <w:color w:val="000000"/>
          <w:szCs w:val="21"/>
          <w:highlight w:val="none"/>
          <w:lang w:eastAsia="zh-CN"/>
        </w:rPr>
      </w:r>
      <w:r/>
    </w:p>
    <w:p>
      <w:pPr>
        <w:pStyle w:val="826"/>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2.采购代理机构信息</w:t>
      </w:r>
      <w:bookmarkEnd w:id="38"/>
      <w:r/>
      <w:bookmarkEnd w:id="39"/>
      <w:r>
        <w:rPr>
          <w:rFonts w:hint="eastAsia" w:ascii="宋体" w:hAnsi="宋体" w:cs="宋体"/>
          <w:color w:val="000000"/>
          <w:highlight w:val="none"/>
        </w:rPr>
      </w:r>
      <w:r/>
    </w:p>
    <w:p>
      <w:pPr>
        <w:pStyle w:val="8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szCs w:val="21"/>
          <w:highlight w:val="none"/>
        </w:rPr>
        <w:t xml:space="preserve">江苏苏维工程管理有限公司</w:t>
      </w:r>
      <w:r>
        <w:rPr>
          <w:rFonts w:hint="eastAsia" w:ascii="宋体" w:hAnsi="宋体" w:cs="宋体"/>
          <w:color w:val="000000"/>
          <w:highlight w:val="none"/>
        </w:rPr>
      </w:r>
      <w:r/>
    </w:p>
    <w:p>
      <w:pPr>
        <w:pStyle w:val="8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s="宋体"/>
          <w:color w:val="000000"/>
          <w:szCs w:val="21"/>
          <w:highlight w:val="none"/>
        </w:rPr>
        <w:t xml:space="preserve">扬州市翠岗路48号</w:t>
      </w:r>
      <w:r>
        <w:rPr>
          <w:rFonts w:hint="eastAsia" w:ascii="宋体" w:hAnsi="宋体" w:cs="宋体"/>
          <w:color w:val="000000"/>
          <w:highlight w:val="none"/>
        </w:rPr>
      </w:r>
      <w:r/>
    </w:p>
    <w:p>
      <w:pPr>
        <w:pStyle w:val="8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联系人：</w:t>
      </w:r>
      <w:r>
        <w:rPr>
          <w:rFonts w:hint="eastAsia" w:ascii="宋体" w:hAnsi="宋体" w:cs="宋体"/>
          <w:color w:val="000000"/>
          <w:szCs w:val="21"/>
          <w:highlight w:val="none"/>
        </w:rPr>
        <w:t xml:space="preserve">陈秋萍、阮玉婷</w:t>
      </w:r>
      <w:r>
        <w:rPr>
          <w:rFonts w:hint="eastAsia" w:ascii="宋体" w:hAnsi="宋体" w:cs="宋体"/>
          <w:color w:val="000000"/>
          <w:highlight w:val="none"/>
        </w:rPr>
      </w:r>
      <w:r/>
    </w:p>
    <w:p>
      <w:pPr>
        <w:pStyle w:val="826"/>
        <w:ind w:firstLine="420"/>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联系方式：</w:t>
      </w:r>
      <w:r>
        <w:rPr>
          <w:rFonts w:hint="eastAsia" w:ascii="宋体" w:hAnsi="宋体" w:cs="宋体"/>
          <w:color w:val="000000"/>
          <w:szCs w:val="21"/>
          <w:highlight w:val="none"/>
        </w:rPr>
        <w:t xml:space="preserve">0514-82129116</w:t>
      </w:r>
      <w:bookmarkEnd w:id="36"/>
      <w:r/>
      <w:bookmarkEnd w:id="37"/>
      <w:r>
        <w:rPr>
          <w:rFonts w:hint="eastAsia" w:ascii="宋体" w:hAnsi="宋体" w:cs="宋体"/>
          <w:color w:val="000000"/>
          <w:highlight w:val="none"/>
          <w:u w:val="single"/>
        </w:rPr>
      </w:r>
      <w:r/>
    </w:p>
    <w:p>
      <w:pPr>
        <w:pStyle w:val="1099"/>
        <w:jc w:val="center"/>
        <w:rPr>
          <w:rFonts w:hint="eastAsia" w:ascii="宋体" w:hAnsi="宋体" w:cs="宋体"/>
          <w:color w:val="000000"/>
          <w:sz w:val="36"/>
          <w:szCs w:val="36"/>
          <w:highlight w:val="none"/>
        </w:rPr>
        <w:sectPr>
          <w:footerReference w:type="default" r:id="rId13"/>
          <w:footnotePr/>
          <w:endnotePr/>
          <w:type w:val="nextPage"/>
          <w:pgSz w:w="11906" w:h="16838" w:orient="portrait"/>
          <w:pgMar w:top="1417" w:right="1134" w:bottom="1417" w:left="1417" w:header="850" w:footer="992" w:gutter="0"/>
          <w:pgNumType w:start="1"/>
          <w:cols w:num="1" w:sep="0" w:space="1701" w:equalWidth="1"/>
          <w:docGrid w:linePitch="360"/>
        </w:sectPr>
      </w:pPr>
      <w:r/>
      <w:bookmarkStart w:id="40" w:name="_Toc55204178"/>
      <w:r>
        <w:rPr>
          <w:rFonts w:hint="eastAsia" w:ascii="宋体" w:hAnsi="宋体" w:cs="宋体"/>
          <w:color w:val="000000"/>
          <w:sz w:val="36"/>
          <w:szCs w:val="36"/>
          <w:highlight w:val="none"/>
        </w:rPr>
      </w:r>
      <w:r/>
    </w:p>
    <w:p>
      <w:pPr>
        <w:pStyle w:val="861"/>
        <w:rPr>
          <w:color w:val="000000"/>
          <w:highlight w:val="none"/>
        </w:rPr>
      </w:pPr>
      <w:r/>
      <w:bookmarkStart w:id="41" w:name="_Toc10032"/>
      <w:r/>
      <w:bookmarkStart w:id="42" w:name="_Toc17642"/>
      <w:r>
        <w:rPr>
          <w:rFonts w:hint="eastAsia"/>
          <w:color w:val="000000"/>
          <w:highlight w:val="none"/>
        </w:rPr>
        <w:t xml:space="preserve">第二章 投标人须知</w:t>
      </w:r>
      <w:bookmarkEnd w:id="40"/>
      <w:r/>
      <w:bookmarkEnd w:id="41"/>
      <w:r/>
      <w:bookmarkEnd w:id="42"/>
      <w:r>
        <w:rPr>
          <w:color w:val="000000"/>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一、总则</w:t>
      </w:r>
      <w:r>
        <w:rPr>
          <w:rFonts w:hint="eastAsia" w:ascii="宋体" w:hAnsi="宋体" w:cs="宋体"/>
          <w:b/>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1.招标方式</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 本次招标采取公开招标方式，本招标文件仅适用于</w:t>
      </w:r>
      <w:r>
        <w:rPr>
          <w:rFonts w:hint="eastAsia" w:ascii="宋体" w:hAnsi="宋体" w:cs="宋体"/>
          <w:bCs/>
          <w:color w:val="000000"/>
          <w:szCs w:val="21"/>
          <w:highlight w:val="none"/>
          <w:lang w:eastAsia="zh-CN"/>
        </w:rPr>
        <w:t xml:space="preserve">JSZC-320000-SWGC-G2026-0127</w:t>
      </w:r>
      <w:r>
        <w:rPr>
          <w:rFonts w:hint="eastAsia" w:ascii="宋体" w:hAnsi="宋体" w:cs="宋体"/>
          <w:bCs/>
          <w:color w:val="000000"/>
          <w:szCs w:val="21"/>
          <w:highlight w:val="none"/>
        </w:rPr>
        <w:t xml:space="preserve">号项目。</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2.合格的投标人</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2.1满足招标公告中供应商的资格要求的规定。</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 满足本文件实质性要求的规定。</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3.适用法律和标准</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 本次招标及由此产生的合同受中华人民共和国有关的法律法规制约和保护。</w:t>
      </w:r>
      <w:r>
        <w:rPr>
          <w:rFonts w:hint="eastAsia" w:ascii="宋体" w:hAnsi="宋体" w:cs="宋体"/>
          <w:bCs/>
          <w:color w:val="000000"/>
          <w:szCs w:val="21"/>
          <w:highlight w:val="none"/>
        </w:rPr>
      </w:r>
      <w:r/>
    </w:p>
    <w:p>
      <w:pPr>
        <w:pStyle w:val="826"/>
        <w:ind w:left="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3.2 在本项目政府采购活动过程中，如果所执行的标准有更新的，按照最新标准执行。</w:t>
      </w:r>
      <w:r>
        <w:rPr>
          <w:rFonts w:hint="eastAsia" w:ascii="宋体" w:hAnsi="宋体" w:cs="宋体"/>
          <w:bCs/>
          <w:color w:val="000000"/>
          <w:szCs w:val="21"/>
          <w:highlight w:val="none"/>
        </w:rPr>
      </w:r>
      <w:r/>
    </w:p>
    <w:p>
      <w:pPr>
        <w:pStyle w:val="826"/>
        <w:ind w:left="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4.投标费用</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 投标人应自行承担所有与参加投标有关的费用，无论投标过程中的做法和结果如何，代理机构在任何情况下均无义务和责任承担这些费用。 </w:t>
      </w:r>
      <w:r>
        <w:rPr>
          <w:rFonts w:hint="eastAsia" w:ascii="宋体" w:hAnsi="宋体" w:cs="宋体"/>
          <w:bCs/>
          <w:color w:val="000000"/>
          <w:szCs w:val="21"/>
          <w:highlight w:val="none"/>
        </w:rPr>
      </w:r>
      <w:r/>
    </w:p>
    <w:p>
      <w:pPr>
        <w:pStyle w:val="826"/>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4.2本次招标采购不收取标书工本费。</w:t>
      </w:r>
      <w:r>
        <w:rPr>
          <w:rFonts w:hint="eastAsia" w:ascii="宋体" w:hAnsi="宋体" w:cs="宋体"/>
          <w:b/>
          <w:bCs/>
          <w:color w:val="000000"/>
          <w:szCs w:val="21"/>
          <w:highlight w:val="none"/>
        </w:rPr>
      </w:r>
      <w:r/>
    </w:p>
    <w:p>
      <w:pPr>
        <w:pStyle w:val="826"/>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4.3</w:t>
      </w:r>
      <w:r>
        <w:rPr>
          <w:rFonts w:hint="eastAsia" w:ascii="宋体" w:hAnsi="宋体" w:cs="宋体"/>
          <w:b/>
          <w:bCs/>
          <w:color w:val="000000"/>
          <w:szCs w:val="21"/>
          <w:highlight w:val="none"/>
          <w:lang w:val="en-US" w:eastAsia="zh-CN"/>
        </w:rPr>
        <w:t xml:space="preserve">本次采购预算中已包含代理服务费，</w:t>
      </w:r>
      <w:r>
        <w:rPr>
          <w:rFonts w:hint="eastAsia" w:ascii="宋体" w:hAnsi="宋体" w:cs="宋体"/>
          <w:b/>
          <w:bCs/>
          <w:color w:val="000000"/>
          <w:szCs w:val="21"/>
          <w:highlight w:val="none"/>
          <w:lang w:eastAsia="zh-CN"/>
        </w:rPr>
        <w:t xml:space="preserve">中标供应商</w:t>
      </w:r>
      <w:r>
        <w:rPr>
          <w:rFonts w:hint="eastAsia" w:ascii="宋体" w:hAnsi="宋体" w:cs="宋体"/>
          <w:b/>
          <w:bCs/>
          <w:color w:val="000000"/>
          <w:szCs w:val="21"/>
          <w:highlight w:val="none"/>
        </w:rPr>
        <w:t xml:space="preserve">在领取中标通知书前一次性支付给招标代理机构代理服务费（具体计算方式详见下表）。</w:t>
      </w:r>
      <w:r>
        <w:rPr>
          <w:rFonts w:hint="eastAsia" w:ascii="宋体" w:hAnsi="宋体" w:cs="宋体"/>
          <w:color w:val="000000"/>
          <w:szCs w:val="21"/>
          <w:highlight w:val="none"/>
        </w:rPr>
      </w:r>
      <w:r/>
    </w:p>
    <w:tbl>
      <w:tblPr>
        <w:tblW w:w="81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826"/>
              <w:ind w:left="160"/>
              <w:jc w:val="center"/>
              <w:spacing w:line="360" w:lineRule="auto"/>
              <w:widowControl/>
              <w:rPr>
                <w:rFonts w:hint="eastAsia" w:ascii="宋体" w:hAnsi="宋体" w:cs="宋体"/>
                <w:color w:val="000000"/>
                <w:spacing w:val="40"/>
                <w:szCs w:val="21"/>
                <w:highlight w:val="none"/>
              </w:rPr>
            </w:pPr>
            <w:r>
              <w:rPr>
                <w:rFonts w:hint="eastAsia" w:ascii="宋体" w:hAnsi="宋体" w:cs="宋体"/>
                <w:color w:val="000000"/>
                <w:spacing w:val="40"/>
                <w:szCs w:val="21"/>
                <w:highlight w:val="none"/>
              </w:rPr>
              <w:t xml:space="preserve">项目</w:t>
            </w:r>
            <w:r>
              <w:rPr>
                <w:rFonts w:hint="eastAsia" w:ascii="宋体" w:hAnsi="宋体" w:cs="宋体"/>
                <w:color w:val="000000"/>
                <w:spacing w:val="40"/>
                <w:szCs w:val="21"/>
                <w:highlight w:val="none"/>
              </w:rPr>
            </w:r>
            <w:r/>
          </w:p>
          <w:p>
            <w:pPr>
              <w:pStyle w:val="826"/>
              <w:ind w:left="160"/>
              <w:jc w:val="center"/>
              <w:spacing w:line="360" w:lineRule="auto"/>
              <w:widowControl/>
              <w:rPr>
                <w:rFonts w:hint="eastAsia" w:ascii="宋体" w:hAnsi="宋体" w:cs="宋体"/>
                <w:color w:val="000000"/>
                <w:spacing w:val="40"/>
                <w:szCs w:val="21"/>
                <w:highlight w:val="none"/>
              </w:rPr>
            </w:pPr>
            <w:r>
              <w:rPr>
                <w:rFonts w:hint="eastAsia" w:ascii="宋体" w:hAnsi="宋体" w:cs="宋体"/>
                <w:color w:val="000000"/>
                <w:spacing w:val="40"/>
                <w:szCs w:val="21"/>
                <w:highlight w:val="none"/>
              </w:rPr>
              <w:t xml:space="preserve">类型</w:t>
            </w:r>
            <w:r>
              <w:rPr>
                <w:rFonts w:hint="eastAsia" w:ascii="宋体" w:hAnsi="宋体" w:cs="宋体"/>
                <w:color w:val="000000"/>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100万以下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100万以上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代理服务费最高限价</w:t>
            </w:r>
            <w:r>
              <w:rPr>
                <w:rFonts w:hint="eastAsia" w:ascii="宋体" w:hAnsi="宋体" w:cs="宋体"/>
                <w:color w:val="000000"/>
                <w:szCs w:val="21"/>
                <w:highlight w:val="none"/>
              </w:rPr>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826"/>
              <w:jc w:val="center"/>
              <w:spacing w:line="360" w:lineRule="auto"/>
              <w:widowControl/>
              <w:rPr>
                <w:rFonts w:hint="eastAsia" w:ascii="宋体" w:hAnsi="宋体" w:cs="宋体"/>
                <w:color w:val="000000"/>
                <w:spacing w:val="40"/>
                <w:szCs w:val="21"/>
                <w:highlight w:val="none"/>
              </w:rPr>
            </w:pPr>
            <w:r>
              <w:rPr>
                <w:rFonts w:hint="eastAsia" w:ascii="宋体" w:hAnsi="宋体" w:cs="宋体"/>
                <w:color w:val="000000"/>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（折扣率）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826"/>
              <w:ind w:firstLine="1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p>
            <w:pPr>
              <w:pStyle w:val="826"/>
              <w:ind w:firstLine="1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（单位：元）</w:t>
            </w:r>
            <w:r>
              <w:rPr>
                <w:rFonts w:hint="eastAsia" w:ascii="宋体" w:hAnsi="宋体" w:cs="宋体"/>
                <w:color w:val="000000"/>
                <w:szCs w:val="21"/>
                <w:highlight w:val="none"/>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2000</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18</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10000</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工程</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18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基准费率表</w:t>
      </w:r>
      <w:r>
        <w:rPr>
          <w:rFonts w:hint="eastAsia" w:ascii="宋体" w:hAnsi="宋体" w:cs="宋体"/>
          <w:color w:val="000000"/>
          <w:szCs w:val="21"/>
          <w:highlight w:val="none"/>
        </w:rPr>
      </w:r>
      <w:r/>
    </w:p>
    <w:tbl>
      <w:tblPr>
        <w:tblW w:w="8141"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中标金额（万元）</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货物采购</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服务采购</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工程采购</w:t>
            </w:r>
            <w:r>
              <w:rPr>
                <w:rFonts w:hint="eastAsia" w:ascii="宋体" w:hAnsi="宋体" w:cs="宋体"/>
                <w:color w:val="000000"/>
                <w:szCs w:val="21"/>
                <w:highlight w:val="none"/>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100以下</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0.8%</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0.7%</w:t>
            </w:r>
            <w:r>
              <w:rPr>
                <w:rFonts w:hint="eastAsia" w:ascii="宋体" w:hAnsi="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0.8%</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0.45%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0.55%</w:t>
            </w:r>
            <w:r>
              <w:rPr>
                <w:rFonts w:hint="eastAsia" w:ascii="宋体" w:hAnsi="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0.25%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0.35%</w:t>
            </w:r>
            <w:r>
              <w:rPr>
                <w:rFonts w:hint="eastAsia" w:ascii="宋体" w:hAnsi="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5000—1亿</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0.25%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0.1%</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0.2%</w:t>
            </w:r>
            <w:r>
              <w:rPr>
                <w:rFonts w:hint="eastAsia" w:ascii="宋体" w:hAnsi="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1亿以上</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0.05%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0.05%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0.05%</w:t>
            </w:r>
            <w:r>
              <w:rPr>
                <w:rFonts w:hint="eastAsia" w:ascii="宋体" w:hAnsi="宋体" w:cs="宋体"/>
                <w:color w:val="000000"/>
                <w:szCs w:val="21"/>
                <w:highlight w:val="none"/>
              </w:rPr>
            </w:r>
            <w:r/>
          </w:p>
        </w:tc>
      </w:tr>
    </w:tbl>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（1）本项目代理服务费以中标价为计算基础，按差额定率累进法计算；</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（2）代理服务费以人民币支付；</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（3）代理服务费一次性以电汇或转账等非现金形式支付。</w:t>
      </w:r>
      <w:r>
        <w:rPr>
          <w:rFonts w:hint="eastAsia" w:ascii="宋体" w:hAnsi="宋体" w:cs="宋体"/>
          <w:color w:val="000000"/>
          <w:szCs w:val="21"/>
          <w:highlight w:val="none"/>
        </w:rPr>
      </w:r>
      <w:r/>
    </w:p>
    <w:p>
      <w:pPr>
        <w:pStyle w:val="826"/>
        <w:ind w:firstLine="1054"/>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开户银行：中国工商银行扬州雍华府支行</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开户名称：江苏苏维工程管理有限公司</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开户账号：1108020819100000612</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4.3本次招标采购专家评审费按照《关于规范江苏省政府采购专家评审费标准的通知》（苏财购〔2016〕48号）执行。</w:t>
      </w:r>
      <w:r>
        <w:rPr>
          <w:rFonts w:hint="eastAsia" w:ascii="宋体" w:hAnsi="宋体" w:cs="宋体"/>
          <w:b/>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5.招标文件的约束力</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5.1 投标人一旦参加本项目采购活动，即被认为接受了本招标文件的规定和约束。</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二、招标文件</w:t>
      </w:r>
      <w:r>
        <w:rPr>
          <w:rFonts w:hint="eastAsia" w:ascii="宋体" w:hAnsi="宋体" w:cs="宋体"/>
          <w:b/>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6.招标文件构成</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6.1 招标文件由以下部分组成：</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（1）投标邀请</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（2）投标人须知</w:t>
      </w:r>
      <w:r>
        <w:rPr>
          <w:rFonts w:hint="eastAsia" w:ascii="宋体" w:hAnsi="宋体" w:cs="宋体"/>
          <w:bCs/>
          <w:color w:val="000000"/>
          <w:szCs w:val="21"/>
          <w:highlight w:val="none"/>
        </w:rPr>
        <w:tab/>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（3）合同文本</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（4）采购需求</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（5）评标方法与评标标准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（6）投标文件格式</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请仔细检查招标文件是否齐全，如有缺漏请立即与代理机构联系解决。</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6.3 招标文件如果要求投标人提交备选投标方案的，供应商可以提交备选方案；否则，备选方案将被拒绝。</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7.招标文件的澄清</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任何要求对招标文件进行澄清的投标人，应在投标截止日期的十日前按招标公告中的通讯地址，以书面形式通知代理机构。</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8.招标文件的修改</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8.1 在投标截止时间前，代理机构可以对招标文件进行修改。</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8.2代理机构有权按照法定的要求推迟投标截止日期和开标日期。</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8.3招标文件的修改将在“江苏政府采购网”“中国政府采购网”“扬州大学附属医院</w:t>
      </w:r>
      <w:r>
        <w:rPr>
          <w:rFonts w:hint="eastAsia" w:ascii="宋体" w:hAnsi="宋体" w:cs="宋体"/>
          <w:bCs/>
          <w:color w:val="000000"/>
          <w:szCs w:val="21"/>
          <w:highlight w:val="none"/>
          <w:lang w:val="en-US" w:eastAsia="zh-CN"/>
        </w:rPr>
        <w:t xml:space="preserve">网</w:t>
      </w:r>
      <w:r>
        <w:rPr>
          <w:rFonts w:hint="eastAsia" w:ascii="宋体" w:hAnsi="宋体" w:cs="宋体"/>
          <w:bCs/>
          <w:color w:val="000000"/>
          <w:szCs w:val="21"/>
          <w:highlight w:val="none"/>
        </w:rPr>
        <w:t xml:space="preserve">”公布，补充文件将作为招标文件的组成部分，并对投标人具有约束力。</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三、投标文件的编制</w:t>
      </w:r>
      <w:r>
        <w:rPr>
          <w:rFonts w:hint="eastAsia" w:ascii="宋体" w:hAnsi="宋体" w:cs="宋体"/>
          <w:b/>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9.投标文件的语言、度量衡单位</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9.1投标人提交的投标文件以及投标人与代理机构就有关投标的所有来往通知、函件和文件均应使用简体中文。</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9.2 除技术性能另有规定外，投标文件所使用的度量衡单位，均须采用国家法定计量单位。</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9.3投标人应使用人民币报价。</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10.投标文件构成</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10.1投标文件由以下部分组成</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（1）资格审查响应对照表</w:t>
      </w:r>
      <w:r>
        <w:rPr>
          <w:rFonts w:hint="eastAsia" w:ascii="宋体" w:hAnsi="宋体" w:cs="宋体"/>
          <w:bCs/>
          <w:color w:val="000000"/>
          <w:szCs w:val="21"/>
          <w:highlight w:val="none"/>
        </w:rPr>
      </w:r>
      <w:r/>
    </w:p>
    <w:p>
      <w:pPr>
        <w:pStyle w:val="826"/>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eastAsia="zh-CN"/>
        </w:rPr>
        <w:t xml:space="preserve">实质性响应对照表</w:t>
      </w:r>
      <w:r>
        <w:rPr>
          <w:rFonts w:hint="eastAsia" w:ascii="宋体" w:hAnsi="宋体" w:eastAsia="宋体" w:cs="宋体"/>
          <w:bCs/>
          <w:color w:val="000000"/>
          <w:szCs w:val="21"/>
          <w:highlight w:val="none"/>
          <w:lang w:eastAsia="zh-CN"/>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（3）非实质性响应对照表</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（4）开标一览表 </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（5）投标分项报价表 </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eastAsia="zh-CN"/>
        </w:rPr>
        <w:t xml:space="preserve">技术要求响应及偏离表</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（7）商务要求响应及偏离表 </w:t>
      </w:r>
      <w:r>
        <w:rPr>
          <w:rFonts w:hint="eastAsia" w:ascii="宋体" w:hAnsi="宋体" w:cs="宋体"/>
          <w:bCs/>
          <w:color w:val="000000"/>
          <w:szCs w:val="21"/>
          <w:highlight w:val="none"/>
        </w:rPr>
      </w:r>
      <w:r/>
    </w:p>
    <w:p>
      <w:pPr>
        <w:pStyle w:val="826"/>
        <w:ind w:firstLine="420"/>
        <w:spacing w:line="360" w:lineRule="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（8）</w:t>
      </w:r>
      <w:r>
        <w:rPr>
          <w:rFonts w:hint="eastAsia" w:ascii="宋体" w:hAnsi="宋体" w:cs="宋体"/>
          <w:bCs/>
          <w:color w:val="000000"/>
          <w:szCs w:val="21"/>
          <w:highlight w:val="none"/>
          <w:lang w:val="en-US" w:eastAsia="zh-CN"/>
        </w:rPr>
        <w:t xml:space="preserve">供货一览表</w:t>
      </w:r>
      <w:r>
        <w:rPr>
          <w:rFonts w:ascii="宋体" w:hAnsi="宋体" w:eastAsia="宋体" w:cs="宋体"/>
          <w:bCs/>
          <w:color w:val="000000"/>
          <w:szCs w:val="21"/>
          <w:highlight w:val="none"/>
          <w:lang w:val="en-US" w:eastAsia="zh-CN"/>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（9）其他</w:t>
      </w:r>
      <w:r>
        <w:rPr>
          <w:rFonts w:hint="eastAsia" w:ascii="宋体" w:hAnsi="宋体" w:cs="宋体"/>
          <w:bCs/>
          <w:color w:val="000000"/>
          <w:szCs w:val="21"/>
          <w:highlight w:val="none"/>
          <w:lang w:val="en-US" w:eastAsia="zh-CN"/>
        </w:rPr>
        <w:t xml:space="preserve">证明文件</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10.2如标书制作工具中格式和内容与“江苏政府采购网”“中国政府采购网”“扬州大学附属医院</w:t>
      </w:r>
      <w:r>
        <w:rPr>
          <w:rFonts w:hint="eastAsia" w:ascii="宋体" w:hAnsi="宋体" w:cs="宋体"/>
          <w:bCs/>
          <w:color w:val="000000"/>
          <w:szCs w:val="21"/>
          <w:highlight w:val="none"/>
          <w:lang w:val="en-US" w:eastAsia="zh-CN"/>
        </w:rPr>
        <w:t xml:space="preserve">网</w:t>
      </w:r>
      <w:r>
        <w:rPr>
          <w:rFonts w:hint="eastAsia" w:ascii="宋体" w:hAnsi="宋体" w:cs="宋体"/>
          <w:bCs/>
          <w:color w:val="000000"/>
          <w:szCs w:val="21"/>
          <w:highlight w:val="none"/>
        </w:rPr>
        <w:t xml:space="preserve">”发布的招标文件不一致，请以“江苏政府采购网”“中国政府采购网”“扬州大学附属医院</w:t>
      </w:r>
      <w:r>
        <w:rPr>
          <w:rFonts w:hint="eastAsia" w:ascii="宋体" w:hAnsi="宋体" w:cs="宋体"/>
          <w:bCs/>
          <w:color w:val="000000"/>
          <w:szCs w:val="21"/>
          <w:highlight w:val="none"/>
          <w:lang w:val="en-US" w:eastAsia="zh-CN"/>
        </w:rPr>
        <w:t xml:space="preserve">网</w:t>
      </w:r>
      <w:r>
        <w:rPr>
          <w:rFonts w:hint="eastAsia" w:ascii="宋体" w:hAnsi="宋体" w:cs="宋体"/>
          <w:bCs/>
          <w:color w:val="000000"/>
          <w:szCs w:val="21"/>
          <w:highlight w:val="none"/>
        </w:rPr>
        <w:t xml:space="preserve">”发布的招标文件为准。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10.3投标人应当根据招标文件要求编制投标文件，投标文件应对招标文件提出的要求和条件作出响应，并在相应的投标文件中逐条标明满足与否。</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11.证明投标人资格及符合招标文件规定的文件</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11.1投标人应按照招标文件要求提交证明文件，证明其及投标标的符合招标文件规定。</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11.2投标人应提交证明其有资格参加投标和中标后有能力独立履行合同的文件。</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11.3投标人除必须具有履行合同所需提供的产品或服务的能力外，还必须具备相应的财务、技术方面的能力。</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11.4投标人应提交根据合同要求提供的证明服务质量合格以及符合招标文件规定的证明文件。</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11.5招标文件对证明文件无明确形式要求的，证明文件可以以文字资料、图纸和数据等形式提交。</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12.投标分项报价表</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12.1 投标人按照招标文件规定格式填报投标分项报价表。</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12.2 标的物</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采购人需求的</w:t>
      </w:r>
      <w:r>
        <w:rPr>
          <w:rFonts w:hint="eastAsia" w:ascii="宋体" w:hAnsi="宋体" w:cs="宋体"/>
          <w:bCs/>
          <w:color w:val="000000"/>
          <w:szCs w:val="21"/>
          <w:highlight w:val="none"/>
          <w:lang w:val="en-US" w:eastAsia="zh-CN"/>
        </w:rPr>
        <w:t xml:space="preserve">货物</w:t>
      </w:r>
      <w:r>
        <w:rPr>
          <w:rFonts w:hint="eastAsia" w:ascii="宋体" w:hAnsi="宋体" w:cs="宋体"/>
          <w:bCs/>
          <w:color w:val="000000"/>
          <w:szCs w:val="21"/>
          <w:highlight w:val="none"/>
        </w:rPr>
        <w:t xml:space="preserve">供应、安装，调试及有关技术服务等。</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12.3其它费用处理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招标文件未列明，而投标人认为必需的费用也需列入报价。</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12.4投标货币</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投标文件中的单价和总价无特殊规定的采用人民币报价，以元为单位标注。招标文件中另有规定的按规定执行。</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13.</w:t>
      </w:r>
      <w:r>
        <w:rPr>
          <w:rFonts w:hint="eastAsia" w:ascii="宋体" w:hAnsi="宋体" w:cs="宋体"/>
          <w:b/>
          <w:color w:val="000000"/>
          <w:szCs w:val="21"/>
          <w:highlight w:val="none"/>
          <w:lang w:eastAsia="zh-CN"/>
        </w:rPr>
        <w:t xml:space="preserve">技术要求响应及偏离表</w:t>
      </w:r>
      <w:r>
        <w:rPr>
          <w:rFonts w:hint="eastAsia" w:ascii="宋体" w:hAnsi="宋体" w:cs="宋体"/>
          <w:b/>
          <w:color w:val="000000"/>
          <w:szCs w:val="21"/>
          <w:highlight w:val="none"/>
        </w:rPr>
        <w:t xml:space="preserve">、商务要求响应及偏离表</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13.1 投标人需对招标文件中的技术要求与商务要求逐项作出响应或偏离，并说明原因；</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13.2 投标人需按照招标文件要求，在投标文件中提供与技术要求和商务要求相关的证明材料；</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13.3 投标人认为需要的其他技术文件或说明。</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14.服务承诺、培训计划、人员安排及其他</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14.1投标人需根据招标文件要求提供有关售后服务的管理制度，售后服务机构的分布情况，售后服务人员的数量、素质、技术水平及售后服务的反应能力等。</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14.2投标人需根据招标文件要求提供培训计划。</w:t>
      </w:r>
      <w:r>
        <w:rPr>
          <w:rFonts w:hint="eastAsia" w:ascii="宋体" w:hAnsi="宋体" w:cs="宋体"/>
          <w:bCs/>
          <w:color w:val="000000"/>
          <w:szCs w:val="21"/>
          <w:highlight w:val="none"/>
        </w:rPr>
      </w:r>
      <w:r/>
    </w:p>
    <w:p>
      <w:pPr>
        <w:pStyle w:val="826"/>
        <w:ind w:firstLine="420"/>
        <w:spacing w:line="360" w:lineRule="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14.3投标人需根据招标文件要求提供所投标的的主要组成部分、功能设计、实现思路及关键技术等。</w:t>
      </w:r>
      <w:r>
        <w:rPr>
          <w:rFonts w:ascii="宋体" w:hAnsi="宋体" w:eastAsia="宋体" w:cs="宋体"/>
          <w:bCs/>
          <w:color w:val="000000"/>
          <w:szCs w:val="21"/>
          <w:highlight w:val="none"/>
          <w:lang w:val="en-US" w:eastAsia="zh-CN"/>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15.投标函和开标一览表</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15.1 投标人应按照招标文件中提供的格式完整、正确填写投标函、开标一览表。</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16.投标有效期</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16.1 投标有效期为开标之日起六十（60）天。投标有效期比规定短的将被视为非响应性投标而予以拒绝。</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bookmarkStart w:id="43" w:name="_Toc462564084"/>
      <w:r/>
      <w:bookmarkStart w:id="44" w:name="_Toc16938541"/>
      <w:r/>
      <w:bookmarkStart w:id="45" w:name="_Toc20823297"/>
      <w:r/>
      <w:bookmarkStart w:id="46" w:name="_Toc513029225"/>
      <w:r>
        <w:rPr>
          <w:rFonts w:hint="eastAsia" w:ascii="宋体" w:hAnsi="宋体" w:cs="宋体"/>
          <w:b/>
          <w:color w:val="000000"/>
          <w:szCs w:val="21"/>
          <w:highlight w:val="none"/>
        </w:rPr>
        <w:t xml:space="preserve">四、投标文件的递交</w:t>
      </w:r>
      <w:r>
        <w:rPr>
          <w:rFonts w:hint="eastAsia" w:ascii="宋体" w:hAnsi="宋体" w:cs="宋体"/>
          <w:b/>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17.</w:t>
      </w:r>
      <w:bookmarkEnd w:id="43"/>
      <w:r/>
      <w:bookmarkEnd w:id="44"/>
      <w:r/>
      <w:bookmarkEnd w:id="45"/>
      <w:r/>
      <w:bookmarkEnd w:id="46"/>
      <w:r>
        <w:rPr>
          <w:rFonts w:hint="eastAsia" w:ascii="宋体" w:hAnsi="宋体" w:cs="宋体"/>
          <w:b/>
          <w:color w:val="000000"/>
          <w:szCs w:val="21"/>
          <w:highlight w:val="none"/>
        </w:rPr>
        <w:t xml:space="preserve">电子投标文件的递交</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17.1 </w:t>
      </w:r>
      <w:bookmarkStart w:id="47" w:name="_Toc16938542"/>
      <w:r/>
      <w:bookmarkStart w:id="48" w:name="_Toc513029226"/>
      <w:r/>
      <w:bookmarkStart w:id="49" w:name="_Toc20823298"/>
      <w:r>
        <w:rPr>
          <w:rFonts w:hint="eastAsia" w:ascii="宋体" w:hAnsi="宋体" w:cs="宋体"/>
          <w:bCs/>
          <w:color w:val="000000"/>
          <w:szCs w:val="21"/>
          <w:highlight w:val="none"/>
        </w:rPr>
        <w:t xml:space="preserve">投标人应当按照《操作手册》规定，在投标截止时间前制作并上传电子投标文件。</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17.2苏采云系统相关要求是本招标文件的组成部分。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17.3投标人应对 CA 证书妥善保管，如被他人盗用投标，因此带来的结果均由投标人自行承担。</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17.4投标人应当对招标文件提出的要求和条件作出实质性响应，并在电子投标系统逐条应答。</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17.5投标人应对要求提供的资格证明文件（如资质证书、资格证书）、技术资料（如白皮书、彩页、手册、检测报告等）扫描上传至投标系统。</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17.6投标人应当在招标文件要求提交投标文件的截止时间前，将投标文件提交至苏采云系统，逾期提交的投标文件，苏采云系统将自动拒收。</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highlight w:val="none"/>
        </w:rPr>
      </w:pPr>
      <w:r>
        <w:rPr>
          <w:rFonts w:hint="eastAsia" w:ascii="宋体" w:hAnsi="宋体" w:cs="宋体"/>
          <w:bCs/>
          <w:color w:val="000000"/>
          <w:szCs w:val="21"/>
          <w:highlight w:val="none"/>
        </w:rPr>
        <w:t xml:space="preserve">17.7各投标人应在规定时间内凭CA证书进行网上解密。</w:t>
      </w:r>
      <w:r>
        <w:rPr>
          <w:rFonts w:hint="eastAsia" w:ascii="宋体" w:hAnsi="宋体" w:cs="宋体"/>
          <w:bCs/>
          <w:color w:val="000000"/>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18.投标截止日期</w:t>
      </w:r>
      <w:bookmarkEnd w:id="47"/>
      <w:r/>
      <w:bookmarkEnd w:id="48"/>
      <w:r/>
      <w:bookmarkEnd w:id="49"/>
      <w:r>
        <w:rPr>
          <w:rFonts w:hint="eastAsia" w:ascii="宋体" w:hAnsi="宋体" w:cs="宋体"/>
          <w:b/>
          <w:color w:val="000000"/>
          <w:szCs w:val="21"/>
          <w:highlight w:val="none"/>
        </w:rPr>
      </w:r>
      <w:r/>
    </w:p>
    <w:p>
      <w:pPr>
        <w:pStyle w:val="826"/>
        <w:ind w:firstLine="422"/>
        <w:spacing w:line="360" w:lineRule="auto"/>
        <w:rPr>
          <w:rFonts w:hint="eastAsia" w:ascii="宋体" w:hAnsi="宋体" w:cs="宋体"/>
          <w:b/>
          <w:i/>
          <w:iCs/>
          <w:color w:val="000000"/>
          <w:szCs w:val="21"/>
          <w:highlight w:val="none"/>
          <w:u w:val="single"/>
        </w:rPr>
      </w:pPr>
      <w:r>
        <w:rPr>
          <w:rFonts w:hint="eastAsia" w:ascii="宋体" w:hAnsi="宋体" w:cs="宋体"/>
          <w:b/>
          <w:i/>
          <w:iCs/>
          <w:color w:val="000000"/>
          <w:szCs w:val="21"/>
          <w:highlight w:val="none"/>
          <w:u w:val="single"/>
        </w:rPr>
        <w:t xml:space="preserve">18.1 投标人上传电子投标文件的时间不得迟于招标公告中规定的投标截止时间。</w:t>
      </w:r>
      <w:r>
        <w:rPr>
          <w:rFonts w:hint="eastAsia" w:ascii="宋体" w:hAnsi="宋体" w:cs="宋体"/>
          <w:b/>
          <w:i/>
          <w:iCs/>
          <w:color w:val="000000"/>
          <w:szCs w:val="21"/>
          <w:highlight w:val="none"/>
          <w:u w:val="singl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bookmarkStart w:id="50" w:name="_Toc16938543"/>
      <w:r/>
      <w:bookmarkStart w:id="51" w:name="_Toc20823299"/>
      <w:r/>
      <w:bookmarkStart w:id="52" w:name="_Toc513029227"/>
      <w:r>
        <w:rPr>
          <w:rFonts w:hint="eastAsia" w:ascii="宋体" w:hAnsi="宋体" w:cs="宋体"/>
          <w:b/>
          <w:color w:val="000000"/>
          <w:szCs w:val="21"/>
          <w:highlight w:val="none"/>
        </w:rPr>
        <w:t xml:space="preserve">19.投标文件</w:t>
      </w:r>
      <w:bookmarkEnd w:id="50"/>
      <w:r/>
      <w:bookmarkEnd w:id="51"/>
      <w:r/>
      <w:bookmarkEnd w:id="52"/>
      <w:r>
        <w:rPr>
          <w:rFonts w:hint="eastAsia" w:ascii="宋体" w:hAnsi="宋体" w:cs="宋体"/>
          <w:b/>
          <w:color w:val="000000"/>
          <w:szCs w:val="21"/>
          <w:highlight w:val="none"/>
        </w:rPr>
        <w:t xml:space="preserve">的拒收</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19.1代理机构拒绝接收在其规定的投标截止时间后上传的任何投标文件。</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bookmarkStart w:id="53" w:name="_Toc20823300"/>
      <w:r/>
      <w:bookmarkStart w:id="54" w:name="_Toc513029228"/>
      <w:r/>
      <w:bookmarkStart w:id="55" w:name="_Toc16938544"/>
      <w:r>
        <w:rPr>
          <w:rFonts w:hint="eastAsia" w:ascii="宋体" w:hAnsi="宋体" w:cs="宋体"/>
          <w:b/>
          <w:color w:val="000000"/>
          <w:szCs w:val="21"/>
          <w:highlight w:val="none"/>
        </w:rPr>
        <w:t xml:space="preserve">20.投标文件的撤回和修改</w:t>
      </w:r>
      <w:bookmarkEnd w:id="53"/>
      <w:r/>
      <w:bookmarkEnd w:id="54"/>
      <w:r/>
      <w:bookmarkEnd w:id="55"/>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20.1 投标文件的撤回</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20.1.1 电子投标文件的撤回</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投标人可在投标截止时间前，撤回其电子投标文件，具体操作方法见《操作手册》。</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20.1.2 投标人撤回电子投标文件，则认为其不再参与本项目投标活动。</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20.2 投标文件的修改</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20.2.1投标人可在投标截止时间前，对其电子投标文件进行修改，具体操作方法见《操作手册》。</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20.2.2在投标截止时间之后，投标人不得对其电子投标文件作任何修改。</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20.3 在投标截止时间至招标文件中规定的投标有效期满之间的这段时间内，投标人不得撤回其投标。</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五、开标与评标</w:t>
      </w:r>
      <w:r>
        <w:rPr>
          <w:rFonts w:hint="eastAsia" w:ascii="宋体" w:hAnsi="宋体" w:cs="宋体"/>
          <w:b/>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21.开标</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21.2</w:t>
      </w:r>
      <w:r>
        <w:rPr>
          <w:rFonts w:hint="eastAsia" w:ascii="宋体" w:hAnsi="宋体"/>
          <w:bCs/>
          <w:color w:val="000000"/>
          <w:szCs w:val="21"/>
          <w:highlight w:val="none"/>
        </w:rPr>
        <w:t xml:space="preserve">投标人不足3家的，不得开标。</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21.3开标仪式由代理机构组织。苏采云系统将自动对项目进行开标，并宣布各投标人名称和投标价格。</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21.4投标人在开标过程中涉及到的投标文件解密、开标结果确认等工作，应按照《操作手册》规定执行。</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21.5投标人如果对开标过程和开标记录有疑义，应当根据《操作手册》规定提出，如苏采云系统中《开标记录表》宣布后5分钟内未提出的，视同认可开标结果。</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22.评标委员会</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22.1 开标后，代理机构将立即组织评标委员会（以下简称评标委员会）进行评标。</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22.2 评标委员会由采购人代表和有关技术、经济等方面的专家组成，且人员构成符合政府采购有关规定。</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22.3评标委员会独立工作，负责评审所有投标文件并确定中标候选人。</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23.评标过程的保密与公正</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23.1凡是与审查、澄清、评价和比较投标的有关资料以及授标建议等，采购人、评委、代理机构工作人员均不得向投标人或与评标无关的其他人员透露。</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23.2在评标过程中，投标人不得以任何行为影响评标过程，否则其投标文件将被作为无效投标文件。</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23.3 在评标期间，代理机构将设专门工作人员与投标人联系。</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23.4 代理机构和评标委员会不向未中标的投标人解释未中标原因，也不公布评标过程中的相关细节。</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23.5 采用综合评分法的项目，未中标的投标人可于中标结果公告期限届满之日起通过苏采云系统查看自己的评审得分及排序情况。</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24.投标的澄清</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24.1评标期间，评标委员会对投标文件中含义不明确、同类问题表述不一致或者有明显文字和计算错误的内容 ，有权要求投标人作出必要的澄清、说明或者补正。</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投标人的澄清、说明或者补正不得超出投标文件的范围或者改变投标文件的实质性内容。</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评标委员会并非对每个投标人都做澄清要求。</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24.3 接到评标委员会澄清、说明和补正要求的投标人如未按规定做出澄清、说明和补正，其风险由投标人自行承担。</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25.对投标文件的初审</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25.1投标文件初审分为资格审查和符合性审查。</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25.1.1资格审查：依据法律法规和招标文件的规定，由采购人对投标文件中的资格证明文件进行审查。并将审查结论以书面形式向评标委员会反馈。</w:t>
      </w:r>
      <w:r>
        <w:rPr>
          <w:rFonts w:hint="eastAsia" w:ascii="宋体" w:hAnsi="宋体" w:cs="宋体"/>
          <w:bCs/>
          <w:color w:val="000000"/>
          <w:szCs w:val="21"/>
          <w:highlight w:val="none"/>
        </w:rPr>
      </w:r>
      <w:r/>
    </w:p>
    <w:p>
      <w:pPr>
        <w:pStyle w:val="826"/>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25.1.2符合性检查：依据招标文件的规定，由评标委员会从投标文件的有效性、完整性和对招标文件的响应程度进行审查，以确定是否对招标文件的实质性要求作出响应。</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标委员会按照少数服从多数的原则作出结论。评委决定投标文件的响应性只根据投标文件本身的内容，而不寻求外部的证据。</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25.3如果投标文件实质上没有响应招标文件的要求，评标委员会将予以拒绝，投标人不得通过修改或撤销不合要求的偏离或保留而使其投标成为实质性响应的投标。</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25.4评标委员会将对确定为实质性响应的投标进行进一步审核，看其是否有计算上或累加上的算术错误，修正错误的原则如下：</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（1）投标文件中开标一览表内容与投标文件中相应内容不一致的，以开标一览表为准。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（2）大写金额与小写金额不一致的，以大写金额为准。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（3）单价金额小数点或者百分比有明显错位的，以开标一览表的总价为准，并修改单价。</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（4）总价金额与按单价汇总金额不一致的，以单价金额计算结果为准。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同时出现两种以上错误的，按照前款规定的顺序修正。</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非单一产品采购项目，招标文件中将载明其中的核心产品。多家投标人提供的核心产品品牌相同的，按前两款规定处理。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25.7 投标人在开、评标全过程中应保持通讯畅通，及时登录苏采云系统查阅、答复相关信息，并安排专人与代理机构及评标委员会联系。</w:t>
      </w:r>
      <w:r>
        <w:rPr>
          <w:rFonts w:hint="eastAsia" w:ascii="宋体" w:hAnsi="宋体" w:cs="宋体"/>
          <w:bCs/>
          <w:color w:val="000000"/>
          <w:szCs w:val="21"/>
          <w:highlight w:val="none"/>
        </w:rPr>
      </w:r>
      <w:r/>
    </w:p>
    <w:p>
      <w:pPr>
        <w:pStyle w:val="82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25.8 异常低价投标审查</w:t>
      </w:r>
      <w:r>
        <w:rPr>
          <w:rFonts w:hint="eastAsia" w:ascii="宋体" w:hAnsi="宋体"/>
          <w:b/>
          <w:bCs/>
          <w:color w:val="000000"/>
          <w:szCs w:val="21"/>
          <w:highlight w:val="none"/>
        </w:rPr>
      </w:r>
      <w:r/>
    </w:p>
    <w:p>
      <w:pPr>
        <w:pStyle w:val="82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25.8.1 评标过程中出现下列情形之一的，评标委员会应当启动异常低价投标审查程序：</w:t>
      </w:r>
      <w:r>
        <w:rPr>
          <w:rFonts w:hint="eastAsia" w:ascii="宋体" w:hAnsi="宋体"/>
          <w:b/>
          <w:bCs/>
          <w:color w:val="000000"/>
          <w:szCs w:val="21"/>
          <w:highlight w:val="none"/>
        </w:rPr>
      </w:r>
      <w:r/>
    </w:p>
    <w:p>
      <w:pPr>
        <w:pStyle w:val="82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1.投标（响应）报价低于全部通过符合性审查供应商投标（响应）报价平均值50%的，即投标（响应）报价〈全部通过符合性审查供应商投标（响应）报价平均值×50%； </w:t>
      </w:r>
      <w:r>
        <w:rPr>
          <w:rFonts w:hint="eastAsia" w:ascii="宋体" w:hAnsi="宋体"/>
          <w:b/>
          <w:bCs/>
          <w:color w:val="000000"/>
          <w:szCs w:val="21"/>
          <w:highlight w:val="none"/>
        </w:rPr>
      </w:r>
      <w:r/>
    </w:p>
    <w:p>
      <w:pPr>
        <w:pStyle w:val="82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2.投标（响应）报价低于通过符合性审查的次低报价供应商投标（响应）报价50%的，即投标（响应）报价〈通过符合性审查的次低报价供应商投标（响应）报价×50%； </w:t>
      </w:r>
      <w:r>
        <w:rPr>
          <w:rFonts w:hint="eastAsia" w:ascii="宋体" w:hAnsi="宋体"/>
          <w:b/>
          <w:bCs/>
          <w:color w:val="000000"/>
          <w:szCs w:val="21"/>
          <w:highlight w:val="none"/>
        </w:rPr>
      </w:r>
      <w:r/>
    </w:p>
    <w:p>
      <w:pPr>
        <w:pStyle w:val="82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3.投标（响应）报价低于采购项目最高限价45%的，即投标（响应）报价〈采购项目最高限价×45%； </w:t>
      </w:r>
      <w:r>
        <w:rPr>
          <w:rFonts w:hint="eastAsia" w:ascii="宋体" w:hAnsi="宋体"/>
          <w:b/>
          <w:bCs/>
          <w:color w:val="000000"/>
          <w:szCs w:val="21"/>
          <w:highlight w:val="none"/>
        </w:rPr>
      </w:r>
      <w:r/>
    </w:p>
    <w:p>
      <w:pPr>
        <w:pStyle w:val="82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4.评审委员会基于专业判断，认为供应商报价过低，有可能影响产品质量或者不能诚信履约的其他情形。 </w:t>
      </w:r>
      <w:r>
        <w:rPr>
          <w:rFonts w:hint="eastAsia" w:ascii="宋体" w:hAnsi="宋体"/>
          <w:b/>
          <w:bCs/>
          <w:color w:val="000000"/>
          <w:szCs w:val="21"/>
          <w:highlight w:val="none"/>
        </w:rPr>
      </w:r>
      <w:r/>
    </w:p>
    <w:p>
      <w:pPr>
        <w:pStyle w:val="82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rPr>
          <w:rFonts w:hint="eastAsia" w:ascii="宋体" w:hAnsi="宋体"/>
          <w:b/>
          <w:bCs/>
          <w:color w:val="000000"/>
          <w:szCs w:val="21"/>
          <w:highlight w:val="none"/>
        </w:rPr>
      </w:r>
      <w:r/>
    </w:p>
    <w:p>
      <w:pPr>
        <w:pStyle w:val="82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26.无效投标</w:t>
      </w:r>
      <w:r>
        <w:rPr>
          <w:rFonts w:hint="eastAsia" w:ascii="宋体" w:hAnsi="宋体" w:cs="宋体"/>
          <w:b/>
          <w:color w:val="000000"/>
          <w:szCs w:val="21"/>
          <w:highlight w:val="none"/>
          <w:lang w:val="en-US" w:eastAsia="zh-CN"/>
        </w:rPr>
        <w:t xml:space="preserve">条款和</w:t>
      </w:r>
      <w:r>
        <w:rPr>
          <w:rFonts w:hint="eastAsia" w:ascii="宋体" w:hAnsi="宋体" w:cs="宋体"/>
          <w:b/>
          <w:color w:val="000000"/>
          <w:szCs w:val="21"/>
          <w:highlight w:val="none"/>
        </w:rPr>
        <w:t xml:space="preserve">废标</w:t>
      </w:r>
      <w:r>
        <w:rPr>
          <w:rFonts w:hint="eastAsia" w:ascii="宋体" w:hAnsi="宋体" w:cs="宋体"/>
          <w:b/>
          <w:color w:val="000000"/>
          <w:szCs w:val="21"/>
          <w:highlight w:val="none"/>
          <w:lang w:val="en-US" w:eastAsia="zh-CN"/>
        </w:rPr>
        <w:t xml:space="preserve">条款</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26.1无效投标条款</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 投标人在苏采云系统规定的时间内未成功解密电子投标文件的。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26.1.2 投标人未按照招标文件要求上传电子投标文件的。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26.1.3投标人同一采购包提交两个（含两个）以上不同的投标报价的。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26.1.4投标人不具备招标文件中规定资格要求的。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26.1.5投标人的报价超过了采购预算或最高限价的。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26.1.6未通过符合性审查的。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26.1.7不符合招标文件中规定的其他实质性要求和条件的</w:t>
      </w:r>
      <w:r>
        <w:rPr>
          <w:rFonts w:hint="eastAsia" w:ascii="宋体" w:hAnsi="宋体" w:cs="宋体"/>
          <w:b/>
          <w:color w:val="000000"/>
          <w:szCs w:val="21"/>
          <w:highlight w:val="none"/>
        </w:rPr>
        <w:t xml:space="preserve">（</w:t>
      </w:r>
      <w:r>
        <w:rPr>
          <w:rFonts w:hint="eastAsia" w:ascii="宋体" w:hAnsi="宋体" w:cs="宋体"/>
          <w:b/>
          <w:i/>
          <w:iCs/>
          <w:color w:val="000000"/>
          <w:szCs w:val="21"/>
          <w:highlight w:val="none"/>
          <w:u w:val="single"/>
        </w:rPr>
        <w:t xml:space="preserve">本招标文件中斜体且有下划线部分为实质性要求和条件</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color w:val="000000"/>
          <w:szCs w:val="21"/>
          <w:highlight w:val="none"/>
          <w:lang w:val="en-US" w:eastAsia="zh-CN"/>
        </w:rPr>
        <w:t xml:space="preserve">信用</w:t>
      </w:r>
      <w:r>
        <w:rPr>
          <w:rFonts w:hint="eastAsia" w:ascii="宋体" w:hAnsi="宋体" w:cs="宋体"/>
          <w:bCs/>
          <w:color w:val="000000"/>
          <w:szCs w:val="21"/>
          <w:highlight w:val="none"/>
        </w:rPr>
        <w:t xml:space="preserve">记录。</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26.1.9  投标文件含有采购人不能接受的附加条件的。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26.1.10 评标委员会按照本招标文件规定对投标人进行异常低价投标审查后，认为投标人不能证明其报价合理性的。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26.1.11 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26.1.12 投标文件未按照招标文件要求加盖CA电子公章的。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26.1.13投标人所投标产品不符合招标文件中所列国家强制性标准的。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26.1.14其他法律、法规及本招标文件规定的属无效投标的情形。</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26.2废标条款：</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26.2.1符合专业条件的供应商或者对招标文件作实质响应的供应商不足三家的。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26.2.2出现影响采购公正的违法、违规行为的。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26.2.3因重大变故，采购任务取消的。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26.2.4评标委员会认定招标文件存在歧义、重大缺陷导致评审工作无法进行。</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26.2.5 因苏采云系统故障原因造成开标不成功的。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 投标截止时间结束后参加投标的供应商不足三家的处理：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六、定标</w:t>
      </w:r>
      <w:r>
        <w:rPr>
          <w:rFonts w:hint="eastAsia" w:ascii="宋体" w:hAnsi="宋体" w:cs="宋体"/>
          <w:b/>
          <w:color w:val="000000"/>
          <w:szCs w:val="21"/>
          <w:highlight w:val="none"/>
        </w:rPr>
      </w:r>
      <w:r/>
    </w:p>
    <w:p>
      <w:pPr>
        <w:pStyle w:val="826"/>
        <w:ind w:firstLine="422"/>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27.确定</w:t>
      </w:r>
      <w:r>
        <w:rPr>
          <w:rFonts w:hint="eastAsia" w:ascii="宋体" w:hAnsi="宋体" w:cs="宋体"/>
          <w:b/>
          <w:color w:val="000000"/>
          <w:szCs w:val="21"/>
          <w:highlight w:val="none"/>
          <w:lang w:eastAsia="zh-CN"/>
        </w:rPr>
        <w:t xml:space="preserve">中标供应商</w:t>
      </w:r>
      <w:r>
        <w:rPr>
          <w:rFonts w:hint="eastAsia" w:ascii="宋体" w:hAnsi="宋体" w:eastAsia="宋体" w:cs="宋体"/>
          <w:b/>
          <w:color w:val="000000"/>
          <w:szCs w:val="21"/>
          <w:highlight w:val="none"/>
          <w:lang w:eastAsia="zh-CN"/>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27.1中标候选人的选取原则和数量见招标文件第五章规定。</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 采购人应根据评标委员会推荐的中标候选人确定中标供应商。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27.3代理机构将在“江苏政府采购网”“中国政府采购网”“扬州大学附属医院</w:t>
      </w:r>
      <w:r>
        <w:rPr>
          <w:rFonts w:hint="eastAsia" w:ascii="宋体" w:hAnsi="宋体" w:cs="宋体"/>
          <w:bCs/>
          <w:color w:val="000000"/>
          <w:szCs w:val="21"/>
          <w:highlight w:val="none"/>
          <w:lang w:val="en-US" w:eastAsia="zh-CN"/>
        </w:rPr>
        <w:t xml:space="preserve">网</w:t>
      </w:r>
      <w:r>
        <w:rPr>
          <w:rFonts w:hint="eastAsia" w:ascii="宋体" w:hAnsi="宋体" w:cs="宋体"/>
          <w:bCs/>
          <w:color w:val="000000"/>
          <w:szCs w:val="21"/>
          <w:highlight w:val="none"/>
        </w:rPr>
        <w:t xml:space="preserve">”发布中标公告，公告期限为1个工作日。</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27.4若有充分证据证明，中标供应商出现下列情况之一的，一经查实，将被取消中标资格：</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27.4.1提供虚假材料谋取中标的；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27.4.2向采购人、代理机构行贿或者提供其他不正当利益的；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27.4.3属于本文件规定的无效条件，但在评标过程中又未被评标委员会发现的。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与采购人或者其他投标人恶意串通的；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采取不正当手段诋毁、排挤其他供应商的；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不符合法律、法规的规定的。</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 有下列情形之一的，视为投标人串通投标，投标无效：</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27.5.1不同投标人的投标文件由同一单位或者个人编制。</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27.5.2不同投标人委托同一单位或者个人办理投标事宜。</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27.5.3 不同投标人的投标文件载明的项目管理成员或者联系人员为同一人。</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27.5.4不同投标人的投标文件异常一致或者投标报价呈规律性差异。</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27.5.5不同投标人的投标文件相互混装。</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27.5.6经查实，不同投标人的电子投标文件出自同一台电脑的：不同投标人的标书制作工具客户端标识码存在一致的；不同投标人从同一互联网协议地址上传投标文件的。</w:t>
      </w:r>
      <w:r>
        <w:rPr>
          <w:rFonts w:hint="eastAsia" w:ascii="宋体" w:hAnsi="宋体" w:cs="宋体"/>
          <w:b/>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28.质疑处理</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对项目需求部分的质疑，潜在供应商应向采购人提出，由采购人负责答复。</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28.2.2对采购过程提出质疑的，为各采购程序环节结束之日起7个工作日内提出。</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28.2.3对中标结果提出质疑的，为中标结果公告期限届满之日起7个工作日内提出。</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28.4质疑函必须按照《质疑函范本》及《授权委托书》要求的格式和内容进行填写，格式见网址：http</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//zfcg.yangzhou.gov.cn。供应商如组成联合体参加投标，则《质疑函范本》及《授权委托书》中要求签字、盖章、加盖公章之处，联合体各方均须按要求签字、盖章、加盖公章。</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28.5 采购人及代理机构只接收以纸质原件形式送达的质疑（采购人和代理机构不接受无快递运单号的快递），同时需与采购代理机构经办人确认是否收到《质疑函》，如供应商未按上述要求去做，将自行承担所产生的风险。采购人质疑接收人及联系方式见招标文件第一章。</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28.6代理机构收到质疑申请后，将对质疑的形式和内容进行审查，如质疑内容、格式不符合规定，代理机构将告知质疑人进行补正。</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28.7质疑人应当在法定质疑期限内进行补正并重新提交质疑函。</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 以下情形的质疑不予受理</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28.8.1 内容不符合《政府采购质疑和投诉办法》第十二条规定的质疑。</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28.8.2 超出政府采购法定期限的质疑。</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28.8.3 以传真、电子邮件等方式递交的非原件形式的质疑。</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28.8.4 未参加投标活动的供应商或在投标活动中自身权益未受到损害的供应商所提出的质疑。</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28.8.5供应商组成联合体参加投标，联合体中任何一方或多方未按要求签字、盖章、加盖公章的质疑。</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29.中标通知书</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30. 签订合同</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30.l中标供应商应在中标通知书发出之日起三十日内，按照招标文件确定的事项与采购人签订政府采购合同。</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30.2 招标文件、中标供应商的投标文件及招标过程中有关澄清、承诺文件均应作为合同附件。</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30.3 签订合同后，中标供应商不得将合同标的进行转包。未经采购人同意，中标供应商也不得采用分包的形式履行合同，否则采购人有权终止合同，中标供应商的履约保证金将不予退还。转包或分包造成采购人损失的，中标供应商应承担赔偿责任。</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31.货物（包含与货物相关的服务）的追加</w:t>
      </w:r>
      <w:r>
        <w:rPr>
          <w:rFonts w:hint="eastAsia" w:ascii="宋体" w:hAnsi="宋体" w:cs="宋体"/>
          <w:b/>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s="宋体"/>
          <w:bCs/>
          <w:color w:val="000000"/>
          <w:szCs w:val="21"/>
          <w:highlight w:val="none"/>
        </w:rPr>
      </w:r>
      <w:r/>
    </w:p>
    <w:p>
      <w:pPr>
        <w:pStyle w:val="826"/>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32.政府采购履约资金扶持政策</w:t>
      </w:r>
      <w:r>
        <w:rPr>
          <w:rFonts w:hint="eastAsia" w:ascii="宋体" w:hAnsi="宋体" w:cs="宋体"/>
          <w:b/>
          <w:bCs/>
          <w:color w:val="000000"/>
          <w:highlight w:val="none"/>
        </w:rPr>
      </w:r>
      <w:r/>
    </w:p>
    <w:p>
      <w:pPr>
        <w:pStyle w:val="82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中标供应商可凭政府采购合同办理融资贷款，详情请见江苏政府采购网“政采贷”专栏。</w:t>
      </w:r>
      <w:r>
        <w:rPr>
          <w:rFonts w:hint="eastAsia" w:ascii="宋体" w:hAnsi="宋体" w:cs="宋体"/>
          <w:color w:val="000000"/>
          <w:highlight w:val="none"/>
        </w:rPr>
      </w:r>
      <w:r/>
    </w:p>
    <w:p>
      <w:pPr>
        <w:pStyle w:val="826"/>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33.其他</w:t>
      </w:r>
      <w:r>
        <w:rPr>
          <w:rFonts w:hint="eastAsia" w:ascii="宋体" w:hAnsi="宋体" w:cs="宋体"/>
          <w:b/>
          <w:bCs/>
          <w:color w:val="000000"/>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color w:val="000000"/>
          <w:highlight w:val="none"/>
        </w:rPr>
        <w:t xml:space="preserve">33.1 依据《政府采购促进中小企业发展管理办法》享受扶持政策获得政府采购合同的，小微企业不得将合同分包给大中型企业，中型企业不得将合同分包给大型企业。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2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861"/>
        <w:rPr>
          <w:color w:val="000000"/>
          <w:highlight w:val="none"/>
        </w:rPr>
      </w:pPr>
      <w:r/>
      <w:bookmarkStart w:id="56" w:name="_Toc55204179"/>
      <w:r/>
      <w:bookmarkStart w:id="57" w:name="_Toc18427"/>
      <w:r/>
      <w:bookmarkStart w:id="58" w:name="_Toc20434"/>
      <w:r/>
      <w:bookmarkStart w:id="59" w:name="_Hlk69392822"/>
      <w:r>
        <w:rPr>
          <w:rFonts w:hint="eastAsia"/>
          <w:color w:val="000000"/>
          <w:highlight w:val="none"/>
        </w:rPr>
        <w:t xml:space="preserve">第三章 </w:t>
      </w:r>
      <w:bookmarkEnd w:id="56"/>
      <w:r/>
      <w:bookmarkEnd w:id="57"/>
      <w:r>
        <w:rPr>
          <w:rFonts w:hint="eastAsia"/>
          <w:color w:val="000000"/>
          <w:highlight w:val="none"/>
        </w:rPr>
        <w:t xml:space="preserve">合同文本</w:t>
      </w:r>
      <w:bookmarkEnd w:id="58"/>
      <w:r>
        <w:rPr>
          <w:color w:val="000000"/>
          <w:highlight w:val="none"/>
        </w:rPr>
      </w:r>
      <w:r/>
    </w:p>
    <w:p>
      <w:pPr>
        <w:pStyle w:val="1112"/>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以下为中标后签订本项目合同的通用条款，中标供应商不得提出实质性的修改，关于专用条款将由采购人与中标供应商结合本项目具体情况协商后签订。</w:t>
      </w:r>
      <w:r>
        <w:rPr>
          <w:rFonts w:hint="eastAsia" w:hAnsi="宋体" w:cs="宋体"/>
          <w:color w:val="000000"/>
          <w:sz w:val="21"/>
          <w:highlight w:val="none"/>
        </w:rPr>
      </w:r>
      <w:r/>
    </w:p>
    <w:p>
      <w:pPr>
        <w:pStyle w:val="1112"/>
        <w:ind w:firstLine="422"/>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bookmarkEnd w:id="59"/>
      <w:r/>
      <w:bookmarkStart w:id="60" w:name="_Toc12506"/>
      <w:r>
        <w:rPr>
          <w:rFonts w:hint="eastAsia" w:ascii="宋体" w:hAnsi="宋体" w:eastAsia="宋体" w:cs="宋体"/>
          <w:b/>
          <w:bCs/>
          <w:color w:val="000000"/>
          <w:sz w:val="21"/>
          <w:szCs w:val="21"/>
          <w:highlight w:val="none"/>
        </w:rPr>
        <w:t xml:space="preserve">政府采购合同（货物</w:t>
      </w:r>
      <w:r>
        <w:rPr>
          <w:rFonts w:hint="eastAsia"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（合同编号）</w:t>
      </w:r>
      <w:r>
        <w:rPr>
          <w:rFonts w:hint="eastAsia" w:ascii="宋体" w:hAnsi="宋体" w:eastAsia="宋体" w:cs="宋体"/>
          <w:b/>
          <w:bCs/>
          <w:color w:val="000000"/>
          <w:sz w:val="21"/>
          <w:szCs w:val="21"/>
          <w:highlight w:val="none"/>
        </w:rPr>
      </w:r>
      <w:r/>
    </w:p>
    <w:p>
      <w:pPr>
        <w:pStyle w:val="826"/>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项目名称：扬州大学附属医院安防达标建设项目</w:t>
      </w:r>
      <w:r>
        <w:rPr>
          <w:rFonts w:hint="eastAsia" w:ascii="宋体" w:hAnsi="宋体" w:eastAsia="宋体" w:cs="宋体"/>
          <w:color w:val="000000"/>
          <w:sz w:val="21"/>
          <w:szCs w:val="21"/>
          <w:highlight w:val="none"/>
          <w:lang w:eastAsia="zh-CN"/>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hAnsi="宋体" w:cs="宋体"/>
          <w:color w:val="000000"/>
          <w:sz w:val="21"/>
          <w:szCs w:val="21"/>
          <w:highlight w:val="none"/>
          <w:lang w:eastAsia="zh-CN"/>
        </w:rPr>
        <w:t xml:space="preserve">JSZC-320000-SWGC-G2026-0127</w:t>
      </w:r>
      <w:r>
        <w:rPr>
          <w:rFonts w:hint="eastAsia" w:ascii="宋体" w:hAnsi="宋体" w:eastAsia="宋体" w:cs="宋体"/>
          <w:color w:val="000000"/>
          <w:sz w:val="21"/>
          <w:szCs w:val="21"/>
          <w:highlight w:val="none"/>
        </w:rPr>
        <w:t xml:space="preserve">号</w:t>
      </w:r>
      <w:r>
        <w:rPr>
          <w:rFonts w:hint="eastAsia" w:hAnsi="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甲方：（买方）扬州大学附属医院</w:t>
      </w:r>
      <w:r>
        <w:rPr>
          <w:rFonts w:hint="eastAsia" w:ascii="宋体" w:hAnsi="宋体" w:eastAsia="宋体" w:cs="宋体"/>
          <w:color w:val="000000"/>
          <w:sz w:val="21"/>
          <w:szCs w:val="21"/>
          <w:highlight w:val="none"/>
          <w:lang w:eastAsia="zh-CN"/>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乙方：（卖方）_________</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甲、乙双方根据江苏苏维工程管理有限公司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项目公开招标的结果，签署本合同。</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一、货物及伴随服务</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货物及服务名称：</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型号规格：</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数量（单位）</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本合同金额为（大写）：_____________圆（_______________元）人民币。</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3.1乙方应按招标文件规定的时间向甲方提供使用货物及服务的有关技术资料。</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乙方保证所交付的货物及服务的所有权完全属于乙方且无任何抵押、查封等产权瑕疵。</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rPr>
          <w:rFonts w:hint="eastAsia" w:ascii="宋体" w:hAnsi="宋体" w:eastAsia="宋体" w:cs="宋体"/>
          <w:b/>
          <w:bCs/>
          <w:color w:val="000000"/>
          <w:sz w:val="21"/>
          <w:szCs w:val="21"/>
          <w:highlight w:val="none"/>
        </w:rPr>
      </w:r>
      <w:r/>
    </w:p>
    <w:p>
      <w:pPr>
        <w:pStyle w:val="82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 乙方</w:t>
      </w:r>
      <w:r>
        <w:rPr>
          <w:rFonts w:hint="eastAsia" w:ascii="宋体" w:hAnsi="宋体" w:eastAsia="宋体" w:cs="宋体"/>
          <w:color w:val="000000"/>
          <w:sz w:val="21"/>
          <w:szCs w:val="21"/>
          <w:highlight w:val="none"/>
          <w:lang w:val="en-US" w:eastAsia="zh-CN"/>
        </w:rPr>
        <w:t xml:space="preserve">在签订合同前向甲方提交金额为合同金额的10%作为履约保证金，乙方可</w:t>
      </w:r>
      <w:r>
        <w:rPr>
          <w:rFonts w:hint="eastAsia" w:ascii="宋体" w:hAnsi="宋体" w:eastAsia="宋体" w:cs="宋体"/>
          <w:color w:val="000000"/>
          <w:sz w:val="21"/>
          <w:szCs w:val="21"/>
          <w:highlight w:val="none"/>
        </w:rPr>
        <w:t xml:space="preserve">自主选择支票、汇票、本票、保函等非现金形式缴纳或提交</w:t>
      </w:r>
      <w:r>
        <w:rPr>
          <w:rFonts w:hint="eastAsia" w:ascii="宋体" w:hAnsi="宋体" w:eastAsia="宋体" w:cs="宋体"/>
          <w:color w:val="000000"/>
          <w:sz w:val="21"/>
          <w:szCs w:val="21"/>
          <w:highlight w:val="none"/>
          <w:lang w:val="en-US" w:eastAsia="zh-CN"/>
        </w:rPr>
        <w:t xml:space="preserve">，用于担保乙方全面、适当履行本合同项下全部义务</w:t>
      </w:r>
      <w:r>
        <w:rPr>
          <w:rFonts w:hint="eastAsia" w:ascii="宋体" w:hAnsi="宋体" w:eastAsia="宋体" w:cs="宋体"/>
          <w:color w:val="000000"/>
          <w:sz w:val="21"/>
          <w:szCs w:val="21"/>
          <w:highlight w:val="none"/>
        </w:rPr>
        <w:t xml:space="preserve">（保函时间自开具之日起至本次合同履行结束止）</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6.2合同履行结束后，甲方应及时退还交纳的履约保证金。</w:t>
      </w:r>
      <w:r>
        <w:rPr>
          <w:rFonts w:hint="eastAsia" w:ascii="宋体" w:hAnsi="宋体" w:eastAsia="宋体" w:cs="宋体"/>
          <w:color w:val="000000"/>
          <w:sz w:val="21"/>
          <w:szCs w:val="21"/>
          <w:highlight w:val="none"/>
          <w:lang w:val="en-US" w:eastAsia="zh-CN"/>
        </w:rPr>
      </w:r>
      <w:r/>
    </w:p>
    <w:p>
      <w:pPr>
        <w:pStyle w:val="826"/>
        <w:ind w:left="420" w:right="0" w:firstLine="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6.2.1履约保证金退还方式：</w:t>
      </w:r>
      <w:r>
        <w:rPr>
          <w:rFonts w:hint="eastAsia" w:ascii="宋体" w:hAnsi="宋体" w:eastAsia="宋体" w:cs="宋体"/>
          <w:color w:val="000000"/>
          <w:sz w:val="21"/>
          <w:szCs w:val="21"/>
          <w:highlight w:val="none"/>
          <w:lang w:val="en-US" w:eastAsia="zh-CN"/>
        </w:rPr>
        <w:t xml:space="preserve">按照乙方缴纳的方式进行退还。</w:t>
      </w:r>
      <w:r>
        <w:rPr>
          <w:rFonts w:hint="eastAsia" w:ascii="宋体" w:hAnsi="宋体" w:eastAsia="宋体" w:cs="宋体"/>
          <w:color w:val="000000"/>
          <w:sz w:val="21"/>
          <w:szCs w:val="21"/>
          <w:highlight w:val="none"/>
        </w:rPr>
      </w:r>
      <w:r/>
    </w:p>
    <w:p>
      <w:pPr>
        <w:pStyle w:val="826"/>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6.2.2履约保证金退还时间：本次合同履行结束</w:t>
      </w:r>
      <w:r>
        <w:rPr>
          <w:rFonts w:hint="eastAsia" w:ascii="宋体" w:hAnsi="宋体" w:eastAsia="宋体" w:cs="宋体"/>
          <w:color w:val="000000"/>
          <w:sz w:val="21"/>
          <w:szCs w:val="21"/>
          <w:highlight w:val="none"/>
          <w:lang w:val="en-US" w:eastAsia="zh-CN"/>
        </w:rPr>
        <w:t xml:space="preserve">后15日内</w:t>
      </w:r>
      <w:r>
        <w:rPr>
          <w:rFonts w:hint="eastAsia" w:hAnsi="宋体"/>
          <w:color w:val="000000"/>
          <w:sz w:val="24"/>
          <w:szCs w:val="24"/>
          <w:highlight w:val="none"/>
          <w:lang w:val="en-US" w:eastAsia="zh-CN"/>
        </w:rPr>
        <w:t xml:space="preserve">。</w:t>
      </w:r>
      <w:r>
        <w:rPr>
          <w:rFonts w:hint="eastAsia" w:ascii="宋体" w:hAnsi="宋体" w:eastAsia="宋体" w:cs="宋体"/>
          <w:color w:val="000000"/>
          <w:sz w:val="21"/>
          <w:szCs w:val="21"/>
          <w:highlight w:val="none"/>
        </w:rPr>
      </w:r>
      <w:r/>
    </w:p>
    <w:p>
      <w:pPr>
        <w:pStyle w:val="82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6.2.3履约保证金退还条件：</w:t>
      </w:r>
      <w:r>
        <w:rPr>
          <w:rFonts w:hint="eastAsia" w:ascii="宋体" w:hAnsi="宋体" w:eastAsia="宋体" w:cs="宋体"/>
          <w:color w:val="000000"/>
          <w:sz w:val="21"/>
          <w:szCs w:val="21"/>
          <w:highlight w:val="none"/>
          <w:lang w:val="en-US" w:eastAsia="zh-CN"/>
        </w:rPr>
        <w:t xml:space="preserve">乙方不存在本合同约定的不予退还、暂缓退还情形</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6.2.4履约保证金不予退还的情形：</w:t>
      </w:r>
      <w:r>
        <w:rPr>
          <w:rFonts w:hint="eastAsia" w:ascii="宋体" w:hAnsi="宋体" w:eastAsia="宋体" w:cs="宋体"/>
          <w:color w:val="000000"/>
          <w:sz w:val="21"/>
          <w:szCs w:val="21"/>
          <w:highlight w:val="none"/>
          <w:lang w:val="en-US" w:eastAsia="zh-CN"/>
        </w:rPr>
        <w:t xml:space="preserve">若乙方存在应向甲方支付违约金、赔偿金等款项，且乙方未按本合同约定足额支付的，甲方有权在应退还的履约保证金中直接抵扣相应金额，抵扣后如有剩余，剩余部分按本条约定退还；若抵扣后履约保证金不足，乙方应在甲方通知的期限内补足差额。</w:t>
      </w:r>
      <w:r>
        <w:rPr>
          <w:rFonts w:hint="eastAsia" w:ascii="宋体" w:hAnsi="宋体" w:eastAsia="宋体" w:cs="宋体"/>
          <w:color w:val="000000"/>
          <w:sz w:val="21"/>
          <w:szCs w:val="21"/>
          <w:highlight w:val="none"/>
        </w:rPr>
      </w:r>
      <w:r/>
    </w:p>
    <w:p>
      <w:pPr>
        <w:pStyle w:val="82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6.2.5履约保证金逾期退还的违约责任：</w:t>
      </w:r>
      <w:r>
        <w:rPr>
          <w:rFonts w:hint="eastAsia" w:ascii="宋体" w:hAnsi="宋体" w:eastAsia="宋体" w:cs="宋体"/>
          <w:color w:val="000000"/>
          <w:sz w:val="21"/>
          <w:szCs w:val="21"/>
          <w:highlight w:val="none"/>
          <w:lang w:val="en-US" w:eastAsia="zh-CN"/>
        </w:rPr>
        <w:t xml:space="preserve">若乙方不存在本合同约定的不予退还、暂缓退还情形，甲方未按本合同约定的时间启动退还流程的，视为甲方逾期退还。因乙方自身原因导致履约保证金退还延误的，不属于甲方逾期退还，甲方不承担任何违约责任。</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七、转包或分包</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w:t>
      </w:r>
      <w:r>
        <w:rPr>
          <w:rFonts w:hint="eastAsia" w:hAnsi="宋体" w:cs="宋体"/>
          <w:color w:val="000000"/>
          <w:sz w:val="21"/>
          <w:szCs w:val="21"/>
          <w:highlight w:val="none"/>
          <w:lang w:eastAsia="zh-CN"/>
        </w:rPr>
        <w:t xml:space="preserve">围内</w:t>
      </w:r>
      <w:r>
        <w:rPr>
          <w:rFonts w:hint="eastAsia" w:ascii="宋体" w:hAnsi="宋体" w:eastAsia="宋体" w:cs="宋体"/>
          <w:color w:val="000000"/>
          <w:sz w:val="21"/>
          <w:szCs w:val="21"/>
          <w:highlight w:val="none"/>
        </w:rPr>
        <w:t xml:space="preserve">的货物及服务，应由乙方直接供应，不得转让他人供应；</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八、质保期</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质保期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w:t>
      </w:r>
      <w:r>
        <w:rPr>
          <w:rFonts w:hint="eastAsia" w:hAnsi="宋体" w:cs="宋体"/>
          <w:color w:val="000000"/>
          <w:sz w:val="21"/>
          <w:szCs w:val="21"/>
          <w:highlight w:val="none"/>
          <w:lang w:eastAsia="zh-CN"/>
        </w:rPr>
        <w:t xml:space="preserve">计算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九、交付期、交付方式及交付地点</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9.1 交付期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u w:val="single"/>
          <w:lang w:val="en-US" w:eastAsia="zh-CN"/>
        </w:rPr>
        <w:t xml:space="preserve">本</w:t>
      </w:r>
      <w:r>
        <w:rPr>
          <w:rFonts w:hint="eastAsia" w:ascii="宋体" w:hAnsi="宋体" w:eastAsia="宋体" w:cs="宋体"/>
          <w:color w:val="000000"/>
          <w:sz w:val="21"/>
          <w:szCs w:val="21"/>
          <w:highlight w:val="none"/>
          <w:u w:val="single"/>
        </w:rPr>
        <w:t xml:space="preserve">项目工期为自合同签订之日起 90 个日历天（含设备供货安装、调试及配套基础设施施工等），安装调试完成后进入为期</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个自然月的试运行。</w:t>
      </w:r>
      <w:r>
        <w:rPr>
          <w:rFonts w:hint="eastAsia" w:ascii="宋体" w:hAnsi="宋体" w:eastAsia="宋体" w:cs="宋体"/>
          <w:color w:val="000000"/>
          <w:sz w:val="21"/>
          <w:szCs w:val="21"/>
          <w:highlight w:val="none"/>
          <w:u w:val="singl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交付方式：</w:t>
      </w:r>
      <w:r>
        <w:rPr>
          <w:rFonts w:hint="eastAsia" w:hAnsi="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指定地点交货，并完成安装、调试。</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9.3 交付地点：</w:t>
      </w:r>
      <w:r>
        <w:rPr>
          <w:rFonts w:hint="eastAsia" w:ascii="宋体" w:hAnsi="宋体" w:eastAsia="宋体" w:cs="宋体"/>
          <w:b w:val="0"/>
          <w:bCs w:val="0"/>
          <w:color w:val="000000"/>
          <w:sz w:val="21"/>
          <w:szCs w:val="21"/>
          <w:highlight w:val="none"/>
          <w:u w:val="single"/>
          <w:lang w:val="en-US" w:eastAsia="zh-CN"/>
        </w:rPr>
        <w:t xml:space="preserve">甲方指定地点，由乙方负责办理运输和装卸等，费用由乙方负责，甲方组织验收，检验不合格或不符合质量要求，乙方除无条件退货、返工外，还应承担甲方由此造成的一切损失。</w:t>
      </w:r>
      <w:r>
        <w:rPr>
          <w:rFonts w:hint="eastAsia" w:ascii="宋体" w:hAnsi="宋体" w:eastAsia="宋体" w:cs="宋体"/>
          <w:color w:val="000000"/>
          <w:sz w:val="21"/>
          <w:szCs w:val="21"/>
          <w:highlight w:val="none"/>
          <w:u w:val="singl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十、货款支付</w:t>
      </w:r>
      <w:r>
        <w:rPr>
          <w:rFonts w:hint="eastAsia" w:ascii="宋体" w:hAnsi="宋体" w:eastAsia="宋体" w:cs="宋体"/>
          <w:b/>
          <w:bCs/>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本合同项下所有款项均以人民币支付。 </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本合同项下的采购资金由甲方支付，付款前乙方向甲方开具发票。</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甲方付款方式：</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合同签订前，乙方向甲方缴纳合同金额的10%作为履约保证金。</w:t>
      </w:r>
      <w:r>
        <w:rPr>
          <w:rFonts w:hint="eastAsia" w:ascii="宋体" w:hAnsi="宋体" w:eastAsia="宋体" w:cs="宋体"/>
          <w:color w:val="000000"/>
          <w:sz w:val="21"/>
          <w:szCs w:val="21"/>
          <w:highlight w:val="none"/>
          <w:u w:val="singl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合同签订后，乙方向甲方开具发票，甲方自收到发票之日起10个工作日内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支付合同</w:t>
      </w:r>
      <w:r>
        <w:rPr>
          <w:rFonts w:hint="eastAsia" w:ascii="宋体" w:hAnsi="宋体" w:cs="宋体"/>
          <w:color w:val="000000"/>
          <w:sz w:val="21"/>
          <w:szCs w:val="21"/>
          <w:highlight w:val="none"/>
          <w:u w:val="single"/>
          <w:lang w:val="en-US" w:eastAsia="zh-CN"/>
        </w:rPr>
        <w:t xml:space="preserve">金额的</w:t>
      </w:r>
      <w:r>
        <w:rPr>
          <w:rFonts w:hint="eastAsia" w:ascii="宋体" w:hAnsi="宋体" w:eastAsia="宋体" w:cs="宋体"/>
          <w:color w:val="000000"/>
          <w:sz w:val="21"/>
          <w:szCs w:val="21"/>
          <w:highlight w:val="none"/>
          <w:u w:val="single"/>
        </w:rPr>
        <w:t xml:space="preserve">30%</w:t>
      </w:r>
      <w:r>
        <w:rPr>
          <w:rFonts w:hint="eastAsia" w:ascii="宋体" w:hAnsi="宋体" w:eastAsia="宋体" w:cs="宋体"/>
          <w:color w:val="000000"/>
          <w:sz w:val="21"/>
          <w:szCs w:val="21"/>
          <w:highlight w:val="none"/>
          <w:u w:val="single"/>
          <w:lang w:val="en-US" w:eastAsia="zh-CN"/>
        </w:rPr>
        <w:t xml:space="preserve">作为</w:t>
      </w:r>
      <w:r>
        <w:rPr>
          <w:rFonts w:hint="eastAsia" w:ascii="宋体" w:hAnsi="宋体" w:eastAsia="宋体" w:cs="宋体"/>
          <w:color w:val="000000"/>
          <w:sz w:val="21"/>
          <w:szCs w:val="21"/>
          <w:highlight w:val="none"/>
          <w:u w:val="single"/>
        </w:rPr>
        <w:t xml:space="preserve">预付款；</w:t>
      </w:r>
      <w:r>
        <w:rPr>
          <w:rFonts w:hint="eastAsia" w:ascii="宋体" w:hAnsi="宋体" w:eastAsia="宋体" w:cs="宋体"/>
          <w:color w:val="000000"/>
          <w:sz w:val="21"/>
          <w:szCs w:val="21"/>
          <w:highlight w:val="none"/>
          <w:u w:val="singl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设备全部交付进入试运行后，</w:t>
      </w:r>
      <w:r>
        <w:rPr>
          <w:rFonts w:hint="eastAsia" w:ascii="宋体" w:hAnsi="宋体" w:eastAsia="宋体" w:cs="宋体"/>
          <w:color w:val="000000"/>
          <w:sz w:val="21"/>
          <w:szCs w:val="21"/>
          <w:highlight w:val="none"/>
          <w:u w:val="single"/>
        </w:rPr>
        <w:t xml:space="preserve">乙方向甲方开具发票，甲方自收到发票之日起10个工作日内</w:t>
      </w:r>
      <w:r>
        <w:rPr>
          <w:rFonts w:hint="eastAsia" w:ascii="宋体" w:hAnsi="宋体" w:eastAsia="宋体" w:cs="宋体"/>
          <w:color w:val="000000"/>
          <w:sz w:val="21"/>
          <w:szCs w:val="21"/>
          <w:highlight w:val="none"/>
          <w:u w:val="single"/>
          <w:lang w:val="en-US" w:eastAsia="zh-CN"/>
        </w:rPr>
        <w:t xml:space="preserve">支付合同</w:t>
      </w:r>
      <w:r>
        <w:rPr>
          <w:rFonts w:hint="eastAsia" w:ascii="宋体" w:hAnsi="宋体" w:cs="宋体"/>
          <w:color w:val="000000"/>
          <w:sz w:val="21"/>
          <w:szCs w:val="21"/>
          <w:highlight w:val="none"/>
          <w:u w:val="single"/>
          <w:lang w:val="en-US" w:eastAsia="zh-CN"/>
        </w:rPr>
        <w:t xml:space="preserve">金额</w:t>
      </w:r>
      <w:r>
        <w:rPr>
          <w:rFonts w:hint="eastAsia" w:ascii="宋体" w:hAnsi="宋体" w:eastAsia="宋体" w:cs="宋体"/>
          <w:color w:val="000000"/>
          <w:sz w:val="21"/>
          <w:szCs w:val="21"/>
          <w:highlight w:val="none"/>
          <w:u w:val="single"/>
          <w:lang w:val="en-US" w:eastAsia="zh-CN"/>
        </w:rPr>
        <w:t xml:space="preserve">的</w:t>
      </w:r>
      <w:r>
        <w:rPr>
          <w:rFonts w:hint="eastAsia" w:ascii="宋体" w:hAnsi="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试运行3个月进行初步验收，</w:t>
      </w:r>
      <w:r>
        <w:rPr>
          <w:rFonts w:hint="eastAsia" w:ascii="宋体" w:hAnsi="宋体" w:cs="宋体"/>
          <w:color w:val="000000"/>
          <w:sz w:val="21"/>
          <w:szCs w:val="21"/>
          <w:highlight w:val="none"/>
          <w:u w:val="single"/>
          <w:lang w:val="en-US" w:eastAsia="zh-CN"/>
        </w:rPr>
        <w:t xml:space="preserve">初步验收后正常</w:t>
      </w:r>
      <w:r>
        <w:rPr>
          <w:rFonts w:hint="eastAsia" w:ascii="宋体" w:hAnsi="宋体" w:eastAsia="宋体" w:cs="宋体"/>
          <w:color w:val="000000"/>
          <w:sz w:val="21"/>
          <w:szCs w:val="21"/>
          <w:highlight w:val="none"/>
          <w:u w:val="single"/>
          <w:lang w:val="en-US" w:eastAsia="zh-CN"/>
        </w:rPr>
        <w:t xml:space="preserve">运行</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val="en-US" w:eastAsia="zh-CN"/>
        </w:rPr>
        <w:t xml:space="preserve">个月后无异常情况，甲方组织</w:t>
      </w:r>
      <w:r>
        <w:rPr>
          <w:rFonts w:hint="eastAsia" w:ascii="宋体" w:hAnsi="宋体" w:eastAsia="宋体" w:cs="宋体"/>
          <w:color w:val="000000"/>
          <w:sz w:val="21"/>
          <w:szCs w:val="21"/>
          <w:highlight w:val="none"/>
          <w:u w:val="single"/>
        </w:rPr>
        <w:t xml:space="preserve">验收</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验收</w:t>
      </w:r>
      <w:r>
        <w:rPr>
          <w:rFonts w:hint="eastAsia" w:ascii="宋体" w:hAnsi="宋体" w:eastAsia="宋体" w:cs="宋体"/>
          <w:color w:val="000000"/>
          <w:sz w:val="21"/>
          <w:szCs w:val="21"/>
          <w:highlight w:val="none"/>
          <w:u w:val="single"/>
        </w:rPr>
        <w:t xml:space="preserve">合格</w:t>
      </w:r>
      <w:r>
        <w:rPr>
          <w:rFonts w:hint="eastAsia" w:ascii="宋体" w:hAnsi="宋体" w:eastAsia="宋体" w:cs="宋体"/>
          <w:color w:val="000000"/>
          <w:sz w:val="21"/>
          <w:szCs w:val="21"/>
          <w:highlight w:val="none"/>
          <w:u w:val="single"/>
          <w:lang w:val="en-US" w:eastAsia="zh-CN"/>
        </w:rPr>
        <w:t xml:space="preserve">后，</w:t>
      </w:r>
      <w:r>
        <w:rPr>
          <w:rFonts w:hint="eastAsia" w:ascii="宋体" w:hAnsi="宋体" w:eastAsia="宋体" w:cs="宋体"/>
          <w:color w:val="000000"/>
          <w:sz w:val="21"/>
          <w:szCs w:val="21"/>
          <w:highlight w:val="none"/>
          <w:u w:val="single"/>
        </w:rPr>
        <w:t xml:space="preserve">乙方向甲方开具发票，甲方自收到发票之日起10个工作日内</w:t>
      </w:r>
      <w:r>
        <w:rPr>
          <w:rFonts w:hint="eastAsia" w:ascii="宋体" w:hAnsi="宋体" w:eastAsia="宋体" w:cs="宋体"/>
          <w:color w:val="000000"/>
          <w:sz w:val="21"/>
          <w:szCs w:val="21"/>
          <w:highlight w:val="none"/>
          <w:u w:val="single"/>
          <w:lang w:val="en-US" w:eastAsia="zh-CN"/>
        </w:rPr>
        <w:t xml:space="preserve">支付合同</w:t>
      </w:r>
      <w:r>
        <w:rPr>
          <w:rFonts w:hint="eastAsia" w:ascii="宋体" w:hAnsi="宋体" w:cs="宋体"/>
          <w:color w:val="000000"/>
          <w:sz w:val="21"/>
          <w:szCs w:val="21"/>
          <w:highlight w:val="none"/>
          <w:u w:val="single"/>
          <w:lang w:val="en-US" w:eastAsia="zh-CN"/>
        </w:rPr>
        <w:t xml:space="preserve">金额</w:t>
      </w:r>
      <w:r>
        <w:rPr>
          <w:rFonts w:hint="eastAsia" w:ascii="宋体" w:hAnsi="宋体" w:eastAsia="宋体" w:cs="宋体"/>
          <w:color w:val="000000"/>
          <w:sz w:val="21"/>
          <w:szCs w:val="21"/>
          <w:highlight w:val="none"/>
          <w:u w:val="single"/>
          <w:lang w:val="en-US" w:eastAsia="zh-CN"/>
        </w:rPr>
        <w:t xml:space="preserve">的</w:t>
      </w:r>
      <w:r>
        <w:rPr>
          <w:rFonts w:hint="eastAsia" w:ascii="宋体" w:hAnsi="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826"/>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注：①在签订合同时，</w:t>
      </w:r>
      <w:r>
        <w:rPr>
          <w:rFonts w:hint="eastAsia" w:ascii="宋体" w:hAnsi="宋体" w:eastAsia="宋体" w:cs="宋体"/>
          <w:color w:val="000000"/>
          <w:sz w:val="21"/>
          <w:szCs w:val="21"/>
          <w:highlight w:val="none"/>
          <w:u w:val="single"/>
          <w:lang w:val="en-US" w:eastAsia="zh-CN"/>
        </w:rPr>
        <w:t xml:space="preserve">乙方</w:t>
      </w:r>
      <w:r>
        <w:rPr>
          <w:rFonts w:hint="eastAsia" w:ascii="宋体" w:hAnsi="宋体" w:eastAsia="宋体" w:cs="宋体"/>
          <w:color w:val="000000"/>
          <w:sz w:val="21"/>
          <w:szCs w:val="21"/>
          <w:highlight w:val="none"/>
          <w:u w:val="single"/>
        </w:rPr>
        <w:t xml:space="preserve">明确表示无需预付款或者主动要求降低预付款比例的，</w:t>
      </w:r>
      <w:r>
        <w:rPr>
          <w:rFonts w:hint="eastAsia" w:ascii="宋体" w:hAnsi="宋体" w:eastAsia="宋体" w:cs="宋体"/>
          <w:color w:val="000000"/>
          <w:sz w:val="21"/>
          <w:szCs w:val="21"/>
          <w:highlight w:val="none"/>
          <w:u w:val="single"/>
          <w:lang w:eastAsia="zh-CN"/>
        </w:rPr>
        <w:t xml:space="preserve">甲方</w:t>
      </w:r>
      <w:r>
        <w:rPr>
          <w:rFonts w:hint="eastAsia" w:ascii="宋体" w:hAnsi="宋体" w:eastAsia="宋体" w:cs="宋体"/>
          <w:color w:val="000000"/>
          <w:sz w:val="21"/>
          <w:szCs w:val="21"/>
          <w:highlight w:val="none"/>
          <w:u w:val="single"/>
        </w:rPr>
        <w:t xml:space="preserve">可不适用关于预付款的规定。</w:t>
      </w:r>
      <w:r>
        <w:rPr>
          <w:rFonts w:hint="eastAsia" w:ascii="宋体" w:hAnsi="宋体" w:eastAsia="宋体" w:cs="宋体"/>
          <w:color w:val="000000"/>
          <w:sz w:val="21"/>
          <w:szCs w:val="21"/>
          <w:highlight w:val="none"/>
          <w:u w:val="single"/>
        </w:rPr>
      </w:r>
      <w:r/>
    </w:p>
    <w:p>
      <w:pPr>
        <w:pStyle w:val="826"/>
        <w:ind w:firstLine="420"/>
        <w:pageBreakBefore w:val="0"/>
        <w:spacing w:line="360" w:lineRule="auto"/>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②甲方按本合同约定支付完毕全部款项，不视为对乙方设备质量、安装调试质量及合同履行情况的最终认可，亦不免除乙方在质保期内应承担的质量保修责任、违约责任及赔偿责任。</w:t>
      </w:r>
      <w:r>
        <w:rPr>
          <w:rFonts w:hint="eastAsia" w:ascii="宋体" w:hAnsi="宋体" w:eastAsia="宋体" w:cs="宋体"/>
          <w:color w:val="000000"/>
          <w:szCs w:val="21"/>
          <w:highlight w:val="none"/>
          <w:u w:val="single"/>
        </w:rPr>
      </w:r>
      <w:r/>
    </w:p>
    <w:p>
      <w:pPr>
        <w:pStyle w:val="826"/>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Cs w:val="21"/>
          <w:highlight w:val="none"/>
          <w:u w:val="single"/>
        </w:rPr>
        <w:t xml:space="preserve">③质保期内，因乙方原因导致设备或项目出现质量问题的，乙方应按本合同约定履行维修、更换等义务；给甲方造成损失的，乙方仍应承担相应赔偿责任。</w:t>
      </w:r>
      <w:r>
        <w:rPr>
          <w:rFonts w:hint="eastAsia" w:ascii="宋体" w:hAnsi="宋体" w:eastAsia="宋体" w:cs="宋体"/>
          <w:color w:val="000000"/>
          <w:sz w:val="21"/>
          <w:szCs w:val="21"/>
          <w:highlight w:val="none"/>
          <w:u w:val="singl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十一、税费</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11.1本合同执行中相关的一切税费均由乙方负担。</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十二、质量保证及售后服务</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乙方应按招标文件规定的货物及服务性能、技术要求、质量标准向甲方提供。</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⑴更换：由乙方承担所发生的全部费用。</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⑵贬值处理：由甲乙双方合议定价。</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⑶退还处理：乙方应退还甲方支付的合同款，同时应承担该货物及服务的直接费用（运输、保险、检验、款项利息及银行手续费等）。</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如在使用过程中发生质量问题，乙方在接到甲方通知后在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小时内到达甲方现场。</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在质保期内，乙方应对货物及服务出现的质量及安全问题负责处理解决并承担一切费用。</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hAnsi="宋体" w:cs="宋体"/>
          <w:color w:val="000000"/>
          <w:sz w:val="21"/>
          <w:szCs w:val="21"/>
          <w:highlight w:val="none"/>
          <w:lang w:eastAsia="zh-CN"/>
        </w:rPr>
        <w:t xml:space="preserve">上述</w:t>
      </w:r>
      <w:r>
        <w:rPr>
          <w:rFonts w:hint="eastAsia" w:ascii="宋体" w:hAnsi="宋体" w:eastAsia="宋体" w:cs="宋体"/>
          <w:color w:val="000000"/>
          <w:sz w:val="21"/>
          <w:szCs w:val="21"/>
          <w:highlight w:val="none"/>
        </w:rPr>
        <w:t xml:space="preserve">货物及服务免费保修期为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年，因人为因素出现的故障不在免费保修范围内。超过保修期的机器设备，</w:t>
      </w:r>
      <w:r>
        <w:rPr>
          <w:rFonts w:hint="eastAsia" w:hAnsi="宋体" w:cs="宋体"/>
          <w:color w:val="000000"/>
          <w:sz w:val="21"/>
          <w:szCs w:val="21"/>
          <w:highlight w:val="none"/>
          <w:lang w:eastAsia="zh-CN"/>
        </w:rPr>
        <w:t xml:space="preserve">终身维修</w:t>
      </w:r>
      <w:r>
        <w:rPr>
          <w:rFonts w:hint="eastAsia" w:ascii="宋体" w:hAnsi="宋体" w:eastAsia="宋体" w:cs="宋体"/>
          <w:color w:val="000000"/>
          <w:sz w:val="21"/>
          <w:szCs w:val="21"/>
          <w:highlight w:val="none"/>
        </w:rPr>
        <w:t xml:space="preserve">，维修时只收部件成本费。</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十三、调试和验收</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w:t>
      </w:r>
      <w:r>
        <w:rPr>
          <w:rFonts w:hint="eastAsia" w:ascii="宋体" w:hAnsi="宋体" w:cs="宋体"/>
          <w:color w:val="000000"/>
          <w:sz w:val="21"/>
          <w:szCs w:val="21"/>
          <w:highlight w:val="none"/>
          <w:u w:val="single"/>
          <w:lang w:val="en-US" w:eastAsia="zh-CN"/>
        </w:rPr>
        <w:t xml:space="preserve">初步验收后正常</w:t>
      </w:r>
      <w:r>
        <w:rPr>
          <w:rFonts w:hint="eastAsia" w:ascii="宋体" w:hAnsi="宋体" w:eastAsia="宋体" w:cs="宋体"/>
          <w:color w:val="000000"/>
          <w:sz w:val="21"/>
          <w:szCs w:val="21"/>
          <w:highlight w:val="none"/>
          <w:u w:val="single"/>
          <w:lang w:val="en-US" w:eastAsia="zh-CN"/>
        </w:rPr>
        <w:t xml:space="preserve">运行</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val="en-US" w:eastAsia="zh-CN"/>
        </w:rPr>
        <w:t xml:space="preserve">个月后无异常情况</w:t>
      </w:r>
      <w:r>
        <w:rPr>
          <w:rFonts w:hint="eastAsia" w:ascii="宋体" w:hAnsi="宋体" w:eastAsia="宋体" w:cs="宋体"/>
          <w:color w:val="000000"/>
          <w:sz w:val="21"/>
          <w:szCs w:val="21"/>
          <w:highlight w:val="none"/>
        </w:rPr>
        <w:t xml:space="preserve">，甲方需在五个工作日内验收。</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甲方对乙方提供的货物及服务在使用前进行调试时，乙方需负责</w:t>
      </w:r>
      <w:r>
        <w:rPr>
          <w:rFonts w:hint="eastAsia" w:hAnsi="宋体" w:cs="宋体"/>
          <w:color w:val="000000"/>
          <w:sz w:val="21"/>
          <w:szCs w:val="21"/>
          <w:highlight w:val="none"/>
          <w:lang w:val="en-US" w:eastAsia="zh-CN"/>
        </w:rPr>
        <w:t xml:space="preserve">按照甲方要求进行</w:t>
      </w:r>
      <w:r>
        <w:rPr>
          <w:rFonts w:hint="eastAsia" w:ascii="宋体" w:hAnsi="宋体" w:eastAsia="宋体" w:cs="宋体"/>
          <w:color w:val="000000"/>
          <w:sz w:val="21"/>
          <w:szCs w:val="21"/>
          <w:highlight w:val="none"/>
        </w:rPr>
        <w:t xml:space="preserve">安装并培训甲方的使用操作人员，并协助甲方一起调试，直到符合技术要求，甲方才做最终验收。</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对技术复杂的货物及服务，甲方可请国家认可的专业检测机构参与初步验收及最终验收，并由其出具质量检测报告。</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验收时乙方必须在现场，验收完毕后作出验收结果报告；验收费用由甲乙双方协商解决。</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十四、货物及服务包装、发运及运输</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乙方应在货物及服务发运前对其进行满足运输距离、防潮、防震、防锈和防破损装卸等要求包装，以保证货物及服务安全运达甲方指定地点。</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使用说明书、质量检验证明书、随配附件和工具以及清单一并交付甲方。</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乙方在货物及服务发运手续办理完毕后24小时内或交付到甲方48小时前通知甲方，以准备接受交付。</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货物在交付甲方前发生的风险均由乙方负责。</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 货物及服务在规定的交付期限内由乙方送达甲方指定的地点</w:t>
      </w:r>
      <w:r>
        <w:rPr>
          <w:rFonts w:hint="eastAsia" w:ascii="宋体" w:hAnsi="宋体" w:eastAsia="宋体" w:cs="宋体"/>
          <w:color w:val="000000"/>
          <w:sz w:val="21"/>
          <w:highlight w:val="none"/>
        </w:rPr>
        <w:t xml:space="preserve">完成安装调试，经院方组织验收合格</w:t>
      </w:r>
      <w:r>
        <w:rPr>
          <w:rFonts w:hint="eastAsia" w:ascii="宋体" w:hAnsi="宋体" w:eastAsia="宋体" w:cs="宋体"/>
          <w:color w:val="000000"/>
          <w:sz w:val="21"/>
          <w:szCs w:val="21"/>
          <w:highlight w:val="none"/>
        </w:rPr>
        <w:t xml:space="preserve">视为交付，乙方同时需通知甲方货物及服务已送达。</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十五、违约责任</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甲方无正当理由拒收货物及服务的，甲方向乙方偿付拒收款项总值的百分之五违约金。</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甲方无故逾期验收和办理款项支付手续的</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甲方应按逾期付款总额每日万分之五向乙方支付违约金。</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十六、不可抗力事件处理</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不可抗力事件发生后，应立即通知对方，并寄送有关权威机构出具的证明。</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不可抗力事件延续120天以上，双方应通过友好协商，确定是否继续履行合同。</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十七、诉讼</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双方在执行合同中所发生的一切争议，应通过协商解决。如协商不成，可向合同签订地法院起诉，合同签订地在此约定为扬州市。</w:t>
      </w:r>
      <w:r>
        <w:rPr>
          <w:rFonts w:hint="eastAsia" w:ascii="宋体" w:hAnsi="宋体" w:eastAsia="宋体" w:cs="宋体"/>
          <w:color w:val="000000"/>
          <w:sz w:val="21"/>
          <w:szCs w:val="21"/>
          <w:highlight w:val="none"/>
        </w:rPr>
      </w:r>
      <w:r/>
    </w:p>
    <w:p>
      <w:pPr>
        <w:pStyle w:val="826"/>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十八、</w:t>
      </w:r>
      <w:r>
        <w:rPr>
          <w:rFonts w:hint="eastAsia" w:ascii="宋体" w:hAnsi="宋体" w:eastAsia="宋体" w:cs="宋体"/>
          <w:bCs/>
          <w:color w:val="000000"/>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1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十九、合同生效及其它</w:t>
      </w:r>
      <w:r>
        <w:rPr>
          <w:rFonts w:hint="eastAsia" w:ascii="宋体" w:hAnsi="宋体" w:eastAsia="宋体" w:cs="宋体"/>
          <w:b/>
          <w:bCs/>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合同经双方法定代表人签章并加盖单位公章生效。</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19.2本合同未尽事宜，遵照《中华人民共和国民法典》有关条文执行。</w:t>
      </w:r>
      <w:r>
        <w:rPr>
          <w:rFonts w:hint="eastAsia" w:ascii="宋体" w:hAnsi="宋体" w:eastAsia="宋体" w:cs="宋体"/>
          <w:color w:val="000000"/>
          <w:sz w:val="21"/>
          <w:szCs w:val="21"/>
          <w:highlight w:val="none"/>
        </w:rPr>
      </w:r>
      <w:r/>
    </w:p>
    <w:p>
      <w:pPr>
        <w:pStyle w:val="1112"/>
        <w:ind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color w:val="000000"/>
          <w:sz w:val="21"/>
          <w:szCs w:val="21"/>
          <w:highlight w:val="none"/>
        </w:rPr>
        <w:t xml:space="preserve">19.3 本合同正本一式四份，具有同等法律效力，甲方、乙方各执</w:t>
      </w:r>
      <w:r>
        <w:rPr>
          <w:rFonts w:hint="eastAsia"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tbl>
      <w:tblPr>
        <w:tblW w:w="8379" w:type="dxa"/>
        <w:tblInd w:w="-189"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112"/>
              <w:spacing w:before="120" w:after="12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甲方：</w:t>
            </w:r>
            <w:r>
              <w:rPr>
                <w:rFonts w:hint="eastAsia" w:ascii="宋体" w:hAnsi="宋体" w:eastAsia="宋体" w:cs="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乙方： </w:t>
            </w: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 </w:t>
            </w: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年    月    日  </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112"/>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年    月    日</w:t>
            </w:r>
            <w:r>
              <w:rPr>
                <w:rFonts w:hint="eastAsia" w:ascii="宋体" w:hAnsi="宋体" w:eastAsia="宋体" w:cs="宋体"/>
                <w:color w:val="000000"/>
                <w:sz w:val="21"/>
                <w:highlight w:val="none"/>
              </w:rPr>
            </w:r>
            <w:r/>
          </w:p>
        </w:tc>
      </w:tr>
    </w:tbl>
    <w:p>
      <w:pPr>
        <w:pStyle w:val="826"/>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rPr>
          <w:rFonts w:hint="eastAsia"/>
          <w:color w:val="000000"/>
          <w:highlight w:val="none"/>
        </w:rPr>
      </w:pPr>
      <w:r/>
      <w:bookmarkStart w:id="61" w:name="_Toc5650"/>
      <w:r>
        <w:rPr>
          <w:rFonts w:hint="eastAsia"/>
          <w:color w:val="000000"/>
          <w:highlight w:val="none"/>
        </w:rPr>
      </w:r>
      <w:r/>
    </w:p>
    <w:p>
      <w:pPr>
        <w:pStyle w:val="861"/>
        <w:rPr>
          <w:color w:val="000000"/>
          <w:highlight w:val="none"/>
        </w:rPr>
      </w:pPr>
      <w:r>
        <w:rPr>
          <w:rFonts w:hint="eastAsia"/>
          <w:color w:val="000000"/>
          <w:highlight w:val="none"/>
        </w:rPr>
        <w:br w:type="page" w:clear="all"/>
      </w:r>
      <w:r>
        <w:rPr>
          <w:rFonts w:hint="eastAsia"/>
          <w:color w:val="000000"/>
          <w:highlight w:val="none"/>
        </w:rPr>
        <w:t xml:space="preserve">第四章 采购需求</w:t>
      </w:r>
      <w:bookmarkEnd w:id="60"/>
      <w:r/>
      <w:bookmarkEnd w:id="61"/>
      <w:r>
        <w:rPr>
          <w:color w:val="000000"/>
          <w:highlight w:val="none"/>
        </w:rPr>
      </w:r>
      <w:r/>
    </w:p>
    <w:p>
      <w:pPr>
        <w:pStyle w:val="826"/>
        <w:ind w:firstLine="422"/>
        <w:keepLines w:val="0"/>
        <w:keepNext w:val="0"/>
        <w:pageBreakBefore w:val="0"/>
        <w:spacing w:line="360" w:lineRule="auto"/>
        <w:widowControl w:val="off"/>
        <w:rPr>
          <w:rFonts w:hint="eastAsia" w:ascii="宋体" w:hAnsi="宋体" w:cs="宋体"/>
          <w:b/>
          <w:bCs/>
          <w:color w:val="000000"/>
          <w:szCs w:val="21"/>
          <w:highlight w:val="none"/>
        </w:rPr>
      </w:pPr>
      <w:r/>
      <w:bookmarkStart w:id="62" w:name="_Toc3248"/>
      <w:r/>
      <w:bookmarkStart w:id="63" w:name="_Toc12248"/>
      <w:r/>
      <w:bookmarkStart w:id="64" w:name="_Toc319408306"/>
      <w:r>
        <w:rPr>
          <w:rFonts w:hint="eastAsia" w:ascii="宋体" w:hAnsi="宋体" w:cs="宋体"/>
          <w:b/>
          <w:bCs/>
          <w:color w:val="000000"/>
          <w:szCs w:val="21"/>
          <w:highlight w:val="none"/>
        </w:rPr>
        <w:t xml:space="preserve">注：</w:t>
      </w:r>
      <w:r>
        <w:rPr>
          <w:rFonts w:hint="eastAsia" w:ascii="宋体" w:hAnsi="宋体" w:cs="宋体"/>
          <w:b/>
          <w:bCs/>
          <w:i/>
          <w:iCs/>
          <w:color w:val="000000"/>
          <w:szCs w:val="21"/>
          <w:highlight w:val="none"/>
          <w:u w:val="single"/>
        </w:rPr>
        <w:t xml:space="preserve">本章内容里斜体且有下划线部分为实质性要求和条件，投标文件不满足的，视为无效投标处理。</w:t>
      </w:r>
      <w:r>
        <w:rPr>
          <w:rFonts w:hint="eastAsia" w:ascii="宋体" w:hAnsi="宋体" w:cs="宋体"/>
          <w:b/>
          <w:bCs/>
          <w:color w:val="000000"/>
          <w:szCs w:val="21"/>
          <w:highlight w:val="none"/>
        </w:rPr>
        <w:t xml:space="preserve">请各</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rPr>
        <w:t xml:space="preserve">制作电子投标文件时，将实质性响应的内容在政府采购管理交易系统（苏采云）“</w:t>
      </w:r>
      <w:r>
        <w:rPr>
          <w:rFonts w:hint="eastAsia" w:ascii="宋体" w:hAnsi="宋体" w:cs="宋体"/>
          <w:b/>
          <w:bCs/>
          <w:color w:val="000000"/>
          <w:szCs w:val="21"/>
          <w:highlight w:val="none"/>
          <w:lang w:eastAsia="zh-CN"/>
        </w:rPr>
        <w:t xml:space="preserve">实质性响应对照表</w:t>
      </w:r>
      <w:r>
        <w:rPr>
          <w:rFonts w:hint="eastAsia" w:ascii="宋体" w:hAnsi="宋体" w:cs="宋体"/>
          <w:b/>
          <w:bCs/>
          <w:color w:val="000000"/>
          <w:szCs w:val="21"/>
          <w:highlight w:val="none"/>
        </w:rPr>
        <w:t xml:space="preserve">”中准确填写或上传。</w:t>
      </w:r>
      <w:r>
        <w:rPr>
          <w:rFonts w:hint="eastAsia" w:ascii="宋体" w:hAnsi="宋体" w:cs="宋体"/>
          <w:b/>
          <w:bCs/>
          <w:color w:val="000000"/>
          <w:szCs w:val="21"/>
          <w:highlight w:val="none"/>
        </w:rPr>
      </w:r>
      <w:r/>
    </w:p>
    <w:p>
      <w:pPr>
        <w:pStyle w:val="887"/>
        <w:ind w:left="0" w:firstLine="422"/>
        <w:keepLines w:val="0"/>
        <w:keepNext w:val="0"/>
        <w:pageBreakBefore w:val="0"/>
        <w:spacing w:after="0"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rPr>
          <w:rFonts w:hint="eastAsia" w:ascii="宋体" w:hAnsi="宋体" w:eastAsia="宋体" w:cs="宋体"/>
          <w:b/>
          <w:bCs/>
          <w:color w:val="000000"/>
          <w:szCs w:val="21"/>
          <w:highlight w:val="none"/>
        </w:rPr>
      </w:r>
      <w:r/>
    </w:p>
    <w:p>
      <w:pPr>
        <w:pStyle w:val="865"/>
        <w:ind w:firstLine="418"/>
        <w:pageBreakBefore w:val="0"/>
        <w:spacing w:before="0" w:after="0" w:line="360" w:lineRule="auto"/>
        <w:widowControl w:val="off"/>
        <w:rPr>
          <w:rFonts w:hint="eastAsia" w:ascii="宋体" w:hAnsi="宋体" w:eastAsia="宋体" w:cs="宋体"/>
          <w:b/>
          <w:bCs/>
          <w:color w:val="000000"/>
          <w:spacing w:val="-1"/>
          <w:sz w:val="21"/>
          <w:szCs w:val="21"/>
          <w:highlight w:val="none"/>
        </w:rPr>
      </w:pPr>
      <w:r>
        <w:rPr>
          <w:rFonts w:hint="eastAsia" w:ascii="宋体" w:hAnsi="宋体" w:eastAsia="宋体" w:cs="宋体"/>
          <w:b/>
          <w:bCs/>
          <w:color w:val="000000"/>
          <w:spacing w:val="-1"/>
          <w:sz w:val="21"/>
          <w:szCs w:val="21"/>
          <w:highlight w:val="none"/>
        </w:rPr>
        <w:t xml:space="preserve">项目属性：</w:t>
      </w:r>
      <w:r>
        <w:rPr>
          <w:rFonts w:hint="eastAsia" w:ascii="宋体" w:hAnsi="宋体" w:eastAsia="宋体" w:cs="宋体"/>
          <w:b/>
          <w:bCs/>
          <w:color w:val="000000"/>
          <w:spacing w:val="-1"/>
          <w:sz w:val="21"/>
          <w:szCs w:val="21"/>
          <w:highlight w:val="none"/>
          <w:lang w:val="en-US" w:eastAsia="zh-CN"/>
        </w:rPr>
        <w:t xml:space="preserve">货物</w:t>
      </w:r>
      <w:r>
        <w:rPr>
          <w:rFonts w:hint="eastAsia" w:ascii="宋体" w:hAnsi="宋体" w:eastAsia="宋体" w:cs="宋体"/>
          <w:b/>
          <w:bCs/>
          <w:color w:val="000000"/>
          <w:spacing w:val="-1"/>
          <w:sz w:val="21"/>
          <w:szCs w:val="21"/>
          <w:highlight w:val="none"/>
        </w:rPr>
        <w:t xml:space="preserve">类</w:t>
      </w:r>
      <w:bookmarkEnd w:id="62"/>
      <w:r/>
      <w:bookmarkEnd w:id="63"/>
      <w:r>
        <w:rPr>
          <w:rFonts w:hint="eastAsia" w:ascii="宋体" w:hAnsi="宋体" w:eastAsia="宋体" w:cs="宋体"/>
          <w:b/>
          <w:bCs/>
          <w:color w:val="000000"/>
          <w:spacing w:val="-1"/>
          <w:sz w:val="21"/>
          <w:szCs w:val="21"/>
          <w:highlight w:val="none"/>
        </w:rPr>
      </w:r>
      <w:r/>
    </w:p>
    <w:p>
      <w:pPr>
        <w:pStyle w:val="887"/>
        <w:ind w:left="0" w:firstLine="422"/>
        <w:keepLines w:val="0"/>
        <w:keepNext w:val="0"/>
        <w:pageBreakBefore w:val="0"/>
        <w:spacing w:after="0"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核心产品：</w:t>
      </w:r>
      <w:r>
        <w:rPr>
          <w:rFonts w:hint="eastAsia" w:ascii="宋体" w:hAnsi="宋体" w:eastAsia="宋体" w:cs="宋体"/>
          <w:b/>
          <w:bCs/>
          <w:color w:val="000000"/>
          <w:szCs w:val="21"/>
          <w:highlight w:val="none"/>
        </w:rPr>
      </w:r>
      <w:r/>
    </w:p>
    <w:tbl>
      <w:tblPr>
        <w:tblW w:w="0" w:type="auto"/>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2805"/>
        <w:gridCol w:w="3045"/>
      </w:tblGrid>
      <w:tr>
        <w:trPr>
          <w:trHeight w:val="805"/>
        </w:trPr>
        <w:tc>
          <w:tcPr>
            <w:tcW w:w="1255"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采购</w:t>
            </w:r>
            <w:r>
              <w:rPr>
                <w:rFonts w:hint="eastAsia" w:ascii="宋体" w:hAnsi="宋体" w:cs="宋体"/>
                <w:b w:val="0"/>
                <w:bCs w:val="0"/>
                <w:color w:val="000000"/>
                <w:szCs w:val="21"/>
                <w:highlight w:val="none"/>
              </w:rPr>
            </w:r>
            <w:r/>
          </w:p>
          <w:p>
            <w:pPr>
              <w:pStyle w:val="826"/>
              <w:jc w:val="center"/>
              <w:keepLines w:val="0"/>
              <w:keepNext w:val="0"/>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包号</w:t>
            </w:r>
            <w:r>
              <w:rPr>
                <w:rFonts w:hint="eastAsia" w:ascii="宋体" w:hAnsi="宋体" w:cs="宋体"/>
                <w:b w:val="0"/>
                <w:bCs w:val="0"/>
                <w:color w:val="000000"/>
                <w:szCs w:val="21"/>
                <w:highlight w:val="none"/>
              </w:rPr>
            </w:r>
            <w:r/>
          </w:p>
        </w:tc>
        <w:tc>
          <w:tcPr>
            <w:gridSpan w:val="2"/>
            <w:tcW w:w="5850" w:type="dxa"/>
            <w:vAlign w:val="center"/>
            <w:textDirection w:val="lrTb"/>
            <w:noWrap w:val="false"/>
          </w:tcPr>
          <w:p>
            <w:pPr>
              <w:pStyle w:val="826"/>
              <w:jc w:val="center"/>
              <w:keepLines w:val="0"/>
              <w:keepNext w:val="0"/>
              <w:pageBreakBefore w:val="0"/>
              <w:spacing w:line="360" w:lineRule="auto"/>
              <w:widowControl w:val="off"/>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货物名称</w:t>
            </w:r>
            <w:r>
              <w:rPr>
                <w:rFonts w:ascii="宋体" w:hAnsi="宋体" w:eastAsia="宋体" w:cs="宋体"/>
                <w:b w:val="0"/>
                <w:bCs w:val="0"/>
                <w:color w:val="000000"/>
                <w:szCs w:val="21"/>
                <w:highlight w:val="none"/>
                <w:lang w:val="en-US" w:eastAsia="zh-CN"/>
              </w:rPr>
            </w:r>
            <w:r/>
          </w:p>
        </w:tc>
      </w:tr>
      <w:tr>
        <w:trPr>
          <w:trHeight w:val="407"/>
        </w:trPr>
        <w:tc>
          <w:tcPr>
            <w:tcW w:w="1255" w:type="dxa"/>
            <w:vAlign w:val="center"/>
            <w:vMerge w:val="restart"/>
            <w:textDirection w:val="lrTb"/>
            <w:noWrap w:val="false"/>
          </w:tcPr>
          <w:p>
            <w:pPr>
              <w:pStyle w:val="826"/>
              <w:jc w:val="center"/>
              <w:keepLines w:val="0"/>
              <w:keepNext w:val="0"/>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w:t>
            </w:r>
            <w:r>
              <w:rPr>
                <w:rFonts w:hint="eastAsia" w:ascii="宋体" w:hAnsi="宋体" w:cs="宋体"/>
                <w:b w:val="0"/>
                <w:bCs w:val="0"/>
                <w:color w:val="000000"/>
                <w:szCs w:val="21"/>
                <w:highlight w:val="none"/>
              </w:rPr>
            </w:r>
            <w:r/>
          </w:p>
        </w:tc>
        <w:tc>
          <w:tcPr>
            <w:tcW w:w="2805" w:type="dxa"/>
            <w:vAlign w:val="center"/>
            <w:textDirection w:val="lrTb"/>
            <w:noWrap w:val="false"/>
          </w:tcPr>
          <w:p>
            <w:pPr>
              <w:pStyle w:val="826"/>
              <w:jc w:val="center"/>
              <w:keepLines w:val="0"/>
              <w:keepNext w:val="0"/>
              <w:pageBreakBefore w:val="0"/>
              <w:spacing w:line="360" w:lineRule="auto"/>
              <w:widowControl w:val="off"/>
              <w:rPr>
                <w:rFonts w:ascii="宋体" w:hAnsi="宋体" w:eastAsia="宋体" w:cs="宋体"/>
                <w:b w:val="0"/>
                <w:bCs w:val="0"/>
                <w:color w:val="ff0000"/>
                <w:szCs w:val="21"/>
                <w:highlight w:val="none"/>
                <w:lang w:val="en-US" w:eastAsia="zh-CN"/>
              </w:rPr>
            </w:pPr>
            <w:r>
              <w:rPr>
                <w:rFonts w:hint="eastAsia" w:ascii="宋体" w:hAnsi="宋体" w:eastAsia="宋体" w:cs="宋体"/>
                <w:b w:val="0"/>
                <w:bCs w:val="0"/>
                <w:color w:val="ff0000"/>
                <w:szCs w:val="21"/>
                <w:highlight w:val="none"/>
                <w:lang w:val="en-US" w:eastAsia="zh-CN"/>
              </w:rPr>
              <w:t xml:space="preserve">东区医院</w:t>
            </w:r>
            <w:r>
              <w:rPr>
                <w:rFonts w:ascii="宋体" w:hAnsi="宋体" w:eastAsia="宋体" w:cs="宋体"/>
                <w:b w:val="0"/>
                <w:bCs w:val="0"/>
                <w:color w:val="ff0000"/>
                <w:szCs w:val="21"/>
                <w:highlight w:val="none"/>
                <w:lang w:val="en-US" w:eastAsia="zh-CN"/>
              </w:rPr>
            </w:r>
            <w:r/>
          </w:p>
        </w:tc>
        <w:tc>
          <w:tcPr>
            <w:tcW w:w="3045"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i w:val="0"/>
                <w:iCs w:val="0"/>
                <w:color w:val="ff0000"/>
                <w:sz w:val="21"/>
                <w:szCs w:val="21"/>
                <w:highlight w:val="none"/>
                <w:u w:val="none"/>
                <w:lang w:val="en-US" w:eastAsia="zh-CN" w:bidi="ar"/>
              </w:rPr>
            </w:pPr>
            <w:r>
              <w:rPr>
                <w:rFonts w:hint="eastAsia" w:ascii="宋体" w:hAnsi="宋体" w:eastAsia="宋体" w:cs="宋体"/>
                <w:i w:val="0"/>
                <w:iCs w:val="0"/>
                <w:color w:val="ff0000"/>
                <w:sz w:val="21"/>
                <w:szCs w:val="21"/>
                <w:highlight w:val="none"/>
                <w:u w:val="none"/>
                <w:lang w:val="en-US" w:eastAsia="zh-CN" w:bidi="ar"/>
              </w:rPr>
              <w:t xml:space="preserve">48口汇聚交换机</w:t>
            </w:r>
            <w:r>
              <w:rPr>
                <w:rFonts w:hint="eastAsia" w:ascii="宋体" w:hAnsi="宋体" w:eastAsia="宋体" w:cs="宋体"/>
                <w:i w:val="0"/>
                <w:iCs w:val="0"/>
                <w:color w:val="ff0000"/>
                <w:sz w:val="21"/>
                <w:szCs w:val="21"/>
                <w:highlight w:val="none"/>
                <w:u w:val="none"/>
                <w:lang w:val="en-US" w:eastAsia="zh-CN" w:bidi="ar"/>
              </w:rPr>
            </w:r>
            <w:r/>
          </w:p>
        </w:tc>
      </w:tr>
      <w:tr>
        <w:trPr>
          <w:trHeight w:val="417"/>
        </w:trPr>
        <w:tc>
          <w:tcPr>
            <w:tcW w:w="1255" w:type="dxa"/>
            <w:vAlign w:val="center"/>
            <w:vMerge w:val="continue"/>
            <w:textDirection w:val="lrTb"/>
            <w:noWrap w:val="false"/>
          </w:tcPr>
          <w:p>
            <w:pPr>
              <w:pStyle w:val="826"/>
              <w:jc w:val="center"/>
              <w:keepLines w:val="0"/>
              <w:keepNext w:val="0"/>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r>
            <w:r/>
          </w:p>
        </w:tc>
        <w:tc>
          <w:tcPr>
            <w:tcW w:w="2805"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i w:val="0"/>
                <w:iCs w:val="0"/>
                <w:color w:val="ff0000"/>
                <w:sz w:val="21"/>
                <w:szCs w:val="21"/>
                <w:highlight w:val="none"/>
                <w:u w:val="none"/>
                <w:lang w:val="en-US" w:eastAsia="zh-CN" w:bidi="ar"/>
              </w:rPr>
            </w:pPr>
            <w:r>
              <w:rPr>
                <w:rFonts w:hint="eastAsia" w:ascii="宋体" w:hAnsi="宋体" w:cs="宋体"/>
                <w:b w:val="0"/>
                <w:bCs w:val="0"/>
                <w:color w:val="ff0000"/>
                <w:szCs w:val="21"/>
                <w:highlight w:val="none"/>
                <w:lang w:val="en-US" w:eastAsia="zh-CN"/>
              </w:rPr>
              <w:t xml:space="preserve">西</w:t>
            </w:r>
            <w:r>
              <w:rPr>
                <w:rFonts w:hint="eastAsia" w:ascii="宋体" w:hAnsi="宋体" w:eastAsia="宋体" w:cs="宋体"/>
                <w:b w:val="0"/>
                <w:bCs w:val="0"/>
                <w:color w:val="ff0000"/>
                <w:szCs w:val="21"/>
                <w:highlight w:val="none"/>
                <w:lang w:val="en-US" w:eastAsia="zh-CN"/>
              </w:rPr>
              <w:t xml:space="preserve">区医院</w:t>
            </w:r>
            <w:r>
              <w:rPr>
                <w:rFonts w:hint="eastAsia" w:ascii="宋体" w:hAnsi="宋体" w:eastAsia="宋体" w:cs="宋体"/>
                <w:i w:val="0"/>
                <w:iCs w:val="0"/>
                <w:color w:val="ff0000"/>
                <w:sz w:val="21"/>
                <w:szCs w:val="21"/>
                <w:highlight w:val="none"/>
                <w:u w:val="none"/>
                <w:lang w:val="en-US" w:eastAsia="zh-CN" w:bidi="ar"/>
              </w:rPr>
            </w:r>
            <w:r/>
          </w:p>
        </w:tc>
        <w:tc>
          <w:tcPr>
            <w:tcW w:w="3045"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eastAsia="宋体" w:cs="宋体"/>
                <w:i w:val="0"/>
                <w:iCs w:val="0"/>
                <w:color w:val="ff0000"/>
                <w:sz w:val="21"/>
                <w:szCs w:val="21"/>
                <w:highlight w:val="none"/>
                <w:u w:val="none"/>
                <w:lang w:val="en-US" w:eastAsia="zh-CN" w:bidi="ar"/>
              </w:rPr>
            </w:pPr>
            <w:r>
              <w:rPr>
                <w:rFonts w:hint="eastAsia" w:ascii="宋体" w:hAnsi="宋体" w:eastAsia="宋体" w:cs="宋体"/>
                <w:i w:val="0"/>
                <w:iCs w:val="0"/>
                <w:color w:val="ff0000"/>
                <w:sz w:val="21"/>
                <w:szCs w:val="21"/>
                <w:highlight w:val="none"/>
                <w:u w:val="none"/>
                <w:lang w:val="en-US" w:eastAsia="zh-CN" w:bidi="ar"/>
              </w:rPr>
              <w:t xml:space="preserve">48口汇聚交换机</w:t>
            </w:r>
            <w:r>
              <w:rPr>
                <w:rFonts w:hint="eastAsia" w:ascii="宋体" w:hAnsi="宋体" w:eastAsia="宋体" w:cs="宋体"/>
                <w:i w:val="0"/>
                <w:iCs w:val="0"/>
                <w:color w:val="ff0000"/>
                <w:sz w:val="21"/>
                <w:szCs w:val="21"/>
                <w:highlight w:val="none"/>
                <w:u w:val="none"/>
                <w:lang w:val="en-US" w:eastAsia="zh-CN" w:bidi="ar"/>
              </w:rPr>
            </w:r>
            <w:r/>
          </w:p>
        </w:tc>
      </w:tr>
    </w:tbl>
    <w:p>
      <w:pPr>
        <w:pStyle w:val="826"/>
        <w:ind w:firstLine="422"/>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进口产品投标：</w:t>
      </w:r>
      <w:r>
        <w:rPr>
          <w:rFonts w:hint="eastAsia" w:ascii="宋体" w:hAnsi="宋体" w:cs="宋体"/>
          <w:b/>
          <w:bCs/>
          <w:color w:val="000000"/>
          <w:szCs w:val="21"/>
          <w:highlight w:val="none"/>
        </w:rPr>
      </w:r>
      <w:r/>
    </w:p>
    <w:tbl>
      <w:tblPr>
        <w:tblW w:w="0" w:type="auto"/>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5823"/>
      </w:tblGrid>
      <w:tr>
        <w:trPr/>
        <w:tc>
          <w:tcPr>
            <w:tcW w:w="1246"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w:t>
            </w:r>
            <w:r>
              <w:rPr>
                <w:rFonts w:hint="eastAsia" w:ascii="宋体" w:hAnsi="宋体" w:cs="宋体"/>
                <w:color w:val="000000"/>
                <w:szCs w:val="21"/>
                <w:highlight w:val="none"/>
              </w:rPr>
            </w:r>
            <w:r/>
          </w:p>
          <w:p>
            <w:pPr>
              <w:pStyle w:val="82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包号</w:t>
            </w:r>
            <w:r>
              <w:rPr>
                <w:rFonts w:hint="eastAsia" w:ascii="宋体" w:hAnsi="宋体" w:cs="宋体"/>
                <w:color w:val="000000"/>
                <w:szCs w:val="21"/>
                <w:highlight w:val="none"/>
              </w:rPr>
            </w:r>
            <w:r/>
          </w:p>
        </w:tc>
        <w:tc>
          <w:tcPr>
            <w:tcW w:w="5823"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是否接受进口产品投标</w:t>
            </w:r>
            <w:r>
              <w:rPr>
                <w:rFonts w:hint="eastAsia" w:ascii="宋体" w:hAnsi="宋体" w:cs="宋体"/>
                <w:color w:val="000000"/>
                <w:szCs w:val="21"/>
                <w:highlight w:val="none"/>
              </w:rPr>
            </w:r>
            <w:r/>
          </w:p>
          <w:p>
            <w:pPr>
              <w:pStyle w:val="82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（是/否）</w:t>
            </w:r>
            <w:r>
              <w:rPr>
                <w:rFonts w:hint="eastAsia" w:ascii="宋体" w:hAnsi="宋体" w:cs="宋体"/>
                <w:color w:val="000000"/>
                <w:szCs w:val="21"/>
                <w:highlight w:val="none"/>
              </w:rPr>
            </w:r>
            <w:r/>
          </w:p>
        </w:tc>
      </w:tr>
      <w:tr>
        <w:trPr/>
        <w:tc>
          <w:tcPr>
            <w:tcW w:w="1246"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823" w:type="dxa"/>
            <w:vAlign w:val="center"/>
            <w:textDirection w:val="lrTb"/>
            <w:noWrap w:val="false"/>
          </w:tcPr>
          <w:p>
            <w:pPr>
              <w:pStyle w:val="826"/>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bl>
    <w:p>
      <w:pPr>
        <w:pStyle w:val="826"/>
        <w:ind w:firstLine="42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w:t>
      </w:r>
      <w:r>
        <w:rPr>
          <w:rFonts w:hint="eastAsia" w:ascii="宋体" w:hAnsi="宋体" w:cs="宋体"/>
          <w:b/>
          <w:bCs/>
          <w:color w:val="000000"/>
          <w:szCs w:val="21"/>
          <w:highlight w:val="none"/>
        </w:rPr>
        <w:t xml:space="preserve">本项目强制节能产品有：</w:t>
      </w:r>
      <w:r>
        <w:rPr>
          <w:rFonts w:hint="eastAsia" w:ascii="宋体" w:hAnsi="宋体" w:eastAsia="宋体" w:cs="宋体"/>
          <w:b/>
          <w:bCs/>
          <w:i w:val="0"/>
          <w:iCs w:val="0"/>
          <w:color w:val="000000"/>
          <w:sz w:val="21"/>
          <w:szCs w:val="21"/>
          <w:highlight w:val="none"/>
          <w:u w:val="single"/>
          <w:lang w:val="en-US" w:eastAsia="zh-CN" w:bidi="ar"/>
        </w:rPr>
        <w:t xml:space="preserve">拼接屏（西区医院采购清单及参数要求中第1.18项）</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r>
      <w:r/>
    </w:p>
    <w:p>
      <w:pPr>
        <w:pStyle w:val="826"/>
        <w:ind w:firstLine="42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2.供应商对于投标产品的包装应按照“财办库〔2020〕123号《关于印发《商品包装政府采购需求标准（试行）》《快递包装政府采购需求标准（试行）》的通知》”执行。</w:t>
      </w:r>
      <w:r>
        <w:rPr>
          <w:rFonts w:hint="eastAsia" w:ascii="宋体" w:hAnsi="宋体" w:cs="宋体"/>
          <w:color w:val="000000"/>
          <w:szCs w:val="21"/>
          <w:highlight w:val="none"/>
        </w:rPr>
      </w:r>
      <w:r/>
    </w:p>
    <w:p>
      <w:pPr>
        <w:pStyle w:val="826"/>
        <w:ind w:firstLine="420"/>
        <w:pageBreakBefore w:val="0"/>
        <w:spacing w:line="360" w:lineRule="auto"/>
        <w:widowControl w:val="off"/>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3.政府采购中实施本国产品标准及相关政策</w:t>
      </w:r>
      <w:r>
        <w:rPr>
          <w:rFonts w:hint="eastAsia" w:ascii="宋体" w:hAnsi="宋体" w:cs="宋体"/>
          <w:b w:val="0"/>
          <w:bCs w:val="0"/>
          <w:color w:val="000000"/>
          <w:szCs w:val="21"/>
          <w:highlight w:val="none"/>
        </w:rPr>
      </w:r>
      <w:r/>
    </w:p>
    <w:p>
      <w:pPr>
        <w:pStyle w:val="826"/>
        <w:ind w:firstLine="420"/>
        <w:pageBreakBefore w:val="0"/>
        <w:spacing w:line="360" w:lineRule="auto"/>
        <w:widowControl w:val="off"/>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3.1根据《国务院办公厅关于在政府采购中实施本国产品标准及相关政策的通知》（国办发〔2025〕34号）规定，本项目对采购本国产品给予政策支持，具体内容见招标文件“第五章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cs="宋体"/>
          <w:b w:val="0"/>
          <w:bCs w:val="0"/>
          <w:color w:val="000000"/>
          <w:szCs w:val="21"/>
          <w:highlight w:val="none"/>
        </w:rPr>
      </w:r>
      <w:r/>
    </w:p>
    <w:p>
      <w:pPr>
        <w:pStyle w:val="826"/>
        <w:ind w:firstLine="420"/>
        <w:pageBreakBefore w:val="0"/>
        <w:spacing w:line="360" w:lineRule="auto"/>
        <w:widowControl w:val="off"/>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val="0"/>
          <w:bCs w:val="0"/>
          <w:color w:val="000000"/>
          <w:szCs w:val="21"/>
          <w:highlight w:val="none"/>
        </w:rPr>
      </w:r>
      <w:r/>
    </w:p>
    <w:p>
      <w:pPr>
        <w:pStyle w:val="826"/>
        <w:ind w:firstLine="420"/>
        <w:pageBreakBefore w:val="0"/>
        <w:spacing w:line="360" w:lineRule="auto"/>
        <w:widowControl w:val="off"/>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val="0"/>
          <w:bCs w:val="0"/>
          <w:color w:val="000000"/>
          <w:szCs w:val="21"/>
          <w:highlight w:val="none"/>
        </w:rPr>
      </w:r>
      <w:r/>
    </w:p>
    <w:p>
      <w:pPr>
        <w:pStyle w:val="826"/>
        <w:numPr>
          <w:ilvl w:val="0"/>
          <w:numId w:val="2"/>
        </w:numPr>
        <w:ind w:firstLine="42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采购标的清单</w:t>
      </w:r>
      <w:r>
        <w:rPr>
          <w:rFonts w:hint="eastAsia" w:ascii="宋体" w:hAnsi="宋体" w:cs="宋体"/>
          <w:color w:val="000000"/>
          <w:szCs w:val="21"/>
          <w:highlight w:val="none"/>
        </w:rPr>
      </w:r>
      <w:r/>
    </w:p>
    <w:tbl>
      <w:tblPr>
        <w:tblStyle w:val="915"/>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4"/>
        <w:gridCol w:w="4414"/>
        <w:gridCol w:w="3741"/>
      </w:tblGrid>
      <w:tr>
        <w:trPr>
          <w:trHeight w:val="672"/>
        </w:trPr>
        <w:tc>
          <w:tcPr>
            <w:tcMar>
              <w:left w:w="108" w:type="dxa"/>
              <w:top w:w="0" w:type="dxa"/>
              <w:right w:w="108" w:type="dxa"/>
              <w:bottom w:w="0" w:type="dxa"/>
            </w:tcMar>
            <w:tcW w:w="1244" w:type="dxa"/>
            <w:vAlign w:val="center"/>
            <w:textDirection w:val="lrTb"/>
            <w:noWrap w:val="false"/>
          </w:tcPr>
          <w:p>
            <w:pPr>
              <w:pStyle w:val="826"/>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采购包号</w:t>
            </w:r>
            <w:r>
              <w:rPr>
                <w:rFonts w:hint="eastAsia" w:ascii="宋体" w:hAnsi="宋体" w:cs="宋体"/>
                <w:color w:val="000000"/>
                <w:sz w:val="21"/>
                <w:szCs w:val="21"/>
                <w:highlight w:val="none"/>
              </w:rPr>
            </w:r>
            <w:r/>
          </w:p>
        </w:tc>
        <w:tc>
          <w:tcPr>
            <w:tcMar>
              <w:left w:w="108" w:type="dxa"/>
              <w:top w:w="0" w:type="dxa"/>
              <w:right w:w="108" w:type="dxa"/>
              <w:bottom w:w="0" w:type="dxa"/>
            </w:tcMar>
            <w:tcW w:w="4414" w:type="dxa"/>
            <w:vAlign w:val="center"/>
            <w:textDirection w:val="lrTb"/>
            <w:noWrap w:val="false"/>
          </w:tcPr>
          <w:p>
            <w:pPr>
              <w:pStyle w:val="826"/>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采购标的</w:t>
            </w:r>
            <w:r>
              <w:rPr>
                <w:rFonts w:hint="eastAsia" w:ascii="宋体" w:hAnsi="宋体" w:cs="宋体"/>
                <w:color w:val="000000"/>
                <w:sz w:val="21"/>
                <w:szCs w:val="21"/>
                <w:highlight w:val="none"/>
              </w:rPr>
            </w:r>
            <w:r/>
          </w:p>
        </w:tc>
        <w:tc>
          <w:tcPr>
            <w:tcMar>
              <w:left w:w="108" w:type="dxa"/>
              <w:top w:w="0" w:type="dxa"/>
              <w:right w:w="108" w:type="dxa"/>
              <w:bottom w:w="0" w:type="dxa"/>
            </w:tcMar>
            <w:tcW w:w="3741" w:type="dxa"/>
            <w:vAlign w:val="center"/>
            <w:textDirection w:val="lrTb"/>
            <w:noWrap w:val="false"/>
          </w:tcPr>
          <w:p>
            <w:pPr>
              <w:pStyle w:val="826"/>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对应中小企业划分标准所属行业</w:t>
            </w:r>
            <w:r>
              <w:rPr>
                <w:rFonts w:hint="eastAsia" w:ascii="宋体" w:hAnsi="宋体" w:cs="宋体"/>
                <w:color w:val="000000"/>
                <w:sz w:val="21"/>
                <w:szCs w:val="21"/>
                <w:highlight w:val="none"/>
              </w:rPr>
            </w:r>
            <w:r/>
          </w:p>
        </w:tc>
      </w:tr>
      <w:tr>
        <w:trPr>
          <w:trHeight w:val="442"/>
        </w:trPr>
        <w:tc>
          <w:tcPr>
            <w:tcMar>
              <w:left w:w="108" w:type="dxa"/>
              <w:top w:w="0" w:type="dxa"/>
              <w:right w:w="108" w:type="dxa"/>
              <w:bottom w:w="0" w:type="dxa"/>
            </w:tcMar>
            <w:tcW w:w="1244" w:type="dxa"/>
            <w:vAlign w:val="center"/>
            <w:textDirection w:val="lrTb"/>
            <w:noWrap w:val="false"/>
          </w:tcPr>
          <w:p>
            <w:pPr>
              <w:pStyle w:val="826"/>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Mar>
              <w:left w:w="108" w:type="dxa"/>
              <w:top w:w="0" w:type="dxa"/>
              <w:right w:w="108" w:type="dxa"/>
              <w:bottom w:w="0" w:type="dxa"/>
            </w:tcMar>
            <w:tcW w:w="4414" w:type="dxa"/>
            <w:vAlign w:val="center"/>
            <w:textDirection w:val="lrTb"/>
            <w:noWrap w:val="false"/>
          </w:tcPr>
          <w:p>
            <w:pPr>
              <w:pStyle w:val="826"/>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扬州大学附属医院安防达标建设项目</w:t>
            </w:r>
            <w:r>
              <w:rPr>
                <w:rFonts w:hint="eastAsia" w:ascii="宋体" w:hAnsi="宋体" w:cs="宋体"/>
                <w:color w:val="000000"/>
                <w:sz w:val="21"/>
                <w:szCs w:val="21"/>
                <w:highlight w:val="none"/>
              </w:rPr>
            </w:r>
            <w:r/>
          </w:p>
        </w:tc>
        <w:tc>
          <w:tcPr>
            <w:tcMar>
              <w:left w:w="108" w:type="dxa"/>
              <w:top w:w="0" w:type="dxa"/>
              <w:right w:w="108" w:type="dxa"/>
              <w:bottom w:w="0" w:type="dxa"/>
            </w:tcMar>
            <w:tcW w:w="3741" w:type="dxa"/>
            <w:vAlign w:val="center"/>
            <w:textDirection w:val="lrTb"/>
            <w:noWrap w:val="false"/>
          </w:tcPr>
          <w:p>
            <w:pPr>
              <w:pStyle w:val="826"/>
              <w:jc w:val="center"/>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eastAsia="zh-CN"/>
              </w:rPr>
            </w:r>
            <w:r/>
          </w:p>
        </w:tc>
      </w:tr>
    </w:tbl>
    <w:p>
      <w:pPr>
        <w:pStyle w:val="826"/>
        <w:numPr>
          <w:ilvl w:val="0"/>
          <w:numId w:val="0"/>
        </w:numPr>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26"/>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5.投标人必须对技术要求和商务要求中的实质性要求</w:t>
      </w:r>
      <w:r>
        <w:rPr>
          <w:rFonts w:hint="eastAsia" w:ascii="宋体" w:hAnsi="宋体" w:eastAsia="宋体" w:cs="宋体"/>
          <w:b/>
          <w:bCs/>
          <w:color w:val="000000"/>
          <w:szCs w:val="21"/>
          <w:highlight w:val="none"/>
        </w:rPr>
        <w:t xml:space="preserve">（</w:t>
      </w:r>
      <w:r>
        <w:rPr>
          <w:rFonts w:hint="eastAsia" w:ascii="宋体" w:hAnsi="宋体" w:eastAsia="宋体" w:cs="宋体"/>
          <w:b/>
          <w:bCs/>
          <w:i/>
          <w:color w:val="000000"/>
          <w:szCs w:val="21"/>
          <w:highlight w:val="none"/>
          <w:u w:val="single"/>
        </w:rPr>
        <w:t xml:space="preserve">斜体且有下划线部分</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逐条做出明确响应，填写《</w:t>
      </w:r>
      <w:r>
        <w:rPr>
          <w:rFonts w:hint="eastAsia" w:ascii="宋体" w:hAnsi="宋体" w:cs="宋体"/>
          <w:color w:val="000000"/>
          <w:szCs w:val="21"/>
          <w:highlight w:val="none"/>
          <w:lang w:eastAsia="zh-CN"/>
        </w:rPr>
        <w:t xml:space="preserve">实质性响应对照表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6"/>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6.投标人需对技术要求</w:t>
      </w:r>
      <w:r>
        <w:rPr>
          <w:rFonts w:hint="eastAsia" w:ascii="宋体" w:hAnsi="宋体" w:eastAsia="宋体" w:cs="宋体"/>
          <w:b/>
          <w:bCs/>
          <w:color w:val="000000"/>
          <w:szCs w:val="21"/>
          <w:highlight w:val="none"/>
        </w:rPr>
        <w:t xml:space="preserve">（未加斜体下划线的非实质性要求）</w:t>
      </w:r>
      <w:r>
        <w:rPr>
          <w:rFonts w:hint="eastAsia" w:ascii="宋体" w:hAnsi="宋体" w:eastAsia="宋体" w:cs="宋体"/>
          <w:color w:val="000000"/>
          <w:szCs w:val="21"/>
          <w:highlight w:val="none"/>
        </w:rPr>
        <w:t xml:space="preserve">逐条做出明确响应，填写《</w:t>
      </w:r>
      <w:r>
        <w:rPr>
          <w:rFonts w:hint="eastAsia" w:ascii="宋体" w:hAnsi="宋体" w:cs="宋体"/>
          <w:color w:val="000000"/>
          <w:szCs w:val="21"/>
          <w:highlight w:val="none"/>
          <w:lang w:eastAsia="zh-CN"/>
        </w:rPr>
        <w:t xml:space="preserve">技术要求响应及偏离表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6"/>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7.投标人需对商务要求</w:t>
      </w:r>
      <w:r>
        <w:rPr>
          <w:rFonts w:hint="eastAsia" w:ascii="宋体" w:hAnsi="宋体" w:eastAsia="宋体" w:cs="宋体"/>
          <w:b/>
          <w:bCs/>
          <w:color w:val="000000"/>
          <w:szCs w:val="21"/>
          <w:highlight w:val="none"/>
        </w:rPr>
        <w:t xml:space="preserve">（未加斜体下划线的非实质性要求）</w:t>
      </w:r>
      <w:r>
        <w:rPr>
          <w:rFonts w:hint="eastAsia" w:ascii="宋体" w:hAnsi="宋体" w:eastAsia="宋体" w:cs="宋体"/>
          <w:color w:val="000000"/>
          <w:szCs w:val="21"/>
          <w:highlight w:val="none"/>
        </w:rPr>
        <w:t xml:space="preserve">逐条做出明确响应，填写《商务要求响应及偏离表》</w:t>
      </w:r>
      <w:bookmarkEnd w:id="64"/>
      <w:r>
        <w:rPr>
          <w:rFonts w:hint="eastAsia" w:ascii="宋体" w:hAnsi="宋体" w:eastAsia="宋体" w:cs="宋体"/>
          <w:color w:val="000000"/>
          <w:szCs w:val="21"/>
          <w:highlight w:val="none"/>
        </w:rPr>
      </w:r>
      <w:r/>
    </w:p>
    <w:p>
      <w:pPr>
        <w:pStyle w:val="826"/>
        <w:ind w:left="0" w:firstLine="422"/>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bookmarkStart w:id="65" w:name="_Toc55204181"/>
      <w:r>
        <w:rPr>
          <w:rFonts w:hint="eastAsia" w:ascii="宋体" w:hAnsi="宋体" w:cs="宋体"/>
          <w:b w:val="0"/>
          <w:bCs w:val="0"/>
          <w:color w:val="000000"/>
          <w:highlight w:val="none"/>
          <w:lang w:val="en-US" w:eastAsia="zh-CN"/>
        </w:rPr>
        <w:t xml:space="preserve">8.</w:t>
      </w:r>
      <w:r>
        <w:rPr>
          <w:rFonts w:hint="eastAsia" w:ascii="宋体" w:hAnsi="宋体" w:cs="宋体"/>
          <w:b/>
          <w:bCs/>
          <w:i/>
          <w:iCs/>
          <w:color w:val="000000"/>
          <w:highlight w:val="none"/>
          <w:u w:val="single"/>
        </w:rPr>
        <w:t xml:space="preserve">投标人所投产品如属于国家认证认可监督管理委员会现行《强制性产品认证目录描述与界定表》管理的强制性认证产品，中标人在提请采购人验收时须提供上述产品的对应证书，否则采购人有权不予验收，且中标人应承担由此而引起的一切法律责任和费用。</w:t>
      </w:r>
      <w:r>
        <w:rPr>
          <w:rFonts w:hint="eastAsia" w:ascii="宋体" w:hAnsi="宋体" w:cs="宋体"/>
          <w:b/>
          <w:bCs/>
          <w:i/>
          <w:iCs/>
          <w:color w:val="000000"/>
          <w:sz w:val="21"/>
          <w:szCs w:val="21"/>
          <w:highlight w:val="none"/>
          <w:u w:val="single"/>
          <w:lang w:val="en-US" w:eastAsia="zh-CN"/>
        </w:rPr>
        <w:t xml:space="preserve">（提供承诺书加盖投标人CA电子公章，承诺书格式自拟，上传系统）</w:t>
      </w:r>
      <w:r>
        <w:rPr>
          <w:rFonts w:hint="eastAsia" w:ascii="宋体" w:hAnsi="宋体" w:eastAsia="宋体" w:cs="宋体"/>
          <w:b w:val="0"/>
          <w:bCs w:val="0"/>
          <w:color w:val="000000"/>
          <w:highlight w:val="none"/>
          <w:lang w:val="en-US" w:eastAsia="zh-CN"/>
        </w:rPr>
      </w:r>
      <w:r/>
    </w:p>
    <w:p>
      <w:pPr>
        <w:pStyle w:val="826"/>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一</w:t>
      </w:r>
      <w:r>
        <w:rPr>
          <w:rFonts w:hint="eastAsia" w:ascii="宋体" w:hAnsi="宋体" w:eastAsia="宋体" w:cs="宋体"/>
          <w:b/>
          <w:bCs/>
          <w:color w:val="000000"/>
          <w:szCs w:val="21"/>
          <w:highlight w:val="none"/>
        </w:rPr>
        <w:t xml:space="preserve">、项目基本概述</w:t>
      </w:r>
      <w:r>
        <w:rPr>
          <w:rFonts w:hint="eastAsia" w:ascii="宋体" w:hAnsi="宋体" w:eastAsia="宋体" w:cs="宋体"/>
          <w:b/>
          <w:bCs/>
          <w:color w:val="000000"/>
          <w:szCs w:val="21"/>
          <w:highlight w:val="none"/>
        </w:rPr>
      </w:r>
      <w:r/>
    </w:p>
    <w:p>
      <w:pPr>
        <w:pStyle w:val="826"/>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扬州大学附属医院为区域三级甲等综合性医疗机构，现有东、西两大院区，总占地138.2亩，总建筑面积17.3万平方米。院区日常门急诊流量大、人员高度密集，医患人身与财产安全、院区治安管控压力突出。国家卫健委多次发文要求医疗机构完善安保体系、健全应急处置机制、妥善处置医疗纠纷与涉医突发事件。</w:t>
      </w:r>
      <w:r>
        <w:rPr>
          <w:rFonts w:hint="eastAsia" w:ascii="宋体" w:hAnsi="宋体" w:eastAsia="宋体" w:cs="宋体"/>
          <w:color w:val="000000"/>
          <w:szCs w:val="21"/>
          <w:highlight w:val="none"/>
        </w:rPr>
      </w:r>
      <w:r/>
    </w:p>
    <w:p>
      <w:pPr>
        <w:pStyle w:val="826"/>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依据《关于按进度推进台账式管理医院安防系统建设工作的通知》《全省医院安全保卫工作提升三年行动计划》文件硬性要求，全院安防系统建设达标率需实现100%。医院现有安防设备建设周期跨度大，东区模拟摄像机、录像机服役超10年，西区一键报警设备2017年投用，普遍存在设备老化、设备制式不统一、多平台独立分散等问题，无法匹配现阶段医院安全管控需求。</w:t>
      </w:r>
      <w:r>
        <w:rPr>
          <w:rFonts w:hint="eastAsia" w:ascii="宋体" w:hAnsi="宋体" w:eastAsia="宋体" w:cs="宋体"/>
          <w:color w:val="000000"/>
          <w:szCs w:val="21"/>
          <w:highlight w:val="none"/>
        </w:rPr>
      </w:r>
      <w:r/>
    </w:p>
    <w:p>
      <w:pPr>
        <w:pStyle w:val="826"/>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本次项目依托大数据、云计算、物联网、人工智能新一代信息技术，</w:t>
      </w:r>
      <w:r>
        <w:rPr>
          <w:rFonts w:hint="eastAsia" w:ascii="宋体" w:hAnsi="宋体" w:eastAsia="宋体" w:cs="宋体"/>
          <w:color w:val="ff0000"/>
          <w:szCs w:val="21"/>
          <w:highlight w:val="none"/>
        </w:rPr>
        <w:t xml:space="preserve">东、西院区分别实施智慧安防升级改造，两院区各自搭建独立的综合安防管理体系，</w:t>
      </w:r>
      <w:r>
        <w:rPr>
          <w:rFonts w:hint="eastAsia" w:ascii="宋体" w:hAnsi="宋体" w:eastAsia="宋体" w:cs="宋体"/>
          <w:color w:val="000000"/>
          <w:szCs w:val="21"/>
          <w:highlight w:val="none"/>
        </w:rPr>
        <w:t xml:space="preserve">补齐现有技防短板，筑牢平安医院安全防线。</w:t>
      </w:r>
      <w:r>
        <w:rPr>
          <w:rFonts w:hint="eastAsia" w:ascii="宋体" w:hAnsi="宋体" w:eastAsia="宋体" w:cs="宋体"/>
          <w:color w:val="000000"/>
          <w:szCs w:val="21"/>
          <w:highlight w:val="none"/>
        </w:rPr>
      </w:r>
      <w:r/>
    </w:p>
    <w:p>
      <w:pPr>
        <w:pStyle w:val="826"/>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（一）</w:t>
      </w:r>
      <w:r>
        <w:rPr>
          <w:rFonts w:hint="eastAsia" w:ascii="宋体" w:hAnsi="宋体" w:cs="宋体"/>
          <w:b/>
          <w:bCs/>
          <w:color w:val="000000"/>
          <w:szCs w:val="21"/>
          <w:highlight w:val="none"/>
          <w:lang w:val="en-US" w:eastAsia="zh-CN"/>
        </w:rPr>
        <w:t xml:space="preserve">建设目标</w:t>
      </w:r>
      <w:r>
        <w:rPr>
          <w:rFonts w:hint="eastAsia" w:ascii="宋体" w:hAnsi="宋体" w:eastAsia="宋体" w:cs="宋体"/>
          <w:b/>
          <w:bCs/>
          <w:color w:val="000000"/>
          <w:szCs w:val="21"/>
          <w:highlight w:val="none"/>
        </w:rPr>
      </w:r>
      <w:r/>
    </w:p>
    <w:p>
      <w:pPr>
        <w:pStyle w:val="914"/>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本项目以《</w:t>
      </w:r>
      <w:r>
        <w:rPr>
          <w:rFonts w:ascii="宋体" w:hAnsi="宋体" w:eastAsia="宋体" w:cs="宋体"/>
          <w:color w:val="000000"/>
          <w:sz w:val="21"/>
          <w:szCs w:val="21"/>
          <w:highlight w:val="none"/>
        </w:rPr>
        <w:t xml:space="preserve">医院安全防范要求</w:t>
      </w:r>
      <w:r>
        <w:rPr>
          <w:rFonts w:hint="eastAsia" w:ascii="宋体" w:hAnsi="宋体" w:eastAsia="宋体" w:cs="宋体"/>
          <w:color w:val="000000"/>
          <w:sz w:val="21"/>
          <w:szCs w:val="21"/>
          <w:highlight w:val="none"/>
          <w:lang w:val="en-US" w:eastAsia="zh-CN" w:bidi="ar-SA"/>
        </w:rPr>
        <w:t xml:space="preserve">》（GB/T31458-2026）为核心执行规范，统筹升级入侵与紧急报警系统、视频监控系统、出入口控制系统、电子巡查系统、安消一体化消防等子系统，综合融合人防、物防、技防三类防范手段，深度运用、大数据、物联网技术，完成院区安防体系标准化、智慧化升级。</w:t>
      </w:r>
      <w:r>
        <w:rPr>
          <w:rFonts w:hint="eastAsia" w:ascii="宋体" w:hAnsi="宋体" w:eastAsia="宋体" w:cs="宋体"/>
          <w:color w:val="000000"/>
          <w:sz w:val="21"/>
          <w:szCs w:val="21"/>
          <w:highlight w:val="none"/>
          <w:lang w:val="en-US" w:eastAsia="zh-CN" w:bidi="ar-SA"/>
        </w:rPr>
      </w:r>
      <w:r/>
    </w:p>
    <w:p>
      <w:pPr>
        <w:pStyle w:val="914"/>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项目需实现安全管理事前预警、事中联动处置、事后完整取证全流程闭环管控，建成符合三甲医院标准的全域智慧安防体系，具体目标如下：</w:t>
      </w:r>
      <w:r>
        <w:rPr>
          <w:rFonts w:hint="eastAsia" w:ascii="宋体" w:hAnsi="宋体" w:eastAsia="宋体" w:cs="宋体"/>
          <w:color w:val="000000"/>
          <w:sz w:val="21"/>
          <w:szCs w:val="21"/>
          <w:highlight w:val="none"/>
          <w:lang w:val="en-US" w:eastAsia="zh-CN" w:bidi="ar-SA"/>
        </w:rPr>
      </w:r>
      <w:r/>
    </w:p>
    <w:p>
      <w:pPr>
        <w:pStyle w:val="914"/>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极速应急响应：打通医护工作站与消控室直连通讯通道，医护人员可通过电脑快捷键、现场实体一键报警按钮两类渠道快速发起报警；消控室实时接收警情弹窗、声光提醒，自动调取事发区域监控画面并同步启动标准化应急预案，大幅压缩报警至处置响应时长。</w:t>
      </w:r>
      <w:r>
        <w:rPr>
          <w:rFonts w:hint="eastAsia" w:ascii="宋体" w:hAnsi="宋体" w:eastAsia="宋体" w:cs="宋体"/>
          <w:color w:val="000000"/>
          <w:sz w:val="21"/>
          <w:szCs w:val="21"/>
          <w:highlight w:val="none"/>
          <w:lang w:val="en-US" w:eastAsia="zh-CN" w:bidi="ar-SA"/>
        </w:rPr>
      </w:r>
      <w:r/>
    </w:p>
    <w:p>
      <w:pPr>
        <w:pStyle w:val="914"/>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2.全域立体防护网络：</w:t>
      </w:r>
      <w:r>
        <w:rPr>
          <w:rFonts w:hint="eastAsia" w:ascii="宋体" w:hAnsi="宋体" w:eastAsia="宋体" w:cs="宋体"/>
          <w:color w:val="ff0000"/>
          <w:sz w:val="21"/>
          <w:szCs w:val="21"/>
          <w:highlight w:val="none"/>
          <w:lang w:val="en-US" w:eastAsia="zh-CN" w:bidi="ar-SA"/>
        </w:rPr>
        <w:t xml:space="preserve">各院区内部</w:t>
      </w:r>
      <w:r>
        <w:rPr>
          <w:rFonts w:hint="eastAsia" w:ascii="宋体" w:hAnsi="宋体" w:eastAsia="宋体" w:cs="宋体"/>
          <w:color w:val="000000"/>
          <w:sz w:val="21"/>
          <w:szCs w:val="21"/>
          <w:highlight w:val="none"/>
          <w:lang w:val="en-US" w:eastAsia="zh-CN" w:bidi="ar-SA"/>
        </w:rPr>
        <w:t xml:space="preserve">实现视频监控、出入口门禁、紧急报警、电子巡更、智慧消防系统互联互通、事件联动；打通安全保卫处、急诊科、消控室、各临床科室协同处置通道，构建无盲区、全覆盖的院区安全防护体系。</w:t>
      </w:r>
      <w:r>
        <w:rPr>
          <w:rFonts w:hint="eastAsia" w:ascii="宋体" w:hAnsi="宋体" w:eastAsia="宋体" w:cs="宋体"/>
          <w:color w:val="000000"/>
          <w:sz w:val="21"/>
          <w:szCs w:val="21"/>
          <w:highlight w:val="none"/>
          <w:lang w:val="en-US" w:eastAsia="zh-CN" w:bidi="ar-SA"/>
        </w:rPr>
      </w:r>
      <w:r/>
    </w:p>
    <w:p>
      <w:pPr>
        <w:pStyle w:val="914"/>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3.全场景智能管控：搭载人脸识别、视频结构化解析、周界入侵防范、烟火智能检测等AI算法能力，实现异常行为、火灾隐患、区域越界自动预警，提升安全事件主动发现、快速处置、全程追溯能力。</w:t>
      </w:r>
      <w:r>
        <w:rPr>
          <w:rFonts w:hint="eastAsia" w:ascii="宋体" w:hAnsi="宋体" w:eastAsia="宋体" w:cs="宋体"/>
          <w:color w:val="000000"/>
          <w:sz w:val="21"/>
          <w:szCs w:val="21"/>
          <w:highlight w:val="none"/>
          <w:lang w:val="en-US" w:eastAsia="zh-CN" w:bidi="ar-SA"/>
        </w:rPr>
      </w:r>
      <w:r/>
    </w:p>
    <w:p>
      <w:pPr>
        <w:pStyle w:val="914"/>
        <w:keepLines w:val="0"/>
        <w:keepNext w:val="0"/>
        <w:pageBreakBefore w:val="0"/>
        <w:spacing w:after="0" w:line="360" w:lineRule="auto"/>
        <w:widowControl w:val="off"/>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ff0000"/>
          <w:sz w:val="21"/>
          <w:szCs w:val="21"/>
          <w:highlight w:val="none"/>
          <w:lang w:val="en-US" w:eastAsia="zh-CN" w:bidi="ar-SA"/>
        </w:rPr>
        <w:t xml:space="preserve">院区独立管控平台：</w:t>
      </w:r>
      <w:r>
        <w:rPr>
          <w:rFonts w:hint="eastAsia" w:ascii="宋体" w:hAnsi="宋体" w:cs="宋体"/>
          <w:color w:val="ff0000"/>
          <w:sz w:val="21"/>
          <w:szCs w:val="21"/>
          <w:highlight w:val="none"/>
          <w:lang w:val="en-US" w:eastAsia="zh-CN" w:bidi="ar-SA"/>
        </w:rPr>
        <w:t xml:space="preserve">东、西</w:t>
      </w:r>
      <w:r>
        <w:rPr>
          <w:rFonts w:hint="eastAsia" w:ascii="宋体" w:hAnsi="宋体" w:eastAsia="宋体" w:cs="宋体"/>
          <w:color w:val="ff0000"/>
          <w:sz w:val="21"/>
          <w:szCs w:val="21"/>
          <w:highlight w:val="none"/>
          <w:lang w:val="en-US" w:eastAsia="zh-CN" w:bidi="ar-SA"/>
        </w:rPr>
        <w:t xml:space="preserve">院区</w:t>
      </w:r>
      <w:r>
        <w:rPr>
          <w:rFonts w:hint="eastAsia" w:ascii="宋体" w:hAnsi="宋体" w:cs="宋体"/>
          <w:color w:val="ff0000"/>
          <w:sz w:val="21"/>
          <w:szCs w:val="21"/>
          <w:highlight w:val="none"/>
          <w:lang w:val="en-US" w:eastAsia="zh-CN" w:bidi="ar-SA"/>
        </w:rPr>
        <w:t xml:space="preserve">各自</w:t>
      </w:r>
      <w:r>
        <w:rPr>
          <w:rFonts w:hint="eastAsia" w:ascii="宋体" w:hAnsi="宋体" w:eastAsia="宋体" w:cs="宋体"/>
          <w:color w:val="ff0000"/>
          <w:sz w:val="21"/>
          <w:szCs w:val="21"/>
          <w:highlight w:val="none"/>
          <w:lang w:val="en-US" w:eastAsia="zh-CN" w:bidi="ar-SA"/>
        </w:rPr>
        <w:t xml:space="preserve">独立部署一体化智能物联综合管理平台，东、西院区</w:t>
      </w:r>
      <w:r>
        <w:rPr>
          <w:rFonts w:hint="eastAsia" w:ascii="宋体" w:hAnsi="宋体" w:cs="宋体"/>
          <w:color w:val="ff0000"/>
          <w:sz w:val="21"/>
          <w:szCs w:val="21"/>
          <w:highlight w:val="none"/>
          <w:lang w:val="en-US" w:eastAsia="zh-CN" w:bidi="ar-SA"/>
        </w:rPr>
        <w:t xml:space="preserve">应</w:t>
      </w:r>
      <w:r>
        <w:rPr>
          <w:rFonts w:hint="eastAsia" w:ascii="宋体" w:hAnsi="宋体" w:eastAsia="宋体" w:cs="宋体"/>
          <w:color w:val="ff0000"/>
          <w:sz w:val="21"/>
          <w:szCs w:val="21"/>
          <w:highlight w:val="none"/>
          <w:lang w:val="en-US" w:eastAsia="zh-CN" w:bidi="ar-SA"/>
        </w:rPr>
        <w:t xml:space="preserve">各</w:t>
      </w:r>
      <w:r>
        <w:rPr>
          <w:rFonts w:hint="eastAsia" w:ascii="宋体" w:hAnsi="宋体" w:cs="宋体"/>
          <w:color w:val="ff0000"/>
          <w:sz w:val="21"/>
          <w:szCs w:val="21"/>
          <w:highlight w:val="none"/>
          <w:lang w:val="en-US" w:eastAsia="zh-CN" w:bidi="ar-SA"/>
        </w:rPr>
        <w:t xml:space="preserve">自形成</w:t>
      </w:r>
      <w:r>
        <w:rPr>
          <w:rFonts w:hint="eastAsia" w:ascii="宋体" w:hAnsi="宋体" w:eastAsia="宋体" w:cs="宋体"/>
          <w:color w:val="ff0000"/>
          <w:sz w:val="21"/>
          <w:szCs w:val="21"/>
          <w:highlight w:val="none"/>
          <w:lang w:val="en-US" w:eastAsia="zh-CN" w:bidi="ar-SA"/>
        </w:rPr>
        <w:t xml:space="preserve">统一综合</w:t>
      </w:r>
      <w:r>
        <w:rPr>
          <w:rFonts w:hint="eastAsia" w:ascii="宋体" w:hAnsi="宋体" w:eastAsia="宋体" w:cs="宋体"/>
          <w:color w:val="ff0000"/>
          <w:sz w:val="21"/>
          <w:szCs w:val="21"/>
          <w:highlight w:val="none"/>
          <w:lang w:val="en-US" w:eastAsia="zh-CN" w:bidi="ar-SA"/>
        </w:rPr>
        <w:t xml:space="preserve">安防管理体系，两个院区分别实现安防设备集中纳管、统一调度，彻底解决原有多品牌、多独立平台、数据割裂、管理分散痛点。</w:t>
      </w:r>
      <w:r>
        <w:rPr>
          <w:rFonts w:hint="eastAsia" w:ascii="宋体" w:hAnsi="宋体" w:eastAsia="宋体" w:cs="宋体"/>
          <w:color w:val="ff0000"/>
          <w:sz w:val="21"/>
          <w:szCs w:val="21"/>
          <w:highlight w:val="none"/>
          <w:lang w:val="en-US" w:eastAsia="zh-CN" w:bidi="ar-SA"/>
        </w:rPr>
      </w:r>
      <w:r/>
    </w:p>
    <w:p>
      <w:pPr>
        <w:pStyle w:val="914"/>
        <w:keepLines w:val="0"/>
        <w:keepNext w:val="0"/>
        <w:pageBreakBefore w:val="0"/>
        <w:spacing w:after="0" w:line="360" w:lineRule="auto"/>
        <w:widowControl w:val="off"/>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本项目东西院区分别各搭建一套独立综合安防管理平台，两套系统数据不跨院区汇聚，仅支持东西院区之间互相远程调阅视频；本项目不强制沿用原有安防平台，投标人可选用全新平台，新平台需兼容利旧清单设备；如投标人选择延用原有平台，由投标人自行完成对接整合并承担全部费用。</w:t>
      </w:r>
      <w:r>
        <w:rPr>
          <w:rFonts w:hint="eastAsia" w:ascii="宋体" w:hAnsi="宋体" w:eastAsia="宋体" w:cs="宋体"/>
          <w:color w:val="ff0000"/>
          <w:sz w:val="21"/>
          <w:szCs w:val="21"/>
          <w:highlight w:val="none"/>
          <w:lang w:val="en-US" w:eastAsia="zh-CN" w:bidi="ar-SA"/>
        </w:rPr>
      </w:r>
      <w:r/>
    </w:p>
    <w:p>
      <w:pPr>
        <w:pStyle w:val="914"/>
        <w:ind w:firstLine="420"/>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5.合规长效存证：按照医疗场所安防取证规范设置</w:t>
      </w:r>
      <w:r>
        <w:rPr>
          <w:rFonts w:hint="eastAsia" w:ascii="宋体" w:hAnsi="宋体" w:eastAsia="宋体" w:cs="宋体"/>
          <w:color w:val="ff0000"/>
          <w:sz w:val="21"/>
          <w:szCs w:val="21"/>
          <w:highlight w:val="none"/>
          <w:lang w:val="en-US" w:eastAsia="zh-CN" w:bidi="ar-SA"/>
        </w:rPr>
        <w:t xml:space="preserve">分院区</w:t>
      </w:r>
      <w:r>
        <w:rPr>
          <w:rFonts w:hint="eastAsia" w:ascii="宋体" w:hAnsi="宋体" w:eastAsia="宋体" w:cs="宋体"/>
          <w:color w:val="000000"/>
          <w:sz w:val="21"/>
          <w:szCs w:val="21"/>
          <w:highlight w:val="none"/>
          <w:lang w:val="en-US" w:eastAsia="zh-CN" w:bidi="ar-SA"/>
        </w:rPr>
        <w:t xml:space="preserve">分级录像存储时长，配套可视化大屏集中调度，满足公安、卫健监管部门溯源核查要求。</w:t>
      </w:r>
      <w:r>
        <w:rPr>
          <w:rFonts w:hint="eastAsia" w:ascii="宋体" w:hAnsi="宋体" w:eastAsia="宋体" w:cs="宋体"/>
          <w:color w:val="000000"/>
          <w:sz w:val="21"/>
          <w:szCs w:val="21"/>
          <w:highlight w:val="none"/>
          <w:lang w:val="en-US" w:eastAsia="zh-CN" w:bidi="ar-SA"/>
        </w:rPr>
      </w:r>
      <w:r/>
    </w:p>
    <w:p>
      <w:pPr>
        <w:pStyle w:val="82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项目建设内容</w:t>
      </w:r>
      <w:r>
        <w:rPr>
          <w:rFonts w:hint="eastAsia" w:ascii="宋体" w:hAnsi="宋体" w:eastAsia="宋体" w:cs="宋体"/>
          <w:b/>
          <w:bCs/>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综合安防（视频监控）系统</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面升级东西两区现有视频监控体系，淘汰画质模糊、硬件老化、无智能分析能力的老旧摄像设备；针对门诊、急诊、病房走廊、楼梯通道、地下车库、设备机房、院区围墙等重点区域增补高清智能监控点位，实现院区全域视频无死角覆盖。</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cs="宋体"/>
          <w:b/>
          <w:bCs/>
          <w:i/>
          <w:iCs/>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存储配置：</w:t>
      </w:r>
      <w:r>
        <w:rPr>
          <w:rFonts w:hint="eastAsia" w:ascii="宋体" w:hAnsi="宋体" w:cs="宋体"/>
          <w:b/>
          <w:bCs/>
          <w:i/>
          <w:iCs/>
          <w:color w:val="000000"/>
          <w:sz w:val="21"/>
          <w:szCs w:val="21"/>
          <w:highlight w:val="none"/>
          <w:u w:val="single"/>
          <w:lang w:val="en-US" w:eastAsia="zh-CN"/>
        </w:rPr>
        <w:t xml:space="preserve">东、西院区特殊点位12个，摄像机录像存储时长不低于180天，其余常规点位录像存储时长不低于90天，24小时不间断录像。</w:t>
      </w:r>
      <w:r>
        <w:rPr>
          <w:rFonts w:hint="eastAsia" w:ascii="宋体" w:hAnsi="宋体" w:cs="宋体"/>
          <w:b/>
          <w:bCs/>
          <w:i/>
          <w:iCs/>
          <w:color w:val="ff0000"/>
          <w:sz w:val="21"/>
          <w:szCs w:val="21"/>
          <w:highlight w:val="none"/>
          <w:u w:val="single"/>
          <w:lang w:val="en-US" w:eastAsia="zh-CN"/>
        </w:rPr>
        <w:t xml:space="preserve">在满足上述录像存储所需基础容量以及医疗事件追溯、取证合规要求上，东、西区分别配置企业级硬盘，两院区新增存储总容量合计不低于 4500T。需使用磁盘阵列，具有录像自动备份功能，防止因硬盘损坏而造成录像资料丢失。</w:t>
      </w:r>
      <w:r>
        <w:rPr>
          <w:rFonts w:hint="eastAsia" w:ascii="宋体" w:hAnsi="宋体" w:cs="宋体"/>
          <w:b/>
          <w:bCs/>
          <w:i/>
          <w:iCs/>
          <w:color w:val="000000"/>
          <w:sz w:val="21"/>
          <w:szCs w:val="21"/>
          <w:highlight w:val="none"/>
          <w:u w:val="single"/>
          <w:lang w:val="en-US" w:eastAsia="zh-CN"/>
        </w:rPr>
        <w:t xml:space="preserve">（提供承诺书加盖投标人CA电子公章，承诺书格式自拟，上传系统）</w:t>
      </w:r>
      <w:r>
        <w:rPr>
          <w:rFonts w:hint="eastAsia" w:ascii="宋体" w:hAnsi="宋体" w:cs="宋体"/>
          <w:b/>
          <w:bCs/>
          <w:i/>
          <w:iCs/>
          <w:color w:val="000000"/>
          <w:sz w:val="21"/>
          <w:szCs w:val="21"/>
          <w:highlight w:val="none"/>
          <w:u w:val="singl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显示调度：</w:t>
      </w:r>
      <w:r>
        <w:rPr>
          <w:rFonts w:hint="eastAsia" w:ascii="宋体" w:hAnsi="宋体" w:eastAsia="宋体" w:cs="宋体"/>
          <w:color w:val="ff0000"/>
          <w:sz w:val="21"/>
          <w:szCs w:val="21"/>
          <w:highlight w:val="none"/>
        </w:rPr>
        <w:t xml:space="preserve">东、西院区各</w:t>
      </w:r>
      <w:r>
        <w:rPr>
          <w:rFonts w:hint="eastAsia" w:ascii="宋体" w:hAnsi="宋体" w:eastAsia="宋体" w:cs="宋体"/>
          <w:color w:val="000000"/>
          <w:sz w:val="21"/>
          <w:szCs w:val="21"/>
          <w:highlight w:val="none"/>
        </w:rPr>
        <w:t xml:space="preserve">搭建高清拼接大屏可视化调度平台，实现全院监控画面集中预览、实时切换、历史录像回放、异常弹窗联动；现有状态完好的拼接显示设备统一利旧搬迁复用</w:t>
      </w:r>
      <w:r>
        <w:rPr>
          <w:rFonts w:hint="eastAsia" w:ascii="宋体" w:hAnsi="宋体" w:cs="宋体"/>
          <w:color w:val="ff0000"/>
          <w:sz w:val="21"/>
          <w:szCs w:val="21"/>
          <w:highlight w:val="none"/>
          <w:lang w:eastAsia="zh-CN"/>
        </w:rPr>
        <w:t xml:space="preserve">（</w:t>
      </w:r>
      <w:r>
        <w:rPr>
          <w:rFonts w:hint="eastAsia" w:ascii="宋体" w:hAnsi="宋体" w:cs="宋体"/>
          <w:color w:val="ff0000"/>
          <w:sz w:val="21"/>
          <w:szCs w:val="21"/>
          <w:highlight w:val="none"/>
          <w:lang w:val="en-US" w:eastAsia="zh-CN"/>
        </w:rPr>
        <w:t xml:space="preserve">西区大屏拆卸到东区按照院方要求安装利旧）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门禁管理系统</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覆盖</w:t>
      </w:r>
      <w:r>
        <w:rPr>
          <w:rFonts w:hint="eastAsia" w:ascii="宋体" w:hAnsi="宋体" w:eastAsia="宋体" w:cs="宋体"/>
          <w:color w:val="000000"/>
          <w:sz w:val="21"/>
          <w:szCs w:val="21"/>
          <w:highlight w:val="none"/>
          <w:lang w:val="en-US" w:eastAsia="zh-CN"/>
        </w:rPr>
        <w:t xml:space="preserve">现有点位，并按《医院安全防范要求》（GB/T31458-2026）补充完善点位，</w:t>
      </w:r>
      <w:r>
        <w:rPr>
          <w:rFonts w:hint="eastAsia" w:ascii="宋体" w:hAnsi="宋体" w:eastAsia="宋体" w:cs="宋体"/>
          <w:color w:val="000000"/>
          <w:sz w:val="21"/>
          <w:szCs w:val="21"/>
          <w:highlight w:val="none"/>
        </w:rPr>
        <w:t xml:space="preserve">现有完好锁具</w:t>
      </w:r>
      <w:r>
        <w:rPr>
          <w:rFonts w:hint="eastAsia" w:ascii="宋体" w:hAnsi="宋体" w:eastAsia="宋体" w:cs="宋体"/>
          <w:color w:val="000000"/>
          <w:sz w:val="21"/>
          <w:szCs w:val="21"/>
          <w:highlight w:val="none"/>
          <w:lang w:eastAsia="zh-CN"/>
        </w:rPr>
        <w:t xml:space="preserve">门禁</w:t>
      </w:r>
      <w:r>
        <w:rPr>
          <w:rFonts w:hint="eastAsia" w:ascii="宋体" w:hAnsi="宋体" w:eastAsia="宋体" w:cs="宋体"/>
          <w:color w:val="000000"/>
          <w:sz w:val="21"/>
          <w:szCs w:val="21"/>
          <w:highlight w:val="none"/>
        </w:rPr>
        <w:t xml:space="preserve">利旧复用。</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ff0000"/>
          <w:sz w:val="21"/>
          <w:szCs w:val="21"/>
          <w:highlight w:val="none"/>
          <w:lang w:val="en-US" w:eastAsia="zh-CN"/>
        </w:rPr>
        <w:t xml:space="preserve">各</w:t>
      </w:r>
      <w:r>
        <w:rPr>
          <w:rFonts w:hint="eastAsia" w:ascii="宋体" w:hAnsi="宋体" w:eastAsia="宋体" w:cs="宋体"/>
          <w:color w:val="ff0000"/>
          <w:sz w:val="21"/>
          <w:szCs w:val="21"/>
          <w:highlight w:val="none"/>
        </w:rPr>
        <w:t xml:space="preserve">院区门禁系统接入</w:t>
      </w:r>
      <w:r>
        <w:rPr>
          <w:rFonts w:hint="eastAsia" w:ascii="宋体" w:hAnsi="宋体" w:cs="宋体"/>
          <w:color w:val="ff0000"/>
          <w:sz w:val="21"/>
          <w:szCs w:val="21"/>
          <w:highlight w:val="none"/>
          <w:lang w:val="en-US" w:eastAsia="zh-CN"/>
        </w:rPr>
        <w:t xml:space="preserve">相应</w:t>
      </w:r>
      <w:r>
        <w:rPr>
          <w:rFonts w:hint="eastAsia" w:ascii="宋体" w:hAnsi="宋体" w:eastAsia="宋体" w:cs="宋体"/>
          <w:color w:val="ff0000"/>
          <w:sz w:val="21"/>
          <w:szCs w:val="21"/>
          <w:highlight w:val="none"/>
        </w:rPr>
        <w:t xml:space="preserve">院区综合安防独立管理平台，</w:t>
      </w:r>
      <w:r>
        <w:rPr>
          <w:rFonts w:hint="eastAsia" w:ascii="宋体" w:hAnsi="宋体" w:eastAsia="宋体" w:cs="宋体"/>
          <w:color w:val="000000"/>
          <w:sz w:val="21"/>
          <w:szCs w:val="21"/>
          <w:highlight w:val="none"/>
        </w:rPr>
        <w:t xml:space="preserve">支持人员权限分级分类管控、门禁在线状态实时可视化监测；突发冲突场景支持一键全域门禁常开；完整留存所有人员出入记录，支持批量下发、回收人员通行权限，规范院区人员进出秩序。</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紧急一键报警系统</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系统分为现场硬件报警、医生工作站软件报警两大模块，</w:t>
      </w:r>
      <w:r>
        <w:rPr>
          <w:rFonts w:hint="eastAsia" w:ascii="宋体" w:hAnsi="宋体" w:eastAsia="宋体" w:cs="宋体"/>
          <w:color w:val="ff0000"/>
          <w:sz w:val="21"/>
          <w:szCs w:val="21"/>
          <w:highlight w:val="none"/>
        </w:rPr>
        <w:t xml:space="preserve">分院区部署</w:t>
      </w:r>
      <w:r>
        <w:rPr>
          <w:rFonts w:hint="eastAsia" w:ascii="宋体" w:hAnsi="宋体" w:cs="宋体"/>
          <w:color w:val="ff0000"/>
          <w:sz w:val="21"/>
          <w:szCs w:val="21"/>
          <w:highlight w:val="none"/>
          <w:lang w:eastAsia="zh-CN"/>
        </w:rPr>
        <w:t xml:space="preserve">，</w:t>
      </w:r>
      <w:r>
        <w:rPr>
          <w:rFonts w:hint="eastAsia" w:ascii="宋体" w:hAnsi="宋体" w:eastAsia="宋体" w:cs="宋体"/>
          <w:color w:val="000000"/>
          <w:sz w:val="21"/>
          <w:szCs w:val="21"/>
          <w:highlight w:val="none"/>
        </w:rPr>
        <w:t xml:space="preserve">覆盖门诊诊室、急诊分诊台、各病房护士站、手术室、重点医技科室等高风险区域。</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硬件报警：</w:t>
      </w:r>
      <w:r>
        <w:rPr>
          <w:rFonts w:hint="eastAsia" w:ascii="宋体" w:hAnsi="宋体" w:eastAsia="宋体" w:cs="宋体"/>
          <w:color w:val="ff0000"/>
          <w:sz w:val="21"/>
          <w:szCs w:val="21"/>
          <w:highlight w:val="none"/>
        </w:rPr>
        <w:t xml:space="preserve">各院区</w:t>
      </w:r>
      <w:r>
        <w:rPr>
          <w:rFonts w:hint="eastAsia" w:ascii="宋体" w:hAnsi="宋体" w:eastAsia="宋体" w:cs="宋体"/>
          <w:color w:val="000000"/>
          <w:sz w:val="21"/>
          <w:szCs w:val="21"/>
          <w:highlight w:val="none"/>
          <w:lang w:val="en-US" w:eastAsia="zh-CN"/>
        </w:rPr>
        <w:t xml:space="preserve">原有可视化一键报警设备需在本次项目中实现统一纳管；</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软件报警：所有临床医生工作站部署报警客户端软件，支持快捷键一键报警；消控中心接收报警后页面闪烁、同步播放告警音，支持警情确认、误报取消、处置办结全流程留痕，处置状态实时回传医护终端；系统支持科室位置、联系电话基础信息配置，终端在线状态实时监测，可按时间段导出完整报警处置记录。</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电子巡更系统</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ff0000"/>
          <w:sz w:val="21"/>
          <w:szCs w:val="21"/>
          <w:highlight w:val="none"/>
        </w:rPr>
        <w:t xml:space="preserve">各院区分别</w:t>
      </w:r>
      <w:r>
        <w:rPr>
          <w:rFonts w:hint="eastAsia" w:ascii="宋体" w:hAnsi="宋体" w:eastAsia="宋体" w:cs="宋体"/>
          <w:color w:val="000000"/>
          <w:sz w:val="21"/>
          <w:szCs w:val="21"/>
          <w:highlight w:val="none"/>
        </w:rPr>
        <w:t xml:space="preserve">配套部署便携式移动巡更终端、院内巡查感应标签，覆盖全部规划巡查点位。系统支持自定义巡更路线、班组排班、定时巡查计划；自动统计巡更完成记录，漏巡、超时未巡自动预警；可与综合安防平台联动，巡更异常同步推送保卫管理人员，实现安保巡查标准化、可追溯管控。</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计时校时系统</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由</w:t>
      </w:r>
      <w:r>
        <w:rPr>
          <w:rFonts w:hint="eastAsia" w:ascii="宋体" w:hAnsi="宋体" w:eastAsia="宋体" w:cs="宋体"/>
          <w:color w:val="000000"/>
          <w:sz w:val="21"/>
          <w:szCs w:val="21"/>
          <w:highlight w:val="none"/>
        </w:rPr>
        <w:t xml:space="preserve">综合安防平台统一向</w:t>
      </w:r>
      <w:r>
        <w:rPr>
          <w:rFonts w:hint="eastAsia" w:ascii="宋体" w:hAnsi="宋体" w:cs="宋体"/>
          <w:color w:val="ff0000"/>
          <w:sz w:val="21"/>
          <w:szCs w:val="21"/>
          <w:highlight w:val="none"/>
          <w:lang w:val="en-US" w:eastAsia="zh-CN"/>
        </w:rPr>
        <w:t xml:space="preserve">相应</w:t>
      </w:r>
      <w:r>
        <w:rPr>
          <w:rFonts w:hint="eastAsia" w:ascii="宋体" w:hAnsi="宋体" w:eastAsia="宋体" w:cs="宋体"/>
          <w:color w:val="000000"/>
          <w:sz w:val="21"/>
          <w:szCs w:val="21"/>
          <w:highlight w:val="none"/>
        </w:rPr>
        <w:t xml:space="preserve">院内所有摄像机、门禁控制器、报警主机、巡更终端下发标准北京时间，全系统设备时钟与北京时间误差≤5秒，保障所有视频、门禁、报警、巡更记录时间轴统一，满足取证合规要求。</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专用安防网络传输系统</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ascii="宋体" w:hAnsi="宋体" w:eastAsia="宋体" w:cs="宋体"/>
          <w:color w:val="9bbb59"/>
          <w:sz w:val="21"/>
          <w:szCs w:val="21"/>
          <w:highlight w:val="none"/>
          <w:lang w:val="en-US" w:eastAsia="zh-CN"/>
        </w:rPr>
      </w:pPr>
      <w:r>
        <w:rPr>
          <w:rFonts w:hint="eastAsia" w:ascii="宋体" w:hAnsi="宋体" w:eastAsia="宋体" w:cs="宋体"/>
          <w:color w:val="ff0000"/>
          <w:sz w:val="21"/>
          <w:szCs w:val="21"/>
          <w:highlight w:val="none"/>
        </w:rPr>
        <w:t xml:space="preserve">东、西院区分别独立</w:t>
      </w:r>
      <w:r>
        <w:rPr>
          <w:rFonts w:hint="eastAsia" w:ascii="宋体" w:hAnsi="宋体" w:eastAsia="宋体" w:cs="宋体"/>
          <w:color w:val="000000"/>
          <w:sz w:val="21"/>
          <w:szCs w:val="21"/>
          <w:highlight w:val="none"/>
        </w:rPr>
        <w:t xml:space="preserve">建设安防专用物理网络，隔离医院办公内网，部署千兆POE交换机、核心汇聚交换机、光纤、专用信号线、机柜配线、网络安全</w:t>
      </w:r>
      <w:r>
        <w:rPr>
          <w:rFonts w:hint="eastAsia" w:ascii="宋体" w:hAnsi="宋体" w:cs="宋体"/>
          <w:color w:val="9bbb59"/>
          <w:sz w:val="21"/>
          <w:szCs w:val="21"/>
          <w:highlight w:val="none"/>
          <w:lang w:val="en-US" w:eastAsia="zh-CN"/>
        </w:rPr>
        <w:t xml:space="preserve">等</w:t>
      </w:r>
      <w:r>
        <w:rPr>
          <w:rFonts w:hint="eastAsia" w:ascii="宋体" w:hAnsi="宋体" w:eastAsia="宋体" w:cs="宋体"/>
          <w:color w:val="000000"/>
          <w:sz w:val="21"/>
          <w:szCs w:val="21"/>
          <w:highlight w:val="none"/>
        </w:rPr>
        <w:t xml:space="preserve">防护配件；</w:t>
      </w:r>
      <w:r>
        <w:rPr>
          <w:rFonts w:hint="eastAsia" w:ascii="宋体" w:hAnsi="宋体" w:eastAsia="宋体" w:cs="宋体"/>
          <w:color w:val="ff0000"/>
          <w:sz w:val="21"/>
          <w:szCs w:val="21"/>
          <w:highlight w:val="none"/>
        </w:rPr>
        <w:t xml:space="preserve">室内设备统一</w:t>
      </w:r>
      <w:r>
        <w:rPr>
          <w:rFonts w:hint="eastAsia" w:ascii="宋体" w:hAnsi="宋体" w:cs="宋体"/>
          <w:color w:val="ff0000"/>
          <w:sz w:val="21"/>
          <w:szCs w:val="21"/>
          <w:highlight w:val="none"/>
          <w:lang w:val="en-US" w:eastAsia="zh-CN"/>
        </w:rPr>
        <w:t xml:space="preserve">配备机柜，要求</w:t>
      </w:r>
      <w:r>
        <w:rPr>
          <w:rFonts w:hint="eastAsia" w:ascii="宋体" w:hAnsi="宋体" w:eastAsia="宋体" w:cs="宋体"/>
          <w:color w:val="ff0000"/>
          <w:sz w:val="21"/>
          <w:szCs w:val="21"/>
          <w:highlight w:val="none"/>
        </w:rPr>
        <w:t xml:space="preserve">机柜规整，</w:t>
      </w:r>
      <w:r>
        <w:rPr>
          <w:rFonts w:hint="eastAsia" w:ascii="宋体" w:hAnsi="宋体" w:eastAsia="宋体" w:cs="宋体"/>
          <w:color w:val="000000"/>
          <w:sz w:val="21"/>
          <w:szCs w:val="21"/>
          <w:highlight w:val="none"/>
        </w:rPr>
        <w:t xml:space="preserve">室外监控、报警点位配套防水、防尘、防雷防护套件。满足多路高清视频实时传输、报警信号秒级上传、平台大数据交互稳定运行需求。</w:t>
      </w:r>
      <w:r>
        <w:rPr>
          <w:rFonts w:hint="eastAsia" w:ascii="宋体" w:hAnsi="宋体" w:cs="宋体"/>
          <w:color w:val="ff0000"/>
          <w:sz w:val="21"/>
          <w:szCs w:val="21"/>
          <w:highlight w:val="none"/>
          <w:lang w:val="en-US" w:eastAsia="zh-CN"/>
        </w:rPr>
        <w:t xml:space="preserve">安防专用网络建设应符合医院网络安全管理规定和公安网安部门的管理规定。</w:t>
      </w:r>
      <w:r>
        <w:rPr>
          <w:rFonts w:ascii="宋体" w:hAnsi="宋体" w:eastAsia="宋体" w:cs="宋体"/>
          <w:color w:val="9bbb59"/>
          <w:sz w:val="21"/>
          <w:szCs w:val="21"/>
          <w:highlight w:val="non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安消一体化消防平台</w:t>
      </w:r>
      <w:r>
        <w:rPr>
          <w:rFonts w:hint="eastAsia" w:ascii="宋体" w:hAnsi="宋体" w:eastAsia="宋体" w:cs="宋体"/>
          <w:color w:val="000000"/>
          <w:sz w:val="21"/>
          <w:szCs w:val="21"/>
          <w:highlight w:val="none"/>
        </w:rPr>
      </w:r>
      <w:r/>
    </w:p>
    <w:p>
      <w:pPr>
        <w:pStyle w:val="926"/>
        <w:rPr>
          <w:rFonts w:hint="eastAsia" w:ascii="宋体" w:hAnsi="宋体" w:cs="宋体"/>
          <w:i w:val="0"/>
          <w:iCs w:val="0"/>
          <w:color w:val="000000"/>
          <w:sz w:val="21"/>
          <w:szCs w:val="21"/>
          <w:highlight w:val="none"/>
          <w:u w:val="none"/>
          <w:lang w:eastAsia="zh-CN"/>
        </w:rPr>
      </w:pPr>
      <w:r>
        <w:rPr>
          <w:rFonts w:hint="eastAsia" w:ascii="宋体" w:hAnsi="宋体" w:eastAsia="宋体" w:cs="宋体"/>
          <w:color w:val="ff0000"/>
          <w:sz w:val="21"/>
          <w:szCs w:val="21"/>
          <w:highlight w:val="none"/>
        </w:rPr>
        <w:t xml:space="preserve">东、西院区分别</w:t>
      </w:r>
      <w:r>
        <w:rPr>
          <w:rFonts w:hint="eastAsia" w:ascii="宋体" w:hAnsi="宋体" w:eastAsia="宋体" w:cs="宋体"/>
          <w:color w:val="000000"/>
          <w:sz w:val="21"/>
          <w:szCs w:val="21"/>
          <w:highlight w:val="none"/>
        </w:rPr>
        <w:t xml:space="preserve">搭建智慧消防一体化管理平台，对接院区现有火灾报警、喷淋、防排烟、室内消火栓等全部消防设施；加装消防水压、水箱液位、电气火灾感知终端，实时监测消防用水、用电安全状态。平台实现消防数据可视化展示、火警与安防监控自动联动、设备维保到期提醒、消防作业台账、月度数据报表统计；打通安防、消防数据壁垒，实现火情、治安事件一体化联动处置。</w:t>
      </w:r>
      <w:r>
        <w:rPr>
          <w:rFonts w:hint="eastAsia" w:ascii="宋体" w:hAnsi="宋体" w:eastAsia="宋体" w:cs="宋体"/>
          <w:i w:val="0"/>
          <w:iCs w:val="0"/>
          <w:color w:val="ff0000"/>
          <w:sz w:val="21"/>
          <w:szCs w:val="21"/>
          <w:highlight w:val="none"/>
          <w:u w:val="none"/>
        </w:rPr>
        <w:t xml:space="preserve">需要</w:t>
      </w:r>
      <w:r>
        <w:rPr>
          <w:rFonts w:hint="eastAsia" w:ascii="宋体" w:hAnsi="宋体" w:cs="宋体"/>
          <w:i w:val="0"/>
          <w:iCs w:val="0"/>
          <w:color w:val="ff0000"/>
          <w:sz w:val="21"/>
          <w:szCs w:val="21"/>
          <w:highlight w:val="none"/>
          <w:u w:val="none"/>
          <w:lang w:val="en-US" w:eastAsia="zh-CN"/>
        </w:rPr>
        <w:t xml:space="preserve">最大化利旧</w:t>
      </w:r>
      <w:r>
        <w:rPr>
          <w:rFonts w:hint="eastAsia" w:ascii="宋体" w:hAnsi="宋体" w:eastAsia="宋体" w:cs="宋体"/>
          <w:i w:val="0"/>
          <w:iCs w:val="0"/>
          <w:color w:val="ff0000"/>
          <w:sz w:val="21"/>
          <w:szCs w:val="21"/>
          <w:highlight w:val="none"/>
          <w:u w:val="none"/>
        </w:rPr>
        <w:t xml:space="preserve">现有安防平台</w:t>
      </w:r>
      <w:r>
        <w:rPr>
          <w:rFonts w:hint="eastAsia" w:ascii="宋体" w:hAnsi="宋体" w:cs="宋体"/>
          <w:i w:val="0"/>
          <w:iCs w:val="0"/>
          <w:color w:val="ff0000"/>
          <w:sz w:val="21"/>
          <w:szCs w:val="21"/>
          <w:highlight w:val="none"/>
          <w:u w:val="none"/>
          <w:lang w:val="en-US" w:eastAsia="zh-CN"/>
        </w:rPr>
        <w:t xml:space="preserve">功能和原有设备</w:t>
      </w:r>
      <w:r>
        <w:rPr>
          <w:rFonts w:hint="eastAsia" w:ascii="宋体" w:hAnsi="宋体" w:eastAsia="宋体" w:cs="宋体"/>
          <w:i w:val="0"/>
          <w:iCs w:val="0"/>
          <w:color w:val="ff0000"/>
          <w:sz w:val="21"/>
          <w:szCs w:val="21"/>
          <w:highlight w:val="none"/>
          <w:u w:val="none"/>
        </w:rPr>
        <w:t xml:space="preserve">，</w:t>
      </w:r>
      <w:r>
        <w:rPr>
          <w:rFonts w:hint="eastAsia" w:ascii="宋体" w:hAnsi="宋体" w:cs="宋体"/>
          <w:i w:val="0"/>
          <w:iCs w:val="0"/>
          <w:color w:val="ff0000"/>
          <w:sz w:val="21"/>
          <w:szCs w:val="21"/>
          <w:highlight w:val="none"/>
          <w:u w:val="none"/>
          <w:lang w:val="en-US" w:eastAsia="zh-CN"/>
        </w:rPr>
        <w:t xml:space="preserve">实现西区可调取东区平台数据，东区、西区各自独立达到</w:t>
      </w:r>
      <w:r>
        <w:rPr>
          <w:rFonts w:hint="eastAsia" w:ascii="宋体" w:hAnsi="宋体" w:eastAsia="宋体" w:cs="宋体"/>
          <w:i w:val="0"/>
          <w:iCs w:val="0"/>
          <w:color w:val="ff0000"/>
          <w:sz w:val="21"/>
          <w:szCs w:val="21"/>
          <w:highlight w:val="none"/>
          <w:u w:val="none"/>
        </w:rPr>
        <w:t xml:space="preserve">安消一体化</w:t>
      </w:r>
      <w:r>
        <w:rPr>
          <w:rFonts w:hint="eastAsia" w:ascii="宋体" w:hAnsi="宋体" w:cs="宋体"/>
          <w:i w:val="0"/>
          <w:iCs w:val="0"/>
          <w:color w:val="ff0000"/>
          <w:sz w:val="21"/>
          <w:szCs w:val="21"/>
          <w:highlight w:val="none"/>
          <w:u w:val="none"/>
          <w:lang w:eastAsia="zh-CN"/>
        </w:rPr>
        <w:t xml:space="preserve">。</w:t>
      </w:r>
      <w:r>
        <w:rPr>
          <w:rFonts w:hint="eastAsia" w:ascii="宋体" w:hAnsi="宋体" w:cs="宋体"/>
          <w:i w:val="0"/>
          <w:iCs w:val="0"/>
          <w:color w:val="000000"/>
          <w:sz w:val="21"/>
          <w:szCs w:val="21"/>
          <w:highlight w:val="none"/>
          <w:u w:val="none"/>
          <w:lang w:eastAsia="zh-CN"/>
        </w:rPr>
      </w:r>
      <w:r/>
    </w:p>
    <w:p>
      <w:pPr>
        <w:pStyle w:val="926"/>
        <w:rPr>
          <w:rFonts w:hint="eastAsia" w:eastAsia="宋体"/>
          <w:color w:val="ff0000"/>
          <w:szCs w:val="21"/>
          <w:highlight w:val="none"/>
          <w:lang w:val="en-US" w:eastAsia="zh-CN"/>
        </w:rPr>
      </w:pPr>
      <w:r>
        <w:rPr>
          <w:rFonts w:hint="eastAsia" w:ascii="宋体" w:hAnsi="宋体" w:cs="宋体"/>
          <w:b/>
          <w:bCs/>
          <w:i/>
          <w:iCs/>
          <w:color w:val="ff0000"/>
          <w:sz w:val="21"/>
          <w:szCs w:val="21"/>
          <w:highlight w:val="none"/>
          <w:u w:val="single"/>
          <w:lang w:val="en-US" w:eastAsia="zh-CN"/>
        </w:rPr>
        <w:t xml:space="preserve">投标单位须承诺所投产品能够分别与对应院区现有安防平台无缝对接。合同签订后中标人须在采购人规定的期限内完成产品无缝对接测试（不得通过页面跳转和免密登录方式实现对接）；若对接测试无法通过，造成项目相关工作无法推进的，中标人应承担由此产生的全部法律责任及相关费用，并且采购人将上报政府采购监督管理部门，追究其以虚假材料谋取中标的法律责任。（采购人原因造成测试无法完成的除外）。（提供承诺书加盖投标人CA电子公章，承诺书格式自拟，上传系统）</w:t>
      </w:r>
      <w:r>
        <w:rPr>
          <w:rFonts w:hint="eastAsia" w:eastAsia="宋体"/>
          <w:color w:val="ff0000"/>
          <w:szCs w:val="21"/>
          <w:highlight w:val="none"/>
          <w:lang w:val="en-US" w:eastAsia="zh-CN"/>
        </w:rPr>
      </w:r>
      <w:r/>
    </w:p>
    <w:p>
      <w:pPr>
        <w:pStyle w:val="826"/>
        <w:numPr>
          <w:ilvl w:val="0"/>
          <w:numId w:val="0"/>
        </w:numPr>
        <w:ind w:left="0"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（三）技术标准和规范</w:t>
      </w:r>
      <w:r>
        <w:rPr>
          <w:rFonts w:hint="eastAsia" w:ascii="宋体" w:hAnsi="宋体" w:cs="宋体"/>
          <w:b/>
          <w:bCs/>
          <w:color w:val="000000"/>
          <w:sz w:val="21"/>
          <w:szCs w:val="21"/>
          <w:highlight w:val="none"/>
          <w:lang w:val="en-US" w:eastAsia="zh-CN" w:bidi="ar-SA"/>
        </w:rPr>
      </w:r>
      <w:r/>
    </w:p>
    <w:p>
      <w:pPr>
        <w:pStyle w:val="826"/>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1.本项目预算编制严格遵循GA/T70-2014《安全防范工程建设与维护保养费用预算编制办法》、《江苏省安装工程计价定额》相关规定。</w:t>
      </w:r>
      <w:r>
        <w:rPr>
          <w:rFonts w:hint="eastAsia" w:ascii="宋体" w:hAnsi="宋体" w:cs="宋体"/>
          <w:b w:val="0"/>
          <w:bCs w:val="0"/>
          <w:color w:val="000000"/>
          <w:sz w:val="21"/>
          <w:szCs w:val="21"/>
          <w:highlight w:val="none"/>
          <w:lang w:val="en-US" w:eastAsia="zh-CN" w:bidi="ar-SA"/>
        </w:rPr>
      </w:r>
      <w:r/>
    </w:p>
    <w:p>
      <w:pPr>
        <w:pStyle w:val="826"/>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2.系统整体设计、施工工艺、设备材料选型需符合GB 50395-2007《视频安防监控系统工程设计规范》，全部软硬件设备具备行业先进性，完全匹配三甲医院院区使用场景需求。本文件未明确约定的技术指标，全部执行国家、行业现行最高标准规范，配套功能、设施完整齐备。</w:t>
      </w:r>
      <w:r>
        <w:rPr>
          <w:rFonts w:hint="eastAsia" w:ascii="宋体" w:hAnsi="宋体" w:cs="宋体"/>
          <w:b w:val="0"/>
          <w:bCs w:val="0"/>
          <w:color w:val="000000"/>
          <w:sz w:val="21"/>
          <w:szCs w:val="21"/>
          <w:highlight w:val="none"/>
          <w:lang w:val="en-US" w:eastAsia="zh-CN" w:bidi="ar-SA"/>
        </w:rPr>
      </w:r>
      <w:r/>
    </w:p>
    <w:p>
      <w:pPr>
        <w:pStyle w:val="826"/>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3.合同履约期间，若国家、行业相关标准、规范更新修订，采购人有权发出变更指令，要求投标人采用最新标准实施。</w:t>
      </w:r>
      <w:r>
        <w:rPr>
          <w:rFonts w:hint="eastAsia" w:ascii="宋体" w:hAnsi="宋体" w:cs="宋体"/>
          <w:b w:val="0"/>
          <w:bCs w:val="0"/>
          <w:color w:val="000000"/>
          <w:sz w:val="21"/>
          <w:szCs w:val="21"/>
          <w:highlight w:val="none"/>
          <w:lang w:val="en-US" w:eastAsia="zh-CN" w:bidi="ar-SA"/>
        </w:rPr>
      </w:r>
      <w:r/>
    </w:p>
    <w:p>
      <w:pPr>
        <w:pStyle w:val="826"/>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投标人若计划采用等效替代标准实施项目，需提交书面申请，详细对比原标准与替代标准差异，证明替代方案质量不低于原规范要求，经采购人书面审批后方可执行；审批前投标人必须严格执行本文件列明标准，审批不免除投标人全部工程质量责任。</w:t>
      </w:r>
      <w:r>
        <w:rPr>
          <w:rFonts w:hint="eastAsia" w:ascii="宋体" w:hAnsi="宋体" w:cs="宋体"/>
          <w:b w:val="0"/>
          <w:bCs w:val="0"/>
          <w:color w:val="000000"/>
          <w:sz w:val="21"/>
          <w:szCs w:val="21"/>
          <w:highlight w:val="none"/>
          <w:lang w:val="en-US" w:eastAsia="zh-CN" w:bidi="ar-SA"/>
        </w:rPr>
      </w:r>
      <w:r/>
    </w:p>
    <w:p>
      <w:pPr>
        <w:pStyle w:val="826"/>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5.项目全过程施工、分阶段验收、整体竣工验收均严格按照现行国家、行业强制技术标准执行。</w:t>
      </w:r>
      <w:r>
        <w:rPr>
          <w:rFonts w:hint="eastAsia" w:ascii="宋体" w:hAnsi="宋体" w:cs="宋体"/>
          <w:b w:val="0"/>
          <w:bCs w:val="0"/>
          <w:color w:val="000000"/>
          <w:sz w:val="21"/>
          <w:szCs w:val="21"/>
          <w:highlight w:val="none"/>
          <w:lang w:val="en-US" w:eastAsia="zh-CN" w:bidi="ar-SA"/>
        </w:rPr>
      </w:r>
      <w:r/>
    </w:p>
    <w:p>
      <w:pPr>
        <w:pStyle w:val="826"/>
        <w:ind w:firstLine="420"/>
        <w:spacing w:line="360" w:lineRule="auto"/>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6.所有设备、辅材、施工工艺、质量检测、竣工验收，无特殊说明均遵循本文件引用全部国标、行标；材料、设备进场须提供原厂合格证、3C认证、第三方检测报告等。</w:t>
      </w:r>
      <w:r>
        <w:rPr>
          <w:rFonts w:hint="eastAsia" w:ascii="宋体" w:hAnsi="宋体" w:cs="宋体"/>
          <w:b w:val="0"/>
          <w:bCs w:val="0"/>
          <w:color w:val="000000"/>
          <w:sz w:val="21"/>
          <w:szCs w:val="21"/>
          <w:highlight w:val="none"/>
          <w:lang w:val="en-US" w:eastAsia="zh-CN" w:bidi="ar-SA"/>
        </w:rPr>
      </w:r>
      <w:r/>
    </w:p>
    <w:p>
      <w:pPr>
        <w:pStyle w:val="826"/>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7.本文件技术条款内容与引用规范条文存在冲突时，以采购人书面指示为准；涉及人身、消防安全的强制条款，优先执行国家、行业强制性标准，冲突部分由采购人按国标修正。</w:t>
      </w:r>
      <w:r>
        <w:rPr>
          <w:rFonts w:hint="eastAsia" w:ascii="宋体" w:hAnsi="宋体" w:cs="宋体"/>
          <w:b w:val="0"/>
          <w:bCs w:val="0"/>
          <w:color w:val="000000"/>
          <w:sz w:val="21"/>
          <w:szCs w:val="21"/>
          <w:highlight w:val="none"/>
          <w:lang w:val="en-US" w:eastAsia="zh-CN" w:bidi="ar-SA"/>
        </w:rPr>
      </w:r>
      <w:r/>
    </w:p>
    <w:p>
      <w:pPr>
        <w:pStyle w:val="826"/>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8.项目实施阶段，采购人有权根据工程质量、工期管控需求，要求投标人采用新技术、新工艺，增补、修订技术条款；涉及造价、工期变更的，按照合同变更流程办理。</w:t>
      </w:r>
      <w:r>
        <w:rPr>
          <w:rFonts w:hint="eastAsia" w:ascii="宋体" w:hAnsi="宋体" w:cs="宋体"/>
          <w:b w:val="0"/>
          <w:bCs w:val="0"/>
          <w:color w:val="000000"/>
          <w:sz w:val="21"/>
          <w:szCs w:val="21"/>
          <w:highlight w:val="none"/>
          <w:lang w:val="en-US" w:eastAsia="zh-CN" w:bidi="ar-SA"/>
        </w:rPr>
      </w:r>
      <w:r/>
    </w:p>
    <w:p>
      <w:pPr>
        <w:pStyle w:val="826"/>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二</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Cs w:val="21"/>
          <w:highlight w:val="none"/>
        </w:rPr>
        <w:t xml:space="preserve">技术要求</w:t>
      </w:r>
      <w:r>
        <w:rPr>
          <w:rFonts w:hint="eastAsia" w:ascii="宋体" w:hAnsi="宋体" w:eastAsia="宋体" w:cs="宋体"/>
          <w:b/>
          <w:bCs/>
          <w:color w:val="000000"/>
          <w:szCs w:val="21"/>
          <w:highlight w:val="none"/>
        </w:rPr>
      </w:r>
      <w:r/>
    </w:p>
    <w:p>
      <w:pPr>
        <w:pStyle w:val="826"/>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（一）东区医院采购货物清单及参数要求</w:t>
      </w:r>
      <w:r>
        <w:rPr>
          <w:rFonts w:hint="eastAsia" w:ascii="宋体" w:hAnsi="宋体" w:cs="宋体"/>
          <w:b/>
          <w:bCs/>
          <w:color w:val="000000"/>
          <w:sz w:val="21"/>
          <w:szCs w:val="21"/>
          <w:highlight w:val="none"/>
          <w:lang w:val="en-US" w:eastAsia="zh-CN"/>
        </w:rPr>
      </w:r>
      <w:r/>
    </w:p>
    <w:tbl>
      <w:tblPr>
        <w:tblW w:w="95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291"/>
        <w:gridCol w:w="6580"/>
        <w:gridCol w:w="463"/>
        <w:gridCol w:w="707"/>
      </w:tblGrid>
      <w:tr>
        <w:trPr>
          <w:tblHeader/>
        </w:trPr>
        <w:tc>
          <w:tcPr>
            <w:shd w:val="clear" w:color="auto" w:fill="d7d7d7"/>
            <w:tcW w:w="530" w:type="dxa"/>
            <w:vAlign w:val="center"/>
            <w:textDirection w:val="lrTb"/>
            <w:noWrap/>
          </w:tcPr>
          <w:p>
            <w:pPr>
              <w:pStyle w:val="826"/>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d7d7d7"/>
            <w:tcW w:w="1291" w:type="dxa"/>
            <w:vAlign w:val="center"/>
            <w:textDirection w:val="lrTb"/>
            <w:noWrap/>
          </w:tcPr>
          <w:p>
            <w:pPr>
              <w:pStyle w:val="826"/>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货物名称</w:t>
            </w:r>
            <w:r>
              <w:rPr>
                <w:rFonts w:hint="eastAsia" w:ascii="宋体" w:hAnsi="宋体" w:eastAsia="宋体" w:cs="宋体"/>
                <w:b/>
                <w:bCs/>
                <w:i w:val="0"/>
                <w:iCs w:val="0"/>
                <w:color w:val="000000"/>
                <w:sz w:val="21"/>
                <w:szCs w:val="21"/>
                <w:highlight w:val="none"/>
                <w:u w:val="none"/>
              </w:rPr>
            </w:r>
            <w:r/>
          </w:p>
        </w:tc>
        <w:tc>
          <w:tcPr>
            <w:shd w:val="clear" w:color="auto" w:fill="d7d7d7"/>
            <w:tcW w:w="6580" w:type="dxa"/>
            <w:vAlign w:val="center"/>
            <w:textDirection w:val="lrTb"/>
            <w:noWrap/>
          </w:tcPr>
          <w:p>
            <w:pPr>
              <w:pStyle w:val="826"/>
              <w:ind w:left="0" w:right="0" w:firstLine="0"/>
              <w:jc w:val="center"/>
              <w:keepLines w:val="0"/>
              <w:keepNext w:val="0"/>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参数要求</w:t>
            </w:r>
            <w:r>
              <w:rPr>
                <w:rFonts w:hint="eastAsia" w:ascii="宋体" w:hAnsi="宋体" w:eastAsia="宋体" w:cs="宋体"/>
                <w:b/>
                <w:bCs/>
                <w:i w:val="0"/>
                <w:iCs w:val="0"/>
                <w:color w:val="000000"/>
                <w:sz w:val="21"/>
                <w:szCs w:val="21"/>
                <w:highlight w:val="none"/>
                <w:u w:val="none"/>
                <w:lang w:val="en-US"/>
              </w:rPr>
            </w:r>
            <w:r/>
          </w:p>
        </w:tc>
        <w:tc>
          <w:tcPr>
            <w:shd w:val="clear" w:color="auto" w:fill="d7d7d7"/>
            <w:tcW w:w="463" w:type="dxa"/>
            <w:vAlign w:val="center"/>
            <w:textDirection w:val="lrTb"/>
            <w:noWrap/>
          </w:tcPr>
          <w:p>
            <w:pPr>
              <w:pStyle w:val="826"/>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shd w:val="clear" w:color="auto" w:fill="d7d7d7"/>
            <w:tcW w:w="707" w:type="dxa"/>
            <w:vAlign w:val="center"/>
            <w:textDirection w:val="lrTb"/>
            <w:noWrap/>
          </w:tcPr>
          <w:p>
            <w:pPr>
              <w:pStyle w:val="826"/>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c>
          <w:tcPr>
            <w:gridSpan w:val="5"/>
            <w:shd w:val="clear" w:color="auto" w:fill="ffffff"/>
            <w:tcW w:w="9571" w:type="dxa"/>
            <w:vAlign w:val="center"/>
            <w:textDirection w:val="lrTb"/>
            <w:noWrap w:val="false"/>
          </w:tcPr>
          <w:p>
            <w:pPr>
              <w:pStyle w:val="826"/>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1.</w:t>
            </w:r>
            <w:r>
              <w:rPr>
                <w:rFonts w:hint="eastAsia" w:ascii="宋体" w:hAnsi="宋体" w:eastAsia="宋体" w:cs="宋体"/>
                <w:b/>
                <w:bCs/>
                <w:color w:val="000000"/>
                <w:sz w:val="21"/>
                <w:szCs w:val="21"/>
                <w:highlight w:val="none"/>
              </w:rPr>
              <w:t xml:space="preserve">综合安防（视频监控）系统</w:t>
            </w:r>
            <w:r>
              <w:rPr>
                <w:rFonts w:hint="eastAsia" w:ascii="宋体" w:hAnsi="宋体" w:eastAsia="宋体" w:cs="宋体"/>
                <w:b/>
                <w:bCs/>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全彩电梯监控</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最大补光距离：红外不低于10m，暖光不低于10m；</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2"/>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rPr>
              <w:t xml:space="preserve">补光灯：不少于2颗；</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镜头焦距：2.8-4mm；</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报警事件：网络断开；IP冲突；非法访问；动态检测；视频遮挡；音频异常侦测；智能动检（人）；安全异常；</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网桥</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网桥网络接口：具备1个10/100Mbps自协商以太网上行口，支持PoE供电，支持DC供电；</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无线标准：IEEE802.11b/g/n/ax；</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工作频率：2.4GHz-2.484GHz；</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最佳无线传输距离：≥100m；</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整机最大无线传输速率：280Mbps；</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高清全彩室内半球摄像机</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最大分辨率：2560×1440；</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最大补光距离：红外不低于50m，暖光不低于30m；</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补光灯：</w:t>
            </w:r>
            <w:r>
              <w:rPr>
                <w:rFonts w:hint="eastAsia" w:ascii="宋体" w:hAnsi="宋体" w:eastAsia="宋体" w:cs="宋体"/>
                <w:color w:val="000000"/>
                <w:sz w:val="21"/>
                <w:szCs w:val="21"/>
                <w:highlight w:val="none"/>
                <w:lang w:val="en-US" w:eastAsia="zh-CN"/>
              </w:rPr>
              <w:t xml:space="preserve">不少于2颗；</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镜头焦距：≥3.6mm；镜头光圈：≤F2.0；</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报警事件：网络断开；IP冲突；非法访问；动态检测；视频遮挡；音频异常侦测；智能动检（人）；安全异常；</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双光全彩枪型摄像机</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最大补光距离：</w:t>
            </w:r>
            <w:r>
              <w:rPr>
                <w:rFonts w:hint="eastAsia" w:ascii="宋体" w:hAnsi="宋体" w:eastAsia="宋体" w:cs="宋体"/>
                <w:color w:val="000000"/>
                <w:sz w:val="21"/>
                <w:szCs w:val="21"/>
                <w:highlight w:val="none"/>
              </w:rPr>
              <w:t xml:space="preserve">红外不低于50m，暖光不低于30m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5"/>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镜头焦距：≥6mm；镜头光圈：≤F2.0；</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报警事件：网络断开；IP冲突；非法访问；动态检测；视频遮挡；音频异常侦测；绊线入侵；区域入侵；智能动检（人）；智能动检（机动车）；安全异常；</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人脸相机</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传感器采用不低于1/1.8英寸CMOS；</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最低照度：彩色模式≤0.001lux；黑白模式≤0.0001lux；补光灯开启0lux；</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最大补光距离：红外不低于80m；暖光不低于60m；人脸检测距离不低于16m；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补光灯：光灯总数量不少于4颗，支持红外、白光混光补光；</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5"/>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镜头类型：电动变焦；镜头焦距范围不小于8mm～32mm；镜头光圈：≤F1.6；</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【8】</w:t>
            </w:r>
            <w:r>
              <w:rPr>
                <w:rFonts w:hint="eastAsia" w:ascii="宋体" w:hAnsi="宋体" w:eastAsia="宋体" w:cs="宋体"/>
                <w:color w:val="000000"/>
                <w:sz w:val="21"/>
                <w:szCs w:val="21"/>
                <w:highlight w:val="none"/>
                <w:lang w:val="en-US" w:eastAsia="zh-CN" w:bidi="ar-SA"/>
              </w:rPr>
              <w:t xml:space="preserve">支持视频结构化：</w:t>
            </w:r>
            <w:r>
              <w:rPr>
                <w:rFonts w:hint="eastAsia" w:ascii="宋体" w:hAnsi="宋体" w:eastAsia="宋体" w:cs="宋体"/>
                <w:color w:val="000000"/>
                <w:szCs w:val="21"/>
                <w:highlight w:val="none"/>
              </w:rPr>
              <w:t xml:space="preserve">支持视频结构化功能，支持机动车、非机动车、人脸、人体目标检测、智能跟踪、目标优选、抓拍，可上报最优人脸抓拍图片；支持机动车、非机动车、人脸、人体多维度属性识别提取，其中机动车属性不少于7种、非机动车属性不少于6种、人脸属性不少于6种、人体属性不少于8种。</w:t>
            </w:r>
            <w:r>
              <w:rPr>
                <w:rFonts w:hint="eastAsia" w:ascii="宋体" w:hAnsi="宋体" w:eastAsia="宋体" w:cs="宋体"/>
                <w:color w:val="000000"/>
                <w:sz w:val="21"/>
                <w:szCs w:val="21"/>
                <w:highlight w:val="none"/>
                <w:lang w:val="en-US" w:eastAsia="zh-CN" w:bidi="ar-SA"/>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color w:val="000000"/>
                <w:sz w:val="21"/>
                <w:szCs w:val="21"/>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宽动态：</w:t>
            </w:r>
            <w:r>
              <w:rPr>
                <w:rFonts w:hint="eastAsia" w:ascii="宋体" w:hAnsi="宋体" w:eastAsia="宋体" w:cs="宋体"/>
                <w:color w:val="000000"/>
                <w:sz w:val="21"/>
                <w:szCs w:val="21"/>
                <w:highlight w:val="none"/>
                <w:lang w:val="en-US" w:eastAsia="zh-CN" w:bidi="ar-SA"/>
              </w:rPr>
              <w:t xml:space="preserve">支持光学宽动态，宽动态不低于120dB；</w:t>
            </w:r>
            <w:r>
              <w:rPr>
                <w:rFonts w:hint="eastAsia" w:ascii="宋体" w:hAnsi="宋体" w:eastAsia="宋体" w:cs="宋体"/>
                <w:color w:val="000000"/>
                <w:sz w:val="21"/>
                <w:szCs w:val="21"/>
                <w:highlight w:val="none"/>
                <w:lang w:val="en-US" w:eastAsia="zh-CN" w:bidi="ar-SA"/>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内置不少于双麦克风；</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内置不少于一只扬声器；</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内置加热模块，可对镜头前盖玻璃加热，去除镜头玻璃上的冰状和水状附着物；</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接入标准：ONVIF（</w:t>
            </w:r>
            <w:r>
              <w:rPr>
                <w:rFonts w:ascii="宋体" w:hAnsi="宋体" w:eastAsia="宋体" w:cs="宋体"/>
                <w:color w:val="000000"/>
                <w:sz w:val="21"/>
                <w:szCs w:val="21"/>
                <w:highlight w:val="none"/>
              </w:rPr>
              <w:t xml:space="preserve">ProfileG</w:t>
            </w:r>
            <w:r>
              <w:rPr>
                <w:rFonts w:hint="eastAsia" w:ascii="宋体" w:hAnsi="宋体" w:eastAsia="宋体" w:cs="宋体"/>
                <w:i w:val="0"/>
                <w:iCs w:val="0"/>
                <w:color w:val="000000"/>
                <w:sz w:val="21"/>
                <w:szCs w:val="21"/>
                <w:highlight w:val="none"/>
                <w:u w:val="none"/>
                <w:lang w:val="en-US" w:eastAsia="zh-CN" w:bidi="ar"/>
              </w:rPr>
              <w:t xml:space="preserve">&amp;ProfileT）；CGI；GB/T28181-2022；GA/T1400；GB35114-2017A级；</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烟火检测摄像机</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传感器采用不低于1/2.7英寸CMOS；</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最低照度彩色模式≤0.002lux；黑白模式≤0.0002lux；补光灯开启0lux；</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1"/>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最大补光距离：红外不低于60m；暖光不低于30m；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补光灯：不少于2颗（红外灯）；不少于2颗（混光（红外+暖光）灯）；</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6"/>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镜头类型：电动变焦；镜头焦距范围不小于2.7mm～13.5mm；镜头光圈≤F1.6；</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宽动态：支持光学宽动态，宽动态不低于120dB；</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走廊模式：90°/270°（在2688×1520分辨率及以下支持）；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内置不少于1个扬声器；</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报警事件：网络断开；IP冲突；非法访问；动态检测；视频遮挡；场景变更；音频异常侦测；外部报警；安全异常；烟雾检测；火焰检测；通道占用；目标出现；目标消失；变化检测；目标状态；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接入标准：ONVIF（ProfileS&amp;ProfileG&amp;ProfileT）；CGI；GB/T28181-2022；</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音频输入不少于1路；音频输出不少于1路；报警输入不少于2路；报警输出不少于2路；</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供电方式：支持DC12V，支持PoE供电；</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防入侵报警摄像机</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传感器采用不低于1/1.8英寸CMOS；</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最低照度：彩色模式≤0.0005lux；补光灯开启0lux；</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最大补光距离：暖光不低于40m；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3"/>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补光灯：暖光补光灯数量不少于4颗；</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Cs w:val="21"/>
                <w:highlight w:val="none"/>
              </w:rPr>
              <w:t xml:space="preserve">支持周界防范智能检测，支持绊线入侵、区域入侵、快速移动检测；绊线入侵、区域入侵、快速移动三项检测支持人、车分类及精准识别；同时支持徘徊检测、人员聚集、停车检测、物品遗留、物品搬移检测；支持大模型增强周界算法能力，可提升目标检测距离，降低目标误报率。</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4"/>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内置不少于2只麦克风；内置不少于1只扬声器；</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
              </w:rPr>
              <w:t xml:space="preserve">支持定时语音播报,最大可添加10个不同语音文件,可设置时间优先、次数优先,播放间隔可设置,支持针对不同语音单独配置播放时间计划</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支持声光警戒功能；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接入标准：ONVIF（ProfileS&amp;ProfileG&amp;ProfileT&amp;ProfileM）；CGI；GB/T28181-2022；</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2"/>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音频输入不少于1路；音频输出不少于1路；报警输入不少于2路；报警输出不少于2路；</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供电方式：DC12V（±30%）；PoE+（802.3at）；</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室外球机</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传感器采用不低于1/2.8英寸CMOS；</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最低照度：彩色：0.005lux@F1.6；黑白：0.0005lux@F1.6红外灯开启0lux</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最大补光距离：不低于150m；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补光类型：红外；</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配置雨刷；</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7"/>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镜头焦距范围不小于4.8mm～154mm；镜头光圈范围不小于：F1.6-F4.0；</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光学变倍不低于32倍；</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周界防范：支持绊线入侵；支持区域入侵；支持穿越围栏；支持徘徊检测；支持物品遗留；支持物品搬移；支持快速移动；支持停车检测；支持人员聚集；支持人车分类报警；支持联动跟踪；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0"/>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t xml:space="preserve">人脸检测：</w:t>
            </w:r>
            <w:r>
              <w:rPr>
                <w:rFonts w:hint="eastAsia" w:ascii="宋体" w:hAnsi="宋体" w:eastAsia="宋体" w:cs="宋体"/>
                <w:color w:val="000000"/>
                <w:sz w:val="21"/>
                <w:szCs w:val="21"/>
                <w:highlight w:val="none"/>
              </w:rPr>
              <w:t xml:space="preserve">支持人脸检测、人脸轨迹框、优选抓拍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支持上报</w:t>
            </w:r>
            <w:r>
              <w:rPr>
                <w:rFonts w:hint="eastAsia" w:ascii="宋体" w:hAnsi="宋体" w:eastAsia="宋体" w:cs="宋体"/>
                <w:color w:val="000000"/>
                <w:sz w:val="21"/>
                <w:szCs w:val="21"/>
                <w:highlight w:val="none"/>
              </w:rPr>
              <w:t xml:space="preserve">最优人脸抓图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color w:val="000000"/>
                <w:sz w:val="21"/>
                <w:szCs w:val="21"/>
                <w:highlight w:val="none"/>
              </w:rPr>
              <w:t xml:space="preserve">人脸增强；支持人脸属性提取（性别、年龄段、眼镜、表情、口罩、胡子等至少 6 类）；支持人脸抠图（人脸、单寸照两种规格）；支持实时、优选、质量优先三种抓拍策略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应支持声警戒：</w:t>
            </w:r>
            <w:r>
              <w:rPr>
                <w:rFonts w:hint="eastAsia" w:ascii="宋体" w:hAnsi="宋体" w:eastAsia="宋体" w:cs="宋体"/>
                <w:color w:val="000000"/>
                <w:sz w:val="21"/>
                <w:szCs w:val="21"/>
                <w:highlight w:val="none"/>
                <w:lang w:val="en-US" w:eastAsia="zh-CN"/>
              </w:rPr>
              <w:t xml:space="preserve">内置不少于11</w:t>
            </w:r>
            <w:r>
              <w:rPr>
                <w:rFonts w:hint="eastAsia" w:ascii="宋体" w:hAnsi="宋体" w:eastAsia="宋体" w:cs="宋体"/>
                <w:i w:val="0"/>
                <w:iCs w:val="0"/>
                <w:color w:val="000000"/>
                <w:sz w:val="21"/>
                <w:szCs w:val="21"/>
                <w:highlight w:val="none"/>
                <w:u w:val="none"/>
                <w:lang w:val="en-US" w:eastAsia="zh-CN" w:bidi="ar"/>
              </w:rPr>
              <w:t xml:space="preserve">条语音报警内容，支持自定义语音内容导入；</w:t>
            </w:r>
            <w:r>
              <w:rPr>
                <w:rFonts w:hint="eastAsia" w:ascii="宋体" w:hAnsi="宋体" w:eastAsia="宋体" w:cs="宋体"/>
                <w:color w:val="000000"/>
                <w:sz w:val="21"/>
                <w:szCs w:val="21"/>
                <w:highlight w:val="none"/>
              </w:rPr>
              <w:t xml:space="preserve">音量支持高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低三档</w:t>
            </w:r>
            <w:r>
              <w:rPr>
                <w:rFonts w:hint="eastAsia" w:ascii="宋体" w:hAnsi="宋体" w:eastAsia="宋体" w:cs="宋体"/>
                <w:color w:val="000000"/>
                <w:sz w:val="21"/>
                <w:szCs w:val="21"/>
                <w:highlight w:val="none"/>
                <w:lang w:val="en-US" w:eastAsia="zh-CN"/>
              </w:rPr>
              <w:t xml:space="preserve">可</w:t>
            </w:r>
            <w:r>
              <w:rPr>
                <w:rFonts w:hint="eastAsia" w:ascii="宋体" w:hAnsi="宋体" w:eastAsia="宋体" w:cs="宋体"/>
                <w:color w:val="000000"/>
                <w:sz w:val="21"/>
                <w:szCs w:val="21"/>
                <w:highlight w:val="none"/>
              </w:rPr>
              <w:t xml:space="preserve">调节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支持图像防抖功能，在一定范围内的抖动，开启陀螺仪防抖能使视频图像有明显改善；</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支持电子透雾；</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97"/>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支持语音对讲；</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报警输入不少于2路，开关量输入（0～5VDC）；报警输出不少于1路；</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供电方式：DC24V/2.5A±25%，兼容AC24V/3A±25%；</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防护等级不低于IP66；具备TVS6000V防雷、防浪涌和防突波保护；</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全彩高清室内半球摄像机（带音频接口）</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传感器类型不低于1/3英寸CMOS；</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w:t>
            </w:r>
            <w:r>
              <w:rPr>
                <w:rFonts w:hint="eastAsia" w:ascii="宋体" w:hAnsi="宋体" w:eastAsia="宋体" w:cs="宋体"/>
                <w:color w:val="000000"/>
                <w:sz w:val="21"/>
                <w:szCs w:val="21"/>
                <w:highlight w:val="none"/>
              </w:rPr>
              <w:t xml:space="preserve">彩色模式≤0.002lux；黑白模式≤0.0002lux；补光灯开启0lux；</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0"/>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最大补光距离：</w:t>
            </w:r>
            <w:r>
              <w:rPr>
                <w:rFonts w:hint="eastAsia" w:ascii="宋体" w:hAnsi="宋体" w:eastAsia="宋体" w:cs="宋体"/>
                <w:color w:val="000000"/>
                <w:sz w:val="21"/>
                <w:szCs w:val="21"/>
                <w:highlight w:val="none"/>
              </w:rPr>
              <w:t xml:space="preserve">红外不低于50m，暖光不低于30m</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3"/>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镜头焦距：≥2.8mm；镜头光圈：</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F1.6；</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支持AI智能编码</w:t>
            </w:r>
            <w:r>
              <w:rPr>
                <w:rFonts w:hint="eastAsia" w:ascii="宋体" w:hAnsi="宋体" w:eastAsia="宋体" w:cs="宋体"/>
                <w:color w:val="000000"/>
                <w:sz w:val="21"/>
                <w:szCs w:val="21"/>
                <w:highlight w:val="none"/>
                <w:lang w:eastAsia="zh-CN"/>
              </w:rPr>
              <w:t xml:space="preserve">；支持H.264、H.265编码</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宽动态：</w:t>
            </w:r>
            <w:r>
              <w:rPr>
                <w:rFonts w:hint="eastAsia" w:ascii="宋体" w:hAnsi="宋体" w:eastAsia="宋体" w:cs="宋体"/>
                <w:color w:val="000000"/>
                <w:sz w:val="21"/>
                <w:szCs w:val="21"/>
                <w:highlight w:val="none"/>
              </w:rPr>
              <w:t xml:space="preserve">支持光学宽动态，宽动态不低于120dB</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最大MicroSD卡不小于512GB；</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7"/>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报警输入不少于1路（支持对接湿接点报警输出（直流3～5V电位，最大5mA电流）；支持对接干接点报警输出）；</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报警输出不少于1路（干接点，支持直流最大30V电位，1A电流/交流最大50V电位，0.5A电流）；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拾音范围：不小于1～150平方米，半径不小于7米；</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灵敏度：-38dB±1dB（re0dB=1V/Pa@1kHz）；</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信噪：≥70dB（1KHz&amp;MaxdBSPL）；</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指向特性：全指向性；</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动态范围：≥40dB（1KHz&amp;MaxdBSPL）；功耗：＜2W</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球机支架</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外观颜色：白色；</w:t>
            </w:r>
            <w:r>
              <w:rPr>
                <w:rFonts w:hint="eastAsia" w:ascii="宋体" w:hAnsi="宋体" w:eastAsia="宋体" w:cs="宋体"/>
                <w:color w:val="000000"/>
                <w:sz w:val="21"/>
                <w:szCs w:val="21"/>
                <w:highlight w:val="none"/>
              </w:rPr>
              <w:t xml:space="preserve">最大承重：≥7.0kg</w:t>
            </w:r>
            <w:r>
              <w:rPr>
                <w:rFonts w:hint="eastAsia" w:ascii="宋体" w:hAnsi="宋体" w:eastAsia="宋体" w:cs="宋体"/>
                <w:i w:val="0"/>
                <w:iCs w:val="0"/>
                <w:color w:val="000000"/>
                <w:sz w:val="21"/>
                <w:szCs w:val="21"/>
                <w:highlight w:val="none"/>
                <w:u w:val="none"/>
                <w:lang w:val="en-US" w:eastAsia="zh-CN" w:bidi="ar"/>
              </w:rPr>
              <w:t xml:space="preserve">；安装方式：壁装；</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r>
      <w:tr>
        <w:trPr>
          <w:trHeight w:val="251"/>
        </w:trPr>
        <w:tc>
          <w:tcPr>
            <w:shd w:val="clear" w:color="auto" w:fill="ffffff"/>
            <w:tcW w:w="530" w:type="dxa"/>
            <w:vAlign w:val="center"/>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枪机支架</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外观颜色：白色；</w:t>
            </w:r>
            <w:r>
              <w:rPr>
                <w:rFonts w:hint="eastAsia" w:ascii="宋体" w:hAnsi="宋体" w:eastAsia="宋体" w:cs="宋体"/>
                <w:color w:val="000000"/>
                <w:sz w:val="21"/>
                <w:szCs w:val="21"/>
                <w:highlight w:val="none"/>
              </w:rPr>
              <w:t xml:space="preserve">最大承重：≥</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.0kg</w:t>
            </w:r>
            <w:r>
              <w:rPr>
                <w:rFonts w:hint="eastAsia" w:ascii="宋体" w:hAnsi="宋体" w:eastAsia="宋体" w:cs="宋体"/>
                <w:i w:val="0"/>
                <w:iCs w:val="0"/>
                <w:color w:val="000000"/>
                <w:sz w:val="21"/>
                <w:szCs w:val="21"/>
                <w:highlight w:val="none"/>
                <w:u w:val="none"/>
                <w:lang w:val="en-US" w:eastAsia="zh-CN" w:bidi="ar"/>
              </w:rPr>
              <w:t xml:space="preserve">；安装方式：壁装；</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139"/>
        </w:trPr>
        <w:tc>
          <w:tcPr>
            <w:shd w:val="clear" w:color="auto" w:fill="ffffff"/>
            <w:tcW w:w="530" w:type="dxa"/>
            <w:vAlign w:val="center"/>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六类非屏蔽线缆</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UTP6双绞线，六类非屏蔽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箱</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拼接屏</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西区拆利旧，电视墙改造，大屏西区搬迁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301"/>
        </w:trPr>
        <w:tc>
          <w:tcPr>
            <w:shd w:val="clear" w:color="auto" w:fill="ffffff"/>
            <w:tcW w:w="530" w:type="dxa"/>
            <w:vAlign w:val="center"/>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LCD新型模块化支架</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西区拆利旧</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视频解码器</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ATCA电信级架构</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【17】</w:t>
            </w:r>
            <w:r>
              <w:rPr>
                <w:rFonts w:hint="eastAsia" w:ascii="宋体" w:hAnsi="宋体" w:eastAsia="宋体" w:cs="宋体"/>
                <w:i w:val="0"/>
                <w:iCs w:val="0"/>
                <w:color w:val="000000"/>
                <w:sz w:val="21"/>
                <w:szCs w:val="21"/>
                <w:highlight w:val="none"/>
                <w:u w:val="none"/>
                <w:lang w:val="en-US" w:eastAsia="zh-CN" w:bidi="ar"/>
              </w:rPr>
              <w:t xml:space="preserve">支持不少于2路HDMI输入（1路HDMI2.0、1路HDMI1.3），最大支持1路4K@60Hz和1路1080p@60Hz编码输入</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【18】</w:t>
            </w:r>
            <w:r>
              <w:rPr>
                <w:rFonts w:hint="eastAsia" w:ascii="宋体" w:hAnsi="宋体" w:eastAsia="宋体" w:cs="宋体"/>
                <w:i w:val="0"/>
                <w:iCs w:val="0"/>
                <w:color w:val="000000"/>
                <w:sz w:val="21"/>
                <w:szCs w:val="21"/>
                <w:highlight w:val="none"/>
                <w:u w:val="none"/>
                <w:lang w:val="en-US" w:eastAsia="zh-CN" w:bidi="ar"/>
              </w:rPr>
              <w:t xml:space="preserve">支持不少于16路HDMI输出（8路HDMI2.0、8路HDMI1.3），最大支持8路4K@60Hz和8路1080p@60Hz输出</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支持H.264/H.265视频编码，支持双码流和可变码流，支持复合流和视频流编码。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支持H.264/H.265视频解码，支持192路1080p@25fps高清视频解码能力</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支持32MP/16MP/12MP/8MP/5MP/3MP/1080p/720p/D1/HD1/2CIF/CIF/QCIF视频解码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支持H.265/H.264/SVAC/MPEG4/MJPEG视频格式解码</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支持本地信号、网络信号的输入和矩阵输出</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支持信号多路复制，单路信号最大复制不低于32路；</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支持web浏览器、PC客户端、移动客户端、网络键盘等进行控制</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支持拼接缩放、视频融合、漫游、开窗、层叠</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支持1/4/6/8/9/16/25/36等多种画面分割显示，支持自由分割</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支持</w:t>
            </w:r>
            <w:r>
              <w:rPr>
                <w:rFonts w:hint="eastAsia" w:ascii="宋体" w:hAnsi="宋体" w:eastAsia="宋体" w:cs="宋体"/>
                <w:color w:val="000000"/>
                <w:sz w:val="21"/>
                <w:szCs w:val="21"/>
                <w:highlight w:val="none"/>
                <w:lang w:val="en-US" w:eastAsia="zh-CN"/>
              </w:rPr>
              <w:t xml:space="preserve">不少于</w:t>
            </w:r>
            <w:r>
              <w:rPr>
                <w:rFonts w:hint="eastAsia" w:ascii="宋体" w:hAnsi="宋体" w:eastAsia="宋体" w:cs="宋体"/>
                <w:i w:val="0"/>
                <w:iCs w:val="0"/>
                <w:color w:val="000000"/>
                <w:sz w:val="21"/>
                <w:szCs w:val="21"/>
                <w:highlight w:val="none"/>
                <w:u w:val="none"/>
                <w:lang w:val="en-US" w:eastAsia="zh-CN" w:bidi="ar"/>
              </w:rPr>
              <w:t xml:space="preserve">128个场景预设，可以自定义每个场景电视墙布局</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支持点对点高清底图显示</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支持字幕叠加功能，</w:t>
            </w:r>
            <w:r>
              <w:rPr>
                <w:rFonts w:hint="eastAsia" w:ascii="宋体" w:hAnsi="宋体" w:eastAsia="宋体" w:cs="宋体"/>
                <w:color w:val="000000"/>
                <w:sz w:val="21"/>
                <w:szCs w:val="21"/>
                <w:highlight w:val="none"/>
              </w:rPr>
              <w:t xml:space="preserve">可在单屏、拼接屏上叠加字符</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支持不少于2个RJ45千兆网络接口，支持网卡容错、单网卡、链路聚合、负载均衡工作模式设置</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支持RS232串口，实现矩阵控制、大屏开关控制等功能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支持TCP/IP协议，支持RTP/RTSP/RTCP/TCP/UDP/DHCP等网络协议</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支持远程控制本地、网络视频切换上墙</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支持远程重启、远程升级和恢复默认设置等操作</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支持用户权限管理，支持白名单功能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支持双电源冗余，配置智能风扇自动调温，确保系统稳定可靠</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WEB管理功能：</w:t>
            </w:r>
            <w:r>
              <w:rPr>
                <w:rFonts w:hint="eastAsia" w:ascii="宋体" w:hAnsi="宋体" w:eastAsia="宋体" w:cs="宋体"/>
                <w:i w:val="0"/>
                <w:iCs w:val="0"/>
                <w:color w:val="000000"/>
                <w:sz w:val="21"/>
                <w:szCs w:val="21"/>
                <w:highlight w:val="none"/>
                <w:u w:val="none"/>
              </w:rPr>
            </w:r>
            <w:r/>
          </w:p>
          <w:p>
            <w:pPr>
              <w:pStyle w:val="826"/>
              <w:numPr>
                <w:ilvl w:val="0"/>
                <w:numId w:val="5"/>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WEB设置：NTP设置，网络设置；</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2.NTP状态：NTP服务器和授时客户端的同步和时间偏差情况,可查看GPS状态：包括GPS卫星数，服务器部署位置的经纬度和高度，卫星时间，服务器时间以及参考源的同步情况</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授时模式：支持NTPPeerClient/ServerBroadcastMulticast</w:t>
            </w:r>
            <w:r>
              <w:rPr>
                <w:rFonts w:hint="eastAsia" w:ascii="宋体" w:hAnsi="宋体" w:eastAsia="宋体" w:cs="宋体"/>
                <w:color w:val="000000"/>
                <w:sz w:val="21"/>
                <w:szCs w:val="21"/>
                <w:highlight w:val="none"/>
                <w:lang w:val="en-US" w:eastAsia="zh-CN"/>
              </w:rPr>
              <w:t xml:space="preserve">多种工作模式</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卫星接收机：</w:t>
            </w:r>
            <w:r>
              <w:rPr>
                <w:rFonts w:hint="eastAsia" w:ascii="宋体" w:hAnsi="宋体" w:eastAsia="宋体" w:cs="宋体"/>
                <w:color w:val="000000"/>
                <w:sz w:val="21"/>
                <w:szCs w:val="21"/>
                <w:highlight w:val="none"/>
              </w:rPr>
              <w:t xml:space="preserve">支持北斗二代、GPS双模卫星授时参考源</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sz w:val="21"/>
                <w:szCs w:val="21"/>
                <w:highlight w:val="none"/>
                <w:u w:val="none"/>
                <w:lang w:val="en-US" w:eastAsia="zh-CN" w:bidi="ar"/>
              </w:rPr>
              <w:t xml:space="preserve">高可靠性：双路220V冗余电源；</w:t>
            </w:r>
            <w:r>
              <w:rPr>
                <w:rFonts w:hint="eastAsia" w:ascii="宋体" w:hAnsi="宋体" w:eastAsia="宋体" w:cs="宋体"/>
                <w:color w:val="000000"/>
                <w:sz w:val="21"/>
                <w:szCs w:val="21"/>
                <w:highlight w:val="none"/>
              </w:rPr>
              <w:t xml:space="preserve">支持双机热备主备切换；</w:t>
            </w:r>
            <w:r>
              <w:rPr>
                <w:rFonts w:hint="eastAsia" w:ascii="宋体" w:hAnsi="宋体" w:eastAsia="宋体" w:cs="宋体"/>
                <w:i w:val="0"/>
                <w:iCs w:val="0"/>
                <w:color w:val="000000"/>
                <w:sz w:val="21"/>
                <w:szCs w:val="21"/>
                <w:highlight w:val="none"/>
                <w:u w:val="none"/>
                <w:lang w:val="en-US" w:eastAsia="zh-CN" w:bidi="ar"/>
              </w:rPr>
              <w:t xml:space="preserve">支持网卡绑定功能</w:t>
            </w:r>
            <w:r>
              <w:rPr>
                <w:rFonts w:hint="eastAsia" w:ascii="宋体" w:hAnsi="宋体" w:eastAsia="宋体" w:cs="宋体"/>
                <w:i w:val="0"/>
                <w:iCs w:val="0"/>
                <w:color w:val="000000"/>
                <w:sz w:val="21"/>
                <w:szCs w:val="21"/>
                <w:highlight w:val="none"/>
                <w:u w:val="none"/>
                <w:lang w:val="en-US"/>
              </w:rPr>
            </w:r>
            <w:r/>
          </w:p>
        </w:tc>
        <w:tc>
          <w:tcPr>
            <w:shd w:val="clear" w:color="auto" w:fill="ffffff"/>
            <w:tcW w:w="463"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NTP校时服务器天线</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NTP校时服务器天线</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视频中心人脸识别服务器</w:t>
            </w:r>
            <w:r>
              <w:rPr>
                <w:rFonts w:hint="eastAsia" w:ascii="宋体" w:hAnsi="宋体" w:eastAsia="宋体" w:cs="宋体"/>
                <w:i w:val="0"/>
                <w:iCs w:val="0"/>
                <w:color w:val="000000"/>
                <w:sz w:val="21"/>
                <w:szCs w:val="21"/>
                <w:highlight w:val="none"/>
                <w:u w:val="none"/>
                <w:lang w:eastAsia="zh-CN"/>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主处理器：64位高性能多核处理器；</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操作系统：国产操作系统；</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GPU：设备内置不少于4颗高性能GPU,单颗GPU算力≥22TOPS(INT8)；</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【19】</w:t>
            </w:r>
            <w:r>
              <w:rPr>
                <w:rFonts w:hint="eastAsia" w:ascii="宋体" w:hAnsi="宋体" w:eastAsia="宋体" w:cs="宋体"/>
                <w:i w:val="0"/>
                <w:iCs w:val="0"/>
                <w:color w:val="000000"/>
                <w:sz w:val="21"/>
                <w:szCs w:val="21"/>
                <w:highlight w:val="none"/>
                <w:u w:val="none"/>
                <w:lang w:val="en-US" w:eastAsia="zh-CN" w:bidi="ar"/>
              </w:rPr>
              <w:t xml:space="preserve">后智能分析：支持后智能人脸检测、人脸识别、人员频次报警、视频结构化（人、车、非机动车）、支持后智能人脸检测、人脸识别、人员频次报警、视频结构化（人、车、非机动车）、</w:t>
            </w:r>
            <w:r>
              <w:rPr>
                <w:rFonts w:hint="eastAsia" w:ascii="宋体" w:hAnsi="宋体" w:eastAsia="宋体" w:cs="宋体"/>
                <w:color w:val="000000"/>
                <w:sz w:val="21"/>
                <w:szCs w:val="21"/>
                <w:highlight w:val="none"/>
              </w:rPr>
              <w:t xml:space="preserve">设备可对视频画面内人员、机动车、非机动车目标进行抓拍，自动提取目标多维属性信息；支持基于目标属性自定义组合条件设置告警策略，当画面目标匹配预设属性规则时自动触发告</w:t>
            </w:r>
            <w:r>
              <w:rPr>
                <w:rFonts w:hint="eastAsia" w:ascii="宋体" w:hAnsi="宋体" w:eastAsia="宋体" w:cs="宋体"/>
                <w:i w:val="0"/>
                <w:iCs w:val="0"/>
                <w:color w:val="000000"/>
                <w:sz w:val="21"/>
                <w:szCs w:val="21"/>
                <w:highlight w:val="none"/>
                <w:u w:val="none"/>
                <w:lang w:val="en-US" w:eastAsia="zh-CN" w:bidi="ar"/>
              </w:rPr>
              <w:t xml:space="preserve">警、通用行为分析、车牌比对；</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t xml:space="preserve">人脸检测：≥128路200万分辨率视频流分析；属性：</w:t>
            </w:r>
            <w:r>
              <w:rPr>
                <w:rFonts w:hint="eastAsia" w:ascii="宋体" w:hAnsi="宋体" w:eastAsia="宋体" w:cs="宋体"/>
                <w:color w:val="000000"/>
                <w:szCs w:val="21"/>
                <w:highlight w:val="none"/>
              </w:rPr>
              <w:t xml:space="preserve">不少于 6 种人脸属性，包含性别、年龄段、眼镜、表情、口罩、胡子；年龄段不少于 6 个分段，表情不少于 8 种</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【21】</w:t>
            </w:r>
            <w:r>
              <w:rPr>
                <w:rFonts w:hint="eastAsia" w:ascii="宋体" w:hAnsi="宋体" w:eastAsia="宋体" w:cs="宋体"/>
                <w:i w:val="0"/>
                <w:iCs w:val="0"/>
                <w:color w:val="000000"/>
                <w:sz w:val="21"/>
                <w:szCs w:val="21"/>
                <w:highlight w:val="none"/>
                <w:u w:val="none"/>
                <w:lang w:val="en-US" w:eastAsia="zh-CN" w:bidi="ar"/>
              </w:rPr>
              <w:t xml:space="preserve">以图搜图：支持以图搜图功能，支持文搜功能；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【22】</w:t>
            </w:r>
            <w:r>
              <w:rPr>
                <w:rFonts w:hint="eastAsia" w:ascii="宋体" w:hAnsi="宋体" w:eastAsia="宋体" w:cs="宋体"/>
                <w:i w:val="0"/>
                <w:iCs w:val="0"/>
                <w:color w:val="000000"/>
                <w:sz w:val="21"/>
                <w:szCs w:val="21"/>
                <w:highlight w:val="none"/>
                <w:u w:val="none"/>
                <w:lang w:val="en-US" w:eastAsia="zh-CN" w:bidi="ar"/>
              </w:rPr>
              <w:t xml:space="preserve">人脸库容量：</w:t>
            </w:r>
            <w:r>
              <w:rPr>
                <w:rFonts w:hint="eastAsia" w:ascii="宋体" w:hAnsi="宋体" w:eastAsia="宋体" w:cs="宋体"/>
                <w:color w:val="000000"/>
                <w:szCs w:val="21"/>
                <w:highlight w:val="none"/>
              </w:rPr>
              <w:t xml:space="preserve">样本库数量不少于 100 个，总样本图片容量不少于 50 万张，单样本库容量不少于 50 万张；路人库数量不少于 5 个，路人库总图片容量不少于 50 万张，单路人库容量不少于 50 万张；人脸库样本库容量、条数共享</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right="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【23】</w:t>
            </w:r>
            <w:r>
              <w:rPr>
                <w:rFonts w:hint="eastAsia" w:ascii="宋体" w:hAnsi="宋体" w:eastAsia="宋体" w:cs="宋体"/>
                <w:i w:val="0"/>
                <w:iCs w:val="0"/>
                <w:color w:val="000000"/>
                <w:sz w:val="21"/>
                <w:szCs w:val="21"/>
                <w:highlight w:val="none"/>
                <w:u w:val="none"/>
                <w:lang w:val="en-US" w:eastAsia="zh-CN" w:bidi="ar"/>
              </w:rPr>
              <w:t xml:space="preserve">人脸识别：图片流：≥128路200万分辨率图片流分析；视频流：支持≥64路200万分辨率视频流分析；支持人员频次高频报警；</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人脸识别（前智能）：配套前智能摄像机，支持48路≥200万分辨率；</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1"/>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接入路数不少于128路；报警输入不少于16路；报警输出不少于8路；</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硬盘接口不少于16个；SATA；单盘最大24TB；</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ff0000"/>
                <w:sz w:val="21"/>
                <w:szCs w:val="21"/>
                <w:highlight w:val="none"/>
                <w:u w:val="none"/>
                <w:lang w:val="en-US" w:eastAsia="zh-CN" w:bidi="ar"/>
              </w:rPr>
              <w:t xml:space="preserve">磁盘阵列</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录像存储要求：</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【24】</w:t>
            </w:r>
            <w:r>
              <w:rPr>
                <w:rFonts w:hint="eastAsia" w:ascii="宋体" w:hAnsi="宋体" w:eastAsia="宋体" w:cs="宋体"/>
                <w:i w:val="0"/>
                <w:iCs w:val="0"/>
                <w:color w:val="000000"/>
                <w:sz w:val="21"/>
                <w:szCs w:val="21"/>
                <w:highlight w:val="none"/>
                <w:u w:val="none"/>
                <w:lang w:val="en-US" w:eastAsia="zh-CN" w:bidi="ar"/>
              </w:rPr>
              <w:t xml:space="preserve">支持构建全局统一存储资源池或者IPSAN，支持RAID保护，可跨多个硬盘框实现；设备需配置冗余电源；硬盘、电源、风扇、控制器模块均支持热插拔维护，更换部件无需断电停机，保障监控业务连续不中断。单台存储盘位不低于48盘位。</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r>
      <w:tr>
        <w:trPr>
          <w:trHeight w:val="226"/>
        </w:trPr>
        <w:tc>
          <w:tcPr>
            <w:shd w:val="clear" w:color="auto" w:fill="ffffff"/>
            <w:tcW w:w="530" w:type="dxa"/>
            <w:vAlign w:val="center"/>
            <w:vMerge w:val="restart"/>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智能物联综合管理平台（含硬件）</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软件集成系统管理、视频管理、报警管理、门禁管理、可视对讲、车辆卡口、设备运维、停车管理、园区工作台、安全数据库10大业务系统；</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restart"/>
            <w:textDirection w:val="lrTb"/>
            <w:noWrap/>
          </w:tcPr>
          <w:p>
            <w:pPr>
              <w:pStyle w:val="826"/>
              <w:ind w:left="0" w:right="0" w:firstLine="0"/>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ascii="宋体" w:hAnsi="宋体" w:eastAsia="宋体" w:cs="宋体"/>
                <w:i w:val="0"/>
                <w:iCs w:val="0"/>
                <w:color w:val="000000"/>
                <w:sz w:val="21"/>
                <w:szCs w:val="21"/>
                <w:highlight w:val="none"/>
                <w:u w:val="none"/>
                <w:lang w:val="en-US" w:eastAsia="zh-CN"/>
              </w:rPr>
            </w:r>
            <w:r/>
          </w:p>
        </w:tc>
      </w:tr>
      <w:tr>
        <w:trPr>
          <w:trHeight w:val="208"/>
        </w:trPr>
        <w:tc>
          <w:tcPr>
            <w:shd w:val="clear" w:color="auto" w:fill="ffffff"/>
            <w:tcW w:w="530" w:type="dxa"/>
            <w:vAlign w:val="center"/>
            <w:vMerge w:val="continue"/>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支持管理视频通道点位不少于</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i w:val="0"/>
                <w:iCs w:val="0"/>
                <w:color w:val="000000"/>
                <w:sz w:val="21"/>
                <w:szCs w:val="21"/>
                <w:highlight w:val="none"/>
                <w:u w:val="none"/>
                <w:lang w:val="en-US" w:eastAsia="zh-CN" w:bidi="ar"/>
              </w:rPr>
              <w:t xml:space="preserve">0万路；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rHeight w:val="180"/>
        </w:trPr>
        <w:tc>
          <w:tcPr>
            <w:shd w:val="clear" w:color="auto" w:fill="ffffff"/>
            <w:tcW w:w="530" w:type="dxa"/>
            <w:vAlign w:val="center"/>
            <w:vMerge w:val="continue"/>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支持管理门禁点位不少于80000路，管理存储门禁记录不少于1亿条；</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rHeight w:val="105"/>
        </w:trPr>
        <w:tc>
          <w:tcPr>
            <w:shd w:val="clear" w:color="auto" w:fill="ffffff"/>
            <w:tcW w:w="530" w:type="dxa"/>
            <w:vAlign w:val="center"/>
            <w:vMerge w:val="continue"/>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支持管理室内机点位不少于10000路，虚拟室内机不少于100000路；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rHeight w:val="146"/>
        </w:trPr>
        <w:tc>
          <w:tcPr>
            <w:shd w:val="clear" w:color="auto" w:fill="ffffff"/>
            <w:tcW w:w="530" w:type="dxa"/>
            <w:vAlign w:val="center"/>
            <w:vMerge w:val="continue"/>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支持管理园区卡口点位不少于8000路；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rHeight w:val="140"/>
        </w:trPr>
        <w:tc>
          <w:tcPr>
            <w:shd w:val="clear" w:color="auto" w:fill="ffffff"/>
            <w:tcW w:w="530" w:type="dxa"/>
            <w:vAlign w:val="center"/>
            <w:vMerge w:val="continue"/>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支持管理出入口车道不少于500进500出，车位不少于10000个；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rHeight w:val="142"/>
        </w:trPr>
        <w:tc>
          <w:tcPr>
            <w:shd w:val="clear" w:color="auto" w:fill="ffffff"/>
            <w:tcW w:w="530" w:type="dxa"/>
            <w:vAlign w:val="center"/>
            <w:vMerge w:val="continue"/>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支持管理用户数量不少于80万个，支持同时用户在线数量不少于3000个；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c>
          <w:tcPr>
            <w:shd w:val="clear" w:color="auto" w:fill="ffffff"/>
            <w:tcW w:w="530" w:type="dxa"/>
            <w:vAlign w:val="center"/>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pStyle w:val="826"/>
              <w:ind w:left="0" w:right="0" w:firstLine="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授权</w:t>
            </w:r>
            <w:r>
              <w:rPr>
                <w:rFonts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视频通道授权：1500个；</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门禁通道授权：300个；对讲通道授权：8个；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textDirection w:val="lrTb"/>
            <w:noWrap/>
          </w:tcPr>
          <w:p>
            <w:pPr>
              <w:pStyle w:val="826"/>
              <w:ind w:left="0" w:right="0" w:firstLine="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textDirection w:val="lrTb"/>
            <w:noWrap/>
          </w:tcPr>
          <w:p>
            <w:pPr>
              <w:pStyle w:val="826"/>
              <w:ind w:left="0" w:right="0" w:firstLine="0"/>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ascii="宋体" w:hAnsi="宋体" w:eastAsia="宋体" w:cs="宋体"/>
                <w:i w:val="0"/>
                <w:iCs w:val="0"/>
                <w:color w:val="000000"/>
                <w:sz w:val="21"/>
                <w:szCs w:val="21"/>
                <w:highlight w:val="none"/>
                <w:u w:val="none"/>
                <w:lang w:val="en-US" w:eastAsia="zh-CN"/>
              </w:rPr>
            </w:r>
            <w:r/>
          </w:p>
        </w:tc>
      </w:tr>
      <w:tr>
        <w:trPr/>
        <w:tc>
          <w:tcPr>
            <w:shd w:val="clear" w:color="auto" w:fill="ffffff"/>
            <w:tcW w:w="530" w:type="dxa"/>
            <w:vAlign w:val="center"/>
            <w:textDirection w:val="lrTb"/>
            <w:noWrap/>
          </w:tcPr>
          <w:p>
            <w:pPr>
              <w:pStyle w:val="826"/>
              <w:numPr>
                <w:ilvl w:val="0"/>
                <w:numId w:val="3"/>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线材、管线等</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371"/>
        </w:trPr>
        <w:tc>
          <w:tcPr>
            <w:gridSpan w:val="5"/>
            <w:shd w:val="clear" w:color="auto" w:fill="ffffff"/>
            <w:tcW w:w="9571" w:type="dxa"/>
            <w:vAlign w:val="center"/>
            <w:textDirection w:val="lrTb"/>
            <w:noWrap w:val="false"/>
          </w:tcPr>
          <w:p>
            <w:pPr>
              <w:pStyle w:val="826"/>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2.</w:t>
            </w:r>
            <w:r>
              <w:rPr>
                <w:rFonts w:hint="eastAsia" w:ascii="宋体" w:hAnsi="宋体" w:eastAsia="宋体" w:cs="宋体"/>
                <w:b/>
                <w:bCs/>
                <w:color w:val="000000"/>
                <w:sz w:val="21"/>
                <w:szCs w:val="21"/>
                <w:highlight w:val="none"/>
              </w:rPr>
              <w:t xml:space="preserve">门禁管理系统</w:t>
            </w:r>
            <w:r>
              <w:rPr>
                <w:rFonts w:hint="eastAsia" w:ascii="宋体" w:hAnsi="宋体" w:eastAsia="宋体" w:cs="宋体"/>
                <w:b/>
                <w:bCs/>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读卡器</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OSDP协议：支持；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门禁读卡器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内置蜂鸣器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c>
          <w:tcPr>
            <w:shd w:val="clear" w:color="auto" w:fill="ffffff"/>
            <w:tcW w:w="530"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读卡类型：</w:t>
            </w:r>
            <w:r>
              <w:rPr>
                <w:rFonts w:hint="eastAsia" w:ascii="宋体" w:hAnsi="宋体" w:eastAsia="宋体" w:cs="宋体"/>
                <w:color w:val="000000"/>
                <w:sz w:val="21"/>
                <w:szCs w:val="21"/>
                <w:highlight w:val="none"/>
              </w:rPr>
              <w:t xml:space="preserve">可读取IC卡、CPU卡</w:t>
            </w:r>
            <w:r>
              <w:rPr>
                <w:rFonts w:hint="eastAsia" w:ascii="宋体" w:hAnsi="宋体" w:eastAsia="宋体" w:cs="宋体"/>
                <w:color w:val="000000"/>
                <w:sz w:val="21"/>
                <w:szCs w:val="21"/>
                <w:highlight w:val="none"/>
                <w:lang w:eastAsia="zh-CN"/>
              </w:rPr>
              <w:t xml:space="preserve">（需另购PSAM卡）</w:t>
            </w:r>
            <w:r>
              <w:rPr>
                <w:rFonts w:hint="eastAsia" w:ascii="宋体" w:hAnsi="宋体" w:eastAsia="宋体" w:cs="宋体"/>
                <w:color w:val="000000"/>
                <w:sz w:val="21"/>
                <w:szCs w:val="21"/>
                <w:highlight w:val="none"/>
              </w:rPr>
              <w:t xml:space="preserve">；可读取二代身份证物理序列号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c>
          <w:tcPr>
            <w:shd w:val="clear" w:color="auto" w:fill="ffffff"/>
            <w:tcW w:w="530"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IC卡加密：支持；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c>
          <w:tcPr>
            <w:shd w:val="clear" w:color="auto" w:fill="ffffff"/>
            <w:tcW w:w="530"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刷卡响应时间≤0.1s</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c>
          <w:tcPr>
            <w:shd w:val="clear" w:color="auto" w:fill="ffffff"/>
            <w:tcW w:w="530"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读卡距离：0cm～8cm（IC白卡）；</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出门按钮</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外壳材料：ABS；最大电流：3A36VDC；</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耐用测试：</w:t>
            </w:r>
            <w:r>
              <w:rPr>
                <w:rFonts w:hint="eastAsia" w:ascii="宋体" w:hAnsi="宋体" w:eastAsia="宋体" w:cs="宋体"/>
                <w:color w:val="000000"/>
                <w:sz w:val="21"/>
                <w:szCs w:val="21"/>
                <w:highlight w:val="none"/>
              </w:rPr>
              <w:t xml:space="preserve">≥50万次</w:t>
            </w:r>
            <w:r>
              <w:rPr>
                <w:rFonts w:hint="eastAsia" w:ascii="宋体" w:hAnsi="宋体" w:eastAsia="宋体" w:cs="宋体"/>
                <w:i w:val="0"/>
                <w:iCs w:val="0"/>
                <w:color w:val="000000"/>
                <w:sz w:val="21"/>
                <w:szCs w:val="21"/>
                <w:highlight w:val="none"/>
                <w:u w:val="none"/>
                <w:lang w:val="en-US" w:eastAsia="zh-CN" w:bidi="ar"/>
              </w:rPr>
              <w:t xml:space="preserve">老化测试合格；接点输出：NO/COM接点；</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96"/>
        </w:trPr>
        <w:tc>
          <w:tcPr>
            <w:shd w:val="clear" w:color="auto" w:fill="ffffff"/>
            <w:tcW w:w="530" w:type="dxa"/>
            <w:vAlign w:val="center"/>
            <w:vMerge w:val="restart"/>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门禁主机（四门控制器）</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内置蜂鸣器；</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19"/>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用户容量≥10000；指纹容量≥10000；卡片容量≥10000；</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存储记录数量≥500000；</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RS-485接口总数≥9路；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韦根接口不少于8路输入；</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网络接口不少于1个RJ-45，10Mbps/100Mbps自适应；</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报警输入≥5路，其中1路为独立消防联动接口；其余报警输入中不少于2路支持四态检测，可识别正常、报警、短路、断路状态；支持外接报警扩展模块；</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报警输出不少于4路（外接报警模块可扩展不少于8路）；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门状态检测不少于4路；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发卡器</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发卡类型：IC卡(Mifare卡)；供电方式：DC5V，0.5A；</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双门磁力锁</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磁力锁；外壳材料：铝合金；表面工艺：电镀拉丝；安全类型：断电开门；最大拉力：≥280kg×2（600Lbs×2）直线拉力；供电方式：DC12V；单锁工作电流≤500mA，双锁合计≤1000mA工作环境：室内；安装方式：明装，带门磁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单门磁力锁</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磁力锁；外壳材料：铝合金；表面工艺：电镀拉丝；安全类型：断电开门；最大拉力：≥280kg（600Lbs）直线拉力；供电方式：DC12V工作电流≤500mA；工作环境：室内；安装方式：明装，带门磁功能；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444"/>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门禁管理授权</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门禁管理授权</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RVV2*0.5</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RVV2*0.5</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r>
      <w:tr>
        <w:trPr>
          <w:trHeight w:val="211"/>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六类非屏蔽线缆</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UTP6双绞线；六类非屏蔽；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6"/>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线材、管线等</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310"/>
        </w:trPr>
        <w:tc>
          <w:tcPr>
            <w:gridSpan w:val="5"/>
            <w:shd w:val="clear" w:color="auto" w:fill="ffffff"/>
            <w:tcW w:w="9571" w:type="dxa"/>
            <w:vAlign w:val="center"/>
            <w:textDirection w:val="lrTb"/>
            <w:noWrap w:val="false"/>
          </w:tcPr>
          <w:p>
            <w:pPr>
              <w:pStyle w:val="826"/>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3.报警系统</w:t>
            </w:r>
            <w:r>
              <w:rPr>
                <w:rFonts w:hint="eastAsia" w:ascii="宋体" w:hAnsi="宋体" w:eastAsia="宋体" w:cs="宋体"/>
                <w:b/>
                <w:bCs/>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7"/>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一键报警电脑软件</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一键报警电脑软件</w:t>
            </w:r>
            <w:r>
              <w:rPr>
                <w:rFonts w:hint="eastAsia" w:ascii="宋体" w:hAnsi="宋体" w:eastAsia="宋体" w:cs="宋体"/>
                <w:i w:val="0"/>
                <w:iCs w:val="0"/>
                <w:color w:val="000000"/>
                <w:sz w:val="21"/>
                <w:szCs w:val="21"/>
                <w:highlight w:val="none"/>
                <w:u w:val="none"/>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1.初始配置：支持数据库连接配置；</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2.科室配置：支持自动获取IP和手动输入IP，保存科室名电话、护士长科主任电话、科室位置信息；</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3.热键设置：支持热键设置完成后一键报警；</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4.报警确认：支持报警后进行安保确认，并反馈到医护端电脑；</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5.终端一览：支持消控中心客户端已安装医护端列表展示，显示在线离线状态；</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6.报警处置：支持消控中心端报警显示，并可确认处置，可反馈至医护端；</w:t>
            </w:r>
            <w:r>
              <w:rPr>
                <w:rFonts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7.报警记录查询：支持根据时问段查询报警记录；</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32"/>
        </w:trPr>
        <w:tc>
          <w:tcPr>
            <w:gridSpan w:val="5"/>
            <w:shd w:val="clear" w:color="auto" w:fill="ffffff"/>
            <w:tcW w:w="9571" w:type="dxa"/>
            <w:vAlign w:val="center"/>
            <w:textDirection w:val="lrTb"/>
            <w:noWrap w:val="false"/>
          </w:tcPr>
          <w:p>
            <w:pPr>
              <w:pStyle w:val="826"/>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4.巡更系统</w:t>
            </w:r>
            <w:r>
              <w:rPr>
                <w:rFonts w:hint="eastAsia" w:ascii="宋体" w:hAnsi="宋体" w:eastAsia="宋体" w:cs="宋体"/>
                <w:b/>
                <w:bCs/>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8"/>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4G移动手持终端</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CPU：8核2.0GHz；</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46"/>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运行内存RAM≥4GB，机身存储ROM≥64GB</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操作系统：Android12及以上；</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TF卡扩展最大支持256GB；</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网络：4G全网通；</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显示屏幕：≥6.2英寸，分辨率≥720*1520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后置摄像头：</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4800W+500W；前置摄像头：</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800W；</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6"/>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电池容量：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5500mAh，可拆卸电池；</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指纹识别：带指纹识别；</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0"/>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支持NFC功能；</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3"/>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喇叭：2个</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充电接口：Type-C接口，</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15W快充</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25"/>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耳机接口：3.5mm耳机接口</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9"/>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配置</w:t>
            </w:r>
            <w:r>
              <w:rPr>
                <w:rFonts w:hint="eastAsia" w:ascii="宋体" w:hAnsi="宋体" w:eastAsia="宋体" w:cs="宋体"/>
                <w:i w:val="0"/>
                <w:iCs w:val="0"/>
                <w:color w:val="000000"/>
                <w:sz w:val="21"/>
                <w:szCs w:val="21"/>
                <w:highlight w:val="none"/>
                <w:u w:val="none"/>
                <w:lang w:val="en-US" w:eastAsia="zh-CN" w:bidi="ar"/>
              </w:rPr>
              <w:t xml:space="preserve">手持终端充电底座</w:t>
            </w:r>
            <w:r>
              <w:rPr>
                <w:rFonts w:hint="eastAsia" w:ascii="宋体" w:hAnsi="宋体" w:cs="宋体"/>
                <w:i w:val="0"/>
                <w:iCs w:val="0"/>
                <w:color w:val="000000"/>
                <w:sz w:val="21"/>
                <w:szCs w:val="21"/>
                <w:highlight w:val="none"/>
                <w:u w:val="none"/>
                <w:lang w:val="en-US" w:eastAsia="zh-CN" w:bidi="ar"/>
              </w:rPr>
              <w:t xml:space="preserve">，与主机适配</w:t>
            </w:r>
            <w:r>
              <w:rPr>
                <w:rFonts w:hint="eastAsia" w:ascii="宋体" w:hAnsi="宋体" w:eastAsia="宋体" w:cs="宋体"/>
                <w:color w:val="000000"/>
                <w:szCs w:val="21"/>
                <w:highlight w:val="none"/>
                <w:lang w:val="en-US" w:eastAsia="zh-CN"/>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vMerge w:val="restart"/>
            <w:textDirection w:val="lrTb"/>
            <w:noWrap/>
          </w:tcPr>
          <w:p>
            <w:pPr>
              <w:pStyle w:val="826"/>
              <w:numPr>
                <w:ilvl w:val="0"/>
                <w:numId w:val="8"/>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NFC消防巡查专用RFID标签</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RFID工作协议：ISO/IEC14443A；RFID工作频率：13.56MHz；</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restart"/>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r>
      <w:tr>
        <w:trPr>
          <w:trHeight w:val="431"/>
        </w:trPr>
        <w:tc>
          <w:tcPr>
            <w:shd w:val="clear" w:color="auto" w:fill="ffffff"/>
            <w:tcW w:w="530"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pStyle w:val="826"/>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巡检点位按消火栓位置进行安置；</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pStyle w:val="826"/>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5"/>
        </w:trPr>
        <w:tc>
          <w:tcPr>
            <w:gridSpan w:val="5"/>
            <w:shd w:val="clear" w:color="auto" w:fill="ffffff"/>
            <w:tcW w:w="9571" w:type="dxa"/>
            <w:vAlign w:val="center"/>
            <w:textDirection w:val="lrTb"/>
            <w:noWrap w:val="false"/>
          </w:tcPr>
          <w:p>
            <w:pPr>
              <w:pStyle w:val="826"/>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5.网络系统</w:t>
            </w:r>
            <w:r>
              <w:rPr>
                <w:rFonts w:hint="eastAsia" w:ascii="宋体" w:hAnsi="宋体" w:eastAsia="宋体" w:cs="宋体"/>
                <w:b/>
                <w:bCs/>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24口poe交换机</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256Gbps；包转发率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60Mpps；业务端口：具备不少于24个10/100/1000BASE-T电口(PoE)、不少于2个10/100/1000BASE-T电口、不少于2个1000BASE-XSFP端口；POE供电总功率≥240W；</w:t>
            </w:r>
            <w:r>
              <w:rPr>
                <w:rFonts w:hint="eastAsia" w:ascii="宋体" w:hAnsi="宋体" w:eastAsia="宋体" w:cs="宋体"/>
                <w:i w:val="0"/>
                <w:iCs w:val="0"/>
                <w:color w:val="000000"/>
                <w:sz w:val="21"/>
                <w:szCs w:val="21"/>
                <w:highlight w:val="none"/>
                <w:u w:val="none"/>
                <w:lang w:val="en-US"/>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48口poe交换机</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336Gbps；包转发率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144Mpps；业务端口：具备不少于48个10/100/1000BASE-T电口(PoE)、不少于4个1G/10GBASE-XSFP+端口；POE供电总功率≥460W；</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48口汇聚交换机</w:t>
            </w:r>
            <w:r>
              <w:rPr>
                <w:rFonts w:hint="eastAsia" w:ascii="宋体" w:hAnsi="宋体" w:cs="宋体"/>
                <w:i w:val="0"/>
                <w:iCs w:val="0"/>
                <w:color w:val="ff0000"/>
                <w:sz w:val="21"/>
                <w:szCs w:val="21"/>
                <w:highlight w:val="none"/>
                <w:u w:val="none"/>
                <w:lang w:val="en-US" w:eastAsia="zh-CN" w:bidi="ar"/>
              </w:rPr>
              <w:t xml:space="preserve">（核心产品）</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48个千兆SFP光口，不少于4个万兆SFP+光口；交换容量不低于672Gbps/6.72Tbps；包转发率不低于222Mpps</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支持标准：IEEE802.3z；传输介质：单模光纤；传输距离：≤10km；传输速率：1.25Gbps；端口类型：双纤LC；传输波长：1310nm(TX)，1310nm(RX)；工作电压：3.3V；工作温度：-40℃～85℃；</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9u</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室外防雨箱</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放置监控杆上，304</w:t>
            </w:r>
            <w:r>
              <w:rPr>
                <w:rFonts w:hint="eastAsia" w:ascii="宋体" w:hAnsi="宋体" w:eastAsia="宋体" w:cs="宋体"/>
                <w:color w:val="000000"/>
                <w:sz w:val="21"/>
                <w:szCs w:val="21"/>
                <w:highlight w:val="none"/>
              </w:rPr>
              <w:t xml:space="preserve">不锈钢材质；尺寸≥400mm×500mm</w:t>
            </w:r>
            <w:r>
              <w:rPr>
                <w:rFonts w:hint="eastAsia" w:ascii="宋体" w:hAnsi="宋体" w:eastAsia="宋体" w:cs="宋体"/>
                <w:i w:val="0"/>
                <w:iCs w:val="0"/>
                <w:color w:val="000000"/>
                <w:sz w:val="21"/>
                <w:szCs w:val="21"/>
                <w:highlight w:val="none"/>
                <w:u w:val="none"/>
                <w:lang w:val="en-US" w:eastAsia="zh-CN" w:bidi="ar"/>
              </w:rPr>
              <w:t xml:space="preserve">，含防雷套件</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单模光纤；6芯；综合敷设；</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光纤终端盒（满配）</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8口光纤配线架；1U；</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ODF光纤配线架（满配）</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全钢板配线架外框结构，钢质配线架外框板厚</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1.5mm，机械性能强度高，壳体各面均能承受250N以上垂直静压力；配线架外壳采用黑色雾面粉末涂装处理，通过GB/T2423.17-1993标准的烟雾试验48h，表面无肉眼可见锈斑。</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37"/>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芯</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线材、管线等</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分配网络</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名称：LC双工耦合器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规格：LC-LC；</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r>
      <w:tr>
        <w:trPr/>
        <w:tc>
          <w:tcPr>
            <w:shd w:val="clear" w:color="auto" w:fill="ffffff"/>
            <w:tcW w:w="530" w:type="dxa"/>
            <w:vAlign w:val="center"/>
            <w:textDirection w:val="lrTb"/>
            <w:noWrap/>
          </w:tcPr>
          <w:p>
            <w:pPr>
              <w:pStyle w:val="826"/>
              <w:numPr>
                <w:ilvl w:val="0"/>
                <w:numId w:val="9"/>
              </w:numPr>
              <w:ind w:left="0" w:right="0" w:firstLine="0"/>
              <w:jc w:val="center"/>
              <w:keepLines w:val="0"/>
              <w:keepNext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跳线</w:t>
            </w: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26"/>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名称：单模尾纤</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1.5米LC；</w:t>
            </w:r>
            <w:r>
              <w:rPr>
                <w:rFonts w:hint="eastAsia" w:ascii="宋体" w:hAnsi="宋体" w:eastAsia="宋体" w:cs="宋体"/>
                <w:i w:val="0"/>
                <w:iCs w:val="0"/>
                <w:color w:val="000000"/>
                <w:sz w:val="21"/>
                <w:szCs w:val="21"/>
                <w:highlight w:val="none"/>
                <w:u w:val="none"/>
              </w:rPr>
            </w:r>
            <w:r/>
          </w:p>
        </w:tc>
        <w:tc>
          <w:tcPr>
            <w:shd w:val="clear" w:color="auto" w:fill="ffffff"/>
            <w:tcW w:w="463"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textDirection w:val="lrTb"/>
            <w:noWrap/>
          </w:tcPr>
          <w:p>
            <w:pPr>
              <w:pStyle w:val="826"/>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bl>
    <w:p>
      <w:pPr>
        <w:pStyle w:val="826"/>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826"/>
        <w:ind w:firstLine="422"/>
        <w:keepLines w:val="0"/>
        <w:keepNext w:val="0"/>
        <w:pageBreakBefore w:val="0"/>
        <w:spacing w:line="360" w:lineRule="auto"/>
        <w:widowControl w:val="off"/>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（二）西区医院采购清单及参数要求</w:t>
      </w:r>
      <w:r>
        <w:rPr>
          <w:rFonts w:ascii="宋体" w:hAnsi="宋体" w:cs="宋体"/>
          <w:b/>
          <w:bCs/>
          <w:color w:val="000000"/>
          <w:sz w:val="21"/>
          <w:szCs w:val="21"/>
          <w:highlight w:val="none"/>
          <w:lang w:val="en-US" w:eastAsia="zh-CN"/>
        </w:rPr>
      </w:r>
      <w:r/>
    </w:p>
    <w:tbl>
      <w:tblPr>
        <w:tblW w:w="95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181"/>
        <w:gridCol w:w="6593"/>
        <w:gridCol w:w="450"/>
        <w:gridCol w:w="711"/>
      </w:tblGrid>
      <w:tr>
        <w:trPr>
          <w:trHeight w:val="548"/>
          <w:tblHeader/>
        </w:trPr>
        <w:tc>
          <w:tcPr>
            <w:shd w:val="clear" w:color="auto" w:fill="ffffff"/>
            <w:tcW w:w="636"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货物名称</w:t>
            </w:r>
            <w:r>
              <w:rPr>
                <w:rFonts w:hint="eastAsia" w:ascii="宋体" w:hAnsi="宋体" w:eastAsia="宋体" w:cs="宋体"/>
                <w:b/>
                <w:bCs/>
                <w:i w:val="0"/>
                <w:iCs w:val="0"/>
                <w:color w:val="000000"/>
                <w:sz w:val="21"/>
                <w:szCs w:val="21"/>
                <w:highlight w:val="none"/>
                <w:u w:val="none"/>
              </w:rPr>
            </w:r>
            <w:r/>
          </w:p>
        </w:tc>
        <w:tc>
          <w:tcPr>
            <w:shd w:val="clear" w:color="auto" w:fill="ffffff"/>
            <w:tcW w:w="6593"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参数要求</w:t>
            </w:r>
            <w:r>
              <w:rPr>
                <w:rFonts w:hint="eastAsia" w:ascii="宋体" w:hAnsi="宋体" w:eastAsia="宋体" w:cs="宋体"/>
                <w:b/>
                <w:bCs/>
                <w:i w:val="0"/>
                <w:iCs w:val="0"/>
                <w:color w:val="000000"/>
                <w:sz w:val="21"/>
                <w:szCs w:val="21"/>
                <w:highlight w:val="none"/>
                <w:u w:val="none"/>
                <w:lang w:val="en-US" w:eastAsia="zh-CN"/>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c>
          <w:tcPr>
            <w:gridSpan w:val="5"/>
            <w:shd w:val="clear" w:color="auto" w:fill="ffffff"/>
            <w:tcW w:w="957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1.</w:t>
            </w:r>
            <w:r>
              <w:rPr>
                <w:rFonts w:hint="eastAsia" w:ascii="宋体" w:hAnsi="宋体" w:eastAsia="宋体" w:cs="宋体"/>
                <w:b/>
                <w:bCs/>
                <w:color w:val="000000"/>
                <w:sz w:val="21"/>
                <w:szCs w:val="21"/>
                <w:highlight w:val="none"/>
              </w:rPr>
              <w:t xml:space="preserve">综合安防（视频监控）系统</w:t>
            </w:r>
            <w:r>
              <w:rPr>
                <w:rFonts w:hint="eastAsia" w:ascii="宋体" w:hAnsi="宋体" w:eastAsia="宋体" w:cs="宋体"/>
                <w:b/>
                <w:bCs/>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全彩电梯监控</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w:t>
            </w:r>
            <w:r>
              <w:rPr>
                <w:rFonts w:hint="eastAsia" w:ascii="宋体" w:hAnsi="宋体" w:eastAsia="宋体" w:cs="宋体"/>
                <w:color w:val="000000"/>
                <w:sz w:val="21"/>
                <w:szCs w:val="21"/>
                <w:highlight w:val="none"/>
              </w:rPr>
              <w:t xml:space="preserve">红外不低于</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暖光不低于10m；</w:t>
            </w:r>
            <w:r>
              <w:rPr>
                <w:rFonts w:hint="eastAsia" w:ascii="宋体" w:hAnsi="宋体" w:eastAsia="宋体" w:cs="宋体"/>
                <w:i w:val="0"/>
                <w:iCs w:val="0"/>
                <w:color w:val="000000"/>
                <w:sz w:val="21"/>
                <w:szCs w:val="21"/>
                <w:highlight w:val="none"/>
                <w:u w:val="none"/>
                <w:lang w:val="en-US"/>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补光灯：</w:t>
            </w:r>
            <w:r>
              <w:rPr>
                <w:rFonts w:hint="eastAsia" w:ascii="宋体" w:hAnsi="宋体" w:eastAsia="宋体" w:cs="宋体"/>
                <w:color w:val="000000"/>
                <w:sz w:val="21"/>
                <w:szCs w:val="21"/>
                <w:highlight w:val="none"/>
                <w:lang w:val="en-US" w:eastAsia="zh-CN"/>
              </w:rPr>
              <w:t xml:space="preserve">不少于2颗；</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8"/>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镜头焦距：2.8-4mm；</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【26】</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报警事件：网络断开；IP冲突；非法访问；动态检测；视频遮挡；音频异常侦测；智能动检（人）；安全异常；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网桥</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网桥网络接口：具备1个10/100Mbps自协商以太网上行口，支持PoE供电，支持DC供电；</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无线标准：IEEE802.11b/g/n/ax；</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工作频率：2.4GHz-2.484GHz；</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最佳无线传输距离：≥100m；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整机最大无线传输速率：280Mbps；</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高清全彩室内半球摄像机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【27】</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最大分辨率：2560×1440；</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最大补光距离：红外不低于50m，暖光不低于30m；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补光灯：不少于2颗；</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9"/>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Cs w:val="21"/>
                <w:highlight w:val="none"/>
                <w:lang w:bidi="ar"/>
              </w:rPr>
              <w:t xml:space="preserve">镜头焦距：≥3.6mm；镜头光圈：≤F2.0；</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支持周界防范：支持绊线入侵功能；支持区域入侵功能；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【28】</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报警事件：网络断开；IP冲突；非法访问；动态检测；视频遮挡；音频异常侦测；智能动检（人）；安全异常；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全彩高清室内半球摄像机（带音频接口）</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传感器类型不低于1/3英寸CMOS；</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【29】</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最低照度：彩色模式≤0.002lux；黑白模式≤0.0002lux；补光灯开启0lux；</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4"/>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最大补光距离：红外不低于50m；暖光不低于30m；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镜头焦距：≥2.8mm；镜头光圈：≤F1.6；</w:t>
            </w:r>
            <w:r>
              <w:rPr>
                <w:rFonts w:hint="eastAsia" w:ascii="宋体" w:hAnsi="宋体" w:eastAsia="宋体" w:cs="宋体"/>
                <w:i w:val="0"/>
                <w:iCs w:val="0"/>
                <w:color w:val="000000"/>
                <w:sz w:val="21"/>
                <w:szCs w:val="21"/>
                <w:highlight w:val="none"/>
                <w:u w:val="none"/>
                <w:lang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周界防范：支持绊线入侵功能；支持区域入侵功能；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支持AI智能编码</w:t>
            </w:r>
            <w:r>
              <w:rPr>
                <w:rFonts w:hint="eastAsia" w:ascii="宋体" w:hAnsi="宋体" w:eastAsia="宋体" w:cs="宋体"/>
                <w:color w:val="000000"/>
                <w:sz w:val="21"/>
                <w:szCs w:val="21"/>
                <w:highlight w:val="none"/>
                <w:lang w:eastAsia="zh-CN"/>
              </w:rPr>
              <w:t xml:space="preserve">；支持H.264、H.265编码</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宽动态：支持光学宽动态，宽动态不低于120dB；</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最大MicroSD卡不小于512GB；</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05"/>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报警输入不少于1路（支持对接湿接点报警输出（直流3～5V电位，最大5mA电流）；支持对接干接点报警输出）；</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报警输出不少于1路（干接点，支持直流最大30V电位，1A电流/交流最大50V电位，0.5A电流）；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拾音范围：不小于1～150平方米，半径不小于7米；</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灵敏度：-38dB±1dB（re0dB=1V/Pa@1kHz）；</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信噪比：≥70dB（1KHz&amp;MaxdBSPL）；</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指向特性：全指向性；</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8"/>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动态范围：≥40dB（1KHz&amp;MaxdBSPL）；功耗：＜2W；</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双光全彩枪型摄像机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43"/>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最大补光距离：红外不低于50m，暖光不低于30m；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9"/>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镜头焦距：≥6mm；镜头光圈：≤F2.0；</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支持周界防范：支持绊线入侵功能；支持区域入侵功能；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【31】</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报警事件：网络断开；IP冲突；非法访问；动态检测；视频遮挡；音频异常侦测；绊线入侵；区域入侵；智能动检（人）；智能动检（机动车）；安全异常；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人脸相机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传感器采用不低于1/1.8英寸CMOS；</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最低照度：彩色模式≤0.001lux；黑白模式≤0.0001lux；补光灯开启0lux；</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最大补光距离：红外不低于80m；暖光不低于60m；人脸检测距离不低于16m；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补光灯：光灯总数量不少于4颗，支持红外、白光混光补光；</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4"/>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镜头类型：电动变焦；镜头焦距范围不小于8mm～32mm；镜头光圈：≤F1.6；</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0"/>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【33】</w:t>
            </w:r>
            <w:r>
              <w:rPr>
                <w:rFonts w:hint="eastAsia" w:ascii="宋体" w:hAnsi="宋体" w:eastAsia="宋体" w:cs="宋体"/>
                <w:i w:val="0"/>
                <w:iCs w:val="0"/>
                <w:color w:val="000000"/>
                <w:sz w:val="21"/>
                <w:szCs w:val="21"/>
                <w:highlight w:val="none"/>
                <w:u w:val="none"/>
                <w:lang w:val="en-US" w:eastAsia="zh-CN" w:bidi="ar"/>
              </w:rPr>
              <w:t xml:space="preserve">支持视频结构化：</w:t>
            </w:r>
            <w:r>
              <w:rPr>
                <w:rFonts w:hint="eastAsia" w:ascii="宋体" w:hAnsi="宋体" w:eastAsia="宋体" w:cs="宋体"/>
                <w:color w:val="000000"/>
                <w:szCs w:val="21"/>
                <w:highlight w:val="none"/>
              </w:rPr>
              <w:t xml:space="preserve">支持视频结构化功能，支持机动车、非机动车、人脸、人体目标检测、智能跟踪、目标优选、抓拍，可上报最优人脸抓拍图片；支持机动车、非机动车、人脸、人体多维度属性识别提取，其中机动车属性不少于7种、非机动车属性不少于6种、人脸属性不少于6种、人体属性不少于8种。</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宽动态：支持光学宽动态，宽动态不低于120dB；</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内置不少于双麦克风；</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内置不少于一只扬声器；</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内置加热模块，可对镜头前盖玻璃加热，去除镜头玻璃上的冰状和水状附着物；</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w:t>
            </w:r>
            <w:r>
              <w:rPr>
                <w:rFonts w:ascii="宋体" w:hAnsi="宋体" w:eastAsia="宋体" w:cs="宋体"/>
                <w:color w:val="000000"/>
                <w:sz w:val="21"/>
                <w:szCs w:val="21"/>
                <w:highlight w:val="none"/>
              </w:rPr>
              <w:t xml:space="preserve">ProfileG</w:t>
            </w:r>
            <w:r>
              <w:rPr>
                <w:rFonts w:hint="eastAsia" w:ascii="宋体" w:hAnsi="宋体" w:eastAsia="宋体" w:cs="宋体"/>
                <w:i w:val="0"/>
                <w:iCs w:val="0"/>
                <w:color w:val="000000"/>
                <w:sz w:val="21"/>
                <w:szCs w:val="21"/>
                <w:highlight w:val="none"/>
                <w:u w:val="none"/>
                <w:lang w:val="en-US" w:eastAsia="zh-CN" w:bidi="ar"/>
              </w:rPr>
              <w:t xml:space="preserve">&amp;ProfileT）；CGI；GB/T28181-2022；GA/T1400；GB35114-2017A级；</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防入侵报警摄像机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传感器采用不低于1/1.8英寸CMOS；</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【34】</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最低照度：彩色模式≤0.0005lux；补光灯开启0lux；</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最大补光距离：暖光不低于40m；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66"/>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补光灯：暖光补光灯数量不少于4颗；</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0"/>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Cs w:val="21"/>
                <w:highlight w:val="none"/>
              </w:rPr>
              <w:t xml:space="preserve">支持周界防范智能检测，支持绊线入侵、区域入侵、快速移动检测；绊线入侵、区域入侵、快速移动三项检测支持人、车分类及精准识别；同时支持徘徊检测、人员聚集、停车检测、物品遗留、物品搬移检测；支持大模型增强周界算法能力，可提升目标检测距离，降低目标误报率。</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3"/>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内置不少于2只麦克风；内置不少于1只扬声器；</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【36】</w:t>
            </w:r>
            <w:r>
              <w:rPr>
                <w:rFonts w:hint="eastAsia" w:ascii="宋体" w:hAnsi="宋体" w:eastAsia="宋体" w:cs="宋体"/>
                <w:i w:val="0"/>
                <w:iCs w:val="0"/>
                <w:color w:val="000000"/>
                <w:sz w:val="21"/>
                <w:szCs w:val="21"/>
                <w:highlight w:val="none"/>
                <w:u w:val="none"/>
                <w:lang w:val="en-US" w:eastAsia="zh-CN" w:bidi="ar"/>
              </w:rPr>
              <w:t xml:space="preserve">应支持定时语音播报,最大可添加10个不同语音文件,可设置时间优先、次数优先,播放间隔可设置,支持针对不同语音单独配置播放时间计划</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支持声光警戒功能；</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接入标准：ONVIF（ProfileS&amp;ProfileG&amp;ProfileT&amp;ProfileM）；CGI；GB/T28181-2022；</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音频输入不少于1路；音频输出不少于1路；报警输入不少于2路；报警输出不少于2路；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供电方式：DC12V（±30%）；PoE+（802.3at）；</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烟火检测摄像机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传感器采用不低于1/2.7英寸CMOS；</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【37】</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最低照度：彩色模式≤0.002lux；黑白模式≤0.0002lux；补光灯开启0lux；</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最大补光距离：</w:t>
            </w:r>
            <w:r>
              <w:rPr>
                <w:rFonts w:hint="eastAsia" w:ascii="宋体" w:hAnsi="宋体" w:eastAsia="宋体" w:cs="宋体"/>
                <w:color w:val="000000"/>
                <w:sz w:val="21"/>
                <w:szCs w:val="21"/>
                <w:highlight w:val="none"/>
              </w:rPr>
              <w:t xml:space="preserve">红外不低于</w:t>
            </w: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暖光不低于</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补光灯：不少于2颗（红外灯）；不少于2颗（混光（红外+暖光）灯）；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镜头类型：电动变焦；镜头焦距范围不小于2.7mm～13.5mm；镜头光圈：镜头光圈≤F1.6；</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宽动态：支持光学宽动态，宽动态不低于120dB；</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走廊模式：90°/270°（在2688×1520分辨率及以下支持）；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内置不少于1个扬声器；</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【38】</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报警事件：网络断开；IP冲突；非法访问；动态检测；视频遮挡；场景变更；音频异常侦测；外部报警；安全异常；烟雾检测；火焰检测；通道占用；目标出现；目标消失；变化检测；目标状态；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接入标准：ONVIF（ProfileS&amp;ProfileG&amp;ProfileT）；CGI；GB/T28181-2022；</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音频输入不少于1路；音频输出不少于1路；报警输入不少于2路；报警输出不少于2路；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val="en-US" w:eastAsia="zh-CN" w:bidi="ar"/>
              </w:rPr>
              <w:t xml:space="preserve">支持DC12V电源返送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供电方式：</w:t>
            </w:r>
            <w:r>
              <w:rPr>
                <w:rFonts w:hint="eastAsia" w:ascii="宋体" w:hAnsi="宋体" w:eastAsia="宋体" w:cs="宋体"/>
                <w:color w:val="000000"/>
                <w:sz w:val="21"/>
                <w:szCs w:val="21"/>
                <w:highlight w:val="none"/>
              </w:rPr>
              <w:t xml:space="preserve">支持</w:t>
            </w:r>
            <w:r>
              <w:rPr>
                <w:rFonts w:hint="eastAsia" w:ascii="宋体" w:hAnsi="宋体" w:eastAsia="宋体" w:cs="宋体"/>
                <w:color w:val="000000"/>
                <w:sz w:val="21"/>
                <w:szCs w:val="21"/>
                <w:highlight w:val="none"/>
                <w:lang w:val="en-US" w:eastAsia="zh-CN"/>
              </w:rPr>
              <w:t xml:space="preserve">DC12</w:t>
            </w:r>
            <w:r>
              <w:rPr>
                <w:rFonts w:hint="eastAsia" w:ascii="宋体" w:hAnsi="宋体" w:eastAsia="宋体" w:cs="宋体"/>
                <w:color w:val="000000"/>
                <w:sz w:val="21"/>
                <w:szCs w:val="21"/>
                <w:highlight w:val="none"/>
              </w:rPr>
              <w:t xml:space="preserve">V，支持PoE供电；</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室外球机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传感器采用不低于1/2.8英寸CMOS；</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【39】</w:t>
            </w:r>
            <w:r>
              <w:rPr>
                <w:rFonts w:hint="eastAsia" w:ascii="宋体" w:hAnsi="宋体" w:eastAsia="宋体" w:cs="宋体"/>
                <w:i w:val="0"/>
                <w:iCs w:val="0"/>
                <w:color w:val="000000"/>
                <w:sz w:val="21"/>
                <w:szCs w:val="21"/>
                <w:highlight w:val="none"/>
                <w:u w:val="none"/>
                <w:lang w:val="en-US" w:eastAsia="zh-CN" w:bidi="ar"/>
              </w:rPr>
              <w:t xml:space="preserve">像素不低于400万；</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最低照度：彩色：0.005lux@F1.6黑白：0.0005lux@F1.6</w:t>
            </w:r>
            <w:r>
              <w:rPr>
                <w:rFonts w:hint="eastAsia" w:ascii="宋体" w:hAnsi="宋体" w:eastAsia="宋体" w:cs="宋体"/>
                <w:color w:val="000000"/>
                <w:sz w:val="21"/>
                <w:szCs w:val="21"/>
                <w:highlight w:val="none"/>
              </w:rPr>
              <w:t xml:space="preserve">红外灯开启0lux</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最大补光距离：不低于150m；</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补光类型：红外；</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配置雨刷；</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keepLines/>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镜头焦距范围不小于4.8mm～154mm；镜头光圈范围不小于：F1.6-F4.0；</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光学变倍不低于32倍；</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周界防范：支持绊线入侵；支持区域入侵；支持穿越围栏；支持徘徊检测；支持物品遗留；支持物品搬移；支持快速移动；支持停车检测；支持人员聚集；支持人车分类报警；支持联动跟踪；</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【40】</w:t>
            </w:r>
            <w:r>
              <w:rPr>
                <w:rFonts w:hint="eastAsia" w:ascii="宋体" w:hAnsi="宋体" w:eastAsia="宋体" w:cs="宋体"/>
                <w:i w:val="0"/>
                <w:iCs w:val="0"/>
                <w:color w:val="000000"/>
                <w:sz w:val="21"/>
                <w:szCs w:val="21"/>
                <w:highlight w:val="none"/>
                <w:u w:val="none"/>
                <w:lang w:val="en-US" w:eastAsia="zh-CN" w:bidi="ar"/>
              </w:rPr>
              <w:t xml:space="preserve">人脸检测：</w:t>
            </w:r>
            <w:r>
              <w:rPr>
                <w:rFonts w:hint="eastAsia" w:ascii="宋体" w:hAnsi="宋体" w:eastAsia="宋体" w:cs="宋体"/>
                <w:color w:val="000000"/>
                <w:sz w:val="21"/>
                <w:szCs w:val="21"/>
                <w:highlight w:val="none"/>
              </w:rPr>
              <w:t xml:space="preserve">支持人脸检测、人脸轨迹框、优选抓拍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支持上报</w:t>
            </w:r>
            <w:r>
              <w:rPr>
                <w:rFonts w:hint="eastAsia" w:ascii="宋体" w:hAnsi="宋体" w:eastAsia="宋体" w:cs="宋体"/>
                <w:color w:val="000000"/>
                <w:sz w:val="21"/>
                <w:szCs w:val="21"/>
                <w:highlight w:val="none"/>
              </w:rPr>
              <w:t xml:space="preserve">最优人脸抓图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color w:val="000000"/>
                <w:sz w:val="21"/>
                <w:szCs w:val="21"/>
                <w:highlight w:val="none"/>
              </w:rPr>
              <w:t xml:space="preserve">人脸增强；支持人脸属性提取（性别、年龄段、眼镜、表情、口罩、胡子等至少 6 类）；支持人脸抠图（人脸、单寸照两种规格）；支持实时、优选、质量优先三种抓拍策略</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val="en-US" w:eastAsia="zh-CN" w:bidi="ar"/>
              </w:rPr>
              <w:t xml:space="preserve">应支持声警戒：</w:t>
            </w:r>
            <w:r>
              <w:rPr>
                <w:rFonts w:hint="eastAsia" w:ascii="宋体" w:hAnsi="宋体" w:eastAsia="宋体" w:cs="宋体"/>
                <w:color w:val="000000"/>
                <w:sz w:val="21"/>
                <w:szCs w:val="21"/>
                <w:highlight w:val="none"/>
                <w:lang w:val="en-US" w:eastAsia="zh-CN"/>
              </w:rPr>
              <w:t xml:space="preserve">内置不少于11</w:t>
            </w:r>
            <w:r>
              <w:rPr>
                <w:rFonts w:hint="eastAsia" w:ascii="宋体" w:hAnsi="宋体" w:eastAsia="宋体" w:cs="宋体"/>
                <w:i w:val="0"/>
                <w:iCs w:val="0"/>
                <w:color w:val="000000"/>
                <w:sz w:val="21"/>
                <w:szCs w:val="21"/>
                <w:highlight w:val="none"/>
                <w:u w:val="none"/>
                <w:lang w:val="en-US" w:eastAsia="zh-CN" w:bidi="ar"/>
              </w:rPr>
              <w:t xml:space="preserve">条语音报警内容，支持自定义语音内容导入；</w:t>
            </w:r>
            <w:r>
              <w:rPr>
                <w:rFonts w:hint="eastAsia" w:ascii="宋体" w:hAnsi="宋体" w:eastAsia="宋体" w:cs="宋体"/>
                <w:color w:val="000000"/>
                <w:sz w:val="21"/>
                <w:szCs w:val="21"/>
                <w:highlight w:val="none"/>
              </w:rPr>
              <w:t xml:space="preserve">音量支持高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低三档</w:t>
            </w:r>
            <w:r>
              <w:rPr>
                <w:rFonts w:hint="eastAsia" w:ascii="宋体" w:hAnsi="宋体" w:eastAsia="宋体" w:cs="宋体"/>
                <w:color w:val="000000"/>
                <w:sz w:val="21"/>
                <w:szCs w:val="21"/>
                <w:highlight w:val="none"/>
                <w:lang w:val="en-US" w:eastAsia="zh-CN"/>
              </w:rPr>
              <w:t xml:space="preserve">可</w:t>
            </w:r>
            <w:r>
              <w:rPr>
                <w:rFonts w:hint="eastAsia" w:ascii="宋体" w:hAnsi="宋体" w:eastAsia="宋体" w:cs="宋体"/>
                <w:color w:val="000000"/>
                <w:sz w:val="21"/>
                <w:szCs w:val="21"/>
                <w:highlight w:val="none"/>
              </w:rPr>
              <w:t xml:space="preserve">调节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支持图像防抖功能，在一定范围内的抖动，开启陀螺仪防抖能使视频图像有明显改善；</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支持电子透雾；</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28"/>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支持语音对讲；</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4"/>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报警输入不少于2路，开关量输入（0～5VDC）；报警输出不少于1路；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供电方式：DC24V/2.5A±25%，兼容AC24V/3A±25%；</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防护等级不低于IP66；具备TVS6000V防雷、防浪涌和防突波保护；</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全景相机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传感器类型：通道1（全景）：采用不低于1/1.8英寸CMOS；通道2（球机）：采用不低于1/1.8英寸CMOS；；</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【41】</w:t>
            </w:r>
            <w:r>
              <w:rPr>
                <w:rFonts w:hint="eastAsia" w:ascii="宋体" w:hAnsi="宋体" w:eastAsia="宋体" w:cs="宋体"/>
                <w:i w:val="0"/>
                <w:iCs w:val="0"/>
                <w:color w:val="000000"/>
                <w:sz w:val="21"/>
                <w:szCs w:val="21"/>
                <w:highlight w:val="none"/>
                <w:u w:val="none"/>
                <w:lang w:val="en-US" w:eastAsia="zh-CN" w:bidi="ar"/>
              </w:rPr>
              <w:t xml:space="preserve">像素：通道1(全景)：不低于1600万像素；通道2(球机)：不低于400万像素；</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最低照度：通道1(全景)：彩色模式≤0.0005Lux，黑白模式≤0.0001Lux；通道2(球机)：彩色模式≤0.001Lux@F1.6，黑白模式≤0.0001Lux@F1.6，柔光灯开启0Lux全彩夜视；</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最大补光距离：通道2(球机)：支持双色柔光补光，白光补光距离≥80m，红外补光距离≥150m；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镜头类型：通道1(全景)：定焦；通道2(球机)：电动变焦；镜头焦距：</w:t>
            </w:r>
            <w:r>
              <w:rPr>
                <w:rFonts w:hint="eastAsia" w:ascii="宋体" w:hAnsi="宋体" w:eastAsia="宋体" w:cs="宋体"/>
                <w:color w:val="000000"/>
                <w:szCs w:val="21"/>
                <w:highlight w:val="none"/>
                <w:lang w:val="en-US" w:eastAsia="zh-CN"/>
              </w:rPr>
              <w:t xml:space="preserve">全景定焦焦距≤2.8mm；球机焦距范围包含 5.2mm～210mm</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变倍不低于40倍；</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镜头光圈：</w:t>
            </w:r>
            <w:r>
              <w:rPr>
                <w:rFonts w:hint="eastAsia" w:ascii="宋体" w:hAnsi="宋体" w:eastAsia="宋体" w:cs="宋体"/>
                <w:color w:val="000000"/>
                <w:szCs w:val="21"/>
                <w:highlight w:val="none"/>
              </w:rPr>
              <w:t xml:space="preserve">全景镜头最大光圈≤F1.0；球机镜头光圈范围 F1.6</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F5.0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Cs w:val="21"/>
                <w:highlight w:val="none"/>
              </w:rPr>
              <w:t xml:space="preserve">视场角：通道1(全景)：水平视场角≥180°，竖直视场角≥103°；通道2(球机)：广角端水平视场角≥60.8°，远景端水平视场角≤2.8°；广角端垂直视场角≥35.9°，远景端垂直视场角≤1.7°；广角端对角线视场角≥67.7°，远景端对角线视场角≤3.3°</w:t>
            </w:r>
            <w:r>
              <w:rPr>
                <w:rFonts w:hint="eastAsia" w:ascii="宋体" w:hAnsi="宋体" w:eastAsia="宋体" w:cs="宋体"/>
                <w:color w:val="000000"/>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支持对镜头前盖玻璃进行加热,可去除玻璃上的冰状和水状附着物功能；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智能说明：通道1(全景)：通用行为分析(周界防范)，人群分布图，车辆密度；通道2(球机)：通用行为分析(周界防范)，视频结构化，人脸识别；</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周界防范：通道1(全景)：绊线入侵；区域入侵；停车检测；通道2(球机)：绊线入侵；区域入侵；停车检测；穿越围栏；快速移动；物品遗留；物品搬移；人员聚集；徘徊检测；</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支持人脸识别；</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支持人群分布图：通道1(全景)：人群分布效果图、全局人数统计、区域人数统计、区域内人群分布、人群态势，拥挤等级报警</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支持态势分析,可随时对当前视频数据进行数据分析,并生成人群检测数据；</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支持视频结构化：通道2(球机)：支持机动车、非机动车、人脸、人体检测；支持优选；支持抓拍；支持上报最优的抓图机动车属性；</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内置不少于2只麦克风；内置不少于1只扬声器；</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网络接口不少于1个（RJ-45网口，支持10M/100M/1000M网络数据）；</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w:t>
            </w:r>
            <w:r>
              <w:rPr>
                <w:rFonts w:hint="eastAsia" w:ascii="宋体" w:hAnsi="宋体" w:eastAsia="宋体" w:cs="宋体"/>
                <w:color w:val="000000"/>
                <w:sz w:val="21"/>
                <w:szCs w:val="21"/>
                <w:highlight w:val="none"/>
              </w:rPr>
              <w:t xml:space="preserve">支持 ONVIF Profile G、Profile T；支持 CGI 接口；支持 </w:t>
            </w:r>
            <w:r>
              <w:rPr>
                <w:rFonts w:hint="eastAsia" w:ascii="宋体" w:hAnsi="宋体" w:eastAsia="宋体" w:cs="宋体"/>
                <w:color w:val="000000"/>
                <w:sz w:val="21"/>
                <w:szCs w:val="21"/>
                <w:highlight w:val="none"/>
                <w:lang w:eastAsia="zh-CN"/>
              </w:rPr>
              <w:t xml:space="preserve">GB/T28181-2022</w:t>
            </w:r>
            <w:r>
              <w:rPr>
                <w:rFonts w:hint="eastAsia" w:ascii="宋体" w:hAnsi="宋体" w:eastAsia="宋体" w:cs="宋体"/>
                <w:color w:val="000000"/>
                <w:sz w:val="21"/>
                <w:szCs w:val="21"/>
                <w:highlight w:val="none"/>
              </w:rPr>
              <w:t xml:space="preserve">；支持 GA/T1400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支持MicroSD卡存储，最大支持容量不小于1TB；</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RS-485接口不少于1个（波特率范围：1200bps～115200bps）；</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音频输入不少于2路；音频输出不少于1路；报警输入不少于3路；报警输出不少于2路；模拟输出接口不少于1路；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电源返送：支持DC12V电源返送；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供电方式：DC36V（±50%）；PoE++（802.3bt）；</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防护等级不低于IP67；电力EMC不低于三级；</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2"/>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球机支架</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外观颜色：白色；最大承重：</w:t>
            </w:r>
            <w:r>
              <w:rPr>
                <w:rFonts w:hint="eastAsia" w:ascii="宋体" w:hAnsi="宋体" w:eastAsia="宋体" w:cs="宋体"/>
                <w:color w:val="000000"/>
                <w:sz w:val="21"/>
                <w:szCs w:val="21"/>
                <w:highlight w:val="none"/>
              </w:rPr>
              <w:t xml:space="preserve">≥6.0kg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安装方式：壁装；</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343"/>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球机支架</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外观颜色：银色；承重：</w:t>
            </w:r>
            <w:r>
              <w:rPr>
                <w:rFonts w:hint="eastAsia" w:ascii="宋体" w:hAnsi="宋体" w:eastAsia="宋体" w:cs="宋体"/>
                <w:color w:val="000000"/>
                <w:sz w:val="21"/>
                <w:szCs w:val="21"/>
                <w:highlight w:val="none"/>
              </w:rPr>
              <w:t xml:space="preserve">≥8.0kg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安装方式：壁装；</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364"/>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枪机支架</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外观颜色：白色；承重：</w:t>
            </w:r>
            <w:r>
              <w:rPr>
                <w:rFonts w:hint="eastAsia" w:ascii="宋体" w:hAnsi="宋体" w:eastAsia="宋体" w:cs="宋体"/>
                <w:color w:val="000000"/>
                <w:sz w:val="21"/>
                <w:szCs w:val="21"/>
                <w:highlight w:val="none"/>
              </w:rPr>
              <w:t xml:space="preserve">≥0.7kg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安装方式：壁装；</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≥3.5米立杆；304不锈钢；含地笼基础</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六类非屏蔽线缆</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名称：UTP6双绞线；六类非屏蔽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箱</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拼接屏</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尺寸≥55寸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双边拼缝：≤3.5mm</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分辨率：≥1920*1080</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亮度：≥500cd/m2</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对比度：≥1200：1</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色彩范围：8bit</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刷新率：60Hz</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功耗：155W</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视角：可视角度水平≥178°，垂直≥178°；</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输入接口不少于：VGA*1、DVI-D*1、HDMI*1、RS232(RJ45)*1、USB（升级和多媒体）</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输出接口：具备RS232控制接口（支持RJ45转接方式）</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LCD新型模块化支架</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LCD新型模块化支架</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视频解码器</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ATCA电信级架构</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542"/>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【42】</w:t>
            </w:r>
            <w:r>
              <w:rPr>
                <w:rFonts w:hint="eastAsia" w:ascii="宋体" w:hAnsi="宋体" w:eastAsia="宋体" w:cs="宋体"/>
                <w:i w:val="0"/>
                <w:iCs w:val="0"/>
                <w:color w:val="000000"/>
                <w:sz w:val="21"/>
                <w:szCs w:val="21"/>
                <w:highlight w:val="none"/>
                <w:u w:val="none"/>
                <w:lang w:val="en-US" w:eastAsia="zh-CN" w:bidi="ar"/>
              </w:rPr>
              <w:t xml:space="preserve">支持不少于2路HDMI输入（支持HDMI2.0、HDMI1.3规格），最大支持1路4K@60Hz和1路1080p@60Hz编码输入</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【43】</w:t>
            </w:r>
            <w:r>
              <w:rPr>
                <w:rFonts w:hint="eastAsia" w:ascii="宋体" w:hAnsi="宋体" w:eastAsia="宋体" w:cs="宋体"/>
                <w:i w:val="0"/>
                <w:iCs w:val="0"/>
                <w:color w:val="000000"/>
                <w:sz w:val="21"/>
                <w:szCs w:val="21"/>
                <w:highlight w:val="none"/>
                <w:u w:val="none"/>
                <w:lang w:val="en-US" w:eastAsia="zh-CN" w:bidi="ar"/>
              </w:rPr>
              <w:t xml:space="preserve">支持不少于16路HDMI输出（支持HDMI2.0、HDMI1.3规格），最大支持8路4K@60Hz和8路1080p@60Hz输出</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支持H.264/H.265视频编码，支持双码流和可变码流，支持复合流和视频流编码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支持H.264/H.265视频解码，支持192路1080p@25fps高清视频解码能力</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支持32MP/16MP/12MP/8MP/5MP/3MP/1080p/720p/D1/HD1/2CIF/CIF/QCIF视频解码</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支持H.265/H.264/SVAC/MPEG4/MJPEG视频格式解码</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支持本地信号/网络信号的输入和矩阵输出</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支持信号多路复制，单路信号最大复制不低于32路；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支持web浏览器、PC客户端、移动客户端、网络键盘等进行控制</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支持拼接缩放、视频融合、漫游、开窗、层叠</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支持1/4/6/8/9/16/25/36等多种画面分割显示，支持自由分割</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w:t>
            </w:r>
            <w:r>
              <w:rPr>
                <w:rFonts w:hint="eastAsia" w:ascii="宋体" w:hAnsi="宋体" w:eastAsia="宋体" w:cs="宋体"/>
                <w:color w:val="000000"/>
                <w:sz w:val="21"/>
                <w:szCs w:val="21"/>
                <w:highlight w:val="none"/>
                <w:lang w:val="en-US" w:eastAsia="zh-CN"/>
              </w:rPr>
              <w:t xml:space="preserve">不少于</w:t>
            </w:r>
            <w:r>
              <w:rPr>
                <w:rFonts w:hint="eastAsia" w:ascii="宋体" w:hAnsi="宋体" w:eastAsia="宋体" w:cs="宋体"/>
                <w:i w:val="0"/>
                <w:iCs w:val="0"/>
                <w:color w:val="000000"/>
                <w:sz w:val="21"/>
                <w:szCs w:val="21"/>
                <w:highlight w:val="none"/>
                <w:u w:val="none"/>
                <w:lang w:val="en-US" w:eastAsia="zh-CN" w:bidi="ar"/>
              </w:rPr>
              <w:t xml:space="preserve">128个场景预设，可以自定义每个场景电视墙布局</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支持点对点高清底图显示</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支持字幕叠加功能，</w:t>
            </w:r>
            <w:r>
              <w:rPr>
                <w:rFonts w:hint="eastAsia" w:ascii="宋体" w:hAnsi="宋体" w:eastAsia="宋体" w:cs="宋体"/>
                <w:color w:val="000000"/>
                <w:sz w:val="21"/>
                <w:szCs w:val="21"/>
                <w:highlight w:val="none"/>
              </w:rPr>
              <w:t xml:space="preserve">可在单屏、拼接屏上叠加字符</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支持不少于2个RJ45千兆网络接口，支持网卡容错、单网卡、链路聚合、负载均衡工作模式设置</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支持RS232串口，实现矩阵控制、大屏开关控制等功能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支持TCP/IP协议，支持RTP/RTSP/RTCP/TCP/UDP/DHCP等网络协议</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支持远程控制本地、网络视频切换上墙</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支持远程重启、远程升级和恢复默认设置等操作</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支持用户权限管理，支持白名单功能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支持双电源冗余，配置智能风扇自动调温，确保系统稳定可靠</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WEB管理：</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11"/>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WEB设置：NTP设置，网络设置</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2.NTP状态：NTP服务器和授时客户端的同步和时间偏差情况,可查看GPS状态：包括GPS卫星数，服务器部署位置的经纬度和高度，卫星时间，服务器时间以及参考源的同步情况</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授时模式：支持NTPPeerClient/ServerBroadcastMulticast多种工作模式；</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卫星接收机：支持北斗二代、GPS双模卫星授时参考源；</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高可靠性：双路220V冗余电源；</w:t>
            </w:r>
            <w:r>
              <w:rPr>
                <w:rFonts w:hint="eastAsia" w:ascii="宋体" w:hAnsi="宋体" w:eastAsia="宋体" w:cs="宋体"/>
                <w:color w:val="000000"/>
                <w:sz w:val="21"/>
                <w:szCs w:val="21"/>
                <w:highlight w:val="none"/>
              </w:rPr>
              <w:t xml:space="preserve">支持双机热备主备切换；</w:t>
            </w:r>
            <w:r>
              <w:rPr>
                <w:rFonts w:hint="eastAsia" w:ascii="宋体" w:hAnsi="宋体" w:eastAsia="宋体" w:cs="宋体"/>
                <w:i w:val="0"/>
                <w:iCs w:val="0"/>
                <w:color w:val="000000"/>
                <w:sz w:val="21"/>
                <w:szCs w:val="21"/>
                <w:highlight w:val="none"/>
                <w:u w:val="none"/>
                <w:lang w:val="en-US" w:eastAsia="zh-CN" w:bidi="ar"/>
              </w:rPr>
              <w:t xml:space="preserve">支持网卡绑定功能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NTP校时服务器天线</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NTP校时服务器天线</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视频中心人脸识别服务器</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主处理器：64位高性能多核处理器；</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操作系统：国产操作系统；</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GPU：设备内置不少于4颗高性能GPU,单颗GPU算力≥22TOPS(INT8)；</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后智能分析：支持后智能人脸检测、人脸识别、人员频次报警、视频结构化（人、车、非机动车）、</w:t>
            </w:r>
            <w:r>
              <w:rPr>
                <w:rFonts w:hint="eastAsia" w:ascii="宋体" w:hAnsi="宋体" w:eastAsia="宋体" w:cs="宋体"/>
                <w:color w:val="000000"/>
                <w:sz w:val="21"/>
                <w:szCs w:val="21"/>
                <w:highlight w:val="none"/>
              </w:rPr>
              <w:t xml:space="preserve">设备可对视频画面内人员、机动车、非机动车目标进行抓拍，自动提取目标多维属性信息；支持基于目标属性自定义组合条件设置告警策略，当画面目标匹配预设属性规则时自动触发告</w:t>
            </w:r>
            <w:r>
              <w:rPr>
                <w:rFonts w:hint="eastAsia" w:ascii="宋体" w:hAnsi="宋体" w:eastAsia="宋体" w:cs="宋体"/>
                <w:i w:val="0"/>
                <w:iCs w:val="0"/>
                <w:color w:val="000000"/>
                <w:sz w:val="21"/>
                <w:szCs w:val="21"/>
                <w:highlight w:val="none"/>
                <w:u w:val="none"/>
                <w:lang w:val="en-US" w:eastAsia="zh-CN" w:bidi="ar"/>
              </w:rPr>
              <w:t xml:space="preserve">警、通用行为分析、车牌比对；</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人脸检测：≥128路200万分辨率视频流分析；属性：</w:t>
            </w:r>
            <w:r>
              <w:rPr>
                <w:rFonts w:hint="eastAsia" w:ascii="宋体" w:hAnsi="宋体" w:eastAsia="宋体" w:cs="宋体"/>
                <w:color w:val="000000"/>
                <w:szCs w:val="21"/>
                <w:highlight w:val="none"/>
              </w:rPr>
              <w:t xml:space="preserve">不少于 6 种人脸属性，包含性别、年龄段、眼镜、表情、口罩、胡子；年龄段不少于 6 个分段，表情不少于 8 种</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以图搜图：支持以图搜图功能，支持文搜功能；</w:t>
            </w:r>
            <w:r>
              <w:rPr>
                <w:rFonts w:hint="eastAsia" w:ascii="宋体" w:hAnsi="宋体" w:eastAsia="宋体" w:cs="宋体"/>
                <w:i w:val="0"/>
                <w:iCs w:val="0"/>
                <w:color w:val="000000"/>
                <w:sz w:val="21"/>
                <w:szCs w:val="21"/>
                <w:highlight w:val="none"/>
                <w:u w:val="none"/>
                <w:lang w:val="en-US"/>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人脸库容量：</w:t>
            </w:r>
            <w:r>
              <w:rPr>
                <w:rFonts w:hint="eastAsia" w:ascii="宋体" w:hAnsi="宋体" w:eastAsia="宋体" w:cs="宋体"/>
                <w:color w:val="000000"/>
                <w:szCs w:val="21"/>
                <w:highlight w:val="none"/>
              </w:rPr>
              <w:t xml:space="preserve">样本库数量不少于 100 个，总样本图片容量不少于 50 万张，单样本库容量不少于 50 万张；路人库数量不少于 5 个，路人库总图片容量不少于 50 万张，单路人库容量不少于 50 万张；人脸库样本库容量、条数共享</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w:t>
            </w:r>
            <w:r>
              <w:rPr>
                <w:rFonts w:hint="eastAsia" w:ascii="宋体" w:hAnsi="宋体" w:eastAsia="宋体" w:cs="宋体"/>
                <w:i w:val="0"/>
                <w:iCs w:val="0"/>
                <w:color w:val="000000"/>
                <w:sz w:val="21"/>
                <w:szCs w:val="21"/>
                <w:highlight w:val="none"/>
                <w:u w:val="none"/>
              </w:rPr>
            </w:r>
            <w:r/>
          </w:p>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图片流：≥128路200万分辨率图片流分析；</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视频流：支持≥64路200万分辨率视频流分析；</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支持人员频次高频报警；</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人脸识别（前智能）：配套前智能摄像机，支持48路≥200万分辨率；</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接入路数不少于128路；报警输入不少于16路；报警输出不少于8路；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硬盘接口不少于16个；SATA；单盘最大24TB；</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ff0000"/>
                <w:sz w:val="21"/>
                <w:szCs w:val="21"/>
                <w:highlight w:val="none"/>
                <w:u w:val="none"/>
                <w:lang w:val="en-US" w:eastAsia="zh-CN" w:bidi="ar"/>
              </w:rPr>
              <w:t xml:space="preserve">磁盘阵列</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0"/>
              </w:numPr>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录像存储要求：</w:t>
            </w:r>
            <w:r>
              <w:rPr>
                <w:rFonts w:hint="eastAsia" w:ascii="宋体" w:hAnsi="宋体" w:eastAsia="宋体" w:cs="宋体"/>
                <w:color w:val="000000"/>
                <w:sz w:val="21"/>
                <w:szCs w:val="21"/>
                <w:highlight w:val="none"/>
              </w:rPr>
            </w:r>
            <w:r/>
          </w:p>
          <w:p>
            <w:pPr>
              <w:pStyle w:val="826"/>
              <w:numPr>
                <w:ilvl w:val="0"/>
                <w:numId w:val="0"/>
              </w:numPr>
              <w:ind w:left="0" w:right="0" w:firstLine="0"/>
              <w:jc w:val="left"/>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【44】</w:t>
            </w:r>
            <w:r>
              <w:rPr>
                <w:rFonts w:hint="eastAsia" w:ascii="宋体" w:hAnsi="宋体" w:eastAsia="宋体" w:cs="宋体"/>
                <w:i w:val="0"/>
                <w:iCs w:val="0"/>
                <w:color w:val="000000"/>
                <w:sz w:val="21"/>
                <w:szCs w:val="21"/>
                <w:highlight w:val="none"/>
                <w:u w:val="none"/>
                <w:lang w:val="en-US" w:eastAsia="zh-CN" w:bidi="ar"/>
              </w:rPr>
              <w:t xml:space="preserve">支持构建全局统一存储资源池或者IPSAN，支持RAID保护，可跨多个硬盘框实现；设备需配置冗余电源；硬盘、电源、风扇、控制器模块均支持热插拔维护，更换部件无需断电停机，保障监控业务连续不中断。单台存储盘位不低于48盘位。</w:t>
            </w:r>
            <w:r>
              <w:rPr>
                <w:rFonts w:hint="eastAsia" w:ascii="宋体" w:hAnsi="宋体" w:eastAsia="宋体" w:cs="宋体"/>
                <w:color w:val="000000"/>
                <w:sz w:val="21"/>
                <w:szCs w:val="21"/>
                <w:highlight w:val="none"/>
                <w:lang w:eastAsia="zh-CN"/>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智能物联综合管理平台（含硬件）</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软件集成系统管理、视频管理、报警管理、门禁管理、可视对讲、车辆卡口、设备运维、停车管理、园区工作台、安全数据库10大业务系统；</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支持管理视频通道点位不少于</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i w:val="0"/>
                <w:iCs w:val="0"/>
                <w:color w:val="000000"/>
                <w:sz w:val="21"/>
                <w:szCs w:val="21"/>
                <w:highlight w:val="none"/>
                <w:u w:val="none"/>
                <w:lang w:val="en-US" w:eastAsia="zh-CN" w:bidi="ar"/>
              </w:rPr>
              <w:t xml:space="preserve">0万路；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支持管理门禁点位不少于80000路，管理存储门禁记录不少于1亿条；</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支持管理室内机点位不少于10000路，虚拟室内机不少于100000路；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支持管理园区卡口点位不少于8000路；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支持管理出入口车道不少于500进500出，车位不少于10000个；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支持管理用户数量不少于80万个，支持同时用户在线数量不少于3000个；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智能目标布控</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搭配智能相机、人脸门禁、智能服务器等人脸分析设备，对视频图像中的人脸、人体特征、行为等进行识别和分析，提供人脸库管理与布控、人像检索、人员结构化分析、轨迹回放等业务，适用于各种需要智能管控的场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巡更系统</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巡更点，支持nfc点位、门禁点位、智能点位添加；</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巡更路线，支持全有序（有时间间隔）、全无序、首点有序、首尾有序四种巡更路线规划方式；</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巡更班组，支持对人员按照巡更班组进行分组管理；</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巡更计划，支持多种巡更模式，支持按周、按月批量新增计划，可开启与关闭计划；</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巡更记录，支持按待执行、正常、漏巡、未按次序、未按间隔、超时对巡更记录进行查询与导出；</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巡更统计，支持按照巡更路线、巡更人员、巡更点位、巡更班组进行记录统计及导出；</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NFC管理；</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6"/>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授权</w:t>
            </w:r>
            <w:r>
              <w:rPr>
                <w:rFonts w:hint="eastAsia" w:ascii="宋体" w:hAnsi="宋体" w:eastAsia="宋体" w:cs="宋体"/>
                <w:i w:val="0"/>
                <w:iCs w:val="0"/>
                <w:color w:val="000000"/>
                <w:sz w:val="21"/>
                <w:szCs w:val="21"/>
                <w:highlight w:val="none"/>
                <w:u w:val="none"/>
                <w:lang w:val="en-US" w:eastAsia="zh-CN"/>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视频通道授权：1500个；</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门禁通道授权：300个；</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对讲通道授权：8个；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0"/>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线材、管线等</w:t>
            </w:r>
            <w:r>
              <w:rPr>
                <w:rFonts w:hint="eastAsia" w:ascii="宋体" w:hAnsi="宋体" w:eastAsia="宋体" w:cs="宋体"/>
                <w:i w:val="0"/>
                <w:iCs w:val="0"/>
                <w:color w:val="000000"/>
                <w:sz w:val="21"/>
                <w:szCs w:val="21"/>
                <w:highlight w:val="none"/>
                <w:u w:val="none"/>
                <w:lang w:val="en-US" w:eastAsia="zh-CN"/>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gridSpan w:val="5"/>
            <w:shd w:val="clear" w:color="auto" w:fill="ffffff"/>
            <w:tcW w:w="957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2.门禁系统</w:t>
            </w:r>
            <w:r>
              <w:rPr>
                <w:rFonts w:hint="eastAsia" w:ascii="宋体" w:hAnsi="宋体" w:eastAsia="宋体" w:cs="宋体"/>
                <w:b/>
                <w:bCs/>
                <w:i w:val="0"/>
                <w:iCs w:val="0"/>
                <w:color w:val="000000"/>
                <w:sz w:val="21"/>
                <w:szCs w:val="21"/>
                <w:highlight w:val="none"/>
                <w:u w:val="none"/>
              </w:rPr>
            </w:r>
            <w:r/>
          </w:p>
        </w:tc>
      </w:tr>
      <w:tr>
        <w:trPr>
          <w:trHeight w:val="350"/>
        </w:trPr>
        <w:tc>
          <w:tcPr>
            <w:shd w:val="clear" w:color="auto" w:fill="ffffff"/>
            <w:tcW w:w="636" w:type="dxa"/>
            <w:vAlign w:val="center"/>
            <w:vMerge w:val="restart"/>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读卡器</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OSDP协议：支持；</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门禁读卡器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内置蜂鸣器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读卡类型：</w:t>
            </w:r>
            <w:r>
              <w:rPr>
                <w:rFonts w:hint="eastAsia" w:ascii="宋体" w:hAnsi="宋体" w:eastAsia="宋体" w:cs="宋体"/>
                <w:color w:val="000000"/>
                <w:sz w:val="21"/>
                <w:szCs w:val="21"/>
                <w:highlight w:val="none"/>
              </w:rPr>
              <w:t xml:space="preserve">可读取IC卡、CPU卡</w:t>
            </w:r>
            <w:r>
              <w:rPr>
                <w:rFonts w:hint="eastAsia" w:ascii="宋体" w:hAnsi="宋体" w:eastAsia="宋体" w:cs="宋体"/>
                <w:color w:val="000000"/>
                <w:sz w:val="21"/>
                <w:szCs w:val="21"/>
                <w:highlight w:val="none"/>
                <w:lang w:eastAsia="zh-CN"/>
              </w:rPr>
              <w:t xml:space="preserve">（需另购PSAM卡）</w:t>
            </w:r>
            <w:r>
              <w:rPr>
                <w:rFonts w:hint="eastAsia" w:ascii="宋体" w:hAnsi="宋体" w:eastAsia="宋体" w:cs="宋体"/>
                <w:color w:val="000000"/>
                <w:sz w:val="21"/>
                <w:szCs w:val="21"/>
                <w:highlight w:val="none"/>
              </w:rPr>
              <w:t xml:space="preserve">；可读取二代身份证物理序列号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IC卡加密：支持；</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color w:val="000000"/>
                <w:sz w:val="21"/>
                <w:szCs w:val="21"/>
                <w:highlight w:val="none"/>
              </w:rPr>
              <w:t xml:space="preserve">刷卡响应时间≤0.1s</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读卡距离：0cm～8cm（IC白卡）</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ffffff"/>
            <w:tcW w:w="636" w:type="dxa"/>
            <w:vAlign w:val="center"/>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出门按钮</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外壳材料：ABS；最大电流：3A36VDC；</w:t>
            </w:r>
            <w:r>
              <w:rPr>
                <w:rFonts w:hint="eastAsia" w:ascii="宋体" w:hAnsi="宋体" w:eastAsia="宋体" w:cs="宋体"/>
                <w:i w:val="0"/>
                <w:iCs w:val="0"/>
                <w:color w:val="000000"/>
                <w:sz w:val="21"/>
                <w:szCs w:val="21"/>
                <w:highlight w:val="none"/>
                <w:u w:val="none"/>
              </w:rPr>
            </w:r>
            <w:r/>
          </w:p>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耐用测试：</w:t>
            </w:r>
            <w:r>
              <w:rPr>
                <w:rFonts w:hint="eastAsia" w:ascii="宋体" w:hAnsi="宋体" w:eastAsia="宋体" w:cs="宋体"/>
                <w:color w:val="000000"/>
                <w:sz w:val="21"/>
                <w:szCs w:val="21"/>
                <w:highlight w:val="none"/>
              </w:rPr>
              <w:t xml:space="preserve">≥50万次</w:t>
            </w:r>
            <w:r>
              <w:rPr>
                <w:rFonts w:hint="eastAsia" w:ascii="宋体" w:hAnsi="宋体" w:eastAsia="宋体" w:cs="宋体"/>
                <w:i w:val="0"/>
                <w:iCs w:val="0"/>
                <w:color w:val="000000"/>
                <w:sz w:val="21"/>
                <w:szCs w:val="21"/>
                <w:highlight w:val="none"/>
                <w:u w:val="none"/>
                <w:lang w:val="en-US" w:eastAsia="zh-CN" w:bidi="ar"/>
              </w:rPr>
              <w:t xml:space="preserve">老化测试合格；接点输出：NO/COM接点；</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323"/>
        </w:trPr>
        <w:tc>
          <w:tcPr>
            <w:shd w:val="clear" w:color="auto" w:fill="ffffff"/>
            <w:tcW w:w="636" w:type="dxa"/>
            <w:vAlign w:val="center"/>
            <w:vMerge w:val="restart"/>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门禁主机（四门控制器）</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内置蜂鸣器；</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r>
      <w:tr>
        <w:trPr>
          <w:trHeight w:val="299"/>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用户容量≥10000；指纹容量≥10000；卡片容量≥10000；</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存储记录数量≥500000；</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84"/>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RS</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485接口总数≥9路</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韦根接口不少于8路输入；</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网络接口不少于1个RJ-45，10Mbps/100Mbps自适应；</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报警输入≥5路，其中1路为独立消防联动接口；其余报警输入中不少于2路支持四态检测，可识别正常、报警、短路、断路状态；支持外接报警扩展模块；</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报警输出不少于4路（外接报警模块可扩展不少于8路）；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门状态检测不少于4路；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8"/>
        </w:trPr>
        <w:tc>
          <w:tcPr>
            <w:shd w:val="clear" w:color="auto" w:fill="ffffff"/>
            <w:tcW w:w="636" w:type="dxa"/>
            <w:vAlign w:val="center"/>
            <w:vMerge w:val="restart"/>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门禁主机（双门控制器）</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蜂鸣器：支持；</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551"/>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用户容量≥10000；指纹容量≥10000；卡片容量≥10000；存储记录数量≥500000；</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RS-485接口≥5路（4个读卡器接口，1个扩展接口）；</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韦根接口不少于4路输入；</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网络接口不少于1个RJ-45，10Mbps/100Mbps自适应；</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报警输入≥7路，含1路消防接口；其中2路支持四态报警检测（正常/报警/短路/断路）；外接报警模块可扩展报警输入至8路；</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报警输出不少于4路（外接报警模块可扩展不少于8路）；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门状态检测不少于2路；</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60"/>
        </w:trPr>
        <w:tc>
          <w:tcPr>
            <w:shd w:val="clear" w:color="auto" w:fill="ffffff"/>
            <w:tcW w:w="636" w:type="dxa"/>
            <w:vAlign w:val="center"/>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双门磁力锁</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磁力锁；外壳材料：铝合金；表面工艺：电镀拉丝；安全类型：断电开门；最大拉力：≥280kg×2（600Lbs×2）直线拉力；供电方式：DC12V，</w:t>
            </w:r>
            <w:r>
              <w:rPr>
                <w:rFonts w:hint="eastAsia" w:ascii="宋体" w:hAnsi="宋体" w:eastAsia="宋体" w:cs="宋体"/>
                <w:color w:val="000000"/>
                <w:sz w:val="21"/>
                <w:szCs w:val="21"/>
                <w:highlight w:val="none"/>
              </w:rPr>
              <w:t xml:space="preserve">单锁工作电流≤500mA，双锁合计≤1000mA</w:t>
            </w:r>
            <w:r>
              <w:rPr>
                <w:rFonts w:hint="eastAsia" w:ascii="宋体" w:hAnsi="宋体" w:eastAsia="宋体" w:cs="宋体"/>
                <w:i w:val="0"/>
                <w:iCs w:val="0"/>
                <w:color w:val="000000"/>
                <w:sz w:val="21"/>
                <w:szCs w:val="21"/>
                <w:highlight w:val="none"/>
                <w:u w:val="none"/>
                <w:lang w:val="en-US" w:eastAsia="zh-CN" w:bidi="ar"/>
              </w:rPr>
              <w:t xml:space="preserve">；工作环境：室内；安装方式：明装，带门磁功能；</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1150"/>
        </w:trPr>
        <w:tc>
          <w:tcPr>
            <w:shd w:val="clear" w:color="auto" w:fill="ffffff"/>
            <w:tcW w:w="636" w:type="dxa"/>
            <w:vAlign w:val="center"/>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单门磁力锁</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磁力锁；外壳材料：铝合金；表面工艺：电镀拉丝；安全类型：断电开门；最大拉力：≥280kg（600Lbs）直线拉力；供电方式：DC12V</w:t>
            </w:r>
            <w:r>
              <w:rPr>
                <w:rFonts w:hint="eastAsia" w:ascii="宋体" w:hAnsi="宋体" w:eastAsia="宋体" w:cs="宋体"/>
                <w:color w:val="000000"/>
                <w:sz w:val="21"/>
                <w:szCs w:val="21"/>
                <w:highlight w:val="none"/>
              </w:rPr>
              <w:t xml:space="preserve">工作电流≤500mA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工作环境：室内；安装方式：明装，带门磁功能；</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RVV2*0.5</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RVV2*0.5</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六类非屏蔽线缆</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名称：UTP6双绞线；六类非屏蔽</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2"/>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线材、管线等</w:t>
            </w:r>
            <w:r>
              <w:rPr>
                <w:rFonts w:hint="eastAsia" w:ascii="宋体" w:hAnsi="宋体" w:eastAsia="宋体" w:cs="宋体"/>
                <w:i w:val="0"/>
                <w:iCs w:val="0"/>
                <w:color w:val="000000"/>
                <w:sz w:val="21"/>
                <w:szCs w:val="21"/>
                <w:highlight w:val="none"/>
                <w:u w:val="none"/>
                <w:lang w:val="en-US" w:eastAsia="zh-CN"/>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gridSpan w:val="5"/>
            <w:shd w:val="clear" w:color="auto" w:fill="ffffff"/>
            <w:tcW w:w="9571"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3.紧急报警系统</w:t>
            </w:r>
            <w:r>
              <w:rPr>
                <w:rFonts w:hint="eastAsia" w:ascii="宋体" w:hAnsi="宋体" w:eastAsia="宋体" w:cs="宋体"/>
                <w:b/>
                <w:bCs/>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3"/>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一键报警电脑软件</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【45】</w:t>
            </w:r>
            <w:r>
              <w:rPr>
                <w:rFonts w:hint="eastAsia" w:ascii="宋体" w:hAnsi="宋体" w:eastAsia="宋体" w:cs="宋体"/>
                <w:i w:val="0"/>
                <w:iCs w:val="0"/>
                <w:color w:val="000000"/>
                <w:sz w:val="21"/>
                <w:szCs w:val="21"/>
                <w:highlight w:val="none"/>
                <w:u w:val="none"/>
                <w:lang w:val="en-US" w:eastAsia="zh-CN" w:bidi="ar"/>
              </w:rPr>
              <w:t xml:space="preserve">一键报警电脑软件：</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1.初始配置：支持数据库连接配置；</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2.科室配置：支持自动获取IP和手动输入IP，保存科室名电话、护士长科主任电话、科室位置信息；</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3.热键设置：支持热键设置完成后一键报警；</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4.报警确认：支持报警后进行安保确认，并反馈到医护端电脑；</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5.终端一览：支持消控中心客户端已安装医护端列表展示，显示在线离线状态；</w:t>
            </w:r>
            <w:r>
              <w:rPr>
                <w:rFonts w:hint="eastAsia"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6.报警处置：支持消控中心端报警显示，并可确认处置，可反馈至医护端；</w:t>
            </w:r>
            <w:r>
              <w:rPr>
                <w:rFonts w:ascii="宋体" w:hAnsi="宋体" w:eastAsia="宋体" w:cs="宋体"/>
                <w:i w:val="0"/>
                <w:iCs w:val="0"/>
                <w:color w:val="000000"/>
                <w:sz w:val="21"/>
                <w:szCs w:val="21"/>
                <w:highlight w:val="none"/>
                <w:u w:val="none"/>
                <w:lang w:val="en-US" w:eastAsia="zh-CN" w:bidi="ar"/>
              </w:rPr>
            </w:r>
            <w:r/>
          </w:p>
          <w:p>
            <w:pPr>
              <w:pStyle w:val="826"/>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7.报警记录查询：支持根据时问段查询报警记录；</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c>
          <w:tcPr>
            <w:gridSpan w:val="5"/>
            <w:shd w:val="clear" w:color="auto" w:fill="ffffff"/>
            <w:tcW w:w="957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4.巡更系统</w:t>
            </w:r>
            <w:r>
              <w:rPr>
                <w:rFonts w:hint="eastAsia" w:ascii="宋体" w:hAnsi="宋体" w:eastAsia="宋体" w:cs="宋体"/>
                <w:b/>
                <w:bCs/>
                <w:i w:val="0"/>
                <w:iCs w:val="0"/>
                <w:color w:val="000000"/>
                <w:sz w:val="21"/>
                <w:szCs w:val="21"/>
                <w:highlight w:val="none"/>
                <w:u w:val="none"/>
              </w:rPr>
            </w:r>
            <w:r/>
          </w:p>
        </w:tc>
      </w:tr>
      <w:tr>
        <w:trPr/>
        <w:tc>
          <w:tcPr>
            <w:shd w:val="clear" w:color="auto" w:fill="ffffff"/>
            <w:tcW w:w="636" w:type="dxa"/>
            <w:vAlign w:val="center"/>
            <w:vMerge w:val="restart"/>
            <w:textDirection w:val="lrTb"/>
            <w:noWrap w:val="false"/>
          </w:tcPr>
          <w:p>
            <w:pPr>
              <w:pStyle w:val="826"/>
              <w:numPr>
                <w:ilvl w:val="0"/>
                <w:numId w:val="14"/>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4G移动手持终端</w:t>
            </w:r>
            <w:r>
              <w:rPr>
                <w:rFonts w:hint="eastAsia" w:ascii="宋体" w:hAnsi="宋体" w:eastAsia="宋体" w:cs="宋体"/>
                <w:i w:val="0"/>
                <w:iCs w:val="0"/>
                <w:color w:val="000000"/>
                <w:sz w:val="21"/>
                <w:szCs w:val="21"/>
                <w:highlight w:val="none"/>
                <w:u w:val="none"/>
                <w:lang w:val="en-US" w:eastAsia="zh-CN" w:bidi="ar"/>
              </w:rPr>
            </w:r>
            <w:r/>
          </w:p>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CPU：8核2.0GHz；</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运行内存RAM≥4GB，机身存储ROM≥64GB；</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操作系统：Android12及以上；</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TF卡扩展最大支持256GB；</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网络：4G全网通；</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显示屏幕：≥6.2英寸，分辨率≥720*1520；</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0"/>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后置摄像头：≥4800W+500W；前置摄像头：≥800W；</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电池容量：≥5500mAh，可拆卸电池；</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指纹识别：带指纹识别；</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支持NFC功能；</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喇叭：2个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充电接口：Type-C接口，≥15W快充</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耳机接口：3.5mm耳机接口</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1"/>
        </w:trPr>
        <w:tc>
          <w:tcPr>
            <w:shd w:val="clear" w:color="auto" w:fill="ffffff"/>
            <w:tcW w:w="636" w:type="dxa"/>
            <w:vAlign w:val="center"/>
            <w:vMerge w:val="continue"/>
            <w:textDirection w:val="lrTb"/>
            <w:noWrap w:val="false"/>
          </w:tcPr>
          <w:p>
            <w:pPr>
              <w:pStyle w:val="826"/>
              <w:numPr>
                <w:ilvl w:val="0"/>
                <w:numId w:val="0"/>
              </w:numPr>
              <w:ind w:left="0" w:right="0" w:firstLine="0"/>
              <w:jc w:val="both"/>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keepLines/>
              <w:widowControl/>
              <w:rPr>
                <w:rFonts w:hint="eastAsia" w:ascii="宋体" w:hAnsi="宋体" w:eastAsia="宋体" w:cs="宋体"/>
                <w:i w:val="0"/>
                <w:iCs w:val="0"/>
                <w:color w:val="000000"/>
                <w:sz w:val="21"/>
                <w:szCs w:val="21"/>
                <w:highlight w:val="none"/>
                <w:u w:val="none"/>
              </w:rPr>
            </w:pPr>
            <w:r>
              <w:rPr>
                <w:rFonts w:hint="eastAsia" w:ascii="宋体" w:hAnsi="宋体" w:cs="宋体"/>
                <w:color w:val="000000"/>
                <w:szCs w:val="21"/>
                <w:highlight w:val="none"/>
                <w:lang w:val="en-US" w:eastAsia="zh-CN"/>
              </w:rPr>
              <w:t xml:space="preserve">配置</w:t>
            </w:r>
            <w:r>
              <w:rPr>
                <w:rFonts w:hint="eastAsia" w:ascii="宋体" w:hAnsi="宋体" w:eastAsia="宋体" w:cs="宋体"/>
                <w:i w:val="0"/>
                <w:iCs w:val="0"/>
                <w:color w:val="000000"/>
                <w:sz w:val="21"/>
                <w:szCs w:val="21"/>
                <w:highlight w:val="none"/>
                <w:u w:val="none"/>
                <w:lang w:val="en-US" w:eastAsia="zh-CN" w:bidi="ar"/>
              </w:rPr>
              <w:t xml:space="preserve">手持终端充电底座</w:t>
            </w:r>
            <w:r>
              <w:rPr>
                <w:rFonts w:hint="eastAsia" w:ascii="宋体" w:hAnsi="宋体" w:cs="宋体"/>
                <w:i w:val="0"/>
                <w:iCs w:val="0"/>
                <w:color w:val="000000"/>
                <w:sz w:val="21"/>
                <w:szCs w:val="21"/>
                <w:highlight w:val="none"/>
                <w:u w:val="none"/>
                <w:lang w:val="en-US" w:eastAsia="zh-CN" w:bidi="ar"/>
              </w:rPr>
              <w:t xml:space="preserve">，与主机适配</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52"/>
        </w:trPr>
        <w:tc>
          <w:tcPr>
            <w:shd w:val="clear" w:color="auto" w:fill="ffffff"/>
            <w:tcW w:w="636" w:type="dxa"/>
            <w:vAlign w:val="center"/>
            <w:vMerge w:val="restart"/>
            <w:textDirection w:val="lrTb"/>
            <w:noWrap w:val="false"/>
          </w:tcPr>
          <w:p>
            <w:pPr>
              <w:pStyle w:val="826"/>
              <w:numPr>
                <w:ilvl w:val="0"/>
                <w:numId w:val="14"/>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NFC消防巡查专用RFID标签</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RFID工作协议：ISO/IEC14443A；RFID工作频率：13.56MHz；</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巡检点位按消火栓位置进行安置；</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gridSpan w:val="5"/>
            <w:shd w:val="clear" w:color="auto" w:fill="ffffff"/>
            <w:tcW w:w="957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5.网络系统</w:t>
            </w:r>
            <w:r>
              <w:rPr>
                <w:rFonts w:hint="eastAsia" w:ascii="宋体" w:hAnsi="宋体" w:eastAsia="宋体" w:cs="宋体"/>
                <w:b/>
                <w:bCs/>
                <w:i w:val="0"/>
                <w:iCs w:val="0"/>
                <w:color w:val="000000"/>
                <w:sz w:val="21"/>
                <w:szCs w:val="21"/>
                <w:highlight w:val="none"/>
                <w:u w:val="none"/>
              </w:rPr>
            </w:r>
            <w:r/>
          </w:p>
        </w:tc>
      </w:tr>
      <w:tr>
        <w:trPr>
          <w:trHeight w:val="978"/>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24口poe交换机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256Gbps；包转发率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60Mpps；业务端口：具备不少于24个10/100/1000BASE-T电口(PoE)、不少于2个10/100/1000BASE-T电口、不少于2个1000BASE-XSFP端口；POE供电功率≥240W；</w:t>
            </w:r>
            <w:r>
              <w:rPr>
                <w:rFonts w:hint="eastAsia" w:ascii="宋体" w:hAnsi="宋体" w:eastAsia="宋体" w:cs="宋体"/>
                <w:i w:val="0"/>
                <w:iCs w:val="0"/>
                <w:color w:val="000000"/>
                <w:sz w:val="21"/>
                <w:szCs w:val="21"/>
                <w:highlight w:val="none"/>
                <w:u w:val="none"/>
                <w:lang w:val="en-US"/>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r>
      <w:tr>
        <w:trPr>
          <w:trHeight w:val="735"/>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48口poe交换机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336Gbps；包转发率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144Mpps；业务端口：具备不少于48个10/100/1000BASE-T电口(PoE)、不少于4个1G/10GBASE-XSFP+端口；整机POE供电功率≥460W；</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754"/>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12Mpps；业务端口：具备不少于8个10/100/1000BASE-T电口(PoE)、不少于2个1000BASE-XSFP端口；整机POE供电功率≥80W；</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786"/>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48口汇聚交换机</w:t>
            </w:r>
            <w:r>
              <w:rPr>
                <w:rFonts w:hint="eastAsia" w:ascii="宋体" w:hAnsi="宋体" w:cs="宋体"/>
                <w:i w:val="0"/>
                <w:iCs w:val="0"/>
                <w:color w:val="ff0000"/>
                <w:sz w:val="21"/>
                <w:szCs w:val="21"/>
                <w:highlight w:val="none"/>
                <w:u w:val="none"/>
                <w:lang w:val="en-US" w:eastAsia="zh-CN" w:bidi="ar"/>
              </w:rPr>
              <w:t xml:space="preserve">（核心产品）</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48个千兆SFP光口，不少于4个万兆SFP+光口；交换容量不低于620Gbps/6.2Tbps；包转发率不低于200Mpps；</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534"/>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支持标准：IEEE802.3z；传输介质：单模光纤；传输距离：≤10km；传输速率：1.25Gbps；端口类型：双纤LC；传输波长：1310nm(TX)，1310nm(RX)；工作电压：3.3V；工作温度：-40℃～85℃；</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9U</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室外防雨箱</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放置监控杆上，304</w:t>
            </w:r>
            <w:r>
              <w:rPr>
                <w:rFonts w:hint="eastAsia" w:ascii="宋体" w:hAnsi="宋体" w:eastAsia="宋体" w:cs="宋体"/>
                <w:color w:val="000000"/>
                <w:sz w:val="21"/>
                <w:szCs w:val="21"/>
                <w:highlight w:val="none"/>
              </w:rPr>
              <w:t xml:space="preserve">不锈钢材质；尺寸≥400mm×500mm</w:t>
            </w:r>
            <w:r>
              <w:rPr>
                <w:rFonts w:hint="eastAsia" w:ascii="宋体" w:hAnsi="宋体" w:eastAsia="宋体" w:cs="宋体"/>
                <w:i w:val="0"/>
                <w:iCs w:val="0"/>
                <w:color w:val="000000"/>
                <w:sz w:val="21"/>
                <w:szCs w:val="21"/>
                <w:highlight w:val="none"/>
                <w:u w:val="none"/>
                <w:lang w:val="en-US" w:eastAsia="zh-CN" w:bidi="ar"/>
              </w:rPr>
              <w:t xml:space="preserve">，含防雷套件</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53"/>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单模光纤；6芯；综合敷设；</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光纤终端盒（满配）</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8口光纤配线架；1U；</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90"/>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ODF光纤配线架（满配）</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全钢板配线架外框结构，钢质配线架外框板厚</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1.5mm，机械性能强度高，壳体各面均能承受250N以上垂直静压力；配线架外壳采用黑色雾面粉末涂装处理，通过GB/T2423.17-1993标准的烟雾试验48h，表面无肉眼可见锈斑；</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芯</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r>
      <w:tr>
        <w:trPr>
          <w:trHeight w:val="324"/>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分配网络</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名称：LC双工耦合器；规格：LC-LC；</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79"/>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跳线</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名称：单模尾纤；规格：</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1.5米LC；</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c>
          <w:tcPr>
            <w:shd w:val="clear" w:color="auto" w:fill="ffffff"/>
            <w:tcW w:w="636" w:type="dxa"/>
            <w:vAlign w:val="center"/>
            <w:textDirection w:val="lrTb"/>
            <w:noWrap w:val="false"/>
          </w:tcPr>
          <w:p>
            <w:pPr>
              <w:pStyle w:val="826"/>
              <w:numPr>
                <w:ilvl w:val="0"/>
                <w:numId w:val="15"/>
              </w:numPr>
              <w:ind w:left="0" w:right="0" w:firstLine="0"/>
              <w:jc w:val="center"/>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26"/>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线材、管线等</w:t>
            </w:r>
            <w:r>
              <w:rPr>
                <w:rFonts w:hint="eastAsia" w:ascii="宋体" w:hAnsi="宋体" w:eastAsia="宋体" w:cs="宋体"/>
                <w:i w:val="0"/>
                <w:iCs w:val="0"/>
                <w:color w:val="000000"/>
                <w:sz w:val="21"/>
                <w:szCs w:val="21"/>
                <w:highlight w:val="none"/>
                <w:u w:val="none"/>
              </w:rPr>
            </w:r>
            <w:r/>
          </w:p>
        </w:tc>
        <w:tc>
          <w:tcPr>
            <w:shd w:val="clear" w:color="auto" w:fill="ffffff"/>
            <w:tcW w:w="45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bl>
    <w:p>
      <w:pPr>
        <w:pStyle w:val="826"/>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826"/>
        <w:numPr>
          <w:ilvl w:val="0"/>
          <w:numId w:val="16"/>
        </w:numPr>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东区、西区医院消防系统采购货物清单及参数要求</w:t>
      </w:r>
      <w:r>
        <w:rPr>
          <w:rFonts w:hint="eastAsia" w:ascii="宋体" w:hAnsi="宋体" w:cs="宋体"/>
          <w:b/>
          <w:bCs/>
          <w:color w:val="000000"/>
          <w:sz w:val="21"/>
          <w:szCs w:val="21"/>
          <w:highlight w:val="none"/>
          <w:lang w:val="en-US" w:eastAsia="zh-CN"/>
        </w:rPr>
      </w:r>
      <w:r/>
    </w:p>
    <w:tbl>
      <w:tblPr>
        <w:tblW w:w="95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3"/>
        <w:gridCol w:w="1153"/>
        <w:gridCol w:w="6885"/>
        <w:gridCol w:w="470"/>
        <w:gridCol w:w="610"/>
      </w:tblGrid>
      <w:tr>
        <w:trPr>
          <w:tblHeader/>
        </w:trPr>
        <w:tc>
          <w:tcPr>
            <w:shd w:val="clear" w:color="auto" w:fill="ffffff"/>
            <w:tcW w:w="453"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ffffff"/>
            <w:tcW w:w="1153"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货物名称</w:t>
            </w:r>
            <w:r>
              <w:rPr>
                <w:rFonts w:hint="eastAsia" w:ascii="宋体" w:hAnsi="宋体" w:eastAsia="宋体" w:cs="宋体"/>
                <w:b/>
                <w:bCs/>
                <w:i w:val="0"/>
                <w:iCs w:val="0"/>
                <w:color w:val="000000"/>
                <w:sz w:val="21"/>
                <w:szCs w:val="21"/>
                <w:highlight w:val="none"/>
                <w:u w:val="none"/>
              </w:rPr>
            </w:r>
            <w:r/>
          </w:p>
        </w:tc>
        <w:tc>
          <w:tcPr>
            <w:shd w:val="clear" w:color="auto" w:fill="ffffff"/>
            <w:tcW w:w="6885"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参数要求</w:t>
            </w:r>
            <w:r>
              <w:rPr>
                <w:rFonts w:hint="eastAsia" w:ascii="宋体" w:hAnsi="宋体" w:eastAsia="宋体" w:cs="宋体"/>
                <w:b/>
                <w:bCs/>
                <w:i w:val="0"/>
                <w:iCs w:val="0"/>
                <w:color w:val="000000"/>
                <w:sz w:val="21"/>
                <w:szCs w:val="21"/>
                <w:highlight w:val="none"/>
                <w:u w:val="none"/>
                <w:lang w:val="en-US" w:eastAsia="zh-CN"/>
              </w:rPr>
            </w:r>
            <w:r/>
          </w:p>
        </w:tc>
        <w:tc>
          <w:tcPr>
            <w:shd w:val="clear" w:color="auto" w:fill="ffffff"/>
            <w:tcW w:w="47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shd w:val="clear" w:color="auto" w:fill="ffffff"/>
            <w:tcW w:w="61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460"/>
        </w:trPr>
        <w:tc>
          <w:tcPr>
            <w:gridSpan w:val="5"/>
            <w:shd w:val="clear" w:color="auto" w:fill="ffffff"/>
            <w:tcW w:w="9571" w:type="dxa"/>
            <w:vAlign w:val="center"/>
            <w:textDirection w:val="lrTb"/>
            <w:noWrap w:val="false"/>
          </w:tcPr>
          <w:p>
            <w:pPr>
              <w:pStyle w:val="826"/>
              <w:numPr>
                <w:ilvl w:val="0"/>
                <w:numId w:val="0"/>
              </w:numPr>
              <w:ind w:right="0"/>
              <w:jc w:val="center"/>
              <w:keepLines/>
              <w:keepNext w:val="0"/>
              <w:pageBreakBefore w:val="0"/>
              <w:widowControl/>
              <w:rPr>
                <w:rFonts w:hint="eastAsia" w:ascii="宋体" w:hAnsi="宋体" w:eastAsia="宋体" w:cs="宋体"/>
                <w:color w:val="000000"/>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消防系统</w:t>
            </w:r>
            <w:r>
              <w:rPr>
                <w:rFonts w:hint="eastAsia" w:ascii="宋体" w:hAnsi="宋体" w:eastAsia="宋体" w:cs="宋体"/>
                <w:color w:val="000000"/>
                <w:szCs w:val="21"/>
                <w:highlight w:val="none"/>
              </w:rPr>
            </w:r>
            <w:r/>
          </w:p>
        </w:tc>
      </w:tr>
      <w:tr>
        <w:trPr>
          <w:trHeight w:val="257"/>
        </w:trPr>
        <w:tc>
          <w:tcPr>
            <w:tcW w:w="453"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1153"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消防业务系统</w:t>
            </w: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安消一体化平台集安防、消防业务于一体，其中消防系统包含消防综合数据墙、待办工作、基础配置、历史数据记录、报表统计、维护保养提醒、报废到期提醒等业务，具体如下：</w:t>
            </w:r>
            <w:r>
              <w:rPr>
                <w:rFonts w:hint="eastAsia" w:ascii="宋体" w:hAnsi="宋体" w:eastAsia="宋体" w:cs="宋体"/>
                <w:i w:val="0"/>
                <w:iCs w:val="0"/>
                <w:color w:val="000000"/>
                <w:sz w:val="21"/>
                <w:szCs w:val="21"/>
                <w:highlight w:val="none"/>
                <w:u w:val="none"/>
                <w:lang w:val="en-US" w:eastAsia="zh-CN" w:bidi="ar"/>
              </w:rPr>
            </w:r>
            <w:r/>
          </w:p>
        </w:tc>
        <w:tc>
          <w:tcPr>
            <w:tcW w:w="47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rPr>
                <w:rFonts w:hint="eastAsia" w:ascii="宋体" w:hAnsi="宋体" w:eastAsia="宋体" w:cs="宋体"/>
                <w:i w:val="0"/>
                <w:iCs w:val="0"/>
                <w:color w:val="000000"/>
                <w:sz w:val="21"/>
                <w:szCs w:val="21"/>
                <w:highlight w:val="none"/>
                <w:u w:val="none"/>
                <w:lang w:val="en-US" w:eastAsia="zh-CN"/>
              </w:rPr>
            </w:r>
            <w:r/>
          </w:p>
        </w:tc>
        <w:tc>
          <w:tcPr>
            <w:tcW w:w="61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r>
      <w:tr>
        <w:trPr>
          <w:trHeight w:val="257"/>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1.消防综合数据墙</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支持客户自定义展配置消防综合数据图墙展示风格、展示内容、图墙名称；</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2.待办工作</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统计展示未处理的报警、故障、工单以及APP上报的一键报警事件，用户可在界面直接进行报警、故障、工单、一键报警处理，无需切换界面，即可处理，方便操作，简单快捷。</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3、基础配置</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【46】</w:t>
            </w:r>
            <w:r>
              <w:rPr>
                <w:rFonts w:hint="eastAsia" w:ascii="宋体" w:hAnsi="宋体" w:eastAsia="宋体" w:cs="宋体"/>
                <w:i w:val="0"/>
                <w:iCs w:val="0"/>
                <w:color w:val="000000"/>
                <w:sz w:val="21"/>
                <w:szCs w:val="21"/>
                <w:highlight w:val="none"/>
                <w:u w:val="none"/>
                <w:lang w:val="en-US" w:eastAsia="zh-CN" w:bidi="ar"/>
              </w:rPr>
              <w:t xml:space="preserve">支持消防设备管理、消防设施管理、配置报警多级用户推送模板、设备远程升级等业务；支持维护单位、建筑物、消控室、微型消防站、重点部位、规章制度等信息；支持设备布撤防、合并报警等操作；</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4、数据中心</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存档报警/故障日志与工单记录，包含处置流程；记录用户下发的任务状态，未下发成功的任务支持再次下发；支持存档设备的联动记录；</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5.报表统计</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【47】</w:t>
            </w:r>
            <w:r>
              <w:rPr>
                <w:rFonts w:hint="eastAsia" w:ascii="宋体" w:hAnsi="宋体" w:eastAsia="宋体" w:cs="宋体"/>
                <w:i w:val="0"/>
                <w:iCs w:val="0"/>
                <w:color w:val="000000"/>
                <w:sz w:val="21"/>
                <w:szCs w:val="21"/>
                <w:highlight w:val="none"/>
                <w:u w:val="none"/>
                <w:lang w:val="en-US" w:eastAsia="zh-CN" w:bidi="ar"/>
              </w:rPr>
              <w:t xml:space="preserve">统计分析平台运营与各单位消防系统运数据，自动生成周报/月报/年报，支持用户按需生成一年内自定义周期的统计报表；支持用户自定义报表展示内容。</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6.维护保养提醒</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列表展示需要用户维护保养的消防设备、消防设施，提醒用户关注并处理；维护保养周期、提前提醒时间支持自定义；</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7.报废到期提醒</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列表展示到期需要用户报废处理的消防设备、消防设施，可提醒用户处理报废设备，避免意外事故发生。报废到期提前提醒时间支持自定义；</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8.报警弹窗</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【48】</w:t>
            </w:r>
            <w:r>
              <w:rPr>
                <w:rFonts w:hint="eastAsia" w:ascii="宋体" w:hAnsi="宋体" w:eastAsia="宋体" w:cs="宋体"/>
                <w:i w:val="0"/>
                <w:iCs w:val="0"/>
                <w:color w:val="000000"/>
                <w:sz w:val="21"/>
                <w:szCs w:val="21"/>
                <w:highlight w:val="none"/>
                <w:u w:val="none"/>
                <w:lang w:val="en-US" w:eastAsia="zh-CN" w:bidi="ar"/>
              </w:rPr>
              <w:t xml:space="preserve">当发生报警时，弹窗提示用户关注并处理报警事件，可查看设备联动视频，快速确认现场状况；支持查看报警设备所在位置，支持对设备下发命令，报警事件支持转工单处理；客户端支持语音播报报警内容，并支持疑似真火警分析；</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9.上下班交接管理</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支持值守人员通过APP进行交接班，明确交接班内容，规范交接班流程，交接班记录均在系统中记录存档，支持数据导出；</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10.动火作业管理</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可通过客户端、APP端进行动火作业的全过程管控，包含：动火作业申请、动火前环境分析、动火过程监督以及结果反馈，支持驳回作业申请。用户可根据动火作业类型自定义作业审批、管理、现场监督流程节点负责人。</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消防实时监测</w:t>
            </w: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分系统卡片式展示城市远程监控、智慧用电、智慧用水、工业消防、智能视频监测、在岗监控、智能充电桩等系统设备状态与监测值，支持下发配置、命令、定时任务等远程控制。</w:t>
            </w:r>
            <w:r>
              <w:rPr>
                <w:rFonts w:hint="eastAsia" w:ascii="宋体" w:hAnsi="宋体" w:eastAsia="宋体" w:cs="宋体"/>
                <w:i w:val="0"/>
                <w:iCs w:val="0"/>
                <w:color w:val="000000"/>
                <w:sz w:val="21"/>
                <w:szCs w:val="21"/>
                <w:highlight w:val="none"/>
                <w:u w:val="none"/>
              </w:rPr>
            </w:r>
            <w:r/>
          </w:p>
        </w:tc>
        <w:tc>
          <w:tcPr>
            <w:tcW w:w="47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1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1.城市远程监控系统</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【49】</w:t>
            </w:r>
            <w:r>
              <w:rPr>
                <w:rFonts w:hint="eastAsia" w:ascii="宋体" w:hAnsi="宋体" w:eastAsia="宋体" w:cs="宋体"/>
                <w:i w:val="0"/>
                <w:iCs w:val="0"/>
                <w:color w:val="000000"/>
                <w:sz w:val="21"/>
                <w:szCs w:val="21"/>
                <w:highlight w:val="none"/>
                <w:u w:val="none"/>
                <w:lang w:val="en-US" w:eastAsia="zh-CN" w:bidi="ar"/>
              </w:rPr>
              <w:t xml:space="preserve">支持火灾自动报警系统、自动喷水灭火系统、防排烟系统、室内消火栓系统、气体灭火控制系统分类展示。以拓扑图方式展示设备连接关系，设备状态以颜色标记，系统回路关系与设备状态一目了然；当发生报警时，用户能快速定位报警回路区域；若发生大量报警，用户可进行疑似火警/误报回路区域定位，诊断排查现场隐患因素，从而减低火警/误报事件发生几率；支持监测消防设施运行状态并控制消防设施运行；</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2.智慧用电系统：</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支持分类展示用电设备状态与监测值，支持批量开合闸定时任务配置和下发，支持远程开合闸和自检命令下发；</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3.智慧用水系统</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仪表盘方式展示用水系统设备状态、监测环境值与报警阈值，环境危险性/安全性一目了然，减低值守人员工作难度与专业要求；</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4.工业消防系统</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卡片式展示探测器状态及烟雾浓度、气体浓度、风速实时监测值；</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5.智能视频监测</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【50】</w:t>
            </w:r>
            <w:r>
              <w:rPr>
                <w:rFonts w:hint="eastAsia" w:ascii="宋体" w:hAnsi="宋体" w:eastAsia="宋体" w:cs="宋体"/>
                <w:i w:val="0"/>
                <w:iCs w:val="0"/>
                <w:color w:val="000000"/>
                <w:sz w:val="21"/>
                <w:szCs w:val="21"/>
                <w:highlight w:val="none"/>
                <w:u w:val="none"/>
                <w:lang w:val="en-US" w:eastAsia="zh-CN" w:bidi="ar"/>
              </w:rPr>
              <w:t xml:space="preserve">根据报警场景进行报警统计展示，支持报警类型占比统计展示，支持设备报警排名，支持根据报警场景进行监控点、离线、报警点位统计，列表展示最近报警事件，并支持用户直接处理报警事件。支持用户切换今天、近7天、近30天、近6个月、近12个月报警统计数据，更加全面掌握单位报警情况；</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6.在岗监控</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卡片式展示各消控室在/离岗状态、值守人员姓名与电话。支持对消控室远程、批量化查岗，支持查看查岗历史；</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7.智能充电桩</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展示充电桩插座总数、正在充电插座数、报警插座数、正常插座数、离线插座数；支持展示充电插座实时画像：状态、电流、温度、功率实时值；</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53"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消防主机设备接入授权</w:t>
            </w: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1.此授权为消防系统的用水（NB物联网传输装置、物联网传输装置）、用电、433主机、充电桩、工业火灾报警终端等设备的接入授权；</w:t>
            </w:r>
            <w:r>
              <w:rPr>
                <w:rFonts w:hint="eastAsia" w:ascii="宋体" w:hAnsi="宋体" w:eastAsia="宋体" w:cs="宋体"/>
                <w:i w:val="0"/>
                <w:iCs w:val="0"/>
                <w:color w:val="000000"/>
                <w:sz w:val="21"/>
                <w:szCs w:val="21"/>
                <w:highlight w:val="none"/>
                <w:u w:val="none"/>
              </w:rPr>
            </w:r>
            <w:r/>
          </w:p>
        </w:tc>
        <w:tc>
          <w:tcPr>
            <w:tcW w:w="47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1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2.只针对主机进行授权，探测器接入无授权限制；</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3.一个主机一路授权；</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4.功能参数：</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支持对设备的报警阈值进行下发，命令下发：消音、复位；</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空开支持远程开合闸和定时开合闸设置；</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支持展示采集到数据值；</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支持设备远程升级；</w:t>
            </w:r>
            <w:r>
              <w:rPr>
                <w:rFonts w:hint="eastAsia" w:ascii="宋体" w:hAnsi="宋体" w:eastAsia="宋体" w:cs="宋体"/>
                <w:i w:val="0"/>
                <w:iCs w:val="0"/>
                <w:color w:val="000000"/>
                <w:sz w:val="21"/>
                <w:szCs w:val="21"/>
                <w:highlight w:val="none"/>
                <w:u w:val="none"/>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5"/>
        </w:trPr>
        <w:tc>
          <w:tcPr>
            <w:tcW w:w="453"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53"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智能压力采集终端</w:t>
            </w: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采集类型液压；电池寿命3年（根据实际使用状况）；工作电压DC3.0V；</w:t>
            </w:r>
            <w:r>
              <w:rPr>
                <w:rFonts w:hint="eastAsia" w:ascii="宋体" w:hAnsi="宋体" w:eastAsia="宋体" w:cs="宋体"/>
                <w:i w:val="0"/>
                <w:iCs w:val="0"/>
                <w:color w:val="000000"/>
                <w:sz w:val="21"/>
                <w:szCs w:val="21"/>
                <w:highlight w:val="none"/>
                <w:u w:val="none"/>
              </w:rPr>
            </w:r>
            <w:r/>
          </w:p>
        </w:tc>
        <w:tc>
          <w:tcPr>
            <w:tcW w:w="47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10" w:type="dxa"/>
            <w:vAlign w:val="center"/>
            <w:textDirection w:val="lrTb"/>
            <w:noWrap w:val="false"/>
          </w:tcPr>
          <w:p>
            <w:pPr>
              <w:pStyle w:val="826"/>
              <w:ind w:left="0" w:right="0" w:firstLine="0"/>
              <w:jc w:val="center"/>
              <w:keepLines/>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ascii="宋体" w:hAnsi="宋体" w:eastAsia="宋体" w:cs="宋体"/>
                <w:i w:val="0"/>
                <w:iCs w:val="0"/>
                <w:color w:val="000000"/>
                <w:sz w:val="21"/>
                <w:szCs w:val="21"/>
                <w:highlight w:val="none"/>
                <w:u w:val="none"/>
                <w:lang w:val="en-US"/>
              </w:rPr>
            </w:r>
            <w:r/>
          </w:p>
        </w:tc>
      </w:tr>
      <w:tr>
        <w:trPr/>
        <w:tc>
          <w:tcPr>
            <w:tcW w:w="453"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53"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室外消防栓压力监测设备</w:t>
            </w: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室外消火栓压力监测设备和室外消火栓压力监测法兰，用于固定室外消火栓压力监测设备、连接消防管道；</w:t>
            </w:r>
            <w:r>
              <w:rPr>
                <w:rFonts w:hint="eastAsia" w:ascii="宋体" w:hAnsi="宋体" w:eastAsia="宋体" w:cs="宋体"/>
                <w:i w:val="0"/>
                <w:iCs w:val="0"/>
                <w:color w:val="000000"/>
                <w:sz w:val="21"/>
                <w:szCs w:val="21"/>
                <w:highlight w:val="none"/>
                <w:u w:val="none"/>
              </w:rPr>
            </w:r>
            <w:r/>
          </w:p>
        </w:tc>
        <w:tc>
          <w:tcPr>
            <w:tcW w:w="47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1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491"/>
        </w:trPr>
        <w:tc>
          <w:tcPr>
            <w:tcW w:w="453"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153"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智能液位采集终端</w:t>
            </w: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采集类型液位；电池寿命3年（根据实际使用状况）；工作电压DC3.0V；</w:t>
            </w:r>
            <w:r>
              <w:rPr>
                <w:rFonts w:hint="eastAsia" w:ascii="宋体" w:hAnsi="宋体" w:eastAsia="宋体" w:cs="宋体"/>
                <w:i w:val="0"/>
                <w:iCs w:val="0"/>
                <w:color w:val="000000"/>
                <w:sz w:val="21"/>
                <w:szCs w:val="21"/>
                <w:highlight w:val="none"/>
                <w:u w:val="none"/>
              </w:rPr>
            </w:r>
            <w:r/>
          </w:p>
        </w:tc>
        <w:tc>
          <w:tcPr>
            <w:tcW w:w="470" w:type="dxa"/>
            <w:vAlign w:val="center"/>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10" w:type="dxa"/>
            <w:vAlign w:val="center"/>
            <w:textDirection w:val="lrTb"/>
            <w:noWrap w:val="false"/>
          </w:tcPr>
          <w:p>
            <w:pPr>
              <w:pStyle w:val="826"/>
              <w:ind w:left="0" w:right="0" w:firstLine="0"/>
              <w:jc w:val="center"/>
              <w:keepLines/>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ascii="宋体" w:hAnsi="宋体" w:eastAsia="宋体" w:cs="宋体"/>
                <w:i w:val="0"/>
                <w:iCs w:val="0"/>
                <w:color w:val="000000"/>
                <w:sz w:val="21"/>
                <w:szCs w:val="21"/>
                <w:highlight w:val="none"/>
                <w:u w:val="none"/>
                <w:lang w:val="en-US"/>
              </w:rPr>
            </w:r>
            <w:r/>
          </w:p>
        </w:tc>
      </w:tr>
      <w:tr>
        <w:trPr>
          <w:trHeight w:val="1111"/>
        </w:trPr>
        <w:tc>
          <w:tcPr>
            <w:tcW w:w="453"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153"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用户信息传输装置</w:t>
            </w: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方式：以太网；通讯接口：3路RS-485/RS-232，1路CAN，1路RJ45，4路开关量输入；报警音量：≥70dB@1m(A计权)；报警方式：声、光报警，语音指示；消音功能：支持；自检功能：具有本机故障检测功能，自动检测主、备电源故障、与系统及监控中心的通讯故障；</w:t>
            </w:r>
            <w:r>
              <w:rPr>
                <w:rFonts w:hint="eastAsia" w:ascii="宋体" w:hAnsi="宋体" w:eastAsia="宋体" w:cs="宋体"/>
                <w:i w:val="0"/>
                <w:iCs w:val="0"/>
                <w:color w:val="000000"/>
                <w:sz w:val="21"/>
                <w:szCs w:val="21"/>
                <w:highlight w:val="none"/>
                <w:u w:val="none"/>
              </w:rPr>
            </w:r>
            <w:r/>
          </w:p>
        </w:tc>
        <w:tc>
          <w:tcPr>
            <w:tcW w:w="470" w:type="dxa"/>
            <w:vAlign w:val="center"/>
            <w:vMerge w:val="restart"/>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10" w:type="dxa"/>
            <w:vAlign w:val="center"/>
            <w:vMerge w:val="restart"/>
            <w:textDirection w:val="lrTb"/>
            <w:noWrap w:val="false"/>
          </w:tcPr>
          <w:p>
            <w:pPr>
              <w:pStyle w:val="826"/>
              <w:ind w:left="0" w:right="0" w:firstLine="0"/>
              <w:jc w:val="center"/>
              <w:keepLines/>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ascii="宋体" w:hAnsi="宋体" w:eastAsia="宋体" w:cs="宋体"/>
                <w:i w:val="0"/>
                <w:iCs w:val="0"/>
                <w:color w:val="000000"/>
                <w:sz w:val="21"/>
                <w:szCs w:val="21"/>
                <w:highlight w:val="none"/>
                <w:u w:val="none"/>
                <w:lang w:val="en-US"/>
              </w:rPr>
            </w:r>
            <w:r/>
          </w:p>
        </w:tc>
      </w:tr>
      <w:tr>
        <w:trPr>
          <w:trHeight w:val="543"/>
        </w:trPr>
        <w:tc>
          <w:tcPr>
            <w:tcW w:w="4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53"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885" w:type="dxa"/>
            <w:vAlign w:val="center"/>
            <w:textDirection w:val="lrTb"/>
            <w:noWrap w:val="false"/>
          </w:tcPr>
          <w:p>
            <w:pPr>
              <w:pStyle w:val="826"/>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工作电压：AC220V，50Hz；工作温度：-10℃～+55℃；工作湿度：≤95%RH（无凝结）；执行标准：GB26875.1-2011；</w:t>
            </w:r>
            <w:r>
              <w:rPr>
                <w:rFonts w:hint="eastAsia" w:ascii="宋体" w:hAnsi="宋体" w:eastAsia="宋体" w:cs="宋体"/>
                <w:i w:val="0"/>
                <w:iCs w:val="0"/>
                <w:color w:val="000000"/>
                <w:sz w:val="21"/>
                <w:szCs w:val="21"/>
                <w:highlight w:val="none"/>
                <w:u w:val="none"/>
                <w:lang w:val="en-US" w:eastAsia="zh-CN" w:bidi="ar"/>
              </w:rPr>
            </w:r>
            <w:r/>
          </w:p>
        </w:tc>
        <w:tc>
          <w:tcPr>
            <w:tcW w:w="47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10" w:type="dxa"/>
            <w:vAlign w:val="center"/>
            <w:vMerge w:val="continue"/>
            <w:textDirection w:val="lrTb"/>
            <w:noWrap w:val="false"/>
          </w:tcPr>
          <w:p>
            <w:pPr>
              <w:pStyle w:val="826"/>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826"/>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826"/>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（四）东区、西区医院设备利旧清单及技术要求</w:t>
      </w:r>
      <w:r>
        <w:rPr>
          <w:rFonts w:hint="eastAsia" w:ascii="宋体" w:hAnsi="宋体" w:cs="宋体"/>
          <w:b/>
          <w:bCs/>
          <w:color w:val="000000"/>
          <w:sz w:val="21"/>
          <w:szCs w:val="21"/>
          <w:highlight w:val="none"/>
          <w:lang w:val="en-US" w:eastAsia="zh-CN"/>
        </w:rPr>
      </w:r>
      <w:r/>
    </w:p>
    <w:p>
      <w:pPr>
        <w:pStyle w:val="926"/>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本次随采购文件附东、西区医院设备利旧清单，具体设备详细情况请投标人自行现场勘查，根据现场实际情况，结合医院安防要求，编制完整的设备利旧方案。</w:t>
      </w:r>
      <w:r>
        <w:rPr>
          <w:rFonts w:hint="eastAsia" w:ascii="宋体" w:hAnsi="宋体" w:eastAsia="宋体" w:cs="宋体"/>
          <w:color w:val="000000"/>
          <w:sz w:val="21"/>
          <w:szCs w:val="21"/>
          <w:highlight w:val="none"/>
          <w:lang w:val="en-US" w:eastAsia="zh-CN"/>
        </w:rPr>
      </w:r>
      <w:r/>
    </w:p>
    <w:p>
      <w:pPr>
        <w:pStyle w:val="926"/>
        <w:rPr>
          <w:rFonts w:hint="eastAsia" w:ascii="宋体" w:hAnsi="宋体" w:eastAsia="宋体" w:cs="宋体"/>
          <w:b/>
          <w:bCs/>
          <w:color w:val="000000"/>
          <w:sz w:val="21"/>
          <w:szCs w:val="21"/>
          <w:highlight w:val="none"/>
          <w:lang w:eastAsia="zh-CN"/>
        </w:rPr>
      </w:pPr>
      <w:r>
        <w:rPr>
          <w:rFonts w:ascii="宋体" w:hAnsi="宋体" w:eastAsia="宋体" w:cs="宋体"/>
          <w:b/>
          <w:bCs/>
          <w:color w:val="000000"/>
          <w:sz w:val="21"/>
          <w:szCs w:val="21"/>
          <w:highlight w:val="none"/>
        </w:rPr>
        <w:t xml:space="preserve">涉及</w:t>
      </w:r>
      <w:r>
        <w:rPr>
          <w:rFonts w:hint="eastAsia" w:ascii="宋体" w:hAnsi="宋体" w:eastAsia="宋体" w:cs="宋体"/>
          <w:b/>
          <w:bCs/>
          <w:color w:val="000000"/>
          <w:sz w:val="21"/>
          <w:szCs w:val="21"/>
          <w:highlight w:val="none"/>
          <w:lang w:eastAsia="zh-CN"/>
        </w:rPr>
        <w:t xml:space="preserve">东、西区医院</w:t>
      </w:r>
      <w:r>
        <w:rPr>
          <w:rFonts w:ascii="宋体" w:hAnsi="宋体" w:eastAsia="宋体" w:cs="宋体"/>
          <w:b/>
          <w:bCs/>
          <w:color w:val="000000"/>
          <w:sz w:val="21"/>
          <w:szCs w:val="21"/>
          <w:highlight w:val="none"/>
        </w:rPr>
        <w:t xml:space="preserve">设备利旧相关场地状况，</w:t>
      </w: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应自行对现场和周围环境进行踏勘和了解，</w:t>
      </w:r>
      <w:r>
        <w:rPr>
          <w:rFonts w:hint="eastAsia" w:ascii="宋体" w:hAnsi="宋体" w:eastAsia="宋体" w:cs="宋体"/>
          <w:b/>
          <w:bCs/>
          <w:color w:val="000000"/>
          <w:sz w:val="21"/>
          <w:szCs w:val="21"/>
          <w:highlight w:val="none"/>
        </w:rPr>
        <w:t xml:space="preserve">全面摸排项目现场现状，</w:t>
      </w:r>
      <w:r>
        <w:rPr>
          <w:rFonts w:ascii="宋体" w:hAnsi="宋体" w:eastAsia="宋体" w:cs="宋体"/>
          <w:b/>
          <w:bCs/>
          <w:color w:val="000000"/>
          <w:sz w:val="21"/>
          <w:szCs w:val="21"/>
          <w:highlight w:val="none"/>
        </w:rPr>
        <w:t xml:space="preserve">以获取有关编制</w:t>
      </w:r>
      <w:r>
        <w:rPr>
          <w:rFonts w:hint="eastAsia" w:ascii="宋体" w:hAnsi="宋体" w:eastAsia="宋体" w:cs="宋体"/>
          <w:b/>
          <w:bCs/>
          <w:color w:val="000000"/>
          <w:sz w:val="21"/>
          <w:szCs w:val="21"/>
          <w:highlight w:val="none"/>
          <w:lang w:val="en-US" w:eastAsia="zh-CN"/>
        </w:rPr>
        <w:t xml:space="preserve">投标</w:t>
      </w:r>
      <w:r>
        <w:rPr>
          <w:rFonts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lang w:val="en-US" w:eastAsia="zh-CN"/>
        </w:rPr>
        <w:t xml:space="preserve">及投标</w:t>
      </w:r>
      <w:r>
        <w:rPr>
          <w:rFonts w:ascii="宋体" w:hAnsi="宋体" w:eastAsia="宋体" w:cs="宋体"/>
          <w:b/>
          <w:bCs/>
          <w:color w:val="000000"/>
          <w:sz w:val="21"/>
          <w:szCs w:val="21"/>
          <w:highlight w:val="none"/>
        </w:rPr>
        <w:t xml:space="preserve">所需的各种资料，并应充分考虑影响本次报价的因素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包含</w:t>
      </w:r>
      <w:r>
        <w:rPr>
          <w:rFonts w:hint="eastAsia" w:ascii="宋体" w:hAnsi="宋体" w:eastAsia="宋体" w:cs="宋体"/>
          <w:b/>
          <w:bCs/>
          <w:color w:val="000000"/>
          <w:szCs w:val="21"/>
          <w:highlight w:val="none"/>
        </w:rPr>
        <w:t xml:space="preserve">利旧设备换新费用以及利旧设备与新购设备同等质保期内费用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以及</w:t>
      </w:r>
      <w:r>
        <w:rPr>
          <w:rFonts w:ascii="宋体" w:hAnsi="宋体" w:eastAsia="宋体" w:cs="宋体"/>
          <w:b/>
          <w:bCs/>
          <w:color w:val="000000"/>
          <w:sz w:val="21"/>
          <w:szCs w:val="21"/>
          <w:highlight w:val="none"/>
        </w:rPr>
        <w:t xml:space="preserve">预计实施过程中各种不利因素，由此可能发生的费用均由</w:t>
      </w: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考虑并包含在</w:t>
      </w:r>
      <w:r>
        <w:rPr>
          <w:rFonts w:hint="eastAsia" w:ascii="宋体" w:hAnsi="宋体" w:eastAsia="宋体" w:cs="宋体"/>
          <w:b/>
          <w:bCs/>
          <w:color w:val="000000"/>
          <w:sz w:val="21"/>
          <w:szCs w:val="21"/>
          <w:highlight w:val="none"/>
          <w:lang w:val="en-US" w:eastAsia="zh-CN"/>
        </w:rPr>
        <w:t xml:space="preserve">投标</w:t>
      </w:r>
      <w:r>
        <w:rPr>
          <w:rFonts w:ascii="宋体" w:hAnsi="宋体" w:eastAsia="宋体" w:cs="宋体"/>
          <w:b/>
          <w:bCs/>
          <w:color w:val="000000"/>
          <w:sz w:val="21"/>
          <w:szCs w:val="21"/>
          <w:highlight w:val="none"/>
        </w:rPr>
        <w:t xml:space="preserve">报价中。</w:t>
      </w:r>
      <w:r>
        <w:rPr>
          <w:rFonts w:hint="eastAsia" w:ascii="宋体" w:hAnsi="宋体" w:eastAsia="宋体" w:cs="宋体"/>
          <w:b/>
          <w:bCs/>
          <w:color w:val="000000"/>
          <w:sz w:val="21"/>
          <w:szCs w:val="21"/>
          <w:highlight w:val="none"/>
          <w:lang w:val="en-US" w:eastAsia="zh-CN"/>
        </w:rPr>
        <w:t xml:space="preserve">中标后</w:t>
      </w:r>
      <w:r>
        <w:rPr>
          <w:rFonts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中标</w:t>
      </w:r>
      <w:r>
        <w:rPr>
          <w:rFonts w:ascii="宋体" w:hAnsi="宋体" w:eastAsia="宋体" w:cs="宋体"/>
          <w:b/>
          <w:bCs/>
          <w:color w:val="000000"/>
          <w:sz w:val="21"/>
          <w:szCs w:val="21"/>
          <w:highlight w:val="none"/>
        </w:rPr>
        <w:t xml:space="preserve">单位不得再以不完全了解现场情况等为理由而提出额外付款等要求，若有此类要求，采购人将不作任何答复与考虑</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826"/>
        <w:ind w:firstLine="422"/>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应承担现场踏勘的责任和风险，踏勘现场的费用由</w:t>
      </w: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自行承担。</w:t>
      </w:r>
      <w:r>
        <w:rPr>
          <w:rFonts w:ascii="宋体" w:hAnsi="宋体" w:eastAsia="宋体" w:cs="宋体"/>
          <w:b/>
          <w:bCs/>
          <w:color w:val="000000"/>
          <w:sz w:val="21"/>
          <w:szCs w:val="21"/>
          <w:highlight w:val="none"/>
        </w:rPr>
      </w:r>
      <w:r/>
    </w:p>
    <w:p>
      <w:pPr>
        <w:pStyle w:val="82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rPr>
        <w:t xml:space="preserve">现场勘查联系人：袁老师，联系电话：0514-82099705，请需要现场</w:t>
      </w:r>
      <w:r>
        <w:rPr>
          <w:rFonts w:hint="eastAsia" w:ascii="宋体" w:hAnsi="宋体" w:eastAsia="宋体" w:cs="宋体"/>
          <w:b/>
          <w:bCs/>
          <w:color w:val="000000"/>
          <w:sz w:val="21"/>
          <w:szCs w:val="21"/>
          <w:highlight w:val="none"/>
          <w:lang w:eastAsia="zh-CN"/>
        </w:rPr>
        <w:t xml:space="preserve">勘查</w:t>
      </w:r>
      <w:r>
        <w:rPr>
          <w:rFonts w:ascii="宋体" w:hAnsi="宋体" w:eastAsia="宋体" w:cs="宋体"/>
          <w:b/>
          <w:bCs/>
          <w:color w:val="000000"/>
          <w:sz w:val="21"/>
          <w:szCs w:val="21"/>
          <w:highlight w:val="none"/>
        </w:rPr>
        <w:t xml:space="preserve">的</w:t>
      </w: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提前一个工作日预约联系。</w:t>
      </w:r>
      <w:r>
        <w:rPr>
          <w:rFonts w:hint="eastAsia" w:ascii="宋体" w:hAnsi="宋体" w:eastAsia="宋体" w:cs="宋体"/>
          <w:b/>
          <w:bCs/>
          <w:color w:val="000000"/>
          <w:sz w:val="21"/>
          <w:szCs w:val="21"/>
          <w:highlight w:val="non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人全过程遵循“应利尽利、节约投资、稳定兼容”总体原则，对院区存量安防设备实施全面检测、兼容性测试，满足以下条件方可利旧：设备运行无故障、硬件性能完好、通信协议兼容新建统一平台。可纳入利旧范围设备包含原有合格一键报警主机及按钮、兼容型网络摄像机、完好存储设备、拼接显示大屏、功能正常门禁锁具。</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所有拟复用设备进场施工前完成整机检测、线路调试、平台对接兼容性测试，出具检测合格报告，经</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确认后方可拆除搬迁复用；</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老化严重、故障频发、协议不兼容、无法满足存储时长与智能功能要求的老旧设备，全部更换全新合规设备；</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利旧设备拆除、移位、重新布线、调试、平台对接、故障整改全部包含在本次投标施工范围，不得单独加价；</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5.利旧设备</w:t>
      </w:r>
      <w:r>
        <w:rPr>
          <w:rFonts w:hint="eastAsia" w:ascii="宋体" w:hAnsi="宋体" w:eastAsia="宋体" w:cs="宋体"/>
          <w:color w:val="000000"/>
          <w:sz w:val="21"/>
          <w:szCs w:val="21"/>
          <w:highlight w:val="none"/>
          <w:lang w:eastAsia="zh-CN"/>
        </w:rPr>
        <w:t xml:space="preserve">维保要求</w:t>
      </w:r>
      <w:r>
        <w:rPr>
          <w:rFonts w:hint="eastAsia" w:ascii="宋体" w:hAnsi="宋体" w:eastAsia="宋体" w:cs="宋体"/>
          <w:color w:val="000000"/>
          <w:sz w:val="21"/>
          <w:szCs w:val="21"/>
          <w:highlight w:val="none"/>
        </w:rPr>
        <w:t xml:space="preserve">：利旧设备投标人需要纳入到日常运维工作中，提供与新设备同期的维保工作。</w:t>
      </w:r>
      <w:r>
        <w:rPr>
          <w:rFonts w:hint="eastAsia" w:ascii="宋体" w:hAnsi="宋体" w:eastAsia="宋体" w:cs="宋体"/>
          <w:b w:val="0"/>
          <w:bCs w:val="0"/>
          <w:i/>
          <w:iCs/>
          <w:color w:val="000000"/>
          <w:sz w:val="21"/>
          <w:szCs w:val="21"/>
          <w:highlight w:val="none"/>
          <w:u w:val="single"/>
          <w:lang w:val="en-US" w:eastAsia="zh-CN"/>
        </w:rPr>
      </w:r>
      <w:r/>
    </w:p>
    <w:p>
      <w:pPr>
        <w:pStyle w:val="82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三、其他技术要求</w:t>
      </w:r>
      <w:r>
        <w:rPr>
          <w:rFonts w:hint="eastAsia" w:ascii="宋体" w:hAnsi="宋体" w:eastAsia="宋体" w:cs="宋体"/>
          <w:b/>
          <w:bCs/>
          <w:color w:val="000000"/>
          <w:sz w:val="21"/>
          <w:szCs w:val="21"/>
          <w:highlight w:val="none"/>
          <w:lang w:val="en-US" w:eastAsia="zh-CN"/>
        </w:rPr>
      </w:r>
      <w:r/>
    </w:p>
    <w:p>
      <w:pPr>
        <w:pStyle w:val="82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1.施工要求</w:t>
      </w:r>
      <w:r>
        <w:rPr>
          <w:rFonts w:hint="eastAsia" w:ascii="宋体" w:hAnsi="宋体" w:eastAsia="宋体" w:cs="宋体"/>
          <w:b/>
          <w:bCs/>
          <w:color w:val="000000"/>
          <w:sz w:val="21"/>
          <w:szCs w:val="21"/>
          <w:highlight w:val="none"/>
          <w:lang w:val="en-US" w:eastAsia="zh-CN"/>
        </w:rPr>
      </w:r>
      <w:r/>
    </w:p>
    <w:p>
      <w:pPr>
        <w:pStyle w:val="826"/>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1.1投标人根据采购人提供的东、西区医院信息点基础图进行二次深化设计，且设计图纸满足相关规范要求。东、西区医院信息点基础图详见附件。</w:t>
      </w:r>
      <w:r>
        <w:rPr>
          <w:rFonts w:ascii="宋体" w:hAnsi="宋体" w:eastAsia="宋体" w:cs="宋体"/>
          <w:color w:val="000000"/>
          <w:sz w:val="21"/>
          <w:szCs w:val="21"/>
          <w:highlight w:val="non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编制依据：施工方案编制依据包含全部引用国标/行标/江苏省/扬州市安防管理规定、投标人企业标准、</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院区平面图纸、投标人现场实地勘查记录。</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施工组织架构与岗位职责：附完整组织架构图，设置项目经理、项目技术负责人、安全主管、质量主管；人员资质硬性要求：项目经理具备</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rPr>
        <w:t xml:space="preserve">证书，电工、高空作业等特种岗位人员持证上岗。</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施工进度计划与保障措施：医院不间断诊疗，要求施工工期短、现场干扰小、错峰施工。投标人需使用甘特图编制完整施工总进度表，清晰标注管线敷设、设备安装、子系统单机调试、全系统联调、竣工验收关键节点；同步列明人员调配、材料备货、错峰施工、夜间作业、分区施工等进度保障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标准化施工工艺：</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①管线敷设：强弱电管线分槽隔离，室外管线做防水防腐处理，隐蔽管线全程拍照存档；</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②摄像机安装：电梯轿厢摄像机俯角控制45°±5°，完整捕捉电梯按键区域人员面部；室外设备配套防水、防雷套件；</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③门禁施工：电磁锁吸合间隙0.3-0.5mm，设备安装距地面2.1米，防外力破坏；</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④供电规范：全部安防摄像机统一由弱电机房集中供电，严禁就近搭接病房、走廊照明插座回路；</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⑤防雷接地：室外摄像机单独加装视频防雷器，整体接地电阻≤4Ω，所有金属设备外壳统一等电位联结。</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系统完整调试流程：单机通电检测→单系统独立调试→跨子系统联动调试（如消防报警自动解锁病区门禁）→全系统压力测试（模拟50路视频同时调取、批量报警并发测试）。</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质量管理体系：严格执行自检、互检、专检“三检制”；所有埋地、吊顶内隐蔽管线施工完成后拍照留存，监理、院方现场签字确认后方可封蔽。</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安全文明施工及医疗防护措施：</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①临时用电：病房、诊疗区域严禁使用大功率施工设备，临时用电回路全部配置漏电保护器；</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②高空作业：脚手架验收合格后方可使用，作业人员佩戴五点式全身安全带；</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③降噪防尘：门诊诊疗时段使用低噪音工具，切割、钻孔等高噪音工序安排地下室或夜间诊疗结束后实施，配备防尘围挡；</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④院感管控：进入ICU、手术室、产房等洁净区域施工人员，必须穿戴鞋套、一次性头套，每日完工后工具酒精擦拭消毒。</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存量设备盘点与利旧实施方案：投标人进场前全面盘点院区原有安防全部设备，出具完整存量设备清单、现有系统拓扑架构图，逐条对比现有系统与本项目建设标准差距，编制技术参数正负偏差对照表；对全部存量设备开展兼容性、老化程度检测评估，出具专业利旧可行性分析报告，形成完整利旧改造解决方案。所有利旧设备拆除、搬迁、线路改造、平台对接调试工作全部纳入本次施工范围。</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1.10</w:t>
      </w:r>
      <w:r>
        <w:rPr>
          <w:rFonts w:hint="eastAsia" w:ascii="宋体" w:hAnsi="宋体" w:eastAsia="宋体" w:cs="宋体"/>
          <w:color w:val="000000"/>
          <w:sz w:val="21"/>
          <w:szCs w:val="21"/>
          <w:highlight w:val="none"/>
        </w:rPr>
        <w:t xml:space="preserve">特殊区域隐私管控要求：病房、检查室、诊室等涉及患者隐私区域，摄像机仅覆盖公共通行区域，严禁正对病床、诊疗操作位；平台设置分级权限，隐私区域监控画面仅保卫、院感管理人员可查看，操作全程留痕可审计，落实患者信息隐私保护要求。</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1.11</w:t>
      </w:r>
      <w:r>
        <w:rPr>
          <w:rFonts w:hint="eastAsia" w:ascii="宋体" w:hAnsi="宋体" w:eastAsia="宋体" w:cs="宋体"/>
          <w:color w:val="000000"/>
          <w:sz w:val="21"/>
          <w:szCs w:val="21"/>
          <w:highlight w:val="none"/>
        </w:rPr>
        <w:t xml:space="preserve">系统拓展对接能力：新建综合安防平台预留标准化对接接口，支持与公安视频联网平台、现有消防主机、医院后勤管理系统、HIS系统互通；原生具备安消一体化联动能力，预留后期AI算法扩容、点位扩展空间，具备技术前瞻性。</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1.12交付资料：</w:t>
      </w:r>
      <w:r>
        <w:rPr>
          <w:rFonts w:hint="eastAsia" w:ascii="宋体" w:hAnsi="宋体" w:eastAsia="宋体" w:cs="宋体"/>
          <w:color w:val="000000"/>
          <w:sz w:val="21"/>
          <w:szCs w:val="21"/>
          <w:highlight w:val="non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val="en-US" w:eastAsia="zh-CN"/>
        </w:rPr>
        <w:t xml:space="preserve">投标人最终交付竣工图纸、技术文档、运维手册全部符合现行安防、智能建筑标准规范。</w:t>
      </w:r>
      <w:r>
        <w:rPr>
          <w:rFonts w:hint="eastAsia" w:ascii="宋体" w:hAnsi="宋体" w:eastAsia="宋体" w:cs="宋体"/>
          <w:color w:val="000000"/>
          <w:sz w:val="21"/>
          <w:szCs w:val="21"/>
          <w:highlight w:val="non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施工过程仅允许使用采购人书面确认的图纸、技术方案；实施中任何方案、点位、管线变更，投标人必须提交书面变更报告，经采购人审核签字后方可施工。</w:t>
      </w:r>
      <w:r>
        <w:rPr>
          <w:rFonts w:hint="eastAsia" w:ascii="宋体" w:hAnsi="宋体" w:eastAsia="宋体" w:cs="宋体"/>
          <w:color w:val="000000"/>
          <w:sz w:val="21"/>
          <w:szCs w:val="21"/>
          <w:highlight w:val="non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val="en-US" w:eastAsia="zh-CN"/>
        </w:rPr>
        <w:t xml:space="preserve">全过程施工档案、隐蔽工程影像资料、分系统调试记录、全套竣工验收资料，按照采购人统一格式整理装订完整移交。</w:t>
      </w:r>
      <w:r>
        <w:rPr>
          <w:rFonts w:hint="eastAsia" w:ascii="宋体" w:hAnsi="宋体" w:eastAsia="宋体" w:cs="宋体"/>
          <w:color w:val="000000"/>
          <w:sz w:val="21"/>
          <w:szCs w:val="21"/>
          <w:highlight w:val="none"/>
          <w:lang w:val="en-US" w:eastAsia="zh-CN"/>
        </w:rPr>
      </w:r>
      <w:r/>
    </w:p>
    <w:p>
      <w:pPr>
        <w:pStyle w:val="82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安防系统网络与数据安全管控要求</w:t>
      </w:r>
      <w:r>
        <w:rPr>
          <w:rFonts w:hint="eastAsia" w:ascii="宋体" w:hAnsi="宋体" w:eastAsia="宋体" w:cs="宋体"/>
          <w:b/>
          <w:bCs/>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账号密码安全：平台、前端设备、服务器登录禁止使用123456、admin等弱口令；定期强制修改密码，分级账号最小权限分配；跨网络互联系统部署边界防火墙、访问控制策略，消除网络安全漏洞。</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全系统统一校时：综合安防管理平台自动下发标准北京时间，所有带计时功能设备时钟误差不大于5秒，保障录像、报警、门禁记录时间统一。</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环境与设备安全：全部软硬件设备满足GB/T15211-2013、GB16796-2009、GB/T30148-2013环境适应性、设备安全、电磁兼容抗扰度标准。</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视频联网标准：系统视频联网完全遵循</w:t>
      </w:r>
      <w:r>
        <w:rPr>
          <w:rFonts w:hint="eastAsia" w:ascii="宋体" w:hAnsi="宋体" w:eastAsia="宋体" w:cs="宋体"/>
          <w:color w:val="000000"/>
          <w:sz w:val="21"/>
          <w:szCs w:val="21"/>
          <w:highlight w:val="none"/>
          <w:lang w:eastAsia="zh-CN"/>
        </w:rPr>
        <w:t xml:space="preserve">GB/T28181-2022</w:t>
      </w:r>
      <w:r>
        <w:rPr>
          <w:rFonts w:hint="eastAsia" w:ascii="宋体" w:hAnsi="宋体" w:eastAsia="宋体" w:cs="宋体"/>
          <w:color w:val="000000"/>
          <w:sz w:val="21"/>
          <w:szCs w:val="21"/>
          <w:highlight w:val="none"/>
        </w:rPr>
        <w:t xml:space="preserve">国标，视图数据推送公安平台满足GA/T1400标准，支持多品牌设备、多级平台无缝对接。</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视频数据安全：视频采集、编码、传输、存储全过程遵循</w:t>
      </w:r>
      <w:r>
        <w:rPr>
          <w:rFonts w:hint="eastAsia" w:ascii="宋体" w:hAnsi="宋体" w:eastAsia="宋体" w:cs="宋体"/>
          <w:color w:val="000000"/>
          <w:sz w:val="21"/>
          <w:szCs w:val="21"/>
          <w:highlight w:val="none"/>
          <w:lang w:eastAsia="zh-CN"/>
        </w:rPr>
        <w:t xml:space="preserve">GB35114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2017《公共安全视频监控联网信息安全技术要求》</w:t>
      </w:r>
      <w:r>
        <w:rPr>
          <w:rFonts w:hint="eastAsia" w:ascii="宋体" w:hAnsi="宋体" w:eastAsia="宋体" w:cs="宋体"/>
          <w:color w:val="000000"/>
          <w:sz w:val="21"/>
          <w:szCs w:val="21"/>
          <w:highlight w:val="none"/>
        </w:rPr>
        <w:t xml:space="preserve">，采用GB/T25724SVAC视音频编码；录像文件加密存储，具备防篡改校验机制。</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系统容错与扩展：平台具备硬件、软件双重容错机制，支持后期点位、子系统、AI算法无成本平滑扩容。</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传输加密：设备与平台、平台对外数据传输全程加密，防止数据窃取、篡改。</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隐私数据脱敏：诊室、病房等隐私区域视频数据自动脱敏处理，平台留存访问日志，杜绝患者影像信息泄露。</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报警系统安全等级：入侵与紧急报警系统安全等级不低于GB/T 32581-2016规范要求。</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2.10</w:t>
      </w:r>
      <w:r>
        <w:rPr>
          <w:rFonts w:hint="eastAsia" w:ascii="宋体" w:hAnsi="宋体" w:eastAsia="宋体" w:cs="宋体"/>
          <w:color w:val="000000"/>
          <w:sz w:val="21"/>
          <w:szCs w:val="21"/>
          <w:highlight w:val="none"/>
        </w:rPr>
        <w:t xml:space="preserve">出入口门禁安全等级：门禁控制系统安全等级不低于GB/T 37078-2018规范要求。</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rPr>
        <w:t xml:space="preserve">网络传输性能：安防专网网络性能满足YD/T 1171-2015网络QoS类别1标准。</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等保合规：整体网络架构、安全防护措施符合GB/T 22239-2019网络安全等级保护相关要求。</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标准更新适配：若医疗建筑、安防行业出台新版规范、专项要求，项目系统同步按最新规定整改适配。</w:t>
      </w:r>
      <w:r>
        <w:rPr>
          <w:rFonts w:hint="eastAsia" w:ascii="宋体" w:hAnsi="宋体" w:eastAsia="宋体" w:cs="宋体"/>
          <w:color w:val="000000"/>
          <w:sz w:val="21"/>
          <w:szCs w:val="21"/>
          <w:highlight w:val="none"/>
        </w:rPr>
      </w:r>
      <w:r/>
    </w:p>
    <w:p>
      <w:pPr>
        <w:pStyle w:val="82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新旧安防系统切换过渡要求</w:t>
      </w:r>
      <w:r>
        <w:rPr>
          <w:rFonts w:hint="eastAsia" w:ascii="宋体" w:hAnsi="宋体" w:eastAsia="宋体" w:cs="宋体"/>
          <w:b/>
          <w:bCs/>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b/>
          <w:bCs/>
          <w:i/>
          <w:iCs/>
          <w:color w:val="000000"/>
          <w:sz w:val="21"/>
          <w:szCs w:val="21"/>
          <w:highlight w:val="none"/>
          <w:u w:val="single"/>
        </w:rPr>
        <w:t xml:space="preserve">投标人</w:t>
      </w:r>
      <w:r>
        <w:rPr>
          <w:rFonts w:hint="eastAsia" w:ascii="宋体" w:hAnsi="宋体" w:eastAsia="宋体" w:cs="宋体"/>
          <w:b/>
          <w:bCs/>
          <w:i/>
          <w:iCs/>
          <w:color w:val="000000"/>
          <w:sz w:val="21"/>
          <w:szCs w:val="21"/>
          <w:highlight w:val="none"/>
          <w:u w:val="single"/>
          <w:lang w:val="en-US" w:eastAsia="zh-CN"/>
        </w:rPr>
        <w:t xml:space="preserve">承诺</w:t>
      </w:r>
      <w:r>
        <w:rPr>
          <w:rFonts w:hint="eastAsia" w:ascii="宋体" w:hAnsi="宋体" w:eastAsia="宋体" w:cs="宋体"/>
          <w:b/>
          <w:bCs/>
          <w:i/>
          <w:iCs/>
          <w:color w:val="000000"/>
          <w:sz w:val="21"/>
          <w:szCs w:val="21"/>
          <w:highlight w:val="none"/>
          <w:u w:val="single"/>
        </w:rPr>
        <w:t xml:space="preserve">负责原有安防系统设备迁移、数据、点位资源整合改造；改造全过程不得中断原有监控、报警系统基础功能，不得降低现有安防防护能力。（提供承诺书</w:t>
      </w:r>
      <w:r>
        <w:rPr>
          <w:rFonts w:hint="eastAsia" w:ascii="宋体" w:hAnsi="宋体" w:eastAsia="宋体" w:cs="宋体"/>
          <w:b/>
          <w:bCs/>
          <w:i/>
          <w:iCs/>
          <w:color w:val="000000"/>
          <w:sz w:val="21"/>
          <w:szCs w:val="21"/>
          <w:highlight w:val="none"/>
          <w:u w:val="single"/>
          <w:lang w:val="en-US" w:eastAsia="zh-CN"/>
        </w:rPr>
        <w:t xml:space="preserve">加盖</w:t>
      </w:r>
      <w:r>
        <w:rPr>
          <w:rFonts w:hint="eastAsia" w:ascii="宋体" w:hAnsi="宋体" w:cs="宋体"/>
          <w:b/>
          <w:bCs/>
          <w:i/>
          <w:iCs/>
          <w:color w:val="000000"/>
          <w:sz w:val="21"/>
          <w:szCs w:val="21"/>
          <w:highlight w:val="none"/>
          <w:u w:val="single"/>
          <w:lang w:val="en-US" w:eastAsia="zh-CN"/>
        </w:rPr>
        <w:t xml:space="preserve">投标人CA电子公章</w:t>
      </w:r>
      <w:r>
        <w:rPr>
          <w:rFonts w:hint="eastAsia" w:ascii="宋体" w:hAnsi="宋体" w:eastAsia="宋体" w:cs="宋体"/>
          <w:b/>
          <w:bCs/>
          <w:i/>
          <w:iCs/>
          <w:color w:val="000000"/>
          <w:sz w:val="21"/>
          <w:szCs w:val="21"/>
          <w:highlight w:val="none"/>
          <w:u w:val="single"/>
        </w:rPr>
        <w:t xml:space="preserve">，承诺书格式自拟，上传系统）</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施工期间医院诊疗工作不间断，东西两区安防必须7×24小时正常值守。投标人需在投标文件中提供完整新旧系统并行、分步切换、故障应急过渡专项预案，分区分时段改造，保障改造期间全院监控、报警设备在线可用，无监控空白时段。</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四、</w:t>
      </w:r>
      <w:r>
        <w:rPr>
          <w:rFonts w:hint="eastAsia" w:ascii="宋体" w:hAnsi="宋体" w:eastAsia="宋体" w:cs="宋体"/>
          <w:b/>
          <w:bCs/>
          <w:color w:val="000000"/>
          <w:sz w:val="21"/>
          <w:szCs w:val="21"/>
          <w:highlight w:val="none"/>
          <w:lang w:val="en-US" w:eastAsia="zh-CN"/>
        </w:rPr>
        <w:t xml:space="preserve">商务要求</w:t>
      </w:r>
      <w:r>
        <w:rPr>
          <w:rFonts w:hint="eastAsia" w:ascii="宋体" w:hAnsi="宋体" w:eastAsia="宋体" w:cs="宋体"/>
          <w:b/>
          <w:bCs/>
          <w:color w:val="000000"/>
          <w:sz w:val="21"/>
          <w:szCs w:val="21"/>
          <w:highlight w:val="none"/>
          <w:lang w:val="en-US" w:eastAsia="zh-CN"/>
        </w:rPr>
      </w:r>
      <w:r/>
    </w:p>
    <w:p>
      <w:pPr>
        <w:pStyle w:val="826"/>
        <w:ind w:firstLine="422"/>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1.交货期及交货地点</w:t>
      </w:r>
      <w:r>
        <w:rPr>
          <w:rFonts w:hint="eastAsia" w:ascii="宋体" w:hAnsi="宋体" w:eastAsia="宋体" w:cs="宋体"/>
          <w:b/>
          <w:bCs/>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交付时间：本</w:t>
      </w:r>
      <w:r>
        <w:rPr>
          <w:rFonts w:hint="eastAsia" w:ascii="宋体" w:hAnsi="宋体" w:eastAsia="宋体" w:cs="宋体"/>
          <w:color w:val="000000"/>
          <w:szCs w:val="21"/>
          <w:highlight w:val="none"/>
        </w:rPr>
        <w:t xml:space="preserve">项目工期为自合同签订之日起 90 个日历天（含设备供货安装、调试及配套基础设施施工等），安装调试完成后进入为期</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个自然月的试运行。</w:t>
      </w:r>
      <w:r>
        <w:rPr>
          <w:rFonts w:hint="eastAsia" w:ascii="宋体" w:hAnsi="宋体" w:eastAsia="宋体" w:cs="宋体"/>
          <w:b w:val="0"/>
          <w:bCs w:val="0"/>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交货方式：采购人指定地点交货，并完成安装、调试。</w:t>
      </w:r>
      <w:r>
        <w:rPr>
          <w:rFonts w:hint="eastAsia" w:ascii="宋体" w:hAnsi="宋体" w:eastAsia="宋体" w:cs="宋体"/>
          <w:b w:val="0"/>
          <w:bCs w:val="0"/>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交货地点：采购人指定地点，由供应商负责办理运输和装卸等，费用由供应商负责，采购人组织验收，检验不合格或不符合质量要求，供应商除无条件退货、返工外，还应承担采购人由此造成的一切损失。</w:t>
      </w:r>
      <w:r>
        <w:rPr>
          <w:rFonts w:hint="eastAsia" w:ascii="宋体" w:hAnsi="宋体" w:eastAsia="宋体" w:cs="宋体"/>
          <w:b w:val="0"/>
          <w:bCs w:val="0"/>
          <w:color w:val="000000"/>
          <w:sz w:val="21"/>
          <w:szCs w:val="21"/>
          <w:highlight w:val="none"/>
          <w:lang w:val="en-US" w:eastAsia="zh-CN"/>
        </w:rPr>
      </w:r>
      <w:r/>
    </w:p>
    <w:p>
      <w:pPr>
        <w:pStyle w:val="826"/>
        <w:ind w:firstLine="422"/>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2.付款方式</w:t>
      </w:r>
      <w:r>
        <w:rPr>
          <w:rFonts w:hint="eastAsia" w:ascii="宋体" w:hAnsi="宋体" w:eastAsia="宋体" w:cs="宋体"/>
          <w:b/>
          <w:bCs/>
          <w:color w:val="000000"/>
          <w:sz w:val="21"/>
          <w:szCs w:val="21"/>
          <w:highlight w:val="non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合同签订前，乙方向甲方缴纳合同金额的10%作为履约保证金。</w:t>
      </w:r>
      <w:r>
        <w:rPr>
          <w:rFonts w:hint="eastAsia" w:ascii="宋体" w:hAnsi="宋体" w:eastAsia="宋体" w:cs="宋体"/>
          <w:color w:val="000000"/>
          <w:sz w:val="21"/>
          <w:szCs w:val="21"/>
          <w:highlight w:val="none"/>
          <w:u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合同签订后，乙方向甲方开具发票，甲方自收到发票之日起10个工作日内</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支付合同</w:t>
      </w:r>
      <w:r>
        <w:rPr>
          <w:rFonts w:hint="eastAsia" w:ascii="宋体" w:hAnsi="宋体" w:cs="宋体"/>
          <w:color w:val="000000"/>
          <w:sz w:val="21"/>
          <w:szCs w:val="21"/>
          <w:highlight w:val="none"/>
          <w:u w:val="none"/>
          <w:lang w:val="en-US" w:eastAsia="zh-CN"/>
        </w:rPr>
        <w:t xml:space="preserve">金额的</w:t>
      </w:r>
      <w:r>
        <w:rPr>
          <w:rFonts w:hint="eastAsia" w:ascii="宋体" w:hAnsi="宋体" w:eastAsia="宋体" w:cs="宋体"/>
          <w:color w:val="000000"/>
          <w:sz w:val="21"/>
          <w:szCs w:val="21"/>
          <w:highlight w:val="none"/>
          <w:u w:val="none"/>
        </w:rPr>
        <w:t xml:space="preserve">30%</w:t>
      </w:r>
      <w:r>
        <w:rPr>
          <w:rFonts w:hint="eastAsia" w:ascii="宋体" w:hAnsi="宋体" w:eastAsia="宋体" w:cs="宋体"/>
          <w:color w:val="000000"/>
          <w:sz w:val="21"/>
          <w:szCs w:val="21"/>
          <w:highlight w:val="none"/>
          <w:u w:val="none"/>
          <w:lang w:val="en-US" w:eastAsia="zh-CN"/>
        </w:rPr>
        <w:t xml:space="preserve">作为</w:t>
      </w:r>
      <w:r>
        <w:rPr>
          <w:rFonts w:hint="eastAsia" w:ascii="宋体" w:hAnsi="宋体" w:eastAsia="宋体" w:cs="宋体"/>
          <w:color w:val="000000"/>
          <w:sz w:val="21"/>
          <w:szCs w:val="21"/>
          <w:highlight w:val="none"/>
          <w:u w:val="none"/>
        </w:rPr>
        <w:t xml:space="preserve">预付款；</w:t>
      </w:r>
      <w:r>
        <w:rPr>
          <w:rFonts w:hint="eastAsia" w:ascii="宋体" w:hAnsi="宋体" w:eastAsia="宋体" w:cs="宋体"/>
          <w:color w:val="000000"/>
          <w:sz w:val="21"/>
          <w:szCs w:val="21"/>
          <w:highlight w:val="none"/>
          <w:u w:val="none"/>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设备全部交付进入试运行后，</w:t>
      </w:r>
      <w:r>
        <w:rPr>
          <w:rFonts w:hint="eastAsia" w:ascii="宋体" w:hAnsi="宋体" w:eastAsia="宋体" w:cs="宋体"/>
          <w:color w:val="000000"/>
          <w:sz w:val="21"/>
          <w:szCs w:val="21"/>
          <w:highlight w:val="none"/>
          <w:u w:val="none"/>
        </w:rPr>
        <w:t xml:space="preserve">乙方向甲方开具发票，甲方自收到发票之日起10个工作日内</w:t>
      </w:r>
      <w:r>
        <w:rPr>
          <w:rFonts w:hint="eastAsia" w:ascii="宋体" w:hAnsi="宋体" w:eastAsia="宋体" w:cs="宋体"/>
          <w:color w:val="000000"/>
          <w:sz w:val="21"/>
          <w:szCs w:val="21"/>
          <w:highlight w:val="none"/>
          <w:u w:val="none"/>
          <w:lang w:val="en-US" w:eastAsia="zh-CN"/>
        </w:rPr>
        <w:t xml:space="preserve">支付合同</w:t>
      </w:r>
      <w:r>
        <w:rPr>
          <w:rFonts w:hint="eastAsia" w:ascii="宋体" w:hAnsi="宋体" w:cs="宋体"/>
          <w:color w:val="000000"/>
          <w:sz w:val="21"/>
          <w:szCs w:val="21"/>
          <w:highlight w:val="none"/>
          <w:u w:val="none"/>
          <w:lang w:val="en-US" w:eastAsia="zh-CN"/>
        </w:rPr>
        <w:t xml:space="preserve">金额</w:t>
      </w:r>
      <w:r>
        <w:rPr>
          <w:rFonts w:hint="eastAsia" w:ascii="宋体" w:hAnsi="宋体" w:eastAsia="宋体" w:cs="宋体"/>
          <w:color w:val="000000"/>
          <w:sz w:val="21"/>
          <w:szCs w:val="21"/>
          <w:highlight w:val="none"/>
          <w:u w:val="none"/>
          <w:lang w:val="en-US" w:eastAsia="zh-CN"/>
        </w:rPr>
        <w:t xml:space="preserve">的</w:t>
      </w:r>
      <w:r>
        <w:rPr>
          <w:rFonts w:hint="eastAsia" w:ascii="宋体" w:hAnsi="宋体" w:cs="宋体"/>
          <w:color w:val="000000"/>
          <w:sz w:val="21"/>
          <w:szCs w:val="21"/>
          <w:highlight w:val="none"/>
          <w:u w:val="none"/>
          <w:lang w:val="en-US" w:eastAsia="zh-CN"/>
        </w:rPr>
        <w:t xml:space="preserve">3</w:t>
      </w:r>
      <w:r>
        <w:rPr>
          <w:rFonts w:hint="eastAsia" w:ascii="宋体" w:hAnsi="宋体" w:eastAsia="宋体" w:cs="宋体"/>
          <w:color w:val="000000"/>
          <w:sz w:val="21"/>
          <w:szCs w:val="21"/>
          <w:highlight w:val="none"/>
          <w:u w:val="none"/>
          <w:lang w:val="en-US" w:eastAsia="zh-CN"/>
        </w:rPr>
        <w:t xml:space="preserve">0%</w:t>
      </w:r>
      <w:r>
        <w:rPr>
          <w:rFonts w:hint="eastAsia" w:ascii="宋体" w:hAnsi="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lang w:val="en-US" w:eastAsia="zh-CN"/>
        </w:rPr>
      </w:r>
      <w:r/>
    </w:p>
    <w:p>
      <w:pPr>
        <w:pStyle w:val="826"/>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试运行3个月进行初步验收，</w:t>
      </w:r>
      <w:r>
        <w:rPr>
          <w:rFonts w:hint="eastAsia" w:ascii="宋体" w:hAnsi="宋体" w:cs="宋体"/>
          <w:color w:val="000000"/>
          <w:sz w:val="21"/>
          <w:szCs w:val="21"/>
          <w:highlight w:val="none"/>
          <w:u w:val="none"/>
          <w:lang w:val="en-US" w:eastAsia="zh-CN"/>
        </w:rPr>
        <w:t xml:space="preserve">初步验收后正常</w:t>
      </w:r>
      <w:r>
        <w:rPr>
          <w:rFonts w:hint="eastAsia" w:ascii="宋体" w:hAnsi="宋体" w:eastAsia="宋体" w:cs="宋体"/>
          <w:color w:val="000000"/>
          <w:sz w:val="21"/>
          <w:szCs w:val="21"/>
          <w:highlight w:val="none"/>
          <w:u w:val="none"/>
          <w:lang w:val="en-US" w:eastAsia="zh-CN"/>
        </w:rPr>
        <w:t xml:space="preserve">运行</w:t>
      </w:r>
      <w:r>
        <w:rPr>
          <w:rFonts w:hint="eastAsia" w:ascii="宋体" w:hAnsi="宋体" w:cs="宋体"/>
          <w:color w:val="000000"/>
          <w:sz w:val="21"/>
          <w:szCs w:val="21"/>
          <w:highlight w:val="none"/>
          <w:u w:val="none"/>
          <w:lang w:val="en-US" w:eastAsia="zh-CN"/>
        </w:rPr>
        <w:t xml:space="preserve">6</w:t>
      </w:r>
      <w:r>
        <w:rPr>
          <w:rFonts w:hint="eastAsia" w:ascii="宋体" w:hAnsi="宋体" w:eastAsia="宋体" w:cs="宋体"/>
          <w:color w:val="000000"/>
          <w:sz w:val="21"/>
          <w:szCs w:val="21"/>
          <w:highlight w:val="none"/>
          <w:u w:val="none"/>
          <w:lang w:val="en-US" w:eastAsia="zh-CN"/>
        </w:rPr>
        <w:t xml:space="preserve">个月后无异常情况，甲方组织</w:t>
      </w:r>
      <w:r>
        <w:rPr>
          <w:rFonts w:hint="eastAsia" w:ascii="宋体" w:hAnsi="宋体" w:eastAsia="宋体" w:cs="宋体"/>
          <w:color w:val="000000"/>
          <w:sz w:val="21"/>
          <w:szCs w:val="21"/>
          <w:highlight w:val="none"/>
          <w:u w:val="none"/>
        </w:rPr>
        <w:t xml:space="preserve">验收</w:t>
      </w:r>
      <w:r>
        <w:rPr>
          <w:rFonts w:hint="eastAsia" w:ascii="宋体" w:hAnsi="宋体" w:cs="宋体"/>
          <w:color w:val="000000"/>
          <w:sz w:val="21"/>
          <w:szCs w:val="21"/>
          <w:highlight w:val="none"/>
          <w:u w:val="none"/>
          <w:lang w:eastAsia="zh-CN"/>
        </w:rPr>
        <w:t xml:space="preserve">，</w:t>
      </w:r>
      <w:r>
        <w:rPr>
          <w:rFonts w:hint="eastAsia" w:ascii="宋体" w:hAnsi="宋体" w:cs="宋体"/>
          <w:color w:val="000000"/>
          <w:sz w:val="21"/>
          <w:szCs w:val="21"/>
          <w:highlight w:val="none"/>
          <w:u w:val="none"/>
          <w:lang w:val="en-US" w:eastAsia="zh-CN"/>
        </w:rPr>
        <w:t xml:space="preserve">验收</w:t>
      </w:r>
      <w:r>
        <w:rPr>
          <w:rFonts w:hint="eastAsia" w:ascii="宋体" w:hAnsi="宋体" w:eastAsia="宋体" w:cs="宋体"/>
          <w:color w:val="000000"/>
          <w:sz w:val="21"/>
          <w:szCs w:val="21"/>
          <w:highlight w:val="none"/>
          <w:u w:val="none"/>
        </w:rPr>
        <w:t xml:space="preserve">合格</w:t>
      </w:r>
      <w:r>
        <w:rPr>
          <w:rFonts w:hint="eastAsia" w:ascii="宋体" w:hAnsi="宋体" w:eastAsia="宋体" w:cs="宋体"/>
          <w:color w:val="000000"/>
          <w:sz w:val="21"/>
          <w:szCs w:val="21"/>
          <w:highlight w:val="none"/>
          <w:u w:val="none"/>
          <w:lang w:val="en-US" w:eastAsia="zh-CN"/>
        </w:rPr>
        <w:t xml:space="preserve">后，</w:t>
      </w:r>
      <w:r>
        <w:rPr>
          <w:rFonts w:hint="eastAsia" w:ascii="宋体" w:hAnsi="宋体" w:eastAsia="宋体" w:cs="宋体"/>
          <w:color w:val="000000"/>
          <w:sz w:val="21"/>
          <w:szCs w:val="21"/>
          <w:highlight w:val="none"/>
          <w:u w:val="none"/>
        </w:rPr>
        <w:t xml:space="preserve">乙方向甲方开具发票，甲方自收到发票之日起10个工作日内</w:t>
      </w:r>
      <w:r>
        <w:rPr>
          <w:rFonts w:hint="eastAsia" w:ascii="宋体" w:hAnsi="宋体" w:eastAsia="宋体" w:cs="宋体"/>
          <w:color w:val="000000"/>
          <w:sz w:val="21"/>
          <w:szCs w:val="21"/>
          <w:highlight w:val="none"/>
          <w:u w:val="none"/>
          <w:lang w:val="en-US" w:eastAsia="zh-CN"/>
        </w:rPr>
        <w:t xml:space="preserve">支付合同</w:t>
      </w:r>
      <w:r>
        <w:rPr>
          <w:rFonts w:hint="eastAsia" w:ascii="宋体" w:hAnsi="宋体" w:cs="宋体"/>
          <w:color w:val="000000"/>
          <w:sz w:val="21"/>
          <w:szCs w:val="21"/>
          <w:highlight w:val="none"/>
          <w:u w:val="none"/>
          <w:lang w:val="en-US" w:eastAsia="zh-CN"/>
        </w:rPr>
        <w:t xml:space="preserve">金额</w:t>
      </w:r>
      <w:r>
        <w:rPr>
          <w:rFonts w:hint="eastAsia" w:ascii="宋体" w:hAnsi="宋体" w:eastAsia="宋体" w:cs="宋体"/>
          <w:color w:val="000000"/>
          <w:sz w:val="21"/>
          <w:szCs w:val="21"/>
          <w:highlight w:val="none"/>
          <w:u w:val="none"/>
          <w:lang w:val="en-US" w:eastAsia="zh-CN"/>
        </w:rPr>
        <w:t xml:space="preserve">的</w:t>
      </w:r>
      <w:r>
        <w:rPr>
          <w:rFonts w:hint="eastAsia" w:ascii="宋体" w:hAnsi="宋体" w:cs="宋体"/>
          <w:color w:val="000000"/>
          <w:sz w:val="21"/>
          <w:szCs w:val="21"/>
          <w:highlight w:val="none"/>
          <w:u w:val="none"/>
          <w:lang w:val="en-US" w:eastAsia="zh-CN"/>
        </w:rPr>
        <w:t xml:space="preserve">4</w:t>
      </w:r>
      <w:r>
        <w:rPr>
          <w:rFonts w:hint="eastAsia" w:ascii="宋体" w:hAnsi="宋体" w:eastAsia="宋体" w:cs="宋体"/>
          <w:color w:val="000000"/>
          <w:sz w:val="21"/>
          <w:szCs w:val="21"/>
          <w:highlight w:val="none"/>
          <w:u w:val="none"/>
          <w:lang w:val="en-US" w:eastAsia="zh-CN"/>
        </w:rPr>
        <w:t xml:space="preserve">0%</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rPr>
      </w:r>
      <w:r/>
    </w:p>
    <w:p>
      <w:pPr>
        <w:pStyle w:val="826"/>
        <w:ind w:firstLine="42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注：①在签订合同时，</w:t>
      </w:r>
      <w:r>
        <w:rPr>
          <w:rFonts w:hint="eastAsia" w:ascii="宋体" w:hAnsi="宋体" w:eastAsia="宋体" w:cs="宋体"/>
          <w:color w:val="000000"/>
          <w:sz w:val="21"/>
          <w:szCs w:val="21"/>
          <w:highlight w:val="none"/>
          <w:u w:val="none"/>
          <w:lang w:val="en-US" w:eastAsia="zh-CN"/>
        </w:rPr>
        <w:t xml:space="preserve">乙方</w:t>
      </w:r>
      <w:r>
        <w:rPr>
          <w:rFonts w:hint="eastAsia" w:ascii="宋体" w:hAnsi="宋体" w:eastAsia="宋体" w:cs="宋体"/>
          <w:color w:val="000000"/>
          <w:sz w:val="21"/>
          <w:szCs w:val="21"/>
          <w:highlight w:val="none"/>
          <w:u w:val="none"/>
        </w:rPr>
        <w:t xml:space="preserve">明确表示无需预付款或者主动要求降低预付款比例的，</w:t>
      </w:r>
      <w:r>
        <w:rPr>
          <w:rFonts w:hint="eastAsia" w:ascii="宋体" w:hAnsi="宋体" w:eastAsia="宋体" w:cs="宋体"/>
          <w:color w:val="000000"/>
          <w:sz w:val="21"/>
          <w:szCs w:val="21"/>
          <w:highlight w:val="none"/>
          <w:u w:val="none"/>
          <w:lang w:eastAsia="zh-CN"/>
        </w:rPr>
        <w:t xml:space="preserve">甲方</w:t>
      </w:r>
      <w:r>
        <w:rPr>
          <w:rFonts w:hint="eastAsia" w:ascii="宋体" w:hAnsi="宋体" w:eastAsia="宋体" w:cs="宋体"/>
          <w:color w:val="000000"/>
          <w:sz w:val="21"/>
          <w:szCs w:val="21"/>
          <w:highlight w:val="none"/>
          <w:u w:val="none"/>
        </w:rPr>
        <w:t xml:space="preserve">可不适用关于预付款的规定。</w:t>
      </w:r>
      <w:r>
        <w:rPr>
          <w:rFonts w:hint="eastAsia" w:ascii="宋体" w:hAnsi="宋体" w:eastAsia="宋体" w:cs="宋体"/>
          <w:color w:val="000000"/>
          <w:sz w:val="21"/>
          <w:szCs w:val="21"/>
          <w:highlight w:val="none"/>
          <w:u w:val="none"/>
        </w:rPr>
      </w:r>
      <w:r/>
    </w:p>
    <w:p>
      <w:pPr>
        <w:pStyle w:val="826"/>
        <w:ind w:firstLine="420"/>
        <w:pageBreakBefore w:val="0"/>
        <w:spacing w:line="360" w:lineRule="auto"/>
        <w:widowControl w:val="off"/>
        <w:rPr>
          <w:rFonts w:hint="eastAsia" w:ascii="宋体" w:hAnsi="宋体" w:eastAsia="宋体" w:cs="宋体"/>
          <w:color w:val="000000"/>
          <w:szCs w:val="21"/>
          <w:highlight w:val="none"/>
          <w:u w:val="none"/>
        </w:rPr>
      </w:pPr>
      <w:r>
        <w:rPr>
          <w:rFonts w:hint="eastAsia" w:ascii="宋体" w:hAnsi="宋体" w:eastAsia="宋体" w:cs="宋体"/>
          <w:color w:val="000000"/>
          <w:szCs w:val="21"/>
          <w:highlight w:val="none"/>
          <w:u w:val="none"/>
        </w:rPr>
        <w:t xml:space="preserve">②甲方按本合同约定支付完毕全部款项，不视为对乙方设备质量、安装调试质量及合同履行情况的最终认可，亦不免除乙方在质保期内应承担的质量保修责任、违约责任及赔偿责任。</w:t>
      </w:r>
      <w:r>
        <w:rPr>
          <w:rFonts w:hint="eastAsia" w:ascii="宋体" w:hAnsi="宋体" w:eastAsia="宋体" w:cs="宋体"/>
          <w:color w:val="000000"/>
          <w:szCs w:val="21"/>
          <w:highlight w:val="none"/>
          <w:u w:val="none"/>
        </w:rPr>
      </w:r>
      <w:r/>
    </w:p>
    <w:p>
      <w:pPr>
        <w:pStyle w:val="826"/>
        <w:ind w:firstLine="42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Cs w:val="21"/>
          <w:highlight w:val="none"/>
          <w:u w:val="none"/>
        </w:rPr>
        <w:t xml:space="preserve">③质保期内，因乙方原因导致设备或项目出现质量问题的，乙方应按本合同约定履行维修、更换等义务；给甲方造成损失的，乙方仍应承担相应赔偿责任。</w:t>
      </w:r>
      <w:r>
        <w:rPr>
          <w:rFonts w:hint="eastAsia" w:ascii="宋体" w:hAnsi="宋体" w:eastAsia="宋体" w:cs="宋体"/>
          <w:color w:val="000000"/>
          <w:sz w:val="21"/>
          <w:szCs w:val="21"/>
          <w:highlight w:val="none"/>
          <w:u w:val="none"/>
        </w:rPr>
      </w:r>
      <w:r/>
    </w:p>
    <w:p>
      <w:pPr>
        <w:pStyle w:val="826"/>
        <w:numPr>
          <w:ilvl w:val="0"/>
          <w:numId w:val="18"/>
        </w:numPr>
        <w:ind w:firstLine="422"/>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验收要求</w:t>
      </w:r>
      <w:r>
        <w:rPr>
          <w:rFonts w:hint="eastAsia" w:ascii="宋体" w:hAnsi="宋体" w:eastAsia="宋体" w:cs="宋体"/>
          <w:b/>
          <w:bCs/>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投标文件中需单独列明全部设备、系统执行的国家/行业标准编号、名称；投标人提供产品、系统采用标准必须等效或优于本文件规定标准，否则视为无效响应，同时需书面说明新旧标准差异并附标准原文复印件。</w:t>
      </w:r>
      <w:r>
        <w:rPr>
          <w:rFonts w:hint="eastAsia" w:ascii="宋体" w:hAnsi="宋体" w:eastAsia="宋体" w:cs="宋体"/>
          <w:b w:val="0"/>
          <w:bCs w:val="0"/>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3.2招标文件、投标文件、厂家货物技术标准说明及有关国家的质量标准规定，均作为验收标准。</w:t>
      </w:r>
      <w:r>
        <w:rPr>
          <w:rFonts w:hint="eastAsia" w:ascii="宋体" w:hAnsi="宋体" w:eastAsia="宋体" w:cs="宋体"/>
          <w:b w:val="0"/>
          <w:bCs w:val="0"/>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3.3项目实施完成后，中标人提交验收申请及完整验收资料，由采购人组织验收，可邀请国家认可的质量检测机构参加验收工作。验收时中标人代表必须在场。验收合格后，根据合同规定办理付款手续。</w:t>
      </w:r>
      <w:r>
        <w:rPr>
          <w:rFonts w:hint="eastAsia" w:ascii="宋体" w:hAnsi="宋体" w:eastAsia="宋体" w:cs="宋体"/>
          <w:b w:val="0"/>
          <w:bCs w:val="0"/>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3.4验收不合格或不符合质量要求，供应商须无条件换货、退货直至符合合同要求，并承担采购人的一切损失。</w:t>
      </w:r>
      <w:r>
        <w:rPr>
          <w:rFonts w:hint="eastAsia" w:ascii="宋体" w:hAnsi="宋体" w:eastAsia="宋体" w:cs="宋体"/>
          <w:b w:val="0"/>
          <w:bCs w:val="0"/>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交付全套竣工文档：CAD版竣工图纸（含管线走向、监控点位坐标、机柜布局、弱电井布线图）；完整设备台账（含设备品牌、型号、出厂序列号、原厂保修卡）；整体竣工验收报告、第三方防雷接地检测报告、设备进场检验记录。</w:t>
      </w:r>
      <w:r>
        <w:rPr>
          <w:rFonts w:hint="eastAsia" w:ascii="宋体" w:hAnsi="宋体" w:eastAsia="宋体" w:cs="宋体"/>
          <w:color w:val="000000"/>
          <w:sz w:val="21"/>
          <w:szCs w:val="21"/>
          <w:highlight w:val="none"/>
        </w:rPr>
      </w:r>
      <w:r/>
    </w:p>
    <w:p>
      <w:pPr>
        <w:pStyle w:val="826"/>
        <w:numPr>
          <w:ilvl w:val="0"/>
          <w:numId w:val="18"/>
        </w:numPr>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质量及售后服务要求</w:t>
      </w:r>
      <w:r>
        <w:rPr>
          <w:rFonts w:hint="eastAsia" w:ascii="宋体" w:hAnsi="宋体" w:eastAsia="宋体" w:cs="宋体"/>
          <w:b/>
          <w:bCs/>
          <w:color w:val="000000"/>
          <w:sz w:val="21"/>
          <w:szCs w:val="21"/>
          <w:highlight w:val="none"/>
        </w:rPr>
      </w:r>
      <w:r/>
    </w:p>
    <w:p>
      <w:pPr>
        <w:pStyle w:val="826"/>
        <w:ind w:firstLine="420"/>
        <w:pageBreakBefore w:val="0"/>
        <w:spacing w:line="36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i w:val="0"/>
          <w:iCs w:val="0"/>
          <w:color w:val="000000"/>
          <w:sz w:val="21"/>
          <w:szCs w:val="21"/>
          <w:highlight w:val="none"/>
          <w:u w:val="none"/>
          <w:lang w:val="en-US" w:eastAsia="zh-CN"/>
        </w:rPr>
        <w:t xml:space="preserve">本项目</w:t>
      </w:r>
      <w:r>
        <w:rPr>
          <w:rFonts w:hint="eastAsia" w:ascii="宋体" w:hAnsi="宋体" w:eastAsia="宋体" w:cs="宋体"/>
          <w:i w:val="0"/>
          <w:iCs w:val="0"/>
          <w:color w:val="000000"/>
          <w:sz w:val="21"/>
          <w:szCs w:val="21"/>
          <w:highlight w:val="none"/>
          <w:u w:val="none"/>
        </w:rPr>
        <w:t xml:space="preserve">提供不少于</w:t>
      </w:r>
      <w:r>
        <w:rPr>
          <w:rFonts w:hint="eastAsia" w:ascii="宋体" w:hAnsi="宋体" w:eastAsia="宋体" w:cs="宋体"/>
          <w:i w:val="0"/>
          <w:iCs w:val="0"/>
          <w:color w:val="000000"/>
          <w:sz w:val="21"/>
          <w:szCs w:val="21"/>
          <w:highlight w:val="none"/>
          <w:u w:val="none"/>
          <w:lang w:val="en-US" w:eastAsia="zh-CN"/>
        </w:rPr>
        <w:t xml:space="preserve">五</w:t>
      </w:r>
      <w:r>
        <w:rPr>
          <w:rFonts w:hint="eastAsia" w:ascii="宋体" w:hAnsi="宋体" w:eastAsia="宋体" w:cs="宋体"/>
          <w:i w:val="0"/>
          <w:iCs w:val="0"/>
          <w:color w:val="000000"/>
          <w:sz w:val="21"/>
          <w:szCs w:val="21"/>
          <w:highlight w:val="none"/>
          <w:u w:val="none"/>
        </w:rPr>
        <w:t xml:space="preserve">年质保</w:t>
      </w:r>
      <w:r>
        <w:rPr>
          <w:rFonts w:hint="eastAsia" w:ascii="宋体" w:hAnsi="宋体" w:eastAsia="宋体" w:cs="宋体"/>
          <w:i w:val="0"/>
          <w:iCs w:val="0"/>
          <w:color w:val="000000"/>
          <w:sz w:val="21"/>
          <w:szCs w:val="21"/>
          <w:highlight w:val="none"/>
          <w:u w:val="none"/>
          <w:lang w:val="en-US" w:eastAsia="zh-CN"/>
        </w:rPr>
        <w:t xml:space="preserve">期</w:t>
      </w:r>
      <w:r>
        <w:rPr>
          <w:rFonts w:hint="eastAsia" w:ascii="宋体" w:hAnsi="宋体" w:eastAsia="宋体" w:cs="宋体"/>
          <w:i w:val="0"/>
          <w:iCs w:val="0"/>
          <w:color w:val="000000"/>
          <w:sz w:val="21"/>
          <w:szCs w:val="21"/>
          <w:highlight w:val="none"/>
          <w:u w:val="none"/>
        </w:rPr>
        <w:t xml:space="preserve">及</w:t>
      </w:r>
      <w:r>
        <w:rPr>
          <w:rFonts w:hint="eastAsia" w:ascii="宋体" w:hAnsi="宋体" w:eastAsia="宋体" w:cs="宋体"/>
          <w:i w:val="0"/>
          <w:iCs w:val="0"/>
          <w:color w:val="000000"/>
          <w:sz w:val="21"/>
          <w:szCs w:val="21"/>
          <w:highlight w:val="none"/>
          <w:u w:val="none"/>
          <w:lang w:val="en-US" w:eastAsia="zh-CN"/>
        </w:rPr>
        <w:t xml:space="preserve">不定时</w:t>
      </w:r>
      <w:r>
        <w:rPr>
          <w:rFonts w:hint="eastAsia" w:ascii="宋体" w:hAnsi="宋体" w:eastAsia="宋体" w:cs="宋体"/>
          <w:i w:val="0"/>
          <w:iCs w:val="0"/>
          <w:color w:val="000000"/>
          <w:sz w:val="21"/>
          <w:szCs w:val="21"/>
          <w:highlight w:val="none"/>
          <w:u w:val="none"/>
        </w:rPr>
        <w:t xml:space="preserve">上门服务。</w:t>
      </w:r>
      <w:r>
        <w:rPr>
          <w:rFonts w:hint="eastAsia" w:ascii="宋体" w:hAnsi="宋体" w:eastAsia="宋体" w:cs="宋体"/>
          <w:i w:val="0"/>
          <w:iCs w:val="0"/>
          <w:color w:val="000000"/>
          <w:sz w:val="21"/>
          <w:szCs w:val="21"/>
          <w:highlight w:val="none"/>
          <w:u w:val="none"/>
        </w:rPr>
      </w:r>
      <w:r/>
    </w:p>
    <w:p>
      <w:pPr>
        <w:pStyle w:val="826"/>
        <w:ind w:firstLine="42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质保期计算时间：</w:t>
      </w:r>
      <w:r>
        <w:rPr>
          <w:rFonts w:hint="eastAsia" w:ascii="宋体" w:hAnsi="宋体" w:eastAsia="宋体" w:cs="宋体"/>
          <w:i w:val="0"/>
          <w:iCs w:val="0"/>
          <w:color w:val="000000"/>
          <w:sz w:val="21"/>
          <w:szCs w:val="21"/>
          <w:highlight w:val="none"/>
          <w:u w:val="none"/>
        </w:rPr>
        <w:t xml:space="preserve">自采购人验收合格，验收报告确认签字日起，开始进入质保期</w:t>
      </w: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lang w:val="en-US" w:eastAsia="zh-CN"/>
        </w:rPr>
      </w:r>
      <w:r/>
    </w:p>
    <w:p>
      <w:pPr>
        <w:pStyle w:val="826"/>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质保范围</w:t>
      </w:r>
      <w:r>
        <w:rPr>
          <w:rFonts w:hint="eastAsia" w:ascii="宋体" w:hAnsi="宋体" w:cs="宋体"/>
          <w:i w:val="0"/>
          <w:iCs w:val="0"/>
          <w:color w:val="000000"/>
          <w:szCs w:val="21"/>
          <w:highlight w:val="none"/>
          <w:u w:val="none"/>
        </w:rPr>
        <w:t xml:space="preserve">覆盖全部硬件设备维修、配件更换及配套软件版本升级服务，质保期内因产品质量、安装施工等原因导致的任何故障，均须维修或更换，不得另行收取费用。</w:t>
      </w:r>
      <w:r>
        <w:rPr>
          <w:rFonts w:hint="eastAsia" w:ascii="宋体" w:hAnsi="宋体" w:eastAsia="宋体" w:cs="宋体"/>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维保执行标准：全周期系统维护保养严格遵循</w:t>
      </w:r>
      <w:r>
        <w:rPr>
          <w:rFonts w:hint="eastAsia" w:ascii="宋体" w:hAnsi="宋体" w:eastAsia="宋体" w:cs="宋体"/>
          <w:color w:val="000000"/>
          <w:sz w:val="21"/>
          <w:szCs w:val="21"/>
          <w:highlight w:val="none"/>
          <w:lang w:eastAsia="zh-CN"/>
        </w:rPr>
        <w:t xml:space="preserve">GB 55029-2022《安全防范工程通用规范》</w:t>
      </w:r>
      <w:r>
        <w:rPr>
          <w:rFonts w:hint="eastAsia" w:ascii="宋体" w:hAnsi="宋体" w:eastAsia="宋体" w:cs="宋体"/>
          <w:color w:val="000000"/>
          <w:sz w:val="21"/>
          <w:szCs w:val="21"/>
          <w:highlight w:val="none"/>
        </w:rPr>
        <w:t xml:space="preserve">、GA/T1081-2020《安全防范系统维护保养规范》全部条款。</w:t>
      </w:r>
      <w:r>
        <w:rPr>
          <w:rFonts w:hint="eastAsia" w:ascii="宋体" w:hAnsi="宋体" w:eastAsia="宋体" w:cs="宋体"/>
          <w:color w:val="000000"/>
          <w:sz w:val="21"/>
          <w:szCs w:val="21"/>
          <w:highlight w:val="none"/>
        </w:rPr>
      </w:r>
      <w:r/>
    </w:p>
    <w:p>
      <w:pPr>
        <w:pStyle w:val="82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驻场运维服务：</w:t>
      </w:r>
      <w:r>
        <w:rPr>
          <w:rFonts w:hint="eastAsia" w:ascii="宋体" w:hAnsi="宋体" w:eastAsia="宋体" w:cs="宋体"/>
          <w:b/>
          <w:bCs/>
          <w:i/>
          <w:iCs/>
          <w:color w:val="000000"/>
          <w:sz w:val="21"/>
          <w:szCs w:val="21"/>
          <w:highlight w:val="none"/>
          <w:u w:val="single"/>
          <w:lang w:val="en-US" w:eastAsia="zh-CN"/>
        </w:rPr>
        <w:t xml:space="preserve">项目实施</w:t>
      </w:r>
      <w:r>
        <w:rPr>
          <w:rFonts w:hint="eastAsia" w:ascii="宋体" w:hAnsi="宋体" w:eastAsia="宋体" w:cs="宋体"/>
          <w:b/>
          <w:bCs/>
          <w:i/>
          <w:iCs/>
          <w:color w:val="000000"/>
          <w:sz w:val="21"/>
          <w:szCs w:val="21"/>
          <w:highlight w:val="none"/>
          <w:u w:val="single"/>
        </w:rPr>
        <w:t xml:space="preserve">竣工验收</w:t>
      </w:r>
      <w:r>
        <w:rPr>
          <w:rFonts w:hint="eastAsia" w:ascii="宋体" w:hAnsi="宋体" w:eastAsia="宋体" w:cs="宋体"/>
          <w:b/>
          <w:bCs/>
          <w:i/>
          <w:iCs/>
          <w:color w:val="000000"/>
          <w:sz w:val="21"/>
          <w:szCs w:val="21"/>
          <w:highlight w:val="none"/>
          <w:u w:val="single"/>
          <w:lang w:val="en-US" w:eastAsia="zh-CN"/>
        </w:rPr>
        <w:t xml:space="preserve">合格并正式</w:t>
      </w:r>
      <w:r>
        <w:rPr>
          <w:rFonts w:hint="eastAsia" w:ascii="宋体" w:hAnsi="宋体" w:eastAsia="宋体" w:cs="宋体"/>
          <w:b/>
          <w:bCs/>
          <w:i/>
          <w:iCs/>
          <w:color w:val="000000"/>
          <w:sz w:val="21"/>
          <w:szCs w:val="21"/>
          <w:highlight w:val="none"/>
          <w:u w:val="single"/>
        </w:rPr>
        <w:t xml:space="preserve">投入使用后，</w:t>
      </w:r>
      <w:r>
        <w:rPr>
          <w:rFonts w:hint="eastAsia" w:ascii="宋体" w:hAnsi="宋体" w:eastAsia="宋体" w:cs="宋体"/>
          <w:b/>
          <w:bCs/>
          <w:i/>
          <w:iCs/>
          <w:color w:val="000000"/>
          <w:sz w:val="21"/>
          <w:szCs w:val="21"/>
          <w:highlight w:val="none"/>
          <w:u w:val="single"/>
          <w:lang w:eastAsia="zh-CN"/>
        </w:rPr>
        <w:t xml:space="preserve">中标人</w:t>
      </w:r>
      <w:r>
        <w:rPr>
          <w:rFonts w:hint="eastAsia" w:ascii="宋体" w:hAnsi="宋体" w:eastAsia="宋体" w:cs="宋体"/>
          <w:b/>
          <w:bCs/>
          <w:i/>
          <w:iCs/>
          <w:color w:val="000000"/>
          <w:sz w:val="21"/>
          <w:szCs w:val="21"/>
          <w:highlight w:val="none"/>
          <w:u w:val="single"/>
        </w:rPr>
        <w:t xml:space="preserve">提供不少于3个月驻场运维服务，驻场人员</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至少1人</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每日对全院安防设备、平台开展一次全覆盖巡检。</w:t>
      </w:r>
      <w:r>
        <w:rPr>
          <w:rFonts w:hint="eastAsia" w:ascii="宋体" w:hAnsi="宋体" w:cs="宋体"/>
          <w:b/>
          <w:bCs/>
          <w:i/>
          <w:iCs/>
          <w:color w:val="000000"/>
          <w:sz w:val="21"/>
          <w:szCs w:val="21"/>
          <w:highlight w:val="none"/>
          <w:u w:val="single"/>
          <w:lang w:val="en-US" w:eastAsia="zh-CN"/>
        </w:rPr>
        <w:t xml:space="preserve">（提供承诺书加盖投标人CA电子公章，承诺书格式自拟，上传系统）</w:t>
      </w:r>
      <w:r>
        <w:rPr>
          <w:rFonts w:hint="eastAsia" w:ascii="宋体" w:hAnsi="宋体" w:eastAsia="宋体" w:cs="宋体"/>
          <w:color w:val="000000"/>
          <w:sz w:val="21"/>
          <w:szCs w:val="21"/>
          <w:highlight w:val="none"/>
        </w:rPr>
      </w:r>
      <w:r/>
    </w:p>
    <w:p>
      <w:pPr>
        <w:pStyle w:val="82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人员培训服务：项目交付阶段对消控室值班人员、保卫处管理人员开展全流程实操培训；质保期内每年组织不少于1次复训，培训完成后组织实操考核，确保院内工作人员独立完成日常运维、警情处置。</w:t>
      </w:r>
      <w:r>
        <w:rPr>
          <w:rFonts w:hint="eastAsia" w:ascii="宋体" w:hAnsi="宋体" w:eastAsia="宋体" w:cs="宋体"/>
          <w:color w:val="000000"/>
          <w:sz w:val="21"/>
          <w:szCs w:val="21"/>
          <w:highlight w:val="none"/>
        </w:rPr>
      </w:r>
      <w:r/>
    </w:p>
    <w:p>
      <w:pPr>
        <w:pStyle w:val="861"/>
        <w:ind w:firstLine="422"/>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.运维服务约定</w:t>
      </w:r>
      <w:r>
        <w:rPr>
          <w:rFonts w:hint="eastAsia" w:ascii="宋体" w:hAnsi="宋体" w:eastAsia="宋体" w:cs="宋体"/>
          <w:color w:val="000000"/>
          <w:sz w:val="21"/>
          <w:szCs w:val="21"/>
          <w:highlight w:val="none"/>
        </w:rPr>
      </w:r>
      <w:r/>
    </w:p>
    <w:p>
      <w:pPr>
        <w:pStyle w:val="82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1.项目质保期</w:t>
      </w:r>
      <w:r>
        <w:rPr>
          <w:rFonts w:hint="eastAsia" w:ascii="宋体" w:hAnsi="宋体" w:eastAsia="宋体" w:cs="宋体"/>
          <w:color w:val="000000"/>
          <w:sz w:val="21"/>
          <w:szCs w:val="21"/>
          <w:highlight w:val="none"/>
          <w:lang w:val="en-US" w:eastAsia="zh-CN"/>
        </w:rPr>
        <w:t xml:space="preserve">(按投标人质保承诺函年限为准)</w:t>
      </w:r>
      <w:r>
        <w:rPr>
          <w:rFonts w:hint="eastAsia" w:ascii="宋体" w:hAnsi="宋体" w:eastAsia="宋体" w:cs="宋体"/>
          <w:color w:val="000000"/>
          <w:sz w:val="21"/>
          <w:szCs w:val="21"/>
          <w:highlight w:val="none"/>
        </w:rPr>
        <w:t xml:space="preserve">满前3个月，</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对整套安防系统开展全点位、全设备全面体检，出具设备评估报告，列明老化设备、性能衰减点位、系统优化方案，供</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后续运维、改造决策参考。</w:t>
      </w:r>
      <w:r>
        <w:rPr>
          <w:rFonts w:hint="eastAsia" w:ascii="宋体" w:hAnsi="宋体" w:eastAsia="宋体" w:cs="宋体"/>
          <w:color w:val="000000"/>
          <w:sz w:val="21"/>
          <w:szCs w:val="21"/>
          <w:highlight w:val="none"/>
        </w:rPr>
      </w:r>
      <w:r/>
    </w:p>
    <w:p>
      <w:pPr>
        <w:pStyle w:val="826"/>
        <w:ind w:firstLine="42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2.质保期</w:t>
      </w:r>
      <w:r>
        <w:rPr>
          <w:rFonts w:hint="eastAsia" w:ascii="宋体" w:hAnsi="宋体" w:eastAsia="宋体" w:cs="宋体"/>
          <w:color w:val="000000"/>
          <w:sz w:val="21"/>
          <w:szCs w:val="21"/>
          <w:highlight w:val="none"/>
          <w:lang w:val="en-US" w:eastAsia="zh-CN"/>
        </w:rPr>
        <w:t xml:space="preserve">满</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可提供持续性有偿维保服务，具体服务内容、故障响应时效、年度维保费用，由双方另行协商签订专项维保协议。</w:t>
      </w:r>
      <w:r>
        <w:rPr>
          <w:rFonts w:hint="eastAsia" w:ascii="宋体" w:hAnsi="宋体" w:eastAsia="宋体" w:cs="宋体"/>
          <w:b/>
          <w:bCs/>
          <w:i/>
          <w:iCs/>
          <w:color w:val="000000"/>
          <w:szCs w:val="21"/>
          <w:highlight w:val="none"/>
          <w:u w:val="single"/>
          <w:lang w:val="en-US" w:eastAsia="zh-CN"/>
        </w:rPr>
        <w:t xml:space="preserve">投标人需额外填写质保期满后的维保费用，且不得高于本次投标报价中质保期内的维保费用。质保期满后的维保费用不参与价格计算，仅作为后续维保协议签订的参考依据。</w:t>
      </w:r>
      <w:r>
        <w:rPr>
          <w:rFonts w:hint="eastAsia" w:ascii="宋体" w:hAnsi="宋体" w:eastAsia="宋体" w:cs="宋体"/>
          <w:b/>
          <w:bCs/>
          <w:i/>
          <w:iCs/>
          <w:color w:val="000000"/>
          <w:sz w:val="21"/>
          <w:szCs w:val="21"/>
          <w:highlight w:val="none"/>
          <w:u w:val="single"/>
          <w:lang w:val="en-US" w:eastAsia="zh-CN"/>
        </w:rPr>
        <w:t xml:space="preserve">（提供</w:t>
      </w:r>
      <w:r>
        <w:rPr>
          <w:rFonts w:hint="eastAsia" w:ascii="宋体" w:hAnsi="宋体" w:eastAsia="宋体" w:cs="宋体"/>
          <w:b/>
          <w:bCs/>
          <w:i/>
          <w:iCs/>
          <w:color w:val="000000"/>
          <w:szCs w:val="21"/>
          <w:highlight w:val="none"/>
          <w:u w:val="single"/>
        </w:rPr>
        <w:t xml:space="preserve">质保期满后</w:t>
      </w:r>
      <w:r>
        <w:rPr>
          <w:rFonts w:hint="eastAsia" w:ascii="宋体" w:hAnsi="宋体" w:eastAsia="宋体" w:cs="宋体"/>
          <w:b/>
          <w:bCs/>
          <w:i/>
          <w:iCs/>
          <w:color w:val="000000"/>
          <w:szCs w:val="21"/>
          <w:highlight w:val="none"/>
          <w:u w:val="single"/>
          <w:lang w:val="en-US" w:eastAsia="zh-CN"/>
        </w:rPr>
        <w:t xml:space="preserve">运维服务</w:t>
      </w:r>
      <w:r>
        <w:rPr>
          <w:rFonts w:hint="eastAsia" w:ascii="宋体" w:hAnsi="宋体" w:eastAsia="宋体" w:cs="宋体"/>
          <w:b/>
          <w:bCs/>
          <w:i/>
          <w:iCs/>
          <w:color w:val="000000"/>
          <w:szCs w:val="21"/>
          <w:highlight w:val="none"/>
          <w:u w:val="single"/>
        </w:rPr>
        <w:t xml:space="preserve">费用</w:t>
      </w:r>
      <w:r>
        <w:rPr>
          <w:rFonts w:hint="eastAsia" w:ascii="宋体" w:hAnsi="宋体" w:eastAsia="宋体" w:cs="宋体"/>
          <w:b/>
          <w:bCs/>
          <w:i/>
          <w:iCs/>
          <w:color w:val="000000"/>
          <w:sz w:val="21"/>
          <w:szCs w:val="21"/>
          <w:highlight w:val="none"/>
          <w:u w:val="single"/>
          <w:lang w:val="en-US" w:eastAsia="zh-CN"/>
        </w:rPr>
        <w:t xml:space="preserve">加盖</w:t>
      </w:r>
      <w:r>
        <w:rPr>
          <w:rFonts w:hint="eastAsia" w:ascii="宋体" w:hAnsi="宋体" w:cs="宋体"/>
          <w:b/>
          <w:bCs/>
          <w:i/>
          <w:iCs/>
          <w:color w:val="000000"/>
          <w:sz w:val="21"/>
          <w:szCs w:val="21"/>
          <w:highlight w:val="none"/>
          <w:u w:val="single"/>
          <w:lang w:val="en-US" w:eastAsia="zh-CN"/>
        </w:rPr>
        <w:t xml:space="preserve">投标人CA电子公章</w:t>
      </w:r>
      <w:r>
        <w:rPr>
          <w:rFonts w:hint="eastAsia" w:ascii="宋体" w:hAnsi="宋体" w:eastAsia="宋体" w:cs="宋体"/>
          <w:b/>
          <w:bCs/>
          <w:i/>
          <w:iCs/>
          <w:color w:val="000000"/>
          <w:sz w:val="21"/>
          <w:szCs w:val="21"/>
          <w:highlight w:val="none"/>
          <w:u w:val="single"/>
          <w:lang w:val="en-US" w:eastAsia="zh-CN"/>
        </w:rPr>
        <w:t xml:space="preserve">，格式详见第六章投标文件格式（附表1），上传系统）</w:t>
      </w:r>
      <w:r>
        <w:rPr>
          <w:rFonts w:ascii="宋体" w:hAnsi="宋体" w:eastAsia="宋体" w:cs="宋体"/>
          <w:color w:val="000000"/>
          <w:sz w:val="21"/>
          <w:szCs w:val="21"/>
          <w:highlight w:val="none"/>
          <w:u w:val="single"/>
          <w:lang w:val="en-US" w:eastAsia="zh-CN"/>
        </w:rPr>
      </w:r>
      <w:r/>
    </w:p>
    <w:p>
      <w:pPr>
        <w:pStyle w:val="861"/>
        <w:ind w:firstLine="422"/>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4.应急故障</w:t>
      </w:r>
      <w:r>
        <w:rPr>
          <w:rFonts w:hint="eastAsia" w:ascii="宋体" w:hAnsi="宋体" w:eastAsia="宋体" w:cs="宋体"/>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故障分级响应修复标准：</w:t>
      </w:r>
      <w:r>
        <w:rPr>
          <w:rFonts w:hint="eastAsia" w:ascii="宋体" w:hAnsi="宋体" w:eastAsia="宋体" w:cs="宋体"/>
          <w:color w:val="000000"/>
          <w:sz w:val="21"/>
          <w:szCs w:val="21"/>
          <w:highlight w:val="none"/>
        </w:rPr>
      </w:r>
      <w:r/>
    </w:p>
    <w:p>
      <w:pPr>
        <w:pStyle w:val="82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一级故障（全院平台瘫痪、大面积设备离线）：2小时内完成修复；</w:t>
      </w:r>
      <w:r>
        <w:rPr>
          <w:rFonts w:hint="eastAsia" w:ascii="宋体" w:hAnsi="宋体" w:eastAsia="宋体" w:cs="宋体"/>
          <w:color w:val="000000"/>
          <w:sz w:val="21"/>
          <w:szCs w:val="21"/>
          <w:highlight w:val="none"/>
        </w:rPr>
      </w:r>
      <w:r/>
    </w:p>
    <w:p>
      <w:pPr>
        <w:pStyle w:val="82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二级故障（单点位、单区域局部设备故障）：4小时内完成修复。</w:t>
      </w:r>
      <w:r>
        <w:rPr>
          <w:rFonts w:hint="eastAsia" w:ascii="宋体" w:hAnsi="宋体" w:eastAsia="宋体" w:cs="宋体"/>
          <w:color w:val="000000"/>
          <w:sz w:val="21"/>
          <w:szCs w:val="21"/>
          <w:highlight w:val="none"/>
        </w:rPr>
      </w:r>
      <w:r/>
    </w:p>
    <w:p>
      <w:pPr>
        <w:pStyle w:val="826"/>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4.2备品备件保障：中标人须设置规模充足的备件库，满足应急修理需求。应急维修期间，须向采购人提供备用机，保障业务正常开展，非人为因素造成设备损坏，更换标准不得低于设备原有标准。</w:t>
      </w:r>
      <w:r>
        <w:rPr>
          <w:rFonts w:hint="eastAsia" w:ascii="宋体" w:hAnsi="宋体" w:eastAsia="宋体" w:cs="宋体"/>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4.3远程技术支持：提供工作日8小时服务热线及远程运维服务通道，及时响应重大故障报修与技术咨询。能够远程处置的故障即时解决；远程无法修复的，立即安排技术人员2小时内赴现场处理。</w:t>
      </w:r>
      <w:r>
        <w:rPr>
          <w:rFonts w:hint="eastAsia" w:ascii="宋体" w:hAnsi="宋体" w:eastAsia="宋体" w:cs="宋体"/>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4.4故障复盘整改：发生一级故障处置完成后，中标人应于3 个工作日内向采购人提交故障处置报告，明确故障原因、处置过程、配件更换情况及预防整改措施，减少同类故障重复发生。</w:t>
      </w:r>
      <w:r>
        <w:rPr>
          <w:rFonts w:hint="eastAsia" w:ascii="宋体" w:hAnsi="宋体" w:eastAsia="宋体" w:cs="宋体"/>
          <w:color w:val="000000"/>
          <w:sz w:val="21"/>
          <w:szCs w:val="21"/>
          <w:highlight w:val="none"/>
          <w:lang w:val="en-US" w:eastAsia="zh-CN"/>
        </w:rPr>
      </w:r>
      <w:r/>
    </w:p>
    <w:p>
      <w:pPr>
        <w:pStyle w:val="826"/>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4.5应急演练配合：根据采购人工作要求，每半年配合1次开展设备故障应急演练，验证人员响应、备件调拨、备用机投放等流程，持续完善应急处置工作。</w:t>
      </w:r>
      <w:r>
        <w:rPr>
          <w:rFonts w:hint="eastAsia" w:ascii="宋体" w:hAnsi="宋体" w:eastAsia="宋体" w:cs="宋体"/>
          <w:color w:val="000000"/>
          <w:sz w:val="21"/>
          <w:szCs w:val="21"/>
          <w:highlight w:val="none"/>
          <w:lang w:val="en-US" w:eastAsia="zh-CN"/>
        </w:rPr>
      </w:r>
      <w:r/>
    </w:p>
    <w:p>
      <w:pPr>
        <w:pStyle w:val="826"/>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5.报价要求：</w:t>
      </w:r>
      <w:r>
        <w:rPr>
          <w:rFonts w:hint="eastAsia" w:ascii="宋体" w:hAnsi="宋体" w:eastAsia="宋体" w:cs="宋体"/>
          <w:color w:val="000000"/>
          <w:sz w:val="21"/>
          <w:szCs w:val="21"/>
          <w:highlight w:val="none"/>
          <w:lang w:val="en-US" w:eastAsia="zh-CN"/>
        </w:rPr>
      </w:r>
      <w:r/>
    </w:p>
    <w:p>
      <w:pPr>
        <w:pStyle w:val="826"/>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投标报价应包含与本次采购项目有关的所有费用。包含但不限于货物、设备安装调试、试运行、验收、售后服务、伴随配套服务、运维服务、驻场服务等所有含税费用。同时，还应包含支付给员工的工资和国家强制缴纳的各种社会保障资金，以及投标人认为需要的其他费用等。</w:t>
      </w:r>
      <w:r>
        <w:rPr>
          <w:rFonts w:hint="eastAsia" w:ascii="宋体" w:hAnsi="宋体" w:eastAsia="宋体" w:cs="宋体"/>
          <w:color w:val="000000"/>
          <w:sz w:val="21"/>
          <w:szCs w:val="21"/>
          <w:highlight w:val="none"/>
          <w:lang w:val="en-US" w:eastAsia="zh-CN"/>
        </w:rPr>
      </w:r>
      <w:r/>
    </w:p>
    <w:p>
      <w:pPr>
        <w:pStyle w:val="826"/>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5.2投标人的任何错漏、优惠、竞争性报价不得作为减轻责任、减少服务、增加收费、降低服务质量的理由。</w:t>
      </w:r>
      <w:r>
        <w:rPr>
          <w:rFonts w:hint="eastAsia" w:ascii="宋体" w:hAnsi="宋体" w:eastAsia="宋体" w:cs="宋体"/>
          <w:color w:val="000000"/>
          <w:sz w:val="21"/>
          <w:szCs w:val="21"/>
          <w:highlight w:val="none"/>
          <w:lang w:val="en-US" w:eastAsia="zh-CN"/>
        </w:rPr>
      </w:r>
      <w:r/>
    </w:p>
    <w:p>
      <w:pPr>
        <w:pStyle w:val="826"/>
        <w:ind w:firstLine="420"/>
        <w:spacing w:line="360" w:lineRule="auto"/>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rPr>
        <w:t xml:space="preserve">6.投标人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rFonts w:hint="eastAsia" w:ascii="仿宋" w:hAnsi="仿宋" w:eastAsia="仿宋" w:cs="仿宋"/>
          <w:color w:val="000000"/>
          <w:sz w:val="24"/>
          <w:szCs w:val="24"/>
          <w:highlight w:val="none"/>
        </w:rPr>
        <w:br w:type="page" w:clear="all"/>
      </w:r>
      <w:r>
        <w:rPr>
          <w:rFonts w:hint="eastAsia" w:ascii="宋体" w:hAnsi="宋体" w:cs="宋体"/>
          <w:color w:val="000000"/>
          <w:szCs w:val="21"/>
          <w:highlight w:val="none"/>
        </w:rPr>
      </w:r>
      <w:r/>
    </w:p>
    <w:p>
      <w:pPr>
        <w:pStyle w:val="861"/>
        <w:rPr>
          <w:color w:val="000000"/>
          <w:highlight w:val="none"/>
        </w:rPr>
      </w:pPr>
      <w:r/>
      <w:bookmarkStart w:id="66" w:name="_Toc29995"/>
      <w:r/>
      <w:bookmarkStart w:id="67" w:name="_Toc30892"/>
      <w:r>
        <w:rPr>
          <w:rFonts w:hint="eastAsia"/>
          <w:color w:val="000000"/>
          <w:highlight w:val="none"/>
        </w:rPr>
        <w:t xml:space="preserve">第五章 评标方法及评标标准</w:t>
      </w:r>
      <w:bookmarkEnd w:id="65"/>
      <w:r/>
      <w:bookmarkEnd w:id="66"/>
      <w:r/>
      <w:bookmarkEnd w:id="67"/>
      <w:r>
        <w:rPr>
          <w:color w:val="000000"/>
          <w:highlight w:val="none"/>
        </w:rPr>
      </w:r>
      <w:r/>
    </w:p>
    <w:p>
      <w:pPr>
        <w:pStyle w:val="1133"/>
        <w:ind w:firstLine="422"/>
        <w:spacing w:before="0" w:after="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一、评标方法</w:t>
      </w:r>
      <w:r>
        <w:rPr>
          <w:rFonts w:hint="eastAsia" w:ascii="宋体" w:hAnsi="宋体" w:cs="宋体"/>
          <w:b/>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bookmarkStart w:id="68" w:name="_Toc449016388"/>
      <w:r/>
      <w:bookmarkStart w:id="69" w:name="_Toc449017024"/>
      <w:r>
        <w:rPr>
          <w:rFonts w:hint="eastAsia" w:ascii="宋体" w:hAnsi="宋体" w:cs="宋体"/>
          <w:color w:val="000000"/>
          <w:sz w:val="21"/>
          <w:szCs w:val="21"/>
          <w:highlight w:val="none"/>
        </w:rPr>
        <w:t xml:space="preserve">本项目采用综合评分法，评标委员会将对确定为实质性响应招标文件要求的投标文件进行评价和比较。评标结果按评审后得分由高到低顺序排列。得分相同的，按投标报价由低到高顺序排列。得分且投标报价相同的并列。</w:t>
      </w:r>
      <w:r>
        <w:rPr>
          <w:rFonts w:hint="eastAsia" w:ascii="宋体" w:hAnsi="宋体" w:cs="宋体"/>
          <w:color w:val="000000"/>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tcMar>
              <w:left w:w="108" w:type="dxa"/>
              <w:top w:w="0" w:type="dxa"/>
              <w:right w:w="108" w:type="dxa"/>
              <w:bottom w:w="0" w:type="dxa"/>
            </w:tcMar>
            <w:tcW w:w="1375" w:type="dxa"/>
            <w:vAlign w:val="center"/>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rPr>
                <w:rFonts w:hint="eastAsia" w:ascii="宋体" w:hAnsi="宋体" w:cs="宋体"/>
                <w:color w:val="000000"/>
                <w:szCs w:val="21"/>
                <w:highlight w:val="none"/>
              </w:rPr>
            </w:r>
            <w:r/>
          </w:p>
        </w:tc>
        <w:tc>
          <w:tcPr>
            <w:tcMar>
              <w:left w:w="108" w:type="dxa"/>
              <w:top w:w="0" w:type="dxa"/>
              <w:right w:w="108" w:type="dxa"/>
              <w:bottom w:w="0" w:type="dxa"/>
            </w:tcMar>
            <w:tcW w:w="2129" w:type="dxa"/>
            <w:vAlign w:val="center"/>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选取中标候选人数量</w:t>
            </w:r>
            <w:r>
              <w:rPr>
                <w:rFonts w:hint="eastAsia" w:ascii="宋体" w:hAnsi="宋体" w:cs="宋体"/>
                <w:color w:val="000000"/>
                <w:szCs w:val="21"/>
                <w:highlight w:val="none"/>
              </w:rPr>
            </w:r>
            <w:r/>
          </w:p>
        </w:tc>
        <w:tc>
          <w:tcPr>
            <w:tcMar>
              <w:left w:w="108" w:type="dxa"/>
              <w:top w:w="0" w:type="dxa"/>
              <w:right w:w="108" w:type="dxa"/>
              <w:bottom w:w="0" w:type="dxa"/>
            </w:tcMar>
            <w:tcW w:w="5415" w:type="dxa"/>
            <w:vAlign w:val="top"/>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选取中标候选人的原则</w:t>
            </w:r>
            <w:r>
              <w:rPr>
                <w:rFonts w:hint="eastAsia" w:ascii="宋体" w:hAnsi="宋体" w:cs="宋体"/>
                <w:color w:val="000000"/>
                <w:szCs w:val="21"/>
                <w:highlight w:val="none"/>
              </w:rPr>
            </w:r>
            <w:r/>
          </w:p>
        </w:tc>
      </w:tr>
      <w:tr>
        <w:trPr>
          <w:trHeight w:val="963"/>
        </w:trPr>
        <w:tc>
          <w:tcPr>
            <w:tcMar>
              <w:left w:w="108" w:type="dxa"/>
              <w:top w:w="0" w:type="dxa"/>
              <w:right w:w="108" w:type="dxa"/>
              <w:bottom w:w="0" w:type="dxa"/>
            </w:tcMar>
            <w:tcW w:w="1375" w:type="dxa"/>
            <w:vAlign w:val="center"/>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Mar>
              <w:left w:w="108" w:type="dxa"/>
              <w:top w:w="0" w:type="dxa"/>
              <w:right w:w="108" w:type="dxa"/>
              <w:bottom w:w="0" w:type="dxa"/>
            </w:tcMar>
            <w:tcW w:w="2129" w:type="dxa"/>
            <w:vAlign w:val="center"/>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Mar>
              <w:left w:w="108" w:type="dxa"/>
              <w:top w:w="0" w:type="dxa"/>
              <w:right w:w="108" w:type="dxa"/>
              <w:bottom w:w="0" w:type="dxa"/>
            </w:tcMar>
            <w:tcW w:w="5415" w:type="dxa"/>
            <w:vAlign w:val="top"/>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满足招标文件全部实质性要求，且按照评审因素的量化指标评审得分最高的投标人为中标候选人。</w:t>
            </w:r>
            <w:r>
              <w:rPr>
                <w:rFonts w:hint="eastAsia" w:ascii="宋体" w:hAnsi="宋体" w:cs="宋体"/>
                <w:color w:val="000000"/>
                <w:szCs w:val="21"/>
                <w:highlight w:val="none"/>
              </w:rPr>
            </w:r>
            <w:r/>
          </w:p>
        </w:tc>
      </w:tr>
    </w:tbl>
    <w:p>
      <w:pPr>
        <w:pStyle w:val="8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二、政府采购政策功能落实</w:t>
      </w:r>
      <w:bookmarkEnd w:id="68"/>
      <w:r/>
      <w:bookmarkEnd w:id="69"/>
      <w:r>
        <w:rPr>
          <w:rFonts w:hint="eastAsia" w:ascii="宋体" w:hAnsi="宋体" w:cs="宋体"/>
          <w:b/>
          <w:color w:val="000000"/>
          <w:szCs w:val="21"/>
          <w:highlight w:val="none"/>
        </w:rPr>
      </w:r>
      <w:r/>
    </w:p>
    <w:p>
      <w:pPr>
        <w:pStyle w:val="826"/>
        <w:ind w:firstLine="441"/>
        <w:spacing w:line="36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本项目专门面向中小企业：</w:t>
      </w:r>
      <w:r>
        <w:rPr>
          <w:rFonts w:hint="eastAsia" w:ascii="宋体" w:hAnsi="宋体" w:cs="宋体"/>
          <w:b/>
          <w:color w:val="000000"/>
          <w:szCs w:val="21"/>
          <w:highlight w:val="none"/>
          <w:lang w:val="en-US" w:eastAsia="zh-CN"/>
        </w:rPr>
        <w:t xml:space="preserve">否</w:t>
      </w:r>
      <w:r>
        <w:rPr>
          <w:rFonts w:hint="eastAsia" w:ascii="宋体" w:hAnsi="宋体" w:eastAsia="宋体" w:cs="宋体"/>
          <w:color w:val="000000"/>
          <w:szCs w:val="21"/>
          <w:highlight w:val="none"/>
          <w:lang w:val="en-US" w:eastAsia="zh-CN"/>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2141"/>
      </w:tblGrid>
      <w:tr>
        <w:trPr>
          <w:trHeight w:val="488"/>
        </w:trPr>
        <w:tc>
          <w:tcPr>
            <w:tcMar>
              <w:left w:w="108" w:type="dxa"/>
              <w:top w:w="0" w:type="dxa"/>
              <w:right w:w="108" w:type="dxa"/>
              <w:bottom w:w="0" w:type="dxa"/>
            </w:tcMar>
            <w:tcW w:w="1383" w:type="dxa"/>
            <w:vAlign w:val="center"/>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rPr>
                <w:rFonts w:hint="eastAsia" w:ascii="宋体" w:hAnsi="宋体" w:cs="宋体"/>
                <w:color w:val="000000"/>
                <w:szCs w:val="21"/>
                <w:highlight w:val="none"/>
              </w:rPr>
            </w:r>
            <w:r/>
          </w:p>
        </w:tc>
        <w:tc>
          <w:tcPr>
            <w:tcMar>
              <w:left w:w="108" w:type="dxa"/>
              <w:top w:w="0" w:type="dxa"/>
              <w:right w:w="108" w:type="dxa"/>
              <w:bottom w:w="0" w:type="dxa"/>
            </w:tcMar>
            <w:tcW w:w="2141" w:type="dxa"/>
            <w:vAlign w:val="center"/>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专门面向中小企业</w:t>
            </w:r>
            <w:r>
              <w:rPr>
                <w:rFonts w:hint="eastAsia" w:ascii="宋体" w:hAnsi="宋体" w:cs="宋体"/>
                <w:color w:val="000000"/>
                <w:szCs w:val="21"/>
                <w:highlight w:val="none"/>
              </w:rPr>
            </w:r>
            <w:r/>
          </w:p>
        </w:tc>
      </w:tr>
      <w:tr>
        <w:trPr>
          <w:trHeight w:val="538"/>
        </w:trPr>
        <w:tc>
          <w:tcPr>
            <w:tcMar>
              <w:left w:w="108" w:type="dxa"/>
              <w:top w:w="0" w:type="dxa"/>
              <w:right w:w="108" w:type="dxa"/>
              <w:bottom w:w="0" w:type="dxa"/>
            </w:tcMar>
            <w:tcW w:w="1383" w:type="dxa"/>
            <w:vAlign w:val="center"/>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Mar>
              <w:left w:w="108" w:type="dxa"/>
              <w:top w:w="0" w:type="dxa"/>
              <w:right w:w="108" w:type="dxa"/>
              <w:bottom w:w="0" w:type="dxa"/>
            </w:tcMar>
            <w:tcW w:w="2141" w:type="dxa"/>
            <w:vAlign w:val="center"/>
            <w:textDirection w:val="lrTb"/>
            <w:noWrap w:val="false"/>
          </w:tcPr>
          <w:p>
            <w:pPr>
              <w:pStyle w:val="826"/>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bl>
    <w:p>
      <w:pPr>
        <w:pStyle w:val="826"/>
        <w:ind w:firstLine="420"/>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b/>
          <w:color w:val="000000"/>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1.小微型企业价格扣除</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（1）本项目对小型和微型企业产品给予10%的扣除价格，用扣除后的价格参与评审。</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（2）供应商需按照采购文件的要求提供相应的《中小企业声明函》。</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2.残疾人福利单位价格扣除</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（1）本项目对残疾人福利性单位视同小型、微型企业，给予10%的价格扣除，用扣除后的价格参与评审。</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（2）残疾人福利单位需按照采购文件的要求提供《残疾人福利性单位声明函》。</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（3）残疾人福利单位标准请参照《关于促进残疾人就业政府采购政策的通知》（财库2017〕141号）。</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3.监狱和戒毒企业价格扣除</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（1）本项目对监狱和戒毒企业（简称监狱企业）视同小型、微型企业，给予10%的价格扣除，用扣除后的价格参与评审。</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（3）监狱企业标准请参照《关于政府采购支持监狱企业发展有关问题的通知》（财库〔2014〕68号）。</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4.残疾人福利单位、监狱企业属于小型、微型企业的，不重复享受政策。</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6.联合体各方均为小型、微型企业（残疾人福利单位、监狱企业）的，联合体享受10%价格扣除，用扣除后的价格参与评审。</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7.大中型企业向小型、微型企业分包的，分包意向协议约定小型、微型企业合同份额占到合同总金额30%以上的，给予4%的价格扣除，用扣除后的价格参与评审。</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8.采购本国产品的支持政策</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8.3 供应商需按照招标文件的要求提供《关于符合本国产品标准的声明函》（以下简称《声明函》），如不提供将不享受本国产品价格评审优惠。</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1"/>
          <w:szCs w:val="21"/>
          <w:highlight w:val="none"/>
        </w:rPr>
      </w:r>
      <w:r/>
    </w:p>
    <w:p>
      <w:pPr>
        <w:pStyle w:val="1133"/>
        <w:ind w:firstLine="422"/>
        <w:spacing w:before="0" w:after="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三、评标标准</w:t>
      </w:r>
      <w:r>
        <w:rPr>
          <w:rFonts w:hint="eastAsia" w:ascii="宋体" w:hAnsi="宋体" w:cs="宋体"/>
          <w:b/>
          <w:color w:val="000000"/>
          <w:sz w:val="21"/>
          <w:szCs w:val="21"/>
          <w:highlight w:val="none"/>
        </w:rPr>
      </w:r>
      <w:r/>
    </w:p>
    <w:tbl>
      <w:tblPr>
        <w:tblStyle w:val="9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547"/>
        <w:gridCol w:w="6126"/>
        <w:gridCol w:w="876"/>
      </w:tblGrid>
      <w:tr>
        <w:trPr>
          <w:trHeight w:val="420"/>
          <w:tblHeader/>
        </w:trPr>
        <w:tc>
          <w:tcPr>
            <w:tcMar>
              <w:left w:w="108" w:type="dxa"/>
              <w:top w:w="0" w:type="dxa"/>
              <w:right w:w="108" w:type="dxa"/>
              <w:bottom w:w="0" w:type="dxa"/>
            </w:tcMar>
            <w:tcW w:w="771"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bookmarkStart w:id="70" w:name="_Toc18779"/>
            <w:r>
              <w:rPr>
                <w:rFonts w:hint="eastAsia" w:ascii="宋体" w:hAnsi="宋体" w:cs="宋体"/>
                <w:b/>
                <w:color w:val="000000"/>
                <w:szCs w:val="21"/>
                <w:highlight w:val="none"/>
              </w:rPr>
              <w:t xml:space="preserve">序号</w:t>
            </w:r>
            <w:r>
              <w:rPr>
                <w:rFonts w:hint="eastAsia" w:ascii="宋体" w:hAnsi="宋体" w:cs="宋体"/>
                <w:color w:val="000000"/>
                <w:szCs w:val="21"/>
                <w:highlight w:val="none"/>
              </w:rPr>
            </w:r>
            <w:r/>
          </w:p>
        </w:tc>
        <w:tc>
          <w:tcPr>
            <w:tcMar>
              <w:left w:w="108" w:type="dxa"/>
              <w:top w:w="0" w:type="dxa"/>
              <w:right w:w="108" w:type="dxa"/>
              <w:bottom w:w="0" w:type="dxa"/>
            </w:tcMar>
            <w:tcW w:w="1547"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评标因素</w:t>
            </w:r>
            <w:r>
              <w:rPr>
                <w:rFonts w:hint="eastAsia" w:ascii="宋体" w:hAnsi="宋体" w:cs="宋体"/>
                <w:color w:val="000000"/>
                <w:szCs w:val="21"/>
                <w:highlight w:val="none"/>
              </w:rPr>
            </w:r>
            <w:r/>
          </w:p>
        </w:tc>
        <w:tc>
          <w:tcPr>
            <w:tcMar>
              <w:left w:w="108" w:type="dxa"/>
              <w:top w:w="0" w:type="dxa"/>
              <w:right w:w="108" w:type="dxa"/>
              <w:bottom w:w="0" w:type="dxa"/>
            </w:tcMar>
            <w:tcW w:w="6126"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评标细则</w:t>
            </w:r>
            <w:r>
              <w:rPr>
                <w:rFonts w:hint="eastAsia" w:ascii="宋体" w:hAnsi="宋体" w:cs="宋体"/>
                <w:color w:val="000000"/>
                <w:szCs w:val="21"/>
                <w:highlight w:val="none"/>
              </w:rPr>
            </w:r>
            <w:r/>
          </w:p>
        </w:tc>
        <w:tc>
          <w:tcPr>
            <w:tcMar>
              <w:left w:w="108" w:type="dxa"/>
              <w:top w:w="0" w:type="dxa"/>
              <w:right w:w="108" w:type="dxa"/>
              <w:bottom w:w="0" w:type="dxa"/>
            </w:tcMar>
            <w:tcW w:w="876"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分值</w:t>
            </w:r>
            <w:r>
              <w:rPr>
                <w:rFonts w:hint="eastAsia" w:ascii="宋体" w:hAnsi="宋体" w:cs="宋体"/>
                <w:color w:val="000000"/>
                <w:szCs w:val="21"/>
                <w:highlight w:val="none"/>
              </w:rPr>
            </w:r>
            <w:r/>
          </w:p>
        </w:tc>
      </w:tr>
      <w:tr>
        <w:trPr>
          <w:trHeight w:val="456"/>
        </w:trPr>
        <w:tc>
          <w:tcPr>
            <w:gridSpan w:val="4"/>
            <w:tcMar>
              <w:left w:w="108" w:type="dxa"/>
              <w:top w:w="0" w:type="dxa"/>
              <w:right w:w="108" w:type="dxa"/>
              <w:bottom w:w="0" w:type="dxa"/>
            </w:tcMar>
            <w:tcW w:w="9320" w:type="dxa"/>
            <w:vAlign w:val="center"/>
            <w:textDirection w:val="lrTb"/>
            <w:noWrap/>
          </w:tcPr>
          <w:p>
            <w:pPr>
              <w:pStyle w:val="82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一、价格分（30分）</w:t>
            </w:r>
            <w:r>
              <w:rPr>
                <w:rFonts w:hint="eastAsia" w:ascii="宋体" w:hAnsi="宋体" w:cs="宋体"/>
                <w:color w:val="000000"/>
                <w:szCs w:val="21"/>
                <w:highlight w:val="none"/>
              </w:rPr>
            </w:r>
            <w:r/>
          </w:p>
        </w:tc>
      </w:tr>
      <w:tr>
        <w:trPr>
          <w:trHeight w:val="90"/>
        </w:trPr>
        <w:tc>
          <w:tcPr>
            <w:tcMar>
              <w:left w:w="108" w:type="dxa"/>
              <w:top w:w="0" w:type="dxa"/>
              <w:right w:w="108" w:type="dxa"/>
              <w:bottom w:w="0" w:type="dxa"/>
            </w:tcMar>
            <w:tcW w:w="771"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Mar>
              <w:left w:w="108" w:type="dxa"/>
              <w:top w:w="0" w:type="dxa"/>
              <w:right w:w="108" w:type="dxa"/>
              <w:bottom w:w="0" w:type="dxa"/>
            </w:tcMar>
            <w:tcW w:w="1547"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c>
          <w:tcPr>
            <w:tcMar>
              <w:left w:w="108" w:type="dxa"/>
              <w:top w:w="0" w:type="dxa"/>
              <w:right w:w="108" w:type="dxa"/>
              <w:bottom w:w="0" w:type="dxa"/>
            </w:tcMar>
            <w:tcW w:w="6126" w:type="dxa"/>
            <w:vAlign w:val="center"/>
            <w:textDirection w:val="lrTb"/>
            <w:noWrap/>
          </w:tcPr>
          <w:p>
            <w:pPr>
              <w:pStyle w:val="826"/>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满足招标文件要求的最低投标报价为评标基准价，其价格分为满分。其他投标人的价格分按照下列公式计算：投标报价得分=(评标基准价／投标报价）×</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×100%，分值四舍五入保留小数点后2位。</w:t>
            </w:r>
            <w:r>
              <w:rPr>
                <w:rFonts w:hint="eastAsia" w:ascii="宋体" w:hAnsi="宋体" w:cs="宋体"/>
                <w:color w:val="000000"/>
                <w:sz w:val="21"/>
                <w:szCs w:val="21"/>
                <w:highlight w:val="none"/>
              </w:rPr>
            </w:r>
            <w:r/>
          </w:p>
        </w:tc>
        <w:tc>
          <w:tcPr>
            <w:tcMar>
              <w:left w:w="108" w:type="dxa"/>
              <w:top w:w="0" w:type="dxa"/>
              <w:right w:w="108" w:type="dxa"/>
              <w:bottom w:w="0" w:type="dxa"/>
            </w:tcMar>
            <w:tcW w:w="876"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r>
      <w:tr>
        <w:trPr>
          <w:trHeight w:val="538"/>
        </w:trPr>
        <w:tc>
          <w:tcPr>
            <w:gridSpan w:val="4"/>
            <w:tcMar>
              <w:left w:w="108" w:type="dxa"/>
              <w:top w:w="0" w:type="dxa"/>
              <w:right w:w="108" w:type="dxa"/>
              <w:bottom w:w="0" w:type="dxa"/>
            </w:tcMar>
            <w:tcW w:w="9320" w:type="dxa"/>
            <w:vAlign w:val="center"/>
            <w:textDirection w:val="lrTb"/>
            <w:noWrap/>
          </w:tcPr>
          <w:p>
            <w:pPr>
              <w:pStyle w:val="826"/>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二、</w:t>
            </w:r>
            <w:r>
              <w:rPr>
                <w:rFonts w:hint="eastAsia" w:ascii="宋体" w:hAnsi="宋体" w:cs="宋体"/>
                <w:b/>
                <w:color w:val="000000"/>
                <w:sz w:val="21"/>
                <w:szCs w:val="21"/>
                <w:highlight w:val="none"/>
                <w:lang w:val="en-US" w:eastAsia="zh-CN"/>
              </w:rPr>
              <w:t xml:space="preserve">技术</w:t>
            </w:r>
            <w:r>
              <w:rPr>
                <w:rFonts w:hint="eastAsia" w:ascii="宋体" w:hAnsi="宋体" w:cs="宋体"/>
                <w:b/>
                <w:color w:val="000000"/>
                <w:sz w:val="21"/>
                <w:szCs w:val="21"/>
                <w:highlight w:val="none"/>
              </w:rPr>
              <w:t xml:space="preserve">部分</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55</w:t>
            </w:r>
            <w:r>
              <w:rPr>
                <w:rFonts w:hint="eastAsia" w:ascii="宋体" w:hAnsi="宋体" w:eastAsia="宋体" w:cs="宋体"/>
                <w:b/>
                <w:bCs/>
                <w:color w:val="000000"/>
                <w:sz w:val="21"/>
                <w:szCs w:val="21"/>
                <w:highlight w:val="none"/>
              </w:rPr>
              <w:t xml:space="preserve">分）</w:t>
            </w:r>
            <w:r>
              <w:rPr>
                <w:rFonts w:hint="eastAsia" w:ascii="宋体" w:hAnsi="宋体" w:cs="宋体"/>
                <w:color w:val="000000"/>
                <w:sz w:val="21"/>
                <w:szCs w:val="21"/>
                <w:highlight w:val="none"/>
              </w:rPr>
            </w:r>
            <w:r/>
          </w:p>
        </w:tc>
      </w:tr>
      <w:tr>
        <w:trPr>
          <w:trHeight w:val="90"/>
        </w:trPr>
        <w:tc>
          <w:tcPr>
            <w:tcMar>
              <w:left w:w="108" w:type="dxa"/>
              <w:top w:w="0" w:type="dxa"/>
              <w:right w:w="108" w:type="dxa"/>
              <w:bottom w:w="0" w:type="dxa"/>
            </w:tcMar>
            <w:tcW w:w="771"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Mar>
              <w:left w:w="108" w:type="dxa"/>
              <w:top w:w="0" w:type="dxa"/>
              <w:right w:w="108" w:type="dxa"/>
              <w:bottom w:w="0" w:type="dxa"/>
            </w:tcMar>
            <w:tcW w:w="1547" w:type="dxa"/>
            <w:vAlign w:val="center"/>
            <w:textDirection w:val="lrTb"/>
            <w:noWrap/>
          </w:tcPr>
          <w:p>
            <w:pPr>
              <w:pStyle w:val="826"/>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技术参数响应</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6126" w:type="dxa"/>
            <w:vAlign w:val="center"/>
            <w:textDirection w:val="lrTb"/>
            <w:noWrap/>
          </w:tcPr>
          <w:p>
            <w:pPr>
              <w:pStyle w:val="826"/>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针对采购</w:t>
            </w:r>
            <w:r>
              <w:rPr>
                <w:rFonts w:hint="eastAsia" w:ascii="宋体" w:hAnsi="宋体" w:cs="宋体"/>
                <w:color w:val="000000"/>
                <w:sz w:val="21"/>
                <w:szCs w:val="21"/>
                <w:highlight w:val="none"/>
                <w:lang w:val="en-US" w:eastAsia="zh-CN"/>
              </w:rPr>
              <w:t xml:space="preserve">需求中</w:t>
            </w:r>
            <w:r>
              <w:rPr>
                <w:rFonts w:hint="eastAsia" w:ascii="宋体" w:hAnsi="宋体" w:cs="宋体"/>
                <w:b/>
                <w:bCs/>
                <w:color w:val="000000"/>
                <w:sz w:val="21"/>
                <w:szCs w:val="21"/>
                <w:highlight w:val="none"/>
                <w:lang w:eastAsia="zh-CN"/>
              </w:rPr>
              <w:t xml:space="preserve">“东区医院采购货物清单及参数要求；</w:t>
            </w:r>
            <w:r>
              <w:rPr>
                <w:rFonts w:hint="eastAsia" w:ascii="宋体" w:hAnsi="宋体" w:cs="宋体"/>
                <w:b/>
                <w:bCs/>
                <w:color w:val="000000"/>
                <w:sz w:val="21"/>
                <w:szCs w:val="21"/>
                <w:highlight w:val="none"/>
                <w:lang w:val="en-US" w:eastAsia="zh-CN"/>
              </w:rPr>
              <w:t xml:space="preserve">西</w:t>
            </w:r>
            <w:r>
              <w:rPr>
                <w:rFonts w:hint="eastAsia" w:ascii="宋体" w:hAnsi="宋体" w:cs="宋体"/>
                <w:b/>
                <w:bCs/>
                <w:color w:val="000000"/>
                <w:sz w:val="21"/>
                <w:szCs w:val="21"/>
                <w:highlight w:val="none"/>
                <w:lang w:eastAsia="zh-CN"/>
              </w:rPr>
              <w:t xml:space="preserve">区医院采购货物清单及参数要求；东区、西区医院消防系统采购货物清单及参数要求”</w:t>
            </w:r>
            <w:r>
              <w:rPr>
                <w:rFonts w:hint="eastAsia" w:ascii="宋体" w:hAnsi="宋体" w:eastAsia="宋体" w:cs="宋体"/>
                <w:color w:val="000000"/>
                <w:sz w:val="21"/>
                <w:szCs w:val="21"/>
                <w:highlight w:val="none"/>
                <w:lang w:eastAsia="zh-CN"/>
              </w:rPr>
              <w:t xml:space="preserve">列出的</w:t>
            </w:r>
            <w:r>
              <w:rPr>
                <w:rFonts w:hint="eastAsia" w:ascii="宋体" w:hAnsi="宋体" w:cs="宋体"/>
                <w:color w:val="000000"/>
                <w:sz w:val="21"/>
                <w:szCs w:val="21"/>
                <w:highlight w:val="none"/>
                <w:lang w:val="en-US" w:eastAsia="zh-CN"/>
              </w:rPr>
              <w:t xml:space="preserve">技术参数</w:t>
            </w:r>
            <w:r>
              <w:rPr>
                <w:rFonts w:hint="eastAsia" w:ascii="宋体" w:hAnsi="宋体" w:eastAsia="宋体" w:cs="宋体"/>
                <w:color w:val="000000"/>
                <w:sz w:val="21"/>
                <w:szCs w:val="21"/>
                <w:highlight w:val="none"/>
                <w:lang w:eastAsia="zh-CN"/>
              </w:rPr>
              <w:t xml:space="preserve">，提供《</w:t>
            </w:r>
            <w:r>
              <w:rPr>
                <w:rFonts w:hint="eastAsia" w:ascii="宋体" w:hAnsi="宋体" w:cs="宋体"/>
                <w:color w:val="000000"/>
                <w:sz w:val="21"/>
                <w:szCs w:val="21"/>
                <w:highlight w:val="none"/>
                <w:lang w:eastAsia="zh-CN"/>
              </w:rPr>
              <w:t xml:space="preserve">技术要求响应及偏离表</w:t>
            </w:r>
            <w:r>
              <w:rPr>
                <w:rFonts w:hint="eastAsia" w:ascii="宋体" w:hAnsi="宋体" w:eastAsia="宋体" w:cs="宋体"/>
                <w:color w:val="000000"/>
                <w:sz w:val="21"/>
                <w:szCs w:val="21"/>
                <w:highlight w:val="none"/>
                <w:lang w:eastAsia="zh-CN"/>
              </w:rPr>
              <w:t xml:space="preserve">》（投标人须对照采购</w:t>
            </w:r>
            <w:r>
              <w:rPr>
                <w:rFonts w:hint="eastAsia" w:ascii="宋体" w:hAnsi="宋体" w:cs="宋体"/>
                <w:color w:val="000000"/>
                <w:sz w:val="21"/>
                <w:szCs w:val="21"/>
                <w:highlight w:val="none"/>
                <w:lang w:val="en-US" w:eastAsia="zh-CN"/>
              </w:rPr>
              <w:t xml:space="preserve">货物</w:t>
            </w:r>
            <w:r>
              <w:rPr>
                <w:rFonts w:hint="eastAsia" w:ascii="宋体" w:hAnsi="宋体" w:eastAsia="宋体" w:cs="宋体"/>
                <w:color w:val="000000"/>
                <w:sz w:val="21"/>
                <w:szCs w:val="21"/>
                <w:highlight w:val="none"/>
                <w:lang w:eastAsia="zh-CN"/>
              </w:rPr>
              <w:t xml:space="preserve">清单及参数要求逐条列出，</w:t>
            </w:r>
            <w:r>
              <w:rPr>
                <w:rFonts w:hint="eastAsia" w:ascii="宋体" w:hAnsi="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lang w:eastAsia="zh-CN"/>
              </w:rPr>
              <w:t xml:space="preserve">在投标文件中对应列出全部投标产品的技术项，并注明“无偏离”或“负偏离”，</w:t>
            </w:r>
            <w:r>
              <w:rPr>
                <w:rFonts w:hint="eastAsia" w:ascii="宋体" w:hAnsi="宋体" w:cs="宋体"/>
                <w:color w:val="000000"/>
                <w:sz w:val="21"/>
                <w:szCs w:val="21"/>
                <w:highlight w:val="none"/>
                <w:lang w:val="en-US" w:eastAsia="zh-CN"/>
              </w:rPr>
              <w:t xml:space="preserve">如</w:t>
            </w:r>
            <w:r>
              <w:rPr>
                <w:rFonts w:hint="eastAsia" w:ascii="宋体" w:hAnsi="宋体" w:eastAsia="宋体" w:cs="宋体"/>
                <w:color w:val="000000"/>
                <w:sz w:val="21"/>
                <w:szCs w:val="21"/>
                <w:highlight w:val="none"/>
                <w:lang w:eastAsia="zh-CN"/>
              </w:rPr>
              <w:t xml:space="preserve">遗漏</w:t>
            </w:r>
            <w:r>
              <w:rPr>
                <w:rFonts w:hint="eastAsia" w:ascii="宋体" w:hAnsi="宋体" w:cs="宋体"/>
                <w:color w:val="000000"/>
                <w:sz w:val="21"/>
                <w:szCs w:val="21"/>
                <w:highlight w:val="none"/>
                <w:lang w:val="en-US" w:eastAsia="zh-CN"/>
              </w:rPr>
              <w:t xml:space="preserve">视为负偏离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本项最高</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eastAsia="zh-CN"/>
              </w:rPr>
              <w:t xml:space="preserve">分，其中：</w:t>
            </w:r>
            <w:r>
              <w:rPr>
                <w:rFonts w:hint="eastAsia" w:ascii="宋体" w:hAnsi="宋体" w:eastAsia="宋体" w:cs="宋体"/>
                <w:color w:val="000000"/>
                <w:sz w:val="21"/>
                <w:szCs w:val="21"/>
                <w:highlight w:val="none"/>
                <w:lang w:eastAsia="zh-CN"/>
              </w:rPr>
            </w:r>
            <w:r/>
          </w:p>
          <w:p>
            <w:pPr>
              <w:pStyle w:val="826"/>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①在参数要求中“</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”标项为重要技术</w:t>
            </w:r>
            <w:r>
              <w:rPr>
                <w:rFonts w:hint="eastAsia" w:ascii="宋体" w:hAnsi="宋体" w:eastAsia="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lang w:eastAsia="zh-CN"/>
              </w:rPr>
              <w:t xml:space="preserve">，出现一个负偏离扣</w:t>
            </w:r>
            <w:r>
              <w:rPr>
                <w:rFonts w:hint="eastAsia" w:ascii="宋体" w:hAnsi="宋体" w:eastAsia="宋体" w:cs="宋体"/>
                <w:color w:val="000000"/>
                <w:sz w:val="21"/>
                <w:szCs w:val="21"/>
                <w:highlight w:val="none"/>
                <w:lang w:val="en-US" w:eastAsia="zh-CN"/>
              </w:rPr>
              <w:t xml:space="preserve">0.4</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本项满分20分，扣完为止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②其他技术指标“括号内已标注的1-500项”出现负偏离每一个扣</w:t>
            </w:r>
            <w:r>
              <w:rPr>
                <w:rFonts w:hint="eastAsia" w:ascii="宋体" w:hAnsi="宋体" w:eastAsia="宋体" w:cs="宋体"/>
                <w:color w:val="000000"/>
                <w:sz w:val="21"/>
                <w:szCs w:val="21"/>
                <w:highlight w:val="none"/>
                <w:lang w:val="en-US" w:eastAsia="zh-CN"/>
              </w:rPr>
              <w:t xml:space="preserve">0.01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本项满分5分，</w:t>
            </w:r>
            <w:r>
              <w:rPr>
                <w:rFonts w:hint="eastAsia" w:ascii="宋体" w:hAnsi="宋体" w:eastAsia="宋体" w:cs="宋体"/>
                <w:color w:val="000000"/>
                <w:sz w:val="21"/>
                <w:szCs w:val="21"/>
                <w:highlight w:val="none"/>
                <w:lang w:eastAsia="zh-CN"/>
              </w:rPr>
              <w:t xml:space="preserve">扣完为止。</w:t>
            </w:r>
            <w:r>
              <w:rPr>
                <w:rFonts w:hint="eastAsia" w:ascii="宋体" w:hAnsi="宋体" w:eastAsia="宋体" w:cs="宋体"/>
                <w:color w:val="000000"/>
                <w:sz w:val="21"/>
                <w:szCs w:val="21"/>
                <w:highlight w:val="none"/>
                <w:lang w:eastAsia="zh-CN"/>
              </w:rPr>
            </w:r>
            <w:r/>
          </w:p>
          <w:p>
            <w:pPr>
              <w:pStyle w:val="826"/>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lang w:eastAsia="zh-CN"/>
              </w:rPr>
            </w:r>
            <w:r/>
          </w:p>
          <w:p>
            <w:pPr>
              <w:pStyle w:val="826"/>
              <w:numPr>
                <w:ilvl w:val="0"/>
                <w:numId w:val="19"/>
              </w:numPr>
              <w:jc w:val="left"/>
              <w:spacing w:line="240" w:lineRule="auto"/>
              <w:rPr>
                <w:rFonts w:hint="eastAsia" w:ascii="宋体" w:hAnsi="宋体" w:eastAsia="宋体" w:cs="宋体"/>
                <w:b w:val="0"/>
                <w:bCs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eastAsia="zh-CN"/>
              </w:rPr>
              <w:t xml:space="preserve">在参数要求中“</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”标项</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eastAsia="zh-CN"/>
              </w:rPr>
              <w:t xml:space="preserve">至少提供以下任意一种证明材料：A.具有检测检验资质机构出具的</w:t>
            </w:r>
            <w:r>
              <w:rPr>
                <w:rFonts w:hint="eastAsia" w:ascii="宋体" w:hAnsi="宋体" w:eastAsia="宋体" w:cs="宋体"/>
                <w:color w:val="000000"/>
                <w:sz w:val="21"/>
                <w:szCs w:val="21"/>
                <w:highlight w:val="none"/>
                <w:lang w:val="en-US" w:eastAsia="zh-CN"/>
              </w:rPr>
              <w:t xml:space="preserve">有效</w:t>
            </w:r>
            <w:r>
              <w:rPr>
                <w:rFonts w:hint="eastAsia" w:ascii="宋体" w:hAnsi="宋体" w:eastAsia="宋体" w:cs="宋体"/>
                <w:color w:val="000000"/>
                <w:sz w:val="21"/>
                <w:szCs w:val="21"/>
                <w:highlight w:val="none"/>
                <w:lang w:eastAsia="zh-CN"/>
              </w:rPr>
              <w:t xml:space="preserve">检测（检验）报告；B.所投产品功能界面截图或【</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lang w:eastAsia="zh-CN"/>
              </w:rPr>
              <w:t xml:space="preserve">官网截图</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lang w:eastAsia="zh-CN"/>
              </w:rPr>
              <w:t xml:space="preserve">附查询网址】；C.</w:t>
            </w:r>
            <w:r>
              <w:rPr>
                <w:rFonts w:hint="eastAsia" w:ascii="宋体" w:hAnsi="宋体" w:eastAsia="宋体" w:cs="宋体"/>
                <w:color w:val="000000"/>
                <w:szCs w:val="21"/>
                <w:highlight w:val="none"/>
              </w:rPr>
              <w:t xml:space="preserve">所投产品</w:t>
            </w:r>
            <w:r>
              <w:rPr>
                <w:rFonts w:hint="eastAsia" w:ascii="宋体" w:hAnsi="宋体" w:eastAsia="宋体" w:cs="宋体"/>
                <w:color w:val="000000"/>
                <w:szCs w:val="21"/>
                <w:highlight w:val="none"/>
                <w:lang w:val="en-US" w:eastAsia="zh-CN"/>
              </w:rPr>
              <w:t xml:space="preserve">厂家</w:t>
            </w:r>
            <w:r>
              <w:rPr>
                <w:rFonts w:hint="eastAsia" w:ascii="宋体" w:hAnsi="宋体" w:eastAsia="宋体" w:cs="宋体"/>
                <w:color w:val="000000"/>
                <w:szCs w:val="21"/>
                <w:highlight w:val="none"/>
              </w:rPr>
              <w:t xml:space="preserve">官方公开</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产品彩页（</w:t>
            </w:r>
            <w:r>
              <w:rPr>
                <w:rFonts w:hint="eastAsia" w:ascii="宋体" w:hAnsi="宋体" w:eastAsia="宋体" w:cs="宋体"/>
                <w:color w:val="000000"/>
                <w:szCs w:val="21"/>
                <w:highlight w:val="none"/>
                <w:lang w:val="en-US" w:eastAsia="zh-CN"/>
              </w:rPr>
              <w:t xml:space="preserve">如厂家</w:t>
            </w:r>
            <w:r>
              <w:rPr>
                <w:rFonts w:hint="eastAsia" w:ascii="宋体" w:hAnsi="宋体" w:eastAsia="宋体" w:cs="宋体"/>
                <w:color w:val="000000"/>
                <w:szCs w:val="21"/>
                <w:highlight w:val="none"/>
              </w:rPr>
              <w:t xml:space="preserve">宣传册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产品单页</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eastAsia="zh-CN"/>
              </w:rPr>
              <w:t xml:space="preserve">。以上证明材料【需</w:t>
            </w:r>
            <w:r>
              <w:rPr>
                <w:rFonts w:hint="eastAsia" w:ascii="宋体" w:hAnsi="宋体" w:eastAsia="宋体" w:cs="宋体"/>
                <w:color w:val="000000"/>
                <w:sz w:val="21"/>
                <w:szCs w:val="21"/>
                <w:highlight w:val="none"/>
                <w:lang w:val="en-US" w:eastAsia="zh-CN"/>
              </w:rPr>
              <w:t xml:space="preserve">涵盖所有功能点或技术要求</w:t>
            </w:r>
            <w:r>
              <w:rPr>
                <w:rFonts w:hint="eastAsia" w:ascii="宋体" w:hAnsi="宋体" w:eastAsia="宋体" w:cs="宋体"/>
                <w:color w:val="000000"/>
                <w:sz w:val="21"/>
                <w:szCs w:val="21"/>
                <w:highlight w:val="none"/>
                <w:lang w:eastAsia="zh-CN"/>
              </w:rPr>
              <w:t xml:space="preserve">】加盖</w:t>
            </w:r>
            <w:r>
              <w:rPr>
                <w:rFonts w:hint="eastAsia" w:ascii="宋体" w:hAnsi="宋体" w:cs="宋体"/>
                <w:color w:val="000000"/>
                <w:sz w:val="21"/>
                <w:szCs w:val="21"/>
                <w:highlight w:val="none"/>
                <w:lang w:eastAsia="zh-CN"/>
              </w:rPr>
              <w:t xml:space="preserve">投标人CA电子公章</w:t>
            </w:r>
            <w:r>
              <w:rPr>
                <w:rFonts w:hint="eastAsia" w:ascii="宋体" w:hAnsi="宋体" w:eastAsia="宋体" w:cs="宋体"/>
                <w:color w:val="000000"/>
                <w:sz w:val="21"/>
                <w:szCs w:val="21"/>
                <w:highlight w:val="none"/>
                <w:lang w:eastAsia="zh-CN"/>
              </w:rPr>
              <w:t xml:space="preserve">，否则不予认可，</w:t>
            </w:r>
            <w:r>
              <w:rPr>
                <w:rFonts w:hint="eastAsia" w:ascii="宋体" w:hAnsi="宋体" w:cs="宋体"/>
                <w:color w:val="000000"/>
                <w:sz w:val="21"/>
                <w:szCs w:val="21"/>
                <w:highlight w:val="none"/>
                <w:lang w:val="en-US" w:eastAsia="zh-CN"/>
              </w:rPr>
              <w:t xml:space="preserve">视为负偏离，</w:t>
            </w:r>
            <w:r>
              <w:rPr>
                <w:rFonts w:hint="eastAsia" w:ascii="宋体" w:hAnsi="宋体" w:eastAsia="宋体" w:cs="宋体"/>
                <w:color w:val="000000"/>
                <w:sz w:val="21"/>
                <w:szCs w:val="21"/>
                <w:highlight w:val="none"/>
                <w:lang w:eastAsia="zh-CN"/>
              </w:rPr>
              <w:t xml:space="preserve">对应项不得分。</w:t>
            </w:r>
            <w:r>
              <w:rPr>
                <w:rFonts w:hint="eastAsia" w:ascii="宋体" w:hAnsi="宋体" w:eastAsia="宋体" w:cs="宋体"/>
                <w:b w:val="0"/>
                <w:bCs w:val="0"/>
                <w:color w:val="000000"/>
                <w:sz w:val="21"/>
                <w:szCs w:val="21"/>
                <w:highlight w:val="none"/>
                <w:lang w:val="en-US" w:eastAsia="zh-CN" w:bidi="ar-SA"/>
              </w:rPr>
            </w:r>
            <w:r/>
          </w:p>
          <w:p>
            <w:pPr>
              <w:pStyle w:val="826"/>
              <w:jc w:val="lef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（2）建议技术参数要求相关截图须做显著标识，可采用箭头、标红、下划线等方式将对应参数要求进行标注。</w:t>
            </w:r>
            <w:r>
              <w:rPr>
                <w:rFonts w:hint="eastAsia"/>
                <w:color w:val="000000"/>
                <w:highlight w:val="none"/>
              </w:rPr>
            </w:r>
            <w:r/>
          </w:p>
        </w:tc>
        <w:tc>
          <w:tcPr>
            <w:tcMar>
              <w:left w:w="108" w:type="dxa"/>
              <w:top w:w="0" w:type="dxa"/>
              <w:right w:w="108" w:type="dxa"/>
              <w:bottom w:w="0" w:type="dxa"/>
            </w:tcMar>
            <w:tcW w:w="876" w:type="dxa"/>
            <w:vAlign w:val="center"/>
            <w:textDirection w:val="lrTb"/>
            <w:noWrap/>
          </w:tcPr>
          <w:p>
            <w:pPr>
              <w:pStyle w:val="826"/>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25分</w:t>
            </w:r>
            <w:r>
              <w:rPr>
                <w:rFonts w:ascii="宋体" w:hAnsi="宋体" w:eastAsia="宋体" w:cs="宋体"/>
                <w:color w:val="000000"/>
                <w:szCs w:val="21"/>
                <w:highlight w:val="none"/>
                <w:lang w:val="en-US" w:eastAsia="zh-CN"/>
              </w:rPr>
            </w:r>
            <w:r/>
          </w:p>
        </w:tc>
      </w:tr>
      <w:tr>
        <w:trPr>
          <w:trHeight w:val="2114"/>
        </w:trPr>
        <w:tc>
          <w:tcPr>
            <w:tcMar>
              <w:left w:w="108" w:type="dxa"/>
              <w:top w:w="0" w:type="dxa"/>
              <w:right w:w="108" w:type="dxa"/>
              <w:bottom w:w="0" w:type="dxa"/>
            </w:tcMar>
            <w:tcW w:w="771" w:type="dxa"/>
            <w:vAlign w:val="center"/>
            <w:textDirection w:val="lrTb"/>
            <w:noWrap/>
          </w:tcPr>
          <w:p>
            <w:pPr>
              <w:pStyle w:val="826"/>
              <w:jc w:val="center"/>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2.2</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1547" w:type="dxa"/>
            <w:vAlign w:val="center"/>
            <w:textDirection w:val="lrTb"/>
            <w:noWrap/>
          </w:tcPr>
          <w:p>
            <w:pPr>
              <w:pStyle w:val="826"/>
              <w:jc w:val="center"/>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技术差距分析</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6126" w:type="dxa"/>
            <w:vAlign w:val="center"/>
            <w:textDirection w:val="lrTb"/>
            <w:noWrap/>
          </w:tcPr>
          <w:p>
            <w:pPr>
              <w:pStyle w:val="826"/>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对照院方需求、《医院安全防范要求》（GB/T31458-2026）要求，按安全防范系统技术要求和电子防范要求分部分项，按照系统、区域详细分析现状与建设达标要求的差距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826"/>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方案内容科学合理，结构清晰完整，逻辑严谨的得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方案内容较科学合理，结构较清晰，无明显问题的得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方案内容一般，结构基本完整，具有少量细节不完善的得1分；</w:t>
            </w:r>
            <w:r>
              <w:rPr>
                <w:rFonts w:hint="eastAsia" w:ascii="宋体" w:hAnsi="宋体" w:eastAsia="宋体" w:cs="宋体"/>
                <w:color w:val="000000"/>
                <w:sz w:val="21"/>
                <w:szCs w:val="21"/>
                <w:highlight w:val="none"/>
              </w:rPr>
            </w:r>
            <w:r/>
          </w:p>
          <w:p>
            <w:pPr>
              <w:pStyle w:val="826"/>
              <w:jc w:val="left"/>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内容不符合要求，或未提供方案的不得分。</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876" w:type="dxa"/>
            <w:vAlign w:val="center"/>
            <w:textDirection w:val="lrTb"/>
            <w:noWrap/>
          </w:tcPr>
          <w:p>
            <w:pPr>
              <w:pStyle w:val="826"/>
              <w:jc w:val="center"/>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eastAsia="宋体" w:cs="宋体"/>
                <w:color w:val="000000"/>
                <w:sz w:val="21"/>
                <w:szCs w:val="21"/>
                <w:highlight w:val="none"/>
                <w:lang w:val="en-US" w:eastAsia="zh-CN" w:bidi="ar-SA"/>
              </w:rPr>
            </w:r>
            <w:r/>
          </w:p>
        </w:tc>
      </w:tr>
      <w:tr>
        <w:trPr>
          <w:trHeight w:val="1947"/>
        </w:trPr>
        <w:tc>
          <w:tcPr>
            <w:tcMar>
              <w:left w:w="108" w:type="dxa"/>
              <w:top w:w="0" w:type="dxa"/>
              <w:right w:w="108" w:type="dxa"/>
              <w:bottom w:w="0" w:type="dxa"/>
            </w:tcMar>
            <w:tcW w:w="771" w:type="dxa"/>
            <w:vAlign w:val="center"/>
            <w:textDirection w:val="lrTb"/>
            <w:noWrap/>
          </w:tcPr>
          <w:p>
            <w:pPr>
              <w:pStyle w:val="826"/>
              <w:jc w:val="center"/>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2.3</w:t>
            </w:r>
            <w:r>
              <w:rPr>
                <w:rFonts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1547" w:type="dxa"/>
            <w:vAlign w:val="center"/>
            <w:textDirection w:val="lrTb"/>
            <w:noWrap/>
          </w:tcPr>
          <w:p>
            <w:pPr>
              <w:pStyle w:val="826"/>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利旧方案</w:t>
            </w:r>
            <w:r>
              <w:rPr>
                <w:rFonts w:ascii="宋体" w:hAnsi="宋体" w:cs="宋体"/>
                <w:color w:val="000000"/>
                <w:szCs w:val="21"/>
                <w:highlight w:val="none"/>
                <w:lang w:val="en-US" w:eastAsia="zh-CN"/>
              </w:rPr>
            </w:r>
            <w:r/>
          </w:p>
        </w:tc>
        <w:tc>
          <w:tcPr>
            <w:tcMar>
              <w:left w:w="108" w:type="dxa"/>
              <w:top w:w="0" w:type="dxa"/>
              <w:right w:w="108" w:type="dxa"/>
              <w:bottom w:w="0" w:type="dxa"/>
            </w:tcMar>
            <w:tcW w:w="6126" w:type="dxa"/>
            <w:vAlign w:val="center"/>
            <w:textDirection w:val="lrTb"/>
            <w:noWrap/>
          </w:tcPr>
          <w:p>
            <w:pPr>
              <w:pStyle w:val="826"/>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投标人</w:t>
            </w:r>
            <w:r>
              <w:rPr>
                <w:rFonts w:hint="eastAsia" w:ascii="宋体" w:hAnsi="宋体" w:cs="宋体"/>
                <w:b w:val="0"/>
                <w:bCs w:val="0"/>
                <w:color w:val="000000"/>
                <w:sz w:val="21"/>
                <w:szCs w:val="21"/>
                <w:highlight w:val="none"/>
                <w:lang w:eastAsia="zh-CN"/>
              </w:rPr>
              <w:t xml:space="preserve">出具全面、完整的废旧线路与设备拆除、利旧方案，根据利旧设备的疲劳程度，专业分析设备利旧的可行性，提出利旧解决方案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826"/>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方案内容科学合理，结构清晰完整，逻辑严谨的得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方案内容较科学合理，结构较清晰，无明显问题的得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方案内容一般，结构基本完整，具有少量细节不完善的得1分；</w:t>
            </w:r>
            <w:r>
              <w:rPr>
                <w:rFonts w:hint="eastAsia" w:ascii="宋体" w:hAnsi="宋体" w:eastAsia="宋体" w:cs="宋体"/>
                <w:color w:val="000000"/>
                <w:sz w:val="21"/>
                <w:szCs w:val="21"/>
                <w:highlight w:val="none"/>
              </w:rPr>
            </w:r>
            <w:r/>
          </w:p>
          <w:p>
            <w:pPr>
              <w:pStyle w:val="826"/>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内容不符合要求，或未提供方案的不得分。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76" w:type="dxa"/>
            <w:vAlign w:val="center"/>
            <w:textDirection w:val="lrTb"/>
            <w:noWrap/>
          </w:tcPr>
          <w:p>
            <w:pPr>
              <w:pStyle w:val="826"/>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rPr>
                <w:rFonts w:ascii="宋体" w:hAnsi="宋体" w:cs="宋体"/>
                <w:color w:val="000000"/>
                <w:szCs w:val="21"/>
                <w:highlight w:val="none"/>
                <w:lang w:val="en-US" w:eastAsia="zh-CN"/>
              </w:rPr>
            </w:r>
            <w:r/>
          </w:p>
        </w:tc>
      </w:tr>
      <w:tr>
        <w:trPr>
          <w:trHeight w:val="1832"/>
        </w:trPr>
        <w:tc>
          <w:tcPr>
            <w:tcMar>
              <w:left w:w="108" w:type="dxa"/>
              <w:top w:w="0" w:type="dxa"/>
              <w:right w:w="108" w:type="dxa"/>
              <w:bottom w:w="0" w:type="dxa"/>
            </w:tcMar>
            <w:tcW w:w="771" w:type="dxa"/>
            <w:vAlign w:val="center"/>
            <w:textDirection w:val="lrTb"/>
            <w:noWrap/>
          </w:tcPr>
          <w:p>
            <w:pPr>
              <w:pStyle w:val="826"/>
              <w:jc w:val="center"/>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2.4</w:t>
            </w:r>
            <w:r>
              <w:rPr>
                <w:rFonts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1547" w:type="dxa"/>
            <w:vAlign w:val="center"/>
            <w:textDirection w:val="lrTb"/>
            <w:noWrap/>
          </w:tcPr>
          <w:p>
            <w:pPr>
              <w:pStyle w:val="826"/>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施工部署</w:t>
            </w:r>
            <w:r>
              <w:rPr>
                <w:rFonts w:ascii="宋体" w:hAnsi="宋体" w:cs="宋体"/>
                <w:color w:val="000000"/>
                <w:szCs w:val="21"/>
                <w:highlight w:val="none"/>
                <w:lang w:val="en-US" w:eastAsia="zh-CN"/>
              </w:rPr>
            </w:r>
            <w:r/>
          </w:p>
        </w:tc>
        <w:tc>
          <w:tcPr>
            <w:tcMar>
              <w:left w:w="108" w:type="dxa"/>
              <w:top w:w="0" w:type="dxa"/>
              <w:right w:w="108" w:type="dxa"/>
              <w:bottom w:w="0" w:type="dxa"/>
            </w:tcMar>
            <w:tcW w:w="6126" w:type="dxa"/>
            <w:vAlign w:val="center"/>
            <w:textDirection w:val="lrTb"/>
            <w:noWrap/>
          </w:tcPr>
          <w:p>
            <w:pPr>
              <w:pStyle w:val="826"/>
              <w:jc w:val="left"/>
              <w:rPr>
                <w:rFonts w:hint="eastAsia" w:ascii="宋体" w:hAnsi="宋体" w:cs="宋体"/>
                <w:bCs/>
                <w:color w:val="000000"/>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lang w:bidi="zh-CN"/>
              </w:rPr>
              <w:t xml:space="preserve">施工部署合理，针对本工程特点有针对性措施，主要分项工程的安装等；</w:t>
            </w:r>
            <w:r>
              <w:rPr>
                <w:rFonts w:hint="eastAsia" w:ascii="宋体" w:hAnsi="宋体" w:cs="宋体"/>
                <w:bCs/>
                <w:color w:val="000000"/>
                <w:szCs w:val="21"/>
                <w:highlight w:val="none"/>
                <w:lang w:bidi="zh-CN"/>
              </w:rPr>
            </w:r>
            <w:r/>
          </w:p>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方案内容科学合理，结构清晰完整，逻辑严谨的得</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方案内容较科学合理，结构较清晰，无明显问题的得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方案内容一般，结构基本完整，具有少量细节不完善的得1分；</w:t>
            </w:r>
            <w:r>
              <w:rPr>
                <w:rFonts w:hint="eastAsia" w:ascii="宋体" w:hAnsi="宋体" w:eastAsia="宋体" w:cs="宋体"/>
                <w:color w:val="000000"/>
                <w:szCs w:val="21"/>
                <w:highlight w:val="none"/>
              </w:rPr>
            </w:r>
            <w:r/>
          </w:p>
          <w:p>
            <w:pPr>
              <w:pStyle w:val="826"/>
              <w:jc w:val="left"/>
              <w:rPr>
                <w:rFonts w:hint="eastAsia" w:ascii="宋体" w:hAnsi="宋体" w:cs="宋体"/>
                <w:bCs/>
                <w:color w:val="000000"/>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内容不符合要求，或未提供方案的不得分。</w:t>
            </w:r>
            <w:r>
              <w:rPr>
                <w:rFonts w:hint="eastAsia" w:ascii="宋体" w:hAnsi="宋体" w:cs="宋体"/>
                <w:bCs/>
                <w:color w:val="000000"/>
                <w:szCs w:val="21"/>
                <w:highlight w:val="none"/>
                <w:lang w:bidi="zh-CN"/>
              </w:rPr>
            </w:r>
            <w:r/>
          </w:p>
        </w:tc>
        <w:tc>
          <w:tcPr>
            <w:tcMar>
              <w:left w:w="108" w:type="dxa"/>
              <w:top w:w="0" w:type="dxa"/>
              <w:right w:w="108" w:type="dxa"/>
              <w:bottom w:w="0" w:type="dxa"/>
            </w:tcMar>
            <w:tcW w:w="876" w:type="dxa"/>
            <w:vAlign w:val="center"/>
            <w:textDirection w:val="lrTb"/>
            <w:noWrap/>
          </w:tcPr>
          <w:p>
            <w:pPr>
              <w:pStyle w:val="826"/>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rPr>
                <w:rFonts w:ascii="宋体" w:hAnsi="宋体" w:cs="宋体"/>
                <w:color w:val="000000"/>
                <w:szCs w:val="21"/>
                <w:highlight w:val="none"/>
                <w:lang w:val="en-US" w:eastAsia="zh-CN"/>
              </w:rPr>
            </w:r>
            <w:r/>
          </w:p>
        </w:tc>
      </w:tr>
      <w:tr>
        <w:trPr>
          <w:trHeight w:val="1235"/>
        </w:trPr>
        <w:tc>
          <w:tcPr>
            <w:tcMar>
              <w:left w:w="108" w:type="dxa"/>
              <w:top w:w="0" w:type="dxa"/>
              <w:right w:w="108" w:type="dxa"/>
              <w:bottom w:w="0" w:type="dxa"/>
            </w:tcMar>
            <w:tcW w:w="771" w:type="dxa"/>
            <w:vAlign w:val="center"/>
            <w:textDirection w:val="lrTb"/>
            <w:noWrap/>
          </w:tcPr>
          <w:p>
            <w:pPr>
              <w:pStyle w:val="826"/>
              <w:jc w:val="center"/>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2.5</w:t>
            </w:r>
            <w:r>
              <w:rPr>
                <w:rFonts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1547" w:type="dxa"/>
            <w:vAlign w:val="center"/>
            <w:textDirection w:val="lrTb"/>
            <w:noWrap/>
          </w:tcPr>
          <w:p>
            <w:pPr>
              <w:pStyle w:val="826"/>
              <w:jc w:val="center"/>
              <w:rPr>
                <w:rFonts w:hint="eastAsia"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质量安全保障方案</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6126" w:type="dxa"/>
            <w:vAlign w:val="center"/>
            <w:textDirection w:val="lrTb"/>
            <w:noWrap/>
          </w:tcPr>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方案内容科学合理，结构清晰完整，逻辑严谨的得</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方案内容较科学合理，结构较清晰，无明显问题的得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方案内容一般，结构基本完整，具有少量细节不完善的得1分；</w:t>
            </w:r>
            <w:r>
              <w:rPr>
                <w:rFonts w:hint="eastAsia" w:ascii="宋体" w:hAnsi="宋体" w:eastAsia="宋体" w:cs="宋体"/>
                <w:color w:val="000000"/>
                <w:szCs w:val="21"/>
                <w:highlight w:val="none"/>
              </w:rPr>
            </w:r>
            <w:r/>
          </w:p>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内容不符合要求，或未提供方案的不得分。</w:t>
            </w:r>
            <w:r>
              <w:rPr>
                <w:rFonts w:hint="eastAsia" w:ascii="宋体" w:hAnsi="宋体" w:eastAsia="宋体" w:cs="宋体"/>
                <w:color w:val="000000"/>
                <w:szCs w:val="21"/>
                <w:highlight w:val="none"/>
              </w:rPr>
            </w:r>
            <w:r/>
          </w:p>
        </w:tc>
        <w:tc>
          <w:tcPr>
            <w:tcMar>
              <w:left w:w="108" w:type="dxa"/>
              <w:top w:w="0" w:type="dxa"/>
              <w:right w:w="108" w:type="dxa"/>
              <w:bottom w:w="0" w:type="dxa"/>
            </w:tcMar>
            <w:tcW w:w="876" w:type="dxa"/>
            <w:vAlign w:val="center"/>
            <w:textDirection w:val="lrTb"/>
            <w:noWrap/>
          </w:tcPr>
          <w:p>
            <w:pPr>
              <w:pStyle w:val="826"/>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rPr>
                <w:rFonts w:ascii="宋体" w:hAnsi="宋体" w:cs="宋体"/>
                <w:color w:val="000000"/>
                <w:szCs w:val="21"/>
                <w:highlight w:val="none"/>
                <w:lang w:val="en-US" w:eastAsia="zh-CN"/>
              </w:rPr>
            </w:r>
            <w:r/>
          </w:p>
        </w:tc>
      </w:tr>
      <w:tr>
        <w:trPr>
          <w:trHeight w:val="392"/>
        </w:trPr>
        <w:tc>
          <w:tcPr>
            <w:tcMar>
              <w:left w:w="108" w:type="dxa"/>
              <w:top w:w="0" w:type="dxa"/>
              <w:right w:w="108" w:type="dxa"/>
              <w:bottom w:w="0" w:type="dxa"/>
            </w:tcMar>
            <w:tcW w:w="771" w:type="dxa"/>
            <w:vAlign w:val="center"/>
            <w:textDirection w:val="lrTb"/>
            <w:noWrap/>
          </w:tcPr>
          <w:p>
            <w:pPr>
              <w:pStyle w:val="826"/>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2.6</w:t>
            </w:r>
            <w:r>
              <w:rPr>
                <w:rFonts w:ascii="宋体" w:hAnsi="宋体" w:cs="宋体"/>
                <w:color w:val="000000"/>
                <w:szCs w:val="21"/>
                <w:highlight w:val="none"/>
                <w:lang w:val="en-US" w:eastAsia="zh-CN"/>
              </w:rPr>
            </w:r>
            <w:r/>
          </w:p>
        </w:tc>
        <w:tc>
          <w:tcPr>
            <w:tcMar>
              <w:left w:w="108" w:type="dxa"/>
              <w:top w:w="0" w:type="dxa"/>
              <w:right w:w="108" w:type="dxa"/>
              <w:bottom w:w="0" w:type="dxa"/>
            </w:tcMar>
            <w:tcW w:w="1547" w:type="dxa"/>
            <w:vAlign w:val="center"/>
            <w:textDirection w:val="lrTb"/>
            <w:noWrap/>
          </w:tcPr>
          <w:p>
            <w:pPr>
              <w:pStyle w:val="826"/>
              <w:jc w:val="center"/>
              <w:rPr>
                <w:rFonts w:hint="eastAsia"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不影响常态化工作措施</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6126" w:type="dxa"/>
            <w:vAlign w:val="center"/>
            <w:textDirection w:val="lrTb"/>
            <w:noWrap/>
          </w:tcPr>
          <w:p>
            <w:pPr>
              <w:pStyle w:val="826"/>
              <w:jc w:val="left"/>
              <w:rPr>
                <w:rFonts w:hint="eastAsia" w:ascii="宋体" w:hAnsi="宋体" w:cs="宋体"/>
                <w:bCs/>
                <w:color w:val="000000"/>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lang w:bidi="zh-CN"/>
              </w:rPr>
              <w:t xml:space="preserve">因项目实施过程中不能影响医院正常的医疗工作，须确保招标人东西院区内安防系统正常运行，提供过相关新旧监控系统的切换、过渡等预案，确保实施过程中招标人所属院区内监控可正常使用；</w:t>
            </w:r>
            <w:r>
              <w:rPr>
                <w:rFonts w:hint="eastAsia" w:ascii="宋体" w:hAnsi="宋体" w:cs="宋体"/>
                <w:bCs/>
                <w:color w:val="000000"/>
                <w:szCs w:val="21"/>
                <w:highlight w:val="none"/>
                <w:lang w:bidi="zh-CN"/>
              </w:rPr>
            </w:r>
            <w:r/>
          </w:p>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方案内容科学合理，结构清晰完整，逻辑严谨的得</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方案内容较科学合理，结构较清晰，无明显问题的得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6"/>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方案内容一般，结构基本完整，具有少量细节不完善的得1分；</w:t>
            </w:r>
            <w:r>
              <w:rPr>
                <w:rFonts w:hint="eastAsia" w:ascii="宋体" w:hAnsi="宋体" w:eastAsia="宋体" w:cs="宋体"/>
                <w:color w:val="000000"/>
                <w:szCs w:val="21"/>
                <w:highlight w:val="none"/>
              </w:rPr>
            </w:r>
            <w:r/>
          </w:p>
          <w:p>
            <w:pPr>
              <w:pStyle w:val="826"/>
              <w:jc w:val="left"/>
              <w:rPr>
                <w:rFonts w:hint="eastAsia" w:ascii="宋体" w:hAnsi="宋体" w:cs="宋体"/>
                <w:bCs/>
                <w:color w:val="000000"/>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内容不符合要求，或未提供方案的不得分。</w:t>
            </w:r>
            <w:r>
              <w:rPr>
                <w:rFonts w:hint="eastAsia" w:ascii="宋体" w:hAnsi="宋体" w:cs="宋体"/>
                <w:bCs/>
                <w:color w:val="000000"/>
                <w:szCs w:val="21"/>
                <w:highlight w:val="none"/>
                <w:lang w:bidi="zh-CN"/>
              </w:rPr>
            </w:r>
            <w:r/>
          </w:p>
        </w:tc>
        <w:tc>
          <w:tcPr>
            <w:tcMar>
              <w:left w:w="108" w:type="dxa"/>
              <w:top w:w="0" w:type="dxa"/>
              <w:right w:w="108" w:type="dxa"/>
              <w:bottom w:w="0" w:type="dxa"/>
            </w:tcMar>
            <w:tcW w:w="876" w:type="dxa"/>
            <w:vAlign w:val="center"/>
            <w:textDirection w:val="lrTb"/>
            <w:noWrap/>
          </w:tcPr>
          <w:p>
            <w:pPr>
              <w:pStyle w:val="826"/>
              <w:jc w:val="center"/>
              <w:rPr>
                <w:rFonts w:hint="eastAsia"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rPr>
                <w:rFonts w:hint="eastAsia" w:ascii="宋体" w:hAnsi="宋体" w:cs="宋体"/>
                <w:color w:val="000000"/>
                <w:szCs w:val="21"/>
                <w:highlight w:val="none"/>
                <w:lang w:val="en-US" w:eastAsia="zh-CN"/>
              </w:rPr>
            </w:r>
            <w:r/>
          </w:p>
        </w:tc>
      </w:tr>
      <w:tr>
        <w:trPr>
          <w:trHeight w:val="448"/>
        </w:trPr>
        <w:tc>
          <w:tcPr>
            <w:tcMar>
              <w:left w:w="108" w:type="dxa"/>
              <w:top w:w="0" w:type="dxa"/>
              <w:right w:w="108" w:type="dxa"/>
              <w:bottom w:w="0" w:type="dxa"/>
            </w:tcMar>
            <w:tcW w:w="771" w:type="dxa"/>
            <w:vAlign w:val="center"/>
            <w:textDirection w:val="lrTb"/>
            <w:noWrap/>
          </w:tcPr>
          <w:p>
            <w:pPr>
              <w:pStyle w:val="826"/>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1547" w:type="dxa"/>
            <w:vAlign w:val="center"/>
            <w:textDirection w:val="lrTb"/>
            <w:noWrap/>
          </w:tcPr>
          <w:p>
            <w:pPr>
              <w:pStyle w:val="826"/>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含培训方案</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6126" w:type="dxa"/>
            <w:vAlign w:val="center"/>
            <w:textDirection w:val="lrTb"/>
            <w:noWrap/>
          </w:tcPr>
          <w:p>
            <w:pPr>
              <w:pStyle w:val="82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方案内容科学合理，结构清晰完整，逻辑严谨的得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2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方案内容较科学合理，结构较清晰，无明显问题的得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2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方案内容一般，结构基本完整，具有少量细节不完善的得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分；内容不符合要求，或未提供方案的不得分。</w:t>
            </w:r>
            <w:r>
              <w:rPr>
                <w:rFonts w:hint="eastAsia" w:ascii="宋体" w:hAnsi="宋体" w:cs="宋体"/>
                <w:color w:val="000000"/>
                <w:szCs w:val="21"/>
                <w:highlight w:val="none"/>
              </w:rPr>
            </w:r>
            <w:r/>
          </w:p>
        </w:tc>
        <w:tc>
          <w:tcPr>
            <w:tcMar>
              <w:left w:w="108" w:type="dxa"/>
              <w:top w:w="0" w:type="dxa"/>
              <w:right w:w="108" w:type="dxa"/>
              <w:bottom w:w="0" w:type="dxa"/>
            </w:tcMar>
            <w:tcW w:w="876"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r>
      <w:tr>
        <w:trPr>
          <w:trHeight w:val="576"/>
        </w:trPr>
        <w:tc>
          <w:tcPr>
            <w:gridSpan w:val="4"/>
            <w:tcMar>
              <w:left w:w="108" w:type="dxa"/>
              <w:top w:w="0" w:type="dxa"/>
              <w:right w:w="108" w:type="dxa"/>
              <w:bottom w:w="0" w:type="dxa"/>
            </w:tcMar>
            <w:tcW w:w="9320" w:type="dxa"/>
            <w:vAlign w:val="center"/>
            <w:textDirection w:val="lrTb"/>
            <w:noWrap/>
          </w:tcPr>
          <w:p>
            <w:pPr>
              <w:pStyle w:val="82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三、商务部分</w:t>
            </w:r>
            <w:r>
              <w:rPr>
                <w:rFonts w:hint="eastAsia" w:ascii="宋体" w:hAnsi="宋体" w:eastAsia="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15</w:t>
            </w:r>
            <w:r>
              <w:rPr>
                <w:rFonts w:hint="eastAsia" w:ascii="宋体" w:hAnsi="宋体" w:eastAsia="宋体" w:cs="宋体"/>
                <w:b/>
                <w:bCs/>
                <w:color w:val="000000"/>
                <w:szCs w:val="21"/>
                <w:highlight w:val="none"/>
              </w:rPr>
              <w:t xml:space="preserve">分）</w:t>
            </w:r>
            <w:r>
              <w:rPr>
                <w:rFonts w:hint="eastAsia" w:ascii="宋体" w:hAnsi="宋体" w:cs="宋体"/>
                <w:color w:val="000000"/>
                <w:szCs w:val="21"/>
                <w:highlight w:val="none"/>
              </w:rPr>
            </w:r>
            <w:r/>
          </w:p>
        </w:tc>
      </w:tr>
      <w:tr>
        <w:trPr>
          <w:trHeight w:val="1634"/>
        </w:trPr>
        <w:tc>
          <w:tcPr>
            <w:tcMar>
              <w:left w:w="108" w:type="dxa"/>
              <w:top w:w="0" w:type="dxa"/>
              <w:right w:w="108" w:type="dxa"/>
              <w:bottom w:w="0" w:type="dxa"/>
            </w:tcMar>
            <w:tcW w:w="771" w:type="dxa"/>
            <w:vAlign w:val="center"/>
            <w:textDirection w:val="lrTb"/>
            <w:noWrap/>
          </w:tcPr>
          <w:p>
            <w:pPr>
              <w:pStyle w:val="826"/>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1547"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综合实力</w:t>
            </w:r>
            <w:r>
              <w:rPr>
                <w:rFonts w:hint="eastAsia" w:ascii="宋体" w:hAnsi="宋体" w:cs="宋体"/>
                <w:color w:val="000000"/>
                <w:szCs w:val="21"/>
                <w:highlight w:val="none"/>
              </w:rPr>
            </w:r>
            <w:r/>
          </w:p>
        </w:tc>
        <w:tc>
          <w:tcPr>
            <w:tcMar>
              <w:left w:w="108" w:type="dxa"/>
              <w:top w:w="0" w:type="dxa"/>
              <w:right w:w="108" w:type="dxa"/>
              <w:bottom w:w="0" w:type="dxa"/>
            </w:tcMar>
            <w:tcW w:w="6126" w:type="dxa"/>
            <w:vAlign w:val="center"/>
            <w:textDirection w:val="lrTb"/>
            <w:noWrap/>
          </w:tcPr>
          <w:p>
            <w:pPr>
              <w:pStyle w:val="826"/>
              <w:jc w:val="left"/>
              <w:rPr>
                <w:rFonts w:hint="eastAsia"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投标人具有</w:t>
            </w:r>
            <w:r>
              <w:rPr>
                <w:rFonts w:hint="eastAsia" w:ascii="宋体" w:hAnsi="宋体" w:cs="宋体"/>
                <w:color w:val="000000"/>
                <w:szCs w:val="21"/>
                <w:highlight w:val="none"/>
                <w:lang w:val="en-US" w:eastAsia="zh-CN"/>
              </w:rPr>
              <w:t xml:space="preserve">有效的</w:t>
            </w:r>
            <w:r>
              <w:rPr>
                <w:rFonts w:hint="eastAsia" w:ascii="宋体" w:hAnsi="宋体" w:cs="宋体"/>
                <w:color w:val="000000"/>
                <w:szCs w:val="21"/>
                <w:highlight w:val="none"/>
              </w:rPr>
              <w:t xml:space="preserve">质量管理体系认证</w:t>
            </w:r>
            <w:r>
              <w:rPr>
                <w:rFonts w:hint="eastAsia" w:ascii="宋体" w:hAnsi="宋体" w:cs="宋体"/>
                <w:color w:val="000000"/>
                <w:szCs w:val="21"/>
                <w:highlight w:val="none"/>
                <w:lang w:val="en-US" w:eastAsia="zh-CN"/>
              </w:rPr>
              <w:t xml:space="preserve">证书的得1分；</w:t>
            </w:r>
            <w:r>
              <w:rPr>
                <w:rFonts w:hint="eastAsia" w:ascii="宋体" w:hAnsi="宋体" w:cs="宋体"/>
                <w:color w:val="000000"/>
                <w:szCs w:val="21"/>
                <w:highlight w:val="none"/>
                <w:lang w:val="en-US" w:eastAsia="zh-CN"/>
              </w:rPr>
            </w:r>
            <w:r/>
          </w:p>
          <w:p>
            <w:pPr>
              <w:pStyle w:val="82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w:t>
            </w:r>
            <w:r>
              <w:rPr>
                <w:rFonts w:hint="eastAsia" w:ascii="宋体" w:hAnsi="宋体" w:cs="宋体"/>
                <w:color w:val="000000"/>
                <w:szCs w:val="21"/>
                <w:highlight w:val="none"/>
                <w:lang w:val="en-US" w:eastAsia="zh-CN"/>
              </w:rPr>
              <w:t xml:space="preserve">具有有效的信息安全管理体系认证证书</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26"/>
              <w:jc w:val="left"/>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本项满分2分。</w:t>
            </w:r>
            <w:r>
              <w:rPr>
                <w:rFonts w:hint="eastAsia" w:ascii="宋体" w:hAnsi="宋体" w:cs="宋体"/>
                <w:b/>
                <w:bCs/>
                <w:color w:val="000000"/>
                <w:szCs w:val="21"/>
                <w:highlight w:val="none"/>
              </w:rPr>
              <w:t xml:space="preserve">（提供</w:t>
            </w:r>
            <w:r>
              <w:rPr>
                <w:rFonts w:hint="eastAsia" w:ascii="宋体" w:hAnsi="宋体" w:cs="宋体"/>
                <w:b/>
                <w:bCs/>
                <w:color w:val="000000"/>
                <w:szCs w:val="21"/>
                <w:highlight w:val="none"/>
                <w:lang w:val="en-US" w:eastAsia="zh-CN"/>
              </w:rPr>
              <w:t xml:space="preserve">有效</w:t>
            </w:r>
            <w:r>
              <w:rPr>
                <w:rFonts w:hint="eastAsia" w:ascii="宋体" w:hAnsi="宋体" w:cs="宋体"/>
                <w:b/>
                <w:bCs/>
                <w:color w:val="000000"/>
                <w:szCs w:val="21"/>
                <w:highlight w:val="none"/>
              </w:rPr>
              <w:t xml:space="preserve">证书以及国家认证认可监督管理委员会网站</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https</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//www.cnca.gov.cn/</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查询</w:t>
            </w:r>
            <w:r>
              <w:rPr>
                <w:rFonts w:hint="eastAsia" w:ascii="宋体" w:hAnsi="宋体" w:cs="宋体"/>
                <w:b/>
                <w:bCs/>
                <w:color w:val="000000"/>
                <w:szCs w:val="21"/>
                <w:highlight w:val="none"/>
                <w:lang w:val="en-US" w:eastAsia="zh-CN"/>
              </w:rPr>
              <w:t xml:space="preserve">有效</w:t>
            </w:r>
            <w:r>
              <w:rPr>
                <w:rFonts w:hint="eastAsia" w:ascii="宋体" w:hAnsi="宋体" w:cs="宋体"/>
                <w:b/>
                <w:bCs/>
                <w:color w:val="000000"/>
                <w:szCs w:val="21"/>
                <w:highlight w:val="none"/>
              </w:rPr>
              <w:t xml:space="preserve">截图</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未按要求提供不得分</w:t>
            </w:r>
            <w:r>
              <w:rPr>
                <w:rFonts w:hint="eastAsia" w:ascii="宋体" w:hAnsi="宋体" w:cs="宋体"/>
                <w:b/>
                <w:bCs/>
                <w:color w:val="000000"/>
                <w:szCs w:val="21"/>
                <w:highlight w:val="none"/>
              </w:rPr>
              <w:t xml:space="preserve">）</w:t>
            </w:r>
            <w:r>
              <w:rPr>
                <w:rFonts w:hint="eastAsia" w:ascii="宋体" w:hAnsi="宋体" w:cs="宋体"/>
                <w:b w:val="0"/>
                <w:bCs w:val="0"/>
                <w:color w:val="000000"/>
                <w:szCs w:val="21"/>
                <w:highlight w:val="none"/>
              </w:rPr>
            </w:r>
            <w:r/>
          </w:p>
        </w:tc>
        <w:tc>
          <w:tcPr>
            <w:tcMar>
              <w:left w:w="108" w:type="dxa"/>
              <w:top w:w="0" w:type="dxa"/>
              <w:right w:w="108" w:type="dxa"/>
              <w:bottom w:w="0" w:type="dxa"/>
            </w:tcMar>
            <w:tcW w:w="876" w:type="dxa"/>
            <w:vAlign w:val="center"/>
            <w:textDirection w:val="lrTb"/>
            <w:noWrap/>
          </w:tcPr>
          <w:p>
            <w:pPr>
              <w:pStyle w:val="826"/>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2分</w:t>
            </w:r>
            <w:r>
              <w:rPr>
                <w:rFonts w:ascii="宋体" w:hAnsi="宋体" w:eastAsia="宋体" w:cs="宋体"/>
                <w:color w:val="000000"/>
                <w:szCs w:val="21"/>
                <w:highlight w:val="none"/>
                <w:lang w:val="en-US" w:eastAsia="zh-CN"/>
              </w:rPr>
            </w:r>
            <w:r/>
          </w:p>
        </w:tc>
      </w:tr>
      <w:tr>
        <w:trPr>
          <w:trHeight w:val="343"/>
        </w:trPr>
        <w:tc>
          <w:tcPr>
            <w:tcMar>
              <w:left w:w="108" w:type="dxa"/>
              <w:top w:w="0" w:type="dxa"/>
              <w:right w:w="108" w:type="dxa"/>
              <w:bottom w:w="0" w:type="dxa"/>
            </w:tcMar>
            <w:tcW w:w="771" w:type="dxa"/>
            <w:vAlign w:val="center"/>
            <w:textDirection w:val="lrTb"/>
            <w:noWrap/>
          </w:tcPr>
          <w:p>
            <w:pPr>
              <w:pStyle w:val="826"/>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1547"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质保承诺</w:t>
            </w:r>
            <w:r>
              <w:rPr>
                <w:rFonts w:hint="eastAsia" w:ascii="宋体" w:hAnsi="宋体" w:cs="宋体"/>
                <w:color w:val="000000"/>
                <w:szCs w:val="21"/>
                <w:highlight w:val="none"/>
              </w:rPr>
            </w:r>
            <w:r/>
          </w:p>
        </w:tc>
        <w:tc>
          <w:tcPr>
            <w:tcMar>
              <w:left w:w="108" w:type="dxa"/>
              <w:top w:w="0" w:type="dxa"/>
              <w:right w:w="108" w:type="dxa"/>
              <w:bottom w:w="0" w:type="dxa"/>
            </w:tcMar>
            <w:tcW w:w="6126" w:type="dxa"/>
            <w:vAlign w:val="center"/>
            <w:textDirection w:val="lrTb"/>
            <w:noWrap/>
          </w:tcPr>
          <w:p>
            <w:pPr>
              <w:pStyle w:val="826"/>
              <w:ind w:firstLine="0"/>
              <w:spacing w:line="240" w:lineRule="auto"/>
              <w:rPr>
                <w:rFonts w:hint="eastAsia" w:ascii="宋体" w:hAnsi="宋体" w:cs="宋体"/>
                <w:color w:val="000000"/>
                <w:szCs w:val="21"/>
                <w:highlight w:val="none"/>
              </w:rPr>
            </w:pPr>
            <w:r>
              <w:rPr>
                <w:rFonts w:hint="eastAsia" w:ascii="宋体" w:hAnsi="宋体" w:cs="宋体"/>
                <w:bCs/>
                <w:color w:val="000000"/>
                <w:szCs w:val="21"/>
                <w:highlight w:val="none"/>
                <w:lang w:val="en-US" w:bidi="zh-CN"/>
              </w:rPr>
              <w:t xml:space="preserve">本项目质保期</w:t>
            </w:r>
            <w:r>
              <w:rPr>
                <w:rFonts w:hint="eastAsia" w:ascii="宋体" w:hAnsi="宋体" w:cs="宋体"/>
                <w:bCs/>
                <w:color w:val="ff0000"/>
                <w:szCs w:val="21"/>
                <w:highlight w:val="none"/>
                <w:lang w:val="en-US" w:bidi="zh-CN"/>
              </w:rPr>
              <w:t xml:space="preserve">不少于</w:t>
            </w:r>
            <w:r>
              <w:rPr>
                <w:rFonts w:hint="eastAsia" w:ascii="宋体" w:hAnsi="宋体" w:cs="宋体"/>
                <w:bCs/>
                <w:color w:val="000000"/>
                <w:szCs w:val="21"/>
                <w:highlight w:val="none"/>
                <w:lang w:val="en-US" w:bidi="zh-CN"/>
              </w:rPr>
              <w:t xml:space="preserve">5年，在此</w:t>
            </w:r>
            <w:r>
              <w:rPr>
                <w:rFonts w:hint="eastAsia" w:ascii="宋体" w:hAnsi="宋体" w:cs="宋体"/>
                <w:bCs/>
                <w:color w:val="000000"/>
                <w:szCs w:val="21"/>
                <w:highlight w:val="none"/>
                <w:lang w:bidi="zh-CN"/>
              </w:rPr>
              <w:t xml:space="preserve">基础上，每增加一年得</w:t>
            </w:r>
            <w:r>
              <w:rPr>
                <w:rFonts w:hint="eastAsia" w:ascii="宋体" w:hAnsi="宋体" w:cs="宋体"/>
                <w:bCs/>
                <w:color w:val="000000"/>
                <w:szCs w:val="21"/>
                <w:highlight w:val="none"/>
                <w:lang w:val="en-US" w:bidi="zh-CN"/>
              </w:rPr>
              <w:t xml:space="preserve">0.5</w:t>
            </w:r>
            <w:r>
              <w:rPr>
                <w:rFonts w:hint="eastAsia" w:ascii="宋体" w:hAnsi="宋体" w:cs="宋体"/>
                <w:bCs/>
                <w:color w:val="000000"/>
                <w:szCs w:val="21"/>
                <w:highlight w:val="none"/>
                <w:lang w:bidi="zh-CN"/>
              </w:rPr>
              <w:t xml:space="preserve">分，</w:t>
            </w:r>
            <w:r>
              <w:rPr>
                <w:rFonts w:hint="eastAsia" w:ascii="宋体" w:hAnsi="宋体" w:cs="宋体"/>
                <w:bCs/>
                <w:color w:val="000000"/>
                <w:szCs w:val="21"/>
                <w:highlight w:val="none"/>
                <w:lang w:val="en-US" w:bidi="zh-CN"/>
              </w:rPr>
              <w:t xml:space="preserve">满分</w:t>
            </w:r>
            <w:r>
              <w:rPr>
                <w:rFonts w:hint="eastAsia" w:ascii="宋体" w:hAnsi="宋体" w:cs="宋体"/>
                <w:bCs/>
                <w:color w:val="000000"/>
                <w:szCs w:val="21"/>
                <w:highlight w:val="none"/>
                <w:lang w:bidi="zh-CN"/>
              </w:rPr>
              <w:t xml:space="preserve">得</w:t>
            </w:r>
            <w:r>
              <w:rPr>
                <w:rFonts w:hint="eastAsia" w:ascii="宋体" w:hAnsi="宋体" w:cs="宋体"/>
                <w:bCs/>
                <w:color w:val="000000"/>
                <w:szCs w:val="21"/>
                <w:highlight w:val="none"/>
                <w:lang w:val="en-US" w:bidi="zh-CN"/>
              </w:rPr>
              <w:t xml:space="preserve">1.5</w:t>
            </w:r>
            <w:r>
              <w:rPr>
                <w:rFonts w:hint="eastAsia" w:ascii="宋体" w:hAnsi="宋体" w:cs="宋体"/>
                <w:bCs/>
                <w:color w:val="000000"/>
                <w:szCs w:val="21"/>
                <w:highlight w:val="none"/>
                <w:lang w:bidi="zh-CN"/>
              </w:rPr>
              <w:t xml:space="preserve">分。</w:t>
            </w:r>
            <w:r>
              <w:rPr>
                <w:rFonts w:hint="eastAsia" w:ascii="宋体" w:hAnsi="宋体" w:cs="宋体"/>
                <w:b/>
                <w:bCs w:val="0"/>
                <w:color w:val="000000"/>
                <w:szCs w:val="21"/>
                <w:highlight w:val="none"/>
                <w:lang w:bidi="zh-CN"/>
              </w:rPr>
              <w:t xml:space="preserve">（</w:t>
            </w:r>
            <w:r>
              <w:rPr>
                <w:rFonts w:hint="eastAsia" w:ascii="宋体" w:hAnsi="宋体" w:cs="宋体"/>
                <w:b/>
                <w:bCs w:val="0"/>
                <w:color w:val="000000"/>
                <w:szCs w:val="21"/>
                <w:highlight w:val="none"/>
                <w:lang w:val="en-US" w:bidi="zh-CN"/>
              </w:rPr>
              <w:t xml:space="preserve">提供承诺书加盖投标人CA电子公章，上传系统，承诺书格式自拟</w:t>
            </w:r>
            <w:r>
              <w:rPr>
                <w:rFonts w:hint="eastAsia" w:ascii="宋体" w:hAnsi="宋体" w:cs="宋体"/>
                <w:b/>
                <w:bCs w:val="0"/>
                <w:color w:val="000000"/>
                <w:szCs w:val="21"/>
                <w:highlight w:val="none"/>
                <w:lang w:bidi="zh-CN"/>
              </w:rPr>
              <w:t xml:space="preserve">）</w:t>
            </w:r>
            <w:r>
              <w:rPr>
                <w:rFonts w:hint="eastAsia" w:ascii="宋体" w:hAnsi="宋体" w:cs="宋体"/>
                <w:color w:val="000000"/>
                <w:szCs w:val="21"/>
                <w:highlight w:val="none"/>
              </w:rPr>
            </w:r>
            <w:r/>
          </w:p>
        </w:tc>
        <w:tc>
          <w:tcPr>
            <w:tcMar>
              <w:left w:w="108" w:type="dxa"/>
              <w:top w:w="0" w:type="dxa"/>
              <w:right w:w="108" w:type="dxa"/>
              <w:bottom w:w="0" w:type="dxa"/>
            </w:tcMar>
            <w:tcW w:w="876" w:type="dxa"/>
            <w:vAlign w:val="center"/>
            <w:textDirection w:val="lrTb"/>
            <w:noWrap/>
          </w:tcPr>
          <w:p>
            <w:pPr>
              <w:pStyle w:val="826"/>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val="en-US" w:eastAsia="zh-CN"/>
              </w:rPr>
              <w:t xml:space="preserve">1.5</w:t>
            </w:r>
            <w:r>
              <w:rPr>
                <w:rFonts w:hint="eastAsia" w:ascii="宋体" w:hAnsi="宋体" w:cs="宋体"/>
                <w:color w:val="000000"/>
                <w:szCs w:val="21"/>
                <w:highlight w:val="none"/>
                <w:lang w:val="en-US" w:eastAsia="zh-CN"/>
              </w:rPr>
              <w:t xml:space="preserve">分</w:t>
            </w:r>
            <w:r>
              <w:rPr>
                <w:rFonts w:ascii="宋体" w:hAnsi="宋体" w:cs="宋体"/>
                <w:color w:val="000000"/>
                <w:szCs w:val="21"/>
                <w:highlight w:val="none"/>
                <w:lang w:val="en-US" w:eastAsia="zh-CN"/>
              </w:rPr>
            </w:r>
            <w:r/>
          </w:p>
        </w:tc>
      </w:tr>
      <w:tr>
        <w:trPr>
          <w:trHeight w:val="343"/>
        </w:trPr>
        <w:tc>
          <w:tcPr>
            <w:tcMar>
              <w:left w:w="108" w:type="dxa"/>
              <w:top w:w="0" w:type="dxa"/>
              <w:right w:w="108" w:type="dxa"/>
              <w:bottom w:w="0" w:type="dxa"/>
            </w:tcMar>
            <w:tcW w:w="771" w:type="dxa"/>
            <w:vAlign w:val="center"/>
            <w:textDirection w:val="lrTb"/>
            <w:noWrap/>
          </w:tcPr>
          <w:p>
            <w:pPr>
              <w:pStyle w:val="826"/>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3.3</w:t>
            </w:r>
            <w:r>
              <w:rPr>
                <w:rFonts w:ascii="宋体" w:hAnsi="宋体" w:cs="宋体"/>
                <w:color w:val="000000"/>
                <w:szCs w:val="21"/>
                <w:highlight w:val="none"/>
                <w:lang w:val="en-US" w:eastAsia="zh-CN"/>
              </w:rPr>
            </w:r>
            <w:r/>
          </w:p>
        </w:tc>
        <w:tc>
          <w:tcPr>
            <w:tcMar>
              <w:left w:w="108" w:type="dxa"/>
              <w:top w:w="0" w:type="dxa"/>
              <w:right w:w="108" w:type="dxa"/>
              <w:bottom w:w="0" w:type="dxa"/>
            </w:tcMar>
            <w:tcW w:w="1547" w:type="dxa"/>
            <w:vAlign w:val="center"/>
            <w:textDirection w:val="lrTb"/>
            <w:noWrap/>
          </w:tcPr>
          <w:p>
            <w:pPr>
              <w:pStyle w:val="826"/>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人员资质</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6126" w:type="dxa"/>
            <w:vAlign w:val="center"/>
            <w:textDirection w:val="lrTb"/>
            <w:noWrap/>
          </w:tcPr>
          <w:p>
            <w:pPr>
              <w:pStyle w:val="826"/>
              <w:ind w:firstLine="0"/>
              <w:spacing w:line="240" w:lineRule="auto"/>
              <w:rPr>
                <w:color w:val="000000"/>
                <w:sz w:val="21"/>
                <w:szCs w:val="21"/>
                <w:highlight w:val="none"/>
                <w:lang w:val="en-US"/>
              </w:rPr>
            </w:pPr>
            <w:r>
              <w:rPr>
                <w:rFonts w:hint="eastAsia" w:ascii="宋体" w:hAnsi="宋体" w:cs="宋体"/>
                <w:bCs/>
                <w:color w:val="000000"/>
                <w:sz w:val="21"/>
                <w:szCs w:val="21"/>
                <w:highlight w:val="none"/>
              </w:rPr>
              <w:t xml:space="preserve">1.拟投入本项目</w:t>
            </w:r>
            <w:r>
              <w:rPr>
                <w:rFonts w:hint="eastAsia" w:ascii="宋体" w:hAnsi="宋体" w:cs="宋体"/>
                <w:bCs/>
                <w:color w:val="000000"/>
                <w:sz w:val="21"/>
                <w:szCs w:val="21"/>
                <w:highlight w:val="none"/>
                <w:lang w:val="en-US" w:eastAsia="zh-CN"/>
              </w:rPr>
              <w:t xml:space="preserve">负责人</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电子信息工程相关专业高级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职称证书的</w:t>
            </w:r>
            <w:r>
              <w:rPr>
                <w:rFonts w:hint="eastAsia" w:ascii="宋体" w:hAnsi="宋体" w:eastAsia="宋体" w:cs="宋体"/>
                <w:color w:val="000000"/>
                <w:sz w:val="21"/>
                <w:szCs w:val="21"/>
                <w:highlight w:val="none"/>
                <w:lang w:val="en-US" w:eastAsia="zh-CN"/>
              </w:rPr>
              <w:t xml:space="preserve">得</w:t>
            </w:r>
            <w:r>
              <w:rPr>
                <w:rFonts w:hint="eastAsia" w:ascii="宋体" w:hAnsi="宋体" w:cs="宋体"/>
                <w:color w:val="000000"/>
                <w:sz w:val="21"/>
                <w:szCs w:val="21"/>
                <w:highlight w:val="none"/>
                <w:lang w:val="en-US" w:eastAsia="zh-CN"/>
              </w:rPr>
              <w:t xml:space="preserve">1.5分。</w:t>
            </w:r>
            <w:r>
              <w:rPr>
                <w:color w:val="000000"/>
                <w:sz w:val="21"/>
                <w:szCs w:val="21"/>
                <w:highlight w:val="none"/>
                <w:lang w:val="en-US"/>
              </w:rPr>
            </w:r>
            <w:r/>
          </w:p>
          <w:p>
            <w:pPr>
              <w:pStyle w:val="826"/>
              <w:ind w:firstLine="0"/>
              <w:spacing w:line="240" w:lineRule="auto"/>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拟投入项目组成员</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除项目负责人以外</w:t>
            </w:r>
            <w:r>
              <w:rPr>
                <w:rFonts w:hint="eastAsia" w:ascii="宋体" w:hAnsi="宋体" w:cs="宋体"/>
                <w:bCs/>
                <w:color w:val="000000"/>
                <w:sz w:val="21"/>
                <w:szCs w:val="21"/>
                <w:highlight w:val="none"/>
                <w:lang w:eastAsia="zh-CN"/>
              </w:rPr>
              <w:t xml:space="preserve">）</w:t>
            </w:r>
            <w:r>
              <w:rPr>
                <w:rFonts w:hint="eastAsia" w:ascii="宋体" w:hAnsi="宋体" w:cs="宋体"/>
                <w:color w:val="000000"/>
                <w:sz w:val="21"/>
                <w:szCs w:val="21"/>
                <w:highlight w:val="none"/>
              </w:rPr>
              <w:t xml:space="preserve">具</w:t>
            </w:r>
            <w:r>
              <w:rPr>
                <w:rFonts w:hint="eastAsia" w:ascii="宋体" w:hAnsi="宋体" w:cs="宋体"/>
                <w:color w:val="000000"/>
                <w:sz w:val="21"/>
                <w:szCs w:val="21"/>
                <w:highlight w:val="none"/>
                <w:lang w:val="en-US" w:eastAsia="zh-CN"/>
              </w:rPr>
              <w:t xml:space="preserve">有</w:t>
            </w:r>
            <w:r>
              <w:rPr>
                <w:rFonts w:hint="eastAsia" w:ascii="宋体" w:hAnsi="宋体" w:eastAsia="宋体" w:cs="宋体"/>
                <w:bCs/>
                <w:color w:val="000000"/>
                <w:sz w:val="21"/>
                <w:szCs w:val="21"/>
                <w:highlight w:val="none"/>
              </w:rPr>
              <w:t xml:space="preserve">电工作业</w:t>
            </w:r>
            <w:r>
              <w:rPr>
                <w:rFonts w:hint="eastAsia" w:ascii="宋体" w:hAnsi="宋体" w:eastAsia="宋体" w:cs="宋体"/>
                <w:bCs/>
                <w:color w:val="000000"/>
                <w:sz w:val="21"/>
                <w:szCs w:val="21"/>
                <w:highlight w:val="none"/>
                <w:lang w:val="en-US" w:eastAsia="zh-CN"/>
              </w:rPr>
              <w:t xml:space="preserve">证书的</w:t>
            </w:r>
            <w:r>
              <w:rPr>
                <w:rFonts w:hint="eastAsia" w:ascii="宋体" w:hAnsi="宋体" w:cs="宋体"/>
                <w:color w:val="000000"/>
                <w:sz w:val="21"/>
                <w:szCs w:val="21"/>
                <w:highlight w:val="none"/>
                <w:lang w:val="en-US" w:eastAsia="zh-CN"/>
              </w:rPr>
              <w:t xml:space="preserve">，每提供一个得1分，最高得2分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具有高处安装、维护、拆除作业证书的，每提供一个得1分，最高得2分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本项满分4</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同一人员具有多项证书的可重复计分。</w:t>
            </w:r>
            <w:r>
              <w:rPr>
                <w:rFonts w:ascii="宋体" w:hAnsi="宋体" w:eastAsia="宋体" w:cs="宋体"/>
                <w:bCs/>
                <w:color w:val="000000"/>
                <w:sz w:val="21"/>
                <w:szCs w:val="21"/>
                <w:highlight w:val="none"/>
                <w:lang w:val="en-US" w:eastAsia="zh-CN"/>
              </w:rPr>
            </w:r>
            <w:r/>
          </w:p>
          <w:p>
            <w:pPr>
              <w:pStyle w:val="826"/>
              <w:ind w:firstLine="0"/>
              <w:spacing w:line="240" w:lineRule="auto"/>
              <w:rPr>
                <w:rFonts w:hint="eastAsia" w:ascii="宋体" w:hAnsi="宋体" w:cs="宋体"/>
                <w:bCs/>
                <w:color w:val="000000"/>
                <w:szCs w:val="21"/>
                <w:highlight w:val="none"/>
                <w:lang w:val="en-US" w:bidi="zh-CN"/>
              </w:rPr>
            </w:pPr>
            <w:r>
              <w:rPr>
                <w:rFonts w:hint="eastAsia" w:ascii="宋体" w:hAnsi="宋体" w:eastAsia="宋体" w:cs="宋体"/>
                <w:b/>
                <w:bCs/>
                <w:color w:val="000000"/>
                <w:sz w:val="21"/>
                <w:szCs w:val="21"/>
                <w:highlight w:val="none"/>
                <w:lang w:val="en-US" w:eastAsia="zh-CN"/>
              </w:rPr>
              <w:t xml:space="preserve">（以上</w:t>
            </w:r>
            <w:r>
              <w:rPr>
                <w:rFonts w:hint="eastAsia" w:ascii="宋体" w:hAnsi="宋体" w:eastAsia="宋体" w:cs="宋体"/>
                <w:b/>
                <w:bCs/>
                <w:color w:val="000000"/>
                <w:sz w:val="21"/>
                <w:szCs w:val="21"/>
                <w:highlight w:val="none"/>
              </w:rPr>
              <w:t xml:space="preserve">提供有效证书、近一年内</w:t>
            </w:r>
            <w:r>
              <w:rPr>
                <w:rFonts w:hint="eastAsia" w:ascii="宋体" w:hAnsi="宋体" w:eastAsia="宋体" w:cs="宋体"/>
                <w:b/>
                <w:bCs/>
                <w:color w:val="000000"/>
                <w:sz w:val="21"/>
                <w:szCs w:val="21"/>
                <w:highlight w:val="none"/>
                <w:lang w:val="en-US" w:eastAsia="zh-CN"/>
              </w:rPr>
              <w:t xml:space="preserve">任意</w:t>
            </w:r>
            <w:r>
              <w:rPr>
                <w:rFonts w:hint="eastAsia" w:ascii="宋体" w:hAnsi="宋体" w:eastAsia="宋体" w:cs="宋体"/>
                <w:b/>
                <w:bCs/>
                <w:color w:val="000000"/>
                <w:sz w:val="21"/>
                <w:szCs w:val="21"/>
                <w:highlight w:val="none"/>
              </w:rPr>
              <w:t xml:space="preserve">一个月投标人为其缴纳社保的证明材料，</w:t>
            </w:r>
            <w:r>
              <w:rPr>
                <w:rFonts w:hint="eastAsia" w:ascii="宋体" w:hAnsi="宋体" w:eastAsia="宋体" w:cs="宋体"/>
                <w:b/>
                <w:bCs/>
                <w:color w:val="000000"/>
                <w:sz w:val="21"/>
                <w:szCs w:val="21"/>
                <w:highlight w:val="none"/>
                <w:lang w:val="en-US" w:eastAsia="zh-CN"/>
              </w:rPr>
              <w:t xml:space="preserve">未按要求提供不得分）</w:t>
            </w:r>
            <w:r>
              <w:rPr>
                <w:rFonts w:hint="eastAsia" w:ascii="宋体" w:hAnsi="宋体" w:cs="宋体"/>
                <w:bCs/>
                <w:color w:val="000000"/>
                <w:szCs w:val="21"/>
                <w:highlight w:val="none"/>
                <w:lang w:val="en-US" w:bidi="zh-CN"/>
              </w:rPr>
            </w:r>
            <w:r/>
          </w:p>
        </w:tc>
        <w:tc>
          <w:tcPr>
            <w:tcMar>
              <w:left w:w="108" w:type="dxa"/>
              <w:top w:w="0" w:type="dxa"/>
              <w:right w:w="108" w:type="dxa"/>
              <w:bottom w:w="0" w:type="dxa"/>
            </w:tcMar>
            <w:tcW w:w="876" w:type="dxa"/>
            <w:vAlign w:val="center"/>
            <w:textDirection w:val="lrTb"/>
            <w:noWrap/>
          </w:tcPr>
          <w:p>
            <w:pPr>
              <w:pStyle w:val="826"/>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5.5分</w:t>
            </w:r>
            <w:r>
              <w:rPr>
                <w:rFonts w:ascii="宋体" w:hAnsi="宋体" w:cs="宋体"/>
                <w:color w:val="000000"/>
                <w:szCs w:val="21"/>
                <w:highlight w:val="none"/>
                <w:lang w:val="en-US" w:eastAsia="zh-CN"/>
              </w:rPr>
            </w:r>
            <w:r/>
          </w:p>
        </w:tc>
      </w:tr>
      <w:tr>
        <w:trPr>
          <w:trHeight w:val="602"/>
        </w:trPr>
        <w:tc>
          <w:tcPr>
            <w:tcMar>
              <w:left w:w="108" w:type="dxa"/>
              <w:top w:w="0" w:type="dxa"/>
              <w:right w:w="108" w:type="dxa"/>
              <w:bottom w:w="0" w:type="dxa"/>
            </w:tcMar>
            <w:tcW w:w="771" w:type="dxa"/>
            <w:vAlign w:val="center"/>
            <w:textDirection w:val="lrTb"/>
            <w:noWrap/>
          </w:tcPr>
          <w:p>
            <w:pPr>
              <w:pStyle w:val="826"/>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1547"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c>
          <w:tcPr>
            <w:tcMar>
              <w:left w:w="108" w:type="dxa"/>
              <w:top w:w="0" w:type="dxa"/>
              <w:right w:w="108" w:type="dxa"/>
              <w:bottom w:w="0" w:type="dxa"/>
            </w:tcMar>
            <w:tcW w:w="6126" w:type="dxa"/>
            <w:vAlign w:val="top"/>
            <w:textDirection w:val="lrTb"/>
            <w:noWrap/>
          </w:tcPr>
          <w:p>
            <w:pPr>
              <w:pStyle w:val="82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投标人自2023年</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日以来（以合同签订时间为准）</w:t>
            </w:r>
            <w:r>
              <w:rPr>
                <w:rFonts w:hint="eastAsia" w:ascii="宋体" w:hAnsi="宋体" w:cs="宋体"/>
                <w:color w:val="000000"/>
                <w:szCs w:val="21"/>
                <w:highlight w:val="none"/>
                <w:lang w:val="en-US" w:eastAsia="zh-CN"/>
              </w:rPr>
              <w:t xml:space="preserve">与本项目需求相关的安防建设</w:t>
            </w:r>
            <w:r>
              <w:rPr>
                <w:rFonts w:hint="eastAsia" w:ascii="宋体" w:hAnsi="宋体" w:cs="宋体"/>
                <w:color w:val="000000"/>
                <w:szCs w:val="21"/>
                <w:highlight w:val="none"/>
              </w:rPr>
              <w:t xml:space="preserve">类业绩</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至少包括供货及安转内容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，每提供一</w:t>
            </w:r>
            <w:r>
              <w:rPr>
                <w:rFonts w:hint="eastAsia" w:ascii="宋体" w:hAnsi="宋体" w:cs="宋体"/>
                <w:color w:val="000000"/>
                <w:szCs w:val="21"/>
                <w:highlight w:val="none"/>
                <w:lang w:val="en-US" w:eastAsia="zh-CN"/>
              </w:rPr>
              <w:t xml:space="preserve">份业绩</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本项满分6</w:t>
            </w:r>
            <w:r>
              <w:rPr>
                <w:rFonts w:hint="eastAsia" w:ascii="宋体" w:hAnsi="宋体" w:cs="宋体"/>
                <w:color w:val="000000"/>
                <w:szCs w:val="21"/>
                <w:highlight w:val="none"/>
              </w:rPr>
              <w:t xml:space="preserve">分。</w:t>
            </w:r>
            <w:r>
              <w:rPr>
                <w:rFonts w:hint="eastAsia" w:ascii="宋体" w:hAnsi="宋体" w:cs="宋体"/>
                <w:b/>
                <w:color w:val="000000"/>
                <w:szCs w:val="21"/>
                <w:highlight w:val="none"/>
              </w:rPr>
              <w:t xml:space="preserve">（提供有效合同</w:t>
            </w:r>
            <w:r>
              <w:rPr>
                <w:rFonts w:hint="eastAsia" w:ascii="宋体" w:hAnsi="宋体" w:cs="宋体"/>
                <w:b/>
                <w:color w:val="000000"/>
                <w:szCs w:val="21"/>
                <w:highlight w:val="none"/>
                <w:lang w:val="en-US" w:eastAsia="zh-CN"/>
              </w:rPr>
              <w:t xml:space="preserve">且合同</w:t>
            </w:r>
            <w:r>
              <w:rPr>
                <w:rFonts w:hint="eastAsia" w:ascii="宋体" w:hAnsi="宋体" w:cs="宋体"/>
                <w:b/>
                <w:color w:val="000000"/>
                <w:szCs w:val="21"/>
                <w:highlight w:val="none"/>
              </w:rPr>
              <w:t xml:space="preserve">须能</w:t>
            </w:r>
            <w:r>
              <w:rPr>
                <w:rFonts w:hint="eastAsia" w:ascii="宋体" w:hAnsi="宋体" w:cs="宋体"/>
                <w:b/>
                <w:color w:val="000000"/>
                <w:szCs w:val="21"/>
                <w:highlight w:val="none"/>
                <w:lang w:val="en-US" w:eastAsia="zh-CN"/>
              </w:rPr>
              <w:t xml:space="preserve">清晰</w:t>
            </w:r>
            <w:r>
              <w:rPr>
                <w:rFonts w:hint="eastAsia" w:ascii="宋体" w:hAnsi="宋体" w:cs="宋体"/>
                <w:b/>
                <w:color w:val="000000"/>
                <w:szCs w:val="21"/>
                <w:highlight w:val="none"/>
              </w:rPr>
              <w:t xml:space="preserve">反映</w:t>
            </w:r>
            <w:r>
              <w:rPr>
                <w:rFonts w:hint="eastAsia" w:ascii="宋体" w:hAnsi="宋体" w:cs="宋体"/>
                <w:b/>
                <w:bCs/>
                <w:color w:val="000000"/>
                <w:szCs w:val="21"/>
                <w:highlight w:val="none"/>
              </w:rPr>
              <w:t xml:space="preserve">双方名称、合同内容、合同总价</w:t>
            </w:r>
            <w:r>
              <w:rPr>
                <w:rFonts w:hint="eastAsia" w:ascii="宋体" w:hAnsi="宋体" w:cs="宋体"/>
                <w:b/>
                <w:color w:val="000000"/>
                <w:szCs w:val="21"/>
                <w:highlight w:val="none"/>
              </w:rPr>
              <w:t xml:space="preserve">，签订时间</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签章，</w:t>
            </w:r>
            <w:r>
              <w:rPr>
                <w:rFonts w:hint="eastAsia" w:ascii="宋体" w:hAnsi="宋体" w:cs="宋体"/>
                <w:b/>
                <w:color w:val="000000"/>
                <w:szCs w:val="21"/>
                <w:highlight w:val="none"/>
                <w:lang w:val="en-US" w:eastAsia="zh-CN"/>
              </w:rPr>
              <w:t xml:space="preserve">未按要求提供不得分；</w:t>
            </w:r>
            <w:r>
              <w:rPr>
                <w:rFonts w:hint="eastAsia" w:ascii="宋体" w:hAnsi="宋体" w:cs="宋体"/>
                <w:b/>
                <w:color w:val="000000"/>
                <w:szCs w:val="21"/>
                <w:highlight w:val="none"/>
              </w:rPr>
              <w:t xml:space="preserve">同一业主单位不同年份的项目业绩只计取1次，不重复计分。）</w:t>
            </w:r>
            <w:r>
              <w:rPr>
                <w:rFonts w:hint="eastAsia" w:ascii="宋体" w:hAnsi="宋体" w:cs="宋体"/>
                <w:color w:val="000000"/>
                <w:szCs w:val="21"/>
                <w:highlight w:val="none"/>
              </w:rPr>
            </w:r>
            <w:r/>
          </w:p>
        </w:tc>
        <w:tc>
          <w:tcPr>
            <w:tcMar>
              <w:left w:w="108" w:type="dxa"/>
              <w:top w:w="0" w:type="dxa"/>
              <w:right w:w="108" w:type="dxa"/>
              <w:bottom w:w="0" w:type="dxa"/>
            </w:tcMar>
            <w:tcW w:w="876" w:type="dxa"/>
            <w:vAlign w:val="center"/>
            <w:textDirection w:val="lrTb"/>
            <w:noWrap/>
          </w:tcPr>
          <w:p>
            <w:pPr>
              <w:pStyle w:val="82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r>
    </w:tbl>
    <w:p>
      <w:pPr>
        <w:pStyle w:val="861"/>
        <w:jc w:val="left"/>
        <w:rPr>
          <w:color w:val="000000"/>
          <w:highlight w:val="none"/>
        </w:rPr>
      </w:pPr>
      <w:r>
        <w:rPr>
          <w:color w:val="000000"/>
          <w:highlight w:val="none"/>
        </w:rPr>
      </w:r>
      <w:r/>
    </w:p>
    <w:p>
      <w:pPr>
        <w:pStyle w:val="826"/>
        <w:rPr>
          <w:color w:val="000000"/>
          <w:highlight w:val="none"/>
        </w:rPr>
      </w:pPr>
      <w:r>
        <w:rPr>
          <w:rFonts w:hint="eastAsia"/>
          <w:color w:val="000000"/>
          <w:highlight w:val="none"/>
        </w:rPr>
        <w:br w:type="page" w:clear="all"/>
      </w:r>
      <w:r>
        <w:rPr>
          <w:color w:val="000000"/>
          <w:highlight w:val="none"/>
        </w:rPr>
      </w:r>
      <w:r/>
    </w:p>
    <w:p>
      <w:pPr>
        <w:pStyle w:val="861"/>
        <w:rPr>
          <w:color w:val="000000"/>
          <w:highlight w:val="none"/>
        </w:rPr>
      </w:pPr>
      <w:r>
        <w:rPr>
          <w:color w:val="000000"/>
          <w:highlight w:val="none"/>
        </w:rPr>
      </w:r>
      <w:r/>
    </w:p>
    <w:p>
      <w:pPr>
        <w:pStyle w:val="861"/>
        <w:rPr>
          <w:color w:val="000000"/>
          <w:highlight w:val="none"/>
        </w:rPr>
      </w:pPr>
      <w:r/>
      <w:bookmarkStart w:id="71" w:name="_Toc2219"/>
      <w:r>
        <w:rPr>
          <w:rFonts w:hint="eastAsia"/>
          <w:color w:val="000000"/>
          <w:highlight w:val="none"/>
        </w:rPr>
        <w:t xml:space="preserve">第六章 投标文件格式</w:t>
      </w:r>
      <w:bookmarkEnd w:id="70"/>
      <w:r/>
      <w:bookmarkEnd w:id="71"/>
      <w:r>
        <w:rPr>
          <w:rFonts w:hint="eastAsia"/>
          <w:color w:val="000000"/>
          <w:highlight w:val="none"/>
        </w:rPr>
        <w:t xml:space="preserve"> </w:t>
      </w:r>
      <w:r>
        <w:rPr>
          <w:color w:val="000000"/>
          <w:highlight w:val="none"/>
        </w:rPr>
      </w:r>
      <w:r/>
    </w:p>
    <w:p>
      <w:pPr>
        <w:pStyle w:val="826"/>
        <w:rPr>
          <w:rFonts w:hint="eastAsia" w:ascii="宋体" w:hAnsi="宋体" w:cs="宋体"/>
          <w:bCs/>
          <w:color w:val="000000"/>
          <w:sz w:val="44"/>
          <w:highlight w:val="none"/>
        </w:rPr>
      </w:pPr>
      <w:r>
        <w:rPr>
          <w:rFonts w:hint="eastAsia" w:ascii="宋体" w:hAnsi="宋体" w:cs="宋体"/>
          <w:bCs/>
          <w:color w:val="000000"/>
          <w:sz w:val="44"/>
          <w:highlight w:val="none"/>
        </w:rPr>
      </w:r>
      <w:r/>
    </w:p>
    <w:p>
      <w:pPr>
        <w:pStyle w:val="826"/>
        <w:rPr>
          <w:rFonts w:hint="eastAsia" w:ascii="宋体" w:hAnsi="宋体" w:cs="宋体"/>
          <w:bCs/>
          <w:color w:val="000000"/>
          <w:sz w:val="44"/>
          <w:highlight w:val="none"/>
        </w:rPr>
      </w:pPr>
      <w:r>
        <w:rPr>
          <w:rFonts w:hint="eastAsia" w:ascii="宋体" w:hAnsi="宋体" w:cs="宋体"/>
          <w:bCs/>
          <w:color w:val="000000"/>
          <w:sz w:val="44"/>
          <w:highlight w:val="none"/>
        </w:rPr>
      </w:r>
      <w:r/>
    </w:p>
    <w:p>
      <w:pPr>
        <w:pStyle w:val="826"/>
        <w:rPr>
          <w:rFonts w:hint="eastAsia" w:ascii="宋体" w:hAnsi="宋体" w:cs="宋体"/>
          <w:bCs/>
          <w:color w:val="000000"/>
          <w:sz w:val="44"/>
          <w:highlight w:val="none"/>
        </w:rPr>
      </w:pPr>
      <w:r>
        <w:rPr>
          <w:rFonts w:hint="eastAsia" w:ascii="宋体" w:hAnsi="宋体" w:cs="宋体"/>
          <w:bCs/>
          <w:color w:val="000000"/>
          <w:sz w:val="44"/>
          <w:highlight w:val="none"/>
        </w:rPr>
      </w:r>
      <w:r/>
    </w:p>
    <w:p>
      <w:pPr>
        <w:pStyle w:val="826"/>
        <w:rPr>
          <w:color w:val="000000"/>
          <w:highlight w:val="none"/>
        </w:rPr>
      </w:pPr>
      <w:r>
        <w:rPr>
          <w:color w:val="000000"/>
          <w:highlight w:val="none"/>
        </w:rPr>
      </w:r>
      <w:r/>
    </w:p>
    <w:p>
      <w:pPr>
        <w:pStyle w:val="826"/>
        <w:jc w:val="center"/>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826"/>
        <w:jc w:val="center"/>
        <w:rPr>
          <w:rFonts w:hint="eastAsia" w:ascii="宋体" w:hAnsi="宋体" w:cs="宋体"/>
          <w:b/>
          <w:color w:val="000000"/>
          <w:sz w:val="72"/>
          <w:highlight w:val="none"/>
        </w:rPr>
      </w:pPr>
      <w:r>
        <w:rPr>
          <w:rFonts w:hint="eastAsia" w:ascii="宋体" w:hAnsi="宋体" w:cs="宋体"/>
          <w:b/>
          <w:color w:val="000000"/>
          <w:sz w:val="72"/>
          <w:highlight w:val="none"/>
        </w:rPr>
      </w:r>
      <w:r/>
    </w:p>
    <w:p>
      <w:pPr>
        <w:pStyle w:val="826"/>
        <w:rPr>
          <w:rFonts w:hint="eastAsia" w:ascii="宋体" w:hAnsi="宋体" w:cs="宋体"/>
          <w:b/>
          <w:color w:val="000000"/>
          <w:sz w:val="36"/>
          <w:highlight w:val="none"/>
        </w:rPr>
      </w:pPr>
      <w:r>
        <w:rPr>
          <w:rFonts w:hint="eastAsia" w:ascii="宋体" w:hAnsi="宋体" w:cs="宋体"/>
          <w:b/>
          <w:color w:val="000000"/>
          <w:sz w:val="36"/>
          <w:highlight w:val="none"/>
        </w:rPr>
      </w:r>
      <w:r/>
    </w:p>
    <w:p>
      <w:pPr>
        <w:pStyle w:val="826"/>
        <w:rPr>
          <w:rFonts w:hint="eastAsia" w:ascii="宋体" w:hAnsi="宋体" w:cs="宋体"/>
          <w:b/>
          <w:color w:val="000000"/>
          <w:sz w:val="36"/>
          <w:highlight w:val="none"/>
        </w:rPr>
      </w:pPr>
      <w:r>
        <w:rPr>
          <w:rFonts w:hint="eastAsia" w:ascii="宋体" w:hAnsi="宋体" w:cs="宋体"/>
          <w:b/>
          <w:color w:val="000000"/>
          <w:sz w:val="36"/>
          <w:highlight w:val="none"/>
        </w:rPr>
      </w:r>
      <w:r/>
    </w:p>
    <w:p>
      <w:pPr>
        <w:pStyle w:val="826"/>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pStyle w:val="826"/>
        <w:ind w:firstLine="1084"/>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rPr>
      </w:r>
      <w:r/>
    </w:p>
    <w:p>
      <w:pPr>
        <w:pStyle w:val="826"/>
        <w:ind w:firstLine="1084"/>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r>
      <w:r/>
    </w:p>
    <w:p>
      <w:pPr>
        <w:pStyle w:val="826"/>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（加盖CA电子公章）</w:t>
      </w:r>
      <w:r>
        <w:rPr>
          <w:rFonts w:hint="eastAsia" w:ascii="宋体" w:hAnsi="宋体" w:cs="宋体"/>
          <w:b/>
          <w:color w:val="000000"/>
          <w:sz w:val="36"/>
          <w:highlight w:val="none"/>
          <w:u w:val="single"/>
        </w:rPr>
      </w:r>
      <w:r/>
    </w:p>
    <w:p>
      <w:pPr>
        <w:pStyle w:val="826"/>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r>
      <w:r/>
    </w:p>
    <w:p>
      <w:pPr>
        <w:pStyle w:val="826"/>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26"/>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26"/>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26"/>
        <w:jc w:val="center"/>
        <w:spacing w:line="440" w:lineRule="exact"/>
        <w:rPr>
          <w:rFonts w:hint="eastAsia" w:ascii="宋体" w:hAnsi="宋体" w:cs="宋体"/>
          <w:b/>
          <w:bCs/>
          <w:color w:val="000000"/>
          <w:sz w:val="32"/>
          <w:szCs w:val="32"/>
          <w:highlight w:val="none"/>
        </w:rPr>
        <w:sectPr>
          <w:headerReference w:type="default" r:id="rId10"/>
          <w:footerReference w:type="default" r:id="rId14"/>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
          <w:bCs/>
          <w:color w:val="000000"/>
          <w:sz w:val="32"/>
          <w:szCs w:val="32"/>
          <w:highlight w:val="none"/>
        </w:rPr>
      </w:r>
      <w:r/>
    </w:p>
    <w:p>
      <w:pPr>
        <w:pStyle w:val="826"/>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投标文件的组成</w:t>
      </w:r>
      <w:r>
        <w:rPr>
          <w:rFonts w:hint="eastAsia" w:ascii="宋体" w:hAnsi="宋体" w:cs="宋体"/>
          <w:b/>
          <w:bCs/>
          <w:color w:val="000000"/>
          <w:szCs w:val="21"/>
          <w:highlight w:val="none"/>
        </w:rPr>
      </w:r>
      <w:r/>
    </w:p>
    <w:p>
      <w:pPr>
        <w:pStyle w:val="826"/>
        <w:ind w:firstLine="42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一、资格审查响应对照表</w:t>
      </w:r>
      <w:r>
        <w:rPr>
          <w:rFonts w:hint="eastAsia" w:ascii="宋体" w:hAnsi="宋体" w:cs="宋体"/>
          <w:color w:val="000000"/>
          <w:szCs w:val="21"/>
          <w:highlight w:val="none"/>
        </w:rPr>
      </w:r>
      <w:r/>
    </w:p>
    <w:p>
      <w:pPr>
        <w:pStyle w:val="826"/>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二、</w:t>
      </w:r>
      <w:r>
        <w:rPr>
          <w:rFonts w:hint="eastAsia" w:ascii="宋体" w:hAnsi="宋体" w:cs="宋体"/>
          <w:color w:val="000000"/>
          <w:szCs w:val="21"/>
          <w:highlight w:val="none"/>
          <w:lang w:eastAsia="zh-CN"/>
        </w:rPr>
        <w:t xml:space="preserve">实质性响应对照表</w:t>
      </w:r>
      <w:r>
        <w:rPr>
          <w:rFonts w:hint="eastAsia" w:ascii="宋体" w:hAnsi="宋体" w:eastAsia="宋体" w:cs="宋体"/>
          <w:color w:val="000000"/>
          <w:szCs w:val="21"/>
          <w:highlight w:val="none"/>
          <w:lang w:eastAsia="zh-CN"/>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三、非实质性响应对照表</w:t>
      </w:r>
      <w:r>
        <w:rPr>
          <w:rFonts w:hint="eastAsia" w:ascii="宋体" w:hAnsi="宋体" w:cs="宋体"/>
          <w:color w:val="000000"/>
          <w:szCs w:val="21"/>
          <w:highlight w:val="none"/>
        </w:rPr>
      </w:r>
      <w:r/>
    </w:p>
    <w:p>
      <w:pPr>
        <w:pStyle w:val="826"/>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四</w:t>
      </w:r>
      <w:r>
        <w:rPr>
          <w:rFonts w:hint="eastAsia" w:ascii="宋体" w:hAnsi="宋体" w:cs="宋体"/>
          <w:b/>
          <w:bCs/>
          <w:color w:val="000000"/>
          <w:szCs w:val="21"/>
          <w:highlight w:val="none"/>
        </w:rPr>
        <w:t xml:space="preserve">、</w:t>
      </w:r>
      <w:r>
        <w:rPr>
          <w:rFonts w:hint="eastAsia" w:ascii="宋体" w:hAnsi="宋体" w:cs="宋体"/>
          <w:i/>
          <w:color w:val="000000"/>
          <w:szCs w:val="21"/>
          <w:highlight w:val="none"/>
          <w:u w:val="single"/>
        </w:rPr>
        <w:t xml:space="preserve">开标一览表</w:t>
      </w:r>
      <w:r>
        <w:rPr>
          <w:rFonts w:hint="eastAsia" w:ascii="宋体" w:hAnsi="宋体" w:cs="宋体"/>
          <w:b/>
          <w:bCs/>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五、投标分项报价表</w:t>
      </w:r>
      <w:r>
        <w:rPr>
          <w:rFonts w:hint="eastAsia" w:ascii="宋体" w:hAnsi="宋体" w:cs="宋体"/>
          <w:color w:val="000000"/>
          <w:szCs w:val="21"/>
          <w:highlight w:val="none"/>
        </w:rPr>
      </w:r>
      <w:r/>
    </w:p>
    <w:p>
      <w:pPr>
        <w:pStyle w:val="826"/>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六、</w:t>
      </w:r>
      <w:r>
        <w:rPr>
          <w:rFonts w:hint="eastAsia" w:ascii="宋体" w:hAnsi="宋体" w:cs="宋体"/>
          <w:color w:val="000000"/>
          <w:szCs w:val="21"/>
          <w:highlight w:val="none"/>
          <w:lang w:eastAsia="zh-CN"/>
        </w:rPr>
        <w:t xml:space="preserve">技术要求响应及偏离表</w:t>
      </w:r>
      <w:r>
        <w:rPr>
          <w:rFonts w:hint="eastAsia" w:ascii="宋体" w:hAnsi="宋体" w:eastAsia="宋体" w:cs="宋体"/>
          <w:color w:val="000000"/>
          <w:szCs w:val="21"/>
          <w:highlight w:val="none"/>
          <w:lang w:eastAsia="zh-CN"/>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七、商务要求响应及偏离表</w:t>
      </w:r>
      <w:r>
        <w:rPr>
          <w:rFonts w:hint="eastAsia" w:ascii="宋体" w:hAnsi="宋体" w:cs="宋体"/>
          <w:color w:val="000000"/>
          <w:szCs w:val="21"/>
          <w:highlight w:val="none"/>
        </w:rPr>
      </w:r>
      <w:r/>
    </w:p>
    <w:p>
      <w:pPr>
        <w:pStyle w:val="826"/>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八、</w:t>
      </w:r>
      <w:r>
        <w:rPr>
          <w:rFonts w:hint="eastAsia" w:ascii="宋体" w:hAnsi="宋体" w:cs="宋体"/>
          <w:color w:val="000000"/>
          <w:szCs w:val="21"/>
          <w:highlight w:val="none"/>
          <w:lang w:val="en-US" w:eastAsia="zh-CN"/>
        </w:rPr>
        <w:t xml:space="preserve">供货一览表</w:t>
      </w:r>
      <w:r>
        <w:rPr>
          <w:rFonts w:ascii="宋体" w:hAnsi="宋体" w:eastAsia="宋体" w:cs="宋体"/>
          <w:color w:val="000000"/>
          <w:szCs w:val="21"/>
          <w:highlight w:val="none"/>
          <w:lang w:val="en-US" w:eastAsia="zh-CN"/>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九、</w:t>
      </w:r>
      <w:r>
        <w:rPr>
          <w:rFonts w:hint="eastAsia" w:ascii="宋体" w:hAnsi="宋体" w:cs="宋体"/>
          <w:color w:val="000000"/>
          <w:szCs w:val="21"/>
          <w:highlight w:val="none"/>
        </w:rPr>
        <w:t xml:space="preserve">其他</w:t>
      </w:r>
      <w:r>
        <w:rPr>
          <w:rFonts w:hint="eastAsia" w:ascii="宋体" w:hAnsi="宋体" w:cs="宋体"/>
          <w:color w:val="000000"/>
          <w:szCs w:val="21"/>
          <w:highlight w:val="none"/>
          <w:lang w:val="en-US" w:eastAsia="zh-CN"/>
        </w:rPr>
        <w:t xml:space="preserve">证明材料</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6"/>
        <w:contextualSpacing/>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contextualSpacing/>
        <w:jc w:val="center"/>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contextualSpacing/>
        <w:jc w:val="center"/>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bookmarkStart w:id="72" w:name="_Toc20369"/>
      <w:r/>
      <w:bookmarkStart w:id="73" w:name="_Toc3717"/>
      <w:r/>
      <w:bookmarkStart w:id="74" w:name="_Toc7268"/>
      <w:r/>
      <w:bookmarkStart w:id="75" w:name="_Toc2731"/>
      <w:r/>
      <w:bookmarkStart w:id="76" w:name="_Toc5792"/>
      <w:r/>
      <w:bookmarkStart w:id="77" w:name="_Toc21096"/>
      <w:r>
        <w:rPr>
          <w:rFonts w:hint="eastAsia" w:ascii="宋体" w:hAnsi="宋体" w:eastAsia="宋体" w:cs="宋体"/>
          <w:color w:val="000000"/>
          <w:sz w:val="21"/>
          <w:szCs w:val="21"/>
          <w:highlight w:val="none"/>
        </w:rPr>
        <w:t xml:space="preserve">一、</w:t>
      </w:r>
      <w:bookmarkEnd w:id="72"/>
      <w:r/>
      <w:bookmarkEnd w:id="73"/>
      <w:r/>
      <w:bookmarkEnd w:id="74"/>
      <w:r/>
      <w:bookmarkEnd w:id="75"/>
      <w:r/>
      <w:bookmarkEnd w:id="76"/>
      <w:r>
        <w:rPr>
          <w:rFonts w:hint="eastAsia" w:ascii="宋体" w:hAnsi="宋体" w:eastAsia="宋体" w:cs="宋体"/>
          <w:color w:val="000000"/>
          <w:sz w:val="21"/>
          <w:szCs w:val="21"/>
          <w:highlight w:val="none"/>
        </w:rPr>
        <w:t xml:space="preserve">资格审查响应对照表</w:t>
      </w:r>
      <w:bookmarkEnd w:id="77"/>
      <w:r>
        <w:rPr>
          <w:rFonts w:hint="eastAsia" w:ascii="宋体" w:hAnsi="宋体" w:eastAsia="宋体" w:cs="宋体"/>
          <w:color w:val="000000"/>
          <w:sz w:val="21"/>
          <w:szCs w:val="21"/>
          <w:highlight w:val="none"/>
        </w:rPr>
      </w:r>
      <w:r/>
    </w:p>
    <w:tbl>
      <w:tblPr>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6871"/>
        <w:gridCol w:w="1919"/>
      </w:tblGrid>
      <w:tr>
        <w:trPr>
          <w:trHeight w:val="647"/>
        </w:trPr>
        <w:tc>
          <w:tcPr>
            <w:tcW w:w="770" w:type="dxa"/>
            <w:vAlign w:val="center"/>
            <w:textDirection w:val="lrTb"/>
            <w:noWrap w:val="false"/>
          </w:tcPr>
          <w:p>
            <w:pPr>
              <w:pStyle w:val="826"/>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6872" w:type="dxa"/>
            <w:vAlign w:val="center"/>
            <w:textDirection w:val="lrTb"/>
            <w:noWrap w:val="false"/>
          </w:tcPr>
          <w:p>
            <w:pPr>
              <w:pStyle w:val="826"/>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资格审查响应内容</w:t>
            </w:r>
            <w:r>
              <w:rPr>
                <w:rFonts w:hint="eastAsia" w:ascii="宋体" w:hAnsi="宋体" w:cs="宋体"/>
                <w:b/>
                <w:color w:val="000000"/>
                <w:szCs w:val="21"/>
                <w:highlight w:val="none"/>
              </w:rPr>
            </w:r>
            <w:r/>
          </w:p>
        </w:tc>
        <w:tc>
          <w:tcPr>
            <w:tcW w:w="1919" w:type="dxa"/>
            <w:vAlign w:val="center"/>
            <w:textDirection w:val="lrTb"/>
            <w:noWrap w:val="false"/>
          </w:tcPr>
          <w:p>
            <w:pPr>
              <w:pStyle w:val="826"/>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hint="eastAsia" w:ascii="宋体" w:hAnsi="宋体" w:cs="宋体"/>
                <w:b/>
                <w:color w:val="000000"/>
                <w:szCs w:val="21"/>
                <w:highlight w:val="none"/>
              </w:rPr>
            </w:r>
            <w:r/>
          </w:p>
          <w:p>
            <w:pPr>
              <w:pStyle w:val="826"/>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rPr>
                <w:rFonts w:hint="eastAsia" w:ascii="宋体" w:hAnsi="宋体" w:cs="宋体"/>
                <w:b/>
                <w:color w:val="000000"/>
                <w:szCs w:val="21"/>
                <w:highlight w:val="none"/>
              </w:rPr>
            </w:r>
            <w:r/>
          </w:p>
        </w:tc>
      </w:tr>
      <w:tr>
        <w:trPr>
          <w:trHeight w:val="524"/>
        </w:trPr>
        <w:tc>
          <w:tcPr>
            <w:gridSpan w:val="3"/>
            <w:tcW w:w="9561" w:type="dxa"/>
            <w:vAlign w:val="center"/>
            <w:textDirection w:val="lrTb"/>
            <w:noWrap w:val="false"/>
          </w:tcPr>
          <w:p>
            <w:pPr>
              <w:pStyle w:val="82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通用资格条件</w:t>
            </w:r>
            <w:r>
              <w:rPr>
                <w:rFonts w:hint="eastAsia" w:ascii="宋体" w:hAnsi="宋体" w:cs="宋体"/>
                <w:b/>
                <w:color w:val="000000"/>
                <w:szCs w:val="21"/>
                <w:highlight w:val="none"/>
              </w:rPr>
            </w:r>
            <w:r/>
          </w:p>
        </w:tc>
      </w:tr>
      <w:tr>
        <w:trPr>
          <w:trHeight w:val="761"/>
        </w:trPr>
        <w:tc>
          <w:tcPr>
            <w:tcW w:w="770" w:type="dxa"/>
            <w:vAlign w:val="center"/>
            <w:textDirection w:val="lrTb"/>
            <w:noWrap w:val="false"/>
          </w:tcPr>
          <w:p>
            <w:pPr>
              <w:pStyle w:val="826"/>
              <w:jc w:val="center"/>
              <w:spacing w:line="44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r>
            <w:r/>
          </w:p>
        </w:tc>
        <w:tc>
          <w:tcPr>
            <w:tcW w:w="6872" w:type="dxa"/>
            <w:vAlign w:val="center"/>
            <w:textDirection w:val="lrTb"/>
            <w:noWrap w:val="false"/>
          </w:tcPr>
          <w:p>
            <w:pPr>
              <w:pStyle w:val="826"/>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法人或者其他组织的营业执照等证明文件，自然人的身份证明；</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770" w:type="dxa"/>
            <w:vAlign w:val="center"/>
            <w:textDirection w:val="lrTb"/>
            <w:noWrap w:val="false"/>
          </w:tcPr>
          <w:p>
            <w:pPr>
              <w:pStyle w:val="82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6872" w:type="dxa"/>
            <w:vAlign w:val="center"/>
            <w:textDirection w:val="lrTb"/>
            <w:noWrap w:val="false"/>
          </w:tcPr>
          <w:p>
            <w:pPr>
              <w:pStyle w:val="826"/>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lang w:val="en-US" w:eastAsia="zh-CN"/>
              </w:rPr>
              <w:t xml:space="preserve">上一</w:t>
            </w:r>
            <w:r>
              <w:rPr>
                <w:rFonts w:hint="eastAsia" w:ascii="宋体" w:hAnsi="宋体" w:cs="宋体"/>
                <w:iCs/>
                <w:color w:val="000000"/>
                <w:szCs w:val="21"/>
                <w:highlight w:val="none"/>
              </w:rPr>
              <w:t xml:space="preserve">年度的财务报告情况；（成立不满一年无需提供）</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85"/>
        </w:trPr>
        <w:tc>
          <w:tcPr>
            <w:tcW w:w="770" w:type="dxa"/>
            <w:vAlign w:val="center"/>
            <w:textDirection w:val="lrTb"/>
            <w:noWrap w:val="false"/>
          </w:tcPr>
          <w:p>
            <w:pPr>
              <w:pStyle w:val="82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6872" w:type="dxa"/>
            <w:vAlign w:val="center"/>
            <w:textDirection w:val="lrTb"/>
            <w:noWrap w:val="false"/>
          </w:tcPr>
          <w:p>
            <w:pPr>
              <w:pStyle w:val="826"/>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7"/>
        </w:trPr>
        <w:tc>
          <w:tcPr>
            <w:tcW w:w="770" w:type="dxa"/>
            <w:vAlign w:val="center"/>
            <w:textDirection w:val="lrTb"/>
            <w:noWrap w:val="false"/>
          </w:tcPr>
          <w:p>
            <w:pPr>
              <w:pStyle w:val="82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6872" w:type="dxa"/>
            <w:vAlign w:val="center"/>
            <w:textDirection w:val="lrTb"/>
            <w:noWrap w:val="false"/>
          </w:tcPr>
          <w:p>
            <w:pPr>
              <w:pStyle w:val="826"/>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具备履行合同所必需的设备和专业技术能力的书面声明</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770" w:type="dxa"/>
            <w:vAlign w:val="center"/>
            <w:textDirection w:val="lrTb"/>
            <w:noWrap w:val="false"/>
          </w:tcPr>
          <w:p>
            <w:pPr>
              <w:pStyle w:val="82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6872" w:type="dxa"/>
            <w:vAlign w:val="center"/>
            <w:textDirection w:val="lrTb"/>
            <w:noWrap w:val="false"/>
          </w:tcPr>
          <w:p>
            <w:pPr>
              <w:pStyle w:val="826"/>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参加政府采购活动前3年内在经营活动中没有重大违法记录的书面声明；</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770" w:type="dxa"/>
            <w:vAlign w:val="center"/>
            <w:textDirection w:val="lrTb"/>
            <w:noWrap w:val="false"/>
          </w:tcPr>
          <w:p>
            <w:pPr>
              <w:pStyle w:val="82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6872" w:type="dxa"/>
            <w:vAlign w:val="center"/>
            <w:textDirection w:val="lrTb"/>
            <w:noWrap w:val="false"/>
          </w:tcPr>
          <w:p>
            <w:pPr>
              <w:pStyle w:val="826"/>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供应商信用承诺书</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770" w:type="dxa"/>
            <w:vAlign w:val="center"/>
            <w:textDirection w:val="lrTb"/>
            <w:noWrap w:val="false"/>
          </w:tcPr>
          <w:p>
            <w:pPr>
              <w:pStyle w:val="826"/>
              <w:jc w:val="center"/>
              <w:spacing w:line="44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r>
            <w:r/>
          </w:p>
        </w:tc>
        <w:tc>
          <w:tcPr>
            <w:tcW w:w="6872" w:type="dxa"/>
            <w:vAlign w:val="center"/>
            <w:textDirection w:val="lrTb"/>
            <w:noWrap w:val="false"/>
          </w:tcPr>
          <w:p>
            <w:pPr>
              <w:pStyle w:val="826"/>
              <w:spacing w:line="440" w:lineRule="exact"/>
              <w:rPr>
                <w:rFonts w:hint="eastAsia" w:ascii="宋体" w:hAnsi="宋体" w:eastAsia="宋体" w:cs="宋体"/>
                <w:iCs/>
                <w:color w:val="000000"/>
                <w:szCs w:val="21"/>
                <w:highlight w:val="none"/>
                <w:lang w:eastAsia="zh-CN"/>
              </w:rPr>
            </w:pPr>
            <w:r>
              <w:rPr>
                <w:rFonts w:hint="eastAsia" w:ascii="宋体" w:hAnsi="宋体" w:cs="宋体"/>
                <w:iCs/>
                <w:color w:val="000000"/>
                <w:szCs w:val="21"/>
                <w:highlight w:val="none"/>
              </w:rPr>
              <w:t xml:space="preserve">法律、行政法规规定的其他条件</w:t>
            </w:r>
            <w:r>
              <w:rPr>
                <w:rFonts w:hint="eastAsia" w:ascii="宋体" w:hAnsi="宋体" w:cs="宋体"/>
                <w:iCs/>
                <w:color w:val="000000"/>
                <w:szCs w:val="21"/>
                <w:highlight w:val="none"/>
                <w:lang w:eastAsia="zh-CN"/>
              </w:rPr>
              <w:t xml:space="preserve">（</w:t>
            </w:r>
            <w:r>
              <w:rPr>
                <w:rFonts w:hint="eastAsia" w:ascii="宋体" w:hAnsi="宋体" w:cs="宋体"/>
                <w:iCs/>
                <w:color w:val="000000"/>
                <w:szCs w:val="21"/>
                <w:highlight w:val="none"/>
                <w:lang w:val="en-US" w:eastAsia="zh-CN"/>
              </w:rPr>
              <w:t xml:space="preserve">提供承诺书或其他相关证明材料</w:t>
            </w:r>
            <w:r>
              <w:rPr>
                <w:rFonts w:hint="eastAsia" w:ascii="宋体" w:hAnsi="宋体" w:cs="宋体"/>
                <w:iCs/>
                <w:color w:val="000000"/>
                <w:szCs w:val="21"/>
                <w:highlight w:val="none"/>
                <w:lang w:eastAsia="zh-CN"/>
              </w:rPr>
              <w:t xml:space="preserve">）</w:t>
            </w:r>
            <w:r>
              <w:rPr>
                <w:rFonts w:hint="eastAsia" w:ascii="宋体" w:hAnsi="宋体" w:eastAsia="宋体" w:cs="宋体"/>
                <w:iCs/>
                <w:color w:val="000000"/>
                <w:szCs w:val="21"/>
                <w:highlight w:val="none"/>
                <w:lang w:eastAsia="zh-CN"/>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770" w:type="dxa"/>
            <w:vAlign w:val="center"/>
            <w:textDirection w:val="lrTb"/>
            <w:noWrap w:val="false"/>
          </w:tcPr>
          <w:p>
            <w:pPr>
              <w:pStyle w:val="826"/>
              <w:jc w:val="center"/>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6872" w:type="dxa"/>
            <w:vAlign w:val="center"/>
            <w:textDirection w:val="lrTb"/>
            <w:noWrap w:val="false"/>
          </w:tcPr>
          <w:p>
            <w:pPr>
              <w:pStyle w:val="826"/>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gridSpan w:val="3"/>
            <w:tcW w:w="9561" w:type="dxa"/>
            <w:vAlign w:val="center"/>
            <w:textDirection w:val="lrTb"/>
            <w:noWrap w:val="false"/>
          </w:tcPr>
          <w:p>
            <w:pPr>
              <w:pStyle w:val="826"/>
              <w:spacing w:line="440" w:lineRule="exact"/>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rPr>
              <w:t xml:space="preserve">落实政府采购政策需满足的资格要求</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无</w:t>
            </w:r>
            <w:r>
              <w:rPr>
                <w:rFonts w:ascii="宋体" w:hAnsi="宋体" w:eastAsia="宋体" w:cs="宋体"/>
                <w:color w:val="000000"/>
                <w:szCs w:val="21"/>
                <w:highlight w:val="none"/>
                <w:lang w:val="en-US" w:eastAsia="zh-CN"/>
              </w:rPr>
            </w:r>
            <w:r/>
          </w:p>
        </w:tc>
      </w:tr>
      <w:tr>
        <w:trPr>
          <w:trHeight w:val="452"/>
        </w:trPr>
        <w:tc>
          <w:tcPr>
            <w:gridSpan w:val="3"/>
            <w:tcW w:w="9561"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本项目的特定资格要求：无</w:t>
            </w:r>
            <w:r>
              <w:rPr>
                <w:rFonts w:hint="eastAsia" w:ascii="宋体" w:hAnsi="宋体" w:cs="宋体"/>
                <w:color w:val="000000"/>
                <w:szCs w:val="21"/>
                <w:highlight w:val="none"/>
              </w:rPr>
            </w:r>
            <w:r/>
          </w:p>
        </w:tc>
      </w:tr>
      <w:tr>
        <w:trPr>
          <w:trHeight w:val="400"/>
        </w:trPr>
        <w:tc>
          <w:tcPr>
            <w:gridSpan w:val="3"/>
            <w:tcW w:w="9561"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其他资格条件</w:t>
            </w:r>
            <w:r>
              <w:rPr>
                <w:rFonts w:hint="eastAsia" w:ascii="宋体" w:hAnsi="宋体" w:cs="宋体"/>
                <w:color w:val="000000"/>
                <w:szCs w:val="21"/>
                <w:highlight w:val="none"/>
              </w:rPr>
            </w:r>
            <w:r/>
          </w:p>
        </w:tc>
      </w:tr>
      <w:tr>
        <w:trPr>
          <w:trHeight w:val="400"/>
        </w:trPr>
        <w:tc>
          <w:tcPr>
            <w:tcW w:w="770" w:type="dxa"/>
            <w:vAlign w:val="center"/>
            <w:textDirection w:val="lrTb"/>
            <w:noWrap w:val="false"/>
          </w:tcPr>
          <w:p>
            <w:pPr>
              <w:pStyle w:val="82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6872" w:type="dxa"/>
            <w:vAlign w:val="center"/>
            <w:textDirection w:val="lrTb"/>
            <w:noWrap w:val="false"/>
          </w:tcPr>
          <w:p>
            <w:pPr>
              <w:pStyle w:val="826"/>
              <w:jc w:val="left"/>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（1）单位负责人为同一人或者存在直接控股、管理关系的不同供应商，不得参加同一合同项下的政府采购活动；</w:t>
            </w:r>
            <w:r>
              <w:rPr>
                <w:rFonts w:hint="eastAsia" w:ascii="宋体" w:hAnsi="宋体" w:cs="宋体"/>
                <w:iCs/>
                <w:color w:val="000000"/>
                <w:szCs w:val="21"/>
                <w:highlight w:val="none"/>
              </w:rPr>
            </w:r>
            <w:r/>
          </w:p>
          <w:p>
            <w:pPr>
              <w:pStyle w:val="826"/>
              <w:jc w:val="left"/>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（2）除单一来源采购项目外，为采购项目提供整体设计、规范编制或者项目管理、监理、检测等服务的供应商，不得再参加该采购项目的其他采购活动；</w:t>
            </w:r>
            <w:r>
              <w:rPr>
                <w:rFonts w:hint="eastAsia" w:ascii="宋体" w:hAnsi="宋体" w:cs="宋体"/>
                <w:iCs/>
                <w:color w:val="000000"/>
                <w:szCs w:val="21"/>
                <w:highlight w:val="none"/>
              </w:rPr>
            </w:r>
            <w:r/>
          </w:p>
          <w:p>
            <w:pPr>
              <w:pStyle w:val="826"/>
              <w:jc w:val="left"/>
              <w:spacing w:line="440" w:lineRule="exact"/>
              <w:rPr>
                <w:rFonts w:hint="eastAsia" w:ascii="宋体" w:hAnsi="宋体" w:cs="宋体"/>
                <w:iCs/>
                <w:color w:val="000000"/>
                <w:szCs w:val="21"/>
                <w:highlight w:val="none"/>
              </w:rPr>
            </w:pPr>
            <w:r>
              <w:rPr>
                <w:rFonts w:hint="eastAsia" w:ascii="宋体" w:hAnsi="宋体" w:eastAsia="宋体" w:cs="宋体"/>
                <w:b/>
                <w:bCs w:val="0"/>
                <w:i w:val="0"/>
                <w:iCs w:val="0"/>
                <w:color w:val="000000"/>
                <w:sz w:val="21"/>
                <w:szCs w:val="21"/>
                <w:highlight w:val="none"/>
                <w:u w:val="none"/>
                <w:lang w:val="en-US" w:eastAsia="zh-CN"/>
              </w:rPr>
              <w:t xml:space="preserve">提供承诺书加盖供应商公章，上传系统，承诺书内容需包含上述内容</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0"/>
        </w:trPr>
        <w:tc>
          <w:tcPr>
            <w:tcW w:w="770" w:type="dxa"/>
            <w:vAlign w:val="center"/>
            <w:textDirection w:val="lrTb"/>
            <w:noWrap w:val="false"/>
          </w:tcPr>
          <w:p>
            <w:pPr>
              <w:pStyle w:val="82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6872" w:type="dxa"/>
            <w:vAlign w:val="center"/>
            <w:textDirection w:val="lrTb"/>
            <w:noWrap w:val="false"/>
          </w:tcPr>
          <w:p>
            <w:pPr>
              <w:pStyle w:val="826"/>
              <w:jc w:val="left"/>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投标函</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62"/>
        </w:trPr>
        <w:tc>
          <w:tcPr>
            <w:tcW w:w="770" w:type="dxa"/>
            <w:vAlign w:val="center"/>
            <w:textDirection w:val="lrTb"/>
            <w:noWrap w:val="false"/>
          </w:tcPr>
          <w:p>
            <w:pPr>
              <w:pStyle w:val="82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6872" w:type="dxa"/>
            <w:vAlign w:val="center"/>
            <w:textDirection w:val="lrTb"/>
            <w:noWrap w:val="false"/>
          </w:tcPr>
          <w:p>
            <w:pPr>
              <w:pStyle w:val="826"/>
              <w:jc w:val="left"/>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法人授权书</w:t>
            </w:r>
            <w:r>
              <w:rPr>
                <w:rFonts w:hint="eastAsia" w:ascii="宋体" w:hAnsi="宋体" w:cs="宋体"/>
                <w:iCs/>
                <w:color w:val="000000"/>
                <w:szCs w:val="21"/>
                <w:highlight w:val="none"/>
              </w:rPr>
            </w:r>
            <w:r/>
          </w:p>
        </w:tc>
        <w:tc>
          <w:tcPr>
            <w:tcW w:w="1919" w:type="dxa"/>
            <w:vAlign w:val="center"/>
            <w:textDirection w:val="lrTb"/>
            <w:noWrap w:val="false"/>
          </w:tcPr>
          <w:p>
            <w:pPr>
              <w:pStyle w:val="8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6"/>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826"/>
        <w:jc w:val="center"/>
        <w:spacing w:before="156" w:after="156"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具备履行合同所必需的设备和专业技术能力的书面声明</w:t>
      </w:r>
      <w:r>
        <w:rPr>
          <w:rFonts w:hint="eastAsia" w:ascii="宋体" w:hAnsi="宋体" w:cs="宋体"/>
          <w:b/>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rPr>
      </w:r>
      <w:r/>
    </w:p>
    <w:p>
      <w:pPr>
        <w:pStyle w:val="826"/>
        <w:ind w:firstLine="2520"/>
        <w:spacing w:line="360" w:lineRule="auto"/>
        <w:rPr>
          <w:rFonts w:hint="eastAsia" w:ascii="宋体" w:hAnsi="宋体" w:cs="宋体"/>
          <w:bCs/>
          <w:color w:val="000000"/>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bCs/>
          <w:color w:val="000000"/>
          <w:highlight w:val="none"/>
        </w:rPr>
        <w:t xml:space="preserve">名称（</w:t>
      </w:r>
      <w:r>
        <w:rPr>
          <w:rFonts w:hint="eastAsia" w:ascii="宋体" w:hAnsi="宋体" w:cs="宋体"/>
          <w:color w:val="000000"/>
          <w:szCs w:val="21"/>
          <w:highlight w:val="none"/>
        </w:rPr>
        <w:t xml:space="preserve">加盖CA电子公章</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826"/>
        <w:ind w:firstLine="25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法定代表人签章：                  </w:t>
      </w:r>
      <w:r>
        <w:rPr>
          <w:rFonts w:hint="eastAsia" w:ascii="宋体" w:hAnsi="宋体" w:cs="宋体"/>
          <w:bCs/>
          <w:color w:val="000000"/>
          <w:highlight w:val="none"/>
        </w:rPr>
      </w:r>
      <w:r/>
    </w:p>
    <w:p>
      <w:pPr>
        <w:pStyle w:val="826"/>
        <w:ind w:firstLine="25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日期：  年  月  日</w:t>
      </w:r>
      <w:r>
        <w:rPr>
          <w:rFonts w:hint="eastAsia" w:ascii="宋体" w:hAnsi="宋体" w:cs="宋体"/>
          <w:bCs/>
          <w:color w:val="000000"/>
          <w:highlight w:val="none"/>
        </w:rPr>
      </w:r>
      <w:r/>
    </w:p>
    <w:p>
      <w:pPr>
        <w:pStyle w:val="826"/>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参加本次政府采购活动前 3 年内在经营活动中没有重大违法记录的书面声明</w:t>
      </w:r>
      <w:r>
        <w:rPr>
          <w:rFonts w:hint="eastAsia" w:ascii="宋体" w:hAnsi="宋体" w:cs="宋体"/>
          <w:b/>
          <w:bCs/>
          <w:color w:val="000000"/>
          <w:szCs w:val="21"/>
          <w:highlight w:val="none"/>
        </w:rPr>
      </w:r>
      <w:r/>
    </w:p>
    <w:p>
      <w:pPr>
        <w:pStyle w:val="8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26"/>
        <w:ind w:firstLine="2520"/>
        <w:spacing w:line="360" w:lineRule="auto"/>
        <w:rPr>
          <w:rFonts w:hint="eastAsia" w:ascii="宋体" w:hAnsi="宋体" w:cs="宋体"/>
          <w:bCs/>
          <w:color w:val="000000"/>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bCs/>
          <w:color w:val="000000"/>
          <w:highlight w:val="none"/>
        </w:rPr>
        <w:t xml:space="preserve">名称（</w:t>
      </w:r>
      <w:r>
        <w:rPr>
          <w:rFonts w:hint="eastAsia" w:ascii="宋体" w:hAnsi="宋体" w:cs="宋体"/>
          <w:color w:val="000000"/>
          <w:szCs w:val="21"/>
          <w:highlight w:val="none"/>
        </w:rPr>
        <w:t xml:space="preserve">加盖CA电子公章</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826"/>
        <w:ind w:firstLine="25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法定代表人签章：                  </w:t>
      </w:r>
      <w:r>
        <w:rPr>
          <w:rFonts w:hint="eastAsia" w:ascii="宋体" w:hAnsi="宋体" w:cs="宋体"/>
          <w:bCs/>
          <w:color w:val="000000"/>
          <w:highlight w:val="none"/>
        </w:rPr>
      </w:r>
      <w:r/>
    </w:p>
    <w:p>
      <w:pPr>
        <w:pStyle w:val="826"/>
        <w:ind w:firstLine="25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日期：  年  月  日</w:t>
      </w:r>
      <w:r>
        <w:rPr>
          <w:rFonts w:hint="eastAsia" w:ascii="宋体" w:hAnsi="宋体" w:cs="宋体"/>
          <w:bCs/>
          <w:color w:val="000000"/>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center"/>
        <w:spacing w:line="500" w:lineRule="exact"/>
        <w:rPr>
          <w:rFonts w:hint="eastAsia" w:ascii="宋体" w:hAnsi="宋体" w:cs="宋体"/>
          <w:b/>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color w:val="000000"/>
          <w:szCs w:val="21"/>
          <w:highlight w:val="none"/>
        </w:rPr>
        <w:t xml:space="preserve">供应商信用承诺书</w:t>
      </w:r>
      <w:r>
        <w:rPr>
          <w:rFonts w:hint="eastAsia" w:ascii="宋体" w:hAnsi="宋体" w:cs="宋体"/>
          <w:b/>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承诺主体名称：</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（注：法定代表人或负责人、主体名称发生变更的应当重新做出承诺。）</w:t>
      </w:r>
      <w:r>
        <w:rPr>
          <w:rFonts w:hint="eastAsia" w:ascii="宋体" w:hAnsi="宋体" w:cs="宋体"/>
          <w:color w:val="000000"/>
          <w:szCs w:val="21"/>
          <w:highlight w:val="none"/>
        </w:rPr>
      </w:r>
      <w:r/>
    </w:p>
    <w:p>
      <w:pPr>
        <w:pStyle w:val="826"/>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6"/>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承诺单位（加盖CA电子公章）：  </w:t>
      </w:r>
      <w:r>
        <w:rPr>
          <w:rFonts w:hint="eastAsia" w:ascii="宋体" w:hAnsi="宋体" w:cs="宋体"/>
          <w:color w:val="000000"/>
          <w:szCs w:val="21"/>
          <w:highlight w:val="none"/>
        </w:rPr>
      </w:r>
      <w:r/>
    </w:p>
    <w:p>
      <w:pPr>
        <w:pStyle w:val="826"/>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rPr>
          <w:rFonts w:hint="eastAsia" w:ascii="宋体" w:hAnsi="宋体" w:cs="宋体"/>
          <w:color w:val="000000"/>
          <w:szCs w:val="21"/>
          <w:highlight w:val="none"/>
        </w:rPr>
      </w:r>
      <w:r/>
    </w:p>
    <w:p>
      <w:pPr>
        <w:pStyle w:val="82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致：江苏苏维工程管理有限公司</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lang w:eastAsia="zh-CN"/>
        </w:rPr>
        <w:t xml:space="preserve">JSZC-320000-SWGC-G2026-0127</w:t>
      </w:r>
      <w:r>
        <w:rPr>
          <w:rFonts w:hint="eastAsia" w:ascii="宋体" w:hAnsi="宋体" w:cs="宋体"/>
          <w:color w:val="000000"/>
          <w:sz w:val="21"/>
          <w:szCs w:val="21"/>
          <w:highlight w:val="none"/>
        </w:rPr>
        <w:t xml:space="preserve">号招标文件，正式授权下述签字人_________________（姓名）代表我方______________（投标人的名称），全权处理本次项目投标的有关事宜。</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1.按招标文件规定的各项要求，向买方提供所需货物与服务。</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2.我们完全理解贵方不一定将合同授予最低报价的投标人。</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7.与本投标有关的正式通讯地址为：</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编：</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 </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 </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投标人开户行：</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户： </w:t>
      </w:r>
      <w:r>
        <w:rPr>
          <w:rFonts w:hint="eastAsia" w:ascii="宋体" w:hAnsi="宋体" w:cs="宋体"/>
          <w:color w:val="000000"/>
          <w:sz w:val="21"/>
          <w:szCs w:val="21"/>
          <w:highlight w:val="none"/>
        </w:rPr>
      </w:r>
      <w:r/>
    </w:p>
    <w:p>
      <w:pPr>
        <w:pStyle w:val="113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rPr>
          <w:rFonts w:hint="eastAsia" w:ascii="宋体" w:hAnsi="宋体" w:cs="宋体"/>
          <w:color w:val="000000"/>
          <w:sz w:val="21"/>
          <w:szCs w:val="21"/>
          <w:highlight w:val="none"/>
        </w:rPr>
      </w:r>
      <w:r/>
    </w:p>
    <w:p>
      <w:pPr>
        <w:pStyle w:val="826"/>
        <w:contextualSpacing/>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法人授权书</w:t>
      </w:r>
      <w:r>
        <w:rPr>
          <w:rFonts w:hint="eastAsia" w:ascii="宋体" w:hAnsi="宋体" w:cs="宋体"/>
          <w:b/>
          <w:color w:val="000000"/>
          <w:szCs w:val="21"/>
          <w:highlight w:val="none"/>
        </w:rPr>
      </w:r>
      <w:r/>
    </w:p>
    <w:p>
      <w:pPr>
        <w:pStyle w:val="1134"/>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134"/>
        <w:ind w:firstLine="420"/>
        <w:spacing w:line="360" w:lineRule="auto"/>
        <w:tabs>
          <w:tab w:val="left" w:pos="360" w:leader="none"/>
        </w:tabs>
        <w:rPr>
          <w:rFonts w:hint="eastAsia" w:ascii="宋体" w:hAnsi="宋体" w:cs="宋体"/>
          <w:color w:val="000000"/>
          <w:sz w:val="21"/>
          <w:szCs w:val="21"/>
          <w:highlight w:val="none"/>
        </w:rPr>
      </w:pPr>
      <w:r/>
      <w:bookmarkStart w:id="78" w:name="_Toc17479"/>
      <w:r/>
      <w:bookmarkStart w:id="79" w:name="_Toc16911"/>
      <w:r/>
      <w:bookmarkStart w:id="80" w:name="_Toc9345"/>
      <w:r/>
      <w:bookmarkStart w:id="81" w:name="_Toc20616"/>
      <w:r>
        <w:rPr>
          <w:rFonts w:hint="eastAsia" w:ascii="宋体" w:hAnsi="宋体" w:cs="宋体"/>
          <w:color w:val="000000"/>
          <w:sz w:val="21"/>
          <w:szCs w:val="21"/>
          <w:highlight w:val="none"/>
        </w:rPr>
        <w:t xml:space="preserve">本授权书声明：________________（投标人名称）授权________________（被授权人的姓名）为我方就</w:t>
      </w:r>
      <w:r>
        <w:rPr>
          <w:rFonts w:hint="eastAsia" w:ascii="宋体" w:hAnsi="宋体" w:cs="宋体"/>
          <w:color w:val="000000"/>
          <w:sz w:val="21"/>
          <w:szCs w:val="21"/>
          <w:highlight w:val="none"/>
          <w:lang w:eastAsia="zh-CN"/>
        </w:rPr>
        <w:t xml:space="preserve">JSZC-320000-SWGC-G2026-0127</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u w:val="single"/>
        </w:rPr>
        <w:t xml:space="preserve">（项目名称）  </w:t>
      </w:r>
      <w:r>
        <w:rPr>
          <w:rFonts w:hint="eastAsia" w:ascii="宋体" w:hAnsi="宋体" w:cs="宋体"/>
          <w:color w:val="000000"/>
          <w:sz w:val="21"/>
          <w:szCs w:val="21"/>
          <w:highlight w:val="none"/>
        </w:rPr>
        <w:t xml:space="preserve">项目采购活动的合法代理人，以本公司名义全权处理一切与该项目采购有关的事务。</w:t>
      </w:r>
      <w:r>
        <w:rPr>
          <w:rFonts w:hint="eastAsia" w:ascii="宋体" w:hAnsi="宋体" w:cs="宋体"/>
          <w:color w:val="000000"/>
          <w:sz w:val="21"/>
          <w:szCs w:val="21"/>
          <w:highlight w:val="none"/>
        </w:rPr>
      </w:r>
      <w:r/>
    </w:p>
    <w:p>
      <w:pPr>
        <w:pStyle w:val="1134"/>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rPr>
          <w:rFonts w:hint="eastAsia" w:ascii="宋体" w:hAnsi="宋体" w:cs="宋体"/>
          <w:color w:val="000000"/>
          <w:sz w:val="21"/>
          <w:szCs w:val="21"/>
          <w:highlight w:val="none"/>
        </w:rPr>
      </w:r>
      <w:r/>
    </w:p>
    <w:p>
      <w:pPr>
        <w:pStyle w:val="1134"/>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826"/>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26"/>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被授权人联系电话：（手机）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26"/>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被授权人电子邮箱：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26"/>
        <w:ind w:firstLine="420"/>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授权单位名称：</w:t>
      </w:r>
      <w:r>
        <w:rPr>
          <w:rFonts w:hint="eastAsia" w:ascii="宋体" w:hAnsi="宋体" w:cs="宋体"/>
          <w:color w:val="000000"/>
          <w:szCs w:val="21"/>
          <w:highlight w:val="none"/>
          <w:u w:val="single"/>
        </w:rPr>
        <w:t xml:space="preserve">（加盖CA电子公章）</w:t>
      </w:r>
      <w:r>
        <w:rPr>
          <w:rFonts w:hint="eastAsia" w:ascii="宋体" w:hAnsi="宋体" w:cs="宋体"/>
          <w:color w:val="000000"/>
          <w:szCs w:val="21"/>
          <w:highlight w:val="none"/>
        </w:rPr>
      </w:r>
      <w:r/>
    </w:p>
    <w:p>
      <w:pPr>
        <w:pStyle w:val="826"/>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日期：</w:t>
      </w:r>
      <w:bookmarkStart w:id="82" w:name="_Hlt26671380"/>
      <w:r/>
      <w:bookmarkEnd w:id="82"/>
      <w:r/>
      <w:bookmarkStart w:id="83" w:name="_Hlt26955070"/>
      <w:r/>
      <w:bookmarkEnd w:id="83"/>
      <w:r/>
      <w:bookmarkStart w:id="84" w:name="_格式3__银行出具的资信证明"/>
      <w:r/>
      <w:bookmarkEnd w:id="84"/>
      <w:r>
        <w:rPr>
          <w:rFonts w:hint="eastAsia" w:ascii="宋体" w:hAnsi="宋体" w:cs="宋体"/>
          <w:color w:val="000000"/>
          <w:szCs w:val="21"/>
          <w:highlight w:val="none"/>
          <w:u w:val="single"/>
        </w:rPr>
        <w:t xml:space="preserve">                                             </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法定代表人及被授权人身份证复印件：</w:t>
      </w: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26"/>
        <w:ind w:firstLine="420"/>
        <w:spacing w:line="360" w:lineRule="auto"/>
        <w:rPr>
          <w:rFonts w:ascii="宋体" w:hAnsi="宋体" w:eastAsia="宋体" w:cs="宋体"/>
          <w:bCs/>
          <w:i/>
          <w:iCs/>
          <w:color w:val="000000"/>
          <w:szCs w:val="21"/>
          <w:highlight w:val="none"/>
          <w:u w:val="single"/>
          <w:lang w:val="en-US" w:eastAsia="zh-CN"/>
        </w:rPr>
      </w:pPr>
      <w:r>
        <w:rPr>
          <w:rFonts w:hint="eastAsia" w:ascii="宋体" w:hAnsi="宋体" w:cs="宋体"/>
          <w:bCs/>
          <w:i/>
          <w:iCs/>
          <w:color w:val="000000"/>
          <w:szCs w:val="21"/>
          <w:highlight w:val="none"/>
          <w:u w:val="single"/>
          <w:lang w:val="en-US" w:eastAsia="zh-CN"/>
        </w:rPr>
        <w:t xml:space="preserve">提供</w:t>
      </w:r>
      <w:r>
        <w:rPr>
          <w:rFonts w:hint="eastAsia" w:ascii="宋体" w:hAnsi="宋体" w:cs="宋体"/>
          <w:bCs/>
          <w:i/>
          <w:iCs/>
          <w:color w:val="000000"/>
          <w:szCs w:val="21"/>
          <w:highlight w:val="none"/>
          <w:u w:val="single"/>
        </w:rPr>
        <w:t xml:space="preserve">被授权人</w:t>
      </w:r>
      <w:r>
        <w:rPr>
          <w:rFonts w:hint="eastAsia" w:ascii="宋体" w:hAnsi="宋体" w:cs="宋体"/>
          <w:bCs/>
          <w:i/>
          <w:iCs/>
          <w:color w:val="000000"/>
          <w:szCs w:val="21"/>
          <w:highlight w:val="none"/>
          <w:u w:val="single"/>
          <w:lang w:val="en-US" w:eastAsia="zh-CN"/>
        </w:rPr>
        <w:t xml:space="preserve">近一年内任意一个月的社保证明</w:t>
      </w:r>
      <w:r>
        <w:rPr>
          <w:rFonts w:ascii="宋体" w:hAnsi="宋体" w:eastAsia="宋体" w:cs="宋体"/>
          <w:bCs/>
          <w:i/>
          <w:iCs/>
          <w:color w:val="000000"/>
          <w:szCs w:val="21"/>
          <w:highlight w:val="none"/>
          <w:u w:val="single"/>
          <w:lang w:val="en-US" w:eastAsia="zh-CN"/>
        </w:rPr>
      </w:r>
      <w:r/>
    </w:p>
    <w:p>
      <w:pPr>
        <w:pStyle w:val="82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26"/>
        <w:ind w:firstLine="420"/>
        <w:spacing w:line="360" w:lineRule="auto"/>
        <w:rPr>
          <w:rFonts w:hint="eastAsia" w:ascii="宋体" w:hAnsi="宋体" w:cs="宋体"/>
          <w:bCs/>
          <w:color w:val="000000"/>
          <w:szCs w:val="21"/>
          <w:highlight w:val="none"/>
        </w:rPr>
        <w:sectPr>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Cs/>
          <w:color w:val="000000"/>
          <w:szCs w:val="21"/>
          <w:highlight w:val="none"/>
        </w:rPr>
      </w:r>
      <w:r/>
    </w:p>
    <w:p>
      <w:pPr>
        <w:pStyle w:val="826"/>
        <w:jc w:val="center"/>
        <w:rPr>
          <w:rFonts w:hint="eastAsia" w:ascii="宋体" w:hAnsi="宋体" w:eastAsia="宋体" w:cs="宋体"/>
          <w:b/>
          <w:bCs/>
          <w:color w:val="000000"/>
          <w:sz w:val="21"/>
          <w:szCs w:val="21"/>
          <w:highlight w:val="none"/>
          <w:lang w:eastAsia="zh-CN"/>
        </w:rPr>
      </w:pPr>
      <w:r/>
      <w:bookmarkStart w:id="85" w:name="_Toc7282"/>
      <w:r/>
      <w:bookmarkStart w:id="86" w:name="_Toc18665"/>
      <w:r>
        <w:rPr>
          <w:rFonts w:hint="eastAsia" w:ascii="宋体" w:hAnsi="宋体" w:eastAsia="宋体" w:cs="宋体"/>
          <w:b/>
          <w:bCs/>
          <w:color w:val="000000"/>
          <w:sz w:val="21"/>
          <w:szCs w:val="21"/>
          <w:highlight w:val="none"/>
        </w:rPr>
        <w:t xml:space="preserve">二、</w:t>
      </w:r>
      <w:bookmarkEnd w:id="78"/>
      <w:r/>
      <w:bookmarkEnd w:id="79"/>
      <w:r/>
      <w:bookmarkEnd w:id="80"/>
      <w:r/>
      <w:bookmarkEnd w:id="81"/>
      <w:r/>
      <w:bookmarkEnd w:id="85"/>
      <w:r/>
      <w:bookmarkEnd w:id="86"/>
      <w:r>
        <w:rPr>
          <w:rFonts w:hint="eastAsia" w:ascii="宋体" w:hAnsi="宋体" w:cs="宋体"/>
          <w:b/>
          <w:bCs/>
          <w:color w:val="000000"/>
          <w:sz w:val="21"/>
          <w:szCs w:val="21"/>
          <w:highlight w:val="none"/>
          <w:lang w:eastAsia="zh-CN"/>
        </w:rPr>
        <w:t xml:space="preserve">实质性响应对照表</w:t>
      </w:r>
      <w:r>
        <w:rPr>
          <w:rFonts w:hint="eastAsia" w:ascii="宋体" w:hAnsi="宋体" w:eastAsia="宋体" w:cs="宋体"/>
          <w:b/>
          <w:bCs/>
          <w:color w:val="000000"/>
          <w:sz w:val="21"/>
          <w:szCs w:val="21"/>
          <w:highlight w:val="none"/>
          <w:lang w:eastAsia="zh-CN"/>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5659"/>
        <w:gridCol w:w="1744"/>
        <w:gridCol w:w="1359"/>
      </w:tblGrid>
      <w:tr>
        <w:trPr>
          <w:trHeight w:val="882"/>
        </w:trPr>
        <w:tc>
          <w:tcPr>
            <w:tcW w:w="355" w:type="dxa"/>
            <w:vAlign w:val="center"/>
            <w:textDirection w:val="lrTb"/>
            <w:noWrap w:val="false"/>
          </w:tcPr>
          <w:p>
            <w:pPr>
              <w:pStyle w:val="82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2999" w:type="dxa"/>
            <w:vAlign w:val="center"/>
            <w:textDirection w:val="lrTb"/>
            <w:noWrap w:val="false"/>
          </w:tcPr>
          <w:p>
            <w:pPr>
              <w:pStyle w:val="82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rPr>
                <w:rFonts w:hint="eastAsia" w:ascii="宋体" w:hAnsi="宋体" w:cs="宋体"/>
                <w:b/>
                <w:color w:val="000000"/>
                <w:szCs w:val="21"/>
                <w:highlight w:val="none"/>
              </w:rPr>
            </w:r>
            <w:r/>
          </w:p>
        </w:tc>
        <w:tc>
          <w:tcPr>
            <w:tcW w:w="924" w:type="dxa"/>
            <w:vAlign w:val="center"/>
            <w:textDirection w:val="lrTb"/>
            <w:noWrap w:val="false"/>
          </w:tcPr>
          <w:p>
            <w:pPr>
              <w:pStyle w:val="82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投标响应情况</w:t>
            </w:r>
            <w:r>
              <w:rPr>
                <w:rFonts w:hint="eastAsia" w:ascii="宋体" w:hAnsi="宋体" w:cs="宋体"/>
                <w:b/>
                <w:color w:val="000000"/>
                <w:szCs w:val="21"/>
                <w:highlight w:val="none"/>
              </w:rPr>
            </w:r>
            <w:r/>
          </w:p>
        </w:tc>
        <w:tc>
          <w:tcPr>
            <w:tcW w:w="720" w:type="dxa"/>
            <w:vAlign w:val="center"/>
            <w:textDirection w:val="lrTb"/>
            <w:noWrap w:val="false"/>
          </w:tcPr>
          <w:p>
            <w:pPr>
              <w:pStyle w:val="82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超出、符合或偏离</w:t>
            </w:r>
            <w:r>
              <w:rPr>
                <w:rFonts w:hint="eastAsia" w:ascii="宋体" w:hAnsi="宋体" w:cs="宋体"/>
                <w:b/>
                <w:color w:val="000000"/>
                <w:szCs w:val="21"/>
                <w:highlight w:val="none"/>
              </w:rPr>
            </w:r>
            <w:r/>
          </w:p>
        </w:tc>
      </w:tr>
      <w:tr>
        <w:trPr>
          <w:trHeight w:val="582"/>
        </w:trPr>
        <w:tc>
          <w:tcPr>
            <w:tcW w:w="355" w:type="dxa"/>
            <w:vAlign w:val="center"/>
            <w:textDirection w:val="lrTb"/>
            <w:noWrap w:val="false"/>
          </w:tcPr>
          <w:p>
            <w:pPr>
              <w:pStyle w:val="826"/>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2999" w:type="dxa"/>
            <w:vAlign w:val="center"/>
            <w:textDirection w:val="lrTb"/>
            <w:noWrap w:val="false"/>
          </w:tcPr>
          <w:p>
            <w:pPr>
              <w:pStyle w:val="826"/>
              <w:spacing w:line="0" w:lineRule="atLeast"/>
              <w:rPr>
                <w:rFonts w:hint="eastAsia" w:ascii="宋体" w:hAnsi="宋体" w:cs="宋体"/>
                <w:bCs/>
                <w:iCs/>
                <w:color w:val="000000"/>
                <w:szCs w:val="21"/>
                <w:highlight w:val="none"/>
              </w:rPr>
            </w:pPr>
            <w:r>
              <w:rPr>
                <w:rFonts w:hint="eastAsia" w:ascii="宋体" w:hAnsi="宋体"/>
                <w:color w:val="000000"/>
                <w:szCs w:val="21"/>
                <w:highlight w:val="none"/>
              </w:rPr>
              <w:t xml:space="preserve">招标文件（含技术</w:t>
            </w:r>
            <w:r>
              <w:rPr>
                <w:rFonts w:ascii="宋体" w:hAnsi="宋体"/>
                <w:color w:val="000000"/>
                <w:szCs w:val="21"/>
                <w:highlight w:val="none"/>
              </w:rPr>
              <w:t xml:space="preserve">要求和商务</w:t>
            </w:r>
            <w:r>
              <w:rPr>
                <w:rFonts w:hint="eastAsia" w:ascii="宋体" w:hAnsi="宋体"/>
                <w:color w:val="000000"/>
                <w:szCs w:val="21"/>
                <w:highlight w:val="none"/>
              </w:rPr>
              <w:t xml:space="preserve">要求）</w:t>
            </w:r>
            <w:r>
              <w:rPr>
                <w:rFonts w:ascii="宋体" w:hAnsi="宋体"/>
                <w:color w:val="000000"/>
                <w:szCs w:val="21"/>
                <w:highlight w:val="none"/>
              </w:rPr>
              <w:t xml:space="preserve">中的实质性要求</w:t>
            </w:r>
            <w:r>
              <w:rPr>
                <w:rFonts w:hint="eastAsia" w:ascii="宋体" w:hAnsi="宋体"/>
                <w:b/>
                <w:bCs/>
                <w:color w:val="000000"/>
                <w:szCs w:val="21"/>
                <w:highlight w:val="none"/>
              </w:rPr>
              <w:t xml:space="preserve">（</w:t>
            </w:r>
            <w:r>
              <w:rPr>
                <w:rFonts w:hint="eastAsia" w:ascii="宋体" w:hAnsi="宋体"/>
                <w:b/>
                <w:bCs/>
                <w:i/>
                <w:color w:val="000000"/>
                <w:szCs w:val="21"/>
                <w:highlight w:val="none"/>
                <w:u w:val="single"/>
              </w:rPr>
              <w:t xml:space="preserve">斜体且有下划线部分</w:t>
            </w:r>
            <w:r>
              <w:rPr>
                <w:rFonts w:hint="eastAsia" w:ascii="宋体" w:hAnsi="宋体"/>
                <w:b/>
                <w:bCs/>
                <w:color w:val="000000"/>
                <w:szCs w:val="21"/>
                <w:highlight w:val="none"/>
              </w:rPr>
              <w:t xml:space="preserve">）</w:t>
            </w:r>
            <w:r>
              <w:rPr>
                <w:rFonts w:hint="eastAsia" w:ascii="宋体" w:hAnsi="宋体" w:cs="宋体"/>
                <w:bCs/>
                <w:iCs/>
                <w:color w:val="000000"/>
                <w:szCs w:val="21"/>
                <w:highlight w:val="none"/>
              </w:rPr>
            </w:r>
            <w:r/>
          </w:p>
        </w:tc>
        <w:tc>
          <w:tcPr>
            <w:tcW w:w="924" w:type="dxa"/>
            <w:vAlign w:val="center"/>
            <w:textDirection w:val="lrTb"/>
            <w:noWrap w:val="false"/>
          </w:tcPr>
          <w:p>
            <w:pPr>
              <w:pStyle w:val="826"/>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720" w:type="dxa"/>
            <w:vAlign w:val="center"/>
            <w:textDirection w:val="lrTb"/>
            <w:noWrap w:val="false"/>
          </w:tcPr>
          <w:p>
            <w:pPr>
              <w:pStyle w:val="826"/>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2"/>
        </w:trPr>
        <w:tc>
          <w:tcPr>
            <w:tcW w:w="355" w:type="dxa"/>
            <w:vAlign w:val="center"/>
            <w:textDirection w:val="lrTb"/>
            <w:noWrap w:val="false"/>
          </w:tcPr>
          <w:p>
            <w:pPr>
              <w:pStyle w:val="8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999" w:type="dxa"/>
            <w:vAlign w:val="center"/>
            <w:textDirection w:val="lrTb"/>
            <w:noWrap w:val="false"/>
          </w:tcPr>
          <w:p>
            <w:pPr>
              <w:pStyle w:val="826"/>
              <w:spacing w:line="0" w:lineRule="atLeast"/>
              <w:rPr>
                <w:rFonts w:hint="eastAsia" w:ascii="宋体" w:hAnsi="宋体" w:cs="宋体"/>
                <w:iCs/>
                <w:color w:val="000000"/>
                <w:szCs w:val="21"/>
                <w:highlight w:val="none"/>
              </w:rPr>
            </w:pPr>
            <w:r>
              <w:rPr>
                <w:rFonts w:hint="eastAsia" w:ascii="宋体" w:hAnsi="宋体" w:cs="宋体"/>
                <w:iCs/>
                <w:color w:val="000000"/>
                <w:szCs w:val="21"/>
                <w:highlight w:val="none"/>
              </w:rPr>
              <w:t xml:space="preserve">……</w:t>
            </w:r>
            <w:r>
              <w:rPr>
                <w:rFonts w:hint="eastAsia" w:ascii="宋体" w:hAnsi="宋体" w:cs="宋体"/>
                <w:iCs/>
                <w:color w:val="000000"/>
                <w:szCs w:val="21"/>
                <w:highlight w:val="none"/>
              </w:rPr>
            </w:r>
            <w:r/>
          </w:p>
        </w:tc>
        <w:tc>
          <w:tcPr>
            <w:tcW w:w="924" w:type="dxa"/>
            <w:vAlign w:val="center"/>
            <w:textDirection w:val="lrTb"/>
            <w:noWrap w:val="false"/>
          </w:tcPr>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附件：证明材料1，证明材料2，……</w:t>
      </w:r>
      <w:r>
        <w:rPr>
          <w:rFonts w:hint="eastAsia" w:ascii="宋体" w:hAnsi="宋体" w:cs="宋体"/>
          <w:color w:val="000000"/>
          <w:szCs w:val="21"/>
          <w:highlight w:val="none"/>
        </w:rPr>
      </w:r>
      <w:r/>
    </w:p>
    <w:p>
      <w:pPr>
        <w:pStyle w:val="82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2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1.投标人必须对招标文件（含技术要求和商务要求）中的实质性要求</w:t>
      </w:r>
      <w:r>
        <w:rPr>
          <w:rFonts w:hint="eastAsia" w:ascii="宋体" w:hAnsi="宋体" w:cs="宋体"/>
          <w:b/>
          <w:bCs/>
          <w:color w:val="000000"/>
          <w:szCs w:val="21"/>
          <w:highlight w:val="none"/>
        </w:rPr>
        <w:t xml:space="preserve">（</w:t>
      </w:r>
      <w:r>
        <w:rPr>
          <w:rFonts w:hint="eastAsia" w:ascii="宋体" w:hAnsi="宋体" w:cs="宋体"/>
          <w:b/>
          <w:bCs/>
          <w:i/>
          <w:color w:val="000000"/>
          <w:szCs w:val="21"/>
          <w:highlight w:val="none"/>
          <w:u w:val="single"/>
        </w:rPr>
        <w:t xml:space="preserve">斜体且有下划线部分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逐条做出明确响应。</w:t>
      </w:r>
      <w:r>
        <w:rPr>
          <w:rFonts w:hint="eastAsia" w:ascii="宋体" w:hAnsi="宋体" w:cs="宋体"/>
          <w:color w:val="000000"/>
          <w:szCs w:val="21"/>
          <w:highlight w:val="none"/>
        </w:rPr>
      </w:r>
      <w:r/>
    </w:p>
    <w:p>
      <w:pPr>
        <w:pStyle w:val="82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2.如果招标文件要求提供证明材料，投标人必须将证明材料列于该表之下。</w:t>
      </w:r>
      <w:r>
        <w:rPr>
          <w:rFonts w:hint="eastAsia" w:ascii="宋体" w:hAnsi="宋体" w:cs="宋体"/>
          <w:color w:val="000000"/>
          <w:szCs w:val="21"/>
          <w:highlight w:val="none"/>
        </w:rPr>
      </w:r>
      <w:r/>
    </w:p>
    <w:p>
      <w:pPr>
        <w:pStyle w:val="826"/>
        <w:contextualSpacing/>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3.投标人未对实质性要求逐条作出明确响应的，或未按招标文件要求提供证明材料的，该采购包作无效投标处理。</w:t>
      </w: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100"/>
        <w:rPr>
          <w:rFonts w:hint="eastAsia" w:ascii="宋体" w:hAnsi="宋体" w:eastAsia="宋体" w:cs="宋体"/>
          <w:color w:val="000000"/>
          <w:sz w:val="21"/>
          <w:szCs w:val="21"/>
          <w:highlight w:val="none"/>
        </w:rPr>
      </w:pPr>
      <w:r/>
      <w:bookmarkStart w:id="87" w:name="_Toc23420"/>
      <w:r/>
      <w:bookmarkStart w:id="88" w:name="_Toc19266"/>
      <w:r/>
      <w:bookmarkStart w:id="89" w:name="_Toc23689"/>
      <w:r/>
      <w:bookmarkStart w:id="90" w:name="_Toc29406"/>
      <w:r/>
      <w:bookmarkStart w:id="91" w:name="_Toc23068"/>
      <w:r/>
      <w:bookmarkStart w:id="92" w:name="_Toc2005"/>
      <w:r>
        <w:rPr>
          <w:rFonts w:hint="eastAsia" w:ascii="宋体" w:hAnsi="宋体" w:eastAsia="宋体" w:cs="宋体"/>
          <w:color w:val="000000"/>
          <w:sz w:val="21"/>
          <w:szCs w:val="21"/>
          <w:highlight w:val="none"/>
        </w:rPr>
        <w:t xml:space="preserve">三、非实质性响应对照表</w:t>
      </w:r>
      <w:bookmarkEnd w:id="87"/>
      <w:r/>
      <w:bookmarkEnd w:id="88"/>
      <w:r/>
      <w:bookmarkEnd w:id="89"/>
      <w:r/>
      <w:bookmarkEnd w:id="90"/>
      <w:r/>
      <w:bookmarkEnd w:id="91"/>
      <w:r/>
      <w:bookmarkEnd w:id="92"/>
      <w:r>
        <w:rPr>
          <w:rFonts w:hint="eastAsia" w:ascii="宋体" w:hAnsi="宋体" w:eastAsia="宋体" w:cs="宋体"/>
          <w:color w:val="000000"/>
          <w:sz w:val="21"/>
          <w:szCs w:val="21"/>
          <w:highlight w:val="none"/>
        </w:rPr>
      </w:r>
      <w:r/>
    </w:p>
    <w:p>
      <w:pPr>
        <w:pStyle w:val="826"/>
        <w:rPr>
          <w:rFonts w:hint="eastAsia" w:ascii="宋体" w:hAnsi="宋体" w:cs="宋体"/>
          <w:b/>
          <w:color w:val="000000"/>
          <w:szCs w:val="21"/>
          <w:highlight w:val="none"/>
        </w:rPr>
      </w:pPr>
      <w:r>
        <w:rPr>
          <w:rFonts w:hint="eastAsia" w:ascii="宋体" w:hAnsi="宋体" w:cs="宋体"/>
          <w:b/>
          <w:color w:val="000000"/>
          <w:szCs w:val="21"/>
          <w:highlight w:val="none"/>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7028"/>
        <w:gridCol w:w="1131"/>
        <w:gridCol w:w="881"/>
      </w:tblGrid>
      <w:tr>
        <w:trPr>
          <w:trHeight w:val="882"/>
        </w:trPr>
        <w:tc>
          <w:tcPr>
            <w:tcW w:w="353" w:type="dxa"/>
            <w:vAlign w:val="center"/>
            <w:textDirection w:val="lrTb"/>
            <w:noWrap w:val="false"/>
          </w:tcPr>
          <w:p>
            <w:pPr>
              <w:pStyle w:val="82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3001" w:type="dxa"/>
            <w:vAlign w:val="center"/>
            <w:textDirection w:val="lrTb"/>
            <w:noWrap w:val="false"/>
          </w:tcPr>
          <w:p>
            <w:pPr>
              <w:pStyle w:val="82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非实质性响应内容</w:t>
            </w:r>
            <w:r>
              <w:rPr>
                <w:rFonts w:hint="eastAsia" w:ascii="宋体" w:hAnsi="宋体" w:cs="宋体"/>
                <w:b/>
                <w:color w:val="000000"/>
                <w:szCs w:val="21"/>
                <w:highlight w:val="none"/>
              </w:rPr>
            </w:r>
            <w:r/>
          </w:p>
        </w:tc>
        <w:tc>
          <w:tcPr>
            <w:tcW w:w="924" w:type="dxa"/>
            <w:vAlign w:val="center"/>
            <w:textDirection w:val="lrTb"/>
            <w:noWrap w:val="false"/>
          </w:tcPr>
          <w:p>
            <w:pPr>
              <w:pStyle w:val="82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hint="eastAsia" w:ascii="宋体" w:hAnsi="宋体" w:cs="宋体"/>
                <w:b/>
                <w:color w:val="000000"/>
                <w:szCs w:val="21"/>
                <w:highlight w:val="none"/>
              </w:rPr>
            </w:r>
            <w:r/>
          </w:p>
          <w:p>
            <w:pPr>
              <w:pStyle w:val="82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rPr>
                <w:rFonts w:hint="eastAsia" w:ascii="宋体" w:hAnsi="宋体" w:cs="宋体"/>
                <w:b/>
                <w:color w:val="000000"/>
                <w:szCs w:val="21"/>
                <w:highlight w:val="none"/>
              </w:rPr>
            </w:r>
            <w:r/>
          </w:p>
        </w:tc>
        <w:tc>
          <w:tcPr>
            <w:tcW w:w="720" w:type="dxa"/>
            <w:vAlign w:val="center"/>
            <w:textDirection w:val="lrTb"/>
            <w:noWrap w:val="false"/>
          </w:tcPr>
          <w:p>
            <w:pPr>
              <w:pStyle w:val="826"/>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hint="eastAsia" w:ascii="宋体" w:hAnsi="宋体" w:cs="宋体"/>
                <w:b/>
                <w:color w:val="000000"/>
                <w:szCs w:val="21"/>
                <w:highlight w:val="none"/>
              </w:rPr>
            </w:r>
            <w:r/>
          </w:p>
        </w:tc>
      </w:tr>
      <w:tr>
        <w:trPr>
          <w:trHeight w:val="643"/>
        </w:trPr>
        <w:tc>
          <w:tcPr>
            <w:tcW w:w="353" w:type="dxa"/>
            <w:vAlign w:val="center"/>
            <w:textDirection w:val="lrTb"/>
            <w:noWrap w:val="false"/>
          </w:tcPr>
          <w:p>
            <w:pPr>
              <w:pStyle w:val="826"/>
              <w:jc w:val="center"/>
              <w:rPr>
                <w:rFonts w:hint="eastAsia" w:ascii="宋体" w:hAnsi="宋体" w:cs="宋体"/>
                <w:b/>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r>
            <w:r/>
          </w:p>
        </w:tc>
        <w:tc>
          <w:tcPr>
            <w:tcW w:w="3001" w:type="dxa"/>
            <w:vAlign w:val="center"/>
            <w:textDirection w:val="lrTb"/>
            <w:noWrap w:val="false"/>
          </w:tcPr>
          <w:p>
            <w:pPr>
              <w:pStyle w:val="826"/>
              <w:spacing w:line="0" w:lineRule="atLeast"/>
              <w:rPr>
                <w:rFonts w:hint="eastAsia" w:ascii="宋体" w:hAnsi="宋体" w:eastAsia="宋体" w:cs="宋体"/>
                <w:iCs/>
                <w:color w:val="000000"/>
                <w:szCs w:val="21"/>
                <w:highlight w:val="none"/>
                <w:lang w:eastAsia="zh-CN"/>
              </w:rPr>
            </w:pPr>
            <w:r>
              <w:rPr>
                <w:rFonts w:hint="eastAsia" w:ascii="宋体" w:hAnsi="宋体" w:cs="宋体"/>
                <w:iCs/>
                <w:color w:val="000000"/>
                <w:szCs w:val="21"/>
                <w:highlight w:val="none"/>
                <w:lang w:eastAsia="zh-CN"/>
              </w:rPr>
              <w:t xml:space="preserve">《中小微企业声明函》</w:t>
            </w:r>
            <w:r>
              <w:rPr>
                <w:rFonts w:hint="eastAsia" w:ascii="宋体" w:hAnsi="宋体" w:eastAsia="宋体" w:cs="宋体"/>
                <w:iCs/>
                <w:color w:val="000000"/>
                <w:szCs w:val="21"/>
                <w:highlight w:val="none"/>
                <w:lang w:eastAsia="zh-CN"/>
              </w:rPr>
            </w:r>
            <w:r/>
          </w:p>
        </w:tc>
        <w:tc>
          <w:tcPr>
            <w:tcW w:w="924" w:type="dxa"/>
            <w:vAlign w:val="center"/>
            <w:textDirection w:val="lrTb"/>
            <w:noWrap w:val="false"/>
          </w:tcPr>
          <w:p>
            <w:pPr>
              <w:pStyle w:val="826"/>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720" w:type="dxa"/>
            <w:vAlign w:val="center"/>
            <w:textDirection w:val="lrTb"/>
            <w:noWrap w:val="false"/>
          </w:tcPr>
          <w:p>
            <w:pPr>
              <w:pStyle w:val="826"/>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643"/>
        </w:trPr>
        <w:tc>
          <w:tcPr>
            <w:tcW w:w="353" w:type="dxa"/>
            <w:vAlign w:val="center"/>
            <w:textDirection w:val="lrTb"/>
            <w:noWrap w:val="false"/>
          </w:tcPr>
          <w:p>
            <w:pPr>
              <w:pStyle w:val="8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742" w:type="dxa"/>
            <w:vAlign w:val="center"/>
            <w:textDirection w:val="lrTb"/>
            <w:noWrap w:val="false"/>
          </w:tcPr>
          <w:p>
            <w:pPr>
              <w:pStyle w:val="826"/>
              <w:spacing w:line="0" w:lineRule="atLeast"/>
              <w:rPr>
                <w:rFonts w:hint="eastAsia" w:ascii="宋体" w:hAnsi="宋体" w:cs="宋体"/>
                <w:iCs/>
                <w:color w:val="000000"/>
                <w:szCs w:val="21"/>
                <w:highlight w:val="none"/>
              </w:rPr>
            </w:pPr>
            <w:r>
              <w:rPr>
                <w:rFonts w:hint="eastAsia" w:ascii="宋体" w:hAnsi="宋体" w:cs="宋体"/>
                <w:iCs/>
                <w:color w:val="000000"/>
                <w:szCs w:val="21"/>
                <w:highlight w:val="none"/>
              </w:rPr>
              <w:t xml:space="preserve">《残疾人福利性单位声明函》</w:t>
            </w:r>
            <w:r>
              <w:rPr>
                <w:rFonts w:hint="eastAsia" w:ascii="宋体" w:hAnsi="宋体" w:cs="宋体"/>
                <w:iCs/>
                <w:color w:val="000000"/>
                <w:szCs w:val="21"/>
                <w:highlight w:val="none"/>
              </w:rPr>
            </w:r>
            <w:r/>
          </w:p>
        </w:tc>
        <w:tc>
          <w:tcPr>
            <w:tcW w:w="924" w:type="dxa"/>
            <w:vAlign w:val="center"/>
            <w:textDirection w:val="lrTb"/>
            <w:noWrap w:val="false"/>
          </w:tcPr>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3"/>
        </w:trPr>
        <w:tc>
          <w:tcPr>
            <w:tcW w:w="353" w:type="dxa"/>
            <w:vAlign w:val="center"/>
            <w:textDirection w:val="lrTb"/>
            <w:noWrap w:val="false"/>
          </w:tcPr>
          <w:p>
            <w:pPr>
              <w:pStyle w:val="8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742" w:type="dxa"/>
            <w:vAlign w:val="center"/>
            <w:textDirection w:val="lrTb"/>
            <w:noWrap w:val="false"/>
          </w:tcPr>
          <w:p>
            <w:pPr>
              <w:pStyle w:val="826"/>
              <w:spacing w:line="0" w:lineRule="atLeast"/>
              <w:rPr>
                <w:rFonts w:hint="eastAsia" w:ascii="宋体" w:hAnsi="宋体" w:cs="宋体"/>
                <w:iCs/>
                <w:color w:val="000000"/>
                <w:szCs w:val="21"/>
                <w:highlight w:val="none"/>
              </w:rPr>
            </w:pPr>
            <w:r>
              <w:rPr>
                <w:rFonts w:hint="eastAsia" w:ascii="宋体" w:hAnsi="宋体" w:cs="宋体"/>
                <w:iCs/>
                <w:color w:val="000000"/>
                <w:szCs w:val="21"/>
                <w:highlight w:val="none"/>
              </w:rPr>
              <w:t xml:space="preserve">《关于符合本国产品标准的声明函》</w:t>
            </w:r>
            <w:r>
              <w:rPr>
                <w:rFonts w:hint="eastAsia" w:ascii="宋体" w:hAnsi="宋体" w:cs="宋体"/>
                <w:iCs/>
                <w:color w:val="000000"/>
                <w:szCs w:val="21"/>
                <w:highlight w:val="none"/>
              </w:rPr>
            </w:r>
            <w:r/>
          </w:p>
        </w:tc>
        <w:tc>
          <w:tcPr>
            <w:tcW w:w="924" w:type="dxa"/>
            <w:vAlign w:val="center"/>
            <w:textDirection w:val="lrTb"/>
            <w:noWrap w:val="false"/>
          </w:tcPr>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ind w:firstLine="240"/>
        <w:jc w:val="center"/>
        <w:spacing w:line="560" w:lineRule="exact"/>
        <w:rPr>
          <w:rFonts w:hint="eastAsia" w:ascii="宋体" w:hAnsi="宋体"/>
          <w:b/>
          <w:color w:val="000000"/>
          <w:sz w:val="24"/>
          <w:szCs w:val="21"/>
          <w:highlight w:val="none"/>
        </w:rPr>
      </w:pPr>
      <w:r>
        <w:rPr>
          <w:rFonts w:hint="eastAsia" w:ascii="宋体" w:hAnsi="宋体" w:cs="宋体"/>
          <w:b/>
          <w:bCs/>
          <w:color w:val="000000"/>
          <w:szCs w:val="21"/>
          <w:highlight w:val="none"/>
        </w:rPr>
        <w:br w:type="page" w:clear="all"/>
      </w:r>
      <w:r>
        <w:rPr>
          <w:rFonts w:hint="eastAsia" w:ascii="宋体" w:hAnsi="宋体"/>
          <w:b/>
          <w:color w:val="000000"/>
          <w:sz w:val="24"/>
          <w:szCs w:val="21"/>
          <w:highlight w:val="none"/>
        </w:rPr>
        <w:t xml:space="preserve">中小微企业声明函（货物类项目）（采购包号：</w:t>
      </w:r>
      <w:r>
        <w:rPr>
          <w:rFonts w:hint="eastAsia" w:ascii="宋体" w:hAnsi="宋体"/>
          <w:b/>
          <w:color w:val="000000"/>
          <w:sz w:val="24"/>
          <w:szCs w:val="21"/>
          <w:highlight w:val="none"/>
          <w:u w:val="single"/>
          <w:lang w:val="en-US" w:eastAsia="zh-CN"/>
        </w:rPr>
        <w:t xml:space="preserve">  </w:t>
      </w:r>
      <w:r>
        <w:rPr>
          <w:rFonts w:hint="eastAsia" w:ascii="宋体" w:hAnsi="宋体"/>
          <w:b/>
          <w:color w:val="000000"/>
          <w:sz w:val="24"/>
          <w:szCs w:val="21"/>
          <w:highlight w:val="none"/>
        </w:rPr>
        <w:t xml:space="preserve">）</w:t>
      </w:r>
      <w:r>
        <w:rPr>
          <w:rFonts w:hint="eastAsia" w:ascii="宋体" w:hAnsi="宋体"/>
          <w:b/>
          <w:color w:val="000000"/>
          <w:sz w:val="24"/>
          <w:szCs w:val="21"/>
          <w:highlight w:val="none"/>
        </w:rPr>
      </w:r>
      <w:r/>
    </w:p>
    <w:p>
      <w:pPr>
        <w:pStyle w:val="82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lang w:val="en-US" w:eastAsia="zh-CN"/>
        </w:rPr>
        <w:t xml:space="preserve">江苏苏维工程管理有限公司</w:t>
      </w:r>
      <w:r>
        <w:rPr>
          <w:rFonts w:hint="eastAsia" w:ascii="宋体" w:hAnsi="宋体"/>
          <w:color w:val="000000"/>
          <w:sz w:val="24"/>
          <w:szCs w:val="24"/>
          <w:highlight w:val="none"/>
        </w:rPr>
        <w:t xml:space="preserve">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采购编号为JSZC-320000-SWGC-G2026-0127号，</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none"/>
          <w:lang w:val="en-US" w:eastAsia="zh-CN"/>
        </w:rPr>
        <w:t xml:space="preserve">项目</w:t>
      </w:r>
      <w:r>
        <w:rPr>
          <w:rFonts w:hint="eastAsia" w:ascii="宋体" w:hAnsi="宋体"/>
          <w:color w:val="000000"/>
          <w:sz w:val="24"/>
          <w:szCs w:val="24"/>
          <w:highlight w:val="none"/>
          <w:u w:val="none"/>
        </w:rPr>
        <w:t xml:space="preserve">（项目名称）（采购包号：</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none"/>
        </w:rPr>
        <w:t xml:space="preserve">）</w:t>
      </w:r>
      <w:r>
        <w:rPr>
          <w:rFonts w:hint="eastAsia" w:ascii="宋体" w:hAnsi="宋体"/>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color w:val="000000"/>
          <w:sz w:val="24"/>
          <w:szCs w:val="24"/>
          <w:highlight w:val="none"/>
        </w:rPr>
      </w:r>
      <w:r/>
    </w:p>
    <w:p>
      <w:pPr>
        <w:pStyle w:val="826"/>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中型企业 □小型企业 </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微型企业）；</w:t>
      </w:r>
      <w:r>
        <w:rPr>
          <w:rFonts w:hint="eastAsia" w:ascii="宋体" w:hAnsi="宋体"/>
          <w:i/>
          <w:color w:val="000000"/>
          <w:sz w:val="24"/>
          <w:szCs w:val="24"/>
          <w:highlight w:val="none"/>
          <w:u w:val="single"/>
        </w:rPr>
      </w:r>
      <w:r/>
    </w:p>
    <w:p>
      <w:pPr>
        <w:pStyle w:val="826"/>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826"/>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6"/>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26"/>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26"/>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6"/>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26"/>
        <w:ind w:right="480" w:firstLine="568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1"/>
          <w:highlight w:val="none"/>
        </w:rPr>
        <w:t xml:space="preserve">___年____月____日</w:t>
      </w:r>
      <w:r>
        <w:rPr>
          <w:rFonts w:hint="eastAsia" w:ascii="宋体" w:hAnsi="宋体"/>
          <w:color w:val="000000"/>
          <w:sz w:val="24"/>
          <w:szCs w:val="24"/>
          <w:highlight w:val="none"/>
        </w:rPr>
      </w:r>
      <w:r/>
    </w:p>
    <w:p>
      <w:pPr>
        <w:pStyle w:val="826"/>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 1、从业人员（不仅指在职职工）、营业收入、资产总额填报上一年度数据，无上一年度数据的新成立企业可不填报。</w:t>
      </w:r>
      <w:r>
        <w:rPr>
          <w:rFonts w:ascii="宋体" w:hAnsi="宋体" w:cs="宋体"/>
          <w:color w:val="000000"/>
          <w:szCs w:val="21"/>
          <w:highlight w:val="none"/>
        </w:rPr>
      </w:r>
      <w:r/>
    </w:p>
    <w:p>
      <w:pPr>
        <w:pStyle w:val="826"/>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eastAsia="宋体" w:cs="宋体"/>
          <w:b/>
          <w:bCs/>
          <w:color w:val="000000"/>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b/>
          <w:bCs/>
          <w:color w:val="000000"/>
          <w:sz w:val="21"/>
          <w:szCs w:val="21"/>
          <w:highlight w:val="none"/>
          <w:lang w:val="en-US" w:eastAsia="zh-CN"/>
        </w:rPr>
        <w:t xml:space="preserve">或未按要求对所有采购设备逐项填写完整</w:t>
      </w:r>
      <w:r>
        <w:rPr>
          <w:rFonts w:hint="eastAsia" w:ascii="宋体" w:hAnsi="宋体" w:eastAsia="宋体" w:cs="宋体"/>
          <w:b/>
          <w:bCs/>
          <w:color w:val="000000"/>
          <w:sz w:val="21"/>
          <w:szCs w:val="21"/>
          <w:highlight w:val="none"/>
        </w:rPr>
        <w:t xml:space="preserve">，价格将不做相应扣除。</w:t>
      </w:r>
      <w:r>
        <w:rPr>
          <w:rFonts w:ascii="宋体" w:hAnsi="宋体" w:cs="宋体"/>
          <w:b/>
          <w:bCs/>
          <w:color w:val="000000"/>
          <w:szCs w:val="21"/>
          <w:highlight w:val="none"/>
        </w:rPr>
      </w:r>
      <w:r/>
    </w:p>
    <w:p>
      <w:pPr>
        <w:pStyle w:val="8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3、企业声明函请完整填写，中标后将公示。</w:t>
      </w:r>
      <w:r>
        <w:rPr>
          <w:rFonts w:ascii="宋体" w:hAnsi="宋体" w:cs="宋体"/>
          <w:color w:val="000000"/>
          <w:szCs w:val="21"/>
          <w:highlight w:val="none"/>
        </w:rPr>
      </w:r>
      <w:r/>
    </w:p>
    <w:p>
      <w:pPr>
        <w:pStyle w:val="82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ascii="宋体" w:hAnsi="宋体" w:cs="宋体"/>
          <w:color w:val="000000"/>
          <w:szCs w:val="21"/>
          <w:highlight w:val="none"/>
        </w:rPr>
      </w:r>
      <w:r/>
    </w:p>
    <w:p>
      <w:pPr>
        <w:pStyle w:val="826"/>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5、声明函应涵盖本项目所有货物</w:t>
      </w:r>
      <w:r>
        <w:rPr>
          <w:rFonts w:hint="eastAsia" w:ascii="宋体" w:hAnsi="宋体" w:cs="宋体"/>
          <w:b/>
          <w:bCs/>
          <w:color w:val="000000"/>
          <w:szCs w:val="21"/>
          <w:highlight w:val="none"/>
          <w:lang w:val="en-US" w:eastAsia="zh-CN"/>
        </w:rPr>
        <w:t xml:space="preserve">并分别填报</w:t>
      </w:r>
      <w:r>
        <w:rPr>
          <w:rFonts w:hint="eastAsia" w:ascii="宋体" w:hAnsi="宋体" w:cs="宋体"/>
          <w:b/>
          <w:bCs/>
          <w:color w:val="000000"/>
          <w:szCs w:val="21"/>
          <w:highlight w:val="none"/>
        </w:rPr>
        <w:t xml:space="preserve">，否则价格不作扣除。</w:t>
      </w:r>
      <w:r>
        <w:rPr>
          <w:rFonts w:ascii="宋体" w:hAnsi="宋体" w:cs="宋体"/>
          <w:b/>
          <w:bCs/>
          <w:color w:val="000000"/>
          <w:szCs w:val="21"/>
          <w:highlight w:val="none"/>
        </w:rPr>
      </w:r>
      <w:r/>
    </w:p>
    <w:p>
      <w:pPr>
        <w:pStyle w:val="82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6、中小企业不得属于大企业的分支机构，不得存在控股股东为大企业的情形，不得存在与大企业的负责人为同一人的情形。</w:t>
      </w:r>
      <w:r>
        <w:rPr>
          <w:rFonts w:ascii="宋体" w:hAnsi="宋体" w:cs="宋体"/>
          <w:color w:val="000000"/>
          <w:szCs w:val="21"/>
          <w:highlight w:val="none"/>
        </w:rPr>
      </w:r>
      <w:r/>
    </w:p>
    <w:p>
      <w:pPr>
        <w:pStyle w:val="82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bCs/>
          <w:color w:val="000000"/>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color w:val="000000"/>
          <w:szCs w:val="21"/>
          <w:highlight w:val="none"/>
        </w:rPr>
      </w:r>
      <w:r/>
    </w:p>
    <w:p>
      <w:pPr>
        <w:pStyle w:val="826"/>
        <w:rPr>
          <w:rStyle w:val="1126"/>
          <w:rFonts w:hint="eastAsia" w:ascii="宋体" w:hAnsi="宋体" w:cs="宋体"/>
          <w:color w:val="000000"/>
          <w:szCs w:val="21"/>
          <w:highlight w:val="none"/>
        </w:rPr>
      </w:pPr>
      <w:r>
        <w:rPr>
          <w:rStyle w:val="1126"/>
          <w:rFonts w:hint="eastAsia" w:ascii="宋体" w:hAnsi="宋体" w:cs="宋体"/>
          <w:color w:val="000000"/>
          <w:szCs w:val="21"/>
          <w:highlight w:val="none"/>
        </w:rPr>
        <w:br w:type="page" w:clear="all"/>
      </w:r>
      <w:r>
        <w:rPr>
          <w:rStyle w:val="1126"/>
          <w:rFonts w:hint="eastAsia" w:ascii="宋体" w:hAnsi="宋体" w:cs="宋体"/>
          <w:color w:val="000000"/>
          <w:szCs w:val="21"/>
          <w:highlight w:val="none"/>
        </w:rPr>
      </w:r>
      <w:r/>
    </w:p>
    <w:p>
      <w:pPr>
        <w:pStyle w:val="1121"/>
        <w:ind w:firstLine="420"/>
        <w:spacing w:before="300" w:after="452"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Style w:val="1126"/>
          <w:rFonts w:hint="eastAsia" w:ascii="宋体" w:hAnsi="宋体" w:cs="宋体"/>
          <w:color w:val="000000"/>
          <w:sz w:val="21"/>
          <w:szCs w:val="21"/>
          <w:highlight w:val="none"/>
        </w:rPr>
        <w:t xml:space="preserve">中小微企业划型标准如下：</w:t>
      </w:r>
      <w:r>
        <w:rPr>
          <w:rFonts w:hint="eastAsia" w:ascii="宋体" w:hAnsi="宋体" w:cs="宋体"/>
          <w:color w:val="000000"/>
          <w:sz w:val="21"/>
          <w:szCs w:val="21"/>
          <w:highlight w:val="none"/>
        </w:rPr>
      </w:r>
      <w:r/>
    </w:p>
    <w:tbl>
      <w:tblPr>
        <w:tblW w:w="4998" w:type="pct"/>
        <w:tblCellSpacing w:w="15" w:type="dxa"/>
        <w:tblInd w:w="-30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105" w:type="dxa"/>
          <w:top w:w="0" w:type="dxa"/>
          <w:right w:w="105" w:type="dxa"/>
          <w:bottom w:w="0" w:type="dxa"/>
        </w:tblCellMar>
        <w:tblLook w:val="04A0" w:firstRow="1" w:lastRow="0" w:firstColumn="1" w:lastColumn="0" w:noHBand="0" w:noVBand="1"/>
      </w:tblPr>
      <w:tblGrid>
        <w:gridCol w:w="1521"/>
        <w:gridCol w:w="1829"/>
        <w:gridCol w:w="1242"/>
        <w:gridCol w:w="1684"/>
        <w:gridCol w:w="1797"/>
        <w:gridCol w:w="1578"/>
      </w:tblGrid>
      <w:tr>
        <w:trPr>
          <w:tblCellSpacing w:w="15" w:type="dxa"/>
          <w:trHeight w:val="285"/>
        </w:trPr>
        <w:tc>
          <w:tcPr>
            <w:tcMar>
              <w:left w:w="105" w:type="dxa"/>
              <w:top w:w="0" w:type="dxa"/>
              <w:right w:w="105" w:type="dxa"/>
              <w:bottom w:w="0" w:type="dxa"/>
            </w:tcMar>
            <w:tcW w:w="781" w:type="dxa"/>
            <w:vAlign w:val="center"/>
            <w:textDirection w:val="lrTb"/>
            <w:noWrap w:val="false"/>
          </w:tcPr>
          <w:p>
            <w:pPr>
              <w:pStyle w:val="1121"/>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行业名称</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指标名称</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计量单位</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中型</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小型</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微型</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农、林、牧、渔</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500≤Y＜20000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50≤Y＜500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Y＜50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300≤X＜1000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20≤X＜300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X＜20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2000≤Y＜40000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300≤Y＜2000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Y＜300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建筑业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6000≤Y＜80000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300≤Y＜6000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Y＜300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资产总额（Z）</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5000≤Z＜80000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300≤Z＜5000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Z＜300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批发业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20≤X＜200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5≤X＜20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X＜5</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5000≤Y＜40000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1000≤Y＜5000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Y＜1000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零售业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50≤X＜300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10≤X＜50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X＜10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500≤Y＜20000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100≤Y＜500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Y＜100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交通运输业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300≤X＜1000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20≤X＜300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X＜20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3000≤Y＜30000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200≤Y＜3000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Y＜200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仓储业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100≤X＜200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20≤X＜100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X＜20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1000≤Y＜30000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100≤Y＜1000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Y＜100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邮政业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300≤X＜1000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20≤X＜300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X＜20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2000≤Y＜30000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100≤Y＜2000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Y＜100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住宿业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100≤X＜300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ind w:firstLine="420"/>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10≤X＜100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X＜10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2000≤Y＜10000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100≤Y＜2000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Y＜100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餐饮业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100≤X＜300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10≤X＜100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X＜10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2000≤Y＜10000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100≤Y＜2000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Y＜100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软件和信息技术服务业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100≤X＜2000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10≤X＜100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X＜10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1000≤Y＜100000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100≤Y＜1000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Y＜100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软件和信息技术服务业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100≤X＜300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10≤X＜100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X＜10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1000≤Y＜10000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50≤Y＜1000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Y＜50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房地产开发经营</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1000≤Y＜200000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100≤X＜1000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X＜100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资产总额（Z）</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5000≤Z＜10000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2000≤Y＜5000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Y＜2000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物业管理</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300≤X＜1000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100≤X＜300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X＜100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营业收入（Y）</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1000≤Y＜5000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500≤Y＜1000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Y＜500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租赁和商务服务业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100≤X＜300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10≤X＜100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X＜10</w:t>
            </w:r>
            <w:r>
              <w:rPr>
                <w:rFonts w:hint="eastAsia" w:ascii="宋体" w:hAnsi="宋体" w:cs="宋体"/>
                <w:color w:val="000000"/>
                <w:sz w:val="21"/>
                <w:szCs w:val="21"/>
                <w:highlight w:val="none"/>
              </w:rPr>
            </w:r>
            <w:r/>
          </w:p>
        </w:tc>
      </w:tr>
      <w:tr>
        <w:trPr>
          <w:tblCellSpacing w:w="15" w:type="dxa"/>
          <w:trHeight w:val="225"/>
        </w:trPr>
        <w:tc>
          <w:tcPr>
            <w:tcW w:w="781" w:type="dxa"/>
            <w:vAlign w:val="center"/>
            <w:vMerge w:val="continue"/>
            <w:textDirection w:val="lrTb"/>
            <w:noWrap w:val="false"/>
          </w:tcPr>
          <w:p>
            <w:pPr>
              <w:pStyle w:val="82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资产总额（Z）</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8000≤Z＜120000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100≤Z＜8000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Y＜100</w:t>
            </w:r>
            <w:r>
              <w:rPr>
                <w:rFonts w:hint="eastAsia"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78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其他未列明行业</w:t>
            </w:r>
            <w:r>
              <w:rPr>
                <w:rFonts w:hint="eastAsia" w:ascii="宋体" w:hAnsi="宋体" w:cs="宋体"/>
                <w:color w:val="000000"/>
                <w:sz w:val="21"/>
                <w:szCs w:val="21"/>
                <w:highlight w:val="none"/>
              </w:rPr>
            </w:r>
            <w:r/>
          </w:p>
        </w:tc>
        <w:tc>
          <w:tcPr>
            <w:tcMar>
              <w:left w:w="105" w:type="dxa"/>
              <w:top w:w="0" w:type="dxa"/>
              <w:right w:w="105" w:type="dxa"/>
              <w:bottom w:w="0" w:type="dxa"/>
            </w:tcMar>
            <w:tcW w:w="952"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从业人员（X）</w:t>
            </w:r>
            <w:r>
              <w:rPr>
                <w:rFonts w:hint="eastAsia" w:ascii="宋体" w:hAnsi="宋体" w:cs="宋体"/>
                <w:color w:val="000000"/>
                <w:sz w:val="21"/>
                <w:szCs w:val="21"/>
                <w:highlight w:val="none"/>
              </w:rPr>
            </w:r>
            <w:r/>
          </w:p>
        </w:tc>
        <w:tc>
          <w:tcPr>
            <w:tcMar>
              <w:left w:w="105" w:type="dxa"/>
              <w:top w:w="0" w:type="dxa"/>
              <w:right w:w="105" w:type="dxa"/>
              <w:bottom w:w="0" w:type="dxa"/>
            </w:tcMar>
            <w:tcW w:w="64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tc>
        <w:tc>
          <w:tcPr>
            <w:tcMar>
              <w:left w:w="105" w:type="dxa"/>
              <w:top w:w="0" w:type="dxa"/>
              <w:right w:w="105" w:type="dxa"/>
              <w:bottom w:w="0" w:type="dxa"/>
            </w:tcMar>
            <w:tcW w:w="770"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100≤X＜300</w:t>
            </w:r>
            <w:r>
              <w:rPr>
                <w:rFonts w:hint="eastAsia" w:ascii="宋体" w:hAnsi="宋体" w:cs="宋体"/>
                <w:color w:val="000000"/>
                <w:sz w:val="21"/>
                <w:szCs w:val="21"/>
                <w:highlight w:val="none"/>
              </w:rPr>
            </w:r>
            <w:r/>
          </w:p>
        </w:tc>
        <w:tc>
          <w:tcPr>
            <w:tcMar>
              <w:left w:w="105" w:type="dxa"/>
              <w:top w:w="0" w:type="dxa"/>
              <w:right w:w="105" w:type="dxa"/>
              <w:bottom w:w="0" w:type="dxa"/>
            </w:tcMar>
            <w:tcW w:w="935"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10≤X＜100</w:t>
            </w:r>
            <w:r>
              <w:rPr>
                <w:rFonts w:hint="eastAsia" w:ascii="宋体" w:hAnsi="宋体" w:cs="宋体"/>
                <w:color w:val="000000"/>
                <w:sz w:val="21"/>
                <w:szCs w:val="21"/>
                <w:highlight w:val="none"/>
              </w:rPr>
            </w:r>
            <w:r/>
          </w:p>
        </w:tc>
        <w:tc>
          <w:tcPr>
            <w:tcMar>
              <w:left w:w="105" w:type="dxa"/>
              <w:top w:w="0" w:type="dxa"/>
              <w:right w:w="105" w:type="dxa"/>
              <w:bottom w:w="0" w:type="dxa"/>
            </w:tcMar>
            <w:tcW w:w="811" w:type="dxa"/>
            <w:vAlign w:val="center"/>
            <w:textDirection w:val="lrTb"/>
            <w:noWrap w:val="false"/>
          </w:tcPr>
          <w:p>
            <w:pPr>
              <w:pStyle w:val="1121"/>
              <w:jc w:val="center"/>
              <w:spacing w:after="150" w:line="360" w:lineRule="auto"/>
              <w:widowControl/>
              <w:rPr>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X＜10</w:t>
            </w:r>
            <w:r>
              <w:rPr>
                <w:rFonts w:hint="eastAsia" w:ascii="宋体" w:hAnsi="宋体" w:cs="宋体"/>
                <w:color w:val="000000"/>
                <w:sz w:val="21"/>
                <w:szCs w:val="21"/>
                <w:highlight w:val="none"/>
              </w:rPr>
            </w:r>
            <w:r/>
          </w:p>
        </w:tc>
      </w:tr>
    </w:tbl>
    <w:p>
      <w:pPr>
        <w:pStyle w:val="1121"/>
        <w:spacing w:before="300" w:after="452" w:line="360" w:lineRule="auto"/>
        <w:widowControl/>
        <w:rPr>
          <w:rStyle w:val="1126"/>
          <w:rFonts w:hint="eastAsia" w:ascii="宋体" w:hAnsi="宋体" w:cs="宋体"/>
          <w:color w:val="000000"/>
          <w:sz w:val="21"/>
          <w:szCs w:val="21"/>
          <w:highlight w:val="none"/>
        </w:rPr>
      </w:pPr>
      <w:r>
        <w:rPr>
          <w:rStyle w:val="1126"/>
          <w:rFonts w:hint="eastAsia" w:ascii="宋体" w:hAnsi="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126"/>
          <w:rFonts w:hint="eastAsia" w:ascii="宋体" w:hAnsi="宋体" w:cs="宋体"/>
          <w:color w:val="000000"/>
          <w:sz w:val="21"/>
          <w:szCs w:val="21"/>
          <w:highlight w:val="none"/>
        </w:rPr>
      </w:r>
      <w:r/>
    </w:p>
    <w:p>
      <w:pPr>
        <w:pStyle w:val="826"/>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826"/>
        <w:ind w:firstLine="42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残疾人福利性单位声明函</w:t>
      </w:r>
      <w:r>
        <w:rPr>
          <w:rFonts w:hint="eastAsia" w:ascii="宋体" w:hAnsi="宋体" w:eastAsia="宋体" w:cs="宋体"/>
          <w:b/>
          <w:bCs/>
          <w:color w:val="000000"/>
          <w:highlight w:val="none"/>
        </w:rPr>
      </w:r>
      <w:r/>
    </w:p>
    <w:p>
      <w:pPr>
        <w:pStyle w:val="826"/>
        <w:ind w:firstLine="420"/>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6"/>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826"/>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元</w:t>
      </w:r>
      <w:r>
        <w:rPr>
          <w:rFonts w:hint="eastAsia" w:ascii="宋体" w:hAnsi="宋体" w:eastAsia="宋体" w:cs="宋体"/>
          <w:color w:val="000000"/>
          <w:szCs w:val="21"/>
          <w:highlight w:val="none"/>
        </w:rPr>
        <w:t xml:space="preserve">整（￥：     ）。</w:t>
      </w:r>
      <w:r>
        <w:rPr>
          <w:rFonts w:hint="eastAsia" w:ascii="宋体" w:hAnsi="宋体" w:eastAsia="宋体" w:cs="宋体"/>
          <w:color w:val="000000"/>
          <w:szCs w:val="21"/>
          <w:highlight w:val="none"/>
        </w:rPr>
      </w:r>
      <w:r/>
    </w:p>
    <w:p>
      <w:pPr>
        <w:pStyle w:val="826"/>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826"/>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rPr>
          <w:rFonts w:hint="eastAsia" w:ascii="宋体" w:hAnsi="宋体" w:eastAsia="宋体" w:cs="宋体"/>
          <w:color w:val="000000"/>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2.非专门面向中小微型企业采购的项目，供应商如不提供此声明函，价格将不做相应扣除。</w:t>
      </w:r>
      <w:r>
        <w:rPr>
          <w:rFonts w:hint="eastAsia" w:ascii="宋体" w:hAnsi="宋体" w:eastAsia="宋体" w:cs="宋体"/>
          <w:color w:val="000000"/>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Cs w:val="21"/>
          <w:highlight w:val="none"/>
        </w:rPr>
      </w:r>
      <w:r/>
    </w:p>
    <w:p>
      <w:pPr>
        <w:pStyle w:val="826"/>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26"/>
        <w:ind w:firstLine="444"/>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供应商全称（加盖CA电子公章）：</w:t>
      </w:r>
      <w:r>
        <w:rPr>
          <w:rFonts w:hint="eastAsia" w:ascii="宋体" w:hAnsi="宋体" w:cs="宋体"/>
          <w:color w:val="000000"/>
          <w:szCs w:val="21"/>
          <w:highlight w:val="none"/>
        </w:rPr>
      </w:r>
      <w:r/>
    </w:p>
    <w:p>
      <w:pPr>
        <w:pStyle w:val="826"/>
        <w:ind w:firstLine="420"/>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left"/>
        <w:widowControl/>
        <w:rPr>
          <w:rFonts w:hint="eastAsia" w:ascii="宋体" w:hAnsi="宋体" w:cs="宋体"/>
          <w:b/>
          <w:bCs/>
          <w:color w:val="000000"/>
          <w:szCs w:val="21"/>
          <w:highlight w:val="none"/>
        </w:rPr>
        <w:sectPr>
          <w:headerReference w:type="default" r:id="rId11"/>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
          <w:bCs/>
          <w:color w:val="000000"/>
          <w:szCs w:val="21"/>
          <w:highlight w:val="none"/>
        </w:rPr>
      </w:r>
      <w:r/>
    </w:p>
    <w:p>
      <w:pPr>
        <w:pStyle w:val="826"/>
        <w:jc w:val="center"/>
        <w:rPr>
          <w:rFonts w:hint="eastAsia" w:ascii="宋体" w:hAnsi="宋体" w:cs="宋体"/>
          <w:color w:val="000000"/>
          <w:szCs w:val="21"/>
          <w:highlight w:val="none"/>
        </w:rPr>
      </w:pPr>
      <w:r>
        <w:rPr>
          <w:rFonts w:hint="eastAsia" w:ascii="宋体" w:hAnsi="宋体" w:cs="宋体"/>
          <w:b/>
          <w:color w:val="000000"/>
          <w:szCs w:val="21"/>
          <w:highlight w:val="none"/>
        </w:rPr>
        <w:t xml:space="preserve">关于符合本国产品标准的声明函（采购包号）</w:t>
      </w:r>
      <w:r>
        <w:rPr>
          <w:rFonts w:hint="eastAsia" w:ascii="宋体" w:hAnsi="宋体" w:cs="宋体"/>
          <w:color w:val="000000"/>
          <w:szCs w:val="21"/>
          <w:highlight w:val="none"/>
        </w:rPr>
      </w:r>
      <w:r/>
    </w:p>
    <w:p>
      <w:pPr>
        <w:pStyle w:val="909"/>
        <w:ind w:firstLine="420"/>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909"/>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5110480</wp:posOffset>
                </wp:positionH>
                <wp:positionV relativeFrom="paragraph">
                  <wp:posOffset>264160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265430</wp:posOffset>
                </wp:positionH>
                <wp:positionV relativeFrom="paragraph">
                  <wp:posOffset>556895</wp:posOffset>
                </wp:positionV>
                <wp:extent cx="641985" cy="1047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41985" cy="10477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3112770</wp:posOffset>
                </wp:positionH>
                <wp:positionV relativeFrom="paragraph">
                  <wp:posOffset>302260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2165350</wp:posOffset>
                </wp:positionH>
                <wp:positionV relativeFrom="paragraph">
                  <wp:posOffset>322580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1310005</wp:posOffset>
                </wp:positionH>
                <wp:positionV relativeFrom="paragraph">
                  <wp:posOffset>278765</wp:posOffset>
                </wp:positionV>
                <wp:extent cx="566420" cy="971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6420" cy="9715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4618990</wp:posOffset>
                </wp:positionH>
                <wp:positionV relativeFrom="paragraph">
                  <wp:posOffset>45085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shd w:val="clear" w:color="auto" w:fill="ffffff"/>
        </w:rPr>
        <w:t xml:space="preserve">1.</w:t>
      </w:r>
      <w:r>
        <w:rPr>
          <w:rStyle w:val="918"/>
          <w:rFonts w:hint="eastAsia" w:ascii="宋体" w:hAnsi="宋体" w:cs="宋体"/>
          <w:i w:val="0"/>
          <w:color w:val="000000"/>
          <w:sz w:val="21"/>
          <w:szCs w:val="21"/>
          <w:highlight w:val="none"/>
          <w:u w:val="single"/>
          <w:shd w:val="clear" w:color="auto" w:fill="ffffff"/>
        </w:rPr>
        <w:t xml:space="preserve">（产品名称1）</w:t>
      </w:r>
      <w:r>
        <w:rPr>
          <w:rStyle w:val="918"/>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918"/>
          <w:rFonts w:hint="eastAsia" w:ascii="宋体" w:hAnsi="宋体" w:cs="宋体"/>
          <w:i w:val="0"/>
          <w:color w:val="000000"/>
          <w:sz w:val="21"/>
          <w:szCs w:val="21"/>
          <w:highlight w:val="none"/>
          <w:u w:val="single"/>
          <w:shd w:val="clear" w:color="auto" w:fill="ffffff"/>
        </w:rPr>
        <w:t xml:space="preserve">（厂名）</w:t>
      </w:r>
      <w:r>
        <w:rPr>
          <w:rStyle w:val="918"/>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918"/>
          <w:rFonts w:hint="eastAsia" w:ascii="宋体" w:hAnsi="宋体" w:cs="宋体"/>
          <w:i w:val="0"/>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w:t>
      </w:r>
      <w:r>
        <w:rPr>
          <w:rStyle w:val="918"/>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918"/>
          <w:rFonts w:hint="eastAsia" w:ascii="宋体" w:hAnsi="宋体" w:cs="宋体"/>
          <w:i w:val="0"/>
          <w:color w:val="000000"/>
          <w:sz w:val="21"/>
          <w:szCs w:val="21"/>
          <w:highlight w:val="none"/>
          <w:u w:val="single"/>
          <w:shd w:val="clear" w:color="auto" w:fill="ffffff"/>
        </w:rPr>
        <w:t xml:space="preserve">（规定比例）</w:t>
      </w:r>
      <w:r>
        <w:rPr>
          <w:rStyle w:val="918"/>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918"/>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918"/>
          <w:rFonts w:hint="eastAsia" w:ascii="宋体" w:hAnsi="宋体" w:cs="宋体"/>
          <w:i w:val="0"/>
          <w:color w:val="000000"/>
          <w:sz w:val="21"/>
          <w:szCs w:val="21"/>
          <w:highlight w:val="none"/>
          <w:u w:val="single"/>
          <w:shd w:val="clear" w:color="auto" w:fill="ffffff"/>
        </w:rPr>
        <w:t xml:space="preserve">（关键组件）</w:t>
      </w:r>
      <w:r>
        <w:rPr>
          <w:rStyle w:val="918"/>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918"/>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918"/>
          <w:rFonts w:hint="eastAsia" w:ascii="宋体" w:hAnsi="宋体" w:cs="宋体"/>
          <w:i w:val="0"/>
          <w:color w:val="000000"/>
          <w:sz w:val="21"/>
          <w:szCs w:val="21"/>
          <w:highlight w:val="none"/>
          <w:u w:val="single"/>
          <w:shd w:val="clear" w:color="auto" w:fill="ffffff"/>
        </w:rPr>
        <w:t xml:space="preserve">（关键工序）</w:t>
      </w:r>
      <w:r>
        <w:rPr>
          <w:rStyle w:val="918"/>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909"/>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237490</wp:posOffset>
                </wp:positionH>
                <wp:positionV relativeFrom="paragraph">
                  <wp:posOffset>537845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5133975</wp:posOffset>
                </wp:positionH>
                <wp:positionV relativeFrom="paragraph">
                  <wp:posOffset>295275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3246120</wp:posOffset>
                </wp:positionH>
                <wp:positionV relativeFrom="paragraph">
                  <wp:posOffset>293370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2115820</wp:posOffset>
                </wp:positionH>
                <wp:positionV relativeFrom="paragraph">
                  <wp:posOffset>275590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1214120</wp:posOffset>
                </wp:positionH>
                <wp:positionV relativeFrom="paragraph">
                  <wp:posOffset>246380</wp:posOffset>
                </wp:positionV>
                <wp:extent cx="81661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shd w:val="clear" w:color="auto" w:fill="ffffff"/>
        </w:rPr>
        <w:t xml:space="preserve">2.</w:t>
      </w:r>
      <w:r>
        <w:rPr>
          <w:rStyle w:val="918"/>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，生产厂为</w:t>
      </w:r>
      <w:r>
        <w:rPr>
          <w:rStyle w:val="918"/>
          <w:rFonts w:hint="eastAsia" w:ascii="宋体" w:hAnsi="宋体" w:cs="宋体"/>
          <w:i w:val="0"/>
          <w:color w:val="000000"/>
          <w:sz w:val="21"/>
          <w:szCs w:val="21"/>
          <w:highlight w:val="none"/>
          <w:u w:val="single"/>
          <w:shd w:val="clear" w:color="auto" w:fill="ffffff"/>
        </w:rPr>
        <w:t xml:space="preserve">（厂名）</w:t>
      </w:r>
      <w:r>
        <w:rPr>
          <w:rFonts w:hint="eastAsia" w:ascii="宋体" w:hAnsi="宋体" w:cs="宋体"/>
          <w:color w:val="000000"/>
          <w:sz w:val="21"/>
          <w:szCs w:val="21"/>
          <w:highlight w:val="none"/>
          <w:shd w:val="clear" w:color="auto" w:fill="ffffff"/>
        </w:rPr>
        <w:t xml:space="preserve">，厂址为</w:t>
      </w:r>
      <w:r>
        <w:rPr>
          <w:rStyle w:val="918"/>
          <w:rFonts w:hint="eastAsia" w:ascii="宋体" w:hAnsi="宋体" w:cs="宋体"/>
          <w:i w:val="0"/>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Style w:val="918"/>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的中国境内生产的组件成本占比≥</w:t>
      </w:r>
      <w:r>
        <w:rPr>
          <w:rStyle w:val="918"/>
          <w:rFonts w:hint="eastAsia" w:ascii="宋体" w:hAnsi="宋体" w:cs="宋体"/>
          <w:i w:val="0"/>
          <w:color w:val="000000"/>
          <w:sz w:val="21"/>
          <w:szCs w:val="21"/>
          <w:highlight w:val="none"/>
          <w:u w:val="singl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918"/>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w:t>
      </w:r>
      <w:r>
        <w:rPr>
          <w:rStyle w:val="918"/>
          <w:rFonts w:hint="eastAsia" w:ascii="宋体" w:hAnsi="宋体" w:cs="宋体"/>
          <w:i w:val="0"/>
          <w:color w:val="000000"/>
          <w:sz w:val="21"/>
          <w:szCs w:val="21"/>
          <w:highlight w:val="none"/>
          <w:u w:val="single"/>
          <w:shd w:val="clear" w:color="auto" w:fill="ffffff"/>
        </w:rPr>
        <w:t xml:space="preserve">（关键组件）</w:t>
      </w:r>
      <w:r>
        <w:rPr>
          <w:rFonts w:hint="eastAsia" w:ascii="宋体" w:hAnsi="宋体" w:cs="宋体"/>
          <w:color w:val="000000"/>
          <w:sz w:val="21"/>
          <w:szCs w:val="21"/>
          <w:highlight w:val="none"/>
          <w:shd w:val="clear" w:color="auto" w:fill="ffffff"/>
        </w:rPr>
        <w:t xml:space="preserve">在中国境内生产。</w:t>
      </w:r>
      <w:r>
        <w:rPr>
          <w:rStyle w:val="918"/>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918"/>
          <w:rFonts w:hint="eastAsia" w:ascii="宋体" w:hAnsi="宋体" w:cs="宋体"/>
          <w:i w:val="0"/>
          <w:color w:val="000000"/>
          <w:sz w:val="21"/>
          <w:szCs w:val="21"/>
          <w:highlight w:val="none"/>
          <w:u w:val="single"/>
          <w:shd w:val="clear" w:color="auto" w:fill="ffffff"/>
        </w:rPr>
        <w:t xml:space="preserve">（关键工序）</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909"/>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909"/>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909"/>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9"/>
        <w:ind w:firstLine="240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909"/>
        <w:ind w:firstLine="240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  日         </w:t>
      </w:r>
      <w:r>
        <w:rPr>
          <w:rFonts w:hint="eastAsia" w:ascii="宋体" w:hAnsi="宋体" w:cs="宋体"/>
          <w:color w:val="000000"/>
          <w:sz w:val="21"/>
          <w:szCs w:val="21"/>
          <w:highlight w:val="none"/>
        </w:rPr>
      </w:r>
      <w:r/>
    </w:p>
    <w:p>
      <w:pPr>
        <w:pStyle w:val="909"/>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909"/>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909"/>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909"/>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909"/>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909"/>
        <w:ind w:firstLine="440"/>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shd w:val="clear" w:color="auto" w:fill="ffffff"/>
        </w:rPr>
      </w:r>
      <w:r/>
    </w:p>
    <w:p>
      <w:pPr>
        <w:pStyle w:val="909"/>
        <w:ind w:firstLine="440"/>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6.用斜线划除的地方无需填写。</w:t>
      </w:r>
      <w:r>
        <w:rPr>
          <w:rFonts w:hint="eastAsia" w:ascii="宋体" w:hAnsi="宋体" w:cs="宋体"/>
          <w:color w:val="000000"/>
          <w:sz w:val="21"/>
          <w:szCs w:val="21"/>
          <w:highlight w:val="none"/>
          <w:shd w:val="clear" w:color="auto" w:fill="ffffff"/>
        </w:rPr>
      </w:r>
      <w:r/>
    </w:p>
    <w:p>
      <w:pPr>
        <w:pStyle w:val="909"/>
        <w:ind w:firstLine="440"/>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7.如word斜线错位，请以下方图片所示为准。</w:t>
      </w:r>
      <w:r>
        <w:rPr>
          <w:rFonts w:hint="eastAsia" w:ascii="宋体" w:hAnsi="宋体" w:cs="宋体"/>
          <w:color w:val="000000"/>
          <w:sz w:val="21"/>
          <w:szCs w:val="21"/>
          <w:highlight w:val="none"/>
          <w:shd w:val="clear" w:color="auto" w:fill="ffffff"/>
        </w:rPr>
      </w:r>
      <w:r/>
    </w:p>
    <w:p>
      <w:pPr>
        <w:pStyle w:val="826"/>
        <w:jc w:val="center"/>
        <w:widowControl/>
        <w:rPr>
          <w:rFonts w:hint="eastAsia" w:ascii="宋体" w:hAnsi="宋体" w:cs="宋体"/>
          <w:b/>
          <w:bCs/>
          <w:color w:val="000000"/>
          <w:szCs w:val="21"/>
          <w:highlight w:val="none"/>
        </w:rPr>
      </w:pPr>
      <w:r>
        <w:rPr>
          <w:rFonts w:hint="eastAsia" w:ascii="宋体" w:hAnsi="宋体" w:eastAsia="宋体" w:cs="方正魏碑_GBK"/>
          <w:color w:val="000000"/>
          <w:highlight w:val="none"/>
          <w:shd w:val="clear" w:color="auto" w:fill="ffffff"/>
        </w:rPr>
        <mc:AlternateContent>
          <mc:Choice Requires="wpg">
            <w:drawing>
              <wp:inline xmlns:wp="http://schemas.openxmlformats.org/drawingml/2006/wordprocessingDrawing" distT="0" distB="0" distL="0" distR="0">
                <wp:extent cx="5262461" cy="572707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2461" cy="57270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4pt;height:451.0pt;mso-wrap-distance-left:0.0pt;mso-wrap-distance-top:0.0pt;mso-wrap-distance-right:0.0pt;mso-wrap-distance-bottom:0.0pt;" stroked="f">
                <v:path textboxrect="0,0,0,0"/>
                <v:imagedata r:id="rId17" o:title=""/>
              </v:shape>
            </w:pict>
          </mc:Fallback>
        </mc:AlternateContent>
      </w:r>
      <w:r>
        <w:rPr>
          <w:rFonts w:hint="eastAsia" w:ascii="宋体" w:hAnsi="宋体" w:cs="宋体"/>
          <w:b/>
          <w:bCs/>
          <w:color w:val="000000"/>
          <w:szCs w:val="21"/>
          <w:highlight w:val="none"/>
        </w:rPr>
      </w:r>
      <w:r/>
    </w:p>
    <w:p>
      <w:pPr>
        <w:pStyle w:val="826"/>
        <w:rPr>
          <w:rFonts w:hint="eastAsia" w:ascii="宋体" w:hAnsi="宋体" w:cs="宋体"/>
          <w:b/>
          <w:bCs/>
          <w:color w:val="000000"/>
          <w:szCs w:val="21"/>
          <w:highlight w:val="none"/>
        </w:rPr>
      </w:pPr>
      <w:r/>
      <w:bookmarkStart w:id="93" w:name="_Toc25382"/>
      <w:r/>
      <w:bookmarkStart w:id="94" w:name="_Toc19910"/>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826"/>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四、开标一览表</w:t>
      </w:r>
      <w:bookmarkEnd w:id="93"/>
      <w:r/>
      <w:bookmarkEnd w:id="94"/>
      <w:r>
        <w:rPr>
          <w:rFonts w:hint="eastAsia" w:ascii="宋体" w:hAnsi="宋体" w:cs="宋体"/>
          <w:color w:val="000000"/>
          <w:szCs w:val="21"/>
          <w:highlight w:val="none"/>
        </w:rPr>
      </w:r>
      <w:r/>
    </w:p>
    <w:p>
      <w:pPr>
        <w:pStyle w:val="82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全称（加盖CA电子公章）：</w:t>
      </w:r>
      <w:r>
        <w:rPr>
          <w:rFonts w:hint="eastAsia" w:ascii="宋体" w:hAnsi="宋体" w:cs="宋体"/>
          <w:color w:val="000000"/>
          <w:szCs w:val="21"/>
          <w:highlight w:val="none"/>
        </w:rPr>
      </w:r>
      <w:r/>
    </w:p>
    <w:p>
      <w:pPr>
        <w:pStyle w:val="82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Style w:val="915"/>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7"/>
        <w:gridCol w:w="4572"/>
      </w:tblGrid>
      <w:tr>
        <w:trPr>
          <w:trHeight w:val="724"/>
        </w:trPr>
        <w:tc>
          <w:tcPr>
            <w:tcW w:w="4507" w:type="dxa"/>
            <w:vAlign w:val="center"/>
            <w:textDirection w:val="lrTb"/>
            <w:noWrap w:val="false"/>
          </w:tcPr>
          <w:p>
            <w:pPr>
              <w:pStyle w:val="1164"/>
              <w:jc w:val="center"/>
              <w:spacing w:line="700" w:lineRule="exact"/>
              <w:rPr>
                <w:rFonts w:hint="eastAsia" w:ascii="宋体" w:hAnsi="宋体" w:cs="宋体"/>
                <w:color w:val="000000"/>
                <w:szCs w:val="21"/>
                <w:highlight w:val="none"/>
              </w:rPr>
            </w:pPr>
            <w:r/>
            <w:bookmarkStart w:id="95" w:name="OLE_LINK35"/>
            <w:r>
              <w:rPr>
                <w:rFonts w:hint="eastAsia" w:ascii="宋体" w:hAnsi="宋体" w:cs="宋体"/>
                <w:color w:val="000000"/>
                <w:szCs w:val="21"/>
                <w:highlight w:val="none"/>
              </w:rPr>
              <w:t xml:space="preserve">项目名称</w:t>
            </w:r>
            <w:bookmarkEnd w:id="95"/>
            <w:r>
              <w:rPr>
                <w:rFonts w:hint="eastAsia" w:ascii="宋体" w:hAnsi="宋体" w:cs="宋体"/>
                <w:color w:val="000000"/>
                <w:szCs w:val="21"/>
                <w:highlight w:val="none"/>
              </w:rPr>
            </w:r>
            <w:r/>
          </w:p>
        </w:tc>
        <w:tc>
          <w:tcPr>
            <w:tcW w:w="4572" w:type="dxa"/>
            <w:vAlign w:val="center"/>
            <w:textDirection w:val="lrTb"/>
            <w:noWrap w:val="false"/>
          </w:tcPr>
          <w:p>
            <w:pPr>
              <w:pStyle w:val="1164"/>
              <w:jc w:val="center"/>
              <w:spacing w:line="7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投标总报价（</w:t>
            </w:r>
            <w:r>
              <w:rPr>
                <w:rFonts w:hint="eastAsia" w:ascii="宋体" w:hAnsi="宋体" w:cs="宋体"/>
                <w:color w:val="000000"/>
                <w:szCs w:val="21"/>
                <w:highlight w:val="none"/>
                <w:lang w:val="en-US" w:eastAsia="zh-CN"/>
              </w:rPr>
              <w:t xml:space="preserve">元</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trHeight w:val="1723"/>
        </w:trPr>
        <w:tc>
          <w:tcPr>
            <w:tcW w:w="4507" w:type="dxa"/>
            <w:vAlign w:val="center"/>
            <w:textDirection w:val="lrTb"/>
            <w:noWrap w:val="false"/>
          </w:tcPr>
          <w:p>
            <w:pPr>
              <w:pStyle w:val="1164"/>
              <w:jc w:val="center"/>
              <w:spacing w:line="7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扬州大学附属医院安防达标建设项目</w:t>
            </w:r>
            <w:r>
              <w:rPr>
                <w:rFonts w:hint="eastAsia" w:ascii="宋体" w:hAnsi="宋体" w:eastAsia="宋体" w:cs="宋体"/>
                <w:color w:val="000000"/>
                <w:szCs w:val="21"/>
                <w:highlight w:val="none"/>
                <w:lang w:eastAsia="zh-CN"/>
              </w:rPr>
            </w:r>
            <w:r/>
          </w:p>
        </w:tc>
        <w:tc>
          <w:tcPr>
            <w:tcW w:w="4572" w:type="dxa"/>
            <w:vAlign w:val="center"/>
            <w:textDirection w:val="lrTb"/>
            <w:noWrap w:val="false"/>
          </w:tcPr>
          <w:p>
            <w:pPr>
              <w:pStyle w:val="1164"/>
              <w:jc w:val="center"/>
              <w:spacing w:line="700" w:lineRule="exact"/>
              <w:rPr>
                <w:rFonts w:ascii="宋体" w:hAnsi="宋体" w:cs="宋体"/>
                <w:color w:val="ff0000"/>
                <w:szCs w:val="21"/>
                <w:highlight w:val="none"/>
                <w:u w:val="single"/>
                <w:lang w:val="en-US" w:eastAsia="zh-CN"/>
              </w:rPr>
            </w:pPr>
            <w:r>
              <w:rPr>
                <w:rFonts w:hint="eastAsia" w:ascii="宋体" w:hAnsi="宋体" w:cs="宋体"/>
                <w:color w:val="ff0000"/>
                <w:szCs w:val="21"/>
                <w:highlight w:val="none"/>
                <w:lang w:val="en-US" w:eastAsia="zh-CN"/>
              </w:rPr>
              <w:t xml:space="preserve">大写：</w:t>
            </w:r>
            <w:r>
              <w:rPr>
                <w:rFonts w:hint="eastAsia" w:ascii="宋体" w:hAnsi="宋体" w:cs="宋体"/>
                <w:color w:val="ff0000"/>
                <w:szCs w:val="21"/>
                <w:highlight w:val="none"/>
                <w:u w:val="single"/>
                <w:lang w:val="en-US" w:eastAsia="zh-CN"/>
              </w:rPr>
              <w:t xml:space="preserve">       </w:t>
            </w:r>
            <w:r>
              <w:rPr>
                <w:rFonts w:ascii="宋体" w:hAnsi="宋体" w:cs="宋体"/>
                <w:color w:val="ff0000"/>
                <w:szCs w:val="21"/>
                <w:highlight w:val="none"/>
                <w:u w:val="single"/>
                <w:lang w:val="en-US" w:eastAsia="zh-CN"/>
              </w:rPr>
            </w:r>
            <w:r/>
          </w:p>
          <w:p>
            <w:pPr>
              <w:pStyle w:val="1164"/>
              <w:jc w:val="center"/>
              <w:spacing w:line="700" w:lineRule="exact"/>
              <w:rPr>
                <w:rFonts w:ascii="宋体" w:hAnsi="宋体" w:cs="宋体"/>
                <w:color w:val="000000"/>
                <w:szCs w:val="21"/>
                <w:highlight w:val="none"/>
                <w:lang w:val="en-US" w:eastAsia="zh-CN"/>
              </w:rPr>
            </w:pPr>
            <w:r>
              <w:rPr>
                <w:rFonts w:hint="eastAsia" w:ascii="宋体" w:hAnsi="宋体" w:cs="宋体"/>
                <w:color w:val="ff0000"/>
                <w:szCs w:val="21"/>
                <w:highlight w:val="none"/>
                <w:lang w:val="en-US" w:eastAsia="zh-CN"/>
              </w:rPr>
              <w:t xml:space="preserve">小写：</w:t>
            </w:r>
            <w:r>
              <w:rPr>
                <w:rFonts w:hint="eastAsia" w:ascii="宋体" w:hAnsi="宋体" w:cs="宋体"/>
                <w:color w:val="ff0000"/>
                <w:szCs w:val="21"/>
                <w:highlight w:val="none"/>
                <w:u w:val="single"/>
                <w:lang w:val="en-US" w:eastAsia="zh-CN"/>
              </w:rPr>
              <w:t xml:space="preserve">       </w:t>
            </w:r>
            <w:r>
              <w:rPr>
                <w:rFonts w:ascii="宋体" w:hAnsi="宋体" w:cs="宋体"/>
                <w:color w:val="000000"/>
                <w:szCs w:val="21"/>
                <w:highlight w:val="none"/>
                <w:lang w:val="en-US" w:eastAsia="zh-CN"/>
              </w:rPr>
            </w:r>
            <w:r/>
          </w:p>
        </w:tc>
      </w:tr>
    </w:tbl>
    <w:p>
      <w:pPr>
        <w:pStyle w:val="1164"/>
        <w:jc w:val="right"/>
        <w:spacing w:line="7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eastAsia="宋体" w:cs="宋体"/>
          <w:color w:val="000000"/>
          <w:szCs w:val="21"/>
          <w:highlight w:val="none"/>
        </w:rPr>
        <w:t xml:space="preserve">日期：    年   月    日</w:t>
      </w:r>
      <w:r>
        <w:rPr>
          <w:rFonts w:hint="eastAsia" w:ascii="宋体" w:hAnsi="宋体" w:cs="宋体"/>
          <w:color w:val="000000"/>
          <w:szCs w:val="21"/>
          <w:highlight w:val="none"/>
        </w:rPr>
      </w:r>
      <w:r/>
    </w:p>
    <w:p>
      <w:pPr>
        <w:pStyle w:val="82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6"/>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80"/>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bookmarkStart w:id="96" w:name="_Toc20323"/>
      <w:r/>
      <w:bookmarkStart w:id="97" w:name="_Toc17891"/>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rPr>
        <w:t xml:space="preserve">投标分项报价表</w:t>
      </w:r>
      <w:bookmarkEnd w:id="96"/>
      <w:r/>
      <w:bookmarkEnd w:id="97"/>
      <w:r>
        <w:rPr>
          <w:rFonts w:hint="eastAsia" w:ascii="宋体" w:hAnsi="宋体" w:cs="宋体"/>
          <w:b/>
          <w:bCs/>
          <w:color w:val="000000"/>
          <w:szCs w:val="21"/>
          <w:highlight w:val="none"/>
        </w:rPr>
      </w:r>
      <w:r/>
    </w:p>
    <w:p>
      <w:pPr>
        <w:pStyle w:val="82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rPr>
        <w:t xml:space="preserve">全称（加盖CA电子公章）：</w:t>
      </w:r>
      <w:r>
        <w:rPr>
          <w:rFonts w:hint="eastAsia" w:ascii="宋体" w:hAnsi="宋体" w:eastAsia="宋体" w:cs="宋体"/>
          <w:color w:val="000000"/>
          <w:sz w:val="21"/>
          <w:szCs w:val="21"/>
          <w:highlight w:val="none"/>
        </w:rPr>
      </w:r>
      <w:r/>
    </w:p>
    <w:p>
      <w:pPr>
        <w:pStyle w:val="82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95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3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106"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966"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cantSplit/>
          <w:trHeight w:val="544"/>
        </w:trPr>
        <w:tc>
          <w:tcPr>
            <w:gridSpan w:val="10"/>
            <w:tcW w:w="9514" w:type="dxa"/>
            <w:vAlign w:val="top"/>
            <w:textDirection w:val="lrTb"/>
            <w:noWrap w:val="false"/>
          </w:tcPr>
          <w:p>
            <w:pPr>
              <w:pStyle w:val="826"/>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一、设备部分</w:t>
            </w:r>
            <w:r>
              <w:rPr>
                <w:rFonts w:ascii="宋体" w:hAnsi="宋体" w:eastAsia="宋体" w:cs="宋体"/>
                <w:color w:val="000000"/>
                <w:sz w:val="21"/>
                <w:szCs w:val="21"/>
                <w:highlight w:val="none"/>
                <w:lang w:val="en-US" w:eastAsia="zh-CN"/>
              </w:rPr>
            </w:r>
            <w:r/>
          </w:p>
        </w:tc>
      </w:tr>
      <w:tr>
        <w:trPr>
          <w:cantSplit/>
          <w:trHeight w:val="294"/>
        </w:trPr>
        <w:tc>
          <w:tcPr>
            <w:tcW w:w="579"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rPr>
            </w:r>
            <w:r/>
          </w:p>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93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w:t>
            </w:r>
            <w:r>
              <w:rPr>
                <w:rFonts w:hint="eastAsia" w:ascii="宋体" w:hAnsi="宋体" w:eastAsia="宋体" w:cs="宋体"/>
                <w:color w:val="000000"/>
                <w:sz w:val="21"/>
                <w:szCs w:val="21"/>
                <w:highlight w:val="none"/>
              </w:rPr>
            </w:r>
            <w:r/>
          </w:p>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型号</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制造商名称</w:t>
            </w:r>
            <w:r>
              <w:rPr>
                <w:rFonts w:hint="eastAsia" w:ascii="宋体" w:hAnsi="宋体" w:eastAsia="宋体" w:cs="宋体"/>
                <w:color w:val="000000"/>
                <w:sz w:val="21"/>
                <w:szCs w:val="21"/>
                <w:highlight w:val="none"/>
              </w:rPr>
            </w:r>
            <w:r/>
          </w:p>
        </w:tc>
        <w:tc>
          <w:tcPr>
            <w:tcW w:w="1106"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交付期</w:t>
            </w: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rPr>
                <w:rFonts w:hint="eastAsia" w:ascii="宋体" w:hAnsi="宋体" w:eastAsia="宋体" w:cs="宋体"/>
                <w:color w:val="000000"/>
                <w:sz w:val="21"/>
                <w:szCs w:val="21"/>
                <w:highlight w:val="none"/>
              </w:rPr>
            </w:r>
            <w:r/>
          </w:p>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tcW w:w="966"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rPr>
                <w:rFonts w:hint="eastAsia" w:ascii="宋体" w:hAnsi="宋体" w:eastAsia="宋体" w:cs="宋体"/>
                <w:color w:val="000000"/>
                <w:sz w:val="21"/>
                <w:szCs w:val="21"/>
                <w:highlight w:val="none"/>
              </w:rPr>
            </w:r>
            <w:r/>
          </w:p>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rPr>
            </w:r>
            <w:r/>
          </w:p>
        </w:tc>
      </w:tr>
      <w:tr>
        <w:trPr>
          <w:cantSplit/>
          <w:trHeight w:val="696"/>
        </w:trPr>
        <w:tc>
          <w:tcPr>
            <w:tcW w:w="579"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90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3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6" w:type="dxa"/>
            <w:vAlign w:val="top"/>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合同签订后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u w:val="single"/>
              </w:rPr>
            </w:r>
            <w:r/>
          </w:p>
        </w:tc>
        <w:tc>
          <w:tcPr>
            <w:tcW w:w="924"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6"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96"/>
        </w:trPr>
        <w:tc>
          <w:tcPr>
            <w:gridSpan w:val="10"/>
            <w:tcW w:w="9514" w:type="dxa"/>
            <w:vAlign w:val="center"/>
            <w:textDirection w:val="lrTb"/>
            <w:noWrap w:val="false"/>
          </w:tcPr>
          <w:p>
            <w:pPr>
              <w:pStyle w:val="826"/>
              <w:jc w:val="center"/>
              <w:keepLines w:val="0"/>
              <w:keepNext w:val="0"/>
              <w:pageBreakBefore w:val="0"/>
              <w:spacing w:line="400" w:lineRule="exact"/>
              <w:rPr>
                <w:rFonts w:ascii="宋体" w:hAnsi="宋体" w:eastAsia="宋体" w:cs="宋体"/>
                <w:color w:val="000000"/>
                <w:sz w:val="21"/>
                <w:szCs w:val="21"/>
                <w:highlight w:val="none"/>
                <w:lang w:val="en-US"/>
              </w:rPr>
            </w:pPr>
            <w:r>
              <w:rPr>
                <w:rFonts w:hint="eastAsia" w:ascii="宋体" w:hAnsi="宋体" w:cs="宋体"/>
                <w:b/>
                <w:bCs/>
                <w:color w:val="000000"/>
                <w:sz w:val="21"/>
                <w:szCs w:val="21"/>
                <w:highlight w:val="none"/>
                <w:lang w:val="en-US" w:eastAsia="zh-CN"/>
              </w:rPr>
              <w:t xml:space="preserve">二、维保部分</w:t>
            </w:r>
            <w:r>
              <w:rPr>
                <w:rFonts w:ascii="宋体" w:hAnsi="宋体" w:eastAsia="宋体" w:cs="宋体"/>
                <w:color w:val="000000"/>
                <w:sz w:val="21"/>
                <w:szCs w:val="21"/>
                <w:highlight w:val="none"/>
                <w:lang w:val="en-US"/>
              </w:rPr>
            </w:r>
            <w:r/>
          </w:p>
        </w:tc>
      </w:tr>
      <w:tr>
        <w:trPr>
          <w:cantSplit/>
          <w:trHeight w:val="696"/>
        </w:trPr>
        <w:tc>
          <w:tcPr>
            <w:tcW w:w="579"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rPr>
            </w:r>
            <w:r/>
          </w:p>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93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w:t>
            </w:r>
            <w:r>
              <w:rPr>
                <w:rFonts w:hint="eastAsia" w:ascii="宋体" w:hAnsi="宋体" w:eastAsia="宋体" w:cs="宋体"/>
                <w:color w:val="000000"/>
                <w:sz w:val="21"/>
                <w:szCs w:val="21"/>
                <w:highlight w:val="none"/>
              </w:rPr>
            </w:r>
            <w:r/>
          </w:p>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型号</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制造商名称</w:t>
            </w:r>
            <w:r>
              <w:rPr>
                <w:rFonts w:hint="eastAsia" w:ascii="宋体" w:hAnsi="宋体" w:eastAsia="宋体" w:cs="宋体"/>
                <w:color w:val="000000"/>
                <w:sz w:val="21"/>
                <w:szCs w:val="21"/>
                <w:highlight w:val="none"/>
              </w:rPr>
            </w:r>
            <w:r/>
          </w:p>
        </w:tc>
        <w:tc>
          <w:tcPr>
            <w:tcW w:w="1106"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交付期</w:t>
            </w: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rPr>
                <w:rFonts w:hint="eastAsia" w:ascii="宋体" w:hAnsi="宋体" w:eastAsia="宋体" w:cs="宋体"/>
                <w:color w:val="000000"/>
                <w:sz w:val="21"/>
                <w:szCs w:val="21"/>
                <w:highlight w:val="none"/>
              </w:rPr>
            </w:r>
            <w:r/>
          </w:p>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tcW w:w="966"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rPr>
                <w:rFonts w:hint="eastAsia" w:ascii="宋体" w:hAnsi="宋体" w:eastAsia="宋体" w:cs="宋体"/>
                <w:color w:val="000000"/>
                <w:sz w:val="21"/>
                <w:szCs w:val="21"/>
                <w:highlight w:val="none"/>
              </w:rPr>
            </w:r>
            <w:r/>
          </w:p>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rPr>
            </w:r>
            <w:r/>
          </w:p>
        </w:tc>
      </w:tr>
      <w:tr>
        <w:trPr>
          <w:cantSplit/>
          <w:trHeight w:val="724"/>
        </w:trPr>
        <w:tc>
          <w:tcPr>
            <w:tcW w:w="579"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color w:val="000000"/>
                <w:highlight w:val="none"/>
                <w:lang w:val="en-US" w:eastAsia="zh-CN"/>
              </w:rPr>
              <w:t xml:space="preserve">质保期内的维保费用</w:t>
            </w:r>
            <w:r>
              <w:rPr>
                <w:rFonts w:hint="eastAsia" w:ascii="宋体" w:hAnsi="宋体" w:eastAsia="宋体" w:cs="宋体"/>
                <w:color w:val="000000"/>
                <w:sz w:val="21"/>
                <w:szCs w:val="21"/>
                <w:highlight w:val="none"/>
                <w:lang w:val="en-US" w:eastAsia="zh-CN" w:bidi="ar-SA"/>
              </w:rPr>
            </w:r>
            <w:r/>
          </w:p>
        </w:tc>
        <w:tc>
          <w:tcPr>
            <w:tcW w:w="72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r>
            <w:r/>
          </w:p>
        </w:tc>
        <w:tc>
          <w:tcPr>
            <w:tcW w:w="93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r>
            <w:r/>
          </w:p>
        </w:tc>
        <w:tc>
          <w:tcPr>
            <w:tcW w:w="980"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r>
            <w:r/>
          </w:p>
        </w:tc>
        <w:tc>
          <w:tcPr>
            <w:tcW w:w="1106"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r>
            <w:r/>
          </w:p>
        </w:tc>
        <w:tc>
          <w:tcPr>
            <w:tcW w:w="1385"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r>
            <w:r/>
          </w:p>
        </w:tc>
        <w:tc>
          <w:tcPr>
            <w:tcW w:w="924"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注:该项填写投标响应的质保期年限数字</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6" w:type="dxa"/>
            <w:vAlign w:val="center"/>
            <w:textDirection w:val="lrTb"/>
            <w:noWrap w:val="false"/>
          </w:tcPr>
          <w:p>
            <w:pPr>
              <w:pStyle w:val="826"/>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34"/>
        </w:trPr>
        <w:tc>
          <w:tcPr>
            <w:gridSpan w:val="10"/>
            <w:tcW w:w="9514" w:type="dxa"/>
            <w:vAlign w:val="top"/>
            <w:textDirection w:val="lrTb"/>
            <w:noWrap w:val="false"/>
          </w:tcPr>
          <w:p>
            <w:pPr>
              <w:pStyle w:val="826"/>
              <w:keepLines w:val="0"/>
              <w:keepNext w:val="0"/>
              <w:pageBreakBefore w:val="0"/>
              <w:spacing w:line="40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投标总报价</w:t>
            </w:r>
            <w:r>
              <w:rPr>
                <w:rFonts w:hint="eastAsia" w:ascii="宋体" w:hAnsi="宋体" w:cs="宋体"/>
                <w:color w:val="000000"/>
                <w:sz w:val="21"/>
                <w:szCs w:val="21"/>
                <w:highlight w:val="none"/>
                <w:lang w:eastAsia="zh-CN"/>
              </w:rPr>
              <w:t xml:space="preserve">（设备部分</w:t>
            </w:r>
            <w:r>
              <w:rPr>
                <w:rFonts w:hint="eastAsia" w:ascii="宋体" w:hAnsi="宋体" w:cs="宋体"/>
                <w:color w:val="000000"/>
                <w:sz w:val="21"/>
                <w:szCs w:val="21"/>
                <w:highlight w:val="none"/>
                <w:lang w:val="en-US" w:eastAsia="zh-CN"/>
              </w:rPr>
              <w:t xml:space="preserve">+维保部分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（人民币：元）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tc>
      </w:tr>
      <w:tr>
        <w:trPr>
          <w:cantSplit/>
          <w:trHeight w:val="767"/>
        </w:trPr>
        <w:tc>
          <w:tcPr>
            <w:gridSpan w:val="10"/>
            <w:tcW w:w="9514" w:type="dxa"/>
            <w:vAlign w:val="top"/>
            <w:textDirection w:val="lrTb"/>
            <w:noWrap w:val="false"/>
          </w:tcPr>
          <w:p>
            <w:pPr>
              <w:pStyle w:val="1121"/>
              <w:ind w:right="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lang w:eastAsia="zh-CN"/>
              </w:rPr>
              <w:t xml:space="preserve">本</w:t>
            </w:r>
            <w:r>
              <w:rPr>
                <w:rFonts w:hint="eastAsia" w:ascii="宋体" w:hAnsi="宋体" w:eastAsia="宋体" w:cs="宋体"/>
                <w:i w:val="0"/>
                <w:iCs w:val="0"/>
                <w:caps w:val="0"/>
                <w:color w:val="000000"/>
                <w:spacing w:val="0"/>
                <w:sz w:val="21"/>
                <w:szCs w:val="21"/>
                <w:highlight w:val="none"/>
              </w:rPr>
              <w:t xml:space="preserve">采购包</w:t>
            </w:r>
            <w:r>
              <w:rPr>
                <w:rFonts w:hint="eastAsia" w:ascii="宋体" w:hAnsi="宋体" w:eastAsia="宋体" w:cs="宋体"/>
                <w:i w:val="0"/>
                <w:iCs w:val="0"/>
                <w:caps w:val="0"/>
                <w:color w:val="000000"/>
                <w:spacing w:val="0"/>
                <w:sz w:val="21"/>
                <w:szCs w:val="21"/>
                <w:highlight w:val="none"/>
                <w:u w:val="none"/>
                <w:lang w:val="en-US" w:eastAsia="zh-CN"/>
              </w:rPr>
              <w:t xml:space="preserve">中</w:t>
            </w:r>
            <w:r>
              <w:rPr>
                <w:rFonts w:hint="eastAsia" w:ascii="宋体" w:hAnsi="宋体" w:eastAsia="宋体" w:cs="宋体"/>
                <w:i w:val="0"/>
                <w:iCs w:val="0"/>
                <w:caps w:val="0"/>
                <w:color w:val="000000"/>
                <w:spacing w:val="0"/>
                <w:sz w:val="21"/>
                <w:szCs w:val="21"/>
                <w:highlight w:val="none"/>
              </w:rPr>
              <w:t xml:space="preserve">提供的符合本国产品标准的产品成本之和占</w:t>
            </w:r>
            <w:r>
              <w:rPr>
                <w:rFonts w:hint="eastAsia" w:ascii="宋体" w:hAnsi="宋体" w:eastAsia="宋体" w:cs="宋体"/>
                <w:i w:val="0"/>
                <w:iCs w:val="0"/>
                <w:caps w:val="0"/>
                <w:color w:val="000000"/>
                <w:spacing w:val="0"/>
                <w:sz w:val="21"/>
                <w:szCs w:val="21"/>
                <w:highlight w:val="none"/>
                <w:lang w:eastAsia="zh-CN"/>
              </w:rPr>
              <w:t xml:space="preserve">该采购包</w:t>
            </w:r>
            <w:r>
              <w:rPr>
                <w:rFonts w:hint="eastAsia" w:ascii="宋体" w:hAnsi="宋体" w:eastAsia="宋体" w:cs="宋体"/>
                <w:i w:val="0"/>
                <w:iCs w:val="0"/>
                <w:caps w:val="0"/>
                <w:color w:val="000000"/>
                <w:spacing w:val="0"/>
                <w:sz w:val="21"/>
                <w:szCs w:val="21"/>
                <w:highlight w:val="none"/>
              </w:rPr>
              <w:t xml:space="preserve">提供的全部产品成本之和的比例</w:t>
            </w:r>
            <w:r>
              <w:rPr>
                <w:rFonts w:hint="eastAsia" w:ascii="宋体" w:hAnsi="宋体" w:eastAsia="宋体" w:cs="宋体"/>
                <w:i w:val="0"/>
                <w:iCs w:val="0"/>
                <w:caps w:val="0"/>
                <w:color w:val="000000"/>
                <w:spacing w:val="0"/>
                <w:sz w:val="21"/>
                <w:szCs w:val="21"/>
                <w:highlight w:val="none"/>
                <w:lang w:eastAsia="zh-CN"/>
              </w:rPr>
              <w:t xml:space="preserve">为</w:t>
            </w:r>
            <w:r>
              <w:rPr>
                <w:rFonts w:hint="eastAsia" w:ascii="宋体" w:hAnsi="宋体" w:eastAsia="宋体" w:cs="宋体"/>
                <w:i w:val="0"/>
                <w:iCs w:val="0"/>
                <w:caps w:val="0"/>
                <w:color w:val="000000"/>
                <w:spacing w:val="0"/>
                <w:sz w:val="21"/>
                <w:szCs w:val="21"/>
                <w:highlight w:val="none"/>
                <w:u w:val="single"/>
                <w:lang w:val="en-US" w:eastAsia="zh-CN"/>
              </w:rPr>
              <w:t xml:space="preserve">           </w:t>
            </w:r>
            <w:r>
              <w:rPr>
                <w:rFonts w:hint="eastAsia" w:ascii="宋体" w:hAnsi="宋体" w:eastAsia="宋体" w:cs="宋体"/>
                <w:i w:val="0"/>
                <w:iCs w:val="0"/>
                <w:caps w:val="0"/>
                <w:color w:val="000000"/>
                <w:spacing w:val="0"/>
                <w:sz w:val="21"/>
                <w:szCs w:val="21"/>
                <w:highlight w:val="none"/>
                <w:u w:val="none"/>
              </w:rPr>
              <w:t xml:space="preserve">%</w:t>
            </w:r>
            <w:r>
              <w:rPr>
                <w:rFonts w:hint="eastAsia" w:ascii="宋体" w:hAnsi="宋体" w:eastAsia="宋体" w:cs="宋体"/>
                <w:i w:val="0"/>
                <w:iCs w:val="0"/>
                <w:caps w:val="0"/>
                <w:color w:val="000000"/>
                <w:spacing w:val="0"/>
                <w:sz w:val="21"/>
                <w:szCs w:val="21"/>
                <w:highlight w:val="none"/>
                <w:lang w:eastAsia="zh-CN"/>
              </w:rPr>
              <w:t xml:space="preserve">。</w:t>
            </w:r>
            <w:r>
              <w:rPr>
                <w:rFonts w:hint="eastAsia" w:ascii="宋体" w:hAnsi="宋体" w:eastAsia="宋体" w:cs="宋体"/>
                <w:color w:val="000000"/>
                <w:sz w:val="21"/>
                <w:szCs w:val="21"/>
                <w:highlight w:val="none"/>
              </w:rPr>
            </w:r>
            <w:r/>
          </w:p>
        </w:tc>
      </w:tr>
    </w:tbl>
    <w:p>
      <w:pPr>
        <w:pStyle w:val="826"/>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26"/>
        <w:jc w:val="left"/>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宋体" w:hAnsi="宋体" w:eastAsia="宋体" w:cs="宋体"/>
          <w:color w:val="000000"/>
          <w:sz w:val="21"/>
          <w:szCs w:val="21"/>
          <w:highlight w:val="none"/>
          <w:lang w:eastAsia="zh-CN"/>
        </w:rPr>
        <w:t xml:space="preserve">数额为各“分项总价”之和。</w:t>
      </w:r>
      <w:r>
        <w:rPr>
          <w:rFonts w:hint="eastAsia" w:ascii="宋体" w:hAnsi="宋体" w:eastAsia="宋体" w:cs="宋体"/>
          <w:color w:val="000000"/>
          <w:sz w:val="21"/>
          <w:szCs w:val="21"/>
          <w:highlight w:val="none"/>
          <w:lang w:eastAsia="zh-CN"/>
        </w:rPr>
      </w:r>
      <w:r/>
    </w:p>
    <w:p>
      <w:pPr>
        <w:pStyle w:val="826"/>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2.“投标分项报价表”中“投标总报价”数额应当与“开标一览表”中“投标总报价”数额一致。</w:t>
      </w:r>
      <w:r>
        <w:rPr>
          <w:rFonts w:hint="eastAsia" w:ascii="宋体" w:hAnsi="宋体" w:eastAsia="宋体" w:cs="宋体"/>
          <w:color w:val="000000"/>
          <w:sz w:val="21"/>
          <w:szCs w:val="21"/>
          <w:highlight w:val="none"/>
        </w:rPr>
      </w:r>
      <w:r/>
    </w:p>
    <w:p>
      <w:pPr>
        <w:pStyle w:val="826"/>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本</w:t>
      </w:r>
      <w:r>
        <w:rPr>
          <w:rFonts w:hint="eastAsia" w:ascii="宋体" w:hAnsi="宋体" w:eastAsia="宋体" w:cs="宋体"/>
          <w:color w:val="000000"/>
          <w:sz w:val="21"/>
          <w:szCs w:val="21"/>
          <w:highlight w:val="none"/>
          <w:lang w:val="en-US" w:eastAsia="zh-CN"/>
        </w:rPr>
        <w:t xml:space="preserve">采购包中含有多种产品时，</w:t>
      </w:r>
      <w:r>
        <w:rPr>
          <w:rFonts w:hint="eastAsia" w:ascii="宋体" w:hAnsi="宋体" w:eastAsia="宋体" w:cs="宋体"/>
          <w:color w:val="000000"/>
          <w:sz w:val="21"/>
          <w:szCs w:val="21"/>
          <w:highlight w:val="none"/>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宋体"/>
          <w:color w:val="000000"/>
          <w:sz w:val="21"/>
          <w:szCs w:val="21"/>
          <w:highlight w:val="none"/>
        </w:rPr>
      </w:r>
      <w:r/>
    </w:p>
    <w:p>
      <w:pPr>
        <w:pStyle w:val="826"/>
        <w:jc w:val="lef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.投标人需认真填写本报价表，尤其注意规格型号的准确填写。</w:t>
      </w:r>
      <w:r>
        <w:rPr>
          <w:rFonts w:hint="eastAsia" w:ascii="宋体" w:hAnsi="宋体" w:eastAsia="宋体" w:cs="宋体"/>
          <w:b/>
          <w:bCs/>
          <w:color w:val="000000"/>
          <w:sz w:val="21"/>
          <w:szCs w:val="21"/>
          <w:highlight w:val="none"/>
        </w:rPr>
      </w:r>
      <w:r/>
    </w:p>
    <w:p>
      <w:pPr>
        <w:pStyle w:val="826"/>
        <w:jc w:val="left"/>
        <w:widowControl/>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附表1：</w:t>
      </w:r>
      <w:r>
        <w:rPr>
          <w:rFonts w:hint="eastAsia" w:ascii="宋体" w:hAnsi="宋体" w:cs="宋体"/>
          <w:b/>
          <w:bCs/>
          <w:color w:val="000000"/>
          <w:szCs w:val="21"/>
          <w:highlight w:val="none"/>
          <w:lang w:val="en-US" w:eastAsia="zh-CN"/>
        </w:rPr>
      </w:r>
      <w:r/>
    </w:p>
    <w:p>
      <w:pPr>
        <w:pStyle w:val="826"/>
        <w:ind w:firstLine="420"/>
        <w:jc w:val="center"/>
        <w:pageBreakBefore w:val="0"/>
        <w:spacing w:line="360" w:lineRule="auto"/>
        <w:rPr>
          <w:rFonts w:hint="eastAsia"/>
          <w:b/>
          <w:bCs/>
          <w:color w:val="000000"/>
          <w:highlight w:val="none"/>
          <w:lang w:val="en-US" w:eastAsia="zh-CN"/>
        </w:rPr>
      </w:pPr>
      <w:r>
        <w:rPr>
          <w:rFonts w:hint="eastAsia"/>
          <w:b/>
          <w:bCs/>
          <w:color w:val="000000"/>
          <w:highlight w:val="none"/>
          <w:lang w:val="en-US" w:eastAsia="zh-CN"/>
        </w:rPr>
        <w:t xml:space="preserve">质保期满后的维保费用（每年）报价表</w:t>
      </w:r>
      <w:r>
        <w:rPr>
          <w:rFonts w:hint="eastAsia"/>
          <w:b/>
          <w:bCs/>
          <w:color w:val="000000"/>
          <w:highlight w:val="none"/>
          <w:lang w:val="en-US" w:eastAsia="zh-CN"/>
        </w:rPr>
      </w:r>
      <w:r/>
    </w:p>
    <w:p>
      <w:pPr>
        <w:pStyle w:val="82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rPr>
        <w:t xml:space="preserve">全称（加盖CA电子公章）：</w:t>
      </w:r>
      <w:r>
        <w:rPr>
          <w:rFonts w:hint="eastAsia" w:ascii="宋体" w:hAnsi="宋体" w:eastAsia="宋体" w:cs="宋体"/>
          <w:color w:val="000000"/>
          <w:sz w:val="21"/>
          <w:szCs w:val="21"/>
          <w:highlight w:val="none"/>
        </w:rPr>
      </w:r>
      <w:r/>
    </w:p>
    <w:p>
      <w:pPr>
        <w:pStyle w:val="82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4994" w:type="pct"/>
        <w:tblInd w:w="-216" w:type="dxa"/>
        <w:tblLayout w:type="autofit"/>
        <w:tblCellMar>
          <w:left w:w="108" w:type="dxa"/>
          <w:top w:w="0" w:type="dxa"/>
          <w:right w:w="108" w:type="dxa"/>
          <w:bottom w:w="0" w:type="dxa"/>
        </w:tblCellMar>
        <w:tblLook w:val="04A0" w:firstRow="1" w:lastRow="0" w:firstColumn="1" w:lastColumn="0" w:noHBand="0" w:noVBand="1"/>
      </w:tblPr>
      <w:tblGrid>
        <w:gridCol w:w="426"/>
        <w:gridCol w:w="1244"/>
        <w:gridCol w:w="508"/>
        <w:gridCol w:w="2510"/>
        <w:gridCol w:w="1018"/>
        <w:gridCol w:w="1032"/>
        <w:gridCol w:w="2822"/>
      </w:tblGrid>
      <w:tr>
        <w:trPr>
          <w:trHeight w:val="505"/>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pStyle w:val="826"/>
              <w:numPr>
                <w:ilvl w:val="0"/>
                <w:numId w:val="0"/>
              </w:numPr>
              <w:ind w:left="0" w:firstLine="0"/>
              <w:jc w:val="both"/>
              <w:pageBreakBefore w:val="0"/>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6"/>
              <w:jc w:val="center"/>
              <w:pageBreakBefore w:val="0"/>
              <w:rPr>
                <w:color w:val="000000"/>
                <w:highlight w:val="none"/>
              </w:rPr>
            </w:pPr>
            <w:r>
              <w:rPr>
                <w:rFonts w:hint="eastAsia"/>
                <w:color w:val="000000"/>
                <w:highlight w:val="none"/>
                <w:lang w:val="en-US" w:eastAsia="zh-CN"/>
              </w:rPr>
              <w:t xml:space="preserve">项目</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26"/>
              <w:jc w:val="center"/>
              <w:pageBreakBefore w:val="0"/>
              <w:rPr>
                <w:color w:val="000000"/>
                <w:highlight w:val="none"/>
              </w:rPr>
            </w:pPr>
            <w:r>
              <w:rPr>
                <w:rFonts w:hint="eastAsia"/>
                <w:color w:val="000000"/>
                <w:highlight w:val="none"/>
              </w:rPr>
              <w:t xml:space="preserve">单位</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826"/>
              <w:jc w:val="center"/>
              <w:pageBreakBefore w:val="0"/>
              <w:rPr>
                <w:color w:val="000000"/>
                <w:highlight w:val="none"/>
              </w:rPr>
            </w:pPr>
            <w:r>
              <w:rPr>
                <w:rFonts w:hint="eastAsia"/>
                <w:color w:val="000000"/>
                <w:highlight w:val="none"/>
              </w:rPr>
              <w:t xml:space="preserve">数量</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26"/>
              <w:jc w:val="center"/>
              <w:pageBreakBefore w:val="0"/>
              <w:rPr>
                <w:color w:val="000000"/>
                <w:highlight w:val="none"/>
              </w:rPr>
            </w:pPr>
            <w:r>
              <w:rPr>
                <w:rFonts w:hint="eastAsia"/>
                <w:color w:val="000000"/>
                <w:highlight w:val="none"/>
              </w:rPr>
              <w:t xml:space="preserve">单价</w:t>
            </w:r>
            <w:r>
              <w:rPr>
                <w:rFonts w:hint="eastAsia"/>
                <w:color w:val="000000"/>
                <w:highlight w:val="none"/>
                <w:lang w:eastAsia="zh-CN"/>
              </w:rPr>
              <w:t xml:space="preserve">（</w:t>
            </w:r>
            <w:r>
              <w:rPr>
                <w:rFonts w:hint="eastAsia"/>
                <w:color w:val="000000"/>
                <w:highlight w:val="none"/>
              </w:rPr>
              <w:t xml:space="preserve">元</w:t>
            </w:r>
            <w:r>
              <w:rPr>
                <w:rFonts w:hint="eastAsia"/>
                <w:color w:val="000000"/>
                <w:highlight w:val="none"/>
                <w:lang w:eastAsia="zh-CN"/>
              </w:rPr>
              <w:t xml:space="preserve">）</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826"/>
              <w:jc w:val="center"/>
              <w:pageBreakBefore w:val="0"/>
              <w:rPr>
                <w:color w:val="000000"/>
                <w:highlight w:val="none"/>
              </w:rPr>
            </w:pPr>
            <w:r>
              <w:rPr>
                <w:rFonts w:hint="eastAsia"/>
                <w:color w:val="000000"/>
                <w:highlight w:val="none"/>
                <w:lang w:val="en-US" w:eastAsia="zh-CN"/>
              </w:rPr>
              <w:t xml:space="preserve">总价</w:t>
            </w:r>
            <w:r>
              <w:rPr>
                <w:rFonts w:hint="eastAsia"/>
                <w:color w:val="000000"/>
                <w:highlight w:val="none"/>
                <w:lang w:eastAsia="zh-CN"/>
              </w:rPr>
              <w:t xml:space="preserve">（</w:t>
            </w:r>
            <w:r>
              <w:rPr>
                <w:rFonts w:hint="eastAsia"/>
                <w:color w:val="000000"/>
                <w:highlight w:val="none"/>
              </w:rPr>
              <w:t xml:space="preserve">元</w:t>
            </w:r>
            <w:r>
              <w:rPr>
                <w:rFonts w:hint="eastAsia"/>
                <w:color w:val="000000"/>
                <w:highlight w:val="none"/>
                <w:lang w:eastAsia="zh-CN"/>
              </w:rPr>
              <w:t xml:space="preserve">）</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26"/>
              <w:jc w:val="center"/>
              <w:pageBreakBefore w:val="0"/>
              <w:rPr>
                <w:rFonts w:hint="eastAsia" w:eastAsia="宋体"/>
                <w:color w:val="000000"/>
                <w:highlight w:val="none"/>
                <w:lang w:eastAsia="zh-CN"/>
              </w:rPr>
            </w:pPr>
            <w:r>
              <w:rPr>
                <w:rFonts w:hint="eastAsia"/>
                <w:color w:val="000000"/>
                <w:highlight w:val="none"/>
                <w:lang w:val="en-US" w:eastAsia="zh-CN"/>
              </w:rPr>
              <w:t xml:space="preserve">备注</w:t>
            </w:r>
            <w:r>
              <w:rPr>
                <w:rFonts w:hint="eastAsia" w:eastAsia="宋体"/>
                <w:color w:val="000000"/>
                <w:highlight w:val="none"/>
                <w:lang w:eastAsia="zh-CN"/>
              </w:rPr>
            </w:r>
            <w:r/>
          </w:p>
        </w:tc>
      </w:tr>
      <w:tr>
        <w:trPr>
          <w:trHeight w:val="505"/>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pStyle w:val="826"/>
              <w:numPr>
                <w:ilvl w:val="0"/>
                <w:numId w:val="20"/>
              </w:numPr>
              <w:ind w:left="425" w:hanging="425"/>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6"/>
              <w:jc w:val="center"/>
              <w:pageBreakBefore w:val="0"/>
              <w:rPr>
                <w:rFonts w:hint="eastAsia"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26"/>
              <w:jc w:val="center"/>
              <w:keepLines w:val="0"/>
              <w:keepNext w:val="0"/>
              <w:pageBreakBefore w:val="0"/>
              <w:widowControl w:val="off"/>
              <w:rPr>
                <w:rFonts w:eastAsia="宋体"/>
                <w:color w:val="000000"/>
                <w:highlight w:val="none"/>
                <w:lang w:val="en-US" w:eastAsia="zh-CN"/>
              </w:rPr>
            </w:pP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826"/>
              <w:jc w:val="center"/>
              <w:keepLines w:val="0"/>
              <w:keepNext w:val="0"/>
              <w:pageBreakBefore w:val="0"/>
              <w:widowControl w:val="off"/>
              <w:rPr>
                <w:rFonts w:eastAsia="宋体"/>
                <w:color w:val="000000"/>
                <w:highlight w:val="none"/>
                <w:lang w:val="en-US" w:eastAsia="zh-CN"/>
              </w:rPr>
            </w:pP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26"/>
              <w:jc w:val="center"/>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826"/>
              <w:jc w:val="center"/>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26"/>
              <w:jc w:val="center"/>
              <w:keepLines w:val="0"/>
              <w:keepNext w:val="0"/>
              <w:pageBreakBefore w:val="0"/>
              <w:widowControl w:val="off"/>
              <w:rPr>
                <w:color w:val="000000"/>
                <w:highlight w:val="none"/>
              </w:rPr>
            </w:pPr>
            <w:r>
              <w:rPr>
                <w:color w:val="000000"/>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pStyle w:val="826"/>
              <w:numPr>
                <w:ilvl w:val="0"/>
                <w:numId w:val="20"/>
              </w:numPr>
              <w:ind w:left="425" w:hanging="425"/>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6"/>
              <w:jc w:val="center"/>
              <w:pageBreakBefore w:val="0"/>
              <w:rPr>
                <w:rFonts w:hint="eastAsia" w:eastAsia="宋体"/>
                <w:color w:val="000000"/>
                <w:highlight w:val="none"/>
                <w:lang w:val="en-US" w:eastAsia="zh-CN"/>
              </w:rPr>
            </w:pPr>
            <w:r>
              <w:rPr>
                <w:rFonts w:hint="eastAsia"/>
                <w:color w:val="000000"/>
                <w:highlight w:val="none"/>
                <w:lang w:val="en-US" w:eastAsia="zh-CN"/>
              </w:rPr>
              <w:t xml:space="preserve">……</w:t>
            </w:r>
            <w:r>
              <w:rPr>
                <w:rFonts w:hint="eastAsia"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26"/>
              <w:jc w:val="center"/>
              <w:keepLines w:val="0"/>
              <w:keepNext w:val="0"/>
              <w:pageBreakBefore w:val="0"/>
              <w:widowControl w:val="off"/>
              <w:rPr>
                <w:color w:val="000000"/>
                <w:highlight w:val="none"/>
                <w:lang w:val="en-US" w:eastAsia="zh-CN"/>
              </w:rPr>
            </w:pPr>
            <w:r>
              <w:rPr>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pStyle w:val="826"/>
              <w:jc w:val="center"/>
              <w:keepLines w:val="0"/>
              <w:keepNext w:val="0"/>
              <w:pageBreakBefore w:val="0"/>
              <w:widowControl w:val="off"/>
              <w:rPr>
                <w:rFonts w:eastAsia="宋体"/>
                <w:color w:val="000000"/>
                <w:highlight w:val="none"/>
                <w:lang w:val="en-US" w:eastAsia="zh-CN"/>
              </w:rPr>
            </w:pP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26"/>
              <w:jc w:val="center"/>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826"/>
              <w:jc w:val="center"/>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26"/>
              <w:jc w:val="center"/>
              <w:keepLines w:val="0"/>
              <w:keepNext w:val="0"/>
              <w:pageBreakBefore w:val="0"/>
              <w:widowControl w:val="off"/>
              <w:rPr>
                <w:color w:val="000000"/>
                <w:highlight w:val="none"/>
              </w:rPr>
            </w:pPr>
            <w:r>
              <w:rPr>
                <w:color w:val="000000"/>
                <w:highlight w:val="none"/>
              </w:rPr>
            </w:r>
            <w:r/>
          </w:p>
        </w:tc>
      </w:tr>
      <w:tr>
        <w:trPr>
          <w:trHeight w:val="410" w:hRule="exact"/>
        </w:trPr>
        <w:tc>
          <w:tcPr>
            <w:gridSpan w:val="4"/>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pStyle w:val="826"/>
              <w:pageBreakBefore w:val="0"/>
              <w:rPr>
                <w:rFonts w:hint="eastAsia" w:eastAsia="宋体"/>
                <w:color w:val="000000"/>
                <w:highlight w:val="none"/>
                <w:lang w:eastAsia="zh-CN"/>
              </w:rPr>
            </w:pPr>
            <w:r>
              <w:rPr>
                <w:rFonts w:hint="eastAsia"/>
                <w:color w:val="000000"/>
                <w:highlight w:val="none"/>
              </w:rPr>
              <w:t xml:space="preserve">质保期满后的维保费用报价</w:t>
            </w:r>
            <w:r>
              <w:rPr>
                <w:rFonts w:hint="eastAsia"/>
                <w:color w:val="000000"/>
                <w:highlight w:val="none"/>
                <w:lang w:eastAsia="zh-CN"/>
              </w:rPr>
              <w:t xml:space="preserve">：</w:t>
            </w:r>
            <w:r>
              <w:rPr>
                <w:rFonts w:hint="eastAsia" w:ascii="宋体" w:hAnsi="宋体" w:eastAsia="宋体" w:cs="宋体"/>
                <w:color w:val="000000"/>
                <w:sz w:val="21"/>
                <w:szCs w:val="21"/>
                <w:highlight w:val="none"/>
              </w:rPr>
              <w:t xml:space="preserve">（人民币：元）</w:t>
            </w:r>
            <w:r>
              <w:rPr>
                <w:rFonts w:hint="eastAsia" w:eastAsia="宋体"/>
                <w:color w:val="000000"/>
                <w:highlight w:val="none"/>
                <w:lang w:eastAsia="zh-CN"/>
              </w:rPr>
            </w:r>
            <w:r/>
          </w:p>
        </w:tc>
        <w:tc>
          <w:tcPr>
            <w:gridSpan w:val="3"/>
            <w:tcBorders>
              <w:top w:val="single" w:color="000000" w:sz="4" w:space="0"/>
              <w:left w:val="single" w:color="000000" w:sz="4" w:space="0"/>
              <w:bottom w:val="single" w:color="000000" w:sz="4" w:space="0"/>
              <w:right w:val="single" w:color="000000" w:sz="4" w:space="0"/>
            </w:tcBorders>
            <w:tcW w:w="4951" w:type="dxa"/>
            <w:vAlign w:val="center"/>
            <w:textDirection w:val="lrTb"/>
            <w:noWrap w:val="false"/>
          </w:tcPr>
          <w:p>
            <w:pPr>
              <w:pStyle w:val="826"/>
              <w:pageBreakBefore w:val="0"/>
              <w:rPr>
                <w:color w:val="000000"/>
                <w:highlight w:val="none"/>
              </w:rPr>
            </w:pPr>
            <w:r>
              <w:rPr>
                <w:color w:val="000000"/>
                <w:highlight w:val="none"/>
              </w:rPr>
            </w:r>
            <w:r/>
          </w:p>
        </w:tc>
      </w:tr>
    </w:tbl>
    <w:p>
      <w:pPr>
        <w:pStyle w:val="826"/>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1.不参与价格计算，仅作为后续维保协议签订的参考依据。</w:t>
      </w:r>
      <w:r>
        <w:rPr>
          <w:rFonts w:hint="eastAsia" w:ascii="宋体" w:hAnsi="宋体" w:eastAsia="宋体" w:cs="宋体"/>
          <w:color w:val="000000"/>
          <w:szCs w:val="21"/>
          <w:highlight w:val="none"/>
          <w:lang w:val="en-US" w:eastAsia="zh-CN"/>
        </w:rPr>
      </w:r>
      <w:r/>
    </w:p>
    <w:p>
      <w:pPr>
        <w:pStyle w:val="914"/>
        <w:rPr>
          <w:rFonts w:hint="eastAsia"/>
          <w:color w:val="000000"/>
          <w:highlight w:val="none"/>
          <w:lang w:val="en-US" w:eastAsia="zh-CN"/>
        </w:rPr>
      </w:pPr>
      <w:r>
        <w:rPr>
          <w:rFonts w:hint="eastAsia"/>
          <w:color w:val="000000"/>
          <w:highlight w:val="none"/>
          <w:lang w:val="en-US" w:eastAsia="zh-CN"/>
        </w:rPr>
      </w:r>
      <w:r/>
    </w:p>
    <w:p>
      <w:pPr>
        <w:pStyle w:val="914"/>
        <w:rPr>
          <w:rFonts w:hint="eastAsia" w:ascii="宋体" w:hAnsi="宋体" w:cs="宋体"/>
          <w:b/>
          <w:bCs/>
          <w:color w:val="000000"/>
          <w:highlight w:val="none"/>
        </w:rPr>
      </w:pPr>
      <w:r>
        <w:rPr>
          <w:rFonts w:hint="eastAsia" w:ascii="宋体" w:hAnsi="宋体" w:cs="宋体"/>
          <w:b/>
          <w:bCs/>
          <w:color w:val="000000"/>
          <w:highlight w:val="none"/>
        </w:rPr>
      </w:r>
      <w:r/>
    </w:p>
    <w:p>
      <w:pPr>
        <w:pStyle w:val="914"/>
        <w:rPr>
          <w:rFonts w:hint="eastAsia" w:ascii="宋体" w:hAnsi="宋体" w:cs="宋体"/>
          <w:b/>
          <w:bCs/>
          <w:color w:val="000000"/>
          <w:highlight w:val="none"/>
        </w:rPr>
      </w:pPr>
      <w:r>
        <w:rPr>
          <w:rFonts w:hint="eastAsia" w:ascii="宋体" w:hAnsi="宋体" w:cs="宋体"/>
          <w:b/>
          <w:bCs/>
          <w:color w:val="000000"/>
          <w:highlight w:val="none"/>
        </w:rPr>
      </w:r>
      <w:r/>
    </w:p>
    <w:p>
      <w:pPr>
        <w:pStyle w:val="914"/>
        <w:rPr>
          <w:rFonts w:hint="eastAsia" w:ascii="宋体" w:hAnsi="宋体" w:cs="宋体"/>
          <w:b/>
          <w:bCs/>
          <w:color w:val="000000"/>
          <w:highlight w:val="none"/>
        </w:rPr>
      </w:pPr>
      <w:r>
        <w:rPr>
          <w:rFonts w:hint="eastAsia" w:ascii="宋体" w:hAnsi="宋体" w:cs="宋体"/>
          <w:b/>
          <w:bCs/>
          <w:color w:val="000000"/>
          <w:highlight w:val="none"/>
        </w:rPr>
      </w:r>
      <w:r/>
    </w:p>
    <w:p>
      <w:pPr>
        <w:pStyle w:val="914"/>
        <w:rPr>
          <w:rFonts w:hint="eastAsia" w:ascii="宋体" w:hAnsi="宋体" w:cs="宋体"/>
          <w:b/>
          <w:bCs/>
          <w:color w:val="000000"/>
          <w:highlight w:val="none"/>
        </w:rPr>
      </w:pPr>
      <w:r>
        <w:rPr>
          <w:rFonts w:hint="eastAsia" w:ascii="宋体" w:hAnsi="宋体" w:cs="宋体"/>
          <w:b/>
          <w:bCs/>
          <w:color w:val="000000"/>
          <w:highlight w:val="none"/>
        </w:rPr>
      </w:r>
      <w:r/>
    </w:p>
    <w:p>
      <w:pPr>
        <w:pStyle w:val="914"/>
        <w:rPr>
          <w:rFonts w:hint="eastAsia" w:ascii="宋体" w:hAnsi="宋体" w:cs="宋体"/>
          <w:b/>
          <w:bCs/>
          <w:color w:val="000000"/>
          <w:highlight w:val="none"/>
        </w:rPr>
      </w:pPr>
      <w:r>
        <w:rPr>
          <w:rFonts w:hint="eastAsia" w:ascii="宋体" w:hAnsi="宋体" w:cs="宋体"/>
          <w:b/>
          <w:bCs/>
          <w:color w:val="000000"/>
          <w:highlight w:val="none"/>
        </w:rPr>
      </w:r>
      <w:r/>
    </w:p>
    <w:p>
      <w:pPr>
        <w:pStyle w:val="1100"/>
        <w:rPr>
          <w:rFonts w:hint="eastAsia" w:ascii="宋体" w:hAnsi="宋体" w:eastAsia="宋体" w:cs="宋体"/>
          <w:color w:val="000000"/>
          <w:sz w:val="21"/>
          <w:szCs w:val="21"/>
          <w:highlight w:val="none"/>
          <w:lang w:eastAsia="zh-CN"/>
        </w:rPr>
      </w:pPr>
      <w:r/>
      <w:bookmarkStart w:id="98" w:name="_Toc9678"/>
      <w:r/>
      <w:bookmarkStart w:id="99" w:name="_Toc20473"/>
      <w:r/>
      <w:bookmarkStart w:id="100" w:name="_Toc16517"/>
      <w:r/>
      <w:bookmarkStart w:id="101" w:name="_Toc10043"/>
      <w:r/>
      <w:bookmarkStart w:id="102" w:name="_Toc5967"/>
      <w:r/>
      <w:bookmarkStart w:id="103" w:name="_Toc4598"/>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六、</w:t>
      </w:r>
      <w:bookmarkEnd w:id="98"/>
      <w:r/>
      <w:bookmarkEnd w:id="99"/>
      <w:r/>
      <w:bookmarkEnd w:id="100"/>
      <w:r/>
      <w:bookmarkEnd w:id="101"/>
      <w:r/>
      <w:bookmarkEnd w:id="102"/>
      <w:r/>
      <w:bookmarkEnd w:id="103"/>
      <w:r>
        <w:rPr>
          <w:rFonts w:hint="eastAsia" w:ascii="宋体" w:hAnsi="宋体" w:eastAsia="宋体" w:cs="宋体"/>
          <w:color w:val="000000"/>
          <w:sz w:val="21"/>
          <w:szCs w:val="21"/>
          <w:highlight w:val="none"/>
          <w:lang w:eastAsia="zh-CN"/>
        </w:rPr>
        <w:t xml:space="preserve">技术要求响应及偏离表</w:t>
      </w:r>
      <w:r>
        <w:rPr>
          <w:rFonts w:hint="eastAsia" w:ascii="宋体" w:hAnsi="宋体" w:eastAsia="宋体" w:cs="宋体"/>
          <w:color w:val="000000"/>
          <w:sz w:val="21"/>
          <w:szCs w:val="21"/>
          <w:highlight w:val="none"/>
          <w:lang w:eastAsia="zh-CN"/>
        </w:rPr>
      </w:r>
      <w:r/>
    </w:p>
    <w:tbl>
      <w:tblPr>
        <w:tblW w:w="492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pStyle w:val="8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3124" w:type="dxa"/>
            <w:vAlign w:val="center"/>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技术要求</w:t>
            </w:r>
            <w:r>
              <w:rPr>
                <w:rFonts w:hint="eastAsia" w:ascii="宋体" w:hAnsi="宋体" w:cs="宋体"/>
                <w:color w:val="000000"/>
                <w:szCs w:val="21"/>
                <w:highlight w:val="none"/>
              </w:rPr>
            </w:r>
            <w:r/>
          </w:p>
        </w:tc>
        <w:tc>
          <w:tcPr>
            <w:tcW w:w="3059" w:type="dxa"/>
            <w:vAlign w:val="center"/>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投标响应情况</w:t>
            </w:r>
            <w:r>
              <w:rPr>
                <w:rFonts w:hint="eastAsia" w:ascii="宋体" w:hAnsi="宋体" w:cs="宋体"/>
                <w:color w:val="000000"/>
                <w:szCs w:val="21"/>
                <w:highlight w:val="none"/>
              </w:rPr>
            </w:r>
            <w:r/>
          </w:p>
        </w:tc>
        <w:tc>
          <w:tcPr>
            <w:tcW w:w="2033" w:type="dxa"/>
            <w:vAlign w:val="center"/>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r>
      <w:tr>
        <w:trPr>
          <w:cantSplit/>
          <w:trHeight w:val="582"/>
        </w:trPr>
        <w:tc>
          <w:tcPr>
            <w:tcW w:w="1202" w:type="dxa"/>
            <w:vAlign w:val="top"/>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3124" w:type="dxa"/>
            <w:vAlign w:val="top"/>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3059" w:type="dxa"/>
            <w:vAlign w:val="top"/>
            <w:textDirection w:val="lrTb"/>
            <w:noWrap w:val="false"/>
          </w:tcPr>
          <w:p>
            <w:pPr>
              <w:pStyle w:val="82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top"/>
            <w:textDirection w:val="lrTb"/>
            <w:noWrap w:val="false"/>
          </w:tcPr>
          <w:p>
            <w:pPr>
              <w:pStyle w:val="82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82"/>
        </w:trPr>
        <w:tc>
          <w:tcPr>
            <w:tcW w:w="1202" w:type="dxa"/>
            <w:vAlign w:val="top"/>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3124" w:type="dxa"/>
            <w:vAlign w:val="top"/>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3059" w:type="dxa"/>
            <w:vAlign w:val="top"/>
            <w:textDirection w:val="lrTb"/>
            <w:noWrap w:val="false"/>
          </w:tcPr>
          <w:p>
            <w:pPr>
              <w:pStyle w:val="82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top"/>
            <w:textDirection w:val="lrTb"/>
            <w:noWrap w:val="false"/>
          </w:tcPr>
          <w:p>
            <w:pPr>
              <w:pStyle w:val="82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6"/>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证明材料1，证明材料2，……</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1.投标人需对技术要求（未加斜体下划线的非实质性要求）逐条做出明确响应。</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2.如果招标文件要求提供证明材料，投标人需将证明材料列于该表之下。</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26"/>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00"/>
        <w:rPr>
          <w:rFonts w:hint="eastAsia" w:ascii="宋体" w:hAnsi="宋体" w:eastAsia="宋体" w:cs="宋体"/>
          <w:color w:val="000000"/>
          <w:sz w:val="21"/>
          <w:szCs w:val="21"/>
          <w:highlight w:val="none"/>
        </w:rPr>
      </w:pPr>
      <w:r/>
      <w:bookmarkStart w:id="104" w:name="_Hlt26955054"/>
      <w:r/>
      <w:bookmarkEnd w:id="104"/>
      <w:r/>
      <w:bookmarkStart w:id="105" w:name="_Toc16820"/>
      <w:r/>
      <w:bookmarkStart w:id="106" w:name="_Toc32154"/>
      <w:r/>
      <w:bookmarkStart w:id="107" w:name="_Toc9869"/>
      <w:r>
        <w:rPr>
          <w:rFonts w:hint="eastAsia" w:ascii="宋体" w:hAnsi="宋体" w:eastAsia="宋体" w:cs="宋体"/>
          <w:color w:val="000000"/>
          <w:sz w:val="21"/>
          <w:szCs w:val="21"/>
          <w:highlight w:val="none"/>
        </w:rPr>
        <w:t xml:space="preserve">七、</w:t>
      </w:r>
      <w:bookmarkEnd w:id="105"/>
      <w:r/>
      <w:bookmarkEnd w:id="106"/>
      <w:r>
        <w:rPr>
          <w:rFonts w:hint="eastAsia" w:ascii="宋体" w:hAnsi="宋体" w:eastAsia="宋体" w:cs="宋体"/>
          <w:color w:val="000000"/>
          <w:sz w:val="21"/>
          <w:szCs w:val="21"/>
          <w:highlight w:val="none"/>
        </w:rPr>
        <w:t xml:space="preserve">商务要求响应及偏离表</w:t>
      </w:r>
      <w:bookmarkEnd w:id="107"/>
      <w:r>
        <w:rPr>
          <w:rFonts w:hint="eastAsia" w:ascii="宋体" w:hAnsi="宋体" w:eastAsia="宋体" w:cs="宋体"/>
          <w:color w:val="000000"/>
          <w:sz w:val="21"/>
          <w:szCs w:val="21"/>
          <w:highlight w:val="none"/>
        </w:rPr>
      </w:r>
      <w:r/>
    </w:p>
    <w:tbl>
      <w:tblPr>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bookmarkStart w:id="108" w:name="_Hlt26580838"/>
            <w:r/>
            <w:bookmarkEnd w:id="108"/>
            <w:r/>
            <w:bookmarkStart w:id="109" w:name="_Hlt26955056"/>
            <w:r/>
            <w:bookmarkEnd w:id="109"/>
            <w:r/>
            <w:bookmarkStart w:id="110" w:name="_Hlt26671343"/>
            <w:r/>
            <w:bookmarkEnd w:id="110"/>
            <w:r/>
            <w:bookmarkStart w:id="111" w:name="_Hlt24879081"/>
            <w:r/>
            <w:bookmarkEnd w:id="111"/>
            <w:r/>
            <w:bookmarkStart w:id="112" w:name="_Hlt26782999"/>
            <w:r/>
            <w:bookmarkEnd w:id="112"/>
            <w:r/>
            <w:bookmarkStart w:id="113" w:name="_Hlt26609391"/>
            <w:r/>
            <w:bookmarkEnd w:id="113"/>
            <w:r/>
            <w:bookmarkStart w:id="114" w:name="_Hlt26671372"/>
            <w:r/>
            <w:bookmarkEnd w:id="114"/>
            <w:r/>
            <w:bookmarkStart w:id="115" w:name="_Hlt26955064"/>
            <w:r/>
            <w:bookmarkEnd w:id="115"/>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411" w:type="dxa"/>
            <w:vAlign w:val="center"/>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商务要求</w:t>
            </w:r>
            <w:r>
              <w:rPr>
                <w:rFonts w:hint="eastAsia" w:ascii="宋体" w:hAnsi="宋体" w:cs="宋体"/>
                <w:color w:val="000000"/>
                <w:szCs w:val="21"/>
                <w:highlight w:val="none"/>
              </w:rPr>
            </w:r>
            <w:r/>
          </w:p>
        </w:tc>
        <w:tc>
          <w:tcPr>
            <w:tcW w:w="2046" w:type="dxa"/>
            <w:vAlign w:val="center"/>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投标响应情况</w:t>
            </w:r>
            <w:r>
              <w:rPr>
                <w:rFonts w:hint="eastAsia" w:ascii="宋体" w:hAnsi="宋体" w:cs="宋体"/>
                <w:color w:val="000000"/>
                <w:szCs w:val="21"/>
                <w:highlight w:val="none"/>
              </w:rPr>
            </w:r>
            <w:r/>
          </w:p>
        </w:tc>
        <w:tc>
          <w:tcPr>
            <w:tcW w:w="2911" w:type="dxa"/>
            <w:vAlign w:val="center"/>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r>
      <w:tr>
        <w:trPr>
          <w:trHeight w:val="690"/>
        </w:trPr>
        <w:tc>
          <w:tcPr>
            <w:tcW w:w="2199" w:type="dxa"/>
            <w:vAlign w:val="top"/>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411" w:type="dxa"/>
            <w:vAlign w:val="top"/>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2046" w:type="dxa"/>
            <w:vAlign w:val="center"/>
            <w:textDirection w:val="lrTb"/>
            <w:noWrap w:val="false"/>
          </w:tcPr>
          <w:p>
            <w:pPr>
              <w:pStyle w:val="826"/>
              <w:spacing w:before="156"/>
              <w:rPr>
                <w:rFonts w:hint="eastAsia" w:ascii="宋体" w:hAnsi="宋体" w:cs="宋体"/>
                <w:color w:val="000000"/>
                <w:szCs w:val="21"/>
                <w:highlight w:val="none"/>
              </w:rPr>
            </w:pPr>
            <w:r>
              <w:rPr>
                <w:rFonts w:hint="eastAsia" w:ascii="宋体" w:hAnsi="宋体" w:cs="宋体"/>
                <w:color w:val="000000"/>
                <w:szCs w:val="21"/>
                <w:highlight w:val="none"/>
              </w:rPr>
            </w:r>
            <w:r/>
          </w:p>
        </w:tc>
        <w:tc>
          <w:tcPr>
            <w:tcW w:w="2911" w:type="dxa"/>
            <w:vAlign w:val="center"/>
            <w:textDirection w:val="lrTb"/>
            <w:noWrap w:val="false"/>
          </w:tcPr>
          <w:p>
            <w:pPr>
              <w:pStyle w:val="826"/>
              <w:spacing w:before="156"/>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0"/>
        </w:trPr>
        <w:tc>
          <w:tcPr>
            <w:tcW w:w="2199" w:type="dxa"/>
            <w:vAlign w:val="top"/>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2411" w:type="dxa"/>
            <w:vAlign w:val="top"/>
            <w:textDirection w:val="lrTb"/>
            <w:noWrap w:val="false"/>
          </w:tcPr>
          <w:p>
            <w:pPr>
              <w:pStyle w:val="826"/>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46" w:type="dxa"/>
            <w:vAlign w:val="center"/>
            <w:textDirection w:val="lrTb"/>
            <w:noWrap w:val="false"/>
          </w:tcPr>
          <w:p>
            <w:pPr>
              <w:pStyle w:val="826"/>
              <w:spacing w:before="156"/>
              <w:rPr>
                <w:rFonts w:hint="eastAsia" w:ascii="宋体" w:hAnsi="宋体" w:cs="宋体"/>
                <w:color w:val="000000"/>
                <w:szCs w:val="21"/>
                <w:highlight w:val="none"/>
              </w:rPr>
            </w:pPr>
            <w:r>
              <w:rPr>
                <w:rFonts w:hint="eastAsia" w:ascii="宋体" w:hAnsi="宋体" w:cs="宋体"/>
                <w:color w:val="000000"/>
                <w:szCs w:val="21"/>
                <w:highlight w:val="none"/>
              </w:rPr>
            </w:r>
            <w:r/>
          </w:p>
        </w:tc>
        <w:tc>
          <w:tcPr>
            <w:tcW w:w="2911" w:type="dxa"/>
            <w:vAlign w:val="center"/>
            <w:textDirection w:val="lrTb"/>
            <w:noWrap w:val="false"/>
          </w:tcPr>
          <w:p>
            <w:pPr>
              <w:pStyle w:val="826"/>
              <w:spacing w:before="156"/>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6"/>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证明材料1，证明材料2，……</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1.投标人需对</w:t>
      </w:r>
      <w:r>
        <w:rPr>
          <w:rFonts w:hint="eastAsia" w:ascii="宋体" w:hAnsi="宋体" w:cs="宋体"/>
          <w:color w:val="000000"/>
          <w:szCs w:val="21"/>
          <w:highlight w:val="none"/>
          <w:lang w:val="en-US" w:eastAsia="zh-CN"/>
        </w:rPr>
        <w:t xml:space="preserve">商务</w:t>
      </w:r>
      <w:r>
        <w:rPr>
          <w:rFonts w:hint="eastAsia" w:ascii="宋体" w:hAnsi="宋体" w:cs="宋体"/>
          <w:color w:val="000000"/>
          <w:szCs w:val="21"/>
          <w:highlight w:val="none"/>
        </w:rPr>
        <w:t xml:space="preserve">要求（未加斜体下划线的非实质性要求）逐条做出明确响应。</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2.如果招标文件要求提供证明材料，投标人需将证明材料列于该表之下。</w:t>
      </w:r>
      <w:r>
        <w:rPr>
          <w:rFonts w:hint="eastAsia" w:ascii="宋体" w:hAnsi="宋体" w:cs="宋体"/>
          <w:color w:val="000000"/>
          <w:szCs w:val="21"/>
          <w:highlight w:val="none"/>
        </w:rPr>
      </w:r>
      <w:r/>
    </w:p>
    <w:p>
      <w:pPr>
        <w:pStyle w:val="826"/>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numPr>
          <w:ilvl w:val="0"/>
          <w:numId w:val="0"/>
        </w:numPr>
        <w:ind w:firstLine="0"/>
        <w:jc w:val="center"/>
        <w:rPr>
          <w:rFonts w:hint="eastAsia" w:ascii="宋体" w:hAnsi="宋体" w:cs="宋体"/>
          <w:b/>
          <w:bCs/>
          <w:color w:val="000000"/>
          <w:sz w:val="21"/>
          <w:szCs w:val="21"/>
          <w:highlight w:val="none"/>
          <w:lang w:val="en-US" w:eastAsia="zh-CN" w:bidi="ar-SA"/>
        </w:rPr>
      </w:pPr>
      <w:r/>
      <w:bookmarkStart w:id="116" w:name="_Hlt26955066"/>
      <w:r/>
      <w:bookmarkEnd w:id="116"/>
      <w:r/>
      <w:bookmarkStart w:id="117" w:name="_Hlt26609389"/>
      <w:r/>
      <w:bookmarkEnd w:id="117"/>
      <w:r/>
      <w:bookmarkStart w:id="118" w:name="_Hlt26671374"/>
      <w:r/>
      <w:bookmarkEnd w:id="118"/>
      <w:r/>
      <w:bookmarkStart w:id="119" w:name="_Toc462564146"/>
      <w:r>
        <w:rPr>
          <w:rFonts w:hint="eastAsia" w:ascii="宋体" w:hAnsi="宋体" w:cs="宋体"/>
          <w:b/>
          <w:bCs/>
          <w:color w:val="000000"/>
          <w:sz w:val="21"/>
          <w:szCs w:val="21"/>
          <w:highlight w:val="none"/>
          <w:lang w:val="en-US" w:eastAsia="zh-CN" w:bidi="ar-SA"/>
        </w:rPr>
        <w:t xml:space="preserve">八、供货一览表</w:t>
      </w:r>
      <w:r>
        <w:rPr>
          <w:rFonts w:hint="eastAsia" w:ascii="宋体" w:hAnsi="宋体" w:cs="宋体"/>
          <w:b/>
          <w:bCs/>
          <w:color w:val="000000"/>
          <w:sz w:val="21"/>
          <w:szCs w:val="21"/>
          <w:highlight w:val="none"/>
          <w:lang w:val="en-US" w:eastAsia="zh-CN" w:bidi="ar-SA"/>
        </w:rPr>
      </w:r>
      <w:r/>
    </w:p>
    <w:p>
      <w:pPr>
        <w:pStyle w:val="1107"/>
        <w:numPr>
          <w:ilvl w:val="0"/>
          <w:numId w:val="0"/>
        </w:numPr>
        <w:ind w:firstLine="0"/>
        <w:jc w:val="center"/>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r>
      <w:r/>
    </w:p>
    <w:tbl>
      <w:tblPr>
        <w:tblW w:w="95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163"/>
        <w:gridCol w:w="701"/>
        <w:gridCol w:w="1165"/>
        <w:gridCol w:w="1392"/>
        <w:gridCol w:w="701"/>
        <w:gridCol w:w="1869"/>
        <w:gridCol w:w="701"/>
        <w:gridCol w:w="1165"/>
      </w:tblGrid>
      <w:tr>
        <w:trPr>
          <w:trHeight w:val="668"/>
          <w:tblHeader/>
        </w:trPr>
        <w:tc>
          <w:tcPr>
            <w:tcW w:w="700"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65"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产品名称</w:t>
            </w:r>
            <w:r>
              <w:rPr>
                <w:rFonts w:hint="eastAsia" w:ascii="宋体" w:hAnsi="宋体" w:eastAsia="宋体" w:cs="宋体"/>
                <w:b/>
                <w:color w:val="000000"/>
                <w:sz w:val="21"/>
                <w:szCs w:val="21"/>
                <w:highlight w:val="none"/>
                <w:lang w:val="en-US" w:eastAsia="zh-CN" w:bidi="ar-SA"/>
              </w:rPr>
            </w:r>
            <w:r/>
          </w:p>
        </w:tc>
        <w:tc>
          <w:tcPr>
            <w:tcW w:w="701"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品牌</w:t>
            </w:r>
            <w:r>
              <w:rPr>
                <w:rFonts w:hint="eastAsia" w:ascii="宋体" w:hAnsi="宋体" w:eastAsia="宋体" w:cs="宋体"/>
                <w:b/>
                <w:color w:val="000000"/>
                <w:sz w:val="21"/>
                <w:szCs w:val="21"/>
                <w:highlight w:val="none"/>
                <w:lang w:val="en-US" w:eastAsia="zh-CN" w:bidi="ar-SA"/>
              </w:rPr>
            </w:r>
            <w:r/>
          </w:p>
        </w:tc>
        <w:tc>
          <w:tcPr>
            <w:tcW w:w="1166"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规格型号</w:t>
            </w:r>
            <w:r>
              <w:rPr>
                <w:rFonts w:hint="eastAsia" w:ascii="宋体" w:hAnsi="宋体" w:eastAsia="宋体" w:cs="宋体"/>
                <w:b/>
                <w:color w:val="000000"/>
                <w:sz w:val="21"/>
                <w:szCs w:val="21"/>
                <w:highlight w:val="none"/>
                <w:lang w:val="en-US" w:eastAsia="zh-CN" w:bidi="ar-SA"/>
              </w:rPr>
            </w:r>
            <w:r/>
          </w:p>
        </w:tc>
        <w:tc>
          <w:tcPr>
            <w:tcW w:w="1393"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制造商名称</w:t>
            </w:r>
            <w:r>
              <w:rPr>
                <w:rFonts w:hint="eastAsia" w:ascii="宋体" w:hAnsi="宋体" w:eastAsia="宋体" w:cs="宋体"/>
                <w:b/>
                <w:color w:val="000000"/>
                <w:sz w:val="21"/>
                <w:szCs w:val="21"/>
                <w:highlight w:val="none"/>
                <w:lang w:val="en-US" w:eastAsia="zh-CN" w:bidi="ar-SA"/>
              </w:rPr>
            </w:r>
            <w:r/>
          </w:p>
        </w:tc>
        <w:tc>
          <w:tcPr>
            <w:tcW w:w="701"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产地</w:t>
            </w:r>
            <w:r>
              <w:rPr>
                <w:rFonts w:hint="eastAsia" w:ascii="宋体" w:hAnsi="宋体" w:eastAsia="宋体" w:cs="宋体"/>
                <w:b/>
                <w:color w:val="000000"/>
                <w:sz w:val="21"/>
                <w:szCs w:val="21"/>
                <w:highlight w:val="none"/>
                <w:lang w:val="en-US" w:eastAsia="zh-CN" w:bidi="ar-SA"/>
              </w:rPr>
            </w:r>
            <w:r/>
          </w:p>
        </w:tc>
        <w:tc>
          <w:tcPr>
            <w:tcW w:w="1871"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交付期</w:t>
            </w:r>
            <w:r>
              <w:rPr>
                <w:rFonts w:hint="eastAsia" w:ascii="宋体" w:hAnsi="宋体" w:eastAsia="宋体" w:cs="宋体"/>
                <w:b/>
                <w:color w:val="000000"/>
                <w:sz w:val="21"/>
                <w:szCs w:val="21"/>
                <w:highlight w:val="none"/>
                <w:lang w:val="en-US" w:eastAsia="zh-CN" w:bidi="ar-SA"/>
              </w:rPr>
            </w:r>
            <w:r/>
          </w:p>
        </w:tc>
        <w:tc>
          <w:tcPr>
            <w:tcW w:w="701"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数量</w:t>
            </w:r>
            <w:r>
              <w:rPr>
                <w:rFonts w:hint="eastAsia" w:ascii="宋体" w:hAnsi="宋体" w:eastAsia="宋体" w:cs="宋体"/>
                <w:b/>
                <w:color w:val="000000"/>
                <w:sz w:val="21"/>
                <w:szCs w:val="21"/>
                <w:highlight w:val="none"/>
                <w:lang w:val="en-US" w:eastAsia="zh-CN" w:bidi="ar-SA"/>
              </w:rPr>
            </w:r>
            <w:r/>
          </w:p>
        </w:tc>
        <w:tc>
          <w:tcPr>
            <w:tcW w:w="1166" w:type="dxa"/>
            <w:vAlign w:val="center"/>
            <w:textDirection w:val="lrTb"/>
            <w:noWrap w:val="false"/>
          </w:tcPr>
          <w:p>
            <w:pPr>
              <w:pStyle w:val="826"/>
              <w:ind w:left="0" w:right="0" w:firstLine="0"/>
              <w:jc w:val="center"/>
              <w:keepLines w:val="0"/>
              <w:keepNext w:val="0"/>
              <w:pageBreakBefore w:val="0"/>
              <w:spacing w:line="240" w:lineRule="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参数要求</w:t>
            </w:r>
            <w:r>
              <w:rPr>
                <w:rFonts w:ascii="宋体" w:hAnsi="宋体" w:eastAsia="宋体" w:cs="宋体"/>
                <w:b/>
                <w:color w:val="000000"/>
                <w:sz w:val="21"/>
                <w:szCs w:val="21"/>
                <w:highlight w:val="none"/>
                <w:lang w:val="en-US" w:eastAsia="zh-CN"/>
              </w:rPr>
            </w:r>
            <w:r/>
          </w:p>
        </w:tc>
      </w:tr>
      <w:tr>
        <w:trPr>
          <w:trHeight w:val="692"/>
        </w:trPr>
        <w:tc>
          <w:tcPr>
            <w:tcW w:w="699"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1163"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64"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93"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71"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rPr>
              <w:t xml:space="preserve">合同签订后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u w:val="single"/>
                <w:lang w:val="en-US" w:eastAsia="zh-CN" w:bidi="ar-SA"/>
              </w:rPr>
            </w:r>
            <w:r/>
          </w:p>
        </w:tc>
        <w:tc>
          <w:tcPr>
            <w:tcW w:w="700"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6" w:type="dxa"/>
            <w:vAlign w:val="center"/>
            <w:textDirection w:val="lrTb"/>
            <w:noWrap w:val="false"/>
          </w:tcPr>
          <w:p>
            <w:pPr>
              <w:pStyle w:val="826"/>
              <w:ind w:left="0" w:righ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6"/>
        <w:spacing w:before="25" w:after="25"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107"/>
        <w:numPr>
          <w:ilvl w:val="0"/>
          <w:numId w:val="0"/>
        </w:numPr>
        <w:ind w:firstLine="0"/>
        <w:jc w:val="center"/>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r>
      <w:r/>
    </w:p>
    <w:p>
      <w:pPr>
        <w:pStyle w:val="1107"/>
        <w:numPr>
          <w:ilvl w:val="0"/>
          <w:numId w:val="0"/>
        </w:numPr>
        <w:ind w:firstLine="0"/>
        <w:jc w:val="center"/>
        <w:rPr>
          <w:rFonts w:ascii="宋体" w:hAnsi="宋体" w:cs="宋体"/>
          <w:b/>
          <w:bCs/>
          <w:color w:val="000000"/>
          <w:sz w:val="21"/>
          <w:szCs w:val="21"/>
          <w:highlight w:val="none"/>
          <w:lang w:val="en-US" w:eastAsia="zh-CN" w:bidi="ar-SA"/>
        </w:rPr>
      </w:pPr>
      <w:r>
        <w:rPr>
          <w:rFonts w:ascii="宋体" w:hAnsi="宋体" w:cs="宋体"/>
          <w:b/>
          <w:bCs/>
          <w:color w:val="000000"/>
          <w:sz w:val="21"/>
          <w:szCs w:val="21"/>
          <w:highlight w:val="none"/>
          <w:lang w:val="en-US" w:eastAsia="zh-CN" w:bidi="ar-SA"/>
        </w:rPr>
      </w:r>
      <w:r/>
    </w:p>
    <w:p>
      <w:pPr>
        <w:pStyle w:val="1107"/>
        <w:numPr>
          <w:ilvl w:val="0"/>
          <w:numId w:val="0"/>
        </w:numPr>
        <w:ind w:firstLine="0"/>
        <w:jc w:val="center"/>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Cs w:val="21"/>
          <w:highlight w:val="none"/>
        </w:rPr>
        <w:t xml:space="preserve">其他</w:t>
      </w:r>
      <w:r>
        <w:rPr>
          <w:rFonts w:hint="eastAsia" w:ascii="宋体" w:hAnsi="宋体" w:cs="宋体"/>
          <w:b/>
          <w:bCs/>
          <w:color w:val="000000"/>
          <w:szCs w:val="21"/>
          <w:highlight w:val="none"/>
          <w:lang w:val="en-US" w:eastAsia="zh-CN"/>
        </w:rPr>
        <w:t xml:space="preserve">证明材料</w:t>
      </w:r>
      <w:r>
        <w:rPr>
          <w:rFonts w:hint="eastAsia" w:ascii="宋体" w:hAnsi="宋体" w:cs="宋体"/>
          <w:b/>
          <w:bCs/>
          <w:color w:val="000000"/>
          <w:szCs w:val="21"/>
          <w:highlight w:val="none"/>
        </w:rPr>
      </w:r>
      <w:r/>
    </w:p>
    <w:p>
      <w:pPr>
        <w:pStyle w:val="1107"/>
        <w:numPr>
          <w:ilvl w:val="0"/>
          <w:numId w:val="0"/>
        </w:numPr>
        <w:jc w:val="both"/>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jc w:val="center"/>
        <w:spacing w:line="36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投标所需其他相关内容</w:t>
      </w:r>
      <w:r>
        <w:rPr>
          <w:rFonts w:hint="eastAsia" w:ascii="宋体" w:hAnsi="宋体" w:eastAsia="宋体" w:cs="宋体"/>
          <w:color w:val="000000"/>
          <w:szCs w:val="21"/>
          <w:highlight w:val="none"/>
          <w:lang w:val="en-US" w:eastAsia="zh-CN"/>
        </w:rPr>
      </w:r>
      <w:r/>
    </w:p>
    <w:p>
      <w:pPr>
        <w:pStyle w:val="826"/>
        <w:jc w:val="center"/>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（包括资格要求、评分标准、项目需求中涉及的证件证明及其它投标人认为有必要提供的资料）</w:t>
      </w:r>
      <w:r>
        <w:rPr>
          <w:rFonts w:hint="eastAsia" w:ascii="宋体" w:hAnsi="宋体" w:eastAsia="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0"/>
        <w:rPr>
          <w:rFonts w:hint="eastAsia" w:ascii="宋体" w:hAnsi="宋体" w:eastAsia="宋体" w:cs="宋体"/>
          <w:color w:val="000000"/>
          <w:sz w:val="21"/>
          <w:szCs w:val="21"/>
          <w:highlight w:val="none"/>
          <w:lang w:eastAsia="zh-CN"/>
        </w:rPr>
      </w:pPr>
      <w:r/>
      <w:bookmarkStart w:id="120" w:name="_Toc27674"/>
      <w:r>
        <w:rPr>
          <w:rFonts w:hint="eastAsia" w:ascii="宋体" w:hAnsi="宋体" w:eastAsia="宋体" w:cs="宋体"/>
          <w:color w:val="000000"/>
          <w:sz w:val="21"/>
          <w:szCs w:val="21"/>
          <w:highlight w:val="none"/>
        </w:rPr>
        <w:t xml:space="preserve">人员一览表</w:t>
      </w:r>
      <w:bookmarkEnd w:id="120"/>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bidi="ar-SA"/>
        </w:rPr>
        <w:t xml:space="preserve">格式仅供参考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846"/>
        <w:gridCol w:w="848"/>
        <w:gridCol w:w="913"/>
        <w:gridCol w:w="827"/>
        <w:gridCol w:w="1558"/>
        <w:gridCol w:w="974"/>
        <w:gridCol w:w="1795"/>
        <w:gridCol w:w="994"/>
      </w:tblGrid>
      <w:tr>
        <w:trPr>
          <w:trHeight w:val="781"/>
        </w:trPr>
        <w:tc>
          <w:tcPr>
            <w:tcW w:w="404" w:type="dxa"/>
            <w:vAlign w:val="center"/>
            <w:textDirection w:val="lrTb"/>
            <w:noWrap w:val="false"/>
          </w:tcPr>
          <w:p>
            <w:pPr>
              <w:pStyle w:val="826"/>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444" w:type="dxa"/>
            <w:vAlign w:val="center"/>
            <w:textDirection w:val="lrTb"/>
            <w:noWrap w:val="false"/>
          </w:tcPr>
          <w:p>
            <w:pPr>
              <w:pStyle w:val="826"/>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445" w:type="dxa"/>
            <w:vAlign w:val="center"/>
            <w:textDirection w:val="lrTb"/>
            <w:noWrap w:val="false"/>
          </w:tcPr>
          <w:p>
            <w:pPr>
              <w:pStyle w:val="826"/>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rPr>
            </w:r>
            <w:r/>
          </w:p>
        </w:tc>
        <w:tc>
          <w:tcPr>
            <w:tcW w:w="479" w:type="dxa"/>
            <w:vAlign w:val="center"/>
            <w:textDirection w:val="lrTb"/>
            <w:noWrap w:val="false"/>
          </w:tcPr>
          <w:p>
            <w:pPr>
              <w:pStyle w:val="826"/>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434" w:type="dxa"/>
            <w:vAlign w:val="center"/>
            <w:textDirection w:val="lrTb"/>
            <w:noWrap w:val="false"/>
          </w:tcPr>
          <w:p>
            <w:pPr>
              <w:pStyle w:val="826"/>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817" w:type="dxa"/>
            <w:vAlign w:val="center"/>
            <w:textDirection w:val="lrTb"/>
            <w:noWrap w:val="false"/>
          </w:tcPr>
          <w:p>
            <w:pPr>
              <w:pStyle w:val="826"/>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出生年月</w:t>
            </w:r>
            <w:r>
              <w:rPr>
                <w:rFonts w:hint="eastAsia" w:ascii="宋体" w:hAnsi="宋体" w:cs="宋体"/>
                <w:color w:val="000000"/>
                <w:szCs w:val="21"/>
                <w:highlight w:val="none"/>
              </w:rPr>
            </w:r>
            <w:r/>
          </w:p>
        </w:tc>
        <w:tc>
          <w:tcPr>
            <w:tcW w:w="511" w:type="dxa"/>
            <w:vAlign w:val="center"/>
            <w:textDirection w:val="lrTb"/>
            <w:noWrap w:val="false"/>
          </w:tcPr>
          <w:p>
            <w:pPr>
              <w:pStyle w:val="826"/>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专业</w:t>
            </w:r>
            <w:r>
              <w:rPr>
                <w:rFonts w:hint="eastAsia" w:ascii="宋体" w:hAnsi="宋体" w:cs="宋体"/>
                <w:color w:val="000000"/>
                <w:szCs w:val="21"/>
                <w:highlight w:val="none"/>
              </w:rPr>
            </w:r>
            <w:r/>
          </w:p>
        </w:tc>
        <w:tc>
          <w:tcPr>
            <w:tcW w:w="941" w:type="dxa"/>
            <w:vAlign w:val="center"/>
            <w:textDirection w:val="lrTb"/>
            <w:noWrap w:val="false"/>
          </w:tcPr>
          <w:p>
            <w:pPr>
              <w:pStyle w:val="826"/>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证书及编号</w:t>
            </w:r>
            <w:r>
              <w:rPr>
                <w:rFonts w:hint="eastAsia" w:ascii="宋体" w:hAnsi="宋体" w:cs="宋体"/>
                <w:color w:val="000000"/>
                <w:szCs w:val="21"/>
                <w:highlight w:val="none"/>
              </w:rPr>
            </w:r>
            <w:r/>
          </w:p>
        </w:tc>
        <w:tc>
          <w:tcPr>
            <w:tcW w:w="521" w:type="dxa"/>
            <w:vAlign w:val="center"/>
            <w:textDirection w:val="lrTb"/>
            <w:noWrap w:val="false"/>
          </w:tcPr>
          <w:p>
            <w:pPr>
              <w:pStyle w:val="826"/>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44"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45"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79"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34"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17"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511"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1"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521"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44"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45"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79"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34"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17"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511"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1"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521" w:type="dxa"/>
            <w:vAlign w:val="center"/>
            <w:textDirection w:val="lrTb"/>
            <w:noWrap w:val="false"/>
          </w:tcPr>
          <w:p>
            <w:pPr>
              <w:pStyle w:val="826"/>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证明材料1，证明材料2，……</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07"/>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jc w:val="center"/>
        <w:widowControl/>
        <w:rPr>
          <w:rFonts w:hint="eastAsia" w:ascii="宋体" w:hAnsi="宋体" w:cs="宋体"/>
          <w:b/>
          <w:color w:val="000000"/>
          <w:szCs w:val="21"/>
          <w:highlight w:val="none"/>
        </w:rPr>
      </w:pPr>
      <w:r/>
      <w:bookmarkEnd w:id="119"/>
      <w:r>
        <w:rPr>
          <w:rFonts w:hint="eastAsia" w:ascii="宋体" w:hAnsi="宋体" w:cs="宋体"/>
          <w:b/>
          <w:color w:val="000000"/>
          <w:szCs w:val="21"/>
          <w:highlight w:val="none"/>
        </w:rPr>
        <w:t xml:space="preserve">主要标的信息（中标后将公示）</w:t>
      </w:r>
      <w:r>
        <w:rPr>
          <w:rFonts w:hint="eastAsia" w:ascii="宋体" w:hAnsi="宋体" w:cs="宋体"/>
          <w:b/>
          <w:color w:val="000000"/>
          <w:szCs w:val="21"/>
          <w:highlight w:val="none"/>
        </w:rPr>
      </w:r>
      <w:r/>
    </w:p>
    <w:p>
      <w:pPr>
        <w:pStyle w:val="826"/>
        <w:spacing w:after="312"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p>
      <w:pPr>
        <w:pStyle w:val="826"/>
        <w:spacing w:after="312"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rPr>
      </w:r>
      <w:r/>
    </w:p>
    <w:tbl>
      <w:tblPr>
        <w:tblW w:w="378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vAlign w:val="top"/>
            <w:textDirection w:val="lrTb"/>
            <w:noWrap w:val="false"/>
          </w:tcPr>
          <w:p>
            <w:pPr>
              <w:pStyle w:val="826"/>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货物</w:t>
            </w:r>
            <w:r>
              <w:rPr>
                <w:rFonts w:hint="eastAsia" w:ascii="宋体" w:hAnsi="宋体" w:cs="宋体"/>
                <w:color w:val="000000"/>
                <w:szCs w:val="21"/>
                <w:highlight w:val="none"/>
              </w:rPr>
              <w:t xml:space="preserve">类</w:t>
            </w:r>
            <w:r>
              <w:rPr>
                <w:rFonts w:hint="eastAsia" w:ascii="宋体" w:hAnsi="宋体" w:cs="宋体"/>
                <w:color w:val="000000"/>
                <w:szCs w:val="21"/>
                <w:highlight w:val="none"/>
              </w:rPr>
            </w:r>
            <w:r/>
          </w:p>
        </w:tc>
      </w:tr>
      <w:tr>
        <w:trPr>
          <w:trHeight w:val="3810"/>
        </w:trPr>
        <w:tc>
          <w:tcPr>
            <w:tcW w:w="3780" w:type="dxa"/>
            <w:vAlign w:val="top"/>
            <w:textDirection w:val="lrTb"/>
            <w:noWrap w:val="false"/>
          </w:tcPr>
          <w:p>
            <w:pPr>
              <w:pStyle w:val="8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品牌（如有）：</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规格型号：</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p>
            <w:pPr>
              <w:pStyle w:val="82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单价：</w:t>
            </w:r>
            <w:r>
              <w:rPr>
                <w:rFonts w:hint="eastAsia" w:ascii="宋体" w:hAnsi="宋体" w:cs="宋体"/>
                <w:color w:val="000000"/>
                <w:szCs w:val="21"/>
                <w:highlight w:val="none"/>
              </w:rPr>
            </w:r>
            <w:r/>
          </w:p>
        </w:tc>
      </w:tr>
    </w:tbl>
    <w:p>
      <w:pPr>
        <w:pStyle w:val="826"/>
        <w:jc w:val="center"/>
        <w:widowControl/>
        <w:rPr>
          <w:rFonts w:hint="eastAsia" w:ascii="宋体" w:hAnsi="宋体" w:cs="宋体"/>
          <w:b/>
          <w:color w:val="000000"/>
          <w:highlight w:val="none"/>
        </w:rPr>
      </w:pPr>
      <w:r>
        <w:rPr>
          <w:rFonts w:hint="eastAsia" w:ascii="宋体" w:hAnsi="宋体" w:cs="宋体"/>
          <w:b/>
          <w:color w:val="000000"/>
          <w:highlight w:val="none"/>
        </w:rPr>
      </w:r>
      <w:r/>
    </w:p>
    <w:p>
      <w:pPr>
        <w:pStyle w:val="826"/>
        <w:jc w:val="center"/>
        <w:widowControl/>
        <w:rPr>
          <w:rFonts w:hint="eastAsia" w:ascii="宋体" w:hAnsi="宋体" w:cs="宋体"/>
          <w:b/>
          <w:color w:val="000000"/>
          <w:highlight w:val="none"/>
        </w:rPr>
      </w:pPr>
      <w:r>
        <w:rPr>
          <w:rFonts w:hint="eastAsia" w:ascii="宋体" w:hAnsi="宋体" w:cs="宋体"/>
          <w:b/>
          <w:color w:val="000000"/>
          <w:highlight w:val="none"/>
        </w:rPr>
      </w:r>
      <w:r/>
    </w:p>
    <w:p>
      <w:pPr>
        <w:pStyle w:val="826"/>
        <w:jc w:val="center"/>
        <w:widowControl/>
        <w:rPr>
          <w:rFonts w:hint="eastAsia" w:ascii="宋体" w:hAnsi="宋体" w:cs="宋体"/>
          <w:b/>
          <w:color w:val="000000"/>
          <w:highlight w:val="none"/>
        </w:rPr>
      </w:pPr>
      <w:r>
        <w:rPr>
          <w:rFonts w:hint="eastAsia" w:ascii="宋体" w:hAnsi="宋体" w:cs="宋体"/>
          <w:b/>
          <w:color w:val="000000"/>
          <w:highlight w:val="none"/>
        </w:rPr>
      </w:r>
      <w:r/>
    </w:p>
    <w:p>
      <w:pPr>
        <w:pStyle w:val="826"/>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业绩表（格式仅供参考）</w:t>
      </w:r>
      <w:r>
        <w:rPr>
          <w:rFonts w:hint="eastAsia" w:ascii="宋体" w:hAnsi="宋体" w:eastAsia="宋体" w:cs="宋体"/>
          <w:b/>
          <w:bCs/>
          <w:color w:val="000000"/>
          <w:sz w:val="21"/>
          <w:szCs w:val="21"/>
          <w:highlight w:val="none"/>
          <w:lang w:val="en-US" w:eastAsia="zh-CN" w:bidi="ar-SA"/>
        </w:rPr>
      </w:r>
      <w:r/>
    </w:p>
    <w:p>
      <w:pPr>
        <w:pStyle w:val="914"/>
        <w:rPr>
          <w:rFonts w:hint="eastAsia"/>
          <w:color w:val="000000"/>
          <w:highlight w:val="none"/>
          <w:lang w:val="en-US" w:eastAsia="zh-CN"/>
        </w:rPr>
      </w:pPr>
      <w:r>
        <w:rPr>
          <w:rFonts w:hint="eastAsia"/>
          <w:color w:val="000000"/>
          <w:highlight w:val="none"/>
          <w:lang w:val="en-US" w:eastAsia="zh-CN"/>
        </w:rPr>
      </w:r>
      <w:r/>
    </w:p>
    <w:tbl>
      <w:tblPr>
        <w:tblStyle w:val="1165"/>
        <w:tblW w:w="4990" w:type="pct"/>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5" w:type="dxa"/>
          <w:top w:w="20" w:type="dxa"/>
          <w:right w:w="20" w:type="dxa"/>
          <w:bottom w:w="8"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Mar>
              <w:left w:w="20" w:type="dxa"/>
              <w:top w:w="20" w:type="dxa"/>
              <w:right w:w="20" w:type="dxa"/>
              <w:bottom w:w="8" w:type="dxa"/>
            </w:tcMar>
            <w:tcW w:w="60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826"/>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合同内容</w:t>
            </w:r>
            <w:r>
              <w:rPr>
                <w:rFonts w:ascii="宋体" w:hAnsi="宋体" w:eastAsia="宋体" w:cs="宋体"/>
                <w:color w:val="000000"/>
                <w:sz w:val="21"/>
                <w:szCs w:val="21"/>
                <w:highlight w:val="none"/>
                <w:lang w:val="en-US" w:eastAsia="zh-CN"/>
              </w:rPr>
            </w:r>
            <w:r/>
          </w:p>
        </w:tc>
        <w:tc>
          <w:tcPr>
            <w:tcMar>
              <w:left w:w="25" w:type="dxa"/>
              <w:top w:w="20" w:type="dxa"/>
              <w:right w:w="20" w:type="dxa"/>
              <w:bottom w:w="8" w:type="dxa"/>
            </w:tcMar>
            <w:tcW w:w="146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合同金额</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826"/>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签订时间</w:t>
            </w:r>
            <w:r>
              <w:rPr>
                <w:rFonts w:ascii="宋体" w:hAnsi="宋体" w:eastAsia="宋体" w:cs="宋体"/>
                <w:color w:val="000000"/>
                <w:sz w:val="21"/>
                <w:szCs w:val="21"/>
                <w:highlight w:val="none"/>
                <w:lang w:val="en-US" w:eastAsia="zh-CN"/>
              </w:rPr>
            </w:r>
            <w:r/>
          </w:p>
        </w:tc>
        <w:tc>
          <w:tcPr>
            <w:tcMar>
              <w:left w:w="25" w:type="dxa"/>
              <w:top w:w="20" w:type="dxa"/>
              <w:right w:w="20" w:type="dxa"/>
              <w:bottom w:w="8" w:type="dxa"/>
            </w:tcMar>
            <w:tcW w:w="1462" w:type="dxa"/>
            <w:vAlign w:val="center"/>
            <w:textDirection w:val="lrTb"/>
            <w:noWrap w:val="false"/>
          </w:tcPr>
          <w:p>
            <w:pPr>
              <w:pStyle w:val="826"/>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业主</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r>
            <w:r/>
          </w:p>
        </w:tc>
        <w:tc>
          <w:tcPr>
            <w:tcMar>
              <w:left w:w="25" w:type="dxa"/>
              <w:top w:w="20" w:type="dxa"/>
              <w:right w:w="20" w:type="dxa"/>
              <w:bottom w:w="8" w:type="dxa"/>
            </w:tcMar>
            <w:tcW w:w="146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1017"/>
        </w:trPr>
        <w:tc>
          <w:tcPr>
            <w:tcMar>
              <w:left w:w="20" w:type="dxa"/>
              <w:top w:w="25" w:type="dxa"/>
              <w:right w:w="20" w:type="dxa"/>
              <w:bottom w:w="8" w:type="dxa"/>
            </w:tcMar>
            <w:tcW w:w="602" w:type="dxa"/>
            <w:vAlign w:val="bottom"/>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6"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59"/>
        </w:trPr>
        <w:tc>
          <w:tcPr>
            <w:tcMar>
              <w:left w:w="20" w:type="dxa"/>
              <w:top w:w="25" w:type="dxa"/>
              <w:right w:w="20" w:type="dxa"/>
              <w:bottom w:w="8" w:type="dxa"/>
            </w:tcMar>
            <w:tcW w:w="602" w:type="dxa"/>
            <w:vAlign w:val="bottom"/>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6" w:type="dxa"/>
            <w:vAlign w:val="bottom"/>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6"/>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826"/>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6"/>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r>
      <w:r/>
    </w:p>
    <w:p>
      <w:pPr>
        <w:pStyle w:val="826"/>
        <w:jc w:val="left"/>
        <w:widowControl/>
        <w:rPr>
          <w:rFonts w:hint="eastAsia" w:ascii="宋体" w:hAnsi="宋体" w:cs="宋体"/>
          <w:color w:val="000000"/>
          <w:szCs w:val="21"/>
          <w:highlight w:val="none"/>
        </w:rPr>
      </w:pPr>
      <w:r>
        <w:rPr>
          <w:rFonts w:hint="eastAsia" w:ascii="宋体" w:hAnsi="宋体" w:cs="宋体"/>
          <w:color w:val="000000"/>
          <w:sz w:val="24"/>
          <w:szCs w:val="24"/>
          <w:highlight w:val="none"/>
        </w:rPr>
        <w:br w:type="page" w:clear="all"/>
      </w:r>
      <w:r>
        <w:rPr>
          <w:rFonts w:hint="eastAsia" w:ascii="宋体" w:hAnsi="宋体" w:cs="宋体"/>
          <w:color w:val="000000"/>
          <w:szCs w:val="21"/>
          <w:highlight w:val="none"/>
        </w:rPr>
      </w:r>
      <w:r/>
    </w:p>
    <w:p>
      <w:pPr>
        <w:pStyle w:val="826"/>
        <w:ind w:firstLine="21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联合体协议（如有）</w:t>
      </w:r>
      <w:r>
        <w:rPr>
          <w:rFonts w:hint="eastAsia" w:ascii="宋体" w:hAnsi="宋体" w:cs="宋体"/>
          <w:b/>
          <w:color w:val="000000"/>
          <w:szCs w:val="21"/>
          <w:highlight w:val="none"/>
        </w:rPr>
      </w:r>
      <w:r/>
    </w:p>
    <w:p>
      <w:pPr>
        <w:pStyle w:val="826"/>
        <w:ind w:firstLine="21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（联合体中各供应商全称）在此达成以下协议：</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1.我们</w:t>
      </w:r>
      <w:r>
        <w:rPr>
          <w:rFonts w:hint="eastAsia" w:ascii="宋体" w:hAnsi="宋体" w:cs="宋体"/>
          <w:color w:val="000000"/>
          <w:szCs w:val="21"/>
          <w:highlight w:val="none"/>
          <w:u w:val="single"/>
        </w:rPr>
        <w:t xml:space="preserve"> （供应商1），（供应商2） ，……</w:t>
      </w:r>
      <w:r>
        <w:rPr>
          <w:rFonts w:hint="eastAsia" w:ascii="宋体" w:hAnsi="宋体" w:cs="宋体"/>
          <w:color w:val="000000"/>
          <w:szCs w:val="21"/>
          <w:highlight w:val="none"/>
        </w:rPr>
        <w:t xml:space="preserve">自愿组成联合体，参加江苏苏维工程管理有限公司组织的采购编号为</w:t>
      </w:r>
      <w:r>
        <w:rPr>
          <w:rFonts w:hint="eastAsia" w:ascii="宋体" w:hAnsi="宋体" w:cs="宋体"/>
          <w:color w:val="000000"/>
          <w:szCs w:val="21"/>
          <w:highlight w:val="none"/>
          <w:u w:val="single"/>
        </w:rPr>
        <w:t xml:space="preserve">（编号全称），（项目全称）</w:t>
      </w:r>
      <w:r>
        <w:rPr>
          <w:rFonts w:hint="eastAsia" w:ascii="宋体" w:hAnsi="宋体" w:cs="宋体"/>
          <w:color w:val="000000"/>
          <w:szCs w:val="21"/>
          <w:highlight w:val="none"/>
        </w:rPr>
        <w:t xml:space="preserve">项目（采购包号：**）的政府采购活动，我联合体指定</w:t>
      </w:r>
      <w:r>
        <w:rPr>
          <w:rFonts w:hint="eastAsia" w:ascii="宋体" w:hAnsi="宋体" w:cs="宋体"/>
          <w:color w:val="000000"/>
          <w:szCs w:val="21"/>
          <w:highlight w:val="none"/>
          <w:u w:val="single"/>
        </w:rPr>
        <w:t xml:space="preserve">（供应商*）</w:t>
      </w:r>
      <w:r>
        <w:rPr>
          <w:rFonts w:hint="eastAsia" w:ascii="宋体" w:hAnsi="宋体" w:cs="宋体"/>
          <w:color w:val="000000"/>
          <w:szCs w:val="21"/>
          <w:highlight w:val="none"/>
        </w:rPr>
        <w:t xml:space="preserve">为牵头单位（牵头单位必须为联合体成员）。</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3.其中</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（小型、微型企业/残疾人福利性单位/监狱企业全称）为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6"/>
        <w:ind w:firstLine="42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联合体中各供应商全称（公章）：     </w:t>
      </w:r>
      <w:r>
        <w:rPr>
          <w:rFonts w:hint="eastAsia" w:ascii="宋体" w:hAnsi="宋体" w:cs="宋体"/>
          <w:color w:val="000000"/>
          <w:szCs w:val="21"/>
          <w:highlight w:val="none"/>
        </w:rPr>
      </w:r>
      <w:r/>
    </w:p>
    <w:p>
      <w:pPr>
        <w:pStyle w:val="8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w:t>
      </w:r>
      <w:r>
        <w:rPr>
          <w:rFonts w:hint="eastAsia" w:ascii="宋体" w:hAnsi="宋体" w:cs="宋体"/>
          <w:color w:val="000000"/>
          <w:szCs w:val="21"/>
          <w:highlight w:val="none"/>
        </w:rPr>
      </w:r>
      <w:r/>
    </w:p>
    <w:p>
      <w:pPr>
        <w:pStyle w:val="826"/>
        <w:ind w:firstLine="6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6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备注：本招标文件中要求加盖CA电子签章的地方，仅需加盖牵头单位的CA电子签章。</w:t>
      </w:r>
      <w:r>
        <w:rPr>
          <w:rFonts w:hint="eastAsia" w:ascii="宋体" w:hAnsi="宋体" w:cs="宋体"/>
          <w:b/>
          <w:bCs/>
          <w:color w:val="000000"/>
          <w:szCs w:val="21"/>
          <w:highlight w:val="none"/>
        </w:rPr>
      </w:r>
      <w:r/>
    </w:p>
    <w:p>
      <w:pPr>
        <w:pStyle w:val="826"/>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sectPr>
      <w:footerReference w:type="default" r:id="rId15"/>
      <w:footnotePr/>
      <w:endnotePr/>
      <w:type w:val="nextPage"/>
      <w:pgSz w:w="11906" w:h="16838" w:orient="portrait"/>
      <w:pgMar w:top="1417" w:right="1134" w:bottom="1417"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华文楷体">
    <w:panose1 w:val="02010600040101010101"/>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
  </w:p>
  <w:p>
    <w:pPr>
      <w:pStyle w:val="111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7143" w:leader="none"/>
                              <w:tab w:val="clear" w:pos="14287" w:leader="none"/>
                            </w:tabs>
                          </w:pPr>
                          <w:r>
                            <w:fldChar w:fldCharType="begin"/>
                          </w:r>
                          <w:r>
                            <w:instrText xml:space="preserve"> PAGE  \* MERGEFORMAT </w:instrText>
                          </w:r>
                          <w:r>
                            <w:fldChar w:fldCharType="separate"/>
                          </w:r>
                          <w:r>
                            <w:t xml:space="preserve">- 1 -</w:t>
                          </w:r>
                          <w:r>
                            <w:fldChar w:fldCharType="end"/>
                          </w:r>
                          <w:r/>
                        </w:p>
                        <w:p>
                          <w:pPr>
                            <w:pStyle w:val="826"/>
                          </w:pPr>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7143" w:leader="none"/>
                        <w:tab w:val="clear" w:pos="14287" w:leader="none"/>
                      </w:tabs>
                    </w:pPr>
                    <w:r>
                      <w:fldChar w:fldCharType="begin"/>
                    </w:r>
                    <w:r>
                      <w:instrText xml:space="preserve"> PAGE  \* MERGEFORMAT </w:instrText>
                    </w:r>
                    <w:r>
                      <w:fldChar w:fldCharType="separate"/>
                    </w:r>
                    <w:r>
                      <w:t xml:space="preserve">- 1 -</w:t>
                    </w:r>
                    <w:r>
                      <w:fldChar w:fldCharType="end"/>
                    </w:r>
                    <w:r/>
                  </w:p>
                  <w:p>
                    <w:pPr>
                      <w:pStyle w:val="826"/>
                    </w:pPr>
                    <w:r/>
                    <w:r/>
                  </w:p>
                  <w:p>
                    <w:pPr>
                      <w:pStyle w:val="826"/>
                    </w:pPr>
                    <w:r/>
                    <w:r/>
                  </w:p>
                </w:txbxContent>
              </v:textbox>
            </v:shape>
          </w:pict>
        </mc:Fallback>
      </mc:AlternateContent>
    </w:r>
    <w:r/>
  </w:p>
  <w:p>
    <w:pPr>
      <w:pStyle w:val="111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center" w:pos="7143" w:leader="none"/>
        <w:tab w:val="right"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7143" w:leader="none"/>
                              <w:tab w:val="clear" w:pos="14287" w:leader="none"/>
                            </w:tabs>
                          </w:pPr>
                          <w:r>
                            <w:fldChar w:fldCharType="begin"/>
                          </w:r>
                          <w:r>
                            <w:instrText xml:space="preserve"> PAGE  \* MERGEFORMAT </w:instrText>
                          </w:r>
                          <w:r>
                            <w:fldChar w:fldCharType="separate"/>
                          </w:r>
                          <w:r>
                            <w:t xml:space="preserve">- 5 -</w:t>
                          </w:r>
                          <w:r>
                            <w:fldChar w:fldCharType="end"/>
                          </w:r>
                          <w:r/>
                        </w:p>
                        <w:p>
                          <w:pPr>
                            <w:pStyle w:val="826"/>
                          </w:pPr>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7143" w:leader="none"/>
                        <w:tab w:val="clear" w:pos="14287" w:leader="none"/>
                      </w:tabs>
                    </w:pPr>
                    <w:r>
                      <w:fldChar w:fldCharType="begin"/>
                    </w:r>
                    <w:r>
                      <w:instrText xml:space="preserve"> PAGE  \* MERGEFORMAT </w:instrText>
                    </w:r>
                    <w:r>
                      <w:fldChar w:fldCharType="separate"/>
                    </w:r>
                    <w:r>
                      <w:t xml:space="preserve">- 5 -</w:t>
                    </w:r>
                    <w:r>
                      <w:fldChar w:fldCharType="end"/>
                    </w:r>
                    <w:r/>
                  </w:p>
                  <w:p>
                    <w:pPr>
                      <w:pStyle w:val="826"/>
                    </w:pPr>
                    <w:r/>
                    <w:r/>
                  </w:p>
                  <w:p>
                    <w:pPr>
                      <w:pStyle w:val="82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7143" w:leader="none"/>
                              <w:tab w:val="clear" w:pos="14287" w:leader="none"/>
                            </w:tabs>
                          </w:pPr>
                          <w:r>
                            <w:fldChar w:fldCharType="begin"/>
                          </w:r>
                          <w:r>
                            <w:instrText xml:space="preserve"> PAGE  \* MERGEFORMAT </w:instrText>
                          </w:r>
                          <w:r>
                            <w:fldChar w:fldCharType="separate"/>
                          </w:r>
                          <w:r>
                            <w:t xml:space="preserve">- 71 -</w:t>
                          </w:r>
                          <w:r>
                            <w:fldChar w:fldCharType="end"/>
                          </w:r>
                          <w:r/>
                        </w:p>
                        <w:p>
                          <w:pPr>
                            <w:pStyle w:val="826"/>
                          </w:pPr>
                          <w:r/>
                          <w:r/>
                        </w:p>
                        <w:p>
                          <w:pPr>
                            <w:pStyle w:val="82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7143" w:leader="none"/>
                        <w:tab w:val="clear" w:pos="14287" w:leader="none"/>
                      </w:tabs>
                    </w:pPr>
                    <w:r>
                      <w:fldChar w:fldCharType="begin"/>
                    </w:r>
                    <w:r>
                      <w:instrText xml:space="preserve"> PAGE  \* MERGEFORMAT </w:instrText>
                    </w:r>
                    <w:r>
                      <w:fldChar w:fldCharType="separate"/>
                    </w:r>
                    <w:r>
                      <w:t xml:space="preserve">- 71 -</w:t>
                    </w:r>
                    <w:r>
                      <w:fldChar w:fldCharType="end"/>
                    </w:r>
                    <w:r/>
                  </w:p>
                  <w:p>
                    <w:pPr>
                      <w:pStyle w:val="826"/>
                    </w:pPr>
                    <w:r/>
                    <w:r/>
                  </w:p>
                  <w:p>
                    <w:pPr>
                      <w:pStyle w:val="826"/>
                    </w:pPr>
                    <w:r/>
                    <w:r/>
                  </w:p>
                </w:txbxContent>
              </v:textbox>
            </v:shape>
          </w:pict>
        </mc:Fallback>
      </mc:AlternateContent>
    </w:r>
    <w:r/>
  </w:p>
  <w:p>
    <w:pPr>
      <w:pStyle w:val="11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both"/>
      <w:tabs>
        <w:tab w:val="center" w:pos="4153" w:leader="none"/>
        <w:tab w:val="right" w:pos="8306" w:leader="none"/>
      </w:tabs>
      <w:rPr>
        <w:rFonts w:hint="eastAsia" w:ascii="宋体" w:hAnsi="宋体" w:cs="宋体"/>
      </w:rPr>
    </w:pPr>
    <w:r>
      <w:rPr>
        <w:rFonts w:hint="eastAsia" w:ascii="宋体" w:hAnsi="宋体" w:cs="宋体"/>
        <w:lang w:eastAsia="zh-CN"/>
      </w:rPr>
      <w:t xml:space="preserve">JSZC-320000-SWGC-G2026-0127</w:t>
    </w:r>
    <w:r>
      <w:rPr>
        <w:rFonts w:hint="eastAsia" w:ascii="宋体" w:hAnsi="宋体" w:cs="宋体"/>
      </w:rPr>
      <w:t xml:space="preserve">号                                                 江苏苏维工程管理有限公司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both"/>
      <w:tabs>
        <w:tab w:val="center" w:pos="4153" w:leader="none"/>
        <w:tab w:val="right" w:pos="8306" w:leader="none"/>
      </w:tabs>
      <w:rPr>
        <w:rFonts w:hint="eastAsia" w:ascii="宋体" w:hAnsi="宋体" w:cs="宋体"/>
      </w:rPr>
    </w:pPr>
    <w:r>
      <w:rPr>
        <w:rFonts w:hint="eastAsia" w:ascii="宋体" w:hAnsi="宋体" w:cs="宋体"/>
        <w:lang w:eastAsia="zh-CN"/>
      </w:rPr>
      <w:t xml:space="preserve">JSZC-320000-SWGC-G2026-0127</w:t>
    </w:r>
    <w:r>
      <w:rPr>
        <w:rFonts w:hint="eastAsia" w:ascii="宋体" w:hAnsi="宋体" w:cs="宋体"/>
      </w:rPr>
      <w:t xml:space="preserve">号                                                 江苏苏维工程管理有限公司</w:t>
    </w:r>
    <w:r>
      <w:rPr>
        <w:rFonts w:hint="eastAsia" w:ascii="宋体" w:hAnsi="宋体" w:cs="宋体"/>
      </w:rPr>
    </w:r>
    <w:r/>
  </w:p>
  <w:p>
    <w:pPr>
      <w:pStyle w:val="896"/>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both"/>
      <w:tabs>
        <w:tab w:val="center" w:pos="4153" w:leader="none"/>
        <w:tab w:val="right" w:pos="8306" w:leader="none"/>
      </w:tabs>
    </w:pPr>
    <w:r>
      <w:rPr>
        <w:rFonts w:hint="eastAsia"/>
        <w:lang w:eastAsia="zh-CN"/>
      </w:rPr>
      <w:t xml:space="preserve">JSZC-320000-SWGC-G2026-0127</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5.%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26"/>
      </w:p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6"/>
        <w:ind w:left="0" w:firstLine="0"/>
      </w:pPr>
      <w:rPr>
        <w:sz w:val="21"/>
        <w:szCs w:val="21"/>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2.%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5">
    <w:multiLevelType w:val="hybridMultilevel"/>
    <w:lvl w:ilvl="0">
      <w:start w:val="483"/>
      <w:numFmt w:val="decimal"/>
      <w:isLgl w:val="false"/>
      <w:suff w:val="nothing"/>
      <w:lvlText w:val="(%1)"/>
      <w:lvlJc w:val="left"/>
      <w:pPr>
        <w:pStyle w:val="826"/>
        <w:ind w:left="0" w:firstLine="0"/>
        <w:tabs>
          <w:tab w:val="num" w:pos="0" w:leader="none"/>
        </w:tabs>
      </w:pPr>
      <w:rPr>
        <w:sz w:val="21"/>
        <w:szCs w:val="21"/>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826"/>
      </w:pPr>
      <w:rPr>
        <w:rFonts w:hint="eastAsia"/>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4.%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8">
    <w:multiLevelType w:val="hybridMultilevel"/>
    <w:lvl w:ilvl="0">
      <w:start w:val="1"/>
      <w:numFmt w:val="decimal"/>
      <w:pStyle w:val="1136"/>
      <w:isLgl w:val="false"/>
      <w:suff w:val="nothing"/>
      <w:lvlText w:val="（%1）"/>
      <w:lvlJc w:val="left"/>
      <w:pPr>
        <w:pStyle w:val="826"/>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pStyle w:val="826"/>
        <w:ind w:left="1413" w:firstLine="0"/>
      </w:pPr>
      <w:rPr>
        <w:rFonts w:hint="eastAsia"/>
      </w:rPr>
    </w:lvl>
    <w:lvl w:ilvl="2">
      <w:start w:val="1"/>
      <w:numFmt w:val="lowerRoman"/>
      <w:isLgl w:val="false"/>
      <w:suff w:val="tab"/>
      <w:lvlText w:val="%3."/>
      <w:lvlJc w:val="right"/>
      <w:pPr>
        <w:pStyle w:val="826"/>
        <w:ind w:left="1833" w:firstLine="0"/>
      </w:pPr>
      <w:rPr>
        <w:rFonts w:hint="eastAsia"/>
      </w:rPr>
    </w:lvl>
    <w:lvl w:ilvl="3">
      <w:start w:val="1"/>
      <w:numFmt w:val="decimal"/>
      <w:isLgl w:val="false"/>
      <w:suff w:val="tab"/>
      <w:lvlText w:val="%4）"/>
      <w:lvlJc w:val="left"/>
      <w:pPr>
        <w:pStyle w:val="826"/>
        <w:ind w:left="2253" w:firstLine="0"/>
      </w:pPr>
      <w:rPr>
        <w:rFonts w:hint="eastAsia"/>
      </w:rPr>
    </w:lvl>
    <w:lvl w:ilvl="4">
      <w:start w:val="1"/>
      <w:numFmt w:val="lowerLetter"/>
      <w:isLgl w:val="false"/>
      <w:suff w:val="tab"/>
      <w:lvlText w:val="%5)"/>
      <w:lvlJc w:val="left"/>
      <w:pPr>
        <w:pStyle w:val="826"/>
        <w:ind w:left="2673" w:firstLine="0"/>
      </w:pPr>
      <w:rPr>
        <w:rFonts w:hint="eastAsia"/>
      </w:rPr>
    </w:lvl>
    <w:lvl w:ilvl="5">
      <w:start w:val="1"/>
      <w:numFmt w:val="lowerRoman"/>
      <w:isLgl w:val="false"/>
      <w:suff w:val="tab"/>
      <w:lvlText w:val="%6."/>
      <w:lvlJc w:val="right"/>
      <w:pPr>
        <w:pStyle w:val="826"/>
        <w:ind w:left="3093" w:firstLine="0"/>
      </w:pPr>
      <w:rPr>
        <w:rFonts w:hint="eastAsia"/>
      </w:rPr>
    </w:lvl>
    <w:lvl w:ilvl="6">
      <w:start w:val="1"/>
      <w:numFmt w:val="decimal"/>
      <w:isLgl w:val="false"/>
      <w:suff w:val="tab"/>
      <w:lvlText w:val="%7."/>
      <w:lvlJc w:val="left"/>
      <w:pPr>
        <w:pStyle w:val="826"/>
        <w:ind w:left="3513" w:firstLine="0"/>
      </w:pPr>
      <w:rPr>
        <w:rFonts w:hint="eastAsia"/>
      </w:rPr>
    </w:lvl>
    <w:lvl w:ilvl="7">
      <w:start w:val="1"/>
      <w:numFmt w:val="lowerLetter"/>
      <w:isLgl w:val="false"/>
      <w:suff w:val="tab"/>
      <w:lvlText w:val="%8)"/>
      <w:lvlJc w:val="left"/>
      <w:pPr>
        <w:pStyle w:val="826"/>
        <w:ind w:left="3933" w:firstLine="0"/>
      </w:pPr>
      <w:rPr>
        <w:rFonts w:hint="eastAsia"/>
      </w:rPr>
    </w:lvl>
    <w:lvl w:ilvl="8">
      <w:start w:val="1"/>
      <w:numFmt w:val="lowerRoman"/>
      <w:isLgl w:val="false"/>
      <w:suff w:val="tab"/>
      <w:lvlText w:val="%9."/>
      <w:lvlJc w:val="right"/>
      <w:pPr>
        <w:pStyle w:val="826"/>
        <w:ind w:left="4353" w:firstLine="0"/>
      </w:pPr>
      <w:rPr>
        <w:rFonts w:hint="eastAsia"/>
      </w:rPr>
    </w:lvl>
  </w:abstractNum>
  <w:abstractNum w:abstractNumId="9">
    <w:multiLevelType w:val="hybridMultilevel"/>
    <w:lvl w:ilvl="0">
      <w:start w:val="1"/>
      <w:numFmt w:val="decimal"/>
      <w:isLgl w:val="false"/>
      <w:suff w:val="tab"/>
      <w:lvlText w:val="4.%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6"/>
      </w:p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5.%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2.%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826"/>
      </w:p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3.%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6">
    <w:multiLevelType w:val="hybridMultilevel"/>
    <w:lvl w:ilvl="0">
      <w:start w:val="4"/>
      <w:numFmt w:val="decimal"/>
      <w:isLgl w:val="false"/>
      <w:suff w:val="nothing"/>
      <w:lvlText w:val="%1."/>
      <w:lvlJc w:val="left"/>
      <w:pPr>
        <w:pStyle w:val="826"/>
      </w:p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826"/>
      </w:p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826"/>
        <w:ind w:left="425" w:hanging="425"/>
      </w:p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19">
    <w:multiLevelType w:val="hybridMultilevel"/>
    <w:lvl w:ilvl="0">
      <w:start w:val="1"/>
      <w:numFmt w:val="decimal"/>
      <w:isLgl w:val="false"/>
      <w:suff w:val="tab"/>
      <w:lvlText w:val="3.%1"/>
      <w:lvlJc w:val="left"/>
      <w:pPr>
        <w:pStyle w:val="826"/>
        <w:ind w:left="425" w:hanging="425"/>
        <w:tabs>
          <w:tab w:val="num" w:pos="420" w:leader="none"/>
        </w:tabs>
      </w:pPr>
      <w:rPr>
        <w:rFonts w:ascii="Times New Roman" w:hAnsi="Times New Roman" w:cs="Times New Roman"/>
      </w:r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3"/>
  </w:num>
  <w:num w:numId="4">
    <w:abstractNumId w:val="2"/>
  </w:num>
  <w:num w:numId="5">
    <w:abstractNumId w:val="10"/>
  </w:num>
  <w:num w:numId="6">
    <w:abstractNumId w:val="12"/>
  </w:num>
  <w:num w:numId="7">
    <w:abstractNumId w:val="19"/>
  </w:num>
  <w:num w:numId="8">
    <w:abstractNumId w:val="9"/>
  </w:num>
  <w:num w:numId="9">
    <w:abstractNumId w:val="0"/>
  </w:num>
  <w:num w:numId="10">
    <w:abstractNumId w:val="13"/>
  </w:num>
  <w:num w:numId="11">
    <w:abstractNumId w:val="17"/>
  </w:num>
  <w:num w:numId="12">
    <w:abstractNumId w:val="4"/>
  </w:num>
  <w:num w:numId="13">
    <w:abstractNumId w:val="15"/>
  </w:num>
  <w:num w:numId="14">
    <w:abstractNumId w:val="7"/>
  </w:num>
  <w:num w:numId="15">
    <w:abstractNumId w:val="11"/>
  </w:num>
  <w:num w:numId="16">
    <w:abstractNumId w:val="6"/>
  </w:num>
  <w:num w:numId="17">
    <w:abstractNumId w:val="5"/>
  </w:num>
  <w:num w:numId="18">
    <w:abstractNumId w:val="1"/>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6"/>
    <w:next w:val="826"/>
    <w:link w:val="947"/>
    <w:uiPriority w:val="9"/>
    <w:qFormat/>
    <w:pPr>
      <w:keepLines/>
      <w:keepNext/>
      <w:spacing w:before="480" w:after="200"/>
      <w:outlineLvl w:val="0"/>
    </w:pPr>
    <w:rPr>
      <w:rFonts w:ascii="Arial" w:hAnsi="Arial" w:eastAsia="Arial" w:cs="Arial"/>
      <w:sz w:val="40"/>
      <w:szCs w:val="40"/>
    </w:rPr>
  </w:style>
  <w:style w:type="paragraph" w:styleId="14">
    <w:name w:val="Heading 2"/>
    <w:basedOn w:val="826"/>
    <w:next w:val="826"/>
    <w:link w:val="948"/>
    <w:uiPriority w:val="9"/>
    <w:unhideWhenUsed/>
    <w:qFormat/>
    <w:pPr>
      <w:keepLines/>
      <w:keepNext/>
      <w:spacing w:before="360" w:after="200"/>
      <w:outlineLvl w:val="1"/>
    </w:pPr>
    <w:rPr>
      <w:rFonts w:ascii="Arial" w:hAnsi="Arial" w:eastAsia="Arial" w:cs="Arial"/>
      <w:sz w:val="34"/>
    </w:rPr>
  </w:style>
  <w:style w:type="paragraph" w:styleId="16">
    <w:name w:val="Heading 3"/>
    <w:basedOn w:val="826"/>
    <w:next w:val="826"/>
    <w:link w:val="94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26"/>
    <w:next w:val="826"/>
    <w:link w:val="95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26"/>
    <w:next w:val="826"/>
    <w:link w:val="95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26"/>
    <w:next w:val="826"/>
    <w:link w:val="95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26"/>
    <w:next w:val="826"/>
    <w:link w:val="95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26"/>
    <w:next w:val="826"/>
    <w:link w:val="95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26"/>
    <w:next w:val="826"/>
    <w:link w:val="955"/>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26"/>
    <w:next w:val="826"/>
    <w:link w:val="956"/>
    <w:uiPriority w:val="10"/>
    <w:qFormat/>
    <w:pPr>
      <w:contextualSpacing/>
      <w:spacing w:before="300" w:after="200"/>
    </w:pPr>
    <w:rPr>
      <w:sz w:val="48"/>
      <w:szCs w:val="48"/>
    </w:rPr>
  </w:style>
  <w:style w:type="paragraph" w:styleId="35">
    <w:name w:val="Subtitle"/>
    <w:basedOn w:val="826"/>
    <w:next w:val="826"/>
    <w:link w:val="957"/>
    <w:uiPriority w:val="11"/>
    <w:qFormat/>
    <w:pPr>
      <w:spacing w:before="200" w:after="200"/>
    </w:pPr>
    <w:rPr>
      <w:sz w:val="24"/>
      <w:szCs w:val="24"/>
    </w:rPr>
  </w:style>
  <w:style w:type="paragraph" w:styleId="41">
    <w:name w:val="Header"/>
    <w:basedOn w:val="826"/>
    <w:link w:val="960"/>
    <w:uiPriority w:val="99"/>
    <w:unhideWhenUsed/>
    <w:pPr>
      <w:spacing w:after="0" w:line="240" w:lineRule="auto"/>
      <w:tabs>
        <w:tab w:val="center" w:pos="7143" w:leader="none"/>
        <w:tab w:val="right" w:pos="14287" w:leader="none"/>
      </w:tabs>
    </w:pPr>
  </w:style>
  <w:style w:type="paragraph" w:styleId="43">
    <w:name w:val="Footer"/>
    <w:basedOn w:val="826"/>
    <w:link w:val="961"/>
    <w:uiPriority w:val="99"/>
    <w:unhideWhenUsed/>
    <w:pPr>
      <w:spacing w:after="0" w:line="240" w:lineRule="auto"/>
      <w:tabs>
        <w:tab w:val="center" w:pos="7143" w:leader="none"/>
        <w:tab w:val="right" w:pos="14287" w:leader="none"/>
      </w:tabs>
    </w:pPr>
  </w:style>
  <w:style w:type="paragraph" w:styleId="45">
    <w:name w:val="Caption"/>
    <w:basedOn w:val="826"/>
    <w:next w:val="82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26"/>
    <w:link w:val="98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26"/>
    <w:link w:val="98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26"/>
    <w:next w:val="826"/>
    <w:uiPriority w:val="39"/>
    <w:unhideWhenUsed/>
    <w:pPr>
      <w:ind w:left="0" w:right="0" w:firstLine="0"/>
      <w:spacing w:after="57"/>
    </w:pPr>
  </w:style>
  <w:style w:type="paragraph" w:styleId="181">
    <w:name w:val="toc 2"/>
    <w:basedOn w:val="826"/>
    <w:next w:val="826"/>
    <w:uiPriority w:val="39"/>
    <w:unhideWhenUsed/>
    <w:pPr>
      <w:ind w:left="283" w:right="0" w:firstLine="0"/>
      <w:spacing w:after="57"/>
    </w:pPr>
  </w:style>
  <w:style w:type="paragraph" w:styleId="182">
    <w:name w:val="toc 3"/>
    <w:basedOn w:val="826"/>
    <w:next w:val="826"/>
    <w:uiPriority w:val="39"/>
    <w:unhideWhenUsed/>
    <w:pPr>
      <w:ind w:left="567" w:right="0" w:firstLine="0"/>
      <w:spacing w:after="57"/>
    </w:pPr>
  </w:style>
  <w:style w:type="paragraph" w:styleId="183">
    <w:name w:val="toc 4"/>
    <w:basedOn w:val="826"/>
    <w:next w:val="826"/>
    <w:uiPriority w:val="39"/>
    <w:unhideWhenUsed/>
    <w:pPr>
      <w:ind w:left="850" w:right="0" w:firstLine="0"/>
      <w:spacing w:after="57"/>
    </w:pPr>
  </w:style>
  <w:style w:type="paragraph" w:styleId="184">
    <w:name w:val="toc 5"/>
    <w:basedOn w:val="826"/>
    <w:next w:val="826"/>
    <w:uiPriority w:val="39"/>
    <w:unhideWhenUsed/>
    <w:pPr>
      <w:ind w:left="1134" w:right="0" w:firstLine="0"/>
      <w:spacing w:after="57"/>
    </w:pPr>
  </w:style>
  <w:style w:type="paragraph" w:styleId="185">
    <w:name w:val="toc 6"/>
    <w:basedOn w:val="826"/>
    <w:next w:val="826"/>
    <w:uiPriority w:val="39"/>
    <w:unhideWhenUsed/>
    <w:pPr>
      <w:ind w:left="1417" w:right="0" w:firstLine="0"/>
      <w:spacing w:after="57"/>
    </w:pPr>
  </w:style>
  <w:style w:type="paragraph" w:styleId="186">
    <w:name w:val="toc 7"/>
    <w:basedOn w:val="826"/>
    <w:next w:val="826"/>
    <w:uiPriority w:val="39"/>
    <w:unhideWhenUsed/>
    <w:pPr>
      <w:ind w:left="1701" w:right="0" w:firstLine="0"/>
      <w:spacing w:after="57"/>
    </w:pPr>
  </w:style>
  <w:style w:type="paragraph" w:styleId="187">
    <w:name w:val="toc 8"/>
    <w:basedOn w:val="826"/>
    <w:next w:val="826"/>
    <w:uiPriority w:val="39"/>
    <w:unhideWhenUsed/>
    <w:pPr>
      <w:ind w:left="1984" w:right="0" w:firstLine="0"/>
      <w:spacing w:after="57"/>
    </w:pPr>
  </w:style>
  <w:style w:type="paragraph" w:styleId="188">
    <w:name w:val="toc 9"/>
    <w:basedOn w:val="826"/>
    <w:next w:val="826"/>
    <w:uiPriority w:val="39"/>
    <w:unhideWhenUsed/>
    <w:pPr>
      <w:ind w:left="2268" w:right="0" w:firstLine="0"/>
      <w:spacing w:after="57"/>
    </w:pPr>
  </w:style>
  <w:style w:type="paragraph" w:styleId="190">
    <w:name w:val="table of figures"/>
    <w:basedOn w:val="826"/>
    <w:next w:val="826"/>
    <w:uiPriority w:val="99"/>
    <w:unhideWhenUsed/>
    <w:pPr>
      <w:spacing w:after="0" w:afterAutospacing="0"/>
    </w:pPr>
  </w:style>
  <w:style w:type="paragraph" w:styleId="826" w:default="1">
    <w:name w:val="Normal"/>
    <w:next w:val="826"/>
    <w:link w:val="826"/>
    <w:qFormat/>
    <w:pPr>
      <w:jc w:val="both"/>
      <w:widowControl w:val="off"/>
    </w:pPr>
    <w:rPr>
      <w:rFonts w:ascii="Calibri" w:hAnsi="Calibri" w:eastAsia="宋体" w:cs="Times New Roman"/>
      <w:sz w:val="21"/>
      <w:szCs w:val="22"/>
      <w:lang w:val="en-US" w:eastAsia="zh-CN" w:bidi="ar-SA"/>
    </w:rPr>
  </w:style>
  <w:style w:type="paragraph" w:styleId="827">
    <w:name w:val="标题 1"/>
    <w:basedOn w:val="826"/>
    <w:next w:val="826"/>
    <w:link w:val="826"/>
    <w:uiPriority w:val="9"/>
    <w:qFormat/>
    <w:pPr>
      <w:keepLines/>
      <w:keepNext/>
      <w:spacing w:before="480" w:after="200"/>
      <w:outlineLvl w:val="0"/>
    </w:pPr>
    <w:rPr>
      <w:rFonts w:ascii="Arial" w:hAnsi="Arial" w:eastAsia="Arial" w:cs="Arial"/>
      <w:sz w:val="40"/>
      <w:szCs w:val="40"/>
    </w:rPr>
  </w:style>
  <w:style w:type="paragraph" w:styleId="828">
    <w:name w:val="标题 2"/>
    <w:basedOn w:val="826"/>
    <w:next w:val="826"/>
    <w:link w:val="826"/>
    <w:uiPriority w:val="9"/>
    <w:unhideWhenUsed/>
    <w:qFormat/>
    <w:pPr>
      <w:keepLines/>
      <w:keepNext/>
      <w:spacing w:before="360" w:after="200"/>
      <w:outlineLvl w:val="1"/>
    </w:pPr>
    <w:rPr>
      <w:rFonts w:ascii="Arial" w:hAnsi="Arial" w:eastAsia="Arial" w:cs="Arial"/>
      <w:sz w:val="34"/>
    </w:rPr>
  </w:style>
  <w:style w:type="paragraph" w:styleId="829">
    <w:name w:val="标题 3"/>
    <w:basedOn w:val="826"/>
    <w:next w:val="826"/>
    <w:link w:val="826"/>
    <w:uiPriority w:val="9"/>
    <w:unhideWhenUsed/>
    <w:qFormat/>
    <w:pPr>
      <w:keepLines/>
      <w:keepNext/>
      <w:spacing w:before="320" w:after="200"/>
      <w:outlineLvl w:val="2"/>
    </w:pPr>
    <w:rPr>
      <w:rFonts w:ascii="Arial" w:hAnsi="Arial" w:eastAsia="Arial" w:cs="Arial"/>
      <w:sz w:val="30"/>
      <w:szCs w:val="30"/>
    </w:rPr>
  </w:style>
  <w:style w:type="paragraph" w:styleId="830">
    <w:name w:val="标题 4"/>
    <w:basedOn w:val="826"/>
    <w:next w:val="826"/>
    <w:link w:val="826"/>
    <w:uiPriority w:val="9"/>
    <w:unhideWhenUsed/>
    <w:qFormat/>
    <w:pPr>
      <w:keepLines/>
      <w:keepNext/>
      <w:spacing w:before="320" w:after="200"/>
      <w:outlineLvl w:val="3"/>
    </w:pPr>
    <w:rPr>
      <w:rFonts w:ascii="Arial" w:hAnsi="Arial" w:eastAsia="Arial" w:cs="Arial"/>
      <w:b/>
      <w:bCs/>
      <w:sz w:val="26"/>
      <w:szCs w:val="26"/>
    </w:rPr>
  </w:style>
  <w:style w:type="paragraph" w:styleId="831">
    <w:name w:val="标题 5"/>
    <w:basedOn w:val="826"/>
    <w:next w:val="826"/>
    <w:link w:val="826"/>
    <w:uiPriority w:val="9"/>
    <w:unhideWhenUsed/>
    <w:qFormat/>
    <w:pPr>
      <w:keepLines/>
      <w:keepNext/>
      <w:spacing w:before="320" w:after="200"/>
      <w:outlineLvl w:val="4"/>
    </w:pPr>
    <w:rPr>
      <w:rFonts w:ascii="Arial" w:hAnsi="Arial" w:eastAsia="Arial" w:cs="Arial"/>
      <w:b/>
      <w:bCs/>
      <w:sz w:val="24"/>
      <w:szCs w:val="24"/>
    </w:rPr>
  </w:style>
  <w:style w:type="paragraph" w:styleId="832">
    <w:name w:val="标题 6"/>
    <w:basedOn w:val="826"/>
    <w:next w:val="826"/>
    <w:link w:val="826"/>
    <w:uiPriority w:val="9"/>
    <w:unhideWhenUsed/>
    <w:qFormat/>
    <w:pPr>
      <w:keepLines/>
      <w:keepNext/>
      <w:spacing w:before="320" w:after="200"/>
      <w:outlineLvl w:val="5"/>
    </w:pPr>
    <w:rPr>
      <w:rFonts w:ascii="Arial" w:hAnsi="Arial" w:eastAsia="Arial" w:cs="Arial"/>
      <w:b/>
      <w:bCs/>
      <w:sz w:val="22"/>
      <w:szCs w:val="22"/>
    </w:rPr>
  </w:style>
  <w:style w:type="paragraph" w:styleId="833">
    <w:name w:val="标题 7"/>
    <w:basedOn w:val="826"/>
    <w:next w:val="826"/>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标题 8"/>
    <w:basedOn w:val="826"/>
    <w:next w:val="826"/>
    <w:link w:val="826"/>
    <w:uiPriority w:val="9"/>
    <w:unhideWhenUsed/>
    <w:qFormat/>
    <w:pPr>
      <w:keepLines/>
      <w:keepNext/>
      <w:spacing w:before="320" w:after="200"/>
      <w:outlineLvl w:val="7"/>
    </w:pPr>
    <w:rPr>
      <w:rFonts w:ascii="Arial" w:hAnsi="Arial" w:eastAsia="Arial" w:cs="Arial"/>
      <w:i/>
      <w:iCs/>
      <w:sz w:val="22"/>
      <w:szCs w:val="22"/>
    </w:rPr>
  </w:style>
  <w:style w:type="paragraph" w:styleId="835">
    <w:name w:val="标题 9"/>
    <w:basedOn w:val="826"/>
    <w:next w:val="826"/>
    <w:link w:val="826"/>
    <w:uiPriority w:val="9"/>
    <w:unhideWhenUsed/>
    <w:qFormat/>
    <w:pPr>
      <w:keepLines/>
      <w:keepNext/>
      <w:spacing w:before="320" w:after="200"/>
      <w:outlineLvl w:val="8"/>
    </w:pPr>
    <w:rPr>
      <w:rFonts w:ascii="Arial" w:hAnsi="Arial" w:eastAsia="Arial" w:cs="Arial"/>
      <w:i/>
      <w:iCs/>
      <w:sz w:val="21"/>
      <w:szCs w:val="21"/>
    </w:rPr>
  </w:style>
  <w:style w:type="character" w:styleId="836">
    <w:name w:val="默认段落字体"/>
    <w:next w:val="836"/>
    <w:link w:val="826"/>
    <w:uiPriority w:val="1"/>
    <w:unhideWhenUsed/>
    <w:qFormat/>
  </w:style>
  <w:style w:type="table" w:styleId="837">
    <w:name w:val="普通表格"/>
    <w:next w:val="837"/>
    <w:link w:val="826"/>
    <w:uiPriority w:val="99"/>
    <w:unhideWhenUsed/>
    <w:qFormat/>
    <w:tblPr/>
  </w:style>
  <w:style w:type="paragraph" w:styleId="838">
    <w:name w:val="目录 7"/>
    <w:basedOn w:val="826"/>
    <w:next w:val="826"/>
    <w:link w:val="826"/>
    <w:uiPriority w:val="39"/>
    <w:unhideWhenUsed/>
    <w:qFormat/>
    <w:pPr>
      <w:ind w:left="1701" w:right="0" w:firstLine="0"/>
      <w:spacing w:after="57"/>
    </w:pPr>
  </w:style>
  <w:style w:type="paragraph" w:styleId="839">
    <w:name w:val="题注"/>
    <w:basedOn w:val="826"/>
    <w:next w:val="826"/>
    <w:link w:val="826"/>
    <w:uiPriority w:val="35"/>
    <w:unhideWhenUsed/>
    <w:qFormat/>
    <w:pPr>
      <w:spacing w:line="276" w:lineRule="auto"/>
    </w:pPr>
    <w:rPr>
      <w:b/>
      <w:bCs/>
      <w:color w:val="4f81bd"/>
      <w:sz w:val="18"/>
      <w:szCs w:val="18"/>
    </w:rPr>
  </w:style>
  <w:style w:type="paragraph" w:styleId="840">
    <w:name w:val="批注文字"/>
    <w:basedOn w:val="826"/>
    <w:next w:val="840"/>
    <w:link w:val="826"/>
    <w:uiPriority w:val="99"/>
    <w:unhideWhenUsed/>
    <w:qFormat/>
    <w:pPr>
      <w:jc w:val="left"/>
    </w:pPr>
  </w:style>
  <w:style w:type="paragraph" w:styleId="841">
    <w:name w:val="目录 5"/>
    <w:basedOn w:val="826"/>
    <w:next w:val="826"/>
    <w:link w:val="826"/>
    <w:uiPriority w:val="39"/>
    <w:unhideWhenUsed/>
    <w:qFormat/>
    <w:pPr>
      <w:ind w:left="1134" w:right="0" w:firstLine="0"/>
      <w:spacing w:after="57"/>
    </w:pPr>
  </w:style>
  <w:style w:type="paragraph" w:styleId="842">
    <w:name w:val="目录 3"/>
    <w:basedOn w:val="826"/>
    <w:next w:val="826"/>
    <w:link w:val="826"/>
    <w:uiPriority w:val="39"/>
    <w:unhideWhenUsed/>
    <w:qFormat/>
    <w:pPr>
      <w:ind w:left="567" w:right="0" w:firstLine="0"/>
      <w:spacing w:after="57"/>
    </w:pPr>
  </w:style>
  <w:style w:type="paragraph" w:styleId="843">
    <w:name w:val="目录 8"/>
    <w:basedOn w:val="826"/>
    <w:next w:val="826"/>
    <w:link w:val="826"/>
    <w:uiPriority w:val="39"/>
    <w:unhideWhenUsed/>
    <w:qFormat/>
    <w:pPr>
      <w:ind w:left="1984" w:right="0" w:firstLine="0"/>
      <w:spacing w:after="57"/>
    </w:pPr>
  </w:style>
  <w:style w:type="paragraph" w:styleId="844">
    <w:name w:val="尾注文本"/>
    <w:basedOn w:val="826"/>
    <w:next w:val="844"/>
    <w:link w:val="826"/>
    <w:uiPriority w:val="99"/>
    <w:unhideWhenUsed/>
    <w:qFormat/>
    <w:pPr>
      <w:spacing w:after="0" w:line="240" w:lineRule="auto"/>
    </w:pPr>
    <w:rPr>
      <w:sz w:val="20"/>
    </w:rPr>
  </w:style>
  <w:style w:type="paragraph" w:styleId="845">
    <w:name w:val="页脚"/>
    <w:basedOn w:val="826"/>
    <w:next w:val="845"/>
    <w:link w:val="826"/>
    <w:uiPriority w:val="99"/>
    <w:unhideWhenUsed/>
    <w:qFormat/>
    <w:pPr>
      <w:spacing w:after="0" w:line="240" w:lineRule="auto"/>
      <w:tabs>
        <w:tab w:val="center" w:pos="7143" w:leader="none"/>
        <w:tab w:val="right" w:pos="14287" w:leader="none"/>
      </w:tabs>
    </w:pPr>
  </w:style>
  <w:style w:type="paragraph" w:styleId="846">
    <w:name w:val="页眉"/>
    <w:basedOn w:val="826"/>
    <w:next w:val="846"/>
    <w:link w:val="826"/>
    <w:uiPriority w:val="99"/>
    <w:unhideWhenUsed/>
    <w:qFormat/>
    <w:pPr>
      <w:spacing w:after="0" w:line="240" w:lineRule="auto"/>
      <w:tabs>
        <w:tab w:val="center" w:pos="7143" w:leader="none"/>
        <w:tab w:val="right" w:pos="14287" w:leader="none"/>
      </w:tabs>
    </w:pPr>
  </w:style>
  <w:style w:type="paragraph" w:styleId="847">
    <w:name w:val="目录 1"/>
    <w:basedOn w:val="826"/>
    <w:next w:val="826"/>
    <w:link w:val="826"/>
    <w:uiPriority w:val="39"/>
    <w:unhideWhenUsed/>
    <w:qFormat/>
    <w:pPr>
      <w:ind w:left="0" w:right="0" w:firstLine="0"/>
      <w:spacing w:after="57"/>
    </w:pPr>
  </w:style>
  <w:style w:type="paragraph" w:styleId="848">
    <w:name w:val="目录 4"/>
    <w:basedOn w:val="826"/>
    <w:next w:val="826"/>
    <w:link w:val="826"/>
    <w:uiPriority w:val="39"/>
    <w:unhideWhenUsed/>
    <w:qFormat/>
    <w:pPr>
      <w:ind w:left="850" w:right="0" w:firstLine="0"/>
      <w:spacing w:after="57"/>
    </w:pPr>
  </w:style>
  <w:style w:type="paragraph" w:styleId="849">
    <w:name w:val="副标题"/>
    <w:basedOn w:val="826"/>
    <w:next w:val="826"/>
    <w:link w:val="826"/>
    <w:uiPriority w:val="11"/>
    <w:qFormat/>
    <w:pPr>
      <w:spacing w:before="200" w:after="200"/>
    </w:pPr>
    <w:rPr>
      <w:sz w:val="24"/>
      <w:szCs w:val="24"/>
    </w:rPr>
  </w:style>
  <w:style w:type="paragraph" w:styleId="850">
    <w:name w:val="脚注文本"/>
    <w:basedOn w:val="826"/>
    <w:next w:val="850"/>
    <w:link w:val="826"/>
    <w:uiPriority w:val="99"/>
    <w:unhideWhenUsed/>
    <w:qFormat/>
    <w:pPr>
      <w:spacing w:after="40" w:line="240" w:lineRule="auto"/>
    </w:pPr>
    <w:rPr>
      <w:sz w:val="18"/>
    </w:rPr>
  </w:style>
  <w:style w:type="paragraph" w:styleId="851">
    <w:name w:val="目录 6"/>
    <w:basedOn w:val="826"/>
    <w:next w:val="826"/>
    <w:link w:val="826"/>
    <w:uiPriority w:val="39"/>
    <w:unhideWhenUsed/>
    <w:qFormat/>
    <w:pPr>
      <w:ind w:left="1417" w:right="0" w:firstLine="0"/>
      <w:spacing w:after="57"/>
    </w:pPr>
  </w:style>
  <w:style w:type="paragraph" w:styleId="852">
    <w:name w:val="图表目录"/>
    <w:basedOn w:val="826"/>
    <w:next w:val="826"/>
    <w:link w:val="826"/>
    <w:uiPriority w:val="99"/>
    <w:unhideWhenUsed/>
    <w:qFormat/>
    <w:pPr>
      <w:spacing w:after="0" w:afterAutospacing="0"/>
    </w:pPr>
  </w:style>
  <w:style w:type="paragraph" w:styleId="853">
    <w:name w:val="目录 2"/>
    <w:basedOn w:val="826"/>
    <w:next w:val="826"/>
    <w:link w:val="826"/>
    <w:uiPriority w:val="39"/>
    <w:unhideWhenUsed/>
    <w:qFormat/>
    <w:pPr>
      <w:ind w:left="283" w:right="0" w:firstLine="0"/>
      <w:spacing w:after="57"/>
    </w:pPr>
  </w:style>
  <w:style w:type="paragraph" w:styleId="854">
    <w:name w:val="目录 9"/>
    <w:basedOn w:val="826"/>
    <w:next w:val="826"/>
    <w:link w:val="826"/>
    <w:uiPriority w:val="39"/>
    <w:unhideWhenUsed/>
    <w:qFormat/>
    <w:pPr>
      <w:ind w:left="2268" w:right="0" w:firstLine="0"/>
      <w:spacing w:after="57"/>
    </w:pPr>
  </w:style>
  <w:style w:type="paragraph" w:styleId="855">
    <w:name w:val="标题"/>
    <w:basedOn w:val="826"/>
    <w:next w:val="826"/>
    <w:link w:val="826"/>
    <w:uiPriority w:val="10"/>
    <w:qFormat/>
    <w:pPr>
      <w:contextualSpacing/>
      <w:spacing w:before="300" w:after="200"/>
    </w:pPr>
    <w:rPr>
      <w:sz w:val="48"/>
      <w:szCs w:val="48"/>
    </w:rPr>
  </w:style>
  <w:style w:type="table" w:styleId="856">
    <w:name w:val="网格型"/>
    <w:next w:val="856"/>
    <w:link w:val="826"/>
    <w:uiPriority w:val="59"/>
    <w:qFormat/>
    <w:pPr>
      <w:spacing w:after="0" w:line="240" w:lineRule="auto"/>
    </w:pPr>
    <w:tblPr/>
  </w:style>
  <w:style w:type="character" w:styleId="857">
    <w:name w:val="尾注引用"/>
    <w:next w:val="857"/>
    <w:link w:val="826"/>
    <w:uiPriority w:val="99"/>
    <w:unhideWhenUsed/>
    <w:qFormat/>
    <w:rPr>
      <w:vertAlign w:val="superscript"/>
    </w:rPr>
  </w:style>
  <w:style w:type="character" w:styleId="858">
    <w:name w:val="超链接"/>
    <w:next w:val="858"/>
    <w:link w:val="826"/>
    <w:uiPriority w:val="99"/>
    <w:unhideWhenUsed/>
    <w:qFormat/>
    <w:rPr>
      <w:color w:val="0000ff"/>
      <w:u w:val="single"/>
    </w:rPr>
  </w:style>
  <w:style w:type="character" w:styleId="859">
    <w:name w:val="脚注引用"/>
    <w:next w:val="859"/>
    <w:link w:val="826"/>
    <w:uiPriority w:val="99"/>
    <w:unhideWhenUsed/>
    <w:qFormat/>
    <w:rPr>
      <w:vertAlign w:val="superscript"/>
    </w:rPr>
  </w:style>
  <w:style w:type="character" w:styleId="860">
    <w:name w:val="font31"/>
    <w:next w:val="860"/>
    <w:link w:val="826"/>
    <w:qFormat/>
    <w:rPr>
      <w:rFonts w:hint="eastAsia" w:ascii="宋体" w:hAnsi="宋体" w:eastAsia="宋体" w:cs="宋体"/>
      <w:color w:val="000000"/>
      <w:sz w:val="21"/>
      <w:szCs w:val="21"/>
      <w:u w:val="none"/>
    </w:rPr>
  </w:style>
  <w:style w:type="paragraph" w:styleId="861">
    <w:name w:val="标题 111"/>
    <w:basedOn w:val="826"/>
    <w:next w:val="826"/>
    <w:link w:val="862"/>
    <w:uiPriority w:val="9"/>
    <w:qFormat/>
    <w:pPr>
      <w:jc w:val="center"/>
      <w:keepLines/>
      <w:keepNext/>
      <w:spacing w:line="360" w:lineRule="auto"/>
      <w:outlineLvl w:val="0"/>
    </w:pPr>
    <w:rPr>
      <w:rFonts w:ascii="Arial" w:hAnsi="Arial" w:cs="Arial"/>
      <w:b/>
      <w:sz w:val="30"/>
      <w:szCs w:val="40"/>
    </w:rPr>
  </w:style>
  <w:style w:type="character" w:styleId="862">
    <w:name w:val="标题 1 字符"/>
    <w:next w:val="862"/>
    <w:link w:val="861"/>
    <w:uiPriority w:val="9"/>
    <w:qFormat/>
    <w:rPr>
      <w:rFonts w:ascii="Arial" w:hAnsi="Arial" w:eastAsia="宋体" w:cs="Arial"/>
      <w:b/>
      <w:sz w:val="30"/>
      <w:szCs w:val="40"/>
    </w:rPr>
  </w:style>
  <w:style w:type="paragraph" w:styleId="863">
    <w:name w:val="标题 211"/>
    <w:basedOn w:val="826"/>
    <w:next w:val="826"/>
    <w:link w:val="864"/>
    <w:uiPriority w:val="9"/>
    <w:unhideWhenUsed/>
    <w:qFormat/>
    <w:pPr>
      <w:keepLines/>
      <w:keepNext/>
      <w:spacing w:before="360" w:after="200"/>
      <w:outlineLvl w:val="1"/>
    </w:pPr>
    <w:rPr>
      <w:rFonts w:ascii="Arial" w:hAnsi="Arial" w:eastAsia="Arial" w:cs="Arial"/>
      <w:sz w:val="34"/>
    </w:rPr>
  </w:style>
  <w:style w:type="character" w:styleId="864">
    <w:name w:val="标题 2 字符"/>
    <w:next w:val="864"/>
    <w:link w:val="863"/>
    <w:uiPriority w:val="9"/>
    <w:qFormat/>
    <w:rPr>
      <w:rFonts w:ascii="Arial" w:hAnsi="Arial" w:eastAsia="Arial" w:cs="Arial"/>
      <w:sz w:val="34"/>
    </w:rPr>
  </w:style>
  <w:style w:type="paragraph" w:styleId="865">
    <w:name w:val="标题 3111"/>
    <w:basedOn w:val="826"/>
    <w:next w:val="867"/>
    <w:link w:val="866"/>
    <w:uiPriority w:val="9"/>
    <w:unhideWhenUsed/>
    <w:qFormat/>
    <w:pPr>
      <w:keepLines/>
      <w:keepNext/>
      <w:spacing w:before="320" w:after="200"/>
      <w:outlineLvl w:val="2"/>
    </w:pPr>
    <w:rPr>
      <w:rFonts w:ascii="Arial" w:hAnsi="Arial" w:eastAsia="Arial" w:cs="Arial"/>
      <w:sz w:val="30"/>
      <w:szCs w:val="30"/>
    </w:rPr>
  </w:style>
  <w:style w:type="character" w:styleId="866">
    <w:name w:val="标题 3 字符"/>
    <w:next w:val="866"/>
    <w:link w:val="865"/>
    <w:uiPriority w:val="9"/>
    <w:qFormat/>
    <w:rPr>
      <w:rFonts w:ascii="Arial" w:hAnsi="Arial" w:eastAsia="Arial" w:cs="Arial"/>
      <w:sz w:val="30"/>
      <w:szCs w:val="30"/>
    </w:rPr>
  </w:style>
  <w:style w:type="paragraph" w:styleId="867">
    <w:name w:val="正文缩进12"/>
    <w:basedOn w:val="826"/>
    <w:next w:val="867"/>
    <w:link w:val="826"/>
    <w:uiPriority w:val="99"/>
    <w:qFormat/>
    <w:pPr>
      <w:ind w:firstLine="420"/>
    </w:pPr>
  </w:style>
  <w:style w:type="paragraph" w:styleId="868">
    <w:name w:val="标题 41"/>
    <w:basedOn w:val="826"/>
    <w:next w:val="826"/>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标题 4 字符"/>
    <w:next w:val="869"/>
    <w:link w:val="868"/>
    <w:uiPriority w:val="9"/>
    <w:qFormat/>
    <w:rPr>
      <w:rFonts w:ascii="Arial" w:hAnsi="Arial" w:eastAsia="Arial" w:cs="Arial"/>
      <w:b/>
      <w:bCs/>
      <w:sz w:val="26"/>
      <w:szCs w:val="26"/>
    </w:rPr>
  </w:style>
  <w:style w:type="paragraph" w:styleId="870">
    <w:name w:val="标题 51"/>
    <w:basedOn w:val="826"/>
    <w:next w:val="826"/>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标题 5 字符"/>
    <w:next w:val="871"/>
    <w:link w:val="870"/>
    <w:uiPriority w:val="9"/>
    <w:qFormat/>
    <w:rPr>
      <w:rFonts w:ascii="Arial" w:hAnsi="Arial" w:eastAsia="Arial" w:cs="Arial"/>
      <w:b/>
      <w:bCs/>
      <w:sz w:val="24"/>
      <w:szCs w:val="24"/>
    </w:rPr>
  </w:style>
  <w:style w:type="paragraph" w:styleId="872">
    <w:name w:val="标题 61"/>
    <w:basedOn w:val="826"/>
    <w:next w:val="826"/>
    <w:link w:val="873"/>
    <w:uiPriority w:val="9"/>
    <w:unhideWhenUsed/>
    <w:qFormat/>
    <w:pPr>
      <w:keepLines/>
      <w:keepNext/>
      <w:spacing w:before="320" w:after="200"/>
      <w:outlineLvl w:val="5"/>
    </w:pPr>
    <w:rPr>
      <w:rFonts w:ascii="Arial" w:hAnsi="Arial" w:eastAsia="Arial" w:cs="Arial"/>
      <w:b/>
      <w:bCs/>
      <w:sz w:val="22"/>
    </w:rPr>
  </w:style>
  <w:style w:type="character" w:styleId="873">
    <w:name w:val="标题 6 字符"/>
    <w:next w:val="873"/>
    <w:link w:val="872"/>
    <w:uiPriority w:val="9"/>
    <w:qFormat/>
    <w:rPr>
      <w:rFonts w:ascii="Arial" w:hAnsi="Arial" w:eastAsia="Arial" w:cs="Arial"/>
      <w:b/>
      <w:bCs/>
      <w:sz w:val="22"/>
      <w:szCs w:val="22"/>
    </w:rPr>
  </w:style>
  <w:style w:type="paragraph" w:styleId="874">
    <w:name w:val="标题 71"/>
    <w:basedOn w:val="826"/>
    <w:next w:val="826"/>
    <w:link w:val="875"/>
    <w:uiPriority w:val="9"/>
    <w:unhideWhenUsed/>
    <w:qFormat/>
    <w:pPr>
      <w:keepLines/>
      <w:keepNext/>
      <w:spacing w:before="320" w:after="200"/>
      <w:outlineLvl w:val="6"/>
    </w:pPr>
    <w:rPr>
      <w:rFonts w:ascii="Arial" w:hAnsi="Arial" w:eastAsia="Arial" w:cs="Arial"/>
      <w:b/>
      <w:bCs/>
      <w:i/>
      <w:iCs/>
      <w:sz w:val="22"/>
    </w:rPr>
  </w:style>
  <w:style w:type="character" w:styleId="875">
    <w:name w:val="标题 7 字符"/>
    <w:next w:val="875"/>
    <w:link w:val="874"/>
    <w:uiPriority w:val="9"/>
    <w:qFormat/>
    <w:rPr>
      <w:rFonts w:ascii="Arial" w:hAnsi="Arial" w:eastAsia="Arial" w:cs="Arial"/>
      <w:b/>
      <w:bCs/>
      <w:i/>
      <w:iCs/>
      <w:sz w:val="22"/>
      <w:szCs w:val="22"/>
    </w:rPr>
  </w:style>
  <w:style w:type="paragraph" w:styleId="876">
    <w:name w:val="标题 81"/>
    <w:basedOn w:val="826"/>
    <w:next w:val="826"/>
    <w:link w:val="877"/>
    <w:uiPriority w:val="9"/>
    <w:unhideWhenUsed/>
    <w:qFormat/>
    <w:pPr>
      <w:keepLines/>
      <w:keepNext/>
      <w:spacing w:before="320" w:after="200"/>
      <w:outlineLvl w:val="7"/>
    </w:pPr>
    <w:rPr>
      <w:rFonts w:ascii="Arial" w:hAnsi="Arial" w:eastAsia="Arial" w:cs="Arial"/>
      <w:i/>
      <w:iCs/>
      <w:sz w:val="22"/>
    </w:rPr>
  </w:style>
  <w:style w:type="character" w:styleId="877">
    <w:name w:val="标题 8 字符"/>
    <w:next w:val="877"/>
    <w:link w:val="876"/>
    <w:uiPriority w:val="9"/>
    <w:qFormat/>
    <w:rPr>
      <w:rFonts w:ascii="Arial" w:hAnsi="Arial" w:eastAsia="Arial" w:cs="Arial"/>
      <w:i/>
      <w:iCs/>
      <w:sz w:val="22"/>
      <w:szCs w:val="22"/>
    </w:rPr>
  </w:style>
  <w:style w:type="paragraph" w:styleId="878">
    <w:name w:val="标题 91"/>
    <w:basedOn w:val="826"/>
    <w:next w:val="826"/>
    <w:link w:val="879"/>
    <w:uiPriority w:val="9"/>
    <w:unhideWhenUsed/>
    <w:qFormat/>
    <w:pPr>
      <w:keepLines/>
      <w:keepNext/>
      <w:spacing w:before="320" w:after="200"/>
      <w:outlineLvl w:val="8"/>
    </w:pPr>
    <w:rPr>
      <w:rFonts w:ascii="Arial" w:hAnsi="Arial" w:eastAsia="Arial" w:cs="Arial"/>
      <w:i/>
      <w:iCs/>
      <w:szCs w:val="21"/>
    </w:rPr>
  </w:style>
  <w:style w:type="character" w:styleId="879">
    <w:name w:val="标题 9 字符"/>
    <w:next w:val="879"/>
    <w:link w:val="878"/>
    <w:uiPriority w:val="9"/>
    <w:qFormat/>
    <w:rPr>
      <w:rFonts w:ascii="Arial" w:hAnsi="Arial" w:eastAsia="Arial" w:cs="Arial"/>
      <w:i/>
      <w:iCs/>
      <w:sz w:val="21"/>
      <w:szCs w:val="21"/>
    </w:rPr>
  </w:style>
  <w:style w:type="character" w:styleId="880">
    <w:name w:val="默认段落字体11"/>
    <w:next w:val="880"/>
    <w:link w:val="826"/>
    <w:uiPriority w:val="1"/>
    <w:unhideWhenUsed/>
    <w:qFormat/>
  </w:style>
  <w:style w:type="table" w:styleId="881">
    <w:name w:val="普通表格11"/>
    <w:next w:val="881"/>
    <w:link w:val="826"/>
    <w:uiPriority w:val="99"/>
    <w:unhideWhenUsed/>
    <w:qFormat/>
    <w:tblPr/>
  </w:style>
  <w:style w:type="paragraph" w:styleId="882">
    <w:name w:val="目录 71"/>
    <w:basedOn w:val="826"/>
    <w:next w:val="826"/>
    <w:link w:val="826"/>
    <w:uiPriority w:val="39"/>
    <w:unhideWhenUsed/>
    <w:qFormat/>
    <w:pPr>
      <w:ind w:left="1701"/>
      <w:spacing w:after="57"/>
    </w:pPr>
  </w:style>
  <w:style w:type="paragraph" w:styleId="883">
    <w:name w:val="题注1"/>
    <w:basedOn w:val="826"/>
    <w:next w:val="826"/>
    <w:link w:val="826"/>
    <w:uiPriority w:val="35"/>
    <w:unhideWhenUsed/>
    <w:qFormat/>
    <w:pPr>
      <w:spacing w:line="276" w:lineRule="auto"/>
    </w:pPr>
    <w:rPr>
      <w:b/>
      <w:bCs/>
      <w:color w:val="4f81bd"/>
      <w:sz w:val="18"/>
      <w:szCs w:val="18"/>
    </w:rPr>
  </w:style>
  <w:style w:type="paragraph" w:styleId="884">
    <w:name w:val="批注文字11"/>
    <w:basedOn w:val="826"/>
    <w:next w:val="884"/>
    <w:link w:val="885"/>
    <w:uiPriority w:val="99"/>
    <w:unhideWhenUsed/>
    <w:qFormat/>
    <w:pPr>
      <w:jc w:val="left"/>
    </w:pPr>
  </w:style>
  <w:style w:type="character" w:styleId="885">
    <w:name w:val="批注文字 字符"/>
    <w:basedOn w:val="880"/>
    <w:next w:val="885"/>
    <w:link w:val="884"/>
    <w:uiPriority w:val="99"/>
    <w:semiHidden/>
    <w:qFormat/>
    <w:rPr>
      <w:rFonts w:ascii="Calibri" w:hAnsi="Calibri"/>
      <w:sz w:val="21"/>
      <w:szCs w:val="22"/>
    </w:rPr>
  </w:style>
  <w:style w:type="paragraph" w:styleId="886">
    <w:name w:val="正文文本111"/>
    <w:basedOn w:val="826"/>
    <w:next w:val="886"/>
    <w:link w:val="826"/>
    <w:qFormat/>
    <w:pPr>
      <w:spacing w:after="120"/>
    </w:pPr>
    <w:rPr>
      <w:rFonts w:ascii="Times New Roman" w:hAnsi="Times New Roman"/>
    </w:rPr>
  </w:style>
  <w:style w:type="paragraph" w:styleId="887">
    <w:name w:val="正文文本缩进11"/>
    <w:basedOn w:val="826"/>
    <w:next w:val="826"/>
    <w:link w:val="826"/>
    <w:qFormat/>
    <w:pPr>
      <w:ind w:left="420"/>
      <w:spacing w:after="120"/>
    </w:pPr>
    <w:rPr>
      <w:rFonts w:ascii="等线" w:hAnsi="等线" w:eastAsia="等线"/>
    </w:rPr>
  </w:style>
  <w:style w:type="paragraph" w:styleId="888">
    <w:name w:val="目录 51"/>
    <w:basedOn w:val="826"/>
    <w:next w:val="826"/>
    <w:link w:val="826"/>
    <w:uiPriority w:val="39"/>
    <w:unhideWhenUsed/>
    <w:qFormat/>
    <w:pPr>
      <w:ind w:left="1134"/>
      <w:spacing w:after="57"/>
    </w:pPr>
  </w:style>
  <w:style w:type="paragraph" w:styleId="889">
    <w:name w:val="目录 31"/>
    <w:basedOn w:val="826"/>
    <w:next w:val="826"/>
    <w:link w:val="826"/>
    <w:uiPriority w:val="39"/>
    <w:unhideWhenUsed/>
    <w:qFormat/>
    <w:pPr>
      <w:ind w:left="567"/>
      <w:spacing w:after="57"/>
    </w:pPr>
  </w:style>
  <w:style w:type="paragraph" w:styleId="890">
    <w:name w:val="纯文本11"/>
    <w:basedOn w:val="826"/>
    <w:next w:val="890"/>
    <w:link w:val="826"/>
    <w:qFormat/>
    <w:rPr>
      <w:rFonts w:ascii="宋体" w:hAnsi="Courier New"/>
      <w:sz w:val="20"/>
      <w:szCs w:val="21"/>
    </w:rPr>
  </w:style>
  <w:style w:type="paragraph" w:styleId="891">
    <w:name w:val="目录 81"/>
    <w:basedOn w:val="826"/>
    <w:next w:val="826"/>
    <w:link w:val="826"/>
    <w:uiPriority w:val="39"/>
    <w:unhideWhenUsed/>
    <w:qFormat/>
    <w:pPr>
      <w:ind w:left="1984"/>
      <w:spacing w:after="57"/>
    </w:pPr>
  </w:style>
  <w:style w:type="paragraph" w:styleId="892">
    <w:name w:val="尾注文本1"/>
    <w:basedOn w:val="826"/>
    <w:next w:val="892"/>
    <w:link w:val="893"/>
    <w:uiPriority w:val="99"/>
    <w:unhideWhenUsed/>
    <w:qFormat/>
    <w:rPr>
      <w:sz w:val="20"/>
    </w:rPr>
  </w:style>
  <w:style w:type="character" w:styleId="893">
    <w:name w:val="尾注文本 字符"/>
    <w:next w:val="893"/>
    <w:link w:val="892"/>
    <w:uiPriority w:val="99"/>
    <w:qFormat/>
    <w:rPr>
      <w:sz w:val="20"/>
    </w:rPr>
  </w:style>
  <w:style w:type="paragraph" w:styleId="894">
    <w:name w:val="页脚111"/>
    <w:basedOn w:val="826"/>
    <w:next w:val="894"/>
    <w:link w:val="895"/>
    <w:uiPriority w:val="99"/>
    <w:unhideWhenUsed/>
    <w:qFormat/>
    <w:pPr>
      <w:tabs>
        <w:tab w:val="center" w:pos="7143" w:leader="none"/>
        <w:tab w:val="right" w:pos="14287" w:leader="none"/>
      </w:tabs>
    </w:pPr>
  </w:style>
  <w:style w:type="character" w:styleId="895">
    <w:name w:val="页脚 字符"/>
    <w:next w:val="895"/>
    <w:link w:val="894"/>
    <w:uiPriority w:val="99"/>
    <w:qFormat/>
  </w:style>
  <w:style w:type="paragraph" w:styleId="896">
    <w:name w:val="页眉111"/>
    <w:basedOn w:val="826"/>
    <w:next w:val="896"/>
    <w:link w:val="897"/>
    <w:uiPriority w:val="99"/>
    <w:unhideWhenUsed/>
    <w:qFormat/>
    <w:pPr>
      <w:tabs>
        <w:tab w:val="center" w:pos="7143" w:leader="none"/>
        <w:tab w:val="right" w:pos="14287" w:leader="none"/>
      </w:tabs>
    </w:pPr>
  </w:style>
  <w:style w:type="character" w:styleId="897">
    <w:name w:val="页眉 字符"/>
    <w:next w:val="897"/>
    <w:link w:val="896"/>
    <w:uiPriority w:val="99"/>
    <w:qFormat/>
  </w:style>
  <w:style w:type="paragraph" w:styleId="898">
    <w:name w:val="目录 111"/>
    <w:basedOn w:val="826"/>
    <w:next w:val="826"/>
    <w:link w:val="826"/>
    <w:uiPriority w:val="39"/>
    <w:unhideWhenUsed/>
    <w:qFormat/>
    <w:pPr>
      <w:spacing w:after="57"/>
    </w:pPr>
  </w:style>
  <w:style w:type="paragraph" w:styleId="899">
    <w:name w:val="目录 41"/>
    <w:basedOn w:val="826"/>
    <w:next w:val="826"/>
    <w:link w:val="826"/>
    <w:uiPriority w:val="39"/>
    <w:unhideWhenUsed/>
    <w:qFormat/>
    <w:pPr>
      <w:ind w:left="850"/>
      <w:spacing w:after="57"/>
    </w:pPr>
  </w:style>
  <w:style w:type="paragraph" w:styleId="900">
    <w:name w:val="副标题1"/>
    <w:basedOn w:val="826"/>
    <w:next w:val="826"/>
    <w:link w:val="901"/>
    <w:uiPriority w:val="11"/>
    <w:qFormat/>
    <w:pPr>
      <w:spacing w:before="200" w:after="200"/>
    </w:pPr>
    <w:rPr>
      <w:sz w:val="24"/>
      <w:szCs w:val="24"/>
    </w:rPr>
  </w:style>
  <w:style w:type="character" w:styleId="901">
    <w:name w:val="副标题 字符"/>
    <w:next w:val="901"/>
    <w:link w:val="900"/>
    <w:uiPriority w:val="11"/>
    <w:qFormat/>
    <w:rPr>
      <w:sz w:val="24"/>
      <w:szCs w:val="24"/>
    </w:rPr>
  </w:style>
  <w:style w:type="paragraph" w:styleId="902">
    <w:name w:val="脚注文本1"/>
    <w:basedOn w:val="826"/>
    <w:next w:val="902"/>
    <w:link w:val="903"/>
    <w:uiPriority w:val="99"/>
    <w:unhideWhenUsed/>
    <w:qFormat/>
    <w:pPr>
      <w:spacing w:after="40"/>
    </w:pPr>
    <w:rPr>
      <w:sz w:val="18"/>
    </w:rPr>
  </w:style>
  <w:style w:type="character" w:styleId="903">
    <w:name w:val="脚注文本 字符"/>
    <w:next w:val="903"/>
    <w:link w:val="902"/>
    <w:uiPriority w:val="99"/>
    <w:qFormat/>
    <w:rPr>
      <w:sz w:val="18"/>
    </w:rPr>
  </w:style>
  <w:style w:type="paragraph" w:styleId="904">
    <w:name w:val="目录 61"/>
    <w:basedOn w:val="826"/>
    <w:next w:val="826"/>
    <w:link w:val="826"/>
    <w:uiPriority w:val="39"/>
    <w:unhideWhenUsed/>
    <w:qFormat/>
    <w:pPr>
      <w:ind w:left="1417"/>
      <w:spacing w:after="57"/>
    </w:pPr>
  </w:style>
  <w:style w:type="paragraph" w:styleId="905">
    <w:name w:val="图表目录1"/>
    <w:basedOn w:val="826"/>
    <w:next w:val="826"/>
    <w:link w:val="826"/>
    <w:uiPriority w:val="99"/>
    <w:unhideWhenUsed/>
    <w:qFormat/>
  </w:style>
  <w:style w:type="paragraph" w:styleId="906">
    <w:name w:val="目录 211"/>
    <w:basedOn w:val="826"/>
    <w:next w:val="826"/>
    <w:link w:val="826"/>
    <w:uiPriority w:val="39"/>
    <w:unhideWhenUsed/>
    <w:qFormat/>
    <w:pPr>
      <w:ind w:left="283"/>
      <w:spacing w:after="57"/>
    </w:pPr>
  </w:style>
  <w:style w:type="paragraph" w:styleId="907">
    <w:name w:val="目录 91"/>
    <w:basedOn w:val="826"/>
    <w:next w:val="826"/>
    <w:link w:val="826"/>
    <w:uiPriority w:val="39"/>
    <w:unhideWhenUsed/>
    <w:qFormat/>
    <w:pPr>
      <w:ind w:left="2268"/>
      <w:spacing w:after="57"/>
    </w:pPr>
  </w:style>
  <w:style w:type="paragraph" w:styleId="908">
    <w:name w:val="正文文本 211"/>
    <w:basedOn w:val="826"/>
    <w:next w:val="908"/>
    <w:link w:val="826"/>
    <w:qFormat/>
    <w:pPr>
      <w:spacing w:after="120" w:line="480" w:lineRule="auto"/>
    </w:pPr>
  </w:style>
  <w:style w:type="paragraph" w:styleId="909">
    <w:name w:val="普通(网站)11"/>
    <w:basedOn w:val="826"/>
    <w:next w:val="909"/>
    <w:link w:val="826"/>
    <w:uiPriority w:val="99"/>
    <w:unhideWhenUsed/>
    <w:qFormat/>
    <w:pPr>
      <w:jc w:val="left"/>
      <w:spacing w:beforeAutospacing="1" w:afterAutospacing="1"/>
    </w:pPr>
    <w:rPr>
      <w:sz w:val="24"/>
    </w:rPr>
  </w:style>
  <w:style w:type="paragraph" w:styleId="910">
    <w:name w:val="标题11"/>
    <w:basedOn w:val="826"/>
    <w:next w:val="826"/>
    <w:link w:val="911"/>
    <w:uiPriority w:val="10"/>
    <w:qFormat/>
    <w:pPr>
      <w:contextualSpacing/>
      <w:spacing w:before="300" w:after="200"/>
    </w:pPr>
    <w:rPr>
      <w:sz w:val="48"/>
      <w:szCs w:val="48"/>
    </w:rPr>
  </w:style>
  <w:style w:type="character" w:styleId="911">
    <w:name w:val="标题 字符"/>
    <w:next w:val="911"/>
    <w:link w:val="910"/>
    <w:uiPriority w:val="10"/>
    <w:qFormat/>
    <w:rPr>
      <w:sz w:val="48"/>
      <w:szCs w:val="48"/>
    </w:rPr>
  </w:style>
  <w:style w:type="paragraph" w:styleId="912">
    <w:name w:val="批注主题11"/>
    <w:basedOn w:val="884"/>
    <w:next w:val="884"/>
    <w:link w:val="913"/>
    <w:uiPriority w:val="99"/>
    <w:unhideWhenUsed/>
    <w:qFormat/>
    <w:rPr>
      <w:b/>
      <w:bCs/>
    </w:rPr>
  </w:style>
  <w:style w:type="character" w:styleId="913">
    <w:name w:val="批注主题 字符"/>
    <w:basedOn w:val="885"/>
    <w:next w:val="913"/>
    <w:link w:val="912"/>
    <w:uiPriority w:val="99"/>
    <w:semiHidden/>
    <w:qFormat/>
    <w:rPr>
      <w:rFonts w:ascii="Calibri" w:hAnsi="Calibri"/>
      <w:b/>
      <w:bCs/>
      <w:sz w:val="21"/>
      <w:szCs w:val="22"/>
    </w:rPr>
  </w:style>
  <w:style w:type="paragraph" w:styleId="914">
    <w:name w:val="正文首行缩进1"/>
    <w:basedOn w:val="886"/>
    <w:next w:val="914"/>
    <w:link w:val="826"/>
    <w:unhideWhenUsed/>
    <w:qFormat/>
    <w:pPr>
      <w:ind w:firstLine="420"/>
    </w:pPr>
    <w:rPr>
      <w:szCs w:val="21"/>
    </w:rPr>
  </w:style>
  <w:style w:type="table" w:styleId="915">
    <w:name w:val="网格型11"/>
    <w:next w:val="915"/>
    <w:link w:val="826"/>
    <w:uiPriority w:val="59"/>
    <w:qFormat/>
    <w:tblPr/>
  </w:style>
  <w:style w:type="character" w:styleId="916">
    <w:name w:val="要点11"/>
    <w:basedOn w:val="880"/>
    <w:next w:val="916"/>
    <w:link w:val="826"/>
    <w:uiPriority w:val="22"/>
    <w:qFormat/>
    <w:rPr>
      <w:b/>
    </w:rPr>
  </w:style>
  <w:style w:type="character" w:styleId="917">
    <w:name w:val="尾注引用1"/>
    <w:next w:val="917"/>
    <w:link w:val="826"/>
    <w:uiPriority w:val="99"/>
    <w:unhideWhenUsed/>
    <w:qFormat/>
    <w:rPr>
      <w:vertAlign w:val="superscript"/>
    </w:rPr>
  </w:style>
  <w:style w:type="character" w:styleId="918">
    <w:name w:val="强调11"/>
    <w:next w:val="918"/>
    <w:link w:val="826"/>
    <w:qFormat/>
    <w:rPr>
      <w:i/>
    </w:rPr>
  </w:style>
  <w:style w:type="character" w:styleId="919">
    <w:name w:val="超链接11"/>
    <w:next w:val="919"/>
    <w:link w:val="826"/>
    <w:uiPriority w:val="99"/>
    <w:unhideWhenUsed/>
    <w:qFormat/>
    <w:rPr>
      <w:color w:val="0000ff"/>
      <w:u w:val="single"/>
    </w:rPr>
  </w:style>
  <w:style w:type="character" w:styleId="920">
    <w:name w:val="批注引用11"/>
    <w:basedOn w:val="880"/>
    <w:next w:val="920"/>
    <w:link w:val="826"/>
    <w:qFormat/>
    <w:rPr>
      <w:sz w:val="21"/>
      <w:szCs w:val="21"/>
    </w:rPr>
  </w:style>
  <w:style w:type="character" w:styleId="921">
    <w:name w:val="脚注引用1"/>
    <w:next w:val="921"/>
    <w:link w:val="826"/>
    <w:uiPriority w:val="99"/>
    <w:unhideWhenUsed/>
    <w:qFormat/>
    <w:rPr>
      <w:vertAlign w:val="superscript"/>
    </w:rPr>
  </w:style>
  <w:style w:type="paragraph" w:styleId="922">
    <w:name w:val="段"/>
    <w:basedOn w:val="923"/>
    <w:next w:val="826"/>
    <w:link w:val="826"/>
    <w:qFormat/>
    <w:pPr>
      <w:ind w:firstLine="200"/>
      <w:widowControl/>
    </w:pPr>
    <w:rPr>
      <w:sz w:val="20"/>
    </w:rPr>
  </w:style>
  <w:style w:type="paragraph" w:styleId="923">
    <w:name w:val="正文1"/>
    <w:basedOn w:val="826"/>
    <w:next w:val="924"/>
    <w:link w:val="826"/>
    <w:qFormat/>
    <w:pPr>
      <w:jc w:val="left"/>
      <w:spacing w:line="360" w:lineRule="atLeast"/>
    </w:pPr>
    <w:rPr>
      <w:rFonts w:ascii="宋体" w:cs="Arial"/>
      <w:sz w:val="24"/>
      <w:szCs w:val="20"/>
    </w:rPr>
  </w:style>
  <w:style w:type="paragraph" w:styleId="924">
    <w:name w:val="正文文本1"/>
    <w:basedOn w:val="923"/>
    <w:next w:val="925"/>
    <w:link w:val="826"/>
    <w:qFormat/>
    <w:pPr>
      <w:spacing w:after="120"/>
    </w:pPr>
    <w:rPr>
      <w:lang w:eastAsia="en-US"/>
    </w:rPr>
  </w:style>
  <w:style w:type="paragraph" w:styleId="925">
    <w:name w:val="目录 21"/>
    <w:basedOn w:val="826"/>
    <w:next w:val="826"/>
    <w:link w:val="826"/>
    <w:qFormat/>
    <w:pPr>
      <w:ind w:left="420"/>
    </w:pPr>
  </w:style>
  <w:style w:type="paragraph" w:styleId="926">
    <w:name w:val="首行缩进"/>
    <w:basedOn w:val="826"/>
    <w:next w:val="926"/>
    <w:link w:val="826"/>
    <w:qFormat/>
    <w:pPr>
      <w:ind w:firstLine="420"/>
      <w:spacing w:line="360" w:lineRule="auto"/>
    </w:pPr>
  </w:style>
  <w:style w:type="table" w:styleId="927">
    <w:name w:val="Plain Table 1"/>
    <w:basedOn w:val="881"/>
    <w:next w:val="927"/>
    <w:link w:val="826"/>
    <w:uiPriority w:val="59"/>
    <w:qFormat/>
    <w:pPr>
      <w:spacing w:after="0" w:line="240" w:lineRule="auto"/>
    </w:pPr>
    <w:tblPr/>
  </w:style>
  <w:style w:type="table" w:styleId="928">
    <w:name w:val="Plain Table 2"/>
    <w:basedOn w:val="881"/>
    <w:next w:val="928"/>
    <w:link w:val="826"/>
    <w:uiPriority w:val="59"/>
    <w:qFormat/>
    <w:pPr>
      <w:spacing w:after="0" w:line="240" w:lineRule="auto"/>
    </w:pPr>
    <w:tblPr/>
  </w:style>
  <w:style w:type="table" w:styleId="929">
    <w:name w:val="Plain Table 3"/>
    <w:basedOn w:val="881"/>
    <w:next w:val="929"/>
    <w:link w:val="826"/>
    <w:uiPriority w:val="99"/>
    <w:qFormat/>
    <w:pPr>
      <w:spacing w:after="0" w:line="240" w:lineRule="auto"/>
    </w:pPr>
    <w:tblPr/>
  </w:style>
  <w:style w:type="table" w:styleId="930">
    <w:name w:val="Plain Table 4"/>
    <w:basedOn w:val="881"/>
    <w:next w:val="930"/>
    <w:link w:val="826"/>
    <w:uiPriority w:val="99"/>
    <w:qFormat/>
    <w:pPr>
      <w:spacing w:after="0" w:line="240" w:lineRule="auto"/>
    </w:pPr>
    <w:tblPr/>
  </w:style>
  <w:style w:type="table" w:styleId="931">
    <w:name w:val="Plain Table 5"/>
    <w:basedOn w:val="881"/>
    <w:next w:val="931"/>
    <w:link w:val="826"/>
    <w:uiPriority w:val="99"/>
    <w:qFormat/>
    <w:pPr>
      <w:spacing w:after="0" w:line="240" w:lineRule="auto"/>
    </w:pPr>
    <w:tblPr/>
  </w:style>
  <w:style w:type="table" w:styleId="932">
    <w:name w:val="Grid Table 1 Light"/>
    <w:basedOn w:val="881"/>
    <w:next w:val="932"/>
    <w:link w:val="826"/>
    <w:uiPriority w:val="99"/>
    <w:qFormat/>
    <w:pPr>
      <w:spacing w:after="0" w:line="240" w:lineRule="auto"/>
    </w:pPr>
    <w:tblPr/>
  </w:style>
  <w:style w:type="table" w:styleId="933">
    <w:name w:val="Grid Table 2"/>
    <w:basedOn w:val="881"/>
    <w:next w:val="933"/>
    <w:link w:val="826"/>
    <w:uiPriority w:val="99"/>
    <w:qFormat/>
    <w:pPr>
      <w:spacing w:after="0" w:line="240" w:lineRule="auto"/>
    </w:pPr>
    <w:tblPr/>
  </w:style>
  <w:style w:type="table" w:styleId="934">
    <w:name w:val="Grid Table 3"/>
    <w:basedOn w:val="881"/>
    <w:next w:val="934"/>
    <w:link w:val="826"/>
    <w:uiPriority w:val="99"/>
    <w:qFormat/>
    <w:pPr>
      <w:spacing w:after="0" w:line="240" w:lineRule="auto"/>
    </w:pPr>
    <w:tblPr/>
  </w:style>
  <w:style w:type="table" w:styleId="935">
    <w:name w:val="Grid Table 4"/>
    <w:basedOn w:val="881"/>
    <w:next w:val="935"/>
    <w:link w:val="826"/>
    <w:uiPriority w:val="59"/>
    <w:qFormat/>
    <w:pPr>
      <w:spacing w:after="0" w:line="240" w:lineRule="auto"/>
    </w:pPr>
    <w:tblPr/>
  </w:style>
  <w:style w:type="table" w:styleId="936">
    <w:name w:val="Grid Table 5 Dark"/>
    <w:basedOn w:val="881"/>
    <w:next w:val="936"/>
    <w:link w:val="826"/>
    <w:uiPriority w:val="99"/>
    <w:qFormat/>
    <w:pPr>
      <w:spacing w:after="0" w:line="240" w:lineRule="auto"/>
    </w:pPr>
    <w:tblPr/>
  </w:style>
  <w:style w:type="table" w:styleId="937">
    <w:name w:val="Grid Table 6 Colorful"/>
    <w:basedOn w:val="881"/>
    <w:next w:val="937"/>
    <w:link w:val="826"/>
    <w:uiPriority w:val="99"/>
    <w:qFormat/>
    <w:pPr>
      <w:spacing w:after="0" w:line="240" w:lineRule="auto"/>
    </w:pPr>
    <w:tblPr/>
  </w:style>
  <w:style w:type="table" w:styleId="938">
    <w:name w:val="Grid Table 7 Colorful"/>
    <w:basedOn w:val="881"/>
    <w:next w:val="938"/>
    <w:link w:val="826"/>
    <w:uiPriority w:val="99"/>
    <w:qFormat/>
    <w:pPr>
      <w:spacing w:after="0" w:line="240" w:lineRule="auto"/>
    </w:pPr>
    <w:tblPr/>
  </w:style>
  <w:style w:type="table" w:styleId="939">
    <w:name w:val="List Table 1 Light"/>
    <w:basedOn w:val="881"/>
    <w:next w:val="939"/>
    <w:link w:val="826"/>
    <w:uiPriority w:val="99"/>
    <w:qFormat/>
    <w:pPr>
      <w:spacing w:after="0" w:line="240" w:lineRule="auto"/>
    </w:pPr>
    <w:tblPr/>
  </w:style>
  <w:style w:type="table" w:styleId="940">
    <w:name w:val="List Table 2"/>
    <w:basedOn w:val="881"/>
    <w:next w:val="940"/>
    <w:link w:val="826"/>
    <w:uiPriority w:val="99"/>
    <w:qFormat/>
    <w:pPr>
      <w:spacing w:after="0" w:line="240" w:lineRule="auto"/>
    </w:pPr>
    <w:tblPr/>
  </w:style>
  <w:style w:type="table" w:styleId="941">
    <w:name w:val="List Table 3"/>
    <w:basedOn w:val="881"/>
    <w:next w:val="941"/>
    <w:link w:val="826"/>
    <w:uiPriority w:val="99"/>
    <w:qFormat/>
    <w:pPr>
      <w:spacing w:after="0" w:line="240" w:lineRule="auto"/>
    </w:pPr>
    <w:tblPr/>
  </w:style>
  <w:style w:type="table" w:styleId="942">
    <w:name w:val="List Table 4"/>
    <w:basedOn w:val="881"/>
    <w:next w:val="942"/>
    <w:link w:val="826"/>
    <w:uiPriority w:val="99"/>
    <w:qFormat/>
    <w:pPr>
      <w:spacing w:after="0" w:line="240" w:lineRule="auto"/>
    </w:pPr>
    <w:tblPr/>
  </w:style>
  <w:style w:type="table" w:styleId="943">
    <w:name w:val="List Table 5 Dark"/>
    <w:basedOn w:val="881"/>
    <w:next w:val="943"/>
    <w:link w:val="826"/>
    <w:uiPriority w:val="99"/>
    <w:qFormat/>
    <w:pPr>
      <w:spacing w:after="0" w:line="240" w:lineRule="auto"/>
    </w:pPr>
    <w:tblPr/>
  </w:style>
  <w:style w:type="table" w:styleId="944">
    <w:name w:val="List Table 6 Colorful"/>
    <w:basedOn w:val="881"/>
    <w:next w:val="944"/>
    <w:link w:val="826"/>
    <w:uiPriority w:val="99"/>
    <w:qFormat/>
    <w:pPr>
      <w:spacing w:after="0" w:line="240" w:lineRule="auto"/>
    </w:pPr>
    <w:tblPr/>
  </w:style>
  <w:style w:type="table" w:styleId="945">
    <w:name w:val="List Table 7 Colorful"/>
    <w:basedOn w:val="881"/>
    <w:next w:val="945"/>
    <w:link w:val="826"/>
    <w:uiPriority w:val="99"/>
    <w:qFormat/>
    <w:pPr>
      <w:spacing w:after="0" w:line="240" w:lineRule="auto"/>
    </w:pPr>
    <w:tblPr/>
  </w:style>
  <w:style w:type="paragraph" w:styleId="946">
    <w:name w:val="TOC Heading"/>
    <w:next w:val="946"/>
    <w:link w:val="826"/>
    <w:uiPriority w:val="39"/>
    <w:unhideWhenUsed/>
    <w:qFormat/>
    <w:rPr>
      <w:rFonts w:ascii="Times New Roman" w:hAnsi="Times New Roman" w:eastAsia="宋体" w:cs="Times New Roman"/>
    </w:rPr>
  </w:style>
  <w:style w:type="character" w:styleId="947">
    <w:name w:val="Heading 1 Char"/>
    <w:basedOn w:val="880"/>
    <w:next w:val="947"/>
    <w:link w:val="826"/>
    <w:uiPriority w:val="9"/>
    <w:qFormat/>
    <w:rPr>
      <w:rFonts w:ascii="Arial" w:hAnsi="Arial" w:eastAsia="Arial" w:cs="Arial"/>
      <w:sz w:val="40"/>
      <w:szCs w:val="40"/>
    </w:rPr>
  </w:style>
  <w:style w:type="character" w:styleId="948">
    <w:name w:val="Heading 2 Char"/>
    <w:basedOn w:val="880"/>
    <w:next w:val="948"/>
    <w:link w:val="826"/>
    <w:uiPriority w:val="9"/>
    <w:qFormat/>
    <w:rPr>
      <w:rFonts w:ascii="Arial" w:hAnsi="Arial" w:eastAsia="Arial" w:cs="Arial"/>
      <w:sz w:val="34"/>
    </w:rPr>
  </w:style>
  <w:style w:type="character" w:styleId="949">
    <w:name w:val="Heading 3 Char"/>
    <w:basedOn w:val="880"/>
    <w:next w:val="949"/>
    <w:link w:val="826"/>
    <w:uiPriority w:val="9"/>
    <w:qFormat/>
    <w:rPr>
      <w:rFonts w:ascii="Arial" w:hAnsi="Arial" w:eastAsia="Arial" w:cs="Arial"/>
      <w:sz w:val="30"/>
      <w:szCs w:val="30"/>
    </w:rPr>
  </w:style>
  <w:style w:type="character" w:styleId="950">
    <w:name w:val="Heading 4 Char"/>
    <w:basedOn w:val="880"/>
    <w:next w:val="950"/>
    <w:link w:val="826"/>
    <w:uiPriority w:val="9"/>
    <w:qFormat/>
    <w:rPr>
      <w:rFonts w:ascii="Arial" w:hAnsi="Arial" w:eastAsia="Arial" w:cs="Arial"/>
      <w:b/>
      <w:bCs/>
      <w:sz w:val="26"/>
      <w:szCs w:val="26"/>
    </w:rPr>
  </w:style>
  <w:style w:type="character" w:styleId="951">
    <w:name w:val="Heading 5 Char"/>
    <w:basedOn w:val="880"/>
    <w:next w:val="951"/>
    <w:link w:val="826"/>
    <w:uiPriority w:val="9"/>
    <w:qFormat/>
    <w:rPr>
      <w:rFonts w:ascii="Arial" w:hAnsi="Arial" w:eastAsia="Arial" w:cs="Arial"/>
      <w:b/>
      <w:bCs/>
      <w:sz w:val="24"/>
      <w:szCs w:val="24"/>
    </w:rPr>
  </w:style>
  <w:style w:type="character" w:styleId="952">
    <w:name w:val="Heading 6 Char"/>
    <w:basedOn w:val="880"/>
    <w:next w:val="952"/>
    <w:link w:val="826"/>
    <w:uiPriority w:val="9"/>
    <w:qFormat/>
    <w:rPr>
      <w:rFonts w:ascii="Arial" w:hAnsi="Arial" w:eastAsia="Arial" w:cs="Arial"/>
      <w:b/>
      <w:bCs/>
      <w:sz w:val="22"/>
      <w:szCs w:val="22"/>
    </w:rPr>
  </w:style>
  <w:style w:type="character" w:styleId="953">
    <w:name w:val="Heading 7 Char"/>
    <w:basedOn w:val="880"/>
    <w:next w:val="953"/>
    <w:link w:val="826"/>
    <w:uiPriority w:val="9"/>
    <w:qFormat/>
    <w:rPr>
      <w:rFonts w:ascii="Arial" w:hAnsi="Arial" w:eastAsia="Arial" w:cs="Arial"/>
      <w:b/>
      <w:bCs/>
      <w:i/>
      <w:iCs/>
      <w:sz w:val="22"/>
      <w:szCs w:val="22"/>
    </w:rPr>
  </w:style>
  <w:style w:type="character" w:styleId="954">
    <w:name w:val="Heading 8 Char"/>
    <w:basedOn w:val="880"/>
    <w:next w:val="954"/>
    <w:link w:val="826"/>
    <w:uiPriority w:val="9"/>
    <w:qFormat/>
    <w:rPr>
      <w:rFonts w:ascii="Arial" w:hAnsi="Arial" w:eastAsia="Arial" w:cs="Arial"/>
      <w:i/>
      <w:iCs/>
      <w:sz w:val="22"/>
      <w:szCs w:val="22"/>
    </w:rPr>
  </w:style>
  <w:style w:type="character" w:styleId="955">
    <w:name w:val="Heading 9 Char"/>
    <w:basedOn w:val="880"/>
    <w:next w:val="955"/>
    <w:link w:val="826"/>
    <w:uiPriority w:val="9"/>
    <w:qFormat/>
    <w:rPr>
      <w:rFonts w:ascii="Arial" w:hAnsi="Arial" w:eastAsia="Arial" w:cs="Arial"/>
      <w:i/>
      <w:iCs/>
      <w:sz w:val="21"/>
      <w:szCs w:val="21"/>
    </w:rPr>
  </w:style>
  <w:style w:type="character" w:styleId="956">
    <w:name w:val="Title Char"/>
    <w:basedOn w:val="880"/>
    <w:next w:val="956"/>
    <w:link w:val="826"/>
    <w:uiPriority w:val="10"/>
    <w:qFormat/>
    <w:rPr>
      <w:sz w:val="48"/>
      <w:szCs w:val="48"/>
    </w:rPr>
  </w:style>
  <w:style w:type="character" w:styleId="957">
    <w:name w:val="Subtitle Char"/>
    <w:basedOn w:val="880"/>
    <w:next w:val="957"/>
    <w:link w:val="826"/>
    <w:uiPriority w:val="11"/>
    <w:qFormat/>
    <w:rPr>
      <w:sz w:val="24"/>
      <w:szCs w:val="24"/>
    </w:rPr>
  </w:style>
  <w:style w:type="character" w:styleId="958">
    <w:name w:val="Quote Char"/>
    <w:next w:val="958"/>
    <w:link w:val="826"/>
    <w:uiPriority w:val="29"/>
    <w:qFormat/>
    <w:rPr>
      <w:i/>
    </w:rPr>
  </w:style>
  <w:style w:type="character" w:styleId="959">
    <w:name w:val="Intense Quote Char"/>
    <w:next w:val="959"/>
    <w:link w:val="826"/>
    <w:uiPriority w:val="30"/>
    <w:qFormat/>
    <w:rPr>
      <w:i/>
    </w:rPr>
  </w:style>
  <w:style w:type="character" w:styleId="960">
    <w:name w:val="Header Char"/>
    <w:basedOn w:val="880"/>
    <w:next w:val="960"/>
    <w:link w:val="826"/>
    <w:uiPriority w:val="99"/>
    <w:qFormat/>
  </w:style>
  <w:style w:type="character" w:styleId="961">
    <w:name w:val="Caption Char"/>
    <w:next w:val="961"/>
    <w:link w:val="826"/>
    <w:uiPriority w:val="99"/>
    <w:qFormat/>
  </w:style>
  <w:style w:type="table" w:styleId="962">
    <w:name w:val="无格式表格 11"/>
    <w:basedOn w:val="881"/>
    <w:next w:val="962"/>
    <w:link w:val="826"/>
    <w:uiPriority w:val="59"/>
    <w:qFormat/>
    <w:tblPr/>
  </w:style>
  <w:style w:type="table" w:styleId="963">
    <w:name w:val="无格式表格 21"/>
    <w:basedOn w:val="881"/>
    <w:next w:val="963"/>
    <w:link w:val="826"/>
    <w:uiPriority w:val="59"/>
    <w:qFormat/>
    <w:tblPr/>
  </w:style>
  <w:style w:type="table" w:styleId="964">
    <w:name w:val="无格式表格 31"/>
    <w:basedOn w:val="881"/>
    <w:next w:val="964"/>
    <w:link w:val="826"/>
    <w:uiPriority w:val="99"/>
    <w:qFormat/>
    <w:tblPr/>
  </w:style>
  <w:style w:type="table" w:styleId="965">
    <w:name w:val="无格式表格 41"/>
    <w:basedOn w:val="881"/>
    <w:next w:val="965"/>
    <w:link w:val="826"/>
    <w:uiPriority w:val="99"/>
    <w:qFormat/>
    <w:tblPr/>
  </w:style>
  <w:style w:type="table" w:styleId="966">
    <w:name w:val="无格式表格 51"/>
    <w:basedOn w:val="881"/>
    <w:next w:val="966"/>
    <w:link w:val="826"/>
    <w:uiPriority w:val="99"/>
    <w:qFormat/>
    <w:tblPr/>
  </w:style>
  <w:style w:type="table" w:styleId="967">
    <w:name w:val="网格表 1 浅色1"/>
    <w:basedOn w:val="881"/>
    <w:next w:val="967"/>
    <w:link w:val="826"/>
    <w:uiPriority w:val="99"/>
    <w:qFormat/>
    <w:tblPr/>
  </w:style>
  <w:style w:type="table" w:styleId="968">
    <w:name w:val="网格表 21"/>
    <w:basedOn w:val="881"/>
    <w:next w:val="968"/>
    <w:link w:val="826"/>
    <w:uiPriority w:val="99"/>
    <w:qFormat/>
    <w:tblPr/>
  </w:style>
  <w:style w:type="table" w:styleId="969">
    <w:name w:val="网格表 31"/>
    <w:basedOn w:val="881"/>
    <w:next w:val="969"/>
    <w:link w:val="826"/>
    <w:uiPriority w:val="99"/>
    <w:qFormat/>
    <w:tblPr/>
  </w:style>
  <w:style w:type="table" w:styleId="970">
    <w:name w:val="网格表 41"/>
    <w:basedOn w:val="881"/>
    <w:next w:val="970"/>
    <w:link w:val="826"/>
    <w:uiPriority w:val="59"/>
    <w:qFormat/>
    <w:tblPr/>
  </w:style>
  <w:style w:type="table" w:styleId="971">
    <w:name w:val="网格表 5 深色1"/>
    <w:basedOn w:val="881"/>
    <w:next w:val="971"/>
    <w:link w:val="826"/>
    <w:uiPriority w:val="99"/>
    <w:qFormat/>
    <w:tblPr/>
  </w:style>
  <w:style w:type="table" w:styleId="972">
    <w:name w:val="网格表 6 彩色1"/>
    <w:basedOn w:val="881"/>
    <w:next w:val="972"/>
    <w:link w:val="826"/>
    <w:uiPriority w:val="99"/>
    <w:qFormat/>
    <w:tblPr/>
  </w:style>
  <w:style w:type="table" w:styleId="973">
    <w:name w:val="网格表 7 彩色1"/>
    <w:basedOn w:val="881"/>
    <w:next w:val="973"/>
    <w:link w:val="826"/>
    <w:uiPriority w:val="99"/>
    <w:qFormat/>
    <w:tblPr/>
  </w:style>
  <w:style w:type="table" w:styleId="974">
    <w:name w:val="清单表 1 浅色1"/>
    <w:basedOn w:val="881"/>
    <w:next w:val="974"/>
    <w:link w:val="826"/>
    <w:uiPriority w:val="99"/>
    <w:qFormat/>
    <w:tblPr/>
  </w:style>
  <w:style w:type="table" w:styleId="975">
    <w:name w:val="清单表 21"/>
    <w:basedOn w:val="881"/>
    <w:next w:val="975"/>
    <w:link w:val="826"/>
    <w:uiPriority w:val="99"/>
    <w:qFormat/>
    <w:tblPr/>
  </w:style>
  <w:style w:type="table" w:styleId="976">
    <w:name w:val="清单表 31"/>
    <w:basedOn w:val="881"/>
    <w:next w:val="976"/>
    <w:link w:val="826"/>
    <w:uiPriority w:val="99"/>
    <w:qFormat/>
    <w:tblPr/>
  </w:style>
  <w:style w:type="table" w:styleId="977">
    <w:name w:val="清单表 41"/>
    <w:basedOn w:val="881"/>
    <w:next w:val="977"/>
    <w:link w:val="826"/>
    <w:uiPriority w:val="99"/>
    <w:qFormat/>
    <w:tblPr/>
  </w:style>
  <w:style w:type="table" w:styleId="978">
    <w:name w:val="清单表 5 深色1"/>
    <w:basedOn w:val="881"/>
    <w:next w:val="978"/>
    <w:link w:val="826"/>
    <w:uiPriority w:val="99"/>
    <w:qFormat/>
    <w:tblPr/>
  </w:style>
  <w:style w:type="table" w:styleId="979">
    <w:name w:val="清单表 6 彩色1"/>
    <w:basedOn w:val="881"/>
    <w:next w:val="979"/>
    <w:link w:val="826"/>
    <w:uiPriority w:val="99"/>
    <w:qFormat/>
    <w:tblPr/>
  </w:style>
  <w:style w:type="table" w:styleId="980">
    <w:name w:val="清单表 7 彩色1"/>
    <w:basedOn w:val="881"/>
    <w:next w:val="980"/>
    <w:link w:val="826"/>
    <w:uiPriority w:val="99"/>
    <w:qFormat/>
    <w:tblPr/>
  </w:style>
  <w:style w:type="character" w:styleId="981">
    <w:name w:val="Footnote Text Char"/>
    <w:next w:val="981"/>
    <w:link w:val="826"/>
    <w:uiPriority w:val="99"/>
    <w:qFormat/>
    <w:rPr>
      <w:sz w:val="18"/>
    </w:rPr>
  </w:style>
  <w:style w:type="character" w:styleId="982">
    <w:name w:val="Endnote Text Char"/>
    <w:next w:val="982"/>
    <w:link w:val="826"/>
    <w:uiPriority w:val="99"/>
    <w:qFormat/>
    <w:rPr>
      <w:sz w:val="20"/>
    </w:rPr>
  </w:style>
  <w:style w:type="paragraph" w:styleId="983">
    <w:name w:val="TOC 标题1"/>
    <w:next w:val="983"/>
    <w:link w:val="826"/>
    <w:uiPriority w:val="39"/>
    <w:unhideWhenUsed/>
    <w:qFormat/>
    <w:rPr>
      <w:rFonts w:ascii="Times New Roman" w:hAnsi="Times New Roman" w:eastAsia="宋体" w:cs="Times New Roman"/>
      <w:lang w:val="en-US" w:eastAsia="zh-CN" w:bidi="ar-SA"/>
    </w:rPr>
  </w:style>
  <w:style w:type="paragraph" w:styleId="984">
    <w:name w:val="Default"/>
    <w:next w:val="984"/>
    <w:link w:val="826"/>
    <w:qFormat/>
    <w:pPr>
      <w:widowControl w:val="off"/>
    </w:pPr>
    <w:rPr>
      <w:rFonts w:ascii="黑体" w:hAnsi="Times New Roman" w:eastAsia="黑体" w:cs="Times New Roman"/>
      <w:lang w:val="en-US" w:eastAsia="zh-CN" w:bidi="ar-SA"/>
    </w:rPr>
  </w:style>
  <w:style w:type="paragraph" w:styleId="985">
    <w:name w:val="List Paragraph"/>
    <w:basedOn w:val="826"/>
    <w:next w:val="985"/>
    <w:link w:val="826"/>
    <w:uiPriority w:val="34"/>
    <w:qFormat/>
    <w:pPr>
      <w:contextualSpacing/>
      <w:ind w:left="720"/>
    </w:pPr>
  </w:style>
  <w:style w:type="paragraph" w:styleId="986">
    <w:name w:val="No Spacing"/>
    <w:next w:val="986"/>
    <w:link w:val="826"/>
    <w:uiPriority w:val="1"/>
    <w:qFormat/>
    <w:rPr>
      <w:rFonts w:ascii="Times New Roman" w:hAnsi="Times New Roman" w:eastAsia="宋体" w:cs="Times New Roman"/>
      <w:lang w:val="en-US" w:eastAsia="zh-CN" w:bidi="ar-SA"/>
    </w:rPr>
  </w:style>
  <w:style w:type="paragraph" w:styleId="987">
    <w:name w:val="Quote"/>
    <w:basedOn w:val="826"/>
    <w:next w:val="826"/>
    <w:link w:val="988"/>
    <w:uiPriority w:val="29"/>
    <w:qFormat/>
    <w:pPr>
      <w:ind w:left="720" w:right="720"/>
    </w:pPr>
    <w:rPr>
      <w:i/>
    </w:rPr>
  </w:style>
  <w:style w:type="character" w:styleId="988">
    <w:name w:val="引用 字符"/>
    <w:next w:val="988"/>
    <w:link w:val="987"/>
    <w:uiPriority w:val="29"/>
    <w:qFormat/>
    <w:rPr>
      <w:i/>
    </w:rPr>
  </w:style>
  <w:style w:type="paragraph" w:styleId="989">
    <w:name w:val="Intense Quote"/>
    <w:basedOn w:val="826"/>
    <w:next w:val="826"/>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name w:val="明显引用 字符"/>
    <w:next w:val="990"/>
    <w:link w:val="989"/>
    <w:uiPriority w:val="30"/>
    <w:qFormat/>
    <w:rPr>
      <w:i/>
    </w:rPr>
  </w:style>
  <w:style w:type="character" w:styleId="991">
    <w:name w:val="Footer Char"/>
    <w:next w:val="991"/>
    <w:link w:val="826"/>
    <w:uiPriority w:val="99"/>
    <w:qFormat/>
  </w:style>
  <w:style w:type="table" w:styleId="992">
    <w:name w:val="Table Grid Light"/>
    <w:next w:val="992"/>
    <w:link w:val="826"/>
    <w:uiPriority w:val="59"/>
    <w:qFormat/>
    <w:tblPr/>
  </w:style>
  <w:style w:type="table" w:styleId="993">
    <w:name w:val="Grid Table 1 Light - Accent 1"/>
    <w:next w:val="993"/>
    <w:link w:val="826"/>
    <w:uiPriority w:val="99"/>
    <w:qFormat/>
    <w:tblPr/>
  </w:style>
  <w:style w:type="table" w:styleId="994">
    <w:name w:val="Grid Table 1 Light - Accent 2"/>
    <w:next w:val="994"/>
    <w:link w:val="826"/>
    <w:uiPriority w:val="99"/>
    <w:qFormat/>
    <w:tblPr/>
  </w:style>
  <w:style w:type="table" w:styleId="995">
    <w:name w:val="Grid Table 1 Light - Accent 3"/>
    <w:next w:val="995"/>
    <w:link w:val="826"/>
    <w:uiPriority w:val="99"/>
    <w:qFormat/>
    <w:tblPr/>
  </w:style>
  <w:style w:type="table" w:styleId="996">
    <w:name w:val="Grid Table 1 Light - Accent 4"/>
    <w:next w:val="996"/>
    <w:link w:val="826"/>
    <w:uiPriority w:val="99"/>
    <w:qFormat/>
    <w:tblPr/>
  </w:style>
  <w:style w:type="table" w:styleId="997">
    <w:name w:val="Grid Table 1 Light - Accent 5"/>
    <w:next w:val="997"/>
    <w:link w:val="826"/>
    <w:uiPriority w:val="99"/>
    <w:qFormat/>
    <w:tblPr/>
  </w:style>
  <w:style w:type="table" w:styleId="998">
    <w:name w:val="Grid Table 1 Light - Accent 6"/>
    <w:next w:val="998"/>
    <w:link w:val="826"/>
    <w:uiPriority w:val="99"/>
    <w:qFormat/>
    <w:tblPr/>
  </w:style>
  <w:style w:type="table" w:styleId="999">
    <w:name w:val="Grid Table 2 - Accent 1"/>
    <w:next w:val="999"/>
    <w:link w:val="826"/>
    <w:uiPriority w:val="99"/>
    <w:qFormat/>
    <w:tblPr/>
  </w:style>
  <w:style w:type="table" w:styleId="1000">
    <w:name w:val="Grid Table 2 - Accent 2"/>
    <w:next w:val="1000"/>
    <w:link w:val="826"/>
    <w:uiPriority w:val="99"/>
    <w:qFormat/>
    <w:tblPr/>
  </w:style>
  <w:style w:type="table" w:styleId="1001">
    <w:name w:val="Grid Table 2 - Accent 3"/>
    <w:next w:val="1001"/>
    <w:link w:val="826"/>
    <w:uiPriority w:val="99"/>
    <w:qFormat/>
    <w:tblPr/>
  </w:style>
  <w:style w:type="table" w:styleId="1002">
    <w:name w:val="Grid Table 2 - Accent 4"/>
    <w:next w:val="1002"/>
    <w:link w:val="826"/>
    <w:uiPriority w:val="99"/>
    <w:qFormat/>
    <w:tblPr/>
  </w:style>
  <w:style w:type="table" w:styleId="1003">
    <w:name w:val="Grid Table 2 - Accent 5"/>
    <w:next w:val="1003"/>
    <w:link w:val="826"/>
    <w:uiPriority w:val="99"/>
    <w:qFormat/>
    <w:tblPr/>
  </w:style>
  <w:style w:type="table" w:styleId="1004">
    <w:name w:val="Grid Table 2 - Accent 6"/>
    <w:next w:val="1004"/>
    <w:link w:val="826"/>
    <w:uiPriority w:val="99"/>
    <w:qFormat/>
    <w:tblPr/>
  </w:style>
  <w:style w:type="table" w:styleId="1005">
    <w:name w:val="Grid Table 3 - Accent 1"/>
    <w:next w:val="1005"/>
    <w:link w:val="826"/>
    <w:uiPriority w:val="99"/>
    <w:qFormat/>
    <w:tblPr/>
  </w:style>
  <w:style w:type="table" w:styleId="1006">
    <w:name w:val="Grid Table 3 - Accent 2"/>
    <w:next w:val="1006"/>
    <w:link w:val="826"/>
    <w:uiPriority w:val="99"/>
    <w:qFormat/>
    <w:tblPr/>
  </w:style>
  <w:style w:type="table" w:styleId="1007">
    <w:name w:val="Grid Table 3 - Accent 3"/>
    <w:next w:val="1007"/>
    <w:link w:val="826"/>
    <w:uiPriority w:val="99"/>
    <w:qFormat/>
    <w:tblPr/>
  </w:style>
  <w:style w:type="table" w:styleId="1008">
    <w:name w:val="Grid Table 3 - Accent 4"/>
    <w:next w:val="1008"/>
    <w:link w:val="826"/>
    <w:uiPriority w:val="99"/>
    <w:qFormat/>
    <w:tblPr/>
  </w:style>
  <w:style w:type="table" w:styleId="1009">
    <w:name w:val="Grid Table 3 - Accent 5"/>
    <w:next w:val="1009"/>
    <w:link w:val="826"/>
    <w:uiPriority w:val="99"/>
    <w:qFormat/>
    <w:tblPr/>
  </w:style>
  <w:style w:type="table" w:styleId="1010">
    <w:name w:val="Grid Table 3 - Accent 6"/>
    <w:next w:val="1010"/>
    <w:link w:val="826"/>
    <w:uiPriority w:val="99"/>
    <w:qFormat/>
    <w:tblPr/>
  </w:style>
  <w:style w:type="table" w:styleId="1011">
    <w:name w:val="Grid Table 4 - Accent 1"/>
    <w:next w:val="1011"/>
    <w:link w:val="826"/>
    <w:uiPriority w:val="59"/>
    <w:qFormat/>
    <w:tblPr/>
  </w:style>
  <w:style w:type="table" w:styleId="1012">
    <w:name w:val="Grid Table 4 - Accent 2"/>
    <w:next w:val="1012"/>
    <w:link w:val="826"/>
    <w:uiPriority w:val="59"/>
    <w:qFormat/>
    <w:tblPr/>
  </w:style>
  <w:style w:type="table" w:styleId="1013">
    <w:name w:val="Grid Table 4 - Accent 3"/>
    <w:next w:val="1013"/>
    <w:link w:val="826"/>
    <w:uiPriority w:val="59"/>
    <w:qFormat/>
    <w:tblPr/>
  </w:style>
  <w:style w:type="table" w:styleId="1014">
    <w:name w:val="Grid Table 4 - Accent 4"/>
    <w:next w:val="1014"/>
    <w:link w:val="826"/>
    <w:uiPriority w:val="59"/>
    <w:qFormat/>
    <w:tblPr/>
  </w:style>
  <w:style w:type="table" w:styleId="1015">
    <w:name w:val="Grid Table 4 - Accent 5"/>
    <w:next w:val="1015"/>
    <w:link w:val="826"/>
    <w:uiPriority w:val="59"/>
    <w:qFormat/>
    <w:tblPr/>
  </w:style>
  <w:style w:type="table" w:styleId="1016">
    <w:name w:val="Grid Table 4 - Accent 6"/>
    <w:next w:val="1016"/>
    <w:link w:val="826"/>
    <w:uiPriority w:val="59"/>
    <w:qFormat/>
    <w:tblPr/>
  </w:style>
  <w:style w:type="table" w:styleId="1017">
    <w:name w:val="Grid Table 5 Dark- Accent 1"/>
    <w:next w:val="1017"/>
    <w:link w:val="826"/>
    <w:uiPriority w:val="99"/>
    <w:qFormat/>
    <w:tblPr/>
  </w:style>
  <w:style w:type="table" w:styleId="1018">
    <w:name w:val="Grid Table 5 Dark - Accent 2"/>
    <w:next w:val="1018"/>
    <w:link w:val="826"/>
    <w:uiPriority w:val="99"/>
    <w:qFormat/>
    <w:tblPr/>
  </w:style>
  <w:style w:type="table" w:styleId="1019">
    <w:name w:val="Grid Table 5 Dark - Accent 3"/>
    <w:next w:val="1019"/>
    <w:link w:val="826"/>
    <w:uiPriority w:val="99"/>
    <w:qFormat/>
    <w:tblPr/>
  </w:style>
  <w:style w:type="table" w:styleId="1020">
    <w:name w:val="Grid Table 5 Dark- Accent 4"/>
    <w:next w:val="1020"/>
    <w:link w:val="826"/>
    <w:uiPriority w:val="99"/>
    <w:qFormat/>
    <w:tblPr/>
  </w:style>
  <w:style w:type="table" w:styleId="1021">
    <w:name w:val="Grid Table 5 Dark - Accent 5"/>
    <w:next w:val="1021"/>
    <w:link w:val="826"/>
    <w:uiPriority w:val="99"/>
    <w:qFormat/>
    <w:tblPr/>
  </w:style>
  <w:style w:type="table" w:styleId="1022">
    <w:name w:val="Grid Table 5 Dark - Accent 6"/>
    <w:next w:val="1022"/>
    <w:link w:val="826"/>
    <w:uiPriority w:val="99"/>
    <w:qFormat/>
    <w:tblPr/>
  </w:style>
  <w:style w:type="table" w:styleId="1023">
    <w:name w:val="Grid Table 6 Colorful - Accent 1"/>
    <w:next w:val="1023"/>
    <w:link w:val="826"/>
    <w:uiPriority w:val="99"/>
    <w:qFormat/>
    <w:tblPr/>
  </w:style>
  <w:style w:type="table" w:styleId="1024">
    <w:name w:val="Grid Table 6 Colorful - Accent 2"/>
    <w:next w:val="1024"/>
    <w:link w:val="826"/>
    <w:uiPriority w:val="99"/>
    <w:qFormat/>
    <w:tblPr/>
  </w:style>
  <w:style w:type="table" w:styleId="1025">
    <w:name w:val="Grid Table 6 Colorful - Accent 3"/>
    <w:next w:val="1025"/>
    <w:link w:val="826"/>
    <w:uiPriority w:val="99"/>
    <w:qFormat/>
    <w:tblPr/>
  </w:style>
  <w:style w:type="table" w:styleId="1026">
    <w:name w:val="Grid Table 6 Colorful - Accent 4"/>
    <w:next w:val="1026"/>
    <w:link w:val="826"/>
    <w:uiPriority w:val="99"/>
    <w:qFormat/>
    <w:tblPr/>
  </w:style>
  <w:style w:type="table" w:styleId="1027">
    <w:name w:val="Grid Table 6 Colorful - Accent 5"/>
    <w:next w:val="1027"/>
    <w:link w:val="826"/>
    <w:uiPriority w:val="99"/>
    <w:qFormat/>
    <w:tblPr/>
  </w:style>
  <w:style w:type="table" w:styleId="1028">
    <w:name w:val="Grid Table 6 Colorful - Accent 6"/>
    <w:next w:val="1028"/>
    <w:link w:val="826"/>
    <w:uiPriority w:val="99"/>
    <w:qFormat/>
    <w:tblPr/>
  </w:style>
  <w:style w:type="table" w:styleId="1029">
    <w:name w:val="Grid Table 7 Colorful - Accent 1"/>
    <w:next w:val="1029"/>
    <w:link w:val="826"/>
    <w:uiPriority w:val="99"/>
    <w:qFormat/>
    <w:tblPr/>
  </w:style>
  <w:style w:type="table" w:styleId="1030">
    <w:name w:val="Grid Table 7 Colorful - Accent 2"/>
    <w:next w:val="1030"/>
    <w:link w:val="826"/>
    <w:uiPriority w:val="99"/>
    <w:qFormat/>
    <w:tblPr/>
  </w:style>
  <w:style w:type="table" w:styleId="1031">
    <w:name w:val="Grid Table 7 Colorful - Accent 3"/>
    <w:next w:val="1031"/>
    <w:link w:val="826"/>
    <w:uiPriority w:val="99"/>
    <w:qFormat/>
    <w:tblPr/>
  </w:style>
  <w:style w:type="table" w:styleId="1032">
    <w:name w:val="Grid Table 7 Colorful - Accent 4"/>
    <w:next w:val="1032"/>
    <w:link w:val="826"/>
    <w:uiPriority w:val="99"/>
    <w:qFormat/>
    <w:tblPr/>
  </w:style>
  <w:style w:type="table" w:styleId="1033">
    <w:name w:val="Grid Table 7 Colorful - Accent 5"/>
    <w:next w:val="1033"/>
    <w:link w:val="826"/>
    <w:uiPriority w:val="99"/>
    <w:qFormat/>
    <w:tblPr/>
  </w:style>
  <w:style w:type="table" w:styleId="1034">
    <w:name w:val="Grid Table 7 Colorful - Accent 6"/>
    <w:next w:val="1034"/>
    <w:link w:val="826"/>
    <w:uiPriority w:val="99"/>
    <w:qFormat/>
    <w:tblPr/>
  </w:style>
  <w:style w:type="table" w:styleId="1035">
    <w:name w:val="List Table 1 Light - Accent 1"/>
    <w:next w:val="1035"/>
    <w:link w:val="826"/>
    <w:uiPriority w:val="99"/>
    <w:qFormat/>
    <w:tblPr/>
  </w:style>
  <w:style w:type="table" w:styleId="1036">
    <w:name w:val="List Table 1 Light - Accent 2"/>
    <w:next w:val="1036"/>
    <w:link w:val="826"/>
    <w:uiPriority w:val="99"/>
    <w:qFormat/>
    <w:tblPr/>
  </w:style>
  <w:style w:type="table" w:styleId="1037">
    <w:name w:val="List Table 1 Light - Accent 3"/>
    <w:next w:val="1037"/>
    <w:link w:val="826"/>
    <w:uiPriority w:val="99"/>
    <w:qFormat/>
    <w:tblPr/>
  </w:style>
  <w:style w:type="table" w:styleId="1038">
    <w:name w:val="List Table 1 Light - Accent 4"/>
    <w:next w:val="1038"/>
    <w:link w:val="826"/>
    <w:uiPriority w:val="99"/>
    <w:qFormat/>
    <w:tblPr/>
  </w:style>
  <w:style w:type="table" w:styleId="1039">
    <w:name w:val="List Table 1 Light - Accent 5"/>
    <w:next w:val="1039"/>
    <w:link w:val="826"/>
    <w:uiPriority w:val="99"/>
    <w:qFormat/>
    <w:tblPr/>
  </w:style>
  <w:style w:type="table" w:styleId="1040">
    <w:name w:val="List Table 1 Light - Accent 6"/>
    <w:next w:val="1040"/>
    <w:link w:val="826"/>
    <w:uiPriority w:val="99"/>
    <w:qFormat/>
    <w:tblPr/>
  </w:style>
  <w:style w:type="table" w:styleId="1041">
    <w:name w:val="List Table 2 - Accent 1"/>
    <w:next w:val="1041"/>
    <w:link w:val="826"/>
    <w:uiPriority w:val="99"/>
    <w:qFormat/>
    <w:tblPr/>
  </w:style>
  <w:style w:type="table" w:styleId="1042">
    <w:name w:val="List Table 2 - Accent 2"/>
    <w:next w:val="1042"/>
    <w:link w:val="826"/>
    <w:uiPriority w:val="99"/>
    <w:qFormat/>
    <w:tblPr/>
  </w:style>
  <w:style w:type="table" w:styleId="1043">
    <w:name w:val="List Table 2 - Accent 3"/>
    <w:next w:val="1043"/>
    <w:link w:val="826"/>
    <w:uiPriority w:val="99"/>
    <w:qFormat/>
    <w:tblPr/>
  </w:style>
  <w:style w:type="table" w:styleId="1044">
    <w:name w:val="List Table 2 - Accent 4"/>
    <w:next w:val="1044"/>
    <w:link w:val="826"/>
    <w:uiPriority w:val="99"/>
    <w:qFormat/>
    <w:tblPr/>
  </w:style>
  <w:style w:type="table" w:styleId="1045">
    <w:name w:val="List Table 2 - Accent 5"/>
    <w:next w:val="1045"/>
    <w:link w:val="826"/>
    <w:uiPriority w:val="99"/>
    <w:qFormat/>
    <w:tblPr/>
  </w:style>
  <w:style w:type="table" w:styleId="1046">
    <w:name w:val="List Table 2 - Accent 6"/>
    <w:next w:val="1046"/>
    <w:link w:val="826"/>
    <w:uiPriority w:val="99"/>
    <w:qFormat/>
    <w:tblPr/>
  </w:style>
  <w:style w:type="table" w:styleId="1047">
    <w:name w:val="List Table 3 - Accent 1"/>
    <w:next w:val="1047"/>
    <w:link w:val="826"/>
    <w:uiPriority w:val="99"/>
    <w:qFormat/>
    <w:tblPr/>
  </w:style>
  <w:style w:type="table" w:styleId="1048">
    <w:name w:val="List Table 3 - Accent 2"/>
    <w:next w:val="1048"/>
    <w:link w:val="826"/>
    <w:uiPriority w:val="99"/>
    <w:qFormat/>
    <w:tblPr/>
  </w:style>
  <w:style w:type="table" w:styleId="1049">
    <w:name w:val="List Table 3 - Accent 3"/>
    <w:next w:val="1049"/>
    <w:link w:val="826"/>
    <w:uiPriority w:val="99"/>
    <w:qFormat/>
    <w:tblPr/>
  </w:style>
  <w:style w:type="table" w:styleId="1050">
    <w:name w:val="List Table 3 - Accent 4"/>
    <w:next w:val="1050"/>
    <w:link w:val="826"/>
    <w:uiPriority w:val="99"/>
    <w:qFormat/>
    <w:tblPr/>
  </w:style>
  <w:style w:type="table" w:styleId="1051">
    <w:name w:val="List Table 3 - Accent 5"/>
    <w:next w:val="1051"/>
    <w:link w:val="826"/>
    <w:uiPriority w:val="99"/>
    <w:qFormat/>
    <w:tblPr/>
  </w:style>
  <w:style w:type="table" w:styleId="1052">
    <w:name w:val="List Table 3 - Accent 6"/>
    <w:next w:val="1052"/>
    <w:link w:val="826"/>
    <w:uiPriority w:val="99"/>
    <w:qFormat/>
    <w:tblPr/>
  </w:style>
  <w:style w:type="table" w:styleId="1053">
    <w:name w:val="List Table 4 - Accent 1"/>
    <w:next w:val="1053"/>
    <w:link w:val="826"/>
    <w:uiPriority w:val="99"/>
    <w:qFormat/>
    <w:tblPr/>
  </w:style>
  <w:style w:type="table" w:styleId="1054">
    <w:name w:val="List Table 4 - Accent 2"/>
    <w:next w:val="1054"/>
    <w:link w:val="826"/>
    <w:uiPriority w:val="99"/>
    <w:qFormat/>
    <w:tblPr/>
  </w:style>
  <w:style w:type="table" w:styleId="1055">
    <w:name w:val="List Table 4 - Accent 3"/>
    <w:next w:val="1055"/>
    <w:link w:val="826"/>
    <w:uiPriority w:val="99"/>
    <w:qFormat/>
    <w:tblPr/>
  </w:style>
  <w:style w:type="table" w:styleId="1056">
    <w:name w:val="List Table 4 - Accent 4"/>
    <w:next w:val="1056"/>
    <w:link w:val="826"/>
    <w:uiPriority w:val="99"/>
    <w:qFormat/>
    <w:tblPr/>
  </w:style>
  <w:style w:type="table" w:styleId="1057">
    <w:name w:val="List Table 4 - Accent 5"/>
    <w:next w:val="1057"/>
    <w:link w:val="826"/>
    <w:uiPriority w:val="99"/>
    <w:qFormat/>
    <w:tblPr/>
  </w:style>
  <w:style w:type="table" w:styleId="1058">
    <w:name w:val="List Table 4 - Accent 6"/>
    <w:next w:val="1058"/>
    <w:link w:val="826"/>
    <w:uiPriority w:val="99"/>
    <w:qFormat/>
    <w:tblPr/>
  </w:style>
  <w:style w:type="table" w:styleId="1059">
    <w:name w:val="List Table 5 Dark - Accent 1"/>
    <w:next w:val="1059"/>
    <w:link w:val="826"/>
    <w:uiPriority w:val="99"/>
    <w:qFormat/>
    <w:tblPr/>
  </w:style>
  <w:style w:type="table" w:styleId="1060">
    <w:name w:val="List Table 5 Dark - Accent 2"/>
    <w:next w:val="1060"/>
    <w:link w:val="826"/>
    <w:uiPriority w:val="99"/>
    <w:qFormat/>
    <w:tblPr/>
  </w:style>
  <w:style w:type="table" w:styleId="1061">
    <w:name w:val="List Table 5 Dark - Accent 3"/>
    <w:next w:val="1061"/>
    <w:link w:val="826"/>
    <w:uiPriority w:val="99"/>
    <w:qFormat/>
    <w:tblPr/>
  </w:style>
  <w:style w:type="table" w:styleId="1062">
    <w:name w:val="List Table 5 Dark - Accent 4"/>
    <w:next w:val="1062"/>
    <w:link w:val="826"/>
    <w:uiPriority w:val="99"/>
    <w:qFormat/>
    <w:tblPr/>
  </w:style>
  <w:style w:type="table" w:styleId="1063">
    <w:name w:val="List Table 5 Dark - Accent 5"/>
    <w:next w:val="1063"/>
    <w:link w:val="826"/>
    <w:uiPriority w:val="99"/>
    <w:qFormat/>
    <w:tblPr/>
  </w:style>
  <w:style w:type="table" w:styleId="1064">
    <w:name w:val="List Table 5 Dark - Accent 6"/>
    <w:next w:val="1064"/>
    <w:link w:val="826"/>
    <w:uiPriority w:val="99"/>
    <w:qFormat/>
    <w:tblPr/>
  </w:style>
  <w:style w:type="table" w:styleId="1065">
    <w:name w:val="List Table 6 Colorful - Accent 1"/>
    <w:next w:val="1065"/>
    <w:link w:val="826"/>
    <w:uiPriority w:val="99"/>
    <w:qFormat/>
    <w:tblPr/>
  </w:style>
  <w:style w:type="table" w:styleId="1066">
    <w:name w:val="List Table 6 Colorful - Accent 2"/>
    <w:next w:val="1066"/>
    <w:link w:val="826"/>
    <w:uiPriority w:val="99"/>
    <w:qFormat/>
    <w:tblPr/>
  </w:style>
  <w:style w:type="table" w:styleId="1067">
    <w:name w:val="List Table 6 Colorful - Accent 3"/>
    <w:next w:val="1067"/>
    <w:link w:val="826"/>
    <w:uiPriority w:val="99"/>
    <w:qFormat/>
    <w:tblPr/>
  </w:style>
  <w:style w:type="table" w:styleId="1068">
    <w:name w:val="List Table 6 Colorful - Accent 4"/>
    <w:next w:val="1068"/>
    <w:link w:val="826"/>
    <w:uiPriority w:val="99"/>
    <w:qFormat/>
    <w:tblPr/>
  </w:style>
  <w:style w:type="table" w:styleId="1069">
    <w:name w:val="List Table 6 Colorful - Accent 5"/>
    <w:next w:val="1069"/>
    <w:link w:val="826"/>
    <w:uiPriority w:val="99"/>
    <w:qFormat/>
    <w:tblPr/>
  </w:style>
  <w:style w:type="table" w:styleId="1070">
    <w:name w:val="List Table 6 Colorful - Accent 6"/>
    <w:next w:val="1070"/>
    <w:link w:val="826"/>
    <w:uiPriority w:val="99"/>
    <w:qFormat/>
    <w:tblPr/>
  </w:style>
  <w:style w:type="table" w:styleId="1071">
    <w:name w:val="List Table 7 Colorful - Accent 1"/>
    <w:next w:val="1071"/>
    <w:link w:val="826"/>
    <w:uiPriority w:val="99"/>
    <w:qFormat/>
    <w:tblPr/>
  </w:style>
  <w:style w:type="table" w:styleId="1072">
    <w:name w:val="List Table 7 Colorful - Accent 2"/>
    <w:next w:val="1072"/>
    <w:link w:val="826"/>
    <w:uiPriority w:val="99"/>
    <w:qFormat/>
    <w:tblPr/>
  </w:style>
  <w:style w:type="table" w:styleId="1073">
    <w:name w:val="List Table 7 Colorful - Accent 3"/>
    <w:next w:val="1073"/>
    <w:link w:val="826"/>
    <w:uiPriority w:val="99"/>
    <w:qFormat/>
    <w:tblPr/>
  </w:style>
  <w:style w:type="table" w:styleId="1074">
    <w:name w:val="List Table 7 Colorful - Accent 4"/>
    <w:next w:val="1074"/>
    <w:link w:val="826"/>
    <w:uiPriority w:val="99"/>
    <w:qFormat/>
    <w:tblPr/>
  </w:style>
  <w:style w:type="table" w:styleId="1075">
    <w:name w:val="List Table 7 Colorful - Accent 5"/>
    <w:next w:val="1075"/>
    <w:link w:val="826"/>
    <w:uiPriority w:val="99"/>
    <w:qFormat/>
    <w:tblPr/>
  </w:style>
  <w:style w:type="table" w:styleId="1076">
    <w:name w:val="List Table 7 Colorful - Accent 6"/>
    <w:next w:val="1076"/>
    <w:link w:val="826"/>
    <w:uiPriority w:val="99"/>
    <w:qFormat/>
    <w:tblPr/>
  </w:style>
  <w:style w:type="table" w:styleId="1077">
    <w:name w:val="Lined - Accent"/>
    <w:next w:val="1077"/>
    <w:link w:val="826"/>
    <w:uiPriority w:val="99"/>
    <w:qFormat/>
    <w:rPr>
      <w:color w:val="404040"/>
    </w:rPr>
    <w:tblPr/>
  </w:style>
  <w:style w:type="table" w:styleId="1078">
    <w:name w:val="Lined - Accent 1"/>
    <w:next w:val="1078"/>
    <w:link w:val="826"/>
    <w:uiPriority w:val="99"/>
    <w:qFormat/>
    <w:rPr>
      <w:color w:val="404040"/>
    </w:rPr>
    <w:tblPr/>
  </w:style>
  <w:style w:type="table" w:styleId="1079">
    <w:name w:val="Lined - Accent 2"/>
    <w:next w:val="1079"/>
    <w:link w:val="826"/>
    <w:uiPriority w:val="99"/>
    <w:qFormat/>
    <w:rPr>
      <w:color w:val="404040"/>
    </w:rPr>
    <w:tblPr/>
  </w:style>
  <w:style w:type="table" w:styleId="1080">
    <w:name w:val="Lined - Accent 3"/>
    <w:next w:val="1080"/>
    <w:link w:val="826"/>
    <w:uiPriority w:val="99"/>
    <w:qFormat/>
    <w:rPr>
      <w:color w:val="404040"/>
    </w:rPr>
    <w:tblPr/>
  </w:style>
  <w:style w:type="table" w:styleId="1081">
    <w:name w:val="Lined - Accent 4"/>
    <w:next w:val="1081"/>
    <w:link w:val="826"/>
    <w:uiPriority w:val="99"/>
    <w:qFormat/>
    <w:rPr>
      <w:color w:val="404040"/>
    </w:rPr>
    <w:tblPr/>
  </w:style>
  <w:style w:type="table" w:styleId="1082">
    <w:name w:val="Lined - Accent 5"/>
    <w:next w:val="1082"/>
    <w:link w:val="826"/>
    <w:uiPriority w:val="99"/>
    <w:qFormat/>
    <w:rPr>
      <w:color w:val="404040"/>
    </w:rPr>
    <w:tblPr/>
  </w:style>
  <w:style w:type="table" w:styleId="1083">
    <w:name w:val="Lined - Accent 6"/>
    <w:next w:val="1083"/>
    <w:link w:val="826"/>
    <w:uiPriority w:val="99"/>
    <w:qFormat/>
    <w:rPr>
      <w:color w:val="404040"/>
    </w:rPr>
    <w:tblPr/>
  </w:style>
  <w:style w:type="table" w:styleId="1084">
    <w:name w:val="Bordered &amp; Lined - Accent"/>
    <w:next w:val="1084"/>
    <w:link w:val="826"/>
    <w:uiPriority w:val="99"/>
    <w:qFormat/>
    <w:rPr>
      <w:color w:val="404040"/>
    </w:rPr>
    <w:tblPr/>
  </w:style>
  <w:style w:type="table" w:styleId="1085">
    <w:name w:val="Bordered &amp; Lined - Accent 1"/>
    <w:next w:val="1085"/>
    <w:link w:val="826"/>
    <w:uiPriority w:val="99"/>
    <w:qFormat/>
    <w:rPr>
      <w:color w:val="404040"/>
    </w:rPr>
    <w:tblPr/>
  </w:style>
  <w:style w:type="table" w:styleId="1086">
    <w:name w:val="Bordered &amp; Lined - Accent 2"/>
    <w:next w:val="1086"/>
    <w:link w:val="826"/>
    <w:uiPriority w:val="99"/>
    <w:qFormat/>
    <w:rPr>
      <w:color w:val="404040"/>
    </w:rPr>
    <w:tblPr/>
  </w:style>
  <w:style w:type="table" w:styleId="1087">
    <w:name w:val="Bordered &amp; Lined - Accent 3"/>
    <w:next w:val="1087"/>
    <w:link w:val="826"/>
    <w:uiPriority w:val="99"/>
    <w:qFormat/>
    <w:rPr>
      <w:color w:val="404040"/>
    </w:rPr>
    <w:tblPr/>
  </w:style>
  <w:style w:type="table" w:styleId="1088">
    <w:name w:val="Bordered &amp; Lined - Accent 4"/>
    <w:next w:val="1088"/>
    <w:link w:val="826"/>
    <w:uiPriority w:val="99"/>
    <w:qFormat/>
    <w:rPr>
      <w:color w:val="404040"/>
    </w:rPr>
    <w:tblPr/>
  </w:style>
  <w:style w:type="table" w:styleId="1089">
    <w:name w:val="Bordered &amp; Lined - Accent 5"/>
    <w:next w:val="1089"/>
    <w:link w:val="826"/>
    <w:uiPriority w:val="99"/>
    <w:qFormat/>
    <w:rPr>
      <w:color w:val="404040"/>
    </w:rPr>
    <w:tblPr/>
  </w:style>
  <w:style w:type="table" w:styleId="1090">
    <w:name w:val="Bordered &amp; Lined - Accent 6"/>
    <w:next w:val="1090"/>
    <w:link w:val="826"/>
    <w:uiPriority w:val="99"/>
    <w:qFormat/>
    <w:rPr>
      <w:color w:val="404040"/>
    </w:rPr>
    <w:tblPr/>
  </w:style>
  <w:style w:type="table" w:styleId="1091">
    <w:name w:val="Bordered"/>
    <w:next w:val="1091"/>
    <w:link w:val="826"/>
    <w:uiPriority w:val="99"/>
    <w:qFormat/>
    <w:tblPr/>
  </w:style>
  <w:style w:type="table" w:styleId="1092">
    <w:name w:val="Bordered - Accent 1"/>
    <w:next w:val="1092"/>
    <w:link w:val="826"/>
    <w:uiPriority w:val="99"/>
    <w:qFormat/>
    <w:tblPr/>
  </w:style>
  <w:style w:type="table" w:styleId="1093">
    <w:name w:val="Bordered - Accent 2"/>
    <w:next w:val="1093"/>
    <w:link w:val="826"/>
    <w:uiPriority w:val="99"/>
    <w:qFormat/>
    <w:tblPr/>
  </w:style>
  <w:style w:type="table" w:styleId="1094">
    <w:name w:val="Bordered - Accent 3"/>
    <w:next w:val="1094"/>
    <w:link w:val="826"/>
    <w:uiPriority w:val="99"/>
    <w:qFormat/>
    <w:tblPr/>
  </w:style>
  <w:style w:type="table" w:styleId="1095">
    <w:name w:val="Bordered - Accent 4"/>
    <w:next w:val="1095"/>
    <w:link w:val="826"/>
    <w:uiPriority w:val="99"/>
    <w:qFormat/>
    <w:tblPr/>
  </w:style>
  <w:style w:type="table" w:styleId="1096">
    <w:name w:val="Bordered - Accent 5"/>
    <w:next w:val="1096"/>
    <w:link w:val="826"/>
    <w:uiPriority w:val="99"/>
    <w:qFormat/>
    <w:tblPr/>
  </w:style>
  <w:style w:type="table" w:styleId="1097">
    <w:name w:val="Bordered - Accent 6"/>
    <w:next w:val="1097"/>
    <w:link w:val="826"/>
    <w:uiPriority w:val="99"/>
    <w:qFormat/>
    <w:tblPr/>
  </w:style>
  <w:style w:type="paragraph" w:styleId="1098">
    <w:name w:val="TOC 标题11"/>
    <w:next w:val="1098"/>
    <w:link w:val="826"/>
    <w:uiPriority w:val="39"/>
    <w:unhideWhenUsed/>
    <w:qFormat/>
    <w:rPr>
      <w:rFonts w:ascii="Times New Roman" w:hAnsi="Times New Roman" w:eastAsia="宋体" w:cs="Times New Roman"/>
      <w:lang w:val="en-US" w:eastAsia="zh-CN" w:bidi="ar-SA"/>
    </w:rPr>
  </w:style>
  <w:style w:type="paragraph" w:styleId="1099">
    <w:name w:val="标题 11"/>
    <w:basedOn w:val="826"/>
    <w:next w:val="826"/>
    <w:link w:val="826"/>
    <w:uiPriority w:val="9"/>
    <w:qFormat/>
    <w:pPr>
      <w:keepLines/>
      <w:keepNext/>
      <w:spacing w:before="340" w:after="330" w:line="578" w:lineRule="auto"/>
      <w:outlineLvl w:val="0"/>
    </w:pPr>
    <w:rPr>
      <w:b/>
      <w:bCs/>
      <w:sz w:val="44"/>
      <w:szCs w:val="44"/>
    </w:rPr>
  </w:style>
  <w:style w:type="paragraph" w:styleId="1100">
    <w:name w:val="标题 21"/>
    <w:basedOn w:val="826"/>
    <w:next w:val="1101"/>
    <w:link w:val="826"/>
    <w:qFormat/>
    <w:pPr>
      <w:jc w:val="center"/>
      <w:keepLines/>
      <w:keepNext/>
      <w:spacing w:before="260" w:after="260" w:line="416" w:lineRule="auto"/>
      <w:outlineLvl w:val="1"/>
    </w:pPr>
    <w:rPr>
      <w:rFonts w:ascii="Arial" w:hAnsi="Arial" w:eastAsia="幼圆" w:cs="Arial"/>
      <w:b/>
      <w:bCs/>
      <w:sz w:val="44"/>
      <w:szCs w:val="44"/>
    </w:rPr>
  </w:style>
  <w:style w:type="paragraph" w:styleId="1101">
    <w:name w:val="正文缩进11"/>
    <w:basedOn w:val="826"/>
    <w:next w:val="1101"/>
    <w:link w:val="826"/>
    <w:unhideWhenUsed/>
    <w:qFormat/>
    <w:pPr>
      <w:ind w:firstLine="420"/>
    </w:pPr>
  </w:style>
  <w:style w:type="paragraph" w:styleId="1102">
    <w:name w:val="标题 31"/>
    <w:basedOn w:val="826"/>
    <w:next w:val="826"/>
    <w:link w:val="826"/>
    <w:qFormat/>
    <w:pPr>
      <w:keepLines/>
      <w:keepNext/>
      <w:spacing w:before="260" w:after="260" w:line="416" w:lineRule="auto"/>
      <w:outlineLvl w:val="2"/>
    </w:pPr>
    <w:rPr>
      <w:b/>
      <w:bCs/>
      <w:sz w:val="32"/>
      <w:szCs w:val="32"/>
    </w:rPr>
  </w:style>
  <w:style w:type="character" w:styleId="1103">
    <w:name w:val="默认段落字体1"/>
    <w:next w:val="1103"/>
    <w:link w:val="826"/>
    <w:uiPriority w:val="1"/>
    <w:unhideWhenUsed/>
    <w:qFormat/>
  </w:style>
  <w:style w:type="table" w:styleId="1104">
    <w:name w:val="普通表格1"/>
    <w:next w:val="1104"/>
    <w:link w:val="826"/>
    <w:uiPriority w:val="99"/>
    <w:unhideWhenUsed/>
    <w:qFormat/>
    <w:tblPr/>
  </w:style>
  <w:style w:type="paragraph" w:styleId="1105">
    <w:name w:val="正文文本缩进1"/>
    <w:basedOn w:val="826"/>
    <w:next w:val="1105"/>
    <w:link w:val="826"/>
    <w:qFormat/>
    <w:pPr>
      <w:ind w:left="420"/>
      <w:spacing w:after="120"/>
    </w:pPr>
    <w:rPr>
      <w:rFonts w:ascii="等线" w:hAnsi="等线" w:eastAsia="等线"/>
    </w:rPr>
  </w:style>
  <w:style w:type="paragraph" w:styleId="1106">
    <w:name w:val="寄信人地址1"/>
    <w:basedOn w:val="826"/>
    <w:next w:val="1106"/>
    <w:link w:val="826"/>
    <w:uiPriority w:val="99"/>
    <w:unhideWhenUsed/>
    <w:qFormat/>
    <w:rPr>
      <w:rFonts w:ascii="Arial" w:hAnsi="Arial"/>
    </w:rPr>
  </w:style>
  <w:style w:type="paragraph" w:styleId="1107">
    <w:name w:val="正文缩进1"/>
    <w:basedOn w:val="826"/>
    <w:next w:val="1107"/>
    <w:link w:val="826"/>
    <w:unhideWhenUsed/>
    <w:qFormat/>
    <w:pPr>
      <w:ind w:firstLine="420"/>
    </w:pPr>
  </w:style>
  <w:style w:type="paragraph" w:styleId="1108">
    <w:name w:val="批注文字1"/>
    <w:basedOn w:val="826"/>
    <w:next w:val="1108"/>
    <w:link w:val="1109"/>
    <w:qFormat/>
    <w:pPr>
      <w:jc w:val="left"/>
    </w:pPr>
  </w:style>
  <w:style w:type="character" w:styleId="1109">
    <w:name w:val="批注文字 Char"/>
    <w:next w:val="1109"/>
    <w:link w:val="1108"/>
    <w:qFormat/>
    <w:rPr>
      <w:rFonts w:ascii="Calibri" w:hAnsi="Calibri"/>
      <w:sz w:val="21"/>
      <w:szCs w:val="22"/>
    </w:rPr>
  </w:style>
  <w:style w:type="paragraph" w:styleId="1110">
    <w:name w:val="正文文本11"/>
    <w:basedOn w:val="826"/>
    <w:next w:val="1111"/>
    <w:link w:val="826"/>
    <w:qFormat/>
    <w:rPr>
      <w:rFonts w:ascii="楷体_GB2312" w:hAnsi="Arial" w:eastAsia="楷体_GB2312"/>
      <w:sz w:val="28"/>
      <w:szCs w:val="28"/>
    </w:rPr>
  </w:style>
  <w:style w:type="paragraph" w:styleId="1111">
    <w:name w:val="标题1"/>
    <w:basedOn w:val="826"/>
    <w:next w:val="826"/>
    <w:link w:val="826"/>
    <w:qFormat/>
    <w:pPr>
      <w:jc w:val="center"/>
      <w:spacing w:before="240" w:after="60" w:line="360" w:lineRule="auto"/>
      <w:outlineLvl w:val="0"/>
    </w:pPr>
    <w:rPr>
      <w:rFonts w:ascii="宋体" w:hAnsi="宋体"/>
      <w:b/>
      <w:bCs/>
      <w:sz w:val="32"/>
      <w:szCs w:val="32"/>
    </w:rPr>
  </w:style>
  <w:style w:type="paragraph" w:styleId="1112">
    <w:name w:val="纯文本1"/>
    <w:basedOn w:val="826"/>
    <w:next w:val="1112"/>
    <w:link w:val="826"/>
    <w:uiPriority w:val="99"/>
    <w:qFormat/>
    <w:rPr>
      <w:rFonts w:ascii="宋体" w:hAnsi="Courier New"/>
      <w:sz w:val="20"/>
      <w:szCs w:val="21"/>
    </w:rPr>
  </w:style>
  <w:style w:type="paragraph" w:styleId="1113">
    <w:name w:val="正文文本缩进 21"/>
    <w:basedOn w:val="826"/>
    <w:next w:val="1113"/>
    <w:link w:val="826"/>
    <w:qFormat/>
    <w:pPr>
      <w:ind w:left="640"/>
      <w:spacing w:after="120" w:line="480" w:lineRule="auto"/>
    </w:pPr>
    <w:rPr>
      <w:rFonts w:eastAsia="仿宋_GB2312"/>
      <w:sz w:val="32"/>
      <w:szCs w:val="28"/>
    </w:rPr>
  </w:style>
  <w:style w:type="paragraph" w:styleId="1114">
    <w:name w:val="批注框文本1"/>
    <w:basedOn w:val="826"/>
    <w:next w:val="1114"/>
    <w:link w:val="1115"/>
    <w:qFormat/>
    <w:rPr>
      <w:sz w:val="18"/>
      <w:szCs w:val="18"/>
    </w:rPr>
  </w:style>
  <w:style w:type="character" w:styleId="1115">
    <w:name w:val="批注框文本 Char"/>
    <w:next w:val="1115"/>
    <w:link w:val="1114"/>
    <w:qFormat/>
    <w:rPr>
      <w:sz w:val="18"/>
      <w:szCs w:val="18"/>
    </w:rPr>
  </w:style>
  <w:style w:type="paragraph" w:styleId="1116">
    <w:name w:val="页脚1"/>
    <w:basedOn w:val="826"/>
    <w:next w:val="1116"/>
    <w:link w:val="826"/>
    <w:uiPriority w:val="99"/>
    <w:unhideWhenUsed/>
    <w:qFormat/>
    <w:pPr>
      <w:jc w:val="left"/>
      <w:tabs>
        <w:tab w:val="center" w:pos="4153" w:leader="none"/>
        <w:tab w:val="right" w:pos="8306" w:leader="none"/>
      </w:tabs>
    </w:pPr>
    <w:rPr>
      <w:sz w:val="18"/>
      <w:szCs w:val="18"/>
    </w:rPr>
  </w:style>
  <w:style w:type="paragraph" w:styleId="1117">
    <w:name w:val="页眉1"/>
    <w:basedOn w:val="826"/>
    <w:next w:val="1117"/>
    <w:link w:val="82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8">
    <w:name w:val="目录 11"/>
    <w:basedOn w:val="826"/>
    <w:next w:val="826"/>
    <w:link w:val="826"/>
    <w:uiPriority w:val="39"/>
    <w:unhideWhenUsed/>
    <w:qFormat/>
  </w:style>
  <w:style w:type="paragraph" w:styleId="1119">
    <w:name w:val="正文文本 21"/>
    <w:basedOn w:val="826"/>
    <w:next w:val="1119"/>
    <w:link w:val="826"/>
    <w:qFormat/>
    <w:pPr>
      <w:spacing w:after="120" w:line="480" w:lineRule="auto"/>
    </w:pPr>
  </w:style>
  <w:style w:type="paragraph" w:styleId="1120">
    <w:name w:val="信息标题1"/>
    <w:basedOn w:val="826"/>
    <w:next w:val="1120"/>
    <w:link w:val="82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21">
    <w:name w:val="普通(网站)1"/>
    <w:basedOn w:val="826"/>
    <w:next w:val="1121"/>
    <w:link w:val="826"/>
    <w:qFormat/>
    <w:rPr>
      <w:rFonts w:ascii="Times New Roman" w:hAnsi="Times New Roman"/>
      <w:sz w:val="24"/>
    </w:rPr>
  </w:style>
  <w:style w:type="paragraph" w:styleId="1122">
    <w:name w:val="批注主题1"/>
    <w:basedOn w:val="1108"/>
    <w:next w:val="1108"/>
    <w:link w:val="1123"/>
    <w:qFormat/>
    <w:rPr>
      <w:b/>
      <w:bCs/>
    </w:rPr>
  </w:style>
  <w:style w:type="character" w:styleId="1123">
    <w:name w:val="批注主题 Char"/>
    <w:next w:val="1123"/>
    <w:link w:val="1122"/>
    <w:qFormat/>
    <w:rPr>
      <w:rFonts w:ascii="Calibri" w:hAnsi="Calibri"/>
      <w:b/>
      <w:bCs/>
      <w:sz w:val="21"/>
      <w:szCs w:val="22"/>
    </w:rPr>
  </w:style>
  <w:style w:type="paragraph" w:styleId="1124">
    <w:name w:val="正文首行缩进 21"/>
    <w:basedOn w:val="1105"/>
    <w:next w:val="826"/>
    <w:link w:val="826"/>
    <w:qFormat/>
    <w:pPr>
      <w:ind w:firstLine="420"/>
      <w:spacing w:before="100" w:beforeAutospacing="1"/>
    </w:pPr>
    <w:rPr>
      <w:rFonts w:ascii="Times New Roman" w:hAnsi="Times New Roman" w:eastAsia="宋体"/>
      <w:sz w:val="20"/>
      <w:szCs w:val="21"/>
    </w:rPr>
  </w:style>
  <w:style w:type="table" w:styleId="1125">
    <w:name w:val="网格型1"/>
    <w:basedOn w:val="1104"/>
    <w:next w:val="1125"/>
    <w:link w:val="826"/>
    <w:qFormat/>
    <w:pPr>
      <w:jc w:val="both"/>
      <w:widowControl w:val="off"/>
    </w:pPr>
    <w:tblPr/>
  </w:style>
  <w:style w:type="character" w:styleId="1126">
    <w:name w:val="要点1"/>
    <w:next w:val="1126"/>
    <w:link w:val="826"/>
    <w:qFormat/>
    <w:rPr>
      <w:b/>
    </w:rPr>
  </w:style>
  <w:style w:type="character" w:styleId="1127">
    <w:name w:val="强调1"/>
    <w:next w:val="1127"/>
    <w:link w:val="826"/>
    <w:qFormat/>
    <w:rPr>
      <w:i/>
    </w:rPr>
  </w:style>
  <w:style w:type="character" w:styleId="1128">
    <w:name w:val="超链接1"/>
    <w:next w:val="1128"/>
    <w:link w:val="826"/>
    <w:qFormat/>
    <w:rPr>
      <w:color w:val="0000ff"/>
      <w:u w:val="single"/>
    </w:rPr>
  </w:style>
  <w:style w:type="character" w:styleId="1129">
    <w:name w:val="批注引用1"/>
    <w:next w:val="1129"/>
    <w:link w:val="826"/>
    <w:qFormat/>
    <w:rPr>
      <w:sz w:val="21"/>
      <w:szCs w:val="21"/>
    </w:rPr>
  </w:style>
  <w:style w:type="paragraph" w:styleId="1130">
    <w:name w:val="正文（缩进）"/>
    <w:basedOn w:val="826"/>
    <w:next w:val="1130"/>
    <w:link w:val="826"/>
    <w:qFormat/>
    <w:pPr>
      <w:ind w:firstLine="480"/>
      <w:spacing w:before="156" w:after="156"/>
    </w:pPr>
  </w:style>
  <w:style w:type="paragraph" w:styleId="1131">
    <w:name w:val="一级条标题"/>
    <w:basedOn w:val="1132"/>
    <w:next w:val="922"/>
    <w:link w:val="82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2">
    <w:name w:val="章标题"/>
    <w:next w:val="826"/>
    <w:link w:val="826"/>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3">
    <w:name w:val="普通正文"/>
    <w:basedOn w:val="826"/>
    <w:next w:val="1133"/>
    <w:link w:val="826"/>
    <w:qFormat/>
    <w:pPr>
      <w:ind w:firstLine="480"/>
      <w:jc w:val="left"/>
      <w:spacing w:before="120" w:after="120" w:line="360" w:lineRule="auto"/>
    </w:pPr>
    <w:rPr>
      <w:rFonts w:ascii="Arial" w:hAnsi="Arial"/>
      <w:sz w:val="24"/>
      <w:szCs w:val="24"/>
    </w:rPr>
  </w:style>
  <w:style w:type="paragraph" w:styleId="1134">
    <w:name w:val="Char"/>
    <w:basedOn w:val="826"/>
    <w:next w:val="1134"/>
    <w:link w:val="826"/>
    <w:qFormat/>
    <w:pPr>
      <w:ind w:firstLine="200"/>
      <w:tabs>
        <w:tab w:val="left" w:pos="360" w:leader="none"/>
      </w:tabs>
    </w:pPr>
    <w:rPr>
      <w:rFonts w:ascii="Times New Roman" w:hAnsi="Times New Roman"/>
      <w:sz w:val="28"/>
      <w:szCs w:val="30"/>
    </w:rPr>
  </w:style>
  <w:style w:type="paragraph" w:styleId="1135">
    <w:name w:val="Table Paragraph"/>
    <w:basedOn w:val="826"/>
    <w:next w:val="1135"/>
    <w:link w:val="826"/>
    <w:uiPriority w:val="1"/>
    <w:qFormat/>
    <w:rPr>
      <w:rFonts w:ascii="Noto Sans CJK JP Regular" w:hAnsi="Noto Sans CJK JP Regular" w:eastAsia="Noto Sans CJK JP Regular" w:cs="Noto Sans CJK JP Regular"/>
    </w:rPr>
  </w:style>
  <w:style w:type="paragraph" w:styleId="1136">
    <w:name w:val="正文（1）"/>
    <w:basedOn w:val="826"/>
    <w:next w:val="1136"/>
    <w:link w:val="826"/>
    <w:qFormat/>
    <w:pPr>
      <w:numPr>
        <w:ilvl w:val="0"/>
        <w:numId w:val="1"/>
      </w:numPr>
      <w:ind w:firstLine="200"/>
    </w:pPr>
    <w:rPr>
      <w:szCs w:val="24"/>
    </w:rPr>
  </w:style>
  <w:style w:type="paragraph" w:styleId="1137">
    <w:name w:val="朱-正文"/>
    <w:basedOn w:val="826"/>
    <w:next w:val="1137"/>
    <w:link w:val="826"/>
    <w:qFormat/>
    <w:pPr>
      <w:ind w:firstLine="200"/>
    </w:pPr>
    <w:rPr>
      <w:rFonts w:ascii="Times New Roman"/>
      <w:color w:val="000000"/>
      <w:szCs w:val="24"/>
      <w:lang w:val="en-GB"/>
    </w:rPr>
  </w:style>
  <w:style w:type="paragraph" w:styleId="1138">
    <w:name w:val="GP正文(首行缩进)"/>
    <w:basedOn w:val="826"/>
    <w:next w:val="1138"/>
    <w:link w:val="826"/>
    <w:qFormat/>
    <w:pPr>
      <w:ind w:firstLine="480"/>
      <w:jc w:val="left"/>
    </w:pPr>
    <w:rPr>
      <w:rFonts w:ascii="Times New Roman" w:hAnsi="宋体"/>
      <w:sz w:val="24"/>
      <w:szCs w:val="24"/>
    </w:rPr>
  </w:style>
  <w:style w:type="character" w:styleId="1139">
    <w:name w:val="font71"/>
    <w:next w:val="1139"/>
    <w:link w:val="826"/>
    <w:qFormat/>
    <w:rPr>
      <w:rFonts w:hint="eastAsia" w:ascii="宋体" w:hAnsi="宋体" w:eastAsia="宋体" w:cs="宋体"/>
      <w:color w:val="ff0000"/>
      <w:sz w:val="21"/>
      <w:szCs w:val="21"/>
      <w:u w:val="none"/>
    </w:rPr>
  </w:style>
  <w:style w:type="character" w:styleId="1140">
    <w:name w:val="font41"/>
    <w:next w:val="1140"/>
    <w:link w:val="826"/>
    <w:qFormat/>
    <w:rPr>
      <w:rFonts w:hint="eastAsia" w:ascii="宋体" w:hAnsi="宋体" w:eastAsia="宋体" w:cs="宋体"/>
      <w:color w:val="000000"/>
      <w:sz w:val="21"/>
      <w:szCs w:val="21"/>
      <w:u w:val="none"/>
    </w:rPr>
  </w:style>
  <w:style w:type="paragraph" w:styleId="1141">
    <w:name w:val="列出段落"/>
    <w:basedOn w:val="826"/>
    <w:next w:val="1141"/>
    <w:link w:val="826"/>
    <w:qFormat/>
    <w:pPr>
      <w:ind w:firstLine="420"/>
    </w:pPr>
  </w:style>
  <w:style w:type="paragraph" w:styleId="1142">
    <w:name w:val="列出段落2"/>
    <w:basedOn w:val="826"/>
    <w:next w:val="1142"/>
    <w:link w:val="826"/>
    <w:uiPriority w:val="34"/>
    <w:qFormat/>
    <w:pPr>
      <w:ind w:firstLine="420"/>
    </w:pPr>
    <w:rPr>
      <w:rFonts w:ascii="宋体"/>
      <w:color w:val="404040"/>
    </w:rPr>
  </w:style>
  <w:style w:type="paragraph" w:styleId="1143">
    <w:name w:val="列表段落1"/>
    <w:basedOn w:val="826"/>
    <w:next w:val="1143"/>
    <w:link w:val="826"/>
    <w:qFormat/>
    <w:pPr>
      <w:ind w:firstLine="200"/>
    </w:pPr>
    <w:rPr>
      <w:rFonts w:cs="宋体"/>
    </w:rPr>
  </w:style>
  <w:style w:type="character" w:styleId="1144">
    <w:name w:val="font51"/>
    <w:next w:val="1144"/>
    <w:link w:val="826"/>
    <w:qFormat/>
    <w:rPr>
      <w:rFonts w:hint="eastAsia" w:ascii="宋体" w:hAnsi="宋体" w:eastAsia="宋体" w:cs="宋体"/>
      <w:color w:val="000000"/>
      <w:sz w:val="24"/>
      <w:szCs w:val="24"/>
      <w:u w:val="none"/>
      <w:vertAlign w:val="subscript"/>
    </w:rPr>
  </w:style>
  <w:style w:type="character" w:styleId="1145">
    <w:name w:val="font61"/>
    <w:next w:val="1145"/>
    <w:link w:val="826"/>
    <w:qFormat/>
    <w:rPr>
      <w:rFonts w:hint="eastAsia" w:ascii="宋体" w:hAnsi="宋体" w:eastAsia="宋体" w:cs="宋体"/>
      <w:color w:val="000000"/>
      <w:sz w:val="24"/>
      <w:szCs w:val="24"/>
      <w:u w:val="none"/>
    </w:rPr>
  </w:style>
  <w:style w:type="character" w:styleId="1146">
    <w:name w:val="font01"/>
    <w:next w:val="1146"/>
    <w:link w:val="826"/>
    <w:qFormat/>
    <w:rPr>
      <w:rFonts w:hint="eastAsia" w:ascii="宋体" w:hAnsi="宋体" w:eastAsia="宋体" w:cs="宋体"/>
      <w:color w:val="000000"/>
      <w:sz w:val="24"/>
      <w:szCs w:val="24"/>
      <w:u w:val="none"/>
    </w:rPr>
  </w:style>
  <w:style w:type="character" w:styleId="1147">
    <w:name w:val="font81"/>
    <w:next w:val="1147"/>
    <w:link w:val="826"/>
    <w:qFormat/>
    <w:rPr>
      <w:rFonts w:ascii="微软雅黑" w:hAnsi="微软雅黑" w:eastAsia="微软雅黑" w:cs="微软雅黑"/>
      <w:color w:val="000000"/>
      <w:sz w:val="24"/>
      <w:szCs w:val="24"/>
      <w:u w:val="none"/>
    </w:rPr>
  </w:style>
  <w:style w:type="character" w:styleId="1148">
    <w:name w:val="font91"/>
    <w:next w:val="1148"/>
    <w:link w:val="826"/>
    <w:qFormat/>
    <w:rPr>
      <w:rFonts w:ascii="Segoe UI Symbol" w:hAnsi="Segoe UI Symbol" w:eastAsia="Segoe UI Symbol" w:cs="Segoe UI Symbol"/>
      <w:color w:val="000000"/>
      <w:sz w:val="24"/>
      <w:szCs w:val="24"/>
      <w:u w:val="none"/>
    </w:rPr>
  </w:style>
  <w:style w:type="character" w:styleId="1149">
    <w:name w:val="font101"/>
    <w:next w:val="1149"/>
    <w:link w:val="826"/>
    <w:qFormat/>
    <w:rPr>
      <w:rFonts w:ascii="Calibri" w:hAnsi="Calibri" w:cs="Calibri"/>
      <w:color w:val="000000"/>
      <w:sz w:val="24"/>
      <w:szCs w:val="24"/>
      <w:u w:val="none"/>
    </w:rPr>
  </w:style>
  <w:style w:type="paragraph" w:styleId="1150">
    <w:name w:val="TableItem"/>
    <w:next w:val="1150"/>
    <w:link w:val="826"/>
    <w:qFormat/>
    <w:rPr>
      <w:rFonts w:ascii="Verdana" w:hAnsi="Verdana" w:eastAsia="宋体" w:cs="Verdana"/>
      <w:b/>
      <w:bCs/>
      <w:color w:val="538135"/>
      <w:spacing w:val="-10"/>
      <w:sz w:val="16"/>
      <w:szCs w:val="28"/>
      <w:lang w:val="en-US" w:eastAsia="zh-CN" w:bidi="ar-SA"/>
    </w:rPr>
  </w:style>
  <w:style w:type="paragraph" w:styleId="1151">
    <w:name w:val="TableEmphasis"/>
    <w:basedOn w:val="826"/>
    <w:next w:val="1151"/>
    <w:link w:val="826"/>
    <w:qFormat/>
    <w:rPr>
      <w:rFonts w:ascii="Times New Roman" w:hAnsi="Times New Roman" w:eastAsia="Times New Roman"/>
      <w:b/>
      <w:bCs/>
      <w:color w:val="3333ff"/>
      <w:sz w:val="16"/>
      <w:szCs w:val="18"/>
    </w:rPr>
  </w:style>
  <w:style w:type="paragraph" w:styleId="1152">
    <w:name w:val="修订1"/>
    <w:next w:val="1152"/>
    <w:link w:val="826"/>
    <w:uiPriority w:val="99"/>
    <w:unhideWhenUsed/>
    <w:qFormat/>
    <w:rPr>
      <w:rFonts w:ascii="Calibri" w:hAnsi="Calibri" w:eastAsia="宋体" w:cs="Times New Roman"/>
      <w:sz w:val="21"/>
      <w:szCs w:val="22"/>
      <w:lang w:val="en-US" w:eastAsia="zh-CN" w:bidi="ar-SA"/>
    </w:rPr>
  </w:style>
  <w:style w:type="paragraph" w:styleId="1153">
    <w:name w:val="修订2"/>
    <w:next w:val="1153"/>
    <w:link w:val="826"/>
    <w:uiPriority w:val="99"/>
    <w:semiHidden/>
    <w:qFormat/>
    <w:rPr>
      <w:rFonts w:ascii="Calibri" w:hAnsi="Calibri" w:eastAsia="宋体" w:cs="Times New Roman"/>
      <w:sz w:val="21"/>
      <w:szCs w:val="22"/>
      <w:lang w:val="en-US" w:eastAsia="zh-CN" w:bidi="ar-SA"/>
    </w:rPr>
  </w:style>
  <w:style w:type="character" w:styleId="1154">
    <w:name w:val="font11"/>
    <w:next w:val="1154"/>
    <w:link w:val="826"/>
    <w:qFormat/>
    <w:rPr>
      <w:rFonts w:hint="eastAsia" w:ascii="宋体" w:hAnsi="宋体" w:eastAsia="宋体" w:cs="宋体"/>
      <w:color w:val="000000"/>
      <w:sz w:val="24"/>
      <w:szCs w:val="24"/>
      <w:u w:val="none"/>
    </w:rPr>
  </w:style>
  <w:style w:type="character" w:styleId="1155">
    <w:name w:val="font21"/>
    <w:next w:val="1155"/>
    <w:link w:val="826"/>
    <w:qFormat/>
    <w:rPr>
      <w:rFonts w:ascii="Segoe UI Symbol" w:hAnsi="Segoe UI Symbol" w:eastAsia="Segoe UI Symbol" w:cs="Segoe UI Symbol"/>
      <w:color w:val="000000"/>
      <w:sz w:val="24"/>
      <w:szCs w:val="24"/>
      <w:u w:val="none"/>
    </w:rPr>
  </w:style>
  <w:style w:type="character" w:styleId="1156">
    <w:name w:val="NormalCharacter1"/>
    <w:next w:val="1156"/>
    <w:link w:val="826"/>
    <w:semiHidden/>
    <w:qFormat/>
    <w:rPr>
      <w:rFonts w:ascii="Calibri" w:hAnsi="Calibri" w:eastAsia="宋体" w:cs="Times New Roman"/>
      <w:sz w:val="21"/>
      <w:szCs w:val="22"/>
      <w:lang w:val="en-US" w:eastAsia="zh-CN" w:bidi="ar-SA"/>
    </w:rPr>
  </w:style>
  <w:style w:type="paragraph" w:styleId="1157">
    <w:name w:val="无间隔1"/>
    <w:next w:val="1157"/>
    <w:link w:val="826"/>
    <w:uiPriority w:val="1"/>
    <w:qFormat/>
    <w:rPr>
      <w:rFonts w:ascii="Times New Roman" w:hAnsi="Times New Roman" w:eastAsia="宋体" w:cs="Times New Roman"/>
      <w:lang w:val="en-US" w:eastAsia="zh-CN" w:bidi="ar-SA"/>
    </w:rPr>
  </w:style>
  <w:style w:type="paragraph" w:styleId="1158">
    <w:name w:val="索引 41"/>
    <w:basedOn w:val="826"/>
    <w:next w:val="826"/>
    <w:link w:val="826"/>
    <w:uiPriority w:val="99"/>
    <w:unhideWhenUsed/>
    <w:qFormat/>
    <w:pPr>
      <w:ind w:left="600"/>
    </w:pPr>
    <w:rPr>
      <w:rFonts w:ascii="Verdana" w:hAnsi="Verdana" w:eastAsia="微软雅黑"/>
      <w:szCs w:val="20"/>
    </w:rPr>
  </w:style>
  <w:style w:type="paragraph" w:styleId="1159">
    <w:name w:val="表格文字"/>
    <w:basedOn w:val="826"/>
    <w:next w:val="1159"/>
    <w:link w:val="826"/>
    <w:qFormat/>
    <w:rPr>
      <w:rFonts w:cs="宋体"/>
      <w:spacing w:val="2"/>
      <w:szCs w:val="21"/>
      <w:lang w:eastAsia="en-US"/>
    </w:rPr>
  </w:style>
  <w:style w:type="paragraph" w:styleId="1160">
    <w:name w:val="列出段落1"/>
    <w:basedOn w:val="826"/>
    <w:next w:val="1160"/>
    <w:link w:val="826"/>
    <w:qFormat/>
    <w:pPr>
      <w:ind w:firstLine="420"/>
      <w:jc w:val="left"/>
      <w:widowControl/>
    </w:pPr>
    <w:rPr>
      <w:rFonts w:ascii="Times New Roman" w:hAnsi="Times New Roman"/>
    </w:rPr>
  </w:style>
  <w:style w:type="paragraph" w:styleId="1161">
    <w:name w:val="页眉11"/>
    <w:basedOn w:val="826"/>
    <w:next w:val="1161"/>
    <w:link w:val="82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62">
    <w:name w:val="页脚11"/>
    <w:basedOn w:val="826"/>
    <w:next w:val="1162"/>
    <w:link w:val="826"/>
    <w:uiPriority w:val="99"/>
    <w:unhideWhenUsed/>
    <w:qFormat/>
    <w:pPr>
      <w:jc w:val="left"/>
      <w:tabs>
        <w:tab w:val="center" w:pos="4153" w:leader="none"/>
        <w:tab w:val="right" w:pos="8306" w:leader="none"/>
      </w:tabs>
    </w:pPr>
    <w:rPr>
      <w:sz w:val="18"/>
      <w:szCs w:val="18"/>
    </w:rPr>
  </w:style>
  <w:style w:type="paragraph" w:styleId="1163">
    <w:name w:val="标题 311"/>
    <w:basedOn w:val="826"/>
    <w:next w:val="1101"/>
    <w:link w:val="826"/>
    <w:qFormat/>
    <w:pPr>
      <w:keepLines/>
      <w:keepNext/>
      <w:spacing w:before="260" w:after="260" w:line="416" w:lineRule="auto"/>
      <w:outlineLvl w:val="2"/>
    </w:pPr>
    <w:rPr>
      <w:b/>
      <w:bCs/>
      <w:sz w:val="32"/>
      <w:szCs w:val="32"/>
    </w:rPr>
  </w:style>
  <w:style w:type="paragraph" w:styleId="1164">
    <w:name w:val="正文_4_0_0"/>
    <w:next w:val="1164"/>
    <w:link w:val="826"/>
    <w:qFormat/>
    <w:pPr>
      <w:jc w:val="both"/>
      <w:widowControl w:val="off"/>
    </w:pPr>
    <w:rPr>
      <w:rFonts w:ascii="Times New Roman" w:hAnsi="Times New Roman" w:eastAsia="宋体" w:cs="Times New Roman"/>
      <w:sz w:val="21"/>
      <w:lang w:val="en-US" w:eastAsia="zh-CN" w:bidi="ar-SA"/>
    </w:rPr>
  </w:style>
  <w:style w:type="table" w:styleId="1165">
    <w:name w:val="table"/>
    <w:basedOn w:val="881"/>
    <w:next w:val="1165"/>
    <w:link w:val="826"/>
    <w:qFormat/>
    <w:rPr>
      <w:rFonts w:eastAsia="宋体"/>
    </w:rPr>
    <w:tblPr/>
  </w:style>
  <w:style w:type="paragraph" w:styleId="1166">
    <w:name w:val="AONormal"/>
    <w:next w:val="1166"/>
    <w:link w:val="826"/>
    <w:qFormat/>
    <w:pPr>
      <w:ind w:firstLine="440"/>
      <w:spacing w:line="400" w:lineRule="exact"/>
    </w:pPr>
    <w:rPr>
      <w:rFonts w:ascii="华文楷体" w:hAnsi="华文楷体" w:eastAsia="华文楷体" w:cs="华文楷体"/>
      <w:sz w:val="22"/>
      <w:szCs w:val="21"/>
      <w:lang w:val="en-US" w:eastAsia="zh-CN" w:bidi="ar-SA"/>
    </w:rPr>
  </w:style>
  <w:style w:type="paragraph" w:styleId="1167">
    <w:name w:val="表格"/>
    <w:basedOn w:val="826"/>
    <w:next w:val="1167"/>
    <w:link w:val="826"/>
    <w:qFormat/>
    <w:pPr>
      <w:jc w:val="center"/>
      <w:spacing w:before="60" w:after="60"/>
    </w:pPr>
    <w:rPr>
      <w:rFonts w:ascii="宋体" w:hAnsi="宋体"/>
      <w:sz w:val="22"/>
      <w:szCs w:val="20"/>
    </w:rPr>
  </w:style>
  <w:style w:type="character" w:styleId="45190" w:default="1">
    <w:name w:val="Default Paragraph Font"/>
    <w:uiPriority w:val="1"/>
    <w:semiHidden/>
    <w:unhideWhenUsed/>
  </w:style>
  <w:style w:type="numbering" w:styleId="45191" w:default="1">
    <w:name w:val="No List"/>
    <w:uiPriority w:val="99"/>
    <w:semiHidden/>
    <w:unhideWhenUsed/>
  </w:style>
  <w:style w:type="table" w:styleId="451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陈秋萍</cp:lastModifiedBy>
  <cp:revision>5</cp:revision>
  <dcterms:created xsi:type="dcterms:W3CDTF">2026-06-03T02:05:00Z</dcterms:created>
  <dcterms:modified xsi:type="dcterms:W3CDTF">2026-10-20T09:39:01Z</dcterms:modified>
</cp:coreProperties>
</file>