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太仓市政府采购</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 </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单 一 </w:t>
      </w:r>
      <w:r>
        <w:rPr>
          <w:rFonts w:ascii="宋体" w:hAnsi="宋体" w:eastAsia="宋体" w:cs="宋体"/>
          <w:b/>
          <w:sz w:val="72"/>
          <w:highlight w:val="none"/>
        </w:rPr>
        <w:t xml:space="preserve">来</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源 文 件</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630"/>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jc w:val="right"/>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 </w:t>
      </w:r>
      <w:r/>
    </w:p>
    <w:p>
      <w:pPr>
        <w:ind w:firstLine="1084"/>
        <w:spacing w:line="580" w:lineRule="exact"/>
        <w:widowControl/>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项目编号：</w:t>
      </w:r>
      <w:r>
        <w:rPr>
          <w:rFonts w:hint="eastAsia" w:ascii="宋体" w:hAnsi="宋体" w:eastAsia="宋体" w:cs="宋体"/>
          <w:b/>
          <w:sz w:val="36"/>
          <w:highlight w:val="none"/>
        </w:rPr>
        <w:t xml:space="preserve">JSZC-320585-JZCG-D2026-0094</w:t>
      </w:r>
      <w:r/>
    </w:p>
    <w:p>
      <w:pPr>
        <w:ind w:firstLine="1084"/>
        <w:spacing w:line="580" w:lineRule="exact"/>
        <w:widowControl/>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项目名称：</w:t>
      </w:r>
      <w:r>
        <w:rPr>
          <w:rFonts w:hint="eastAsia" w:ascii="宋体" w:hAnsi="宋体" w:eastAsia="宋体" w:cs="宋体"/>
          <w:b/>
          <w:sz w:val="36"/>
          <w:highlight w:val="none"/>
        </w:rPr>
        <w:t xml:space="preserve">“太融e”2027年度运维升级改造</w:t>
      </w:r>
      <w:r/>
    </w:p>
    <w:p>
      <w:pPr>
        <w:ind w:firstLine="1084"/>
        <w:spacing w:line="580" w:lineRule="exact"/>
        <w:widowControl/>
        <w:rPr>
          <w:rFonts w:ascii="Arial" w:hAnsi="Arial" w:eastAsia="宋体"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采购单位：</w:t>
      </w:r>
      <w:r>
        <w:rPr>
          <w:rFonts w:hint="eastAsia" w:ascii="宋体" w:hAnsi="宋体" w:eastAsia="宋体" w:cs="宋体"/>
          <w:b/>
          <w:sz w:val="36"/>
          <w:highlight w:val="none"/>
        </w:rPr>
        <w:t xml:space="preserve">太仓市融媒体中心</w:t>
      </w:r>
      <w:r/>
    </w:p>
    <w:p>
      <w:pPr>
        <w:ind w:firstLine="1084"/>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采购项目类别：服务类</w:t>
      </w:r>
      <w:r/>
    </w:p>
    <w:p>
      <w:pPr>
        <w:ind w:firstLine="1084"/>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标的所属行业：</w:t>
      </w:r>
      <w:r>
        <w:rPr>
          <w:rFonts w:hint="eastAsia" w:ascii="宋体" w:hAnsi="宋体" w:eastAsia="宋体" w:cs="宋体"/>
          <w:b/>
          <w:sz w:val="36"/>
          <w:highlight w:val="none"/>
        </w:rPr>
        <w:t xml:space="preserve">软件和信息技术服务业</w:t>
      </w:r>
      <w:r/>
    </w:p>
    <w:p>
      <w:pPr>
        <w:spacing w:line="580" w:lineRule="exact"/>
        <w:widowControl/>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spacing w:after="200" w:line="276" w:lineRule="auto"/>
        <w:rPr>
          <w:rFonts w:ascii="宋体" w:hAnsi="宋体" w:eastAsia="宋体" w:cs="宋体"/>
          <w:sz w:val="28"/>
          <w:szCs w:val="18"/>
          <w:highlight w:val="none"/>
        </w:rPr>
      </w:pPr>
      <w:r>
        <w:rPr>
          <w:rFonts w:ascii="宋体" w:hAnsi="宋体" w:eastAsia="宋体" w:cs="宋体"/>
          <w:sz w:val="28"/>
          <w:szCs w:val="18"/>
          <w:highlight w:val="none"/>
        </w:rPr>
      </w:r>
      <w:r/>
    </w:p>
    <w:p>
      <w:pPr>
        <w:jc w:val="center"/>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rPr>
        <w:t xml:space="preserve"> 苏州市公共资源交易中心太仓分中心</w:t>
      </w:r>
      <w:r/>
    </w:p>
    <w:p>
      <w:pPr>
        <w:jc w:val="center"/>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rPr>
        <w:t xml:space="preserve">2026年10月</w:t>
      </w:r>
      <w:r>
        <w:rPr>
          <w:rFonts w:ascii="宋体" w:hAnsi="宋体" w:eastAsia="宋体" w:cs="宋体"/>
          <w:sz w:val="44"/>
          <w:highlight w:val="none"/>
        </w:rPr>
        <w:br w:type="page" w:clear="all"/>
      </w:r>
      <w:r/>
    </w:p>
    <w:p>
      <w:pPr>
        <w:jc w:val="center"/>
        <w:spacing w:line="85" w:lineRule="atLeast"/>
        <w:widowControl/>
        <w:rPr>
          <w:rFonts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w:t>
      </w:r>
      <w:r>
        <w:rPr>
          <w:rFonts w:hint="eastAsia" w:ascii="宋体" w:hAnsi="宋体" w:eastAsia="宋体" w:cs="宋体"/>
          <w:b/>
          <w:sz w:val="36"/>
          <w:highlight w:val="none"/>
        </w:rPr>
        <w:t xml:space="preserve"> </w:t>
      </w:r>
      <w:r>
        <w:rPr>
          <w:rFonts w:ascii="宋体" w:hAnsi="宋体" w:eastAsia="宋体" w:cs="宋体"/>
          <w:b/>
          <w:sz w:val="36"/>
          <w:highlight w:val="none"/>
        </w:rPr>
        <w:t xml:space="preserve">录</w:t>
      </w:r>
      <w:r/>
    </w:p>
    <w:p>
      <w:pPr>
        <w:spacing w:after="200" w:line="276" w:lineRule="auto"/>
        <w:rPr>
          <w:rFonts w:ascii="宋体" w:hAnsi="宋体" w:eastAsia="宋体" w:cs="宋体"/>
          <w:sz w:val="30"/>
          <w:szCs w:val="24"/>
          <w:highlight w:val="none"/>
        </w:rPr>
      </w:pPr>
      <w:r>
        <w:rPr>
          <w:rFonts w:ascii="宋体" w:hAnsi="宋体" w:eastAsia="宋体" w:cs="宋体"/>
          <w:sz w:val="30"/>
          <w:szCs w:val="24"/>
          <w:highlight w:val="none"/>
        </w:rPr>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第一部分 单一来源采购邀请函</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第二部分 单一来源采购文件需求</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第三部分 单一来源采购程序</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第四部分 成交原则</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第五部分 合同条款</w:t>
      </w:r>
      <w:r/>
    </w:p>
    <w:p>
      <w:pPr>
        <w:ind w:firstLine="720"/>
        <w:jc w:val="left"/>
        <w:spacing w:after="200" w:line="360" w:lineRule="auto"/>
        <w:widowControl/>
        <w:rPr>
          <w:rFonts w:ascii="宋体" w:hAnsi="宋体" w:eastAsia="Arial" w:cs="Times New Roman"/>
          <w:sz w:val="36"/>
          <w:highlight w:val="none"/>
          <w:lang w:eastAsia="en-US"/>
        </w:rPr>
      </w:pPr>
      <w:r>
        <w:rPr>
          <w:rFonts w:hint="eastAsia" w:ascii="宋体" w:hAnsi="宋体" w:eastAsia="Arial" w:cs="Times New Roman"/>
          <w:sz w:val="36"/>
          <w:highlight w:val="none"/>
          <w:lang w:eastAsia="en-US"/>
        </w:rPr>
        <w:t xml:space="preserve">第六部分 响应文件格式</w:t>
      </w:r>
      <w:r/>
    </w:p>
    <w:p>
      <w:pPr>
        <w:spacing w:after="200" w:line="276" w:lineRule="auto"/>
        <w:rPr>
          <w:rFonts w:ascii="宋体" w:hAnsi="宋体" w:eastAsia="宋体" w:cs="宋体"/>
          <w:sz w:val="30"/>
          <w:szCs w:val="24"/>
          <w:highlight w:val="none"/>
        </w:rPr>
      </w:pPr>
      <w:r>
        <w:rPr>
          <w:rFonts w:ascii="宋体" w:hAnsi="宋体" w:eastAsia="宋体" w:cs="宋体"/>
          <w:sz w:val="30"/>
          <w:szCs w:val="24"/>
          <w:highlight w:val="none"/>
        </w:rPr>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Arial" w:hAnsi="Arial" w:eastAsia="Arial" w:cs="Times New Roman"/>
          <w:sz w:val="22"/>
          <w:highlight w:val="none"/>
        </w:rPr>
        <w:br w:type="page" w:clear="all"/>
      </w:r>
      <w:r/>
    </w:p>
    <w:p>
      <w:pPr>
        <w:numPr>
          <w:ilvl w:val="0"/>
          <w:numId w:val="6"/>
        </w:numPr>
        <w:jc w:val="center"/>
        <w:spacing w:before="240" w:after="240" w:line="276" w:lineRule="auto"/>
        <w:widowControl/>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单一来源采购邀请函</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太仓市一卡通智能科技有限公司</w:t>
      </w:r>
      <w:r>
        <w:rPr>
          <w:rFonts w:hint="eastAsia" w:ascii="仿宋" w:hAnsi="仿宋" w:eastAsia="仿宋" w:cs="仿宋"/>
          <w:sz w:val="24"/>
          <w:szCs w:val="24"/>
          <w:highlight w:val="none"/>
        </w:rPr>
        <w:t xml:space="preserve">：</w:t>
      </w:r>
      <w:r/>
    </w:p>
    <w:tbl>
      <w:tblPr>
        <w:tblStyle w:val="658"/>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项目概况</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bookmarkStart w:id="0" w:name="OLE_LINK9"/>
            <w:r>
              <w:rPr>
                <w:rFonts w:hint="eastAsia" w:ascii="仿宋" w:hAnsi="仿宋" w:eastAsia="仿宋" w:cs="仿宋"/>
                <w:sz w:val="24"/>
                <w:szCs w:val="24"/>
                <w:highlight w:val="none"/>
              </w:rPr>
              <w:t xml:space="preserve">“太融e”2027年度运维升级改造 </w:t>
            </w:r>
            <w:bookmarkEnd w:id="0"/>
            <w:r>
              <w:rPr>
                <w:rFonts w:hint="eastAsia" w:ascii="仿宋" w:hAnsi="仿宋" w:eastAsia="仿宋" w:cs="仿宋"/>
                <w:sz w:val="24"/>
                <w:szCs w:val="24"/>
                <w:highlight w:val="none"/>
              </w:rPr>
              <w:t xml:space="preserve">JSZC-320585-JZCG-D2026-0094招标项目的潜在投标人应在“苏采云”系统（网址：http://jszfcg.jsczt.cn/）自行下载 获取招标文件，并于2026-</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rPr>
              <w:t xml:space="preserve"> 09:30 （北京时间）前递交投标文件。</w:t>
            </w:r>
            <w:r/>
          </w:p>
        </w:tc>
      </w:tr>
    </w:tbl>
    <w:p>
      <w:pPr>
        <w:spacing w:line="23" w:lineRule="atLeast"/>
        <w:shd w:val="clear" w:color="auto" w:fill="ffffff"/>
        <w:rPr>
          <w:rFonts w:ascii="宋体" w:hAnsi="宋体" w:eastAsia="宋体" w:cs="宋体"/>
          <w:sz w:val="34"/>
          <w:highlight w:val="none"/>
        </w:rPr>
        <w:outlineLvl w:val="1"/>
      </w:pPr>
      <w:r>
        <w:rPr>
          <w:rFonts w:ascii="黑体" w:hAnsi="宋体" w:eastAsia="黑体" w:cs="黑体"/>
          <w:b/>
          <w:sz w:val="28"/>
          <w:szCs w:val="28"/>
          <w:highlight w:val="none"/>
          <w:shd w:val="clear" w:color="auto" w:fill="ffffff"/>
        </w:rPr>
        <w:t xml:space="preserve">一、项目基本情况</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bookmarkStart w:id="1" w:name="OLE_LINK5"/>
      <w:r>
        <w:rPr>
          <w:rFonts w:hint="eastAsia" w:ascii="仿宋" w:hAnsi="仿宋" w:eastAsia="仿宋" w:cs="仿宋"/>
          <w:sz w:val="24"/>
          <w:szCs w:val="24"/>
          <w:highlight w:val="none"/>
        </w:rPr>
        <w:t xml:space="preserve">项目编号：JSZC-320585-JZCG-D2026-0094</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项目名称：“太融e”2027年度运维升级改造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预算金额：300万元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最高限价（如有）：无</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bookmarkStart w:id="2" w:name="OLE_LINK3"/>
      <w:r>
        <w:rPr>
          <w:rFonts w:hint="eastAsia" w:ascii="仿宋" w:hAnsi="仿宋" w:eastAsia="仿宋" w:cs="仿宋"/>
          <w:sz w:val="24"/>
          <w:szCs w:val="24"/>
          <w:highlight w:val="none"/>
        </w:rPr>
        <w:t xml:space="preserve">采购方式：</w:t>
      </w:r>
      <w:bookmarkEnd w:id="2"/>
      <w:r>
        <w:rPr>
          <w:rFonts w:hint="eastAsia" w:ascii="仿宋" w:hAnsi="仿宋" w:eastAsia="仿宋" w:cs="仿宋"/>
          <w:sz w:val="24"/>
          <w:szCs w:val="24"/>
          <w:highlight w:val="none"/>
        </w:rPr>
        <w:t xml:space="preserve">单一来源 </w:t>
      </w:r>
      <w:bookmarkEnd w:id="1"/>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采购需求：</w:t>
      </w:r>
      <w:bookmarkStart w:id="3" w:name="OLE_LINK7"/>
      <w:r>
        <w:rPr>
          <w:rFonts w:hint="eastAsia" w:ascii="仿宋" w:hAnsi="仿宋" w:eastAsia="仿宋" w:cs="仿宋"/>
          <w:sz w:val="24"/>
          <w:szCs w:val="24"/>
          <w:highlight w:val="none"/>
        </w:rPr>
        <w:t xml:space="preserve">为继续深入推进“互联网+政务服务”，形成全市政务服务、民生服务一盘棋的格局，全面打造太仓数字经济新名片、新标签，实现城市服务、治理统一入口，构筑数据通、业务通、证照通、支付通和便民服务通一体化城市服务总入口平台，通过持续迭代业务更新、线上线下活动运营创新，全面盘活城市信息资源。具体内容详见第三部分项目需求。</w:t>
      </w:r>
      <w:bookmarkEnd w:id="3"/>
      <w:r/>
    </w:p>
    <w:p>
      <w:pPr>
        <w:pStyle w:val="660"/>
        <w:ind w:firstLine="0"/>
        <w:spacing w:line="4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合同履行期限：服务期一年，自2026.11.6-2027.11.5。</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本项目（是/否）接受联合体投标：不接受联合体</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二、申请人的资格要求</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（一）满足《中华人民共和国政府采购法》第二十二条规定；</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1.具有独立承担民事责任的能力证明。包括法人或者其他组织的营业执照等证明文件，自然人的身份证明；</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2.具有良好的商业信誉和健全的财务会计制度证明。</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3.具备履行合同所必需的设备和专业技术能力的证明材料或承诺；</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4.依法缴纳税收和社会保障资金的相关资料；</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5.参加政府采购活动前三年内在经营活动中没有重大违法记录的书面声明函；</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6.法律、行政法规规定的其他条件</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（二）落实政府采购政策需满足的资格要求：</w:t>
      </w:r>
      <w:r/>
    </w:p>
    <w:p>
      <w:pPr>
        <w:ind w:firstLine="482"/>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bookmarkStart w:id="4" w:name="OLE_LINK6"/>
      <w:r>
        <w:rPr>
          <w:rFonts w:hint="eastAsia" w:ascii="仿宋" w:hAnsi="仿宋" w:eastAsia="仿宋" w:cs="仿宋"/>
          <w:b/>
          <w:bCs/>
          <w:sz w:val="24"/>
          <w:szCs w:val="24"/>
          <w:highlight w:val="none"/>
        </w:rPr>
        <w:t xml:space="preserve">本项目专门面向中小企业采购，</w:t>
      </w:r>
      <w:r>
        <w:rPr>
          <w:rFonts w:hint="eastAsia" w:ascii="仿宋" w:hAnsi="仿宋" w:eastAsia="仿宋" w:cs="仿宋"/>
          <w:sz w:val="24"/>
          <w:szCs w:val="24"/>
          <w:highlight w:val="none"/>
        </w:rPr>
        <w:t xml:space="preserve">投标人必须提供《中小企业声明函》或《残疾人福利性单位声明函》或由省级以上监狱管理局、戒毒管理局（含新疆生产建设兵团）出具的属于监狱企业的证明文件。</w:t>
      </w:r>
      <w:bookmarkEnd w:id="4"/>
      <w:r/>
      <w:r/>
    </w:p>
    <w:p>
      <w:pPr>
        <w:pStyle w:val="673"/>
        <w:numPr>
          <w:ilvl w:val="0"/>
          <w:numId w:val="7"/>
        </w:numPr>
        <w:spacing w:beforeAutospacing="0" w:afterAutospacing="0" w:line="480" w:lineRule="atLeast"/>
        <w:rPr>
          <w:rFonts w:ascii="仿宋" w:hAnsi="仿宋" w:eastAsia="仿宋" w:cs="仿宋"/>
          <w:sz w:val="24"/>
          <w:highlight w:val="none"/>
        </w:rPr>
      </w:pPr>
      <w:r>
        <w:rPr>
          <w:rFonts w:hint="eastAsia" w:ascii="仿宋" w:hAnsi="仿宋" w:eastAsia="仿宋" w:cs="仿宋"/>
          <w:sz w:val="24"/>
          <w:highlight w:val="none"/>
        </w:rPr>
        <w:t xml:space="preserve">本项目的特定资格要求：</w:t>
      </w:r>
      <w:r/>
    </w:p>
    <w:p>
      <w:pPr>
        <w:pStyle w:val="673"/>
        <w:jc w:val="left"/>
        <w:spacing w:beforeAutospacing="0" w:afterAutospacing="0" w:line="480" w:lineRule="atLeast"/>
        <w:rPr>
          <w:rFonts w:ascii="仿宋" w:hAnsi="仿宋" w:eastAsia="仿宋" w:cs="仿宋"/>
          <w:sz w:val="24"/>
          <w:highlight w:val="none"/>
        </w:rPr>
      </w:pPr>
      <w:r>
        <w:rPr>
          <w:rFonts w:hint="eastAsia" w:ascii="仿宋" w:hAnsi="仿宋" w:eastAsia="仿宋" w:cs="仿宋"/>
          <w:sz w:val="24"/>
          <w:highlight w:val="none"/>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（四）拒绝下述供应商参加本次采购活动：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1、供应商单位负责人为同一人或者存在直接控股、管理关系的不同供应商，不得参加同一合同项下的政府采购活动。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2、凡为采购项目提供整体设计、规范编制或者项目管理、监理、检测等服务的供应商，不得再参加本项目的采购活动。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3、法人的分支机构不得参加投标（除银行、保险、石油石化、电力、电信等行业特殊情况外）</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三、获取招标文件</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时间：自招标文件公告发布之日起5个工作日</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地点：“苏采云”系统（网址：http://jszfcg.jsczt.cn/）自行下载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方式：自行下载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售价：0.00元 </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四、提交投标文件截止时间、开标时间和地点</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rPr>
        <w:t xml:space="preserve"> 09:30 （北京时间）</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地点：苏采云系统 </w:t>
      </w:r>
      <w:r/>
    </w:p>
    <w:p>
      <w:pPr>
        <w:spacing w:line="23" w:lineRule="atLeast"/>
        <w:shd w:val="clear" w:color="auto" w:fill="ffffff"/>
        <w:rPr>
          <w:rFonts w:ascii="宋体" w:hAnsi="宋体" w:eastAsia="宋体" w:cs="宋体"/>
          <w:sz w:val="34"/>
          <w:highlight w:val="none"/>
        </w:rPr>
        <w:outlineLvl w:val="1"/>
      </w:pPr>
      <w:r>
        <w:rPr>
          <w:rFonts w:hint="eastAsia" w:ascii="黑体" w:hAnsi="宋体" w:eastAsia="黑体" w:cs="黑体"/>
          <w:b/>
          <w:sz w:val="28"/>
          <w:szCs w:val="28"/>
          <w:highlight w:val="none"/>
          <w:shd w:val="clear" w:color="auto" w:fill="ffffff"/>
        </w:rPr>
        <w:t xml:space="preserve">五、公告期限</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自本公告发布之日起5个工作日。</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六、其他补充事宜</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1、本项目需要使用CA数字证书制作、上传电子投标文件完成电子投标，请供应商在参加投标活动前办理好CA数字证书申领及电子签章等操作。</w:t>
      </w:r>
      <w:r/>
    </w:p>
    <w:p>
      <w:pPr>
        <w:spacing w:line="48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ascii="仿宋" w:hAnsi="仿宋" w:eastAsia="仿宋" w:cs="仿宋"/>
          <w:sz w:val="24"/>
          <w:szCs w:val="24"/>
          <w:highlight w:val="none"/>
        </w:rPr>
      </w:pPr>
      <w:r>
        <w:rPr>
          <w:rFonts w:ascii="仿宋" w:hAnsi="仿宋" w:eastAsia="仿宋" w:cs="仿宋"/>
          <w:b/>
          <w:sz w:val="24"/>
          <w:szCs w:val="24"/>
          <w:highlight w:val="none"/>
        </w:rPr>
        <w:t xml:space="preserve">3</w:t>
      </w:r>
      <w:r>
        <w:rPr>
          <w:rFonts w:hint="eastAsia" w:ascii="仿宋" w:hAnsi="仿宋" w:eastAsia="仿宋" w:cs="仿宋"/>
          <w:b/>
          <w:sz w:val="24"/>
          <w:szCs w:val="24"/>
          <w:highlight w:val="none"/>
        </w:rPr>
        <w:t xml:space="preserve">、本项目采用不见面开标，投标人开标时无需到开标现场进行解密，采取网上开标大厅解密电子投标文件，投标人远程解密要求如下：</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2）投标人登录苏采云系统，点击开标大厅，选择开标项目，完成不见面开标流程。</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3）投标截止时间后根据系统提示解密电子投标文件。</w:t>
      </w:r>
      <w:r>
        <w:rPr>
          <w:rFonts w:hint="eastAsia" w:ascii="仿宋" w:hAnsi="仿宋" w:eastAsia="仿宋" w:cs="仿宋"/>
          <w:b/>
          <w:sz w:val="24"/>
          <w:szCs w:val="24"/>
          <w:highlight w:val="none"/>
        </w:rPr>
        <w:t xml:space="preserve">解密时间为15分钟，</w:t>
      </w:r>
      <w:r>
        <w:rPr>
          <w:rFonts w:hint="eastAsia" w:ascii="仿宋" w:hAnsi="仿宋" w:eastAsia="仿宋" w:cs="仿宋"/>
          <w:sz w:val="24"/>
          <w:szCs w:val="24"/>
          <w:highlight w:val="none"/>
        </w:rPr>
        <w:t xml:space="preserve">未在规定时间内完成解密，其投标文件将被拒绝，不参与后续投标流程。</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b/>
          <w:sz w:val="24"/>
          <w:szCs w:val="24"/>
          <w:highlight w:val="none"/>
        </w:rPr>
        <w:t xml:space="preserve">有关苏采云系统驱动安装，</w:t>
      </w:r>
      <w:r>
        <w:rPr>
          <w:rFonts w:hint="eastAsia" w:ascii="仿宋" w:hAnsi="仿宋" w:eastAsia="仿宋" w:cs="仿宋"/>
          <w:sz w:val="24"/>
          <w:szCs w:val="24"/>
          <w:highlight w:val="none"/>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rPr>
        <w:t xml:space="preserve">“政务CA、方正签章控件驱动安装包及安装说明”</w:t>
      </w:r>
      <w:r>
        <w:rPr>
          <w:rFonts w:hint="eastAsia" w:ascii="仿宋" w:hAnsi="仿宋" w:eastAsia="仿宋" w:cs="仿宋"/>
          <w:sz w:val="24"/>
          <w:szCs w:val="24"/>
          <w:highlight w:val="none"/>
        </w:rPr>
        <w:t xml:space="preserve">文件，按要求安装驱动。</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b/>
          <w:sz w:val="24"/>
          <w:szCs w:val="24"/>
          <w:highlight w:val="none"/>
        </w:rPr>
        <w:t xml:space="preserve">有关供应商注册、报名、下载电子招标文件、制作上传电子投标文件</w:t>
      </w:r>
      <w:r>
        <w:rPr>
          <w:rFonts w:hint="eastAsia" w:ascii="仿宋" w:hAnsi="仿宋" w:eastAsia="仿宋" w:cs="仿宋"/>
          <w:sz w:val="24"/>
          <w:szCs w:val="24"/>
          <w:highlight w:val="none"/>
        </w:rPr>
        <w:t xml:space="preserve">、不见面开标及其他注意事项登录苏州政府采购网，在“下载中心”栏目下载“</w:t>
      </w:r>
      <w:r>
        <w:rPr>
          <w:rFonts w:hint="eastAsia" w:ascii="仿宋" w:hAnsi="仿宋" w:eastAsia="仿宋" w:cs="仿宋"/>
          <w:b/>
          <w:sz w:val="24"/>
          <w:szCs w:val="24"/>
          <w:highlight w:val="none"/>
        </w:rPr>
        <w:t xml:space="preserve">苏采云系统供应商操作</w:t>
      </w:r>
      <w:r>
        <w:rPr>
          <w:rFonts w:hint="eastAsia" w:ascii="仿宋" w:hAnsi="仿宋" w:eastAsia="仿宋" w:cs="仿宋"/>
          <w:b/>
          <w:bCs/>
          <w:sz w:val="24"/>
          <w:szCs w:val="24"/>
          <w:highlight w:val="none"/>
        </w:rPr>
        <w:t xml:space="preserve">手册</w:t>
      </w:r>
      <w:r>
        <w:rPr>
          <w:rFonts w:hint="eastAsia" w:ascii="仿宋" w:hAnsi="仿宋" w:eastAsia="仿宋" w:cs="仿宋"/>
          <w:sz w:val="24"/>
          <w:szCs w:val="24"/>
          <w:highlight w:val="none"/>
        </w:rPr>
        <w:t xml:space="preserve">”查阅。</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7、有关电子投标制作技术疑问，请咨询苏采云软件公司客服：18261002950、0512-69820854、0519-86722802</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8、政府采购监督电话：0512-53512539</w:t>
      </w:r>
      <w:r/>
    </w:p>
    <w:p>
      <w:pPr>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9、本次招标投标保证金：本项目无须缴纳投标保证金。</w:t>
      </w:r>
      <w:r/>
    </w:p>
    <w:p>
      <w:pPr>
        <w:spacing w:line="480" w:lineRule="atLeast"/>
        <w:rPr>
          <w:rFonts w:ascii="仿宋" w:hAnsi="仿宋" w:eastAsia="仿宋" w:cs="仿宋"/>
          <w:sz w:val="24"/>
          <w:szCs w:val="24"/>
          <w:highlight w:val="none"/>
        </w:rPr>
        <w:outlineLvl w:val="1"/>
      </w:pPr>
      <w:r>
        <w:rPr>
          <w:rFonts w:hint="eastAsia" w:ascii="仿宋" w:hAnsi="仿宋" w:eastAsia="仿宋" w:cs="仿宋"/>
          <w:sz w:val="24"/>
          <w:szCs w:val="24"/>
          <w:highlight w:val="none"/>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七、对本次招标提出询问，请按以下方式联系</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1.采购人信息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单位名称：太仓市融媒体中心</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单位地址：太仓市科教新城书院路103号传媒中心</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联系人： 杜英杰</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联系电话 ：18551104187</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2.采购代理机构信息（如有）</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单位名称：苏州市公共资源交易中心太仓分中心</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单位地址：太仓市万金北路88号3栋2楼</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联系人：张倩</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联系电话：0512-53890581</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3.项目联系方式</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项目联系人：张倩</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电话：0512-53890581</w:t>
      </w:r>
      <w:r/>
    </w:p>
    <w:p>
      <w:pPr>
        <w:tabs>
          <w:tab w:val="center" w:pos="7143" w:leader="none"/>
          <w:tab w:val="right" w:pos="14287" w:leader="none"/>
        </w:tabs>
        <w:rPr>
          <w:rFonts w:ascii="Arial" w:hAnsi="Arial" w:eastAsia="Arial" w:cs="Times New Roman"/>
          <w:sz w:val="22"/>
          <w:highlight w:val="none"/>
        </w:rPr>
      </w:pPr>
      <w:r>
        <w:rPr>
          <w:rFonts w:ascii="Arial" w:hAnsi="Arial" w:eastAsia="Arial" w:cs="Times New Roman"/>
          <w:sz w:val="22"/>
          <w:highlight w:val="none"/>
        </w:rPr>
      </w:r>
      <w:r/>
    </w:p>
    <w:p>
      <w:pPr>
        <w:jc w:val="left"/>
        <w:spacing w:after="200" w:line="276" w:lineRule="auto"/>
        <w:widowControl/>
        <w:rPr>
          <w:rFonts w:ascii="宋体" w:hAnsi="宋体" w:eastAsia="宋体" w:cs="宋体"/>
          <w:b/>
          <w:sz w:val="44"/>
          <w:highlight w:val="none"/>
        </w:rPr>
      </w:pPr>
      <w:r>
        <w:rPr>
          <w:rFonts w:ascii="宋体" w:hAnsi="宋体" w:eastAsia="宋体" w:cs="宋体"/>
          <w:b/>
          <w:sz w:val="44"/>
          <w:highlight w:val="none"/>
        </w:rPr>
      </w:r>
      <w:r/>
    </w:p>
    <w:p>
      <w:pPr>
        <w:jc w:val="center"/>
        <w:spacing w:line="440" w:lineRule="exact"/>
        <w:widowControl/>
        <w:rPr>
          <w:rFonts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spacing w:line="440" w:lineRule="exact"/>
        <w:widowControl/>
        <w:rPr>
          <w:rFonts w:hint="eastAsia"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第二部分  </w:t>
      </w:r>
      <w:r>
        <w:rPr>
          <w:rFonts w:hint="eastAsia" w:ascii="宋体" w:hAnsi="宋体" w:eastAsia="宋体" w:cs="宋体"/>
          <w:b/>
          <w:sz w:val="44"/>
          <w:highlight w:val="none"/>
        </w:rPr>
        <w:t xml:space="preserve">响应供应商须知</w:t>
      </w:r>
      <w:r/>
    </w:p>
    <w:p>
      <w:pPr>
        <w:jc w:val="left"/>
        <w:spacing w:line="440" w:lineRule="exact"/>
        <w:rPr>
          <w:rFonts w:ascii="宋体" w:hAnsi="Arial" w:eastAsia="Arial" w:cs="Times New Roman"/>
          <w:sz w:val="18"/>
          <w:szCs w:val="18"/>
          <w:highlight w:val="none"/>
        </w:rPr>
      </w:pPr>
      <w:r>
        <w:rPr>
          <w:rFonts w:ascii="宋体" w:hAnsi="Arial" w:eastAsia="Arial" w:cs="Times New Roman"/>
          <w:sz w:val="18"/>
          <w:szCs w:val="18"/>
          <w:highlight w:val="none"/>
        </w:rPr>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一、说明和释义</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1.1本采购文件仅适用于苏州市公共资源交易中心太仓分中心组织的采购活动。</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1.2本次采购活动及因本次采购产生的合同受中国法律制约和保护。</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1.3本采购文件的解释权属于采购人。</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2.1采购代理机构：具体组织实施采购活动的法人。本项目采购代理机构是苏州市公共资源交易中心太仓分中心。</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2.2响应供应商：经认定有资格响应采购，参加响应竞争的法人或其他组织和自然人。</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2.3响应：响应供应商根据采购人或采购代理机构发布的采购文件，编制响应文件并按规定响应的行为。</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2.5甲方（采购方）：合同中明确规定的实际购买货物和服务的法人或其他组织和自然人（采购人）</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2.6乙方（供应商）：合同中规定的向采购方提供货物和服务的法人或其他组织和自然人（成交人）</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2.7货物：系指乙方按采购文件规定，应向甲方提供的一切设备、备品、备件、工具、手册及其它有关技术资料和材料。</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2.9知识产权：指专利权、商标权、著作权等无形财产专有权的统称。</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2.10天：日历日。</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2.11交货地点：合同中明确约定的乙方提交的货物和服务最终到达地点。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 合同价款：根据合同规定，乙方在正确地履行合同义务后甲方应支付乙方的价款。</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 产地：货物开采、生长、生产、最终制造、加工或提供服务的来源地。</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2.14不可抗力：不能预见、不能避免并且不能克服的客观情况。</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 实质性响应：满足有关本次采购标的、数量、质量、价款或者报酬、履行期限、履行地点和方式、违约责任和解决争议方法等要求。</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2.17进口产品：指通过中国海关报关验收进入中国境内且产自境外的产品。</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2.18书面形式：指书面文字、合同书、信件和传真等可以有形地表现所载内容的形式。</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二、 响应供应商</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3. 合格响应供应商的基本条件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3.1符合《中华人民共和国政府采购法》第二十二条第一款之规定；</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3.2满足本文件实质性条款的规定。</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4．合格响应供应商的特定条件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 按采购公告规定。</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5. 响应供应商代表</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6. 联合响应</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6.1按采购公告规定。</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7. 响应费用 </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 本次采购项目不收取标书费及成交服务费，请响应供应商在响应时充分考虑这一因素。</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三、采购文件说明</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8. 采购文件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9. 采购文件的澄清</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9.2如有必要，问题答复将以“变更公告”形式由采购代理机构按照本须知第10条的规定发出。</w:t>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10.采购文件的修改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10.1采购代理机构无论出于自己的考虑，还是出于对响应供应商提问的澄清，均可对已发出的采购文件用</w:t>
      </w:r>
      <w:r>
        <w:rPr>
          <w:rFonts w:hint="eastAsia" w:ascii="宋体" w:hAnsi="宋体" w:eastAsia="宋体" w:cs="宋体"/>
          <w:sz w:val="24"/>
          <w:szCs w:val="24"/>
          <w:highlight w:val="none"/>
          <w:lang w:val="zh-CN"/>
        </w:rPr>
        <w:t xml:space="preserve">补充文件的方式</w:t>
      </w:r>
      <w:r>
        <w:rPr>
          <w:rFonts w:hint="eastAsia" w:ascii="宋体" w:hAnsi="宋体" w:eastAsia="宋体" w:cs="宋体"/>
          <w:sz w:val="24"/>
          <w:szCs w:val="24"/>
          <w:highlight w:val="none"/>
        </w:rPr>
        <w:t xml:space="preserve">进行必要澄清或者修改。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10.3采购文件的更正（含澄清、修改等）内容与原采购文件在同一内容上表述不一致时，以发出日期最接近开标时间的公告为准。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11.质疑</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11.3上述应知其权益受到损害之日是指：</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11.3.1对采购文件提出质疑的，为获取采购文件或者采购文件公告期限届满之日起计算；</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11.3.2对采购过程提出质疑的，自采购程序环节结束之日起计算；</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11.3.3对成交结果提出质疑的，自成交结果公告期限届满之日起计算。</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 供应商提出质疑应当提交质疑函和必要的证明材料。质疑函应当包括下列内容：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11.4.1 供应商的姓名或者名称、地址、邮编、联系人及联系电话；</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11.4.2 质疑项目的名称、编号；</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11.4.3 具体、明确的质疑事项和与质疑事项相关的请求；</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11.4.4 事实依据；</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11.4.5 必要的法律依据；</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11.4.6 提出质疑的日期。</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11.5质疑函的格式和内容应当符合财政部《政府采购供应商质疑函范本》 </w:t>
      </w:r>
      <w:bookmarkStart w:id="5" w:name="baidusnap5"/>
      <w:r/>
      <w:bookmarkEnd w:id="5"/>
      <w:r>
        <w:rPr>
          <w:rFonts w:hint="eastAsia" w:ascii="宋体" w:hAnsi="宋体" w:eastAsia="宋体" w:cs="宋体"/>
          <w:sz w:val="24"/>
          <w:szCs w:val="24"/>
          <w:highlight w:val="none"/>
        </w:rPr>
        <w:t xml:space="preserve">要求，质疑函范本在财政部官网上提供下载。</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 提交质疑函同时应当附如下证明材料：</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11.6.1对采购文件提出质疑的供应商提供参加本项目的</w:t>
      </w:r>
      <w:r>
        <w:rPr>
          <w:rFonts w:hint="eastAsia" w:ascii="宋体" w:hAnsi="宋体" w:eastAsia="宋体" w:cs="宋体"/>
          <w:b/>
          <w:bCs/>
          <w:sz w:val="24"/>
          <w:szCs w:val="24"/>
          <w:highlight w:val="none"/>
        </w:rPr>
        <w:t xml:space="preserve">《投标供应商确认函》</w:t>
      </w:r>
      <w:r>
        <w:rPr>
          <w:rFonts w:hint="eastAsia" w:ascii="宋体" w:hAnsi="宋体" w:eastAsia="宋体" w:cs="宋体"/>
          <w:sz w:val="24"/>
          <w:szCs w:val="24"/>
          <w:highlight w:val="none"/>
        </w:rPr>
        <w:t xml:space="preserve">；</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11.6.2质疑供应商的营业执照复印件加盖单位公章；</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11.6.3质疑供应商法定代表人身份证复印件加盖单位公章；</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11.9 供应商如对本项目提出质疑须在法定质疑期内一次性提出针对同一采购程序环节的质疑。</w:t>
      </w:r>
      <w:r/>
    </w:p>
    <w:p>
      <w:pPr>
        <w:jc w:val="left"/>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w:t>
      </w:r>
      <w:r>
        <w:rPr>
          <w:rFonts w:hint="eastAsia" w:ascii="宋体" w:hAnsi="宋体" w:eastAsia="宋体" w:cs="宋体"/>
          <w:sz w:val="24"/>
          <w:highlight w:val="none"/>
        </w:rPr>
        <w:t xml:space="preserve">0</w:t>
      </w:r>
      <w:r>
        <w:rPr>
          <w:rFonts w:ascii="宋体" w:hAnsi="宋体" w:eastAsia="宋体" w:cs="宋体"/>
          <w:sz w:val="24"/>
          <w:highlight w:val="none"/>
        </w:rPr>
        <w:t xml:space="preserve"> </w:t>
      </w:r>
      <w:r>
        <w:rPr>
          <w:rFonts w:hint="eastAsia" w:ascii="宋体" w:hAnsi="宋体" w:eastAsia="宋体" w:cs="宋体"/>
          <w:sz w:val="24"/>
          <w:highlight w:val="none"/>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rPr>
        <w:t xml:space="preserve">（即《投标供应商确认函》）</w:t>
      </w:r>
      <w:r>
        <w:rPr>
          <w:rFonts w:hint="eastAsia" w:ascii="宋体" w:hAnsi="宋体" w:eastAsia="宋体" w:cs="宋体"/>
          <w:sz w:val="24"/>
          <w:highlight w:val="none"/>
        </w:rPr>
        <w:t xml:space="preserve">与质疑函一起递交，否则不予受理。</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11.11 接受质疑函联系方式见采购公告联系事项。</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四、 响应文件说明</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12、提示与要求</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12.2无论是否递交响应文件，响应供应商都应将采购文件及以后的所有通知、文件等视为保密文件。</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13. 响应文件计量单位和使用文字</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13.1响应文件中所使用的计量单位，除采购文件中有特殊要求外，均应使用中华人民共和国法定计量单位。</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14. 知识产权</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 响应文件的组成和顺序</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15.1报价部分（详见响应文件格式）：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15.1.1《开标一览表》(统一格式)；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15.1.2响应报价明细表；</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 响应正文部分（包含资质证明和技术部分）</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15.2.1资质证明文件部分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15.2.1.1关于资格文件的声明函（详见文件格式）；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15.2.1.2响应承诺函（详见响应文件格式）；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15.2.1.3响应单位营业执照副本或三证合一营业执照复印件；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15.2.1.4响应供应商参加本次政府采购活动前的财务状况报告或者银行出具的资信证明；</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15.2.1.5响应供应商根据项目需求提供履行合同所必需的设备和专业技术能力的证明材料；</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15.2.1.6响应供应商参加本次政府采购活动前半年（至少一个月）依法缴纳税收和社会保障资金的证明材料；</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15.2.1.7响应供应商参加政府采购活动前三年在经营活动中没有重大违法记录的书面申明（详见文件格式）；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15.2.1.8响应供应商证明其符合采购文件规定的响应供应商特定资格条件的证书、证明和文件材料；（如有）</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15.2.1.9响应供应商基本情况表（详见文件格式）；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15.2.1.10响应供应商法定代表人身份证复印件；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15.2.1.11响应供应商法定代表人授权委托书原件（如有授权）（详见文件格式）；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15.2.1.12响应供应商授权代理人身份证复印件（如有授权）；</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15.2.1.13中小企业声明函；</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15.2.1.14残疾人福利性单位声明函（如有）；</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15.2.1.15其他可以证明响应供应商资信、资质和货物、服务质量的证书、文件、推荐信等资料；（如有）</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15.2.2技术部分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15.2.2.1服务要求偏离表（详见文件格式）；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15.2.2.2商务要求偏离表（详见文件格式）；</w:t>
      </w:r>
      <w:r/>
    </w:p>
    <w:p>
      <w:pPr>
        <w:jc w:val="left"/>
        <w:spacing w:line="440" w:lineRule="exact"/>
        <w:widowControl/>
        <w:rPr>
          <w:rFonts w:ascii="宋体" w:hAnsi="宋体" w:eastAsia="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15.2.2.3项目的技术及服务方案；</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15.2.2.4售后服务内容；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15.2.2.5采购文件中要求提供的其他相关材料；</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15.2.2.6其他需响应供应商对本次响应的详细说明（响应供应商视各自的情况自行编制）；</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sz w:val="24"/>
          <w:szCs w:val="24"/>
          <w:highlight w:val="none"/>
        </w:rPr>
        <w:t xml:space="preserve">。</w:t>
      </w:r>
      <w:r/>
    </w:p>
    <w:p>
      <w:pPr>
        <w:jc w:val="left"/>
        <w:spacing w:line="440" w:lineRule="exact"/>
        <w:widowControl/>
        <w:rPr>
          <w:rFonts w:ascii="宋体" w:hAnsi="宋体" w:eastAsia="宋体" w:cs="宋体"/>
          <w:dstrike/>
          <w:sz w:val="24"/>
          <w:szCs w:val="24"/>
          <w:highlight w:val="none"/>
        </w:rPr>
      </w:pPr>
      <w:r>
        <w:rPr>
          <w:rFonts w:hint="eastAsia" w:ascii="宋体" w:hAnsi="宋体" w:eastAsia="宋体" w:cs="宋体"/>
          <w:b/>
          <w:sz w:val="24"/>
          <w:szCs w:val="24"/>
          <w:highlight w:val="none"/>
        </w:rPr>
        <w:t xml:space="preserve">15.3响应文件由15.1、15.2款规定的内容共同组成。</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 响应文件编制要求   </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w:t>
      </w:r>
      <w:r>
        <w:rPr>
          <w:rFonts w:hint="eastAsia" w:ascii="宋体" w:hAnsi="宋体" w:eastAsia="宋体" w:cs="宋体"/>
          <w:b/>
          <w:sz w:val="24"/>
          <w:szCs w:val="24"/>
          <w:highlight w:val="none"/>
        </w:rPr>
        <w:t xml:space="preserve">电子响应文件编制要求：</w:t>
      </w:r>
      <w:r>
        <w:rPr>
          <w:rFonts w:hint="eastAsia" w:ascii="宋体" w:hAnsi="宋体" w:eastAsia="宋体" w:cs="宋体"/>
          <w:sz w:val="24"/>
          <w:szCs w:val="24"/>
          <w:highlight w:val="none"/>
        </w:rPr>
        <w:t xml:space="preserve">响应人应使用</w:t>
      </w:r>
      <w:r>
        <w:rPr>
          <w:rFonts w:hint="eastAsia" w:ascii="宋体" w:hAnsi="宋体" w:eastAsia="宋体" w:cs="宋体"/>
          <w:b/>
          <w:sz w:val="24"/>
          <w:szCs w:val="24"/>
          <w:highlight w:val="none"/>
        </w:rPr>
        <w:t xml:space="preserve">采购文件要求的响应文件制作软件制作电子响应文件</w:t>
      </w:r>
      <w:r>
        <w:rPr>
          <w:rFonts w:hint="eastAsia" w:ascii="宋体" w:hAnsi="宋体" w:eastAsia="宋体" w:cs="宋体"/>
          <w:sz w:val="24"/>
          <w:szCs w:val="24"/>
          <w:highlight w:val="none"/>
        </w:rPr>
        <w:t xml:space="preserve">，电子响应文件按采购文件规定的格式制作，如果未按要求制作上传，可能导致响应无效。</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17. 响应报价（编制）要求的说明</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 一项响应内容只允许一个报价，采购代理机构不接受任何有选择性的响应报价。</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17.4响应文件报价中的单价和总价全部采用人民币表示，除非合同的特殊条款另有规定。</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17.5最低的响应报价或最高的折扣比例是成交的重要条件，但不是成交的唯一条件。</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18. 响应保证金</w:t>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本项目无须缴纳响应保证金。</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19. 响应文件的有效期</w:t>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19.1在本采购文件规定的开标之日起九十（90）天内，响应供应商所提交的响应文件应保持有效。</w:t>
      </w:r>
      <w:r>
        <w:rPr>
          <w:rFonts w:hint="eastAsia" w:ascii="宋体" w:hAnsi="宋体" w:eastAsia="宋体" w:cs="宋体"/>
          <w:b/>
          <w:sz w:val="24"/>
          <w:szCs w:val="24"/>
          <w:highlight w:val="none"/>
        </w:rPr>
        <w:t xml:space="preserve">有效期短于这个规定期限的响应文件，将被认定为未实质性响应采购文件要求。</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五、响应文件的提交、撤回和修改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 响应文件的上传、提交</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20.1响应供应商应将制作好的加密电子响应文件按要求在响应截止时间前上传到交易系统平台中。</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21. 响应截止时间</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21.1电子响应文件必须按采购公告中规定的网上响应截止时间前提交，否则响应无效。</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22. 响应文件的修改和撤回</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22.1响应供应商在提交响应文件截止时间前，可对其响应文件进行撤回或修改。</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23.2开标后响应供应商不得撤回响应。</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六、响应和评审</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 单一来源采购仪式</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23.1采购代理机构按采购公告规定的时间、地点主持不见面采购活动。采购仪式由采购代理机构、采购人等主持。</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w:t>
      </w:r>
      <w:r>
        <w:rPr>
          <w:rFonts w:hint="eastAsia" w:ascii="宋体" w:hAnsi="宋体" w:eastAsia="宋体" w:cs="宋体"/>
          <w:b/>
          <w:sz w:val="24"/>
          <w:szCs w:val="24"/>
          <w:highlight w:val="none"/>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23.3单一来源采购</w:t>
      </w:r>
      <w:r>
        <w:rPr>
          <w:rFonts w:hint="eastAsia" w:ascii="宋体" w:hAnsi="宋体" w:eastAsia="Arial" w:cs="Times New Roman"/>
          <w:sz w:val="24"/>
          <w:szCs w:val="24"/>
          <w:highlight w:val="none"/>
        </w:rPr>
        <w:t xml:space="preserve">活动开始后，按照采购流程，响应供应商在规定的解密时间内解密响应文件，</w:t>
      </w:r>
      <w:r>
        <w:rPr>
          <w:rFonts w:hint="eastAsia" w:ascii="宋体" w:hAnsi="宋体" w:eastAsia="Arial" w:cs="Times New Roman"/>
          <w:b/>
          <w:sz w:val="24"/>
          <w:szCs w:val="24"/>
          <w:highlight w:val="none"/>
        </w:rPr>
        <w:t xml:space="preserve">解密时间为15分钟，</w:t>
      </w:r>
      <w:r>
        <w:rPr>
          <w:rFonts w:hint="eastAsia" w:ascii="宋体" w:hAnsi="宋体" w:eastAsia="Arial" w:cs="Times New Roman"/>
          <w:sz w:val="24"/>
          <w:szCs w:val="24"/>
          <w:highlight w:val="none"/>
        </w:rPr>
        <w:t xml:space="preserve">因自身原因导致解密失败的，由响应供应商自行承担向相关责任。</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23.4响应人代表对采购仪式过程和记录有疑义，以及认为采购人、采购代理机构相关工作人员有需要回避的情形的，</w:t>
      </w:r>
      <w:r>
        <w:rPr>
          <w:rFonts w:hint="eastAsia" w:ascii="宋体" w:hAnsi="宋体" w:eastAsia="宋体" w:cs="宋体"/>
          <w:b/>
          <w:sz w:val="24"/>
          <w:szCs w:val="24"/>
          <w:highlight w:val="none"/>
        </w:rPr>
        <w:t xml:space="preserve">应通过不见面开标大厅提出</w:t>
      </w:r>
      <w:r>
        <w:rPr>
          <w:rFonts w:hint="eastAsia" w:ascii="宋体" w:hAnsi="宋体" w:eastAsia="宋体" w:cs="宋体"/>
          <w:sz w:val="24"/>
          <w:szCs w:val="24"/>
          <w:highlight w:val="none"/>
        </w:rPr>
        <w:t xml:space="preserve">询问或者回避申请。采购人、采购代理机构对响应人代表提出的询问或者回避申请应当及时处理。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 评审小组</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24.1评审小组由采购人或委托采购代理机构依法组建，负责本项目</w:t>
      </w:r>
      <w:r>
        <w:rPr>
          <w:rFonts w:ascii="宋体" w:hAnsi="宋体" w:eastAsia="宋体" w:cs="宋体"/>
          <w:sz w:val="24"/>
          <w:szCs w:val="24"/>
          <w:highlight w:val="none"/>
        </w:rPr>
        <w:t xml:space="preserve">的评审事务。</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24.2评审小组独立履行下列职责：</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24.2.1审查响应文件是否符合</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的要求，并作出评价；</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24.2.2可以要求响应供应商对响应文件有关事项作出解释或澄清；</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24.2.3推荐成交候选供应商名单，或者受采购人委托按照事先确定的办法直接确定</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24.2.4向采购代理机构或者有关部门报告非法干预评审工作的行为；</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24.3评审小组成员应当履行下列义务：</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24.3.1遵纪守法，客观、公正、廉洁地履行职责；</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24.3.2按照</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规定的评审办法和评审标准进行评审，对评审意见承担个人责任；</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24.3.3对评审过程和结果，以及响应人的商业秘密保密；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24.3.4参与评审报告的起草；</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24.3.5配合采购代理机构答复响应供应商提出的质疑；</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24.3.6配合相关部门的投诉处理工作；</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25. 评审内容的保密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25.1公开开标后，直到宣布授予</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25.3在评审期间，采购代理机构将通过指定联络人与响应人进行联系。</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26.对</w:t>
      </w:r>
      <w:r>
        <w:rPr>
          <w:rFonts w:hint="eastAsia" w:ascii="宋体" w:hAnsi="宋体" w:eastAsia="宋体" w:cs="宋体"/>
          <w:b/>
          <w:sz w:val="24"/>
          <w:szCs w:val="24"/>
          <w:highlight w:val="none"/>
        </w:rPr>
        <w:t xml:space="preserve">响应文件</w:t>
      </w:r>
      <w:r>
        <w:rPr>
          <w:rFonts w:ascii="宋体" w:hAnsi="宋体" w:eastAsia="宋体" w:cs="宋体"/>
          <w:b/>
          <w:sz w:val="24"/>
          <w:szCs w:val="24"/>
          <w:highlight w:val="none"/>
        </w:rPr>
        <w:t xml:space="preserve">初审</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初审分为资格性检查和符合性检查。</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26.1.1资格性检查。依据法律法规和</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的规定，采购人或者采购代理机构依法对响应人的资格进行审查。对</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中的资格证明等进行审查，以确定响应供应商是否具备响应资格。</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 关于信用记录查询：</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26.1.2.1查询时间：评审开始前</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26.1.2.2查询渠道：通过“信用中国”网站、中国政府采购网等渠道查询相关主体信用记录。</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26.1.3符合性检查。依据</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的规定，从</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的有效性、完整性和对</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的响应程度进行审查，以确定是否对</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的实质性要求作出响应。</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26.2开标后，评审小组将审查</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是否实质性响应</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的要求、内容是否完整、价格构成有无计算错误、文件签署是否齐全等。</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26.3在详细评审之前，评审小组将首先审查每份响应书是否实质响应了</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的要求。实质上的响应应该是与</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的全部条款、条件和规格相符，没有重大偏离或保留。所谓重大偏离或保留是指影响合同的供货范围、质量和性能等；或者在实质上与</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不一致〔如货物和服务的质量、数量明显不能满足</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26.4</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进行实质性修改，否则</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将被拒绝。</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26.6.1</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中开标一览表（报价表）内容与</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中相应内容不一致的，以开标一览表（报价表）为准；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26.6.2大写金额和小写金额不一致的，以大写金额为准；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26.6.3单价金额小数点或者百分比有明显错位的，以开标一览表的总价为准，并修改单价；</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26.6.4总价金额与按单价汇总金额不一致的，以单价金额计算结果为准。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sz w:val="24"/>
          <w:szCs w:val="24"/>
          <w:highlight w:val="none"/>
        </w:rPr>
        <w:t xml:space="preserve">2026</w:t>
      </w:r>
      <w:r>
        <w:rPr>
          <w:rFonts w:hint="eastAsia" w:ascii="宋体" w:hAnsi="宋体" w:eastAsia="宋体" w:cs="宋体"/>
          <w:sz w:val="24"/>
          <w:szCs w:val="24"/>
          <w:highlight w:val="none"/>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异常低价投标（响应）审查的情形和具体要求如下：</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7.1</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投标（响应）报价低于全部通过符合性审查供应商投标（响应）报价平均值</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的，即投标（响应）报价</w:t>
      </w:r>
      <w:r>
        <w:rPr>
          <w:rFonts w:ascii="宋体" w:hAnsi="宋体" w:eastAsia="宋体" w:cs="宋体"/>
          <w:sz w:val="24"/>
          <w:szCs w:val="24"/>
          <w:highlight w:val="none"/>
        </w:rPr>
        <w:t xml:space="preserve">&lt;</w:t>
      </w:r>
      <w:r>
        <w:rPr>
          <w:rFonts w:hint="eastAsia" w:ascii="宋体" w:hAnsi="宋体" w:eastAsia="宋体" w:cs="宋体"/>
          <w:sz w:val="24"/>
          <w:szCs w:val="24"/>
          <w:highlight w:val="none"/>
        </w:rPr>
        <w:t xml:space="preserve">全部通过符合性审查供应商投标（响应）报价平均值</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.2 </w:t>
      </w:r>
      <w:r>
        <w:rPr>
          <w:rFonts w:hint="eastAsia" w:ascii="宋体" w:hAnsi="宋体" w:eastAsia="宋体" w:cs="宋体"/>
          <w:sz w:val="24"/>
          <w:szCs w:val="24"/>
          <w:highlight w:val="none"/>
        </w:rPr>
        <w:t xml:space="preserve">投标（响应）报价低于通过符合性审查的次低报价供应商投标（响应）报价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的，即投标（响应）报价</w:t>
      </w:r>
      <w:r>
        <w:rPr>
          <w:rFonts w:ascii="宋体" w:hAnsi="宋体" w:eastAsia="宋体" w:cs="宋体"/>
          <w:sz w:val="24"/>
          <w:szCs w:val="24"/>
          <w:highlight w:val="none"/>
        </w:rPr>
        <w:t xml:space="preserve">&lt;</w:t>
      </w:r>
      <w:r>
        <w:rPr>
          <w:rFonts w:hint="eastAsia" w:ascii="宋体" w:hAnsi="宋体" w:eastAsia="宋体" w:cs="宋体"/>
          <w:sz w:val="24"/>
          <w:szCs w:val="24"/>
          <w:highlight w:val="none"/>
        </w:rPr>
        <w:t xml:space="preserve">通过符合性审查的次低报价供应商投标（响应）报价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.3 </w:t>
      </w:r>
      <w:r>
        <w:rPr>
          <w:rFonts w:hint="eastAsia" w:ascii="宋体" w:hAnsi="宋体" w:eastAsia="宋体" w:cs="宋体"/>
          <w:sz w:val="24"/>
          <w:szCs w:val="24"/>
          <w:highlight w:val="none"/>
        </w:rPr>
        <w:t xml:space="preserve">投标（响应）报价低于采购项目最高限价</w:t>
      </w:r>
      <w:r>
        <w:rPr>
          <w:rFonts w:ascii="宋体" w:hAnsi="宋体" w:eastAsia="宋体" w:cs="宋体"/>
          <w:sz w:val="24"/>
          <w:szCs w:val="24"/>
          <w:highlight w:val="none"/>
        </w:rPr>
        <w:t xml:space="preserve">45%</w:t>
      </w:r>
      <w:r>
        <w:rPr>
          <w:rFonts w:hint="eastAsia" w:ascii="宋体" w:hAnsi="宋体" w:eastAsia="宋体" w:cs="宋体"/>
          <w:sz w:val="24"/>
          <w:szCs w:val="24"/>
          <w:highlight w:val="none"/>
        </w:rPr>
        <w:t xml:space="preserve">的，即投标（响应）报价</w:t>
      </w:r>
      <w:r>
        <w:rPr>
          <w:rFonts w:ascii="宋体" w:hAnsi="宋体" w:eastAsia="宋体" w:cs="宋体"/>
          <w:sz w:val="24"/>
          <w:szCs w:val="24"/>
          <w:highlight w:val="none"/>
        </w:rPr>
        <w:t xml:space="preserve">&lt;</w:t>
      </w:r>
      <w:r>
        <w:rPr>
          <w:rFonts w:hint="eastAsia" w:ascii="宋体" w:hAnsi="宋体" w:eastAsia="宋体" w:cs="宋体"/>
          <w:sz w:val="24"/>
          <w:szCs w:val="24"/>
          <w:highlight w:val="none"/>
        </w:rPr>
        <w:t xml:space="preserve">采购项目最高限价</w:t>
      </w:r>
      <w:r>
        <w:rPr>
          <w:rFonts w:ascii="宋体" w:hAnsi="宋体" w:eastAsia="宋体" w:cs="宋体"/>
          <w:sz w:val="24"/>
          <w:szCs w:val="24"/>
          <w:highlight w:val="none"/>
        </w:rPr>
        <w:t xml:space="preserve">×45%</w:t>
      </w:r>
      <w:r>
        <w:rPr>
          <w:rFonts w:hint="eastAsia" w:ascii="宋体" w:hAnsi="宋体" w:eastAsia="宋体" w:cs="宋体"/>
          <w:sz w:val="24"/>
          <w:szCs w:val="24"/>
          <w:highlight w:val="none"/>
        </w:rPr>
        <w:t xml:space="preserve">；</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.4 </w:t>
      </w:r>
      <w:r>
        <w:rPr>
          <w:rFonts w:hint="eastAsia" w:ascii="宋体" w:hAnsi="宋体" w:eastAsia="宋体" w:cs="宋体"/>
          <w:sz w:val="24"/>
          <w:szCs w:val="24"/>
          <w:highlight w:val="none"/>
        </w:rPr>
        <w:t xml:space="preserve">评审委员会基于专业判断，认为供应商报价过低，有可能影响产品质量或者不能诚信履约的其他情形。</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26.8</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评审委员会启动异常低价投标（响应）审查后，属于前述第</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项至第</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sz w:val="24"/>
          <w:szCs w:val="24"/>
          <w:highlight w:val="none"/>
        </w:rPr>
        <w:t xml:space="preserve">30</w:t>
      </w:r>
      <w:r>
        <w:rPr>
          <w:rFonts w:hint="eastAsia" w:ascii="宋体" w:hAnsi="宋体" w:eastAsia="宋体" w:cs="宋体"/>
          <w:sz w:val="24"/>
          <w:szCs w:val="24"/>
          <w:highlight w:val="none"/>
        </w:rPr>
        <w:t xml:space="preserve">分钟。其中，属于第</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项情形，供应商已随投标（响应）文件一并提交相关书面说明及必要的证明材料的，在评审现场可不再重复提交。</w:t>
      </w:r>
      <w:r>
        <w:rPr>
          <w:rFonts w:ascii="宋体" w:hAnsi="宋体" w:eastAsia="宋体" w:cs="宋体"/>
          <w:sz w:val="24"/>
          <w:szCs w:val="24"/>
          <w:highlight w:val="none"/>
        </w:rPr>
        <w:br/>
      </w: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9 </w:t>
      </w: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27.响应的澄清</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27.1在</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的范围或者改变</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的实质性内容。</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28.无效响应和废标</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28.1无效响应的具体情形有：  </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28.1.1响应文件未按采购文件要求签署、盖章或电子签章的；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28.1.2不具备采购文件中规定的资格要求的；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28.1.3报价超过采购文件中规定的预算金额或者最高限价的；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28.1.4响应文件含有采购人不能接受的附加条件的；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28.1.5法律、法规和采购文件规定的其他无效情形。</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 在采购中，出现下列情形之一的，应予废标：</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28.2.1出现影响采购公正的违法、违规行为的；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28.2.2响应供应商的报价均超过了采购预算，采购人不能支付的；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28.2.3因重大变故，采购任务取消的。</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 废标后，采购人应当将废标理由通知所有响应供应商。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29. </w:t>
      </w:r>
      <w:r>
        <w:rPr>
          <w:rFonts w:hint="eastAsia" w:ascii="宋体" w:hAnsi="宋体" w:eastAsia="宋体" w:cs="宋体"/>
          <w:b/>
          <w:sz w:val="24"/>
          <w:szCs w:val="24"/>
          <w:highlight w:val="none"/>
        </w:rPr>
        <w:t xml:space="preserve">响应文件</w:t>
      </w:r>
      <w:r>
        <w:rPr>
          <w:rFonts w:ascii="宋体" w:hAnsi="宋体" w:eastAsia="宋体" w:cs="宋体"/>
          <w:b/>
          <w:sz w:val="24"/>
          <w:szCs w:val="24"/>
          <w:highlight w:val="none"/>
        </w:rPr>
        <w:t xml:space="preserve">的评价和比较</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29.1评审小组按</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规定的评审方法和标准，仅对资格性检查和符合性检查合格的</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进行商务和技术评估，综合比较与评价。</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29.2评价和比较采用综合评分法，评审小组严格按照</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29.2.1服务的质量保证（保障）内容；</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29.2.2服务配备的人员；</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29.2.3响应者的资信情况和履约能力；</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29.2.4响应者提供的其他优惠条件；</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29.2.5参与本项目政府采购工作的态度及信誉；</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29.2.6最低的响应报价或最高的折扣比例是成交的重要条件，但不是唯一条件。</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七、授予合同</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30. </w:t>
      </w:r>
      <w:r>
        <w:rPr>
          <w:rFonts w:hint="eastAsia" w:ascii="宋体" w:hAnsi="宋体" w:eastAsia="宋体" w:cs="宋体"/>
          <w:b/>
          <w:sz w:val="24"/>
          <w:szCs w:val="24"/>
          <w:highlight w:val="none"/>
        </w:rPr>
        <w:t xml:space="preserve">成交供应商</w:t>
      </w:r>
      <w:r>
        <w:rPr>
          <w:rFonts w:ascii="宋体" w:hAnsi="宋体" w:eastAsia="宋体" w:cs="宋体"/>
          <w:b/>
          <w:sz w:val="24"/>
          <w:szCs w:val="24"/>
          <w:highlight w:val="none"/>
        </w:rPr>
        <w:t xml:space="preserve">的确认          </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30.1评审小组按</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规定的评审方法和标准进行详细评审后，按采购人的委托向采购人推荐成交候选单位或根据采购人授权直接确定</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30.2经评审小组评审并确定</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后，采购人或授权采购代理机构将在规定的时间内将成交结果在相关媒体上予以公告。</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30.4质疑函递交地点及联系方式详见公告内容</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31. 合同授予标准</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31.1采购人将把合同授予其</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在实质上响应</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要求和按本须知规定评选出的响应人。确定为成交的响应人必须具有实施本合同的能力和资源。</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31.2政府采购合同履行中，采购人需追加与合同标的物相同的货物、工程或者服务的，在不改变合同其他条款的前提下，可以与</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签订补充合同，但所有补充合同的采购金额不得超过原合同采购金额的百分之十。</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32. </w:t>
      </w:r>
      <w:r>
        <w:rPr>
          <w:rFonts w:hint="eastAsia" w:ascii="宋体" w:hAnsi="宋体" w:eastAsia="宋体" w:cs="宋体"/>
          <w:b/>
          <w:sz w:val="24"/>
          <w:szCs w:val="24"/>
          <w:highlight w:val="none"/>
        </w:rPr>
        <w:t xml:space="preserve">成交通知书</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32.1确定出</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后</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有效期截止前，采购代理机构应当向</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发出</w:t>
      </w:r>
      <w:r>
        <w:rPr>
          <w:rFonts w:hint="eastAsia" w:ascii="宋体" w:hAnsi="宋体" w:eastAsia="宋体" w:cs="宋体"/>
          <w:sz w:val="24"/>
          <w:szCs w:val="24"/>
          <w:highlight w:val="none"/>
        </w:rPr>
        <w:t xml:space="preserve">成交通知书</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成交通知书</w:t>
      </w:r>
      <w:r>
        <w:rPr>
          <w:rFonts w:ascii="宋体" w:hAnsi="宋体" w:eastAsia="宋体" w:cs="宋体"/>
          <w:sz w:val="24"/>
          <w:szCs w:val="24"/>
          <w:highlight w:val="none"/>
        </w:rPr>
        <w:t xml:space="preserve">对采购人和</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具有同等法律效力。</w:t>
      </w:r>
      <w:r>
        <w:rPr>
          <w:rFonts w:hint="eastAsia" w:ascii="宋体" w:hAnsi="宋体" w:eastAsia="宋体" w:cs="宋体"/>
          <w:sz w:val="24"/>
          <w:szCs w:val="24"/>
          <w:highlight w:val="none"/>
        </w:rPr>
        <w:t xml:space="preserve">成交通知书</w:t>
      </w:r>
      <w:r>
        <w:rPr>
          <w:rFonts w:ascii="宋体" w:hAnsi="宋体" w:eastAsia="宋体" w:cs="宋体"/>
          <w:sz w:val="24"/>
          <w:szCs w:val="24"/>
          <w:highlight w:val="none"/>
        </w:rPr>
        <w:t xml:space="preserve">发出后，采购人改变成交结果，或者</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放弃成交，应当承担相应的法律责任。</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32.2</w:t>
      </w:r>
      <w:r>
        <w:rPr>
          <w:rFonts w:hint="eastAsia" w:ascii="宋体" w:hAnsi="宋体" w:eastAsia="宋体" w:cs="宋体"/>
          <w:b/>
          <w:sz w:val="24"/>
          <w:szCs w:val="24"/>
          <w:highlight w:val="none"/>
        </w:rPr>
        <w:t xml:space="preserve">成交通知书</w:t>
      </w:r>
      <w:r>
        <w:rPr>
          <w:rFonts w:ascii="宋体" w:hAnsi="宋体" w:eastAsia="宋体" w:cs="宋体"/>
          <w:b/>
          <w:sz w:val="24"/>
          <w:szCs w:val="24"/>
          <w:highlight w:val="none"/>
        </w:rPr>
        <w:t xml:space="preserve">在成交公告发布后将发布在苏采云系统中，</w:t>
      </w:r>
      <w:r>
        <w:rPr>
          <w:rFonts w:hint="eastAsia" w:ascii="宋体" w:hAnsi="宋体" w:eastAsia="宋体" w:cs="宋体"/>
          <w:b/>
          <w:sz w:val="24"/>
          <w:szCs w:val="24"/>
          <w:highlight w:val="none"/>
        </w:rPr>
        <w:t xml:space="preserve">成交通知书</w:t>
      </w:r>
      <w:r>
        <w:rPr>
          <w:rFonts w:ascii="宋体" w:hAnsi="宋体" w:eastAsia="宋体" w:cs="宋体"/>
          <w:b/>
          <w:sz w:val="24"/>
          <w:szCs w:val="24"/>
          <w:highlight w:val="none"/>
        </w:rPr>
        <w:t xml:space="preserve">发布之日视为</w:t>
      </w:r>
      <w:r>
        <w:rPr>
          <w:rFonts w:hint="eastAsia" w:ascii="宋体" w:hAnsi="宋体" w:eastAsia="宋体" w:cs="宋体"/>
          <w:b/>
          <w:sz w:val="24"/>
          <w:szCs w:val="24"/>
          <w:highlight w:val="none"/>
        </w:rPr>
        <w:t xml:space="preserve">成交供应商</w:t>
      </w:r>
      <w:r>
        <w:rPr>
          <w:rFonts w:ascii="宋体" w:hAnsi="宋体" w:eastAsia="宋体" w:cs="宋体"/>
          <w:b/>
          <w:sz w:val="24"/>
          <w:szCs w:val="24"/>
          <w:highlight w:val="none"/>
        </w:rPr>
        <w:t xml:space="preserve">领取之日，</w:t>
      </w:r>
      <w:r>
        <w:rPr>
          <w:rFonts w:hint="eastAsia" w:ascii="宋体" w:hAnsi="宋体" w:eastAsia="宋体" w:cs="宋体"/>
          <w:b/>
          <w:sz w:val="24"/>
          <w:szCs w:val="24"/>
          <w:highlight w:val="none"/>
        </w:rPr>
        <w:t xml:space="preserve">成交供应商自</w:t>
      </w:r>
      <w:r>
        <w:rPr>
          <w:rFonts w:ascii="宋体" w:hAnsi="宋体" w:eastAsia="宋体" w:cs="宋体"/>
          <w:b/>
          <w:sz w:val="24"/>
          <w:szCs w:val="24"/>
          <w:highlight w:val="none"/>
        </w:rPr>
        <w:t xml:space="preserve">领取之日</w:t>
      </w:r>
      <w:r>
        <w:rPr>
          <w:rFonts w:hint="eastAsia" w:ascii="宋体" w:hAnsi="宋体" w:eastAsia="宋体" w:cs="宋体"/>
          <w:b/>
          <w:sz w:val="24"/>
          <w:szCs w:val="24"/>
          <w:highlight w:val="none"/>
        </w:rPr>
        <w:t xml:space="preserve">起3</w:t>
      </w:r>
      <w:r>
        <w:rPr>
          <w:rFonts w:ascii="宋体" w:hAnsi="宋体" w:eastAsia="宋体" w:cs="宋体"/>
          <w:b/>
          <w:sz w:val="24"/>
          <w:szCs w:val="24"/>
          <w:highlight w:val="none"/>
        </w:rPr>
        <w:t xml:space="preserve">0日内自行在苏采云系统中下载打印。</w:t>
      </w:r>
      <w:r/>
    </w:p>
    <w:p>
      <w:pPr>
        <w:jc w:val="left"/>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32.3</w:t>
      </w:r>
      <w:r>
        <w:rPr>
          <w:rFonts w:hint="eastAsia" w:ascii="宋体" w:hAnsi="宋体" w:eastAsia="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32.4</w:t>
      </w:r>
      <w:r>
        <w:rPr>
          <w:rFonts w:hint="eastAsia" w:ascii="宋体" w:hAnsi="宋体" w:eastAsia="宋体" w:cs="宋体"/>
          <w:sz w:val="24"/>
          <w:szCs w:val="24"/>
          <w:highlight w:val="none"/>
        </w:rPr>
        <w:t xml:space="preserve">成交通知书</w:t>
      </w:r>
      <w:r>
        <w:rPr>
          <w:rFonts w:ascii="宋体" w:hAnsi="宋体" w:eastAsia="宋体" w:cs="宋体"/>
          <w:sz w:val="24"/>
          <w:highlight w:val="none"/>
        </w:rPr>
        <w:t xml:space="preserve">将成为合同的组成部分。</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32.5采购代理机构对</w:t>
      </w:r>
      <w:r>
        <w:rPr>
          <w:rFonts w:ascii="宋体" w:hAnsi="宋体" w:eastAsia="宋体" w:cs="宋体"/>
          <w:sz w:val="24"/>
          <w:szCs w:val="24"/>
          <w:highlight w:val="none"/>
        </w:rPr>
        <w:t xml:space="preserve">未</w:t>
      </w:r>
      <w:r>
        <w:rPr>
          <w:rFonts w:hint="eastAsia" w:ascii="宋体" w:hAnsi="宋体" w:eastAsia="宋体" w:cs="宋体"/>
          <w:sz w:val="24"/>
          <w:szCs w:val="24"/>
          <w:highlight w:val="none"/>
        </w:rPr>
        <w:t xml:space="preserve">成交</w:t>
      </w:r>
      <w:r>
        <w:rPr>
          <w:rFonts w:ascii="宋体" w:hAnsi="宋体" w:eastAsia="宋体" w:cs="宋体"/>
          <w:sz w:val="24"/>
          <w:highlight w:val="none"/>
        </w:rPr>
        <w:t xml:space="preserve">供应商不承担解释未中标原因的义务。</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33.履约保证金</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33.1</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按合同约定要求提交履约保证金。</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33.3履约保证金（无息）将在</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合同履行完毕且质保期满后，采购人在五个工作日内退返</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 合同的签订</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34.2成交供应商应按成交通知书中规定，由法定代表人或授权代理人与采购人代表签订合同，否则按放弃成交权处理。</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34.3签订合同及合同条款应以采购文件和成交供应商的响应文件及其澄清文件为依据。</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34.5签订合同后，</w:t>
      </w:r>
      <w:r>
        <w:rPr>
          <w:rFonts w:hint="eastAsia" w:ascii="宋体" w:hAnsi="宋体" w:eastAsia="宋体" w:cs="宋体"/>
          <w:sz w:val="24"/>
          <w:szCs w:val="24"/>
          <w:highlight w:val="none"/>
        </w:rPr>
        <w:t xml:space="preserve">成交人</w:t>
      </w:r>
      <w:r>
        <w:rPr>
          <w:rFonts w:ascii="宋体" w:hAnsi="宋体" w:eastAsia="宋体" w:cs="宋体"/>
          <w:sz w:val="24"/>
          <w:szCs w:val="24"/>
          <w:highlight w:val="none"/>
        </w:rPr>
        <w:t xml:space="preserve">不得将货物及其他相关服务进行转包。未经采购人同意，</w:t>
      </w:r>
      <w:r>
        <w:rPr>
          <w:rFonts w:hint="eastAsia" w:ascii="宋体" w:hAnsi="宋体" w:eastAsia="宋体" w:cs="宋体"/>
          <w:sz w:val="24"/>
          <w:szCs w:val="24"/>
          <w:highlight w:val="none"/>
        </w:rPr>
        <w:t xml:space="preserve">成交人</w:t>
      </w:r>
      <w:r>
        <w:rPr>
          <w:rFonts w:ascii="宋体" w:hAnsi="宋体" w:eastAsia="宋体" w:cs="宋体"/>
          <w:sz w:val="24"/>
          <w:szCs w:val="24"/>
          <w:highlight w:val="none"/>
        </w:rPr>
        <w:t xml:space="preserve">也不得采用分包的形式履行合同，否则采购人有权终止合同。转包或分包造成采购人</w:t>
      </w:r>
      <w:r>
        <w:rPr>
          <w:rFonts w:hint="eastAsia" w:ascii="宋体" w:hAnsi="宋体" w:eastAsia="宋体" w:cs="宋体"/>
          <w:sz w:val="24"/>
          <w:szCs w:val="24"/>
          <w:highlight w:val="none"/>
        </w:rPr>
        <w:t xml:space="preserve">损失的，成交人应承担相应赔偿责任。</w:t>
      </w:r>
      <w:r/>
    </w:p>
    <w:p>
      <w:pPr>
        <w:jc w:val="left"/>
        <w:spacing w:line="440" w:lineRule="exac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八、政府采购相关政策</w:t>
      </w:r>
      <w:r/>
    </w:p>
    <w:p>
      <w:pPr>
        <w:jc w:val="left"/>
        <w:spacing w:line="440" w:lineRule="exact"/>
        <w:rPr>
          <w:highlight w:val="none"/>
        </w:rPr>
        <w:pBdr>
          <w:top w:val="none" w:color="000000" w:sz="0" w:space="0"/>
          <w:left w:val="none" w:color="000000" w:sz="0" w:space="0"/>
          <w:bottom w:val="none" w:color="000000" w:sz="0" w:space="0"/>
          <w:right w:val="none" w:color="000000" w:sz="0" w:space="0"/>
        </w:pBdr>
        <w:outlineLvl w:val="3"/>
      </w:pPr>
      <w:r>
        <w:rPr>
          <w:rFonts w:ascii="宋体" w:hAnsi="宋体" w:eastAsia="宋体" w:cs="宋体"/>
          <w:b/>
          <w:sz w:val="24"/>
          <w:highlight w:val="none"/>
        </w:rPr>
        <w:t xml:space="preserve">3</w:t>
      </w:r>
      <w:r>
        <w:rPr>
          <w:rFonts w:hint="eastAsia" w:ascii="宋体" w:hAnsi="宋体" w:eastAsia="宋体" w:cs="宋体"/>
          <w:b/>
          <w:sz w:val="24"/>
          <w:highlight w:val="none"/>
        </w:rPr>
        <w:t xml:space="preserve">5</w:t>
      </w:r>
      <w:r>
        <w:rPr>
          <w:rFonts w:ascii="宋体" w:hAnsi="宋体" w:eastAsia="宋体" w:cs="宋体"/>
          <w:b/>
          <w:sz w:val="24"/>
          <w:highlight w:val="none"/>
        </w:rPr>
        <w:t xml:space="preserve">本项目专门面向中小企业采购，执行以下相关政策：</w:t>
      </w:r>
      <w:r/>
    </w:p>
    <w:p>
      <w:pPr>
        <w:jc w:val="left"/>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根据《政府采购促进中小企业发展管理办法》（财库﹝</w:t>
      </w:r>
      <w:r>
        <w:rPr>
          <w:rFonts w:ascii="宋体" w:hAnsi="宋体" w:eastAsia="宋体" w:cs="宋体"/>
          <w:sz w:val="24"/>
          <w:highlight w:val="none"/>
        </w:rPr>
        <w:t xml:space="preserve">2020﹞46号）</w:t>
      </w:r>
      <w:r>
        <w:rPr>
          <w:rFonts w:hint="eastAsia" w:ascii="宋体" w:hAnsi="宋体" w:eastAsia="宋体" w:cs="宋体"/>
          <w:sz w:val="24"/>
          <w:highlight w:val="none"/>
        </w:rPr>
        <w:t xml:space="preserve">规定，</w:t>
      </w:r>
      <w:r>
        <w:rPr>
          <w:rFonts w:ascii="宋体" w:hAnsi="宋体" w:eastAsia="宋体" w:cs="宋体"/>
          <w:sz w:val="24"/>
          <w:highlight w:val="none"/>
        </w:rPr>
        <w:t xml:space="preserve">第二条 本办法所称中小企业，是指在中华人民共和国境内依法设立，依据国务院批准的中小企业划分标准确定的中型企业、小型企业和微型企业，</w:t>
      </w:r>
      <w:r>
        <w:rPr>
          <w:rFonts w:ascii="宋体" w:hAnsi="宋体" w:eastAsia="宋体" w:cs="宋体"/>
          <w:b/>
          <w:bCs/>
          <w:sz w:val="24"/>
          <w:highlight w:val="none"/>
        </w:rPr>
        <w:t xml:space="preserve">但与大企业的负责人为同一人，或者与大企业存在直接控股、管理关系的除外</w:t>
      </w:r>
      <w:r>
        <w:rPr>
          <w:rFonts w:ascii="宋体" w:hAnsi="宋体" w:eastAsia="宋体" w:cs="宋体"/>
          <w:sz w:val="24"/>
          <w:highlight w:val="none"/>
        </w:rPr>
        <w:t xml:space="preserve">。符合中小企业划分标准的个体工商户，在政府采购活动中视同中小企业。</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highlight w:val="none"/>
        </w:rPr>
        <w:t xml:space="preserve">否则视为投标无效。</w:t>
      </w:r>
      <w:r/>
    </w:p>
    <w:p>
      <w:pPr>
        <w:jc w:val="left"/>
        <w:spacing w:line="440" w:lineRule="exact"/>
        <w:rPr>
          <w:highlight w:val="none"/>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highlight w:val="none"/>
        </w:rPr>
        <w:t xml:space="preserve">3</w:t>
      </w:r>
      <w:r>
        <w:rPr>
          <w:rFonts w:hint="eastAsia" w:ascii="宋体" w:hAnsi="宋体" w:eastAsia="宋体" w:cs="宋体"/>
          <w:sz w:val="24"/>
          <w:highlight w:val="none"/>
        </w:rPr>
        <w:t xml:space="preserve">5</w:t>
      </w:r>
      <w:r>
        <w:rPr>
          <w:rFonts w:ascii="宋体" w:hAnsi="宋体" w:eastAsia="宋体" w:cs="宋体"/>
          <w:sz w:val="24"/>
          <w:highlight w:val="none"/>
        </w:rPr>
        <w:t xml:space="preserve">.1.1中小企业划分：</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（1）符合中小企业划分标准的个体工商户，在政府采购活动中视同中小企业。</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（2）中小企业划分标准详见“工信部联企业〔2011〕300号通知”</w:t>
      </w:r>
      <w:r/>
    </w:p>
    <w:p>
      <w:pPr>
        <w:jc w:val="left"/>
        <w:spacing w:line="440" w:lineRule="exact"/>
        <w:rPr>
          <w:highlight w:val="none"/>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highlight w:val="none"/>
        </w:rPr>
        <w:t xml:space="preserve">3</w:t>
      </w:r>
      <w:r>
        <w:rPr>
          <w:rFonts w:hint="eastAsia" w:ascii="宋体" w:hAnsi="宋体" w:eastAsia="宋体" w:cs="宋体"/>
          <w:sz w:val="24"/>
          <w:highlight w:val="none"/>
        </w:rPr>
        <w:t xml:space="preserve">5</w:t>
      </w:r>
      <w:r>
        <w:rPr>
          <w:rFonts w:ascii="宋体" w:hAnsi="宋体" w:eastAsia="宋体" w:cs="宋体"/>
          <w:sz w:val="24"/>
          <w:highlight w:val="none"/>
        </w:rPr>
        <w:t xml:space="preserve">.1.2残疾人福利性单位政策：</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jc w:val="left"/>
        <w:spacing w:line="440" w:lineRule="exact"/>
        <w:rPr>
          <w:highlight w:val="none"/>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highlight w:val="none"/>
        </w:rPr>
        <w:t xml:space="preserve">3</w:t>
      </w:r>
      <w:r>
        <w:rPr>
          <w:rFonts w:hint="eastAsia" w:ascii="宋体" w:hAnsi="宋体" w:eastAsia="宋体" w:cs="宋体"/>
          <w:sz w:val="24"/>
          <w:highlight w:val="none"/>
        </w:rPr>
        <w:t xml:space="preserve">5</w:t>
      </w:r>
      <w:r>
        <w:rPr>
          <w:rFonts w:ascii="宋体" w:hAnsi="宋体" w:eastAsia="宋体" w:cs="宋体"/>
          <w:sz w:val="24"/>
          <w:highlight w:val="none"/>
        </w:rPr>
        <w:t xml:space="preserve">.1.3监狱企业发展政策：</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5</w:t>
      </w:r>
      <w:r>
        <w:rPr>
          <w:rFonts w:ascii="宋体" w:hAnsi="宋体" w:eastAsia="宋体" w:cs="宋体"/>
          <w:sz w:val="24"/>
          <w:highlight w:val="none"/>
        </w:rPr>
        <w:t xml:space="preserve">.1.4、中标、成交供应商享受规定的中小企业扶持政策的，其声明函及相关证明材料应当随中标、成交结果同时公告，接受社会监督。</w:t>
      </w:r>
      <w:r/>
    </w:p>
    <w:p>
      <w:pPr>
        <w:jc w:val="left"/>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5</w:t>
      </w:r>
      <w:r>
        <w:rPr>
          <w:rFonts w:ascii="宋体" w:hAnsi="宋体" w:eastAsia="宋体" w:cs="宋体"/>
          <w:sz w:val="24"/>
          <w:highlight w:val="none"/>
        </w:rPr>
        <w:t xml:space="preserve">.1.5、</w:t>
      </w:r>
      <w:r>
        <w:rPr>
          <w:rFonts w:ascii="宋体" w:hAnsi="宋体" w:eastAsia="宋体" w:cs="宋体"/>
          <w:b/>
          <w:sz w:val="24"/>
          <w:highlight w:val="none"/>
        </w:rPr>
        <w:t xml:space="preserve">专门面向中小企业采购的项目，不再执行价格评审优惠的扶持政策。</w:t>
      </w:r>
      <w:r/>
    </w:p>
    <w:p>
      <w:pPr>
        <w:jc w:val="left"/>
        <w:spacing w:line="440" w:lineRule="exac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36、节能产品和环境标志产品</w:t>
      </w:r>
      <w:r/>
    </w:p>
    <w:p>
      <w:pPr>
        <w:jc w:val="left"/>
        <w:spacing w:line="440" w:lineRule="exac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37.绿色数据中心政策</w:t>
      </w:r>
      <w:r/>
    </w:p>
    <w:p>
      <w:pPr>
        <w:jc w:val="left"/>
        <w:spacing w:line="440" w:lineRule="exac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37.1 依据《绿色数据中心政府采购需求标准（试行）》（财办库〔2023〕7 号）文件精神，采购</w:t>
      </w:r>
      <w:r>
        <w:rPr>
          <w:rFonts w:hint="eastAsia" w:ascii="宋体" w:hAnsi="宋体" w:eastAsia="宋体" w:cs="宋体"/>
          <w:color w:val="000000"/>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38.商品包装、快递包装政策</w:t>
      </w:r>
      <w:r/>
    </w:p>
    <w:p>
      <w:pPr>
        <w:jc w:val="left"/>
        <w:spacing w:line="440" w:lineRule="exac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39.采购本国产品的支持政策</w:t>
      </w:r>
      <w:r/>
    </w:p>
    <w:p>
      <w:pPr>
        <w:spacing w:line="500" w:lineRule="exact"/>
        <w:rPr>
          <w:rFonts w:ascii="宋体" w:hAnsi="宋体" w:eastAsia="宋体" w:cs="宋体"/>
          <w:sz w:val="24"/>
          <w:highlight w:val="none"/>
        </w:rPr>
      </w:pPr>
      <w:r>
        <w:rPr>
          <w:rFonts w:hint="eastAsia" w:ascii="宋体" w:hAnsi="宋体" w:eastAsia="宋体" w:cs="宋体"/>
          <w:sz w:val="24"/>
          <w:highlight w:val="none"/>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500" w:lineRule="exact"/>
        <w:rPr>
          <w:rFonts w:ascii="宋体" w:hAnsi="宋体" w:eastAsia="宋体" w:cs="宋体"/>
          <w:sz w:val="24"/>
          <w:highlight w:val="none"/>
        </w:rPr>
      </w:pPr>
      <w:r>
        <w:rPr>
          <w:rFonts w:hint="eastAsia" w:ascii="宋体" w:hAnsi="宋体" w:eastAsia="宋体" w:cs="宋体"/>
          <w:sz w:val="24"/>
          <w:highlight w:val="none"/>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rPr>
          <w:rFonts w:ascii="宋体" w:hAnsi="宋体" w:eastAsia="宋体" w:cs="宋体"/>
          <w:b/>
          <w:sz w:val="24"/>
          <w:highlight w:val="none"/>
        </w:rPr>
      </w:pPr>
      <w:r>
        <w:rPr>
          <w:rFonts w:hint="eastAsia" w:ascii="宋体" w:hAnsi="宋体" w:eastAsia="宋体" w:cs="宋体"/>
          <w:sz w:val="24"/>
          <w:highlight w:val="none"/>
        </w:rPr>
        <w:t xml:space="preserve">39.3 本项目政府采购活动中既有本国产品又有非本国产品参与竞争的，依法对本国产品给予价格评审优惠，</w:t>
      </w:r>
      <w:r>
        <w:rPr>
          <w:rFonts w:hint="eastAsia" w:ascii="宋体" w:hAnsi="宋体" w:eastAsia="宋体" w:cs="宋体"/>
          <w:b/>
          <w:sz w:val="24"/>
          <w:highlight w:val="none"/>
        </w:rPr>
        <w:t xml:space="preserve">对本国产品的报价给予20%的价格扣除，用扣除后的价格参与评审。</w:t>
      </w:r>
      <w:r/>
    </w:p>
    <w:p>
      <w:pPr>
        <w:spacing w:line="500" w:lineRule="exact"/>
        <w:rPr>
          <w:rFonts w:ascii="宋体" w:hAnsi="宋体" w:eastAsia="宋体" w:cs="宋体"/>
          <w:sz w:val="24"/>
          <w:highlight w:val="none"/>
        </w:rPr>
      </w:pPr>
      <w:r>
        <w:rPr>
          <w:rFonts w:hint="eastAsia" w:ascii="宋体" w:hAnsi="宋体" w:eastAsia="宋体" w:cs="宋体"/>
          <w:sz w:val="24"/>
          <w:highlight w:val="none"/>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spacing w:line="500" w:lineRule="exact"/>
        <w:rPr>
          <w:rFonts w:ascii="宋体" w:hAnsi="宋体" w:eastAsia="宋体" w:cs="宋体"/>
          <w:sz w:val="24"/>
          <w:highlight w:val="none"/>
        </w:rPr>
      </w:pPr>
      <w:r>
        <w:rPr>
          <w:rFonts w:hint="eastAsia" w:ascii="宋体" w:hAnsi="宋体" w:eastAsia="宋体" w:cs="宋体"/>
          <w:sz w:val="24"/>
          <w:highlight w:val="none"/>
        </w:rPr>
        <w:t xml:space="preserve">39.5 供应商需按照招标文件的要求提供《关于符合本国产品标准的声明函》（以下简称《声明函》），</w:t>
      </w:r>
      <w:r>
        <w:rPr>
          <w:rFonts w:hint="eastAsia" w:ascii="宋体" w:hAnsi="宋体" w:eastAsia="宋体" w:cs="宋体"/>
          <w:b/>
          <w:sz w:val="24"/>
          <w:highlight w:val="none"/>
        </w:rPr>
        <w:t xml:space="preserve">如不提供将不享受本国产品价格评审优惠。</w:t>
      </w:r>
      <w:r/>
    </w:p>
    <w:p>
      <w:pPr>
        <w:spacing w:line="500" w:lineRule="exact"/>
        <w:rPr>
          <w:rFonts w:ascii="宋体" w:hAnsi="宋体" w:eastAsia="宋体" w:cs="宋体"/>
          <w:b/>
          <w:sz w:val="24"/>
          <w:highlight w:val="none"/>
        </w:rPr>
      </w:pPr>
      <w:r>
        <w:rPr>
          <w:rFonts w:hint="eastAsia" w:ascii="宋体" w:hAnsi="宋体" w:eastAsia="宋体" w:cs="宋体"/>
          <w:sz w:val="24"/>
          <w:highlight w:val="none"/>
        </w:rPr>
        <w:t xml:space="preserve">39.6</w:t>
      </w:r>
      <w:r>
        <w:rPr>
          <w:rFonts w:hint="eastAsia" w:ascii="宋体" w:hAnsi="宋体" w:eastAsia="宋体" w:cs="宋体"/>
          <w:b/>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spacing w:line="500" w:lineRule="exact"/>
        <w:rPr>
          <w:rFonts w:ascii="宋体" w:hAnsi="宋体" w:eastAsia="宋体" w:cs="宋体"/>
          <w:b/>
          <w:sz w:val="24"/>
          <w:highlight w:val="none"/>
        </w:rPr>
      </w:pPr>
      <w:r>
        <w:rPr>
          <w:rFonts w:hint="eastAsia" w:ascii="宋体" w:hAnsi="宋体" w:eastAsia="宋体" w:cs="宋体"/>
          <w:sz w:val="24"/>
          <w:highlight w:val="none"/>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九、其他事项</w:t>
      </w:r>
      <w:r/>
    </w:p>
    <w:p>
      <w:pPr>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40. 监督和公证</w:t>
      </w:r>
      <w:r/>
    </w:p>
    <w:p>
      <w:pPr>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40.1政府有关监督部门将对招投标全过程进行监督。</w:t>
      </w:r>
      <w:r/>
    </w:p>
    <w:p>
      <w:pPr>
        <w:spacing w:line="44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40.2采购代理机构的招标过程将依采购人申请，通过公证机关进行公证。</w:t>
      </w:r>
      <w:r/>
    </w:p>
    <w:p>
      <w:pPr>
        <w:spacing w:line="440" w:lineRule="exac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41.未尽事宜</w:t>
      </w:r>
      <w:r/>
    </w:p>
    <w:p>
      <w:pPr>
        <w:ind w:firstLine="480"/>
        <w:spacing w:line="440" w:lineRule="exact"/>
        <w:rPr>
          <w:rFonts w:ascii="宋体" w:hAnsi="宋体" w:eastAsia="宋体" w:cs="宋体"/>
          <w:b/>
          <w:sz w:val="24"/>
          <w:highlight w:val="none"/>
        </w:rPr>
      </w:pPr>
      <w:r>
        <w:rPr>
          <w:rFonts w:hint="eastAsia" w:ascii="宋体" w:hAnsi="宋体" w:eastAsia="宋体" w:cs="宋体"/>
          <w:sz w:val="24"/>
          <w:highlight w:val="none"/>
        </w:rPr>
        <w:t xml:space="preserve">按《中华人民共和国政府采购法》及其他有关法律法规的规定执行。</w:t>
      </w:r>
      <w:r/>
    </w:p>
    <w:p>
      <w:pPr>
        <w:jc w:val="left"/>
        <w:spacing w:line="440" w:lineRule="exac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jc w:val="center"/>
        <w:rPr>
          <w:rFonts w:ascii="宋体" w:hAnsi="宋体" w:eastAsia="宋体" w:cs="宋体"/>
          <w:sz w:val="36"/>
          <w:szCs w:val="36"/>
          <w:highlight w:val="none"/>
        </w:rPr>
      </w:pPr>
      <w:r>
        <w:rPr>
          <w:rFonts w:ascii="宋体" w:hAnsi="宋体" w:eastAsia="宋体" w:cs="宋体"/>
          <w:sz w:val="36"/>
          <w:szCs w:val="36"/>
          <w:highlight w:val="none"/>
        </w:rPr>
      </w:r>
      <w:r/>
    </w:p>
    <w:p>
      <w:pPr>
        <w:jc w:val="center"/>
        <w:rPr>
          <w:rFonts w:ascii="宋体" w:hAnsi="宋体" w:eastAsia="宋体" w:cs="宋体"/>
          <w:sz w:val="36"/>
          <w:szCs w:val="36"/>
          <w:highlight w:val="none"/>
        </w:rPr>
      </w:pPr>
      <w:r>
        <w:rPr>
          <w:rFonts w:ascii="宋体" w:hAnsi="宋体" w:eastAsia="宋体" w:cs="宋体"/>
          <w:sz w:val="36"/>
          <w:szCs w:val="36"/>
          <w:highlight w:val="none"/>
        </w:rPr>
      </w:r>
      <w:r/>
    </w:p>
    <w:p>
      <w:pPr>
        <w:jc w:val="center"/>
        <w:rPr>
          <w:rFonts w:ascii="宋体" w:hAnsi="宋体" w:eastAsia="宋体" w:cs="宋体"/>
          <w:sz w:val="36"/>
          <w:szCs w:val="36"/>
          <w:highlight w:val="none"/>
        </w:rPr>
      </w:pPr>
      <w:r>
        <w:rPr>
          <w:rFonts w:ascii="宋体" w:hAnsi="宋体" w:eastAsia="宋体" w:cs="宋体"/>
          <w:sz w:val="36"/>
          <w:szCs w:val="36"/>
          <w:highlight w:val="none"/>
        </w:rPr>
      </w:r>
      <w:r/>
    </w:p>
    <w:p>
      <w:pPr>
        <w:jc w:val="center"/>
        <w:rPr>
          <w:rFonts w:ascii="宋体" w:hAnsi="宋体" w:eastAsia="宋体" w:cs="宋体"/>
          <w:b/>
          <w:sz w:val="44"/>
          <w:highlight w:val="none"/>
        </w:rPr>
      </w:pPr>
      <w:r>
        <w:rPr>
          <w:rFonts w:ascii="宋体" w:hAnsi="宋体" w:eastAsia="宋体" w:cs="宋体"/>
          <w:b/>
          <w:sz w:val="44"/>
          <w:highlight w:val="none"/>
        </w:rPr>
      </w:r>
      <w:r/>
    </w:p>
    <w:p>
      <w:pPr>
        <w:jc w:val="left"/>
        <w:rPr>
          <w:rFonts w:ascii="宋体" w:hAnsi="宋体" w:eastAsia="宋体" w:cs="宋体"/>
          <w:b/>
          <w:sz w:val="44"/>
          <w:highlight w:val="none"/>
        </w:rPr>
      </w:pPr>
      <w:r>
        <w:rPr>
          <w:rFonts w:ascii="宋体" w:hAnsi="宋体" w:eastAsia="宋体" w:cs="宋体"/>
          <w:b/>
          <w:sz w:val="44"/>
          <w:highlight w:val="none"/>
        </w:rPr>
      </w:r>
      <w:r/>
    </w:p>
    <w:p>
      <w:pPr>
        <w:jc w:val="center"/>
        <w:spacing w:line="500" w:lineRule="atLeast"/>
        <w:rPr>
          <w:rFonts w:ascii="宋体" w:hAnsi="宋体" w:eastAsia="宋体" w:cs="宋体"/>
          <w:sz w:val="36"/>
          <w:szCs w:val="36"/>
          <w:highlight w:val="none"/>
        </w:rPr>
      </w:pPr>
      <w:r>
        <w:rPr>
          <w:rFonts w:hint="eastAsia" w:ascii="宋体" w:hAnsi="宋体" w:eastAsia="宋体" w:cs="宋体"/>
          <w:b/>
          <w:sz w:val="44"/>
          <w:highlight w:val="none"/>
        </w:rPr>
        <w:t xml:space="preserve">第三部分 单一来源采购文件需求</w:t>
      </w:r>
      <w:r/>
    </w:p>
    <w:p>
      <w:pPr>
        <w:pStyle w:val="653"/>
        <w:numPr>
          <w:ilvl w:val="1"/>
          <w:numId w:val="0"/>
        </w:numPr>
        <w:ind w:firstLine="482"/>
        <w:spacing w:before="0" w:after="0" w:line="500" w:lineRule="exact"/>
        <w:tabs>
          <w:tab w:val="left" w:pos="0" w:leader="none"/>
        </w:tabs>
        <w:rPr>
          <w:rFonts w:ascii="宋体" w:hAnsi="宋体" w:eastAsia="宋体" w:cs="宋体"/>
          <w:sz w:val="24"/>
          <w:szCs w:val="24"/>
          <w:highlight w:val="none"/>
        </w:rPr>
      </w:pPr>
      <w:r/>
      <w:bookmarkStart w:id="6" w:name="_Toc88729914"/>
      <w:r>
        <w:rPr>
          <w:rFonts w:hint="eastAsia" w:ascii="宋体" w:hAnsi="宋体" w:eastAsia="宋体" w:cs="宋体"/>
          <w:sz w:val="24"/>
          <w:szCs w:val="24"/>
          <w:highlight w:val="none"/>
        </w:rPr>
        <w:t xml:space="preserve">一、项目背景</w:t>
      </w:r>
      <w:bookmarkEnd w:id="6"/>
      <w:r/>
      <w:r/>
    </w:p>
    <w:p>
      <w:pPr>
        <w:pStyle w:val="721"/>
        <w:ind w:firstLine="480"/>
        <w:spacing w:line="500" w:lineRule="exact"/>
        <w:rPr>
          <w:rFonts w:ascii="宋体" w:hAnsi="宋体" w:eastAsia="宋体" w:cs="宋体"/>
          <w:sz w:val="24"/>
          <w:szCs w:val="24"/>
          <w:highlight w:val="none"/>
        </w:rPr>
      </w:pPr>
      <w:r/>
      <w:bookmarkStart w:id="7" w:name="_Toc88729915"/>
      <w:r>
        <w:rPr>
          <w:rFonts w:hint="eastAsia" w:ascii="宋体" w:hAnsi="宋体" w:eastAsia="宋体" w:cs="宋体"/>
          <w:sz w:val="24"/>
          <w:szCs w:val="24"/>
          <w:highlight w:val="none"/>
        </w:rPr>
        <w:t xml:space="preserve">2021年01月14日，太仓市人民政府办公室发布了《太仓市2021年政府工作报告》，报告其中一项指出2021年目标任务和主要工作要加强便民服务优化，始终把为民服务作为政府工作的出发点和落脚点，增强服务意识，提高服务效能，让企业和群众办事像“网购”一样方便。</w:t>
      </w:r>
      <w:r/>
    </w:p>
    <w:p>
      <w:pPr>
        <w:pStyle w:val="666"/>
        <w:ind w:firstLine="480"/>
        <w:spacing w:line="500" w:lineRule="exact"/>
        <w:rPr>
          <w:rFonts w:hAnsi="宋体" w:eastAsia="宋体" w:cs="宋体"/>
          <w:sz w:val="24"/>
          <w:highlight w:val="none"/>
        </w:rPr>
      </w:pPr>
      <w:r>
        <w:rPr>
          <w:rFonts w:hint="eastAsia" w:hAnsi="宋体" w:eastAsia="宋体" w:cs="宋体"/>
          <w:sz w:val="24"/>
          <w:highlight w:val="none"/>
        </w:rPr>
        <w:t xml:space="preserve">太仓市人民政府于2021年9月1日发布的《市委办公室市政府办公室关于印发&lt;全市数字政府工作会议纪要&gt;的通知》中明确要求，重点打造“太融 e”“太 e 办”“一网统管（集成指挥）” 三大平台；做好全市各部门 APP、微信小程序、微信公众号的统计和清理工作，不断优化办事流程，提高政府管理效率，增加百姓的获得感、满意度。</w:t>
      </w:r>
      <w:r/>
    </w:p>
    <w:p>
      <w:pPr>
        <w:pStyle w:val="666"/>
        <w:ind w:firstLine="480"/>
        <w:spacing w:line="500" w:lineRule="exact"/>
        <w:rPr>
          <w:rFonts w:hAnsi="宋体" w:eastAsia="宋体" w:cs="宋体"/>
          <w:sz w:val="24"/>
          <w:highlight w:val="none"/>
        </w:rPr>
      </w:pPr>
      <w:r>
        <w:rPr>
          <w:rFonts w:hint="eastAsia" w:hAnsi="宋体" w:eastAsia="宋体" w:cs="宋体"/>
          <w:sz w:val="24"/>
          <w:highlight w:val="none"/>
        </w:rPr>
        <w:t xml:space="preserve">太仓市数字政府建设工作领导小组办公室于2021年9月30日发布的《数字政府领导小组办公室1号关于“太仓城市服务总入口项目”建设运营的会议纪要》中明确“太融 e”平台总体定位，确定市综指中心为本项目牵头单位，市融媒体中心和市资产集团为项目管理、建设、运营单位。</w:t>
      </w:r>
      <w:bookmarkEnd w:id="7"/>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为继续深入推进“互联网+政务服务”，形成全市政务服务、民生服务一盘棋的格局，全面打造太仓数字经济新名片、新标签，实现城市服务、治理统一入口，构筑数据通、业务通、证照通、支付通和便民服务通一体化城市服务总入口平台，通过持续迭代业务更新、线上线下活动运营创新，全面盘活城市信息资源。</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太融e”APP全平台下载数量为50.2万次，注册用户数为67.3万人。目前已涵盖城事生活、交通出行、文体旅游、便民服务、医疗健康、学习教育、专区服务7大板块超180项的服务应用。“太融e”一期建设，包含“太融e”城市服务基础平台及应用、太仓市“一码通”平台、太仓市“区块链”平台等。</w:t>
      </w:r>
      <w:r/>
    </w:p>
    <w:p>
      <w:pPr>
        <w:pStyle w:val="652"/>
        <w:numPr>
          <w:ilvl w:val="0"/>
          <w:numId w:val="0"/>
        </w:numPr>
        <w:ind w:firstLine="482"/>
        <w:spacing w:after="0" w:line="500" w:lineRule="exact"/>
        <w:tabs>
          <w:tab w:val="left" w:pos="420" w:leader="none"/>
        </w:tabs>
        <w:rPr>
          <w:rFonts w:ascii="宋体" w:hAnsi="宋体" w:eastAsia="宋体" w:cs="宋体"/>
          <w:sz w:val="24"/>
          <w:szCs w:val="24"/>
          <w:highlight w:val="none"/>
        </w:rPr>
      </w:pPr>
      <w:r/>
      <w:bookmarkStart w:id="8" w:name="_Toc88729919"/>
      <w:r>
        <w:rPr>
          <w:rFonts w:hint="eastAsia" w:ascii="宋体" w:hAnsi="宋体" w:eastAsia="宋体" w:cs="宋体"/>
          <w:sz w:val="24"/>
          <w:szCs w:val="24"/>
          <w:highlight w:val="none"/>
        </w:rPr>
        <w:t xml:space="preserve">二、项目需求</w:t>
      </w:r>
      <w:bookmarkEnd w:id="8"/>
      <w:r/>
      <w:r/>
    </w:p>
    <w:p>
      <w:pPr>
        <w:pStyle w:val="652"/>
        <w:numPr>
          <w:ilvl w:val="0"/>
          <w:numId w:val="8"/>
        </w:numPr>
        <w:ind w:left="0" w:firstLine="482"/>
        <w:spacing w:after="0" w:line="500" w:lineRule="exact"/>
        <w:tabs>
          <w:tab w:val="left" w:pos="420" w:leader="none"/>
        </w:tabs>
        <w:rPr>
          <w:rFonts w:ascii="宋体" w:hAnsi="宋体" w:eastAsia="宋体" w:cs="宋体"/>
          <w:sz w:val="24"/>
          <w:szCs w:val="24"/>
          <w:highlight w:val="none"/>
        </w:rPr>
      </w:pPr>
      <w:r/>
      <w:bookmarkStart w:id="9" w:name="_Toc88729920"/>
      <w:r>
        <w:rPr>
          <w:rFonts w:hint="eastAsia" w:ascii="宋体" w:hAnsi="宋体" w:eastAsia="宋体" w:cs="宋体"/>
          <w:sz w:val="24"/>
          <w:szCs w:val="24"/>
          <w:highlight w:val="none"/>
        </w:rPr>
        <w:t xml:space="preserve">业务现状和目标分析</w:t>
      </w:r>
      <w:bookmarkEnd w:id="9"/>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太融e”APP平台于2022年3月上线试运行，系统平台主要分为城市服务总入口、一码通平台、区块链平台三个模块。目前已涵盖城事生活、交通出行、文体旅游、政务办事、医疗健康、学习教育、专区服务7大板块超180项的服务应用，APP上线运行稳定后，基于平台的强大基础功能优势，可承接各面向自然人服务的相关建设内容，从而实现平台的可持续、健康良性的发展。</w:t>
      </w:r>
      <w:r/>
    </w:p>
    <w:p>
      <w:pPr>
        <w:pStyle w:val="652"/>
        <w:numPr>
          <w:ilvl w:val="0"/>
          <w:numId w:val="8"/>
        </w:numPr>
        <w:ind w:left="0" w:firstLine="482"/>
        <w:spacing w:after="0" w:line="500" w:lineRule="exact"/>
        <w:tabs>
          <w:tab w:val="left" w:pos="420" w:leader="none"/>
        </w:tabs>
        <w:rPr>
          <w:rFonts w:ascii="宋体" w:hAnsi="宋体" w:eastAsia="宋体" w:cs="宋体"/>
          <w:sz w:val="24"/>
          <w:szCs w:val="24"/>
          <w:highlight w:val="none"/>
        </w:rPr>
      </w:pPr>
      <w:r/>
      <w:bookmarkStart w:id="10" w:name="_Toc88729921"/>
      <w:r>
        <w:rPr>
          <w:rFonts w:hint="eastAsia" w:ascii="宋体" w:hAnsi="宋体" w:eastAsia="宋体" w:cs="宋体"/>
          <w:sz w:val="24"/>
          <w:szCs w:val="24"/>
          <w:highlight w:val="none"/>
        </w:rPr>
        <w:t xml:space="preserve">服务方案</w:t>
      </w:r>
      <w:bookmarkEnd w:id="10"/>
      <w:r/>
      <w:bookmarkStart w:id="11" w:name="_Toc88729925"/>
      <w:r/>
      <w:r/>
    </w:p>
    <w:p>
      <w:pPr>
        <w:pStyle w:val="652"/>
        <w:numPr>
          <w:ilvl w:val="1"/>
          <w:numId w:val="8"/>
        </w:numPr>
        <w:ind w:left="0"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服务内容</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回购成本</w:t>
      </w:r>
      <w:r/>
    </w:p>
    <w:p>
      <w:pPr>
        <w:pStyle w:val="653"/>
        <w:numPr>
          <w:ilvl w:val="1"/>
          <w:numId w:val="0"/>
        </w:numPr>
        <w:ind w:firstLine="480"/>
        <w:spacing w:before="0" w:after="0" w:line="500" w:lineRule="exact"/>
        <w:tabs>
          <w:tab w:val="left" w:pos="0" w:leader="none"/>
        </w:tabs>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对投资建设包含“太融e”城市服务基础平台及应用、太仓市“一码通”平台、太仓市“区块链”平台、数据库备份软件（一体机）项目监理等项目的回购。</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通信配套服务</w:t>
      </w:r>
      <w:r/>
    </w:p>
    <w:p>
      <w:pPr>
        <w:pStyle w:val="653"/>
        <w:numPr>
          <w:ilvl w:val="1"/>
          <w:numId w:val="0"/>
        </w:numPr>
        <w:ind w:firstLine="480"/>
        <w:spacing w:before="0" w:after="0" w:line="500" w:lineRule="exact"/>
        <w:tabs>
          <w:tab w:val="left" w:pos="0" w:leader="none"/>
        </w:tabs>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太融e系统运行所必须线路、短信、话费等成本。</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第三方接口服务</w:t>
      </w:r>
      <w:r/>
    </w:p>
    <w:p>
      <w:pPr>
        <w:pStyle w:val="653"/>
        <w:numPr>
          <w:ilvl w:val="1"/>
          <w:numId w:val="0"/>
        </w:numPr>
        <w:ind w:firstLine="480"/>
        <w:spacing w:before="0" w:after="0" w:line="500" w:lineRule="exact"/>
        <w:tabs>
          <w:tab w:val="left" w:pos="0" w:leader="none"/>
        </w:tabs>
        <w:rPr>
          <w:rFonts w:ascii="宋体" w:hAnsi="宋体" w:eastAsia="宋体" w:cs="宋体"/>
          <w:sz w:val="24"/>
          <w:szCs w:val="24"/>
          <w:highlight w:val="none"/>
        </w:rPr>
      </w:pPr>
      <w:r>
        <w:rPr>
          <w:rFonts w:hint="eastAsia" w:ascii="宋体" w:hAnsi="宋体" w:eastAsia="宋体" w:cs="宋体"/>
          <w:b w:val="0"/>
          <w:bCs w:val="0"/>
          <w:sz w:val="24"/>
          <w:szCs w:val="24"/>
          <w:highlight w:val="none"/>
        </w:rPr>
        <w:t xml:space="preserve">太融e系统运行所必须的第三方接口服务，包括百度智能云服务、高德导航、一键登录、小程序、银联等等。</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安全服务</w:t>
      </w:r>
      <w:r/>
    </w:p>
    <w:p>
      <w:pPr>
        <w:pStyle w:val="653"/>
        <w:numPr>
          <w:ilvl w:val="1"/>
          <w:numId w:val="0"/>
        </w:numPr>
        <w:ind w:firstLine="480"/>
        <w:spacing w:before="0" w:after="0" w:line="500" w:lineRule="exact"/>
        <w:tabs>
          <w:tab w:val="left" w:pos="0" w:leader="none"/>
        </w:tabs>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定期对平台部署的网络设备（如路由器、交换机）和安全设备（如防火墙、入侵检测系统）进行巡检，提供漏扫、渗透、等保等网络安全服务，以增强系统的数据传输能力和安全防护水平。</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市级活动平台服务</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市级活动平台作为市级综合性服务平台，通过整合活动报名、信息查询、红包抽奖等核心功能模块，构建一站式市级活动数字化服务平台。通过标准化模版体系，为各类活动提供平台支撑。</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智慧养老服务</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实现全新的为老助餐账户升级：用户可通过“太融e”APP轻松完成线上充值，绑定家属关系，家庭成员可共享充值账户，实现通用消费；账户透明实时查询，可随时查看卡内余额及交易记录，确保资金使用透明；</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教育报刊升级</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实现教育报刊功能的优化升级，全面优化报刊征订逻辑，提升数据同步效率，提高学生匹配精准度，优化报刊选定界面；优化银联支付渠道，深度支持工商银行支付渠道，逐步支持微信支付宝原生支付方式；</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智慧蛋糕服务</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智慧蛋糕项目通过融媒体平台与工会组织的深度融合，打造集会员服务、福利管理、活动运营于一体的‌数字化工会服务新生态‌，实现服务模式从传统到智能的跨越式升级。该模式核心在于将工会服务与福利全面数字化，既提升职工使用便利性，又实现平台自主盈利与可持续运营。</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银龄学院</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全面整合我市老年大学各类需求，在平台内建设线上老年学习报名缴费平台，支持通过“太融e”进行实名认证、一键登录。结合线下课程，开设书画、音乐、养生、防诈骗等课程教学，满足老年人多样化、个性化学习需求。</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票务系统</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随着数字化服务的普及，用户对线上购票的便捷性、安全性需求显著提升，企业与活动主办方也亟需高效、规范的票务管理工具，以降低运营成本、防范黄牛倒票、保障活动有序开展，特规划设计本票务系统，实现用户端购票体验优化与管理端高效管控的双重目标。</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在线商城</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建设在线商城旨在构建自主可控的线上交易主阵地，实现全渠道融合与精准营销，从而提升市场份额与客户粘性。同时沉淀数字资产、驱动业务智能化，最终实现降本增效与长期可持续发展。</w:t>
      </w:r>
      <w:r/>
    </w:p>
    <w:p>
      <w:pPr>
        <w:pStyle w:val="652"/>
        <w:numPr>
          <w:ilvl w:val="2"/>
          <w:numId w:val="8"/>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太融e小程序升级改造</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持续提升太融e服务体验，优化界面交互与业务流程，提高操作便捷性、提升系统稳定性，并强化与App端的数据协同，实现服务一端办理、多端同步，让用户办事更顺畅、使用更便捷。</w:t>
      </w:r>
      <w:r/>
    </w:p>
    <w:p>
      <w:pPr>
        <w:pStyle w:val="652"/>
        <w:numPr>
          <w:ilvl w:val="0"/>
          <w:numId w:val="0"/>
        </w:numPr>
        <w:ind w:firstLine="482"/>
        <w:spacing w:after="0" w:line="500" w:lineRule="exact"/>
        <w:tabs>
          <w:tab w:val="left" w:pos="4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三、实施进度安排</w:t>
      </w:r>
      <w:bookmarkEnd w:id="11"/>
      <w:r/>
      <w:r/>
    </w:p>
    <w:p>
      <w:pPr>
        <w:pStyle w:val="653"/>
        <w:numPr>
          <w:ilvl w:val="1"/>
          <w:numId w:val="0"/>
        </w:numPr>
        <w:ind w:firstLine="480"/>
        <w:spacing w:before="0" w:after="0" w:line="500" w:lineRule="exact"/>
        <w:tabs>
          <w:tab w:val="left" w:pos="0" w:leader="none"/>
        </w:tabs>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服务期一年，自2026.11.6-2027.11.5</w:t>
      </w:r>
      <w:r/>
    </w:p>
    <w:p>
      <w:pPr>
        <w:ind w:firstLine="482"/>
        <w:spacing w:line="500" w:lineRule="exact"/>
        <w:rPr>
          <w:rFonts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bCs/>
          <w:sz w:val="24"/>
          <w:szCs w:val="24"/>
          <w:highlight w:val="none"/>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售后服务要求</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1、售后服务保障</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明确服务目标和服务方式，并制定服务原则及策略，确保售后服务工作能够按时稳步完成。同时，制定相关管理制度规范保障，确保服务时间，服务人员行为，现场技术支持，问题记录等符合规范要求。</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响应单位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r/>
    </w:p>
    <w:p>
      <w:pPr>
        <w:pStyle w:val="673"/>
        <w:ind w:firstLine="480"/>
        <w:spacing w:before="0" w:beforeAutospacing="0" w:after="0" w:afterAutospacing="0" w:line="500" w:lineRule="exact"/>
        <w:widowControl/>
        <w:rPr>
          <w:rFonts w:eastAsia="宋体"/>
          <w:sz w:val="24"/>
          <w:highlight w:val="none"/>
        </w:rPr>
      </w:pPr>
      <w:r>
        <w:rPr>
          <w:rFonts w:hint="eastAsia" w:eastAsia="宋体"/>
          <w:sz w:val="24"/>
          <w:highlight w:val="none"/>
        </w:rPr>
        <w:t xml:space="preserve">2、人员培训</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2.1响应单位必须承诺提供相关技术指导及培训服务：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2.2响应单位需提供现场技术培训，响应单位应给出详尽的培训计划及方案，确保采购单位的技术人员在经过培训后能完全掌握相关技术要求。</w:t>
      </w:r>
      <w:r/>
    </w:p>
    <w:p>
      <w:pPr>
        <w:ind w:firstLine="482"/>
        <w:spacing w:line="500" w:lineRule="exact"/>
        <w:rPr>
          <w:rFonts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五、付款方式</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合同签订并收到发票后</w:t>
      </w:r>
      <w:r>
        <w:rPr>
          <w:rFonts w:ascii="宋体" w:hAnsi="宋体" w:eastAsia="宋体" w:cs="宋体"/>
          <w:sz w:val="24"/>
          <w:szCs w:val="24"/>
          <w:highlight w:val="none"/>
        </w:rPr>
        <w:t xml:space="preserve">60个工作日内一次性支付90%，验收通过后支付余款10%</w:t>
      </w:r>
      <w:r>
        <w:rPr>
          <w:rFonts w:hint="eastAsia" w:ascii="宋体" w:hAnsi="宋体" w:eastAsia="宋体" w:cs="宋体"/>
          <w:sz w:val="24"/>
          <w:szCs w:val="24"/>
          <w:highlight w:val="none"/>
        </w:rPr>
        <w:t xml:space="preserve">。</w:t>
      </w: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pStyle w:val="664"/>
        <w:rPr>
          <w:highlight w:val="none"/>
        </w:rPr>
      </w:pPr>
      <w:r>
        <w:rPr>
          <w:highlight w:val="none"/>
        </w:rPr>
      </w:r>
      <w:r/>
    </w:p>
    <w:p>
      <w:pPr>
        <w:pStyle w:val="662"/>
        <w:ind w:firstLine="482"/>
        <w:spacing w:line="500" w:lineRule="exact"/>
        <w:rPr>
          <w:rFonts w:hAnsi="宋体" w:eastAsia="宋体" w:cs="宋体"/>
          <w:b/>
          <w:sz w:val="24"/>
          <w:szCs w:val="24"/>
          <w:highlight w:val="none"/>
        </w:rPr>
      </w:pPr>
      <w:r>
        <w:rPr>
          <w:rFonts w:hAnsi="宋体" w:eastAsia="宋体" w:cs="宋体"/>
          <w:b/>
          <w:sz w:val="24"/>
          <w:szCs w:val="24"/>
          <w:highlight w:val="none"/>
        </w:rPr>
      </w:r>
      <w:r/>
    </w:p>
    <w:p>
      <w:pPr>
        <w:pStyle w:val="662"/>
        <w:ind w:left="450"/>
        <w:rPr>
          <w:rFonts w:hAnsi="宋体" w:eastAsia="宋体" w:cs="宋体"/>
          <w:b/>
          <w:sz w:val="24"/>
          <w:szCs w:val="24"/>
          <w:highlight w:val="none"/>
        </w:rPr>
      </w:pPr>
      <w:r>
        <w:rPr>
          <w:rFonts w:hAnsi="宋体" w:eastAsia="宋体" w:cs="宋体"/>
          <w:b/>
          <w:sz w:val="24"/>
          <w:szCs w:val="24"/>
          <w:highlight w:val="none"/>
        </w:rPr>
      </w:r>
      <w:r/>
    </w:p>
    <w:p>
      <w:pPr>
        <w:spacing w:line="44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spacing w:line="44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附件：服务类项目履约验收方案</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一、项目概况</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项目编号：</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项目名称：</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供应商名称：</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合同金额： </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验收主体：</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二、验收目的</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三、验收依据</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四、验收责任主体</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五、验收方式(形式)</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5.1日常考核、分段验收</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09"/>
        <w:ind w:firstLine="482"/>
        <w:spacing w:line="440" w:lineRule="exact"/>
        <w:rPr>
          <w:rFonts w:hAnsi="宋体" w:eastAsia="宋体" w:cs="宋体"/>
          <w:sz w:val="24"/>
          <w:szCs w:val="24"/>
          <w:highlight w:val="none"/>
        </w:rPr>
      </w:pPr>
      <w:r>
        <w:rPr>
          <w:rFonts w:hint="eastAsia" w:hAnsi="宋体" w:eastAsia="宋体" w:cs="宋体"/>
          <w:b/>
          <w:bCs/>
          <w:sz w:val="24"/>
          <w:szCs w:val="24"/>
          <w:highlight w:val="none"/>
        </w:rPr>
        <w:t xml:space="preserve">5.2最终验收</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六、验收内容：</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09"/>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七、验收程序：</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7.1验收准备</w:t>
      </w:r>
      <w:r/>
    </w:p>
    <w:p>
      <w:pPr>
        <w:pStyle w:val="709"/>
        <w:ind w:firstLine="480"/>
        <w:spacing w:line="440" w:lineRule="exact"/>
        <w:rPr>
          <w:rFonts w:hAnsi="宋体" w:eastAsia="宋体" w:cs="宋体"/>
          <w:b/>
          <w:bCs/>
          <w:sz w:val="24"/>
          <w:szCs w:val="24"/>
          <w:highlight w:val="none"/>
        </w:rPr>
      </w:pPr>
      <w:r>
        <w:rPr>
          <w:rFonts w:hint="eastAsia" w:hAnsi="宋体" w:eastAsia="宋体" w:cs="宋体"/>
          <w:sz w:val="24"/>
          <w:szCs w:val="24"/>
          <w:highlight w:val="none"/>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highlight w:val="none"/>
        </w:rPr>
        <w:t xml:space="preserve">供应商在收到催告后五个工作日内拒不配合的，采购人应依照合同约定追究其责任。</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7.1.2供应商应当配合采购人、采购代理机构做好项目验收工作，及时提供与项目验收相关的生产、技术、服务、数量、质量、安全、合格证明及验收所必须具备的其他材料。</w:t>
      </w:r>
      <w:r/>
    </w:p>
    <w:p>
      <w:pPr>
        <w:pStyle w:val="709"/>
        <w:ind w:firstLine="480"/>
        <w:spacing w:line="440" w:lineRule="exact"/>
        <w:rPr>
          <w:rFonts w:hAnsi="宋体" w:eastAsia="宋体" w:cs="宋体"/>
          <w:b/>
          <w:bCs/>
          <w:sz w:val="24"/>
          <w:szCs w:val="24"/>
          <w:highlight w:val="none"/>
        </w:rPr>
      </w:pPr>
      <w:r>
        <w:rPr>
          <w:rFonts w:hint="eastAsia" w:hAnsi="宋体" w:eastAsia="宋体" w:cs="宋体"/>
          <w:sz w:val="24"/>
          <w:szCs w:val="24"/>
          <w:highlight w:val="none"/>
        </w:rPr>
        <w:t xml:space="preserve">7.1.3采购人应及时全面准备验收，自收到验收</w:t>
      </w:r>
      <w:r>
        <w:rPr>
          <w:rFonts w:hint="eastAsia" w:hAnsi="宋体" w:eastAsia="宋体" w:cs="宋体"/>
          <w:b/>
          <w:bCs/>
          <w:sz w:val="24"/>
          <w:szCs w:val="24"/>
          <w:highlight w:val="none"/>
        </w:rPr>
        <w:t xml:space="preserve">申请之日起五个工作日内</w:t>
      </w:r>
      <w:r>
        <w:rPr>
          <w:rFonts w:hint="eastAsia" w:hAnsi="宋体" w:eastAsia="宋体" w:cs="宋体"/>
          <w:sz w:val="24"/>
          <w:szCs w:val="24"/>
          <w:highlight w:val="none"/>
        </w:rPr>
        <w:t xml:space="preserve">做好通水、通电、准备验收工具等必要的验收准备工作、启动项目验收、通知供应商。</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7.2验收小组</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7.3参与验收人员</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7.3.1技术复杂或专业性强的政府采购项目，可以邀请有资质的第三方专业机构参加验收并出具专业意见。</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7.3.2对于采购人和使用人分离的采购项目，采购人或其委托的采购代理机构应当邀请实际使用人参与验收</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7.3.3政府向社会公众提供的公共服务项目，验收时应当邀请服务对象进行公共服务项目满意度评价，评价结果作为履约验收的参考依据。</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7.4验收原则</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政府采购履约验收应当遵循全面完整、客观真实、诚实信用的原则，坚持公开透明、应验必验、验收必严、违约必究。</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7.4.2项目验收范围应当完整，与采购合同一致，不得省略、遗漏和缺失，也不得擅自扩大范围。</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7.4.3项目验收方式应当符合项目特点，不能明确客观标准、涉及主观判断的，可以通过在采购人、使用人中开展问卷调查等方式予以客观、量化。</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7.4.4项目验收标准应包括所有客观、量化指标，符合采购合同约定，未进行相应约定的，应当符合法律法规、政策要求、国家标准、行业标准，地方标准或企业标准等有关标准。</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7.4.5项目验收意见应当客观真实。验收小组成员意见不一致时，按照少数服从多数的原则作出验收意见。</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7.4.6验收方法主要包括全部查验核对和抽查核对。</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7.5验收记录</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7.5.1验收小组应当要求参与验收的供应商、专业机构、专家和服务对象等出具书面意见，作为验收书的重要组成部分。</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八、验收结果</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09"/>
        <w:ind w:firstLine="482"/>
        <w:spacing w:line="440" w:lineRule="exact"/>
        <w:rPr>
          <w:rFonts w:hAnsi="宋体" w:eastAsia="宋体" w:cs="宋体"/>
          <w:b/>
          <w:bCs/>
          <w:sz w:val="24"/>
          <w:szCs w:val="24"/>
          <w:highlight w:val="none"/>
        </w:rPr>
      </w:pPr>
      <w:r>
        <w:rPr>
          <w:rFonts w:hint="eastAsia" w:hAnsi="宋体" w:eastAsia="宋体" w:cs="宋体"/>
          <w:b/>
          <w:bCs/>
          <w:sz w:val="24"/>
          <w:szCs w:val="24"/>
          <w:highlight w:val="none"/>
        </w:rPr>
        <w:t xml:space="preserve">九、验收资料归档</w:t>
      </w:r>
      <w:r/>
    </w:p>
    <w:p>
      <w:pPr>
        <w:pStyle w:val="709"/>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pacing w:val="9"/>
          <w:sz w:val="44"/>
          <w:szCs w:val="44"/>
          <w:highlight w:val="none"/>
        </w:rPr>
      </w:r>
      <w:r/>
    </w:p>
    <w:p>
      <w:pPr>
        <w:pStyle w:val="655"/>
        <w:numPr>
          <w:ilvl w:val="3"/>
          <w:numId w:val="0"/>
        </w:numPr>
        <w:rPr>
          <w:rFonts w:ascii="宋体" w:hAnsi="宋体" w:eastAsia="宋体" w:cs="宋体"/>
          <w:highlight w:val="none"/>
        </w:rPr>
      </w:pPr>
      <w:r>
        <w:rPr>
          <w:rFonts w:ascii="宋体" w:hAnsi="宋体" w:eastAsia="宋体" w:cs="宋体"/>
          <w:highlight w:val="none"/>
        </w:rPr>
      </w:r>
      <w:r/>
    </w:p>
    <w:p>
      <w:pPr>
        <w:ind w:firstLine="378"/>
        <w:jc w:val="center"/>
        <w:spacing w:before="240" w:after="240" w:line="440" w:lineRule="exact"/>
        <w:rPr>
          <w:rFonts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t xml:space="preserve">政府采购履约验收书(服务类）</w:t>
      </w:r>
      <w:r/>
    </w:p>
    <w:tbl>
      <w:tblPr>
        <w:tblStyle w:val="658"/>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□自行简易验收</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□验收小组验收</w:t>
            </w:r>
            <w:r/>
          </w:p>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存在问题</w:t>
            </w:r>
            <w:r/>
          </w:p>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验收小组成员</w:t>
            </w:r>
            <w:r/>
          </w:p>
          <w:p>
            <w:pPr>
              <w:jc w:val="center"/>
              <w:spacing w:line="3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p>
            <w:pPr>
              <w:jc w:val="left"/>
              <w:spacing w:line="38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p>
            <w:pPr>
              <w:jc w:val="left"/>
              <w:spacing w:line="38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供应商确认：</w:t>
            </w:r>
            <w:r/>
          </w:p>
          <w:p>
            <w:pPr>
              <w:jc w:val="left"/>
              <w:spacing w:line="380" w:lineRule="exact"/>
              <w:rPr>
                <w:rFonts w:ascii="宋体" w:hAnsi="宋体" w:eastAsia="宋体" w:cs="宋体"/>
                <w:sz w:val="18"/>
                <w:szCs w:val="18"/>
                <w:highlight w:val="none"/>
                <w:lang w:bidi="ar"/>
              </w:rPr>
            </w:pPr>
            <w:r>
              <w:rPr>
                <w:rFonts w:ascii="宋体" w:hAnsi="宋体" w:eastAsia="宋体" w:cs="宋体"/>
                <w:sz w:val="18"/>
                <w:szCs w:val="18"/>
                <w:highlight w:val="none"/>
                <w:lang w:bidi="ar"/>
              </w:rPr>
            </w:r>
            <w:r/>
          </w:p>
          <w:p>
            <w:pPr>
              <w:jc w:val="left"/>
              <w:spacing w:line="38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（单位公章或授权代表签字）</w:t>
            </w:r>
            <w:r/>
          </w:p>
        </w:tc>
      </w:tr>
    </w:tbl>
    <w:p>
      <w:pPr>
        <w:pStyle w:val="660"/>
        <w:rPr>
          <w:rFonts w:ascii="宋体" w:hAnsi="宋体" w:eastAsia="宋体" w:cs="宋体"/>
          <w:highlight w:val="none"/>
        </w:rPr>
      </w:pPr>
      <w:r>
        <w:rPr>
          <w:rFonts w:ascii="宋体" w:hAnsi="宋体" w:eastAsia="宋体" w:cs="宋体"/>
          <w:highlight w:val="none"/>
        </w:rPr>
      </w:r>
      <w:r/>
    </w:p>
    <w:p>
      <w:pPr>
        <w:jc w:val="center"/>
        <w:spacing w:line="600" w:lineRule="exact"/>
        <w:rPr>
          <w:rFonts w:ascii="宋体" w:hAnsi="宋体" w:eastAsia="宋体" w:cs="宋体"/>
          <w:b/>
          <w:sz w:val="24"/>
          <w:szCs w:val="24"/>
          <w:highlight w:val="none"/>
        </w:rPr>
      </w:pPr>
      <w:r>
        <w:rPr>
          <w:rFonts w:ascii="宋体"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p>
      <w:pPr>
        <w:pStyle w:val="662"/>
        <w:rPr>
          <w:rFonts w:hAnsi="宋体" w:eastAsia="宋体" w:cs="宋体"/>
          <w:b/>
          <w:sz w:val="24"/>
          <w:szCs w:val="24"/>
          <w:highlight w:val="none"/>
        </w:rPr>
      </w:pPr>
      <w:r>
        <w:rPr>
          <w:rFonts w:hAnsi="宋体" w:eastAsia="宋体" w:cs="宋体"/>
          <w:b/>
          <w:sz w:val="24"/>
          <w:szCs w:val="24"/>
          <w:highlight w:val="none"/>
        </w:rPr>
      </w:r>
      <w:r/>
    </w:p>
    <w:tbl>
      <w:tblPr>
        <w:tblStyle w:val="65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34"/>
        <w:gridCol w:w="739"/>
        <w:gridCol w:w="3935"/>
        <w:gridCol w:w="747"/>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color w:val="000000"/>
                <w:sz w:val="40"/>
                <w:szCs w:val="40"/>
                <w:highlight w:val="none"/>
              </w:rPr>
            </w:pPr>
            <w:r>
              <w:rPr>
                <w:rFonts w:hint="eastAsia" w:ascii="宋体" w:hAnsi="宋体" w:eastAsia="宋体" w:cs="宋体"/>
                <w:color w:val="000000"/>
                <w:sz w:val="40"/>
                <w:szCs w:val="40"/>
                <w:highlight w:val="none"/>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单位公章</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2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jc w:val="center"/>
        <w:spacing w:line="570" w:lineRule="exact"/>
        <w:rPr>
          <w:rFonts w:ascii="仿宋" w:hAnsi="仿宋" w:eastAsia="仿宋" w:cs="仿宋"/>
          <w:sz w:val="44"/>
          <w:szCs w:val="44"/>
          <w:highlight w:val="none"/>
        </w:rPr>
      </w:pPr>
      <w:r>
        <w:rPr>
          <w:rFonts w:ascii="仿宋" w:hAnsi="仿宋" w:eastAsia="仿宋" w:cs="仿宋"/>
          <w:sz w:val="44"/>
          <w:szCs w:val="44"/>
          <w:highlight w:val="none"/>
        </w:rPr>
      </w:r>
      <w:r/>
    </w:p>
    <w:p>
      <w:pPr>
        <w:jc w:val="center"/>
        <w:spacing w:line="600" w:lineRule="exact"/>
        <w:rPr>
          <w:rFonts w:ascii="Futura Lt" w:hAnsi="Futura Lt" w:eastAsia="宋体" w:cs="Futura Lt"/>
          <w:b/>
          <w:sz w:val="36"/>
          <w:szCs w:val="36"/>
          <w:highlight w:val="none"/>
        </w:rPr>
      </w:pPr>
      <w:r>
        <w:rPr>
          <w:rFonts w:ascii="Futura Lt" w:hAnsi="Futura Lt" w:eastAsia="宋体" w:cs="Futura Lt"/>
          <w:b/>
          <w:sz w:val="36"/>
          <w:szCs w:val="36"/>
          <w:highlight w:val="none"/>
        </w:rPr>
      </w:r>
      <w:r/>
    </w:p>
    <w:p>
      <w:pPr>
        <w:jc w:val="center"/>
        <w:spacing w:line="600" w:lineRule="exact"/>
        <w:rPr>
          <w:rFonts w:ascii="Futura Lt" w:hAnsi="Futura Lt" w:eastAsia="宋体" w:cs="Futura Lt"/>
          <w:b/>
          <w:bCs/>
          <w:sz w:val="36"/>
          <w:szCs w:val="36"/>
          <w:highlight w:val="none"/>
        </w:rPr>
      </w:pPr>
      <w:r>
        <w:rPr>
          <w:rFonts w:hint="eastAsia" w:ascii="Futura Lt" w:hAnsi="Futura Lt" w:eastAsia="宋体" w:cs="Futura Lt"/>
          <w:b/>
          <w:sz w:val="36"/>
          <w:szCs w:val="36"/>
          <w:highlight w:val="none"/>
        </w:rPr>
      </w:r>
      <w:r>
        <w:rPr>
          <w:rFonts w:hint="eastAsia" w:ascii="Futura Lt" w:hAnsi="Futura Lt" w:eastAsia="宋体" w:cs="Futura Lt"/>
          <w:b/>
          <w:sz w:val="36"/>
          <w:szCs w:val="36"/>
          <w:highlight w:val="none"/>
        </w:rPr>
      </w:r>
    </w:p>
    <w:p>
      <w:pPr>
        <w:jc w:val="center"/>
        <w:spacing w:line="600" w:lineRule="exact"/>
        <w:rPr>
          <w:rFonts w:hint="eastAsia" w:ascii="Futura Lt" w:hAnsi="Futura Lt" w:eastAsia="宋体" w:cs="Futura Lt"/>
          <w:b/>
          <w:bCs/>
          <w:sz w:val="36"/>
          <w:szCs w:val="36"/>
          <w:highlight w:val="none"/>
        </w:rPr>
      </w:pPr>
      <w:r>
        <w:rPr>
          <w:rFonts w:hint="eastAsia" w:ascii="Futura Lt" w:hAnsi="Futura Lt" w:eastAsia="宋体" w:cs="Futura Lt"/>
          <w:b/>
          <w:sz w:val="36"/>
          <w:szCs w:val="36"/>
          <w:highlight w:val="none"/>
        </w:rPr>
      </w:r>
      <w:r>
        <w:rPr>
          <w:rFonts w:hint="eastAsia" w:ascii="Futura Lt" w:hAnsi="Futura Lt" w:eastAsia="宋体" w:cs="Futura Lt"/>
          <w:b/>
          <w:sz w:val="36"/>
          <w:szCs w:val="36"/>
          <w:highlight w:val="none"/>
        </w:rPr>
      </w:r>
    </w:p>
    <w:p>
      <w:pPr>
        <w:jc w:val="center"/>
        <w:spacing w:line="600" w:lineRule="exact"/>
        <w:rPr>
          <w:rFonts w:hint="eastAsia" w:ascii="Futura Lt" w:hAnsi="Futura Lt" w:eastAsia="宋体" w:cs="Futura Lt"/>
          <w:b/>
          <w:bCs/>
          <w:sz w:val="36"/>
          <w:szCs w:val="36"/>
          <w:highlight w:val="none"/>
        </w:rPr>
      </w:pPr>
      <w:r>
        <w:rPr>
          <w:rFonts w:hint="eastAsia" w:ascii="Futura Lt" w:hAnsi="Futura Lt" w:eastAsia="宋体" w:cs="Futura Lt"/>
          <w:b/>
          <w:sz w:val="36"/>
          <w:szCs w:val="36"/>
          <w:highlight w:val="none"/>
        </w:rPr>
      </w:r>
      <w:r>
        <w:rPr>
          <w:rFonts w:hint="eastAsia" w:ascii="Futura Lt" w:hAnsi="Futura Lt" w:eastAsia="宋体" w:cs="Futura Lt"/>
          <w:b/>
          <w:sz w:val="36"/>
          <w:szCs w:val="36"/>
          <w:highlight w:val="none"/>
        </w:rPr>
      </w:r>
    </w:p>
    <w:p>
      <w:pPr>
        <w:jc w:val="center"/>
        <w:spacing w:line="600" w:lineRule="exact"/>
        <w:rPr>
          <w:rFonts w:hint="eastAsia" w:ascii="Futura Lt" w:hAnsi="Futura Lt" w:eastAsia="宋体" w:cs="Futura Lt"/>
          <w:b/>
          <w:bCs/>
          <w:sz w:val="36"/>
          <w:szCs w:val="36"/>
          <w:highlight w:val="none"/>
        </w:rPr>
      </w:pPr>
      <w:r>
        <w:rPr>
          <w:rFonts w:hint="eastAsia" w:ascii="Futura Lt" w:hAnsi="Futura Lt" w:eastAsia="宋体" w:cs="Futura Lt"/>
          <w:b/>
          <w:sz w:val="36"/>
          <w:szCs w:val="36"/>
          <w:highlight w:val="none"/>
        </w:rPr>
      </w:r>
      <w:r>
        <w:rPr>
          <w:rFonts w:hint="eastAsia" w:ascii="Futura Lt" w:hAnsi="Futura Lt" w:eastAsia="宋体" w:cs="Futura Lt"/>
          <w:b/>
          <w:sz w:val="36"/>
          <w:szCs w:val="36"/>
          <w:highlight w:val="none"/>
        </w:rPr>
      </w:r>
    </w:p>
    <w:p>
      <w:pPr>
        <w:jc w:val="center"/>
        <w:spacing w:line="600" w:lineRule="exact"/>
        <w:rPr>
          <w:rFonts w:hint="eastAsia" w:ascii="Futura Lt" w:hAnsi="Futura Lt" w:eastAsia="宋体" w:cs="Futura Lt"/>
          <w:b/>
          <w:bCs/>
          <w:sz w:val="36"/>
          <w:szCs w:val="36"/>
          <w:highlight w:val="none"/>
        </w:rPr>
      </w:pPr>
      <w:r>
        <w:rPr>
          <w:rFonts w:hint="eastAsia" w:ascii="Futura Lt" w:hAnsi="Futura Lt" w:eastAsia="宋体" w:cs="Futura Lt"/>
          <w:b/>
          <w:sz w:val="36"/>
          <w:szCs w:val="36"/>
          <w:highlight w:val="none"/>
        </w:rPr>
        <w:t xml:space="preserve">第四部分 单一来源采购程序</w:t>
      </w:r>
      <w:r/>
    </w:p>
    <w:p>
      <w:pPr>
        <w:spacing w:after="200" w:line="500" w:lineRule="exact"/>
        <w:rPr>
          <w:rFonts w:ascii="Arial" w:hAnsi="Arial" w:eastAsia="Arial" w:cs="Times New Roman"/>
          <w:sz w:val="24"/>
          <w:szCs w:val="20"/>
          <w:highlight w:val="none"/>
        </w:rPr>
      </w:pPr>
      <w:r>
        <w:rPr>
          <w:rFonts w:ascii="Arial" w:hAnsi="Arial" w:eastAsia="Arial" w:cs="Times New Roman"/>
          <w:sz w:val="24"/>
          <w:szCs w:val="20"/>
          <w:highlight w:val="none"/>
        </w:rPr>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一、向单一来源采购响应单位发出邀请书；</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二、单一来源采购响应单位按要求制作并上传响应响应文件；</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sz w:val="28"/>
          <w:szCs w:val="28"/>
          <w:highlight w:val="none"/>
        </w:rPr>
        <w:t xml:space="preserve">最终承诺及报价”</w:t>
      </w:r>
      <w:r>
        <w:rPr>
          <w:rFonts w:hint="eastAsia" w:ascii="宋体" w:hAnsi="宋体" w:eastAsia="Arial" w:cs="Times New Roman"/>
          <w:sz w:val="28"/>
          <w:szCs w:val="28"/>
          <w:highlight w:val="none"/>
        </w:rPr>
        <w:t xml:space="preserve">为最终报价。</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五、由评审小组根据成交原则，确定成交供应商；</w:t>
      </w:r>
      <w:r/>
    </w:p>
    <w:p>
      <w:pPr>
        <w:ind w:firstLine="560"/>
        <w:spacing w:line="580" w:lineRule="exact"/>
        <w:tabs>
          <w:tab w:val="left" w:pos="5250" w:leader="none"/>
        </w:tabs>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六、成交供应商和采购单位签订合同。</w:t>
      </w:r>
      <w:r/>
    </w:p>
    <w:p>
      <w:pPr>
        <w:jc w:val="left"/>
        <w:spacing w:before="240" w:after="240" w:line="276" w:lineRule="auto"/>
        <w:widowControl/>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jc w:val="left"/>
        <w:spacing w:after="200" w:line="276" w:lineRule="auto"/>
        <w:widowControl/>
        <w:rPr>
          <w:rFonts w:ascii="宋体" w:hAnsi="宋体" w:eastAsia="宋体" w:cs="宋体"/>
          <w:b/>
          <w:sz w:val="44"/>
          <w:highlight w:val="none"/>
        </w:rPr>
      </w:pPr>
      <w:r>
        <w:rPr>
          <w:rFonts w:ascii="宋体" w:hAnsi="宋体" w:eastAsia="宋体" w:cs="宋体"/>
          <w:b/>
          <w:sz w:val="44"/>
          <w:highlight w:val="none"/>
        </w:rPr>
      </w:r>
      <w:r/>
    </w:p>
    <w:p>
      <w:pPr>
        <w:pStyle w:val="659"/>
        <w:rPr>
          <w:rFonts w:ascii="宋体" w:hAnsi="宋体" w:eastAsia="宋体" w:cs="宋体"/>
          <w:b/>
          <w:sz w:val="44"/>
          <w:highlight w:val="none"/>
        </w:rPr>
      </w:pPr>
      <w:r>
        <w:rPr>
          <w:rFonts w:ascii="宋体" w:hAnsi="宋体" w:eastAsia="宋体" w:cs="宋体"/>
          <w:b/>
          <w:sz w:val="44"/>
          <w:highlight w:val="none"/>
        </w:rPr>
      </w:r>
      <w:r/>
    </w:p>
    <w:p>
      <w:pPr>
        <w:rPr>
          <w:rFonts w:ascii="宋体" w:hAnsi="宋体" w:eastAsia="宋体" w:cs="宋体"/>
          <w:b/>
          <w:sz w:val="44"/>
          <w:highlight w:val="none"/>
        </w:rPr>
      </w:pPr>
      <w:r>
        <w:rPr>
          <w:rFonts w:ascii="宋体" w:hAnsi="宋体" w:eastAsia="宋体" w:cs="宋体"/>
          <w:b/>
          <w:sz w:val="44"/>
          <w:highlight w:val="none"/>
        </w:rPr>
      </w:r>
      <w:r/>
    </w:p>
    <w:p>
      <w:pPr>
        <w:pStyle w:val="659"/>
      </w:pPr>
      <w:r/>
      <w:r/>
    </w:p>
    <w:p>
      <w:pPr>
        <w:numPr>
          <w:ilvl w:val="0"/>
          <w:numId w:val="9"/>
        </w:numPr>
        <w:jc w:val="center"/>
        <w:spacing w:line="600" w:lineRule="exact"/>
        <w:rPr>
          <w:rFonts w:ascii="宋体" w:hAnsi="宋体" w:eastAsia="宋体" w:cs="宋体"/>
          <w:b/>
          <w:sz w:val="44"/>
          <w:szCs w:val="21"/>
          <w:highlight w:val="none"/>
        </w:rPr>
      </w:pPr>
      <w:r>
        <w:rPr>
          <w:rFonts w:hint="eastAsia" w:ascii="宋体" w:hAnsi="宋体" w:eastAsia="宋体" w:cs="宋体"/>
          <w:b/>
          <w:sz w:val="44"/>
          <w:szCs w:val="21"/>
          <w:highlight w:val="none"/>
        </w:rPr>
        <w:t xml:space="preserve">成交原则</w:t>
      </w:r>
      <w:r/>
    </w:p>
    <w:p>
      <w:pPr>
        <w:spacing w:line="600" w:lineRule="exact"/>
        <w:rPr>
          <w:rFonts w:ascii="宋体" w:hAnsi="宋体" w:eastAsia="宋体" w:cs="宋体"/>
          <w:b/>
          <w:sz w:val="44"/>
          <w:szCs w:val="21"/>
          <w:highlight w:val="none"/>
        </w:rPr>
      </w:pPr>
      <w:r>
        <w:rPr>
          <w:rFonts w:ascii="宋体" w:hAnsi="宋体" w:eastAsia="宋体" w:cs="宋体"/>
          <w:b/>
          <w:sz w:val="44"/>
          <w:szCs w:val="21"/>
          <w:highlight w:val="none"/>
        </w:rPr>
      </w:r>
      <w:r/>
    </w:p>
    <w:p>
      <w:pPr>
        <w:ind w:firstLine="482"/>
        <w:spacing w:line="580" w:lineRule="exact"/>
        <w:widowControl/>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一、本次单一来源采购成交原则，适用于本次采购活动。</w:t>
      </w:r>
      <w:r/>
    </w:p>
    <w:p>
      <w:pPr>
        <w:ind w:firstLine="482"/>
        <w:spacing w:line="580" w:lineRule="exact"/>
        <w:widowControl/>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二、具备履约能力，能提供最佳售后服务。</w:t>
      </w:r>
      <w:r/>
    </w:p>
    <w:p>
      <w:pPr>
        <w:ind w:firstLine="482"/>
        <w:spacing w:line="580" w:lineRule="exact"/>
        <w:widowControl/>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t xml:space="preserve"> </w:t>
      </w:r>
      <w:r/>
    </w:p>
    <w:p>
      <w:pPr>
        <w:spacing w:line="460"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jc w:val="left"/>
        <w:spacing w:after="200" w:line="276" w:lineRule="auto"/>
        <w:widowControl/>
        <w:rPr>
          <w:rFonts w:ascii="宋体" w:hAnsi="宋体" w:eastAsia="宋体" w:cs="宋体"/>
          <w:b/>
          <w:sz w:val="44"/>
          <w:highlight w:val="none"/>
        </w:rPr>
      </w:pPr>
      <w:r>
        <w:rPr>
          <w:rFonts w:ascii="宋体" w:hAnsi="宋体" w:eastAsia="宋体" w:cs="宋体"/>
          <w:b/>
          <w:sz w:val="44"/>
          <w:highlight w:val="none"/>
        </w:rPr>
        <w:br w:type="page" w:clear="all"/>
      </w:r>
      <w:r/>
    </w:p>
    <w:p>
      <w:pPr>
        <w:jc w:val="left"/>
        <w:spacing w:before="240" w:after="240" w:line="276" w:lineRule="auto"/>
        <w:widowControl/>
        <w:rPr>
          <w:rFonts w:ascii="宋体" w:hAnsi="宋体" w:eastAsia="Arial" w:cs="宋体"/>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        第六部分 </w:t>
      </w:r>
      <w:r>
        <w:rPr>
          <w:rFonts w:hint="eastAsia" w:ascii="宋体" w:hAnsi="宋体" w:eastAsia="宋体" w:cs="宋体"/>
          <w:b/>
          <w:sz w:val="44"/>
          <w:highlight w:val="none"/>
        </w:rPr>
        <w:t xml:space="preserve">合同条款</w:t>
      </w:r>
      <w:r/>
    </w:p>
    <w:p>
      <w:p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采购人（以下称甲方）</w:t>
      </w:r>
      <w:r>
        <w:rPr>
          <w:rFonts w:ascii="宋体" w:hAnsi="宋体" w:eastAsia="宋体" w:cs="宋体"/>
          <w:sz w:val="24"/>
          <w:highlight w:val="none"/>
        </w:rPr>
        <w:t xml:space="preserve">                      </w:t>
      </w:r>
      <w:r>
        <w:rPr>
          <w:rFonts w:hint="eastAsia" w:ascii="宋体" w:hAnsi="宋体" w:eastAsia="宋体" w:cs="宋体"/>
          <w:sz w:val="24"/>
          <w:highlight w:val="none"/>
        </w:rPr>
        <w:t xml:space="preserve">供应商：（以下称乙方）</w:t>
      </w:r>
      <w:r/>
    </w:p>
    <w:p>
      <w:p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地址：</w:t>
      </w:r>
      <w:r>
        <w:rPr>
          <w:rFonts w:ascii="宋体" w:hAnsi="宋体" w:eastAsia="宋体" w:cs="宋体"/>
          <w:sz w:val="24"/>
          <w:highlight w:val="none"/>
        </w:rPr>
        <w:t xml:space="preserve">                                    </w:t>
      </w:r>
      <w:r>
        <w:rPr>
          <w:rFonts w:hint="eastAsia" w:ascii="宋体" w:hAnsi="宋体" w:eastAsia="宋体" w:cs="宋体"/>
          <w:sz w:val="24"/>
          <w:highlight w:val="none"/>
        </w:rPr>
        <w:t xml:space="preserve">地址：</w:t>
      </w:r>
      <w:r/>
    </w:p>
    <w:p>
      <w:p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电话：</w:t>
      </w:r>
      <w:r>
        <w:rPr>
          <w:rFonts w:ascii="宋体" w:hAnsi="宋体" w:eastAsia="宋体" w:cs="宋体"/>
          <w:sz w:val="24"/>
          <w:highlight w:val="none"/>
        </w:rPr>
        <w:t xml:space="preserve">                                    </w:t>
      </w:r>
      <w:r>
        <w:rPr>
          <w:rFonts w:hint="eastAsia" w:ascii="宋体" w:hAnsi="宋体" w:eastAsia="宋体" w:cs="宋体"/>
          <w:sz w:val="24"/>
          <w:highlight w:val="none"/>
        </w:rPr>
        <w:t xml:space="preserve">电话：</w:t>
      </w:r>
      <w:r/>
    </w:p>
    <w:p>
      <w:pPr>
        <w:ind w:firstLine="480"/>
        <w:jc w:val="left"/>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highlight w:val="none"/>
          <w:u w:val="single"/>
        </w:rPr>
        <w:t xml:space="preserve">                         项目</w:t>
      </w:r>
      <w:r>
        <w:rPr>
          <w:rFonts w:ascii="宋体" w:hAnsi="宋体" w:eastAsia="宋体" w:cs="宋体"/>
          <w:b/>
          <w:bCs/>
          <w:sz w:val="24"/>
          <w:szCs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编号</w:t>
      </w:r>
      <w:r>
        <w:rPr>
          <w:rFonts w:hint="eastAsia" w:ascii="宋体" w:hAnsi="宋体" w:eastAsia="宋体" w:cs="宋体"/>
          <w:b/>
          <w:bCs/>
          <w:sz w:val="24"/>
          <w:szCs w:val="24"/>
          <w:highlight w:val="none"/>
        </w:rPr>
        <w:t xml:space="preserve"> JSZC-320585-JZCG-D2026-0094</w:t>
      </w:r>
      <w:r>
        <w:rPr>
          <w:rFonts w:hint="eastAsia" w:ascii="宋体" w:hAnsi="宋体" w:eastAsia="宋体" w:cs="宋体"/>
          <w:sz w:val="24"/>
          <w:highlight w:val="none"/>
        </w:rPr>
        <w:t xml:space="preserve">）的招标结果，签订本合同。</w:t>
      </w:r>
      <w:r/>
    </w:p>
    <w:p>
      <w:pPr>
        <w:ind w:firstLine="47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第一条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服务范围</w:t>
      </w:r>
      <w:r/>
    </w:p>
    <w:p>
      <w:pPr>
        <w:ind w:left="42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 </w:t>
      </w:r>
      <w:r>
        <w:rPr>
          <w:rFonts w:hint="eastAsia" w:ascii="宋体" w:hAnsi="宋体" w:eastAsia="宋体" w:cs="宋体"/>
          <w:sz w:val="24"/>
          <w:highlight w:val="none"/>
        </w:rPr>
        <w:t xml:space="preserve">甲方聘请乙方提供以下服务：</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）本合同项下的服务指：</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2</w:t>
      </w:r>
      <w:r>
        <w:rPr>
          <w:rFonts w:hint="eastAsia" w:ascii="宋体" w:hAnsi="宋体" w:eastAsia="宋体" w:cs="宋体"/>
          <w:sz w:val="24"/>
          <w:highlight w:val="none"/>
        </w:rPr>
        <w:t xml:space="preserve">）服务内容：</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3</w:t>
      </w:r>
      <w:r>
        <w:rPr>
          <w:rFonts w:hint="eastAsia" w:ascii="宋体" w:hAnsi="宋体" w:eastAsia="宋体" w:cs="宋体"/>
          <w:sz w:val="24"/>
          <w:highlight w:val="none"/>
        </w:rPr>
        <w:t xml:space="preserve">）服务标准：</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4</w:t>
      </w:r>
      <w:r>
        <w:rPr>
          <w:rFonts w:hint="eastAsia" w:ascii="宋体" w:hAnsi="宋体" w:eastAsia="宋体" w:cs="宋体"/>
          <w:sz w:val="24"/>
          <w:highlight w:val="none"/>
        </w:rPr>
        <w:t xml:space="preserve">）交付时间、地点：甲方指定。</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第二条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组成本合同的有关文件</w:t>
      </w:r>
      <w:r>
        <w:rPr>
          <w:rFonts w:ascii="宋体" w:hAnsi="宋体" w:eastAsia="宋体" w:cs="宋体"/>
          <w:b/>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下列与本次采购活动有关的文件及有关附件是本合同不可分割的组成部分，与本合同具有同等法律效力，这些文件包括但不限于：</w:t>
      </w:r>
      <w:r/>
    </w:p>
    <w:p>
      <w:pPr>
        <w:numPr>
          <w:ilvl w:val="0"/>
          <w:numId w:val="10"/>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招标采购文件（</w:t>
      </w:r>
      <w:r>
        <w:rPr>
          <w:rFonts w:hint="eastAsia" w:ascii="宋体" w:hAnsi="宋体" w:eastAsia="宋体" w:cs="宋体"/>
          <w:b/>
          <w:sz w:val="24"/>
          <w:highlight w:val="none"/>
        </w:rPr>
        <w:t xml:space="preserve">编号： JSZC-320585-JZCG-D2026-0094</w:t>
      </w:r>
      <w:r>
        <w:rPr>
          <w:rFonts w:hint="eastAsia" w:ascii="宋体" w:hAnsi="宋体" w:eastAsia="宋体" w:cs="宋体"/>
          <w:sz w:val="24"/>
          <w:highlight w:val="none"/>
        </w:rPr>
        <w:t xml:space="preserve">）</w:t>
      </w:r>
      <w:r/>
    </w:p>
    <w:p>
      <w:pPr>
        <w:numPr>
          <w:ilvl w:val="0"/>
          <w:numId w:val="10"/>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乙方提供的投标文件和投标报价表；</w:t>
      </w:r>
      <w:r/>
    </w:p>
    <w:p>
      <w:pPr>
        <w:numPr>
          <w:ilvl w:val="0"/>
          <w:numId w:val="10"/>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乙方在投标过程中所作的其他承诺、声明、书面澄清等；</w:t>
      </w:r>
      <w:r/>
    </w:p>
    <w:p>
      <w:pPr>
        <w:numPr>
          <w:ilvl w:val="0"/>
          <w:numId w:val="10"/>
        </w:numPr>
        <w:spacing w:line="460" w:lineRule="atLeast"/>
        <w:widowControl/>
        <w:rPr>
          <w:rFonts w:ascii="Arial" w:hAnsi="Arial" w:eastAsia="宋体" w:cs="Times New Roman"/>
          <w:sz w:val="22"/>
          <w:highlight w:val="none"/>
          <w:lang w:eastAsia="en-US"/>
        </w:rPr>
      </w:pPr>
      <w:r>
        <w:rPr>
          <w:rFonts w:hint="eastAsia" w:ascii="宋体" w:hAnsi="宋体" w:eastAsia="宋体" w:cs="宋体"/>
          <w:sz w:val="24"/>
          <w:highlight w:val="none"/>
          <w:lang w:eastAsia="en-US"/>
        </w:rPr>
        <w:t xml:space="preserve">中标通知书；</w:t>
      </w:r>
      <w:r/>
    </w:p>
    <w:p>
      <w:pPr>
        <w:numPr>
          <w:ilvl w:val="0"/>
          <w:numId w:val="10"/>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甲乙双方商定的其他文件等。</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第三条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合同总价款</w:t>
      </w:r>
      <w:r>
        <w:rPr>
          <w:rFonts w:ascii="宋体" w:hAnsi="宋体" w:eastAsia="宋体" w:cs="宋体"/>
          <w:b/>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合同价格按此次成交价格执行，合同总金额为人民币</w:t>
      </w:r>
      <w:r>
        <w:rPr>
          <w:rFonts w:ascii="宋体" w:hAnsi="宋体" w:eastAsia="宋体" w:cs="宋体"/>
          <w:sz w:val="24"/>
          <w:highlight w:val="none"/>
        </w:rPr>
        <w:t xml:space="preserve">___________</w:t>
      </w:r>
      <w:r>
        <w:rPr>
          <w:rFonts w:hint="eastAsia" w:ascii="宋体" w:hAnsi="宋体" w:eastAsia="宋体" w:cs="宋体"/>
          <w:sz w:val="24"/>
          <w:highlight w:val="none"/>
        </w:rPr>
        <w:t xml:space="preserve">（大写）人民币，小写：（￥：）元整。</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除非合同条款中另有规定，本合同执行期间合同总价款不变。</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第四条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合同款支付</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、本合同项下所有款项均以人民币支付。</w:t>
      </w:r>
      <w:r/>
    </w:p>
    <w:p>
      <w:pPr>
        <w:ind w:firstLine="480"/>
        <w:spacing w:line="460" w:lineRule="atLeast"/>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、本合同项下的采购资金由甲方自行支付，乙方向甲方开具发票。</w:t>
      </w:r>
      <w:r/>
    </w:p>
    <w:p>
      <w:pPr>
        <w:ind w:firstLine="480"/>
        <w:spacing w:line="460" w:lineRule="atLeast"/>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、根据现行税法对乙方征收的与本合同有关的一切税费均由乙方承担。</w:t>
      </w:r>
      <w:r/>
    </w:p>
    <w:p>
      <w:pPr>
        <w:ind w:firstLine="480"/>
        <w:spacing w:line="460" w:lineRule="atLeast"/>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、付款步骤、方式：</w:t>
      </w:r>
      <w:r/>
    </w:p>
    <w:p>
      <w:pPr>
        <w:spacing w:after="200" w:line="276" w:lineRule="auto"/>
        <w:rPr>
          <w:rFonts w:ascii="楷体_GB2312" w:hAnsi="Arial" w:eastAsia="楷体_GB2312" w:cs="Times New Roman"/>
          <w:sz w:val="28"/>
          <w:highlight w:val="none"/>
        </w:rPr>
      </w:pPr>
      <w:r>
        <w:rPr>
          <w:rFonts w:ascii="楷体_GB2312" w:hAnsi="Arial" w:eastAsia="楷体_GB2312" w:cs="Times New Roman"/>
          <w:sz w:val="28"/>
          <w:highlight w:val="none"/>
        </w:rPr>
      </w:r>
      <w:r/>
    </w:p>
    <w:p>
      <w:pPr>
        <w:ind w:firstLine="482"/>
        <w:spacing w:line="85"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第五条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服务质量、成果要求</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、验收标准</w:t>
      </w:r>
      <w:r>
        <w:rPr>
          <w:rFonts w:ascii="宋体" w:hAnsi="宋体" w:eastAsia="宋体" w:cs="宋体"/>
          <w:sz w:val="24"/>
          <w:highlight w:val="none"/>
        </w:rPr>
        <w:t xml:space="preserve">: </w:t>
      </w:r>
      <w:r>
        <w:rPr>
          <w:rFonts w:hint="eastAsia" w:ascii="宋体" w:hAnsi="宋体" w:eastAsia="宋体" w:cs="宋体"/>
          <w:sz w:val="24"/>
          <w:highlight w:val="none"/>
        </w:rPr>
        <w:t xml:space="preserve">按采购文件要求、乙方的投标承诺或国家相关标准。</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第六条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甲、乙双方权利义务</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、甲方应当按照本合同约定按时支付合同金额。</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、乙方提交的服务成果未经甲方书面许可，不得向任何第三方泄露。</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 </w:t>
      </w:r>
      <w:r>
        <w:rPr>
          <w:rFonts w:hint="eastAsia" w:ascii="宋体" w:hAnsi="宋体" w:eastAsia="宋体" w:cs="宋体"/>
          <w:sz w:val="24"/>
          <w:highlight w:val="none"/>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第七条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知识产权</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第八条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保密条款</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第九条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风险责任</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履约保证金（本项目不涉及）</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、乙方应按招标文件的约定要求提供相应的履约保证金。</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、履约保证金的有效期为合同生效之日起至合同主要义务履行完毕止。</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、履约保证金待合同主要义务全部履行完毕后全额退回（不计息）。</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第十一条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合同的变更和终止</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、本合同一经签订，甲乙双方不得擅自变更、中止或终止合同。</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第十二条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合同的转让</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、乙方不得擅自部分或全部转让其应履行的合同义务。</w:t>
      </w:r>
      <w:r>
        <w:rPr>
          <w:rFonts w:ascii="宋体" w:hAnsi="宋体" w:eastAsia="宋体" w:cs="宋体"/>
          <w:sz w:val="24"/>
          <w:highlight w:val="none"/>
        </w:rPr>
        <w:t xml:space="preserve">    </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、乙方在履行合同过程中，不得将服务项目委托给第三方。</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第十三条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违约责任</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、在合同生效后，甲方无理由要求终止服务的，应向乙方偿付合同总价款的</w:t>
      </w:r>
      <w:r>
        <w:rPr>
          <w:rFonts w:ascii="宋体" w:hAnsi="宋体" w:eastAsia="宋体" w:cs="宋体"/>
          <w:sz w:val="24"/>
          <w:highlight w:val="none"/>
        </w:rPr>
        <w:t xml:space="preserve">5%</w:t>
      </w:r>
      <w:r>
        <w:rPr>
          <w:rFonts w:hint="eastAsia" w:ascii="宋体" w:hAnsi="宋体" w:eastAsia="宋体" w:cs="宋体"/>
          <w:sz w:val="24"/>
          <w:highlight w:val="none"/>
        </w:rPr>
        <w:t xml:space="preserve">，作为违约金，违约金不足以补偿损失的，乙方有权要求甲方补足。</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highlight w:val="none"/>
        </w:rPr>
        <w:t xml:space="preserve">5%</w:t>
      </w:r>
      <w:r>
        <w:rPr>
          <w:rFonts w:hint="eastAsia" w:ascii="宋体" w:hAnsi="宋体" w:eastAsia="宋体" w:cs="宋体"/>
          <w:sz w:val="24"/>
          <w:highlight w:val="none"/>
        </w:rPr>
        <w:t xml:space="preserve">的违约金，违约金不足以补偿损失的甲方有权要求乙方补足。</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第十四条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不可抗力</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甲、乙方中任何一方，因不可抗力不能按时或完全履行合同的</w:t>
      </w:r>
      <w:r>
        <w:rPr>
          <w:rFonts w:ascii="宋体" w:hAnsi="宋体" w:eastAsia="宋体" w:cs="宋体"/>
          <w:sz w:val="24"/>
          <w:highlight w:val="none"/>
        </w:rPr>
        <w:t xml:space="preserve"> </w:t>
      </w:r>
      <w:r>
        <w:rPr>
          <w:rFonts w:hint="eastAsia" w:ascii="宋体" w:hAnsi="宋体" w:eastAsia="宋体" w:cs="宋体"/>
          <w:sz w:val="24"/>
          <w:highlight w:val="none"/>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因合同一方迟延履行后发生不可抗力的，不能免除责任。</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第十五条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索赔</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highlight w:val="none"/>
        </w:rPr>
        <w:t xml:space="preserve">(   )</w:t>
      </w:r>
      <w:r>
        <w:rPr>
          <w:rFonts w:hint="eastAsia" w:ascii="宋体" w:hAnsi="宋体" w:eastAsia="宋体" w:cs="宋体"/>
          <w:sz w:val="24"/>
          <w:highlight w:val="none"/>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第十六条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争议的解决</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第十七条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诚实信用</w:t>
      </w:r>
      <w:r>
        <w:rPr>
          <w:rFonts w:ascii="宋体" w:hAnsi="宋体" w:eastAsia="宋体" w:cs="宋体"/>
          <w:b/>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第十八条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合同生效及其他</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、本合同一式两份份，甲乙双方各执一份。</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、本合同应按照中华人民共和国的现行法律进行解释。</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甲方（采购人）：（盖章）</w:t>
      </w:r>
      <w:r>
        <w:rPr>
          <w:rFonts w:ascii="宋体" w:hAnsi="宋体" w:eastAsia="宋体" w:cs="宋体"/>
          <w:sz w:val="24"/>
          <w:highlight w:val="none"/>
        </w:rPr>
        <w:t xml:space="preserve">            </w:t>
      </w:r>
      <w:r>
        <w:rPr>
          <w:rFonts w:hint="eastAsia" w:ascii="宋体" w:hAnsi="宋体" w:eastAsia="宋体" w:cs="宋体"/>
          <w:sz w:val="24"/>
          <w:highlight w:val="none"/>
        </w:rPr>
        <w:t xml:space="preserve">乙方（供应商）：（盖章）</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代表人：</w:t>
      </w:r>
      <w:r>
        <w:rPr>
          <w:rFonts w:ascii="宋体" w:hAnsi="宋体" w:eastAsia="宋体" w:cs="宋体"/>
          <w:sz w:val="24"/>
          <w:highlight w:val="none"/>
        </w:rPr>
        <w:t xml:space="preserve">              </w:t>
      </w:r>
      <w:r>
        <w:rPr>
          <w:rFonts w:hint="eastAsia" w:ascii="宋体" w:hAnsi="宋体" w:eastAsia="宋体" w:cs="宋体"/>
          <w:sz w:val="24"/>
          <w:highlight w:val="none"/>
        </w:rPr>
        <w:t xml:space="preserve">代表人：</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电话：</w:t>
      </w:r>
      <w:r>
        <w:rPr>
          <w:rFonts w:ascii="宋体" w:hAnsi="宋体" w:eastAsia="宋体" w:cs="宋体"/>
          <w:sz w:val="24"/>
          <w:highlight w:val="none"/>
        </w:rPr>
        <w:t xml:space="preserve">               </w:t>
      </w:r>
      <w:r>
        <w:rPr>
          <w:rFonts w:hint="eastAsia" w:ascii="宋体" w:hAnsi="宋体" w:eastAsia="宋体" w:cs="宋体"/>
          <w:sz w:val="24"/>
          <w:highlight w:val="none"/>
        </w:rPr>
        <w:t xml:space="preserve">电话：</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开户银行：</w:t>
      </w:r>
      <w:r>
        <w:rPr>
          <w:rFonts w:ascii="宋体" w:hAnsi="宋体" w:eastAsia="宋体" w:cs="宋体"/>
          <w:sz w:val="24"/>
          <w:highlight w:val="none"/>
        </w:rPr>
        <w:t xml:space="preserve">                          </w:t>
      </w:r>
      <w:r>
        <w:rPr>
          <w:rFonts w:hint="eastAsia" w:ascii="宋体" w:hAnsi="宋体" w:eastAsia="宋体" w:cs="宋体"/>
          <w:sz w:val="24"/>
          <w:highlight w:val="none"/>
        </w:rPr>
        <w:t xml:space="preserve">开户银行：</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帐号：</w:t>
      </w:r>
      <w:r>
        <w:rPr>
          <w:rFonts w:ascii="宋体" w:hAnsi="宋体" w:eastAsia="宋体" w:cs="宋体"/>
          <w:sz w:val="24"/>
          <w:highlight w:val="none"/>
        </w:rPr>
        <w:t xml:space="preserve">                              </w:t>
      </w:r>
      <w:r>
        <w:rPr>
          <w:rFonts w:hint="eastAsia" w:ascii="宋体" w:hAnsi="宋体" w:eastAsia="宋体" w:cs="宋体"/>
          <w:sz w:val="24"/>
          <w:highlight w:val="none"/>
        </w:rPr>
        <w:t xml:space="preserve">帐号：</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日期：</w:t>
      </w:r>
      <w:r>
        <w:rPr>
          <w:rFonts w:ascii="宋体" w:hAnsi="宋体" w:eastAsia="宋体" w:cs="宋体"/>
          <w:sz w:val="24"/>
          <w:highlight w:val="none"/>
        </w:rPr>
        <w:t xml:space="preserve"> </w:t>
      </w:r>
      <w:r>
        <w:rPr>
          <w:rFonts w:hint="eastAsia" w:ascii="宋体" w:hAnsi="宋体" w:eastAsia="宋体" w:cs="宋体"/>
          <w:sz w:val="24"/>
          <w:highlight w:val="none"/>
        </w:rPr>
        <w:t xml:space="preserve">年</w:t>
      </w:r>
      <w:r>
        <w:rPr>
          <w:rFonts w:ascii="宋体" w:hAnsi="宋体" w:eastAsia="宋体" w:cs="宋体"/>
          <w:sz w:val="24"/>
          <w:highlight w:val="none"/>
        </w:rPr>
        <w:t xml:space="preserve"> </w:t>
      </w:r>
      <w:r>
        <w:rPr>
          <w:rFonts w:hint="eastAsia" w:ascii="宋体" w:hAnsi="宋体" w:eastAsia="宋体" w:cs="宋体"/>
          <w:sz w:val="24"/>
          <w:highlight w:val="none"/>
        </w:rPr>
        <w:t xml:space="preserve">月</w:t>
      </w:r>
      <w:r>
        <w:rPr>
          <w:rFonts w:ascii="宋体" w:hAnsi="宋体" w:eastAsia="宋体" w:cs="宋体"/>
          <w:sz w:val="24"/>
          <w:highlight w:val="none"/>
        </w:rPr>
        <w:t xml:space="preserve"> </w:t>
      </w:r>
      <w:r>
        <w:rPr>
          <w:rFonts w:hint="eastAsia" w:ascii="宋体" w:hAnsi="宋体" w:eastAsia="宋体" w:cs="宋体"/>
          <w:sz w:val="24"/>
          <w:highlight w:val="none"/>
        </w:rPr>
        <w:t xml:space="preserve">日</w:t>
      </w:r>
      <w:r>
        <w:rPr>
          <w:rFonts w:ascii="宋体" w:hAnsi="宋体" w:eastAsia="宋体" w:cs="宋体"/>
          <w:sz w:val="24"/>
          <w:highlight w:val="none"/>
        </w:rPr>
        <w:t xml:space="preserve">                     </w:t>
      </w:r>
      <w:r>
        <w:rPr>
          <w:rFonts w:hint="eastAsia" w:ascii="宋体" w:hAnsi="宋体" w:eastAsia="宋体" w:cs="宋体"/>
          <w:sz w:val="24"/>
          <w:highlight w:val="none"/>
        </w:rPr>
        <w:t xml:space="preserve">日期：</w:t>
      </w:r>
      <w:r>
        <w:rPr>
          <w:rFonts w:ascii="宋体" w:hAnsi="宋体" w:eastAsia="宋体" w:cs="宋体"/>
          <w:sz w:val="24"/>
          <w:highlight w:val="none"/>
        </w:rPr>
        <w:t xml:space="preserve">   </w:t>
      </w:r>
      <w:r>
        <w:rPr>
          <w:rFonts w:hint="eastAsia" w:ascii="宋体" w:hAnsi="宋体" w:eastAsia="宋体" w:cs="宋体"/>
          <w:sz w:val="24"/>
          <w:highlight w:val="none"/>
        </w:rPr>
        <w:t xml:space="preserve">年</w:t>
      </w:r>
      <w:r>
        <w:rPr>
          <w:rFonts w:ascii="宋体" w:hAnsi="宋体" w:eastAsia="宋体" w:cs="宋体"/>
          <w:sz w:val="24"/>
          <w:highlight w:val="none"/>
        </w:rPr>
        <w:t xml:space="preserve">  </w:t>
      </w:r>
      <w:r>
        <w:rPr>
          <w:rFonts w:hint="eastAsia" w:ascii="宋体" w:hAnsi="宋体" w:eastAsia="宋体" w:cs="宋体"/>
          <w:sz w:val="24"/>
          <w:highlight w:val="none"/>
        </w:rPr>
        <w:t xml:space="preserve">月</w:t>
      </w:r>
      <w:r>
        <w:rPr>
          <w:rFonts w:ascii="宋体" w:hAnsi="宋体" w:eastAsia="宋体" w:cs="宋体"/>
          <w:sz w:val="24"/>
          <w:highlight w:val="none"/>
        </w:rPr>
        <w:t xml:space="preserve">   </w:t>
      </w:r>
      <w:r>
        <w:rPr>
          <w:rFonts w:hint="eastAsia" w:ascii="宋体" w:hAnsi="宋体" w:eastAsia="宋体" w:cs="宋体"/>
          <w:sz w:val="24"/>
          <w:highlight w:val="none"/>
        </w:rPr>
        <w:t xml:space="preserve">日</w:t>
      </w:r>
      <w:r/>
    </w:p>
    <w:p>
      <w:pPr>
        <w:jc w:val="left"/>
        <w:spacing w:after="200" w:line="276" w:lineRule="auto"/>
        <w:widowControl/>
        <w:rPr>
          <w:rFonts w:ascii="Times New Roman" w:hAnsi="Times New Roman" w:eastAsia="Times New Roman" w:cs="Times New Roman"/>
          <w:sz w:val="24"/>
          <w:highlight w:val="none"/>
        </w:rPr>
      </w:pPr>
      <w:r>
        <w:rPr>
          <w:rFonts w:ascii="Times New Roman" w:hAnsi="Times New Roman" w:eastAsia="Times New Roman" w:cs="Times New Roman"/>
          <w:sz w:val="24"/>
          <w:highlight w:val="none"/>
        </w:rPr>
        <w:br w:type="page" w:clear="all"/>
      </w:r>
      <w:r/>
    </w:p>
    <w:p>
      <w:pPr>
        <w:jc w:val="center"/>
        <w:spacing w:before="240" w:after="240"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w:t>
      </w:r>
      <w:r>
        <w:rPr>
          <w:rFonts w:hint="eastAsia" w:ascii="宋体" w:hAnsi="宋体" w:eastAsia="宋体" w:cs="宋体"/>
          <w:b/>
          <w:sz w:val="44"/>
          <w:highlight w:val="none"/>
        </w:rPr>
        <w:t xml:space="preserve">七</w:t>
      </w:r>
      <w:r>
        <w:rPr>
          <w:rFonts w:ascii="宋体" w:hAnsi="宋体" w:eastAsia="宋体" w:cs="宋体"/>
          <w:b/>
          <w:sz w:val="44"/>
          <w:highlight w:val="none"/>
        </w:rPr>
        <w:t xml:space="preserve">部分 </w:t>
      </w:r>
      <w:r>
        <w:rPr>
          <w:rFonts w:hint="eastAsia" w:ascii="宋体" w:hAnsi="宋体" w:eastAsia="宋体" w:cs="宋体"/>
          <w:b/>
          <w:sz w:val="44"/>
          <w:highlight w:val="none"/>
        </w:rPr>
        <w:t xml:space="preserve">响应文件格式</w:t>
      </w:r>
      <w:r/>
    </w:p>
    <w:p>
      <w:pPr>
        <w:jc w:val="center"/>
        <w:spacing w:line="380"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说明：</w:t>
      </w:r>
      <w:r/>
    </w:p>
    <w:p>
      <w:pPr>
        <w:jc w:val="left"/>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Arial" w:hAnsi="Arial" w:eastAsia="Arial" w:cs="Times New Roman"/>
          <w:sz w:val="22"/>
          <w:highlight w:val="none"/>
        </w:rPr>
        <w:br w:type="page" w:clear="all"/>
      </w:r>
      <w:r/>
    </w:p>
    <w:p>
      <w:pPr>
        <w:spacing w:after="200" w:line="360" w:lineRule="auto"/>
        <w:rPr>
          <w:rFonts w:ascii="宋体" w:hAnsi="宋体" w:eastAsia="Arial" w:cs="Times New Roman"/>
          <w:b/>
          <w:sz w:val="28"/>
          <w:szCs w:val="28"/>
          <w:highlight w:val="none"/>
        </w:rPr>
      </w:pPr>
      <w:r>
        <w:rPr>
          <w:rFonts w:hint="eastAsia" w:ascii="宋体" w:hAnsi="宋体" w:eastAsia="Arial" w:cs="Times New Roman"/>
          <w:b/>
          <w:sz w:val="32"/>
          <w:szCs w:val="32"/>
          <w:highlight w:val="none"/>
        </w:rPr>
        <w:t xml:space="preserve">1、</w:t>
      </w:r>
      <w:r>
        <w:rPr>
          <w:rFonts w:hint="eastAsia" w:ascii="宋体" w:hAnsi="宋体" w:eastAsia="Arial" w:cs="Times New Roman"/>
          <w:b/>
          <w:sz w:val="28"/>
          <w:szCs w:val="28"/>
          <w:highlight w:val="none"/>
        </w:rPr>
        <w:t xml:space="preserve">关于资格文件的声明函</w:t>
      </w:r>
      <w:r/>
    </w:p>
    <w:p>
      <w:pPr>
        <w:ind w:left="1260" w:firstLine="420"/>
        <w:spacing w:after="200" w:line="276" w:lineRule="auto"/>
        <w:rPr>
          <w:rFonts w:ascii="宋体" w:hAnsi="宋体" w:eastAsia="Arial" w:cs="Times New Roman"/>
          <w:sz w:val="30"/>
          <w:szCs w:val="30"/>
          <w:highlight w:val="none"/>
        </w:rPr>
      </w:pPr>
      <w:r>
        <w:rPr>
          <w:rFonts w:ascii="宋体" w:hAnsi="宋体" w:eastAsia="Arial" w:cs="Times New Roman"/>
          <w:sz w:val="30"/>
          <w:szCs w:val="30"/>
          <w:highlight w:val="none"/>
        </w:rPr>
      </w:r>
      <w:r/>
    </w:p>
    <w:p>
      <w:pPr>
        <w:ind w:left="1260" w:firstLine="420"/>
        <w:spacing w:after="200" w:line="276" w:lineRule="auto"/>
        <w:rPr>
          <w:rFonts w:ascii="宋体" w:hAnsi="宋体" w:eastAsia="Arial" w:cs="Times New Roman"/>
          <w:sz w:val="30"/>
          <w:szCs w:val="30"/>
          <w:highlight w:val="none"/>
        </w:rPr>
      </w:pPr>
      <w:r>
        <w:rPr>
          <w:rFonts w:ascii="宋体" w:hAnsi="宋体" w:eastAsia="Arial" w:cs="Times New Roman"/>
          <w:sz w:val="30"/>
          <w:szCs w:val="30"/>
          <w:highlight w:val="none"/>
        </w:rPr>
      </w:r>
      <w:r/>
    </w:p>
    <w:p>
      <w:pPr>
        <w:ind w:left="1260" w:firstLine="1770"/>
        <w:spacing w:after="200" w:line="276" w:lineRule="auto"/>
        <w:rPr>
          <w:rFonts w:ascii="宋体" w:hAnsi="宋体" w:eastAsia="Arial" w:cs="Times New Roman"/>
          <w:sz w:val="30"/>
          <w:szCs w:val="30"/>
          <w:highlight w:val="none"/>
        </w:rPr>
      </w:pPr>
      <w:r>
        <w:rPr>
          <w:rFonts w:hint="eastAsia" w:ascii="宋体" w:hAnsi="宋体" w:eastAsia="Arial" w:cs="Times New Roman"/>
          <w:sz w:val="30"/>
          <w:szCs w:val="30"/>
          <w:highlight w:val="none"/>
        </w:rPr>
        <w:t xml:space="preserve">关于资格文件的声明函</w:t>
      </w:r>
      <w:r/>
    </w:p>
    <w:p>
      <w:pPr>
        <w:ind w:left="1260" w:firstLine="420"/>
        <w:jc w:val="center"/>
        <w:spacing w:after="200" w:line="276" w:lineRule="auto"/>
        <w:rPr>
          <w:rFonts w:ascii="宋体" w:hAnsi="宋体" w:eastAsia="Arial" w:cs="Times New Roman"/>
          <w:sz w:val="22"/>
          <w:szCs w:val="24"/>
          <w:highlight w:val="none"/>
        </w:rPr>
      </w:pPr>
      <w:r>
        <w:rPr>
          <w:rFonts w:ascii="宋体" w:hAnsi="宋体" w:eastAsia="Arial" w:cs="Times New Roman"/>
          <w:sz w:val="22"/>
          <w:szCs w:val="24"/>
          <w:highlight w:val="none"/>
        </w:rPr>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 xml:space="preserve">：</w:t>
      </w:r>
      <w:r/>
    </w:p>
    <w:p>
      <w:pPr>
        <w:ind w:right="445" w:firstLine="480"/>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本公司愿就由贵单位组织实施的编号为</w:t>
      </w:r>
      <w:r>
        <w:rPr>
          <w:rFonts w:hint="eastAsia" w:ascii="宋体" w:hAnsi="宋体" w:eastAsia="宋体" w:cs="宋体"/>
          <w:b/>
          <w:sz w:val="24"/>
          <w:szCs w:val="24"/>
          <w:highlight w:val="none"/>
          <w:u w:val="single"/>
        </w:rPr>
        <w:t xml:space="preserve">JSZC-320585-JZCG-D2026-0094</w:t>
      </w:r>
      <w:r>
        <w:rPr>
          <w:rFonts w:hint="eastAsia" w:ascii="宋体" w:hAnsi="宋体" w:eastAsia="宋体" w:cs="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left="1259" w:firstLine="426"/>
        <w:spacing w:after="200" w:line="50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b/>
          <w:bCs/>
          <w:sz w:val="28"/>
          <w:szCs w:val="28"/>
          <w:highlight w:val="none"/>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highlight w:val="none"/>
        </w:rPr>
        <w:t xml:space="preserve">2、响应承诺函</w:t>
      </w:r>
      <w:r/>
    </w:p>
    <w:p>
      <w:pPr>
        <w:jc w:val="left"/>
        <w:spacing w:after="200" w:line="360" w:lineRule="exact"/>
        <w:widowControl/>
        <w:tabs>
          <w:tab w:val="left" w:pos="3633" w:leader="none"/>
          <w:tab w:val="center" w:pos="4723" w:leader="none"/>
        </w:tabs>
        <w:rPr>
          <w:rFonts w:ascii="宋体" w:hAnsi="宋体" w:eastAsia="Arial" w:cs="Times New Roman"/>
          <w:b/>
          <w:sz w:val="32"/>
          <w:highlight w:val="none"/>
        </w:rPr>
      </w:pPr>
      <w:r>
        <w:rPr>
          <w:rFonts w:ascii="宋体" w:hAnsi="宋体" w:eastAsia="Arial" w:cs="Times New Roman"/>
          <w:b/>
          <w:sz w:val="32"/>
          <w:highlight w:val="none"/>
        </w:rPr>
        <w:tab/>
      </w:r>
      <w:r>
        <w:rPr>
          <w:rFonts w:ascii="宋体" w:hAnsi="宋体" w:eastAsia="Arial" w:cs="Times New Roman"/>
          <w:b/>
          <w:sz w:val="32"/>
          <w:highlight w:val="none"/>
        </w:rPr>
        <w:tab/>
      </w:r>
      <w:r>
        <w:rPr>
          <w:rFonts w:hint="eastAsia" w:ascii="宋体" w:hAnsi="宋体" w:eastAsia="Arial" w:cs="Times New Roman"/>
          <w:b/>
          <w:sz w:val="32"/>
          <w:highlight w:val="none"/>
        </w:rPr>
        <w:t xml:space="preserve">响应承诺函</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 xml:space="preserve">：</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我们收到贵单位</w:t>
      </w:r>
      <w:r>
        <w:rPr>
          <w:rFonts w:hint="eastAsia" w:ascii="宋体" w:hAnsi="宋体" w:eastAsia="宋体" w:cs="宋体"/>
          <w:b/>
          <w:sz w:val="24"/>
          <w:szCs w:val="24"/>
          <w:highlight w:val="none"/>
          <w:u w:val="single"/>
        </w:rPr>
        <w:t xml:space="preserve">“太融e”2027年度运维升级改造</w:t>
      </w:r>
      <w:r>
        <w:rPr>
          <w:rFonts w:hint="eastAsia" w:ascii="宋体" w:hAnsi="宋体" w:eastAsia="宋体" w:cs="宋体"/>
          <w:sz w:val="24"/>
          <w:szCs w:val="24"/>
          <w:highlight w:val="none"/>
        </w:rPr>
        <w:t xml:space="preserve">采购文件（项目编号：</w:t>
      </w:r>
      <w:r>
        <w:rPr>
          <w:rFonts w:hint="eastAsia" w:ascii="宋体" w:hAnsi="宋体" w:eastAsia="宋体" w:cs="宋体"/>
          <w:b/>
          <w:sz w:val="24"/>
          <w:szCs w:val="24"/>
          <w:highlight w:val="none"/>
          <w:u w:val="single"/>
        </w:rPr>
        <w:t xml:space="preserve">JSZC-320585-JZCG-D2026-0094</w:t>
      </w:r>
      <w:r>
        <w:rPr>
          <w:rFonts w:hint="eastAsia" w:ascii="宋体" w:hAnsi="宋体" w:eastAsia="宋体" w:cs="宋体"/>
          <w:sz w:val="24"/>
          <w:szCs w:val="24"/>
          <w:highlight w:val="none"/>
        </w:rPr>
        <w:t xml:space="preserve"> ），经仔细阅读和研究，我们决定参加响应。</w:t>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2、如果我们的响应书被接受，我们将严格履行采购文件中规定的每一项要求，按期、按质、按量履行合同的义务。</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3、我们同意按采购文件中的规定，本响应书的有效期限为开标后</w:t>
      </w:r>
      <w:r>
        <w:rPr>
          <w:rFonts w:hint="eastAsia" w:ascii="宋体" w:hAnsi="宋体" w:eastAsia="宋体" w:cs="宋体"/>
          <w:b/>
          <w:sz w:val="24"/>
          <w:szCs w:val="24"/>
          <w:highlight w:val="none"/>
          <w:u w:val="single"/>
        </w:rPr>
        <w:t xml:space="preserve">90</w:t>
      </w:r>
      <w:r>
        <w:rPr>
          <w:rFonts w:hint="eastAsia" w:ascii="宋体" w:hAnsi="宋体" w:eastAsia="宋体" w:cs="宋体"/>
          <w:sz w:val="24"/>
          <w:szCs w:val="24"/>
          <w:highlight w:val="none"/>
        </w:rPr>
        <w:t xml:space="preserve">天。</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4、我们愿意提供采购方在采购文件中要求的所有资料。</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5、我们认为你们有权决定成交者，还认为你们有权接受或拒绝所有的响应者。</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6、我们完全理解贵方不一定要接受最低报价的响应或收到的任何响应。</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7、我们承诺该项响应在开标后的全过程中保持有效，不作任何更改和变动。</w:t>
      </w:r>
      <w:r/>
    </w:p>
    <w:p>
      <w:pPr>
        <w:ind w:firstLine="480"/>
        <w:jc w:val="left"/>
        <w:spacing w:after="200" w:line="500" w:lineRule="exact"/>
        <w:widowControl/>
        <w:rPr>
          <w:rFonts w:ascii="宋体" w:hAnsi="宋体" w:eastAsia="宋体" w:cs="宋体"/>
          <w:b/>
          <w:bCs/>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b/>
          <w:bCs/>
          <w:sz w:val="24"/>
          <w:szCs w:val="24"/>
          <w:highlight w:val="none"/>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9、综合说明：</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（1）伴随服务及配合措施；</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（2）要求甲方提供的配合；</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（3）对采购文件有不同意见的偏离说明；</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（4）其它说明。</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所有有关标书的函电，请按下列地址联系：</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                     传真：</w:t>
      </w:r>
      <w:r/>
    </w:p>
    <w:p>
      <w:pPr>
        <w:jc w:val="left"/>
        <w:spacing w:after="200" w:line="50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spacing w:after="200" w:line="580" w:lineRule="exact"/>
        <w:rPr>
          <w:rFonts w:ascii="Arial" w:hAnsi="宋体" w:eastAsia="Arial" w:cs="Times New Roman"/>
          <w:b/>
          <w:sz w:val="32"/>
          <w:szCs w:val="32"/>
          <w:highlight w:val="none"/>
        </w:rPr>
      </w:pPr>
      <w:r>
        <w:rPr>
          <w:rFonts w:ascii="Arial" w:hAnsi="宋体" w:eastAsia="Arial" w:cs="Times New Roman"/>
          <w:sz w:val="24"/>
          <w:szCs w:val="20"/>
          <w:highlight w:val="none"/>
        </w:rPr>
        <w:br w:type="page" w:clear="all"/>
      </w:r>
      <w:r>
        <w:rPr>
          <w:rFonts w:hint="eastAsia" w:ascii="Arial" w:hAnsi="宋体" w:eastAsia="Arial" w:cs="Times New Roman"/>
          <w:b/>
          <w:sz w:val="32"/>
          <w:szCs w:val="32"/>
          <w:highlight w:val="none"/>
        </w:rPr>
        <w:t xml:space="preserve">3、参加政府采购活动前三年内，在经营活动中没有重大违法记录声明</w:t>
      </w:r>
      <w:r/>
    </w:p>
    <w:p>
      <w:pPr>
        <w:ind w:left="-210" w:right="-210"/>
        <w:jc w:val="left"/>
        <w:spacing w:after="200" w:line="580" w:lineRule="exact"/>
        <w:widowControl/>
        <w:rPr>
          <w:rFonts w:ascii="宋体" w:hAnsi="宋体" w:eastAsia="Arial" w:cs="宋体"/>
          <w:b/>
          <w:sz w:val="22"/>
          <w:highlight w:val="none"/>
        </w:rPr>
      </w:pPr>
      <w:r>
        <w:rPr>
          <w:rFonts w:ascii="宋体" w:hAnsi="宋体" w:eastAsia="Arial" w:cs="宋体"/>
          <w:b/>
          <w:sz w:val="22"/>
          <w:highlight w:val="none"/>
        </w:rPr>
      </w:r>
      <w:r/>
    </w:p>
    <w:p>
      <w:pPr>
        <w:jc w:val="center"/>
        <w:spacing w:after="200" w:line="580" w:lineRule="exact"/>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参加政府采购活动前三年内，在经营活动中没有重大违法记录声明</w:t>
      </w:r>
      <w:r/>
    </w:p>
    <w:p>
      <w:pPr>
        <w:jc w:val="left"/>
        <w:spacing w:after="20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致：苏州市公共资源交易中心太仓分中心：</w:t>
      </w:r>
      <w:r/>
    </w:p>
    <w:p>
      <w:pPr>
        <w:ind w:firstLine="420"/>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我单位</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 在参加政府采购活动前三年内，没有重大违法记录，特此声明。</w:t>
      </w:r>
      <w:r/>
    </w:p>
    <w:p>
      <w:pPr>
        <w:ind w:firstLine="420"/>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spacing w:after="200" w:line="400" w:lineRule="exact"/>
        <w:rPr>
          <w:rFonts w:ascii="宋体" w:hAnsi="宋体" w:eastAsia="Arial" w:cs="Times New Roman"/>
          <w:sz w:val="28"/>
          <w:szCs w:val="32"/>
          <w:highlight w:val="none"/>
        </w:rPr>
      </w:pPr>
      <w:r>
        <w:rPr>
          <w:rFonts w:ascii="宋体" w:hAnsi="宋体" w:eastAsia="Arial" w:cs="Times New Roman"/>
          <w:sz w:val="22"/>
          <w:szCs w:val="24"/>
          <w:highlight w:val="none"/>
        </w:rPr>
        <w:br w:type="page" w:clear="all"/>
      </w:r>
      <w:r>
        <w:rPr>
          <w:rFonts w:hint="eastAsia" w:ascii="宋体" w:hAnsi="宋体" w:eastAsia="Arial" w:cs="Times New Roman"/>
          <w:b/>
          <w:sz w:val="28"/>
          <w:szCs w:val="32"/>
          <w:highlight w:val="none"/>
        </w:rPr>
        <w:t xml:space="preserve">4、响应单位情况表</w:t>
      </w:r>
      <w:r/>
    </w:p>
    <w:p>
      <w:pPr>
        <w:ind w:left="1260" w:firstLine="2175"/>
        <w:spacing w:after="200" w:line="276" w:lineRule="auto"/>
        <w:rPr>
          <w:rFonts w:ascii="宋体" w:hAnsi="宋体" w:eastAsia="Arial" w:cs="Times New Roman"/>
          <w:sz w:val="30"/>
          <w:szCs w:val="30"/>
          <w:highlight w:val="none"/>
        </w:rPr>
      </w:pPr>
      <w:r>
        <w:rPr>
          <w:rFonts w:hint="eastAsia" w:ascii="宋体" w:hAnsi="宋体" w:eastAsia="Arial" w:cs="Times New Roman"/>
          <w:sz w:val="30"/>
          <w:szCs w:val="30"/>
          <w:highlight w:val="none"/>
        </w:rPr>
        <w:t xml:space="preserve">响应单位情况表</w:t>
      </w:r>
      <w:r/>
    </w:p>
    <w:p>
      <w:pPr>
        <w:ind w:firstLine="480"/>
        <w:spacing w:after="200"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bl>
      <w:tblPr>
        <w:tblStyle w:val="6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6"/>
        <w:gridCol w:w="1610"/>
        <w:gridCol w:w="1330"/>
        <w:gridCol w:w="2162"/>
        <w:gridCol w:w="946"/>
      </w:tblGrid>
      <w:tr>
        <w:trPr>
          <w:cantSplit/>
          <w:trHeight w:val="366"/>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法定代表人</w:t>
            </w:r>
            <w:r/>
          </w:p>
        </w:tc>
        <w:tc>
          <w:tcPr>
            <w:tcW w:w="1610"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W w:w="1330"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成立日期</w:t>
            </w:r>
            <w:r/>
          </w:p>
        </w:tc>
        <w:tc>
          <w:tcPr>
            <w:gridSpan w:val="2"/>
            <w:tcW w:w="310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Height w:val="90"/>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企业地址</w:t>
            </w:r>
            <w:r/>
          </w:p>
        </w:tc>
        <w:tc>
          <w:tcPr>
            <w:tcW w:w="1610"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W w:w="1330"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注册资本</w:t>
            </w:r>
            <w:r/>
          </w:p>
        </w:tc>
        <w:tc>
          <w:tcPr>
            <w:gridSpan w:val="2"/>
            <w:tcW w:w="3108"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r/>
          </w:p>
        </w:tc>
      </w:tr>
      <w:tr>
        <w:trPr>
          <w:cantSplit/>
          <w:trHeight w:val="90"/>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经营范围</w:t>
            </w:r>
            <w:r/>
          </w:p>
        </w:tc>
        <w:tc>
          <w:tcPr>
            <w:gridSpan w:val="4"/>
            <w:tcW w:w="604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职工人数</w:t>
            </w:r>
            <w:r/>
          </w:p>
        </w:tc>
        <w:tc>
          <w:tcPr>
            <w:tcW w:w="1610" w:type="dxa"/>
            <w:textDirection w:val="lrTb"/>
            <w:noWrap w:val="false"/>
          </w:tcPr>
          <w:p>
            <w:pPr>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gridSpan w:val="2"/>
            <w:tcW w:w="3492"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p>
        </w:tc>
        <w:tc>
          <w:tcPr>
            <w:tcW w:w="946"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资产总计</w:t>
            </w:r>
            <w:r/>
          </w:p>
        </w:tc>
        <w:tc>
          <w:tcPr>
            <w:tcW w:w="1610" w:type="dxa"/>
            <w:vAlign w:val="center"/>
            <w:textDirection w:val="lrTb"/>
            <w:noWrap w:val="false"/>
          </w:tcPr>
          <w:p>
            <w:pPr>
              <w:ind w:firstLine="12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r/>
          </w:p>
        </w:tc>
        <w:tc>
          <w:tcPr>
            <w:tcW w:w="133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净资产</w:t>
            </w:r>
            <w:r/>
          </w:p>
        </w:tc>
        <w:tc>
          <w:tcPr>
            <w:gridSpan w:val="2"/>
            <w:tcW w:w="3108" w:type="dxa"/>
            <w:vAlign w:val="center"/>
            <w:textDirection w:val="lrTb"/>
            <w:noWrap w:val="false"/>
          </w:tcPr>
          <w:p>
            <w:pPr>
              <w:ind w:left="1260"/>
              <w:jc w:val="cente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r/>
          </w:p>
        </w:tc>
      </w:tr>
      <w:tr>
        <w:trPr>
          <w:cantSplit/>
        </w:trPr>
        <w:tc>
          <w:tcPr>
            <w:tcW w:w="3376"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股东权益</w:t>
            </w:r>
            <w:r/>
          </w:p>
        </w:tc>
        <w:tc>
          <w:tcPr>
            <w:tcW w:w="161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万元</w:t>
            </w:r>
            <w:r/>
          </w:p>
        </w:tc>
        <w:tc>
          <w:tcPr>
            <w:tcW w:w="133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销售收入</w:t>
            </w:r>
            <w:r/>
          </w:p>
        </w:tc>
        <w:tc>
          <w:tcPr>
            <w:gridSpan w:val="2"/>
            <w:tcW w:w="3108" w:type="dxa"/>
            <w:vAlign w:val="center"/>
            <w:textDirection w:val="lrTb"/>
            <w:noWrap w:val="false"/>
          </w:tcPr>
          <w:p>
            <w:pPr>
              <w:spacing w:after="200"/>
              <w:rPr>
                <w:rFonts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 xml:space="preserve">202</w:t>
            </w: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eastAsia="en-US"/>
              </w:rPr>
              <w:t xml:space="preserve">年</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eastAsia="en-US"/>
              </w:rPr>
              <w:t xml:space="preserve">万元</w:t>
            </w:r>
            <w:r/>
          </w:p>
        </w:tc>
      </w:tr>
      <w:tr>
        <w:trPr>
          <w:cantSplit/>
          <w:trHeight w:val="635"/>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实现利润</w:t>
            </w:r>
            <w:r/>
          </w:p>
        </w:tc>
        <w:tc>
          <w:tcPr>
            <w:tcW w:w="1610" w:type="dxa"/>
            <w:textDirection w:val="lrTb"/>
            <w:noWrap w:val="false"/>
          </w:tcPr>
          <w:p>
            <w:pPr>
              <w:spacing w:after="200"/>
              <w:rPr>
                <w:rFonts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 xml:space="preserve">202</w:t>
            </w: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eastAsia="en-US"/>
              </w:rPr>
              <w:t xml:space="preserve">年 万元</w:t>
            </w:r>
            <w:r/>
          </w:p>
        </w:tc>
        <w:tc>
          <w:tcPr>
            <w:tcW w:w="1330"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gridSpan w:val="2"/>
            <w:tcW w:w="310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Height w:val="830"/>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营业面积（含厂房面积）</w:t>
            </w:r>
            <w:r/>
          </w:p>
        </w:tc>
        <w:tc>
          <w:tcPr>
            <w:tcW w:w="161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en-US"/>
              </w:rPr>
              <w:t xml:space="preserve">平方米</w:t>
            </w:r>
            <w:r/>
          </w:p>
        </w:tc>
        <w:tc>
          <w:tcPr>
            <w:tcW w:w="1330"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其中</w:t>
            </w:r>
            <w:r/>
          </w:p>
        </w:tc>
        <w:tc>
          <w:tcPr>
            <w:gridSpan w:val="2"/>
            <w:tcW w:w="3108"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自有面积平方米</w:t>
            </w:r>
            <w:r/>
          </w:p>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承租面积平方米</w:t>
            </w:r>
            <w:r/>
          </w:p>
        </w:tc>
      </w:tr>
      <w:tr>
        <w:trPr>
          <w:cantSplit/>
          <w:trHeight w:val="90"/>
        </w:trPr>
        <w:tc>
          <w:tcPr>
            <w:tcW w:w="3376" w:type="dxa"/>
            <w:vAlign w:val="center"/>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p>
        </w:tc>
        <w:tc>
          <w:tcPr>
            <w:gridSpan w:val="4"/>
            <w:tcW w:w="6048" w:type="dxa"/>
            <w:textDirection w:val="lrTb"/>
            <w:noWrap w:val="false"/>
          </w:tcPr>
          <w:p>
            <w:pPr>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668"/>
        </w:trPr>
        <w:tc>
          <w:tcPr>
            <w:tcW w:w="3376"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单位优势及特长</w:t>
            </w:r>
            <w:r/>
          </w:p>
        </w:tc>
        <w:tc>
          <w:tcPr>
            <w:gridSpan w:val="4"/>
            <w:tcW w:w="604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近两年来完成或正在履行的重大合同情况</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最近2年内在经营过程中受到何种奖励或处分（包括情况和结果）</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1580"/>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最近3年内有无因售假、售劣或是其他原因被消费者投诉或起诉的情况及说明（包括解决方式和结果）</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560"/>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其他需要说明的情况</w:t>
            </w:r>
            <w:r/>
          </w:p>
        </w:tc>
        <w:tc>
          <w:tcPr>
            <w:gridSpan w:val="4"/>
            <w:tcW w:w="604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bl>
    <w:p>
      <w:pPr>
        <w:jc w:val="left"/>
        <w:spacing w:after="200" w:line="276" w:lineRule="auto"/>
        <w:widowControl/>
        <w:rPr>
          <w:rFonts w:ascii="宋体" w:hAnsi="宋体" w:eastAsia="Arial" w:cs="Times New Roman"/>
          <w:b/>
          <w:sz w:val="32"/>
          <w:szCs w:val="32"/>
          <w:highlight w:val="none"/>
        </w:rPr>
      </w:pPr>
      <w:r>
        <w:rPr>
          <w:rFonts w:hint="eastAsia" w:ascii="宋体" w:hAnsi="宋体" w:eastAsia="Arial" w:cs="Times New Roman"/>
          <w:b/>
          <w:sz w:val="32"/>
          <w:szCs w:val="32"/>
          <w:highlight w:val="none"/>
        </w:rPr>
        <w:br w:type="page" w:clear="all"/>
      </w:r>
      <w:r>
        <w:rPr>
          <w:rFonts w:hint="eastAsia" w:ascii="宋体" w:hAnsi="宋体" w:eastAsia="Arial" w:cs="Times New Roman"/>
          <w:b/>
          <w:sz w:val="32"/>
          <w:szCs w:val="32"/>
          <w:highlight w:val="none"/>
        </w:rPr>
        <w:t xml:space="preserve">5、法定代表人授权委托书 （如有）</w:t>
      </w:r>
      <w:r/>
    </w:p>
    <w:p>
      <w:pPr>
        <w:jc w:val="left"/>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center"/>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center"/>
        <w:spacing w:after="200" w:line="276" w:lineRule="auto"/>
        <w:widowControl/>
        <w:rPr>
          <w:rFonts w:ascii="宋体" w:hAnsi="宋体" w:eastAsia="Arial" w:cs="Times New Roman"/>
          <w:sz w:val="32"/>
          <w:szCs w:val="32"/>
          <w:highlight w:val="none"/>
        </w:rPr>
      </w:pPr>
      <w:r>
        <w:rPr>
          <w:rFonts w:hint="eastAsia" w:ascii="宋体" w:hAnsi="宋体" w:eastAsia="Arial" w:cs="Times New Roman"/>
          <w:sz w:val="32"/>
          <w:szCs w:val="32"/>
          <w:highlight w:val="none"/>
        </w:rPr>
        <w:t xml:space="preserve">授权委托书</w:t>
      </w:r>
      <w:r/>
    </w:p>
    <w:p>
      <w:pPr>
        <w:ind w:firstLine="420"/>
        <w:jc w:val="left"/>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left"/>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（姓名）系</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（响应单位名称）的法定代表人，现授权委托</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（姓名）为我公司代理人，以本公司的名义参加</w:t>
      </w:r>
      <w:r>
        <w:rPr>
          <w:rFonts w:hint="eastAsia" w:ascii="宋体" w:hAnsi="宋体" w:eastAsia="宋体" w:cs="宋体"/>
          <w:b/>
          <w:sz w:val="24"/>
          <w:szCs w:val="24"/>
          <w:highlight w:val="none"/>
          <w:u w:val="single"/>
        </w:rPr>
        <w:t xml:space="preserve">苏州市公共资源交易中心太仓分中心</w:t>
      </w:r>
      <w:r>
        <w:rPr>
          <w:rFonts w:hint="eastAsia" w:ascii="宋体" w:hAnsi="宋体" w:eastAsia="宋体" w:cs="宋体"/>
          <w:sz w:val="24"/>
          <w:szCs w:val="24"/>
          <w:highlight w:val="none"/>
        </w:rPr>
        <w:t xml:space="preserve">组织实施的编号为</w:t>
      </w:r>
      <w:r>
        <w:rPr>
          <w:rFonts w:hint="eastAsia" w:ascii="宋体" w:hAnsi="宋体" w:eastAsia="宋体" w:cs="宋体"/>
          <w:b/>
          <w:sz w:val="24"/>
          <w:szCs w:val="24"/>
          <w:highlight w:val="none"/>
          <w:u w:val="single"/>
        </w:rPr>
        <w:t xml:space="preserve">JSZC-320585-JZCG-D2026-0094</w:t>
      </w:r>
      <w:r>
        <w:rPr>
          <w:rFonts w:hint="eastAsia" w:ascii="宋体" w:hAnsi="宋体" w:eastAsia="宋体" w:cs="宋体"/>
          <w:sz w:val="24"/>
          <w:szCs w:val="24"/>
          <w:highlight w:val="none"/>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r/>
    </w:p>
    <w:p>
      <w:pPr>
        <w:ind w:firstLine="420"/>
        <w:jc w:val="left"/>
        <w:spacing w:after="200" w:line="46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授权代理人：（签字或盖章）</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响应日期：年   月   日</w:t>
      </w:r>
      <w:r/>
    </w:p>
    <w:p>
      <w:pPr>
        <w:jc w:val="left"/>
        <w:spacing w:after="200" w:line="360" w:lineRule="exact"/>
        <w:widowControl/>
        <w:rPr>
          <w:rFonts w:ascii="宋体" w:hAnsi="宋体" w:eastAsia="Arial" w:cs="Times New Roman"/>
          <w:sz w:val="32"/>
          <w:szCs w:val="32"/>
          <w:highlight w:val="none"/>
        </w:rPr>
      </w:pPr>
      <w:r>
        <w:rPr>
          <w:rFonts w:ascii="宋体" w:hAnsi="宋体" w:eastAsia="Arial" w:cs="Times New Roman"/>
          <w:sz w:val="22"/>
          <w:szCs w:val="24"/>
          <w:highlight w:val="none"/>
        </w:rPr>
        <w:br w:type="page" w:clear="all"/>
      </w:r>
      <w:r>
        <w:rPr>
          <w:rFonts w:hint="eastAsia" w:ascii="宋体" w:hAnsi="宋体" w:eastAsia="Arial" w:cs="Times New Roman"/>
          <w:b/>
          <w:sz w:val="32"/>
          <w:szCs w:val="32"/>
          <w:highlight w:val="none"/>
        </w:rPr>
        <w:t xml:space="preserve">6、开标一览表</w:t>
      </w:r>
      <w:r/>
    </w:p>
    <w:p>
      <w:pPr>
        <w:jc w:val="left"/>
        <w:spacing w:after="200" w:line="276" w:lineRule="auto"/>
        <w:widowControl/>
        <w:rPr>
          <w:rFonts w:ascii="宋体" w:hAnsi="宋体" w:eastAsia="Arial" w:cs="Times New Roman"/>
          <w:b/>
          <w:sz w:val="22"/>
          <w:highlight w:val="none"/>
        </w:rPr>
      </w:pPr>
      <w:r>
        <w:rPr>
          <w:rFonts w:ascii="宋体" w:hAnsi="宋体" w:eastAsia="Arial" w:cs="Times New Roman"/>
          <w:b/>
          <w:sz w:val="22"/>
          <w:highlight w:val="none"/>
        </w:rPr>
      </w:r>
      <w:r/>
    </w:p>
    <w:p>
      <w:pPr>
        <w:jc w:val="center"/>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jc w:val="center"/>
        <w:spacing w:after="200" w:line="276" w:lineRule="auto"/>
        <w:widowControl/>
        <w:rPr>
          <w:rFonts w:ascii="宋体" w:hAnsi="宋体" w:eastAsia="Arial" w:cs="Times New Roman"/>
          <w:sz w:val="32"/>
          <w:szCs w:val="32"/>
          <w:highlight w:val="none"/>
        </w:rPr>
      </w:pPr>
      <w:r>
        <w:rPr>
          <w:rFonts w:hint="eastAsia" w:ascii="宋体" w:hAnsi="宋体" w:eastAsia="Arial" w:cs="Times New Roman"/>
          <w:b/>
          <w:sz w:val="32"/>
          <w:szCs w:val="32"/>
          <w:highlight w:val="none"/>
        </w:rPr>
        <w:t xml:space="preserve">开标一览表</w:t>
      </w:r>
      <w:r/>
    </w:p>
    <w:p>
      <w:pPr>
        <w:jc w:val="left"/>
        <w:spacing w:after="200" w:line="276"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720"/>
        <w:jc w:val="left"/>
        <w:spacing w:after="200" w:line="276"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项目编号：JSZC-320585-JZCG-D2026-0094</w:t>
      </w:r>
      <w:r/>
    </w:p>
    <w:p>
      <w:pPr>
        <w:ind w:firstLine="720"/>
        <w:jc w:val="left"/>
        <w:spacing w:after="200" w:line="276"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 “太融e”2027年度运维升级改造</w:t>
      </w:r>
      <w:r/>
    </w:p>
    <w:tbl>
      <w:tblPr>
        <w:tblStyle w:val="658"/>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元          </w:t>
            </w:r>
            <w:r/>
          </w:p>
        </w:tc>
      </w:tr>
    </w:tbl>
    <w:p>
      <w:pPr>
        <w:ind w:firstLine="723"/>
        <w:jc w:val="left"/>
        <w:spacing w:after="200" w:line="276" w:lineRule="auto"/>
        <w:widowControl/>
        <w:rPr>
          <w:rFonts w:ascii="宋体" w:hAnsi="宋体" w:eastAsia="宋体" w:cs="宋体"/>
          <w:b/>
          <w:sz w:val="24"/>
          <w:szCs w:val="24"/>
          <w:highlight w:val="none"/>
          <w:lang w:eastAsia="en-US"/>
        </w:rPr>
      </w:pPr>
      <w:r>
        <w:rPr>
          <w:rFonts w:ascii="宋体" w:hAnsi="宋体" w:eastAsia="宋体" w:cs="宋体"/>
          <w:b/>
          <w:sz w:val="24"/>
          <w:szCs w:val="24"/>
          <w:highlight w:val="none"/>
          <w:lang w:eastAsia="en-US"/>
        </w:rPr>
      </w:r>
      <w:r/>
    </w:p>
    <w:p>
      <w:pPr>
        <w:ind w:right="960"/>
        <w:jc w:val="left"/>
        <w:spacing w:after="200" w:line="500" w:lineRule="exact"/>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p>
      <w:pPr>
        <w:ind w:right="960" w:firstLine="31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   </w:t>
      </w:r>
      <w:r/>
    </w:p>
    <w:p>
      <w:pPr>
        <w:ind w:right="960" w:firstLine="31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 </w:t>
      </w:r>
      <w:r/>
    </w:p>
    <w:p>
      <w:pPr>
        <w:ind w:right="960" w:firstLine="31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 </w:t>
      </w:r>
      <w:r/>
    </w:p>
    <w:p>
      <w:pPr>
        <w:jc w:val="left"/>
        <w:spacing w:after="200" w:line="460" w:lineRule="exact"/>
        <w:widowControl/>
        <w:rPr>
          <w:rFonts w:ascii="宋体" w:hAnsi="宋体" w:eastAsia="宋体" w:cs="宋体"/>
          <w:b/>
          <w:sz w:val="24"/>
          <w:szCs w:val="24"/>
          <w:highlight w:val="none"/>
        </w:rPr>
      </w:pPr>
      <w:r>
        <w:rPr>
          <w:rFonts w:ascii="宋体" w:hAnsi="宋体" w:eastAsia="宋体" w:cs="宋体"/>
          <w:b/>
          <w:sz w:val="24"/>
          <w:szCs w:val="24"/>
          <w:highlight w:val="none"/>
        </w:rPr>
      </w:r>
      <w:r/>
    </w:p>
    <w:p>
      <w:pPr>
        <w:ind w:firstLine="482"/>
        <w:jc w:val="left"/>
        <w:spacing w:after="200" w:line="46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注： </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cs="Times New Roman"/>
          <w:b/>
          <w:sz w:val="22"/>
          <w:highlight w:val="none"/>
        </w:rPr>
      </w:pPr>
      <w:r>
        <w:rPr>
          <w:rFonts w:ascii="宋体" w:hAnsi="宋体" w:eastAsia="Arial" w:cs="Times New Roman"/>
          <w:b/>
          <w:sz w:val="22"/>
          <w:highlight w:val="none"/>
        </w:rPr>
      </w:r>
      <w:r/>
    </w:p>
    <w:p>
      <w:pPr>
        <w:jc w:val="left"/>
        <w:spacing w:after="200" w:line="276" w:lineRule="auto"/>
        <w:widowControl/>
        <w:rPr>
          <w:rFonts w:ascii="宋体" w:hAnsi="宋体" w:eastAsia="Arial" w:cs="Times New Roman"/>
          <w:b/>
          <w:sz w:val="28"/>
          <w:szCs w:val="32"/>
          <w:highlight w:val="none"/>
        </w:rPr>
      </w:pPr>
      <w:r>
        <w:rPr>
          <w:rFonts w:hint="eastAsia" w:ascii="宋体" w:hAnsi="宋体" w:eastAsia="Arial" w:cs="Times New Roman"/>
          <w:b/>
          <w:sz w:val="28"/>
          <w:szCs w:val="32"/>
          <w:highlight w:val="none"/>
        </w:rPr>
        <w:br w:type="page" w:clear="all"/>
      </w:r>
      <w:r/>
    </w:p>
    <w:p>
      <w:pPr>
        <w:jc w:val="left"/>
        <w:spacing w:after="200" w:line="276" w:lineRule="auto"/>
        <w:widowControl/>
        <w:rPr>
          <w:rFonts w:ascii="宋体" w:hAnsi="宋体" w:eastAsia="Arial" w:cs="Times New Roman"/>
          <w:b/>
          <w:sz w:val="28"/>
          <w:szCs w:val="32"/>
          <w:highlight w:val="none"/>
        </w:rPr>
      </w:pPr>
      <w:r>
        <w:rPr>
          <w:rFonts w:hint="eastAsia" w:ascii="宋体" w:hAnsi="宋体" w:eastAsia="Arial" w:cs="Times New Roman"/>
          <w:b/>
          <w:sz w:val="28"/>
          <w:szCs w:val="32"/>
          <w:highlight w:val="none"/>
        </w:rPr>
        <w:t xml:space="preserve">7、响应报价明细表</w:t>
      </w:r>
      <w:r/>
    </w:p>
    <w:p>
      <w:pPr>
        <w:jc w:val="left"/>
        <w:spacing w:after="200" w:line="276" w:lineRule="auto"/>
        <w:widowControl/>
        <w:rPr>
          <w:rFonts w:ascii="宋体" w:hAnsi="宋体" w:eastAsia="Arial" w:cs="Times New Roman"/>
          <w:b/>
          <w:sz w:val="28"/>
          <w:szCs w:val="32"/>
          <w:highlight w:val="none"/>
        </w:rPr>
      </w:pPr>
      <w:r>
        <w:rPr>
          <w:rFonts w:ascii="宋体" w:hAnsi="宋体" w:eastAsia="Arial" w:cs="Times New Roman"/>
          <w:b/>
          <w:sz w:val="28"/>
          <w:szCs w:val="32"/>
          <w:highlight w:val="none"/>
        </w:rPr>
      </w:r>
      <w:r/>
    </w:p>
    <w:p>
      <w:pPr>
        <w:ind w:firstLine="3001"/>
        <w:jc w:val="left"/>
        <w:spacing w:after="200" w:line="276" w:lineRule="auto"/>
        <w:widowControl/>
        <w:rPr>
          <w:rFonts w:ascii="宋体" w:hAnsi="宋体" w:eastAsia="Arial" w:cs="Times New Roman"/>
          <w:b/>
          <w:sz w:val="30"/>
          <w:szCs w:val="30"/>
          <w:highlight w:val="none"/>
        </w:rPr>
      </w:pPr>
      <w:r/>
      <w:bookmarkStart w:id="12" w:name="OLE_LINK8"/>
      <w:r/>
      <w:bookmarkStart w:id="13" w:name="OLE_LINK2"/>
      <w:r>
        <w:rPr>
          <w:rFonts w:hint="eastAsia" w:ascii="宋体" w:hAnsi="宋体" w:eastAsia="Arial" w:cs="Times New Roman"/>
          <w:b/>
          <w:sz w:val="30"/>
          <w:szCs w:val="30"/>
          <w:highlight w:val="none"/>
        </w:rPr>
        <w:t xml:space="preserve">（一）响应报价明细表</w:t>
      </w:r>
      <w:r/>
    </w:p>
    <w:p>
      <w:pPr>
        <w:ind w:firstLine="2409"/>
        <w:jc w:val="left"/>
        <w:spacing w:after="200" w:line="276"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bl>
      <w:tblPr>
        <w:tblStyle w:val="658"/>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199"/>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大写：       元 ； 小写：        元</w:t>
            </w:r>
            <w:r/>
          </w:p>
        </w:tc>
      </w:tr>
    </w:tbl>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注：本表报价的合计金额应与开标一览表报价一致</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ind w:firstLine="301"/>
        <w:spacing w:after="200" w:line="200" w:lineRule="exact"/>
        <w:rPr>
          <w:rFonts w:ascii="Arial" w:hAnsi="Arial" w:eastAsia="Arial" w:cs="Times New Roman"/>
          <w:sz w:val="24"/>
          <w:szCs w:val="20"/>
          <w:highlight w:val="none"/>
        </w:rPr>
      </w:pPr>
      <w:r>
        <w:rPr>
          <w:rFonts w:ascii="Arial" w:hAnsi="Arial" w:eastAsia="Arial" w:cs="Times New Roman"/>
          <w:sz w:val="24"/>
          <w:szCs w:val="20"/>
          <w:highlight w:val="none"/>
        </w:rPr>
      </w:r>
      <w:r/>
    </w:p>
    <w:p>
      <w:pPr>
        <w:ind w:firstLine="1501"/>
        <w:jc w:val="left"/>
        <w:spacing w:after="200" w:line="276" w:lineRule="auto"/>
        <w:widowControl/>
        <w:rPr>
          <w:rFonts w:ascii="宋体" w:hAnsi="宋体" w:eastAsia="Arial" w:cs="Times New Roman"/>
          <w:b/>
          <w:sz w:val="30"/>
          <w:szCs w:val="30"/>
          <w:highlight w:val="none"/>
        </w:rPr>
      </w:pPr>
      <w:r>
        <w:rPr>
          <w:rFonts w:ascii="宋体" w:hAnsi="宋体" w:eastAsia="Arial" w:cs="Times New Roman"/>
          <w:b/>
          <w:sz w:val="30"/>
          <w:szCs w:val="30"/>
          <w:highlight w:val="none"/>
        </w:rPr>
      </w:r>
      <w:r/>
    </w:p>
    <w:p>
      <w:pPr>
        <w:ind w:firstLine="1501"/>
        <w:jc w:val="left"/>
        <w:spacing w:after="200" w:line="276" w:lineRule="auto"/>
        <w:widowControl/>
        <w:rPr>
          <w:rFonts w:ascii="宋体" w:hAnsi="宋体" w:eastAsia="Arial" w:cs="Times New Roman"/>
          <w:b/>
          <w:sz w:val="30"/>
          <w:szCs w:val="30"/>
          <w:highlight w:val="none"/>
        </w:rPr>
      </w:pPr>
      <w:r>
        <w:rPr>
          <w:rFonts w:ascii="宋体" w:hAnsi="宋体" w:eastAsia="Arial" w:cs="Times New Roman"/>
          <w:b/>
          <w:sz w:val="30"/>
          <w:szCs w:val="30"/>
          <w:highlight w:val="none"/>
        </w:rPr>
      </w:r>
      <w:r/>
    </w:p>
    <w:p>
      <w:pPr>
        <w:ind w:firstLine="1501"/>
        <w:jc w:val="left"/>
        <w:spacing w:after="200" w:line="276" w:lineRule="auto"/>
        <w:widowControl/>
        <w:rPr>
          <w:rFonts w:ascii="宋体" w:hAnsi="宋体" w:eastAsia="Arial" w:cs="Times New Roman"/>
          <w:b/>
          <w:sz w:val="30"/>
          <w:szCs w:val="30"/>
          <w:highlight w:val="none"/>
        </w:rPr>
      </w:pPr>
      <w:r>
        <w:rPr>
          <w:rFonts w:ascii="宋体" w:hAnsi="宋体" w:eastAsia="Arial" w:cs="Times New Roman"/>
          <w:b/>
          <w:sz w:val="30"/>
          <w:szCs w:val="30"/>
          <w:highlight w:val="none"/>
        </w:rPr>
      </w:r>
      <w:r/>
    </w:p>
    <w:p>
      <w:pPr>
        <w:ind w:firstLine="1501"/>
        <w:jc w:val="left"/>
        <w:spacing w:after="200" w:line="276" w:lineRule="auto"/>
        <w:widowControl/>
        <w:rPr>
          <w:rFonts w:ascii="宋体" w:hAnsi="宋体" w:eastAsia="Arial" w:cs="Times New Roman"/>
          <w:b/>
          <w:sz w:val="30"/>
          <w:szCs w:val="30"/>
          <w:highlight w:val="none"/>
        </w:rPr>
      </w:pPr>
      <w:r>
        <w:rPr>
          <w:rFonts w:ascii="宋体" w:hAnsi="宋体" w:eastAsia="Arial" w:cs="Times New Roman"/>
          <w:b/>
          <w:sz w:val="30"/>
          <w:szCs w:val="30"/>
          <w:highlight w:val="none"/>
        </w:rPr>
      </w:r>
      <w:r/>
    </w:p>
    <w:p>
      <w:pPr>
        <w:ind w:firstLine="1501"/>
        <w:jc w:val="left"/>
        <w:spacing w:after="200" w:line="276" w:lineRule="auto"/>
        <w:widowControl/>
        <w:rPr>
          <w:rFonts w:ascii="宋体" w:hAnsi="宋体" w:eastAsia="Arial" w:cs="Times New Roman"/>
          <w:b/>
          <w:sz w:val="30"/>
          <w:szCs w:val="30"/>
          <w:highlight w:val="none"/>
        </w:rPr>
      </w:pPr>
      <w:r>
        <w:rPr>
          <w:rFonts w:ascii="宋体" w:hAnsi="宋体" w:eastAsia="Arial" w:cs="Times New Roman"/>
          <w:b/>
          <w:sz w:val="30"/>
          <w:szCs w:val="30"/>
          <w:highlight w:val="none"/>
        </w:rPr>
      </w:r>
      <w:r/>
    </w:p>
    <w:p>
      <w:pPr>
        <w:ind w:firstLine="1501"/>
        <w:jc w:val="left"/>
        <w:spacing w:after="200" w:line="276" w:lineRule="auto"/>
        <w:widowControl/>
        <w:rPr>
          <w:rFonts w:ascii="宋体" w:hAnsi="宋体" w:eastAsia="Arial" w:cs="Times New Roman"/>
          <w:b/>
          <w:sz w:val="22"/>
          <w:szCs w:val="24"/>
          <w:highlight w:val="none"/>
        </w:rPr>
      </w:pPr>
      <w:r>
        <w:rPr>
          <w:rFonts w:hint="eastAsia" w:ascii="宋体" w:hAnsi="宋体" w:eastAsia="Arial" w:cs="Times New Roman"/>
          <w:b/>
          <w:sz w:val="30"/>
          <w:szCs w:val="30"/>
          <w:highlight w:val="none"/>
        </w:rPr>
        <w:t xml:space="preserve">（二）响应报价合理性说明（如有）</w:t>
      </w:r>
      <w:bookmarkEnd w:id="12"/>
      <w:r/>
    </w:p>
    <w:p>
      <w:pPr>
        <w:ind w:firstLine="482"/>
        <w:spacing w:line="4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注：根据财政部《关于推动解决政府采购异常低价问题的通知》（财库〔2026〕2号） ，若投标人的投标（响应）报价满足以下任一条件：</w:t>
      </w:r>
      <w:r/>
    </w:p>
    <w:p>
      <w:pPr>
        <w:ind w:firstLine="482"/>
        <w:spacing w:line="4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bCs/>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highlight w:val="none"/>
        </w:rPr>
        <w:t xml:space="preserve">；</w:t>
      </w:r>
      <w:r/>
    </w:p>
    <w:p>
      <w:pPr>
        <w:ind w:firstLine="482"/>
        <w:spacing w:line="5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rPr>
          <w:rFonts w:hint="eastAsia" w:ascii="宋体" w:hAnsi="宋体" w:eastAsia="宋体" w:cs="宋体"/>
          <w:b/>
          <w:bCs/>
          <w:sz w:val="24"/>
          <w:szCs w:val="24"/>
          <w:highlight w:val="none"/>
        </w:rPr>
        <w:br/>
      </w:r>
      <w:r>
        <w:rPr>
          <w:rFonts w:hint="eastAsia" w:ascii="宋体" w:hAnsi="宋体" w:eastAsia="宋体" w:cs="宋体"/>
          <w:b/>
          <w:bCs/>
          <w:sz w:val="24"/>
          <w:szCs w:val="24"/>
          <w:highlight w:val="none"/>
        </w:rPr>
        <w:t xml:space="preserve">    4）评审委员会基于专业判断，认为供应商报价过低，有可能影响产品质量或者不能诚信履约的其他情形。</w:t>
      </w:r>
      <w:r>
        <w:rPr>
          <w:rFonts w:hint="eastAsia" w:ascii="宋体" w:hAnsi="宋体" w:eastAsia="宋体" w:cs="宋体"/>
          <w:b/>
          <w:bCs/>
          <w:sz w:val="24"/>
          <w:szCs w:val="24"/>
          <w:highlight w:val="none"/>
        </w:rPr>
        <w:br/>
      </w:r>
      <w:r>
        <w:rPr>
          <w:rFonts w:hint="eastAsia" w:ascii="宋体" w:hAnsi="宋体" w:eastAsia="宋体" w:cs="宋体"/>
          <w:b/>
          <w:bCs/>
          <w:sz w:val="24"/>
          <w:szCs w:val="24"/>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投标单位：（公章）</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after="200" w:line="500" w:lineRule="exact"/>
        <w:widowControl/>
        <w:rPr>
          <w:rFonts w:ascii="宋体" w:hAnsi="宋体" w:eastAsia="Arial" w:cs="Times New Roman"/>
          <w:b/>
          <w:bCs/>
          <w:sz w:val="22"/>
          <w:szCs w:val="24"/>
          <w:highlight w:val="none"/>
        </w:rPr>
      </w:pPr>
      <w:r>
        <w:rPr>
          <w:rFonts w:hint="eastAsia" w:ascii="宋体" w:hAnsi="宋体" w:eastAsia="宋体" w:cs="宋体"/>
          <w:sz w:val="24"/>
          <w:szCs w:val="24"/>
          <w:highlight w:val="none"/>
        </w:rPr>
        <w:br w:type="page" w:clear="all"/>
      </w:r>
      <w:bookmarkEnd w:id="13"/>
      <w:r>
        <w:rPr>
          <w:rFonts w:hint="eastAsia" w:ascii="宋体" w:hAnsi="宋体" w:eastAsia="Arial" w:cs="Times New Roman"/>
          <w:b/>
          <w:bCs/>
          <w:sz w:val="32"/>
          <w:szCs w:val="32"/>
          <w:highlight w:val="none"/>
        </w:rPr>
        <w:t xml:space="preserve">8、服务要求偏离表</w:t>
      </w:r>
      <w:r/>
    </w:p>
    <w:p>
      <w:pPr>
        <w:jc w:val="center"/>
        <w:spacing w:after="200" w:line="360" w:lineRule="auto"/>
        <w:widowControl/>
        <w:rPr>
          <w:rFonts w:ascii="宋体" w:hAnsi="宋体" w:eastAsia="Arial" w:cs="Times New Roman"/>
          <w:sz w:val="22"/>
          <w:highlight w:val="none"/>
          <w:lang w:eastAsia="en-US"/>
        </w:rPr>
      </w:pPr>
      <w:r>
        <w:rPr>
          <w:rFonts w:hint="eastAsia" w:ascii="宋体" w:hAnsi="宋体" w:eastAsia="Arial" w:cs="宋体"/>
          <w:b/>
          <w:sz w:val="30"/>
          <w:szCs w:val="30"/>
          <w:highlight w:val="none"/>
          <w:lang w:eastAsia="en-US"/>
        </w:rPr>
        <w:t xml:space="preserve">服务要求偏离表</w:t>
      </w:r>
      <w:r/>
    </w:p>
    <w:tbl>
      <w:tblPr>
        <w:tblStyle w:val="6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采购文件</w:t>
            </w:r>
            <w:r/>
          </w:p>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响应文件</w:t>
            </w:r>
            <w:r/>
          </w:p>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bl>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2.若事项较多，响应人可根据响应内容的实际情况另纸说明。</w:t>
      </w:r>
      <w:r/>
    </w:p>
    <w:p>
      <w:pPr>
        <w:jc w:val="left"/>
        <w:spacing w:after="200" w:line="46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p>
    <w:p>
      <w:pPr>
        <w:jc w:val="left"/>
        <w:spacing w:after="200" w:line="460" w:lineRule="exact"/>
        <w:widowControl/>
        <w:rPr>
          <w:rFonts w:ascii="宋体" w:hAnsi="宋体" w:eastAsia="宋体" w:cs="宋体"/>
          <w:bCs/>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bCs/>
          <w:sz w:val="24"/>
          <w:szCs w:val="24"/>
          <w:highlight w:val="none"/>
        </w:rPr>
        <w:t xml:space="preserve">：</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spacing w:before="156" w:after="156" w:line="360" w:lineRule="auto"/>
        <w:rPr>
          <w:rFonts w:ascii="宋体" w:hAnsi="宋体" w:eastAsia="Arial" w:cs="Times New Roman"/>
          <w:b/>
          <w:bCs/>
          <w:sz w:val="32"/>
          <w:szCs w:val="32"/>
          <w:highlight w:val="none"/>
        </w:rPr>
      </w:pPr>
      <w:r>
        <w:rPr>
          <w:rFonts w:ascii="宋体" w:hAnsi="宋体" w:eastAsia="Arial" w:cs="Times New Roman"/>
          <w:b/>
          <w:bCs/>
          <w:sz w:val="32"/>
          <w:szCs w:val="32"/>
          <w:highlight w:val="none"/>
        </w:rPr>
      </w:r>
      <w:r/>
    </w:p>
    <w:p>
      <w:pPr>
        <w:spacing w:before="156" w:after="156" w:line="360" w:lineRule="auto"/>
        <w:rPr>
          <w:rFonts w:ascii="宋体" w:hAnsi="宋体" w:eastAsia="Arial" w:cs="Times New Roman"/>
          <w:b/>
          <w:bCs/>
          <w:sz w:val="32"/>
          <w:szCs w:val="32"/>
          <w:highlight w:val="none"/>
        </w:rPr>
      </w:pPr>
      <w:r>
        <w:rPr>
          <w:rFonts w:hint="eastAsia" w:ascii="宋体" w:hAnsi="宋体" w:eastAsia="Arial" w:cs="Times New Roman"/>
          <w:b/>
          <w:bCs/>
          <w:sz w:val="32"/>
          <w:szCs w:val="32"/>
          <w:highlight w:val="none"/>
        </w:rPr>
        <w:t xml:space="preserve">9、商务偏离表</w:t>
      </w:r>
      <w:r/>
    </w:p>
    <w:p>
      <w:pPr>
        <w:jc w:val="center"/>
        <w:spacing w:after="200" w:line="360" w:lineRule="auto"/>
        <w:widowControl/>
        <w:rPr>
          <w:rFonts w:ascii="宋体" w:hAnsi="宋体" w:eastAsia="Arial" w:cs="Times New Roman"/>
          <w:b/>
          <w:spacing w:val="20"/>
          <w:sz w:val="32"/>
          <w:szCs w:val="32"/>
          <w:highlight w:val="none"/>
          <w:lang w:eastAsia="en-US"/>
        </w:rPr>
      </w:pPr>
      <w:r>
        <w:rPr>
          <w:rFonts w:hint="eastAsia" w:ascii="宋体" w:hAnsi="宋体" w:eastAsia="Arial" w:cs="Times New Roman"/>
          <w:b/>
          <w:spacing w:val="20"/>
          <w:sz w:val="32"/>
          <w:szCs w:val="32"/>
          <w:highlight w:val="none"/>
          <w:lang w:eastAsia="en-US"/>
        </w:rPr>
        <w:t xml:space="preserve">商务条款偏离表</w:t>
      </w:r>
      <w:r/>
    </w:p>
    <w:tbl>
      <w:tblPr>
        <w:tblStyle w:val="658"/>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ascii="宋体" w:hAnsi="宋体" w:eastAsia="Arial" w:cs="宋体"/>
                <w:sz w:val="22"/>
                <w:szCs w:val="24"/>
                <w:highlight w:val="none"/>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宋体"/>
                <w:sz w:val="22"/>
                <w:szCs w:val="24"/>
                <w:highlight w:val="none"/>
                <w:lang w:eastAsia="en-US"/>
              </w:rPr>
              <w:t xml:space="preserve">响应</w:t>
            </w:r>
            <w:r>
              <w:rPr>
                <w:rFonts w:ascii="宋体" w:hAnsi="宋体" w:eastAsia="Arial" w:cs="宋体"/>
                <w:sz w:val="22"/>
                <w:szCs w:val="24"/>
                <w:highlight w:val="none"/>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line="360" w:lineRule="auto"/>
              <w:widowControl/>
              <w:rPr>
                <w:rFonts w:ascii="宋体" w:hAnsi="宋体" w:eastAsia="Arial" w:cs="宋体"/>
                <w:sz w:val="22"/>
                <w:szCs w:val="24"/>
                <w:highlight w:val="none"/>
                <w:lang w:eastAsia="en-US"/>
              </w:rPr>
            </w:pPr>
            <w:r>
              <w:rPr>
                <w:rFonts w:hint="eastAsia" w:ascii="宋体" w:hAnsi="宋体" w:eastAsia="Arial" w:cs="宋体"/>
                <w:sz w:val="22"/>
                <w:szCs w:val="24"/>
                <w:highlight w:val="none"/>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bl>
    <w:p>
      <w:pPr>
        <w:ind w:firstLine="440"/>
        <w:jc w:val="left"/>
        <w:spacing w:after="200" w:line="360" w:lineRule="auto"/>
        <w:widowControl/>
        <w:rPr>
          <w:rFonts w:ascii="宋体" w:hAnsi="宋体" w:eastAsia="Arial" w:cs="Times New Roman"/>
          <w:b/>
          <w:sz w:val="22"/>
          <w:szCs w:val="24"/>
          <w:highlight w:val="none"/>
          <w:lang w:eastAsia="en-US"/>
        </w:rPr>
      </w:pPr>
      <w:r>
        <w:rPr>
          <w:rFonts w:ascii="宋体" w:hAnsi="宋体" w:eastAsia="Arial" w:cs="Times New Roman"/>
          <w:b/>
          <w:sz w:val="22"/>
          <w:szCs w:val="24"/>
          <w:highlight w:val="none"/>
          <w:lang w:eastAsia="en-US"/>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1.供应商应在本表中把采购文件商务要求与实际响应商务要求逐项对应列出，并在“偏离说明”项下填写以下内容：优于的，填写“正偏离”；符合的，填写“无偏离”；低于的，填写“负偏离”。</w:t>
      </w:r>
      <w:r/>
    </w:p>
    <w:p>
      <w:pPr>
        <w:spacing w:after="20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2.若事项较多，响应人可根据响应内容的实际情况另纸说明。</w:t>
      </w:r>
      <w:r/>
    </w:p>
    <w:p>
      <w:pPr>
        <w:jc w:val="left"/>
        <w:spacing w:after="20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bCs/>
          <w:sz w:val="24"/>
          <w:szCs w:val="24"/>
          <w:highlight w:val="none"/>
        </w:rPr>
        <w:t xml:space="preserve">：</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bCs/>
          <w:sz w:val="24"/>
          <w:szCs w:val="24"/>
          <w:highlight w:val="none"/>
        </w:rPr>
        <w:t xml:space="preserve">响应日期:   年  月   日</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10、项目技术方案及服务方案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响应人根据项目需求编写针对本项目的技术方案及服务方案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11、项目实施方案及进度方案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响应人根据项目需求编写针对本项目的实施方案及进度方案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12、项目质量保证措施及承诺</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响应人根据项目需求编写针对本项目的质量保证措施及承诺</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jc w:val="left"/>
        <w:spacing w:before="240" w:after="240"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jc w:val="left"/>
        <w:spacing w:before="240" w:after="240"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13、项目售后服务方案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ind w:firstLine="708"/>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响应人根据项目需求编写针对本项目的售后服务方案</w:t>
      </w:r>
      <w:r/>
    </w:p>
    <w:p>
      <w:pPr>
        <w:jc w:val="left"/>
        <w:spacing w:after="200" w:line="276" w:lineRule="auto"/>
        <w:widowControl/>
        <w:rPr>
          <w:rFonts w:ascii="宋体" w:hAnsi="宋体" w:eastAsia="Arial" w:cs="Times New Roman"/>
          <w:b/>
          <w:sz w:val="28"/>
          <w:szCs w:val="32"/>
          <w:highlight w:val="none"/>
        </w:rPr>
      </w:pPr>
      <w:r/>
      <w:bookmarkStart w:id="15" w:name="_GoBack"/>
      <w:r/>
      <w:bookmarkEnd w:id="15"/>
      <w:r/>
      <w:r/>
    </w:p>
    <w:p>
      <w:pPr>
        <w:spacing w:line="276" w:lineRule="auto"/>
        <w:widowControl/>
        <w:rPr>
          <w:rFonts w:ascii="Arial" w:hAnsi="Arial" w:eastAsia="Arial" w:cs="Times New Roman"/>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rPr>
          <w:rFonts w:hint="eastAsia" w:ascii="宋体" w:hAnsi="宋体" w:eastAsia="宋体" w:cs="宋体"/>
          <w:b/>
          <w:sz w:val="32"/>
          <w:highlight w:val="none"/>
        </w:rPr>
      </w:r>
    </w:p>
    <w:p>
      <w:pPr>
        <w:spacing w:line="276" w:lineRule="auto"/>
        <w:widowControl/>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rPr>
          <w:rFonts w:hint="eastAsia" w:ascii="宋体" w:hAnsi="宋体" w:eastAsia="宋体" w:cs="宋体"/>
          <w:b/>
          <w:sz w:val="32"/>
          <w:highlight w:val="none"/>
        </w:rPr>
      </w:r>
    </w:p>
    <w:p>
      <w:pPr>
        <w:spacing w:line="276" w:lineRule="auto"/>
        <w:widowControl/>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rPr>
          <w:rFonts w:hint="eastAsia" w:ascii="宋体" w:hAnsi="宋体" w:eastAsia="宋体" w:cs="宋体"/>
          <w:b/>
          <w:sz w:val="32"/>
          <w:highlight w:val="none"/>
        </w:rPr>
      </w:r>
    </w:p>
    <w:p>
      <w:pPr>
        <w:spacing w:line="276" w:lineRule="auto"/>
        <w:widowControl/>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rPr>
          <w:rFonts w:hint="eastAsia" w:ascii="宋体" w:hAnsi="宋体" w:eastAsia="宋体" w:cs="宋体"/>
          <w:b/>
          <w:sz w:val="32"/>
          <w:highlight w:val="none"/>
        </w:rPr>
      </w:r>
    </w:p>
    <w:p>
      <w:pPr>
        <w:spacing w:line="276" w:lineRule="auto"/>
        <w:widowControl/>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rPr>
          <w:rFonts w:hint="eastAsia" w:ascii="宋体" w:hAnsi="宋体" w:eastAsia="宋体" w:cs="宋体"/>
          <w:b/>
          <w:sz w:val="32"/>
          <w:highlight w:val="none"/>
        </w:rPr>
      </w:r>
    </w:p>
    <w:p>
      <w:pPr>
        <w:spacing w:line="276" w:lineRule="auto"/>
        <w:widowControl/>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rPr>
          <w:rFonts w:hint="eastAsia" w:ascii="宋体" w:hAnsi="宋体" w:eastAsia="宋体" w:cs="宋体"/>
          <w:b/>
          <w:sz w:val="32"/>
          <w:highlight w:val="none"/>
        </w:rPr>
      </w:r>
    </w:p>
    <w:p>
      <w:pPr>
        <w:spacing w:line="276" w:lineRule="auto"/>
        <w:widowControl/>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14、企业类似业绩一览表</w:t>
      </w:r>
      <w:r>
        <w:rPr>
          <w:rFonts w:hint="eastAsia" w:ascii="宋体" w:hAnsi="宋体" w:eastAsia="宋体" w:cs="宋体"/>
          <w:b/>
          <w:sz w:val="32"/>
          <w:highlight w:val="none"/>
        </w:rPr>
        <w:t xml:space="preserve">（如有）</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企业类似业绩一览表</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合同金额</w:t>
            </w:r>
            <w:r/>
          </w:p>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bl>
    <w:p>
      <w:pPr>
        <w:ind w:firstLine="240"/>
        <w:spacing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附：按照</w:t>
      </w:r>
      <w:r>
        <w:rPr>
          <w:rFonts w:hint="eastAsia" w:ascii="宋体" w:hAnsi="宋体" w:eastAsia="宋体" w:cs="宋体"/>
          <w:sz w:val="24"/>
          <w:highlight w:val="none"/>
        </w:rPr>
        <w:t xml:space="preserve">采购文件</w:t>
      </w:r>
      <w:r>
        <w:rPr>
          <w:rFonts w:ascii="宋体" w:hAnsi="宋体" w:eastAsia="宋体" w:cs="宋体"/>
          <w:sz w:val="24"/>
          <w:highlight w:val="none"/>
        </w:rPr>
        <w:t xml:space="preserve">要求及评分标准提供相应证明材料</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响应单位（单位盖章）： </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日期：年月日</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Arial" w:hAnsi="Arial" w:eastAsia="Arial" w:cs="Times New Roman"/>
          <w:sz w:val="22"/>
          <w:highlight w:val="none"/>
        </w:rPr>
        <w:br w:type="page" w:clear="all"/>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15、拟投入本项目的专业技术（服务）人员情况一览表</w:t>
      </w:r>
      <w:r/>
    </w:p>
    <w:p>
      <w:pPr>
        <w:ind w:firstLine="1043"/>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拟投入本项目的专业技术（服务）人员情况一览表</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bl>
    <w:p>
      <w:pPr>
        <w:jc w:val="left"/>
        <w:spacing w:line="41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附：1、按照</w:t>
      </w:r>
      <w:r>
        <w:rPr>
          <w:rFonts w:hint="eastAsia" w:ascii="宋体" w:hAnsi="宋体" w:eastAsia="宋体" w:cs="宋体"/>
          <w:sz w:val="24"/>
          <w:highlight w:val="none"/>
        </w:rPr>
        <w:t xml:space="preserve">采购文件</w:t>
      </w:r>
      <w:r>
        <w:rPr>
          <w:rFonts w:ascii="宋体" w:hAnsi="宋体" w:eastAsia="宋体" w:cs="宋体"/>
          <w:sz w:val="24"/>
          <w:highlight w:val="none"/>
        </w:rPr>
        <w:t xml:space="preserve">要求提供相应资质证明材料。</w:t>
      </w:r>
      <w:r/>
    </w:p>
    <w:p>
      <w:pPr>
        <w:spacing w:line="41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574"/>
        <w:spacing w:line="312"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ind w:firstLine="574"/>
        <w:spacing w:line="312"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响应单位（单位盖章）： </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574"/>
        <w:spacing w:line="312"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日期：年月日</w:t>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16、</w:t>
      </w:r>
      <w:r>
        <w:rPr>
          <w:rFonts w:hint="eastAsia" w:ascii="宋体" w:hAnsi="宋体" w:eastAsia="宋体" w:cs="宋体"/>
          <w:b/>
          <w:sz w:val="32"/>
          <w:highlight w:val="none"/>
        </w:rPr>
        <w:t xml:space="preserve">中小企业声明函 </w:t>
      </w:r>
      <w:r>
        <w:rPr>
          <w:rFonts w:hint="eastAsia" w:ascii="宋体" w:hAnsi="宋体" w:eastAsia="宋体" w:cs="宋体"/>
          <w:b/>
          <w:sz w:val="24"/>
          <w:szCs w:val="24"/>
          <w:highlight w:val="none"/>
        </w:rPr>
        <w:t xml:space="preserve">                  </w:t>
      </w:r>
      <w:r/>
    </w:p>
    <w:p>
      <w:pPr>
        <w:spacing w:line="46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                        </w:t>
      </w: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14" w:name="OLE_LINK4"/>
      <w:r>
        <w:rPr>
          <w:rFonts w:hint="eastAsia" w:ascii="宋体" w:hAnsi="宋体" w:eastAsia="宋体" w:cs="宋体"/>
          <w:sz w:val="24"/>
          <w:szCs w:val="24"/>
          <w:highlight w:val="none"/>
        </w:rPr>
        <w:t xml:space="preserve">中小企业声明函（服务）</w:t>
      </w:r>
      <w:r/>
    </w:p>
    <w:p>
      <w:pPr>
        <w:ind w:firstLine="48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w:t>
      </w:r>
      <w:r>
        <w:rPr>
          <w:rFonts w:hint="eastAsia" w:ascii="宋体" w:hAnsi="宋体" w:eastAsia="宋体" w:cs="宋体"/>
          <w:i/>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i/>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采购活动，服务全部由符合政策要求的中小企业承接。相关企业的具体情况如下：</w:t>
      </w:r>
      <w:r/>
    </w:p>
    <w:p>
      <w:pPr>
        <w:ind w:firstLine="48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i/>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软件和信息技术服务业  </w:t>
      </w:r>
      <w:r>
        <w:rPr>
          <w:rFonts w:hint="eastAsia" w:ascii="宋体" w:hAnsi="宋体" w:eastAsia="宋体" w:cs="宋体"/>
          <w:i/>
          <w:sz w:val="24"/>
          <w:szCs w:val="24"/>
          <w:highlight w:val="none"/>
        </w:rPr>
        <w:t xml:space="preserve">行业</w:t>
      </w:r>
      <w:r>
        <w:rPr>
          <w:rFonts w:hint="eastAsia" w:ascii="宋体" w:hAnsi="宋体" w:eastAsia="宋体" w:cs="宋体"/>
          <w:sz w:val="24"/>
          <w:szCs w:val="24"/>
          <w:highlight w:val="none"/>
        </w:rPr>
        <w:t xml:space="preserve">；承接企业为</w:t>
      </w:r>
      <w:r>
        <w:rPr>
          <w:rFonts w:hint="eastAsia" w:ascii="宋体" w:hAnsi="宋体" w:eastAsia="宋体" w:cs="宋体"/>
          <w:i/>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Style w:val="680"/>
          <w:rFonts w:hint="eastAsia" w:ascii="宋体" w:hAnsi="宋体" w:eastAsia="宋体" w:cs="宋体"/>
          <w:color w:val="auto"/>
          <w:sz w:val="24"/>
          <w:szCs w:val="24"/>
          <w:highlight w:val="none"/>
          <w:u w:val="none"/>
        </w:rPr>
        <w:t xml:space="preserve">1</w:t>
      </w:r>
      <w:r>
        <w:rPr>
          <w:rStyle w:val="68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i/>
          <w:sz w:val="24"/>
          <w:szCs w:val="24"/>
          <w:highlight w:val="none"/>
        </w:rPr>
        <w:t xml:space="preserve">（中型企业、小型企业、微型企业，三者选一填写）</w:t>
      </w:r>
      <w:r>
        <w:rPr>
          <w:rFonts w:hint="eastAsia" w:ascii="宋体" w:hAnsi="宋体" w:eastAsia="宋体" w:cs="宋体"/>
          <w:sz w:val="24"/>
          <w:szCs w:val="24"/>
          <w:highlight w:val="none"/>
        </w:rPr>
        <w:t xml:space="preserve">；</w:t>
      </w:r>
      <w:r/>
    </w:p>
    <w:p>
      <w:pPr>
        <w:ind w:firstLine="48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p>
    <w:p>
      <w:pPr>
        <w:ind w:firstLine="48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本企业对上述声明内容的真实性负责。如有虚假，将依法承担相应责任。</w:t>
      </w:r>
      <w:r/>
    </w:p>
    <w:p>
      <w:pPr>
        <w:ind w:right="960" w:firstLine="480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企业名称（盖章）：</w:t>
      </w:r>
      <w:r/>
    </w:p>
    <w:p>
      <w:pPr>
        <w:ind w:right="1120" w:firstLine="480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Style w:val="680"/>
          <w:rFonts w:hint="eastAsia" w:ascii="宋体" w:hAnsi="宋体" w:eastAsia="宋体" w:cs="宋体"/>
          <w:color w:val="auto"/>
          <w:sz w:val="24"/>
          <w:szCs w:val="24"/>
          <w:highlight w:val="none"/>
          <w:u w:val="none"/>
        </w:rPr>
        <w:t xml:space="preserve">1</w:t>
      </w:r>
      <w:r>
        <w:rPr>
          <w:rStyle w:val="68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从业人员、营业收入、资产总额填报上一年度数据，无上一年度数据的新成立企业可不填报，但须提供情况说明。</w:t>
      </w:r>
      <w:r/>
    </w:p>
    <w:p>
      <w:pPr>
        <w:ind w:firstLine="442"/>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备注：</w:t>
      </w:r>
      <w:r/>
    </w:p>
    <w:p>
      <w:pPr>
        <w:ind w:firstLine="480"/>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b/>
          <w:sz w:val="24"/>
          <w:szCs w:val="24"/>
          <w:highlight w:val="none"/>
        </w:rPr>
        <w:t xml:space="preserve">本项目专门面向中小企业采购，响应供应商应提供中小企业声明函或残疾人福利性单位声明函或省级以上监狱管理局、戒毒管理局（含新疆生产建设兵团）出具的属于监狱企业的证明文件,否则视为响应无效。</w:t>
      </w:r>
      <w:r/>
    </w:p>
    <w:p>
      <w:pPr>
        <w:ind w:firstLine="480"/>
        <w:spacing w:line="46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2、响应供应商提供的中小企业声明函必须包含本项目所有服务及其服务承接企业，并按照声明函格式填写完整、明确，否则视为未按规定提供声明函，响应无效。</w:t>
      </w:r>
      <w:r/>
    </w:p>
    <w:p>
      <w:pPr>
        <w:ind w:firstLine="480"/>
        <w:spacing w:line="46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3、中标、成交供应商享受规定的中小企业扶持政策的，《中小企业声明函》应当随中标、成交结果同时公告，接受社会监督。</w:t>
      </w:r>
      <w:bookmarkEnd w:id="14"/>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pStyle w:val="675"/>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b/>
          <w:sz w:val="24"/>
          <w:szCs w:val="24"/>
          <w:highlight w:val="none"/>
        </w:rPr>
        <w:outlineLvl w:val="0"/>
      </w:pPr>
      <w:r>
        <w:rPr>
          <w:rFonts w:ascii="宋体" w:hAnsi="宋体" w:eastAsia="宋体" w:cs="宋体"/>
          <w:b/>
          <w:sz w:val="24"/>
          <w:szCs w:val="24"/>
          <w:highlight w:val="none"/>
        </w:rPr>
      </w:r>
      <w:r/>
    </w:p>
    <w:p>
      <w:pPr>
        <w:rPr>
          <w:rFonts w:ascii="宋体" w:hAnsi="宋体" w:eastAsia="宋体" w:cs="宋体"/>
          <w:b/>
          <w:sz w:val="24"/>
          <w:szCs w:val="24"/>
          <w:highlight w:val="none"/>
        </w:rPr>
        <w:outlineLvl w:val="0"/>
      </w:pPr>
      <w:r>
        <w:rPr>
          <w:rFonts w:ascii="宋体" w:hAnsi="宋体" w:eastAsia="宋体" w:cs="宋体"/>
          <w:b/>
          <w:sz w:val="24"/>
          <w:szCs w:val="24"/>
          <w:highlight w:val="none"/>
        </w:rPr>
      </w:r>
      <w:r/>
    </w:p>
    <w:p>
      <w:pPr>
        <w:rPr>
          <w:rFonts w:ascii="宋体" w:hAnsi="宋体" w:eastAsia="宋体" w:cs="宋体"/>
          <w:b/>
          <w:bCs/>
          <w:sz w:val="32"/>
          <w:szCs w:val="32"/>
          <w:highlight w:val="none"/>
        </w:rPr>
        <w:outlineLvl w:val="0"/>
      </w:pPr>
      <w:r>
        <w:rPr>
          <w:rFonts w:hint="eastAsia" w:ascii="宋体" w:hAnsi="宋体" w:eastAsia="宋体" w:cs="宋体"/>
          <w:b/>
          <w:sz w:val="32"/>
          <w:highlight w:val="none"/>
        </w:rPr>
      </w:r>
      <w:r>
        <w:rPr>
          <w:rFonts w:hint="eastAsia" w:ascii="宋体" w:hAnsi="宋体" w:eastAsia="宋体" w:cs="宋体"/>
          <w:b/>
          <w:sz w:val="32"/>
          <w:highlight w:val="none"/>
        </w:rPr>
      </w:r>
    </w:p>
    <w:p>
      <w:pPr>
        <w:rPr>
          <w:rFonts w:hint="eastAsia" w:ascii="宋体" w:hAnsi="宋体" w:eastAsia="宋体" w:cs="宋体"/>
          <w:b/>
          <w:bCs/>
          <w:sz w:val="32"/>
          <w:szCs w:val="32"/>
          <w:highlight w:val="none"/>
        </w:rPr>
        <w:outlineLvl w:val="0"/>
      </w:pPr>
      <w:r>
        <w:rPr>
          <w:rFonts w:hint="eastAsia" w:ascii="宋体" w:hAnsi="宋体" w:eastAsia="宋体" w:cs="宋体"/>
          <w:b/>
          <w:sz w:val="32"/>
          <w:highlight w:val="none"/>
        </w:rPr>
      </w:r>
      <w:r>
        <w:rPr>
          <w:rFonts w:hint="eastAsia" w:ascii="宋体" w:hAnsi="宋体" w:eastAsia="宋体" w:cs="宋体"/>
          <w:b/>
          <w:sz w:val="32"/>
          <w:highlight w:val="none"/>
        </w:rPr>
      </w:r>
    </w:p>
    <w:p>
      <w:pPr>
        <w:rPr>
          <w:rFonts w:hint="eastAsia" w:ascii="宋体" w:hAnsi="宋体" w:eastAsia="宋体" w:cs="宋体"/>
          <w:b/>
          <w:bCs/>
          <w:sz w:val="32"/>
          <w:szCs w:val="32"/>
          <w:highlight w:val="none"/>
        </w:rPr>
        <w:outlineLvl w:val="0"/>
      </w:pPr>
      <w:r>
        <w:rPr>
          <w:rFonts w:hint="eastAsia" w:ascii="宋体" w:hAnsi="宋体" w:eastAsia="宋体" w:cs="宋体"/>
          <w:b/>
          <w:sz w:val="32"/>
          <w:highlight w:val="none"/>
        </w:rPr>
      </w:r>
      <w:r>
        <w:rPr>
          <w:rFonts w:hint="eastAsia" w:ascii="宋体" w:hAnsi="宋体" w:eastAsia="宋体" w:cs="宋体"/>
          <w:b/>
          <w:sz w:val="32"/>
          <w:highlight w:val="none"/>
        </w:rPr>
      </w:r>
    </w:p>
    <w:p>
      <w:pPr>
        <w:rPr>
          <w:rFonts w:hint="eastAsia" w:ascii="宋体" w:hAnsi="宋体" w:eastAsia="宋体" w:cs="宋体"/>
          <w:b/>
          <w:bCs/>
          <w:sz w:val="32"/>
          <w:szCs w:val="32"/>
          <w:highlight w:val="none"/>
        </w:rPr>
        <w:outlineLvl w:val="0"/>
      </w:pPr>
      <w:r>
        <w:rPr>
          <w:rFonts w:hint="eastAsia" w:ascii="宋体" w:hAnsi="宋体" w:eastAsia="宋体" w:cs="宋体"/>
          <w:b/>
          <w:sz w:val="32"/>
          <w:highlight w:val="none"/>
        </w:rPr>
      </w:r>
      <w:r>
        <w:rPr>
          <w:rFonts w:hint="eastAsia" w:ascii="宋体" w:hAnsi="宋体" w:eastAsia="宋体" w:cs="宋体"/>
          <w:b/>
          <w:sz w:val="32"/>
          <w:highlight w:val="none"/>
        </w:rPr>
      </w:r>
    </w:p>
    <w:p>
      <w:pPr>
        <w:rPr>
          <w:rFonts w:hint="eastAsia" w:ascii="宋体" w:hAnsi="宋体" w:eastAsia="宋体" w:cs="宋体"/>
          <w:b/>
          <w:bCs/>
          <w:sz w:val="32"/>
          <w:szCs w:val="32"/>
          <w:highlight w:val="none"/>
        </w:rPr>
        <w:outlineLvl w:val="0"/>
      </w:pPr>
      <w:r>
        <w:rPr>
          <w:rFonts w:hint="eastAsia" w:ascii="宋体" w:hAnsi="宋体" w:eastAsia="宋体" w:cs="宋体"/>
          <w:b/>
          <w:sz w:val="24"/>
          <w:szCs w:val="24"/>
          <w:highlight w:val="none"/>
        </w:rPr>
        <w:t xml:space="preserve">17、</w:t>
      </w:r>
      <w:r>
        <w:rPr>
          <w:rFonts w:hint="eastAsia" w:ascii="宋体" w:hAnsi="宋体" w:eastAsia="宋体" w:cs="宋体"/>
          <w:b/>
          <w:sz w:val="32"/>
          <w:highlight w:val="none"/>
        </w:rPr>
        <w:t xml:space="preserve">残疾人福利性单位声明函（如有）</w:t>
      </w:r>
      <w:r/>
    </w:p>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2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szCs w:val="24"/>
          <w:highlight w:val="none"/>
        </w:rPr>
        <w:t xml:space="preserve">残疾人福利性单位声明函</w:t>
      </w:r>
      <w:r/>
    </w:p>
    <w:p>
      <w:pPr>
        <w:ind w:firstLine="1928"/>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p>
    <w:p>
      <w:pPr>
        <w:ind w:firstLine="48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本单位对上述声明的真实性负责。如有虚假，将依法承担相应责任。</w:t>
      </w:r>
      <w:r/>
    </w:p>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单位名称（盖章）：</w:t>
      </w:r>
      <w:r/>
    </w:p>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日 期：</w:t>
      </w:r>
      <w:r/>
    </w:p>
    <w:p>
      <w:pPr>
        <w:ind w:firstLine="482"/>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r>
      <w:r/>
    </w:p>
    <w:p>
      <w:pPr>
        <w:ind w:firstLine="482"/>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center"/>
        <w:spacing w:line="439" w:lineRule="atLeas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jc w:val="center"/>
        <w:spacing w:line="43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18、监狱企业证明文件（如有）</w:t>
      </w:r>
      <w:r>
        <w:rPr>
          <w:rFonts w:hint="eastAsia" w:ascii="宋体" w:hAnsi="宋体" w:eastAsia="宋体" w:cs="宋体"/>
          <w:b/>
          <w:sz w:val="32"/>
          <w:highlight w:val="none"/>
        </w:rPr>
        <w:br/>
      </w:r>
      <w:r>
        <w:rPr>
          <w:rFonts w:hint="eastAsia" w:ascii="宋体" w:hAnsi="宋体" w:eastAsia="宋体" w:cs="宋体"/>
          <w:sz w:val="24"/>
          <w:szCs w:val="24"/>
          <w:highlight w:val="none"/>
        </w:rPr>
        <w:br/>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                    </w:t>
      </w:r>
      <w:r>
        <w:rPr>
          <w:rFonts w:hint="eastAsia" w:ascii="宋体" w:hAnsi="宋体" w:eastAsia="宋体" w:cs="宋体"/>
          <w:sz w:val="32"/>
          <w:highlight w:val="none"/>
        </w:rPr>
        <w:t xml:space="preserve">监狱企业证明文件</w:t>
      </w:r>
      <w:r>
        <w:rPr>
          <w:rFonts w:hint="eastAsia" w:ascii="宋体" w:hAnsi="宋体" w:eastAsia="宋体" w:cs="宋体"/>
          <w:sz w:val="32"/>
          <w:highlight w:val="none"/>
        </w:rPr>
        <w:br/>
      </w:r>
      <w:r>
        <w:rPr>
          <w:rFonts w:hint="eastAsia" w:ascii="宋体" w:hAnsi="宋体" w:eastAsia="宋体" w:cs="宋体"/>
          <w:sz w:val="32"/>
          <w:highlight w:val="none"/>
        </w:rPr>
        <w:br/>
      </w:r>
      <w:r>
        <w:rPr>
          <w:rFonts w:hint="eastAsia" w:ascii="宋体" w:hAnsi="宋体" w:eastAsia="宋体" w:cs="宋体"/>
          <w:sz w:val="32"/>
          <w:highlight w:val="none"/>
        </w:rPr>
        <w:t xml:space="preserve"> </w:t>
      </w:r>
      <w:r>
        <w:rPr>
          <w:rFonts w:hint="eastAsia" w:ascii="宋体" w:hAnsi="宋体" w:eastAsia="宋体" w:cs="宋体"/>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jc w:val="center"/>
        <w:spacing w:line="43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center"/>
        <w:spacing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（全文完）</w:t>
      </w:r>
      <w:r/>
    </w:p>
    <w:p>
      <w:pPr>
        <w:pStyle w:val="654"/>
        <w:numPr>
          <w:ilvl w:val="2"/>
          <w:numId w:val="0"/>
        </w:numPr>
        <w:rPr>
          <w:highlight w:val="none"/>
        </w:rPr>
      </w:pPr>
      <w:r>
        <w:rPr>
          <w:highlight w:val="none"/>
        </w:rPr>
      </w:r>
      <w:r/>
    </w:p>
    <w:sectPr>
      <w:footerReference w:type="default" r:id="rId9"/>
      <w:footnotePr/>
      <w:endnotePr/>
      <w:type w:val="nextPage"/>
      <w:pgSz w:w="11906" w:h="16838" w:orient="portrait"/>
      <w:pgMar w:top="1440" w:right="113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Futura L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503603"/>
      <w:rPr/>
    </w:sdtPr>
    <w:sdtContent>
      <w:sdt>
        <w:sdtPr>
          <w15:appearance w15:val="boundingBox"/>
          <w:id w:val="-1705238520"/>
          <w:rPr/>
        </w:sdtPr>
        <w:sdtContent>
          <w:p>
            <w:pPr>
              <w:pStyle w:val="66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698"/>
      <w:isLgl w:val="false"/>
      <w:suff w:val="nothing"/>
      <w:lvlText w:val="%1.%2　"/>
      <w:lvlJc w:val="left"/>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652"/>
      <w:isLgl w:val="false"/>
      <w:suff w:val="tab"/>
      <w:lvlText w:val="%1."/>
      <w:lvlJc w:val="left"/>
      <w:pPr>
        <w:ind w:left="720" w:hanging="720"/>
      </w:pPr>
      <w:rPr>
        <w:rFonts w:hint="default"/>
      </w:rPr>
    </w:lvl>
    <w:lvl w:ilvl="1">
      <w:start w:val="1"/>
      <w:numFmt w:val="decimal"/>
      <w:pStyle w:val="653"/>
      <w:isLgl/>
      <w:suff w:val="tab"/>
      <w:lvlText w:val="%1.%2"/>
      <w:lvlJc w:val="left"/>
      <w:pPr>
        <w:ind w:left="918" w:hanging="720"/>
      </w:pPr>
      <w:rPr>
        <w:rFonts w:hint="default"/>
      </w:rPr>
    </w:lvl>
    <w:lvl w:ilvl="2">
      <w:start w:val="1"/>
      <w:numFmt w:val="decimal"/>
      <w:pStyle w:val="654"/>
      <w:isLgl/>
      <w:suff w:val="tab"/>
      <w:lvlText w:val="%1.%2.%3"/>
      <w:lvlJc w:val="left"/>
      <w:pPr>
        <w:ind w:left="1476" w:hanging="1080"/>
      </w:pPr>
      <w:rPr>
        <w:rFonts w:hint="default"/>
      </w:rPr>
    </w:lvl>
    <w:lvl w:ilvl="3">
      <w:start w:val="1"/>
      <w:numFmt w:val="decimal"/>
      <w:isLgl/>
      <w:suff w:val="tab"/>
      <w:lvlText w:val="%1.%2.%3.%4"/>
      <w:lvlJc w:val="left"/>
      <w:pPr>
        <w:ind w:left="1674" w:hanging="1080"/>
      </w:pPr>
      <w:rPr>
        <w:rFonts w:hint="default"/>
      </w:rPr>
    </w:lvl>
    <w:lvl w:ilvl="4">
      <w:start w:val="1"/>
      <w:numFmt w:val="decimal"/>
      <w:isLgl/>
      <w:suff w:val="tab"/>
      <w:lvlText w:val="%1.%2.%3.%4.%5"/>
      <w:lvlJc w:val="left"/>
      <w:pPr>
        <w:ind w:left="2232" w:hanging="1440"/>
      </w:pPr>
      <w:rPr>
        <w:rFonts w:hint="default"/>
      </w:rPr>
    </w:lvl>
    <w:lvl w:ilvl="5">
      <w:start w:val="1"/>
      <w:numFmt w:val="decimal"/>
      <w:isLgl/>
      <w:suff w:val="tab"/>
      <w:lvlText w:val="%1.%2.%3.%4.%5.%6"/>
      <w:lvlJc w:val="left"/>
      <w:pPr>
        <w:ind w:left="2790" w:hanging="1800"/>
      </w:pPr>
      <w:rPr>
        <w:rFonts w:hint="default"/>
      </w:rPr>
    </w:lvl>
    <w:lvl w:ilvl="6">
      <w:start w:val="1"/>
      <w:numFmt w:val="decimal"/>
      <w:isLgl/>
      <w:suff w:val="tab"/>
      <w:lvlText w:val="%1.%2.%3.%4.%5.%6.%7"/>
      <w:lvlJc w:val="left"/>
      <w:pPr>
        <w:ind w:left="2988" w:hanging="1800"/>
      </w:pPr>
      <w:rPr>
        <w:rFonts w:hint="default"/>
      </w:rPr>
    </w:lvl>
    <w:lvl w:ilvl="7">
      <w:start w:val="1"/>
      <w:numFmt w:val="decimal"/>
      <w:isLgl/>
      <w:suff w:val="tab"/>
      <w:lvlText w:val="%1.%2.%3.%4.%5.%6.%7.%8"/>
      <w:lvlJc w:val="left"/>
      <w:pPr>
        <w:ind w:left="3546" w:hanging="2160"/>
      </w:pPr>
      <w:rPr>
        <w:rFonts w:hint="default"/>
      </w:rPr>
    </w:lvl>
    <w:lvl w:ilvl="8">
      <w:start w:val="1"/>
      <w:numFmt w:val="decimal"/>
      <w:isLgl/>
      <w:suff w:val="tab"/>
      <w:lvlText w:val="%1.%2.%3.%4.%5.%6.%7.%8.%9"/>
      <w:lvlJc w:val="left"/>
      <w:pPr>
        <w:ind w:left="4104" w:hanging="2520"/>
      </w:pPr>
      <w:rPr>
        <w:rFonts w:hint="default"/>
      </w:rPr>
    </w:lvl>
  </w:abstractNum>
  <w:abstractNum w:abstractNumId="4">
    <w:multiLevelType w:val="hybridMultilevel"/>
    <w:lvl w:ilvl="0">
      <w:start w:val="1"/>
      <w:numFmt w:val="decimal"/>
      <w:isLgl w:val="false"/>
      <w:suff w:val="tab"/>
      <w:lvlText w:val="%1."/>
      <w:lvlJc w:val="left"/>
      <w:pPr>
        <w:ind w:left="425" w:hanging="425"/>
      </w:pPr>
      <w:rPr>
        <w:rFonts w:hint="default" w:ascii="Times New Roman" w:hAnsi="Times New Roman"/>
      </w:rPr>
    </w:lvl>
    <w:lvl w:ilvl="1">
      <w:start w:val="1"/>
      <w:numFmt w:val="decimal"/>
      <w:isLgl w:val="false"/>
      <w:suff w:val="tab"/>
      <w:lvlText w:val="%1.%2"/>
      <w:lvlJc w:val="left"/>
      <w:pPr>
        <w:ind w:left="992" w:hanging="567"/>
      </w:pPr>
      <w:rPr>
        <w:rFonts w:hint="default"/>
        <w:b/>
      </w:rPr>
    </w:lvl>
    <w:lvl w:ilvl="2">
      <w:start w:val="1"/>
      <w:numFmt w:val="decimal"/>
      <w:isLgl w:val="false"/>
      <w:suff w:val="tab"/>
      <w:lvlText w:val="%1.%2.%3"/>
      <w:lvlJc w:val="left"/>
      <w:pPr>
        <w:ind w:left="0" w:firstLine="851"/>
      </w:pPr>
      <w:rPr>
        <w:rFonts w:hint="default"/>
        <w:b/>
        <w:bCs/>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pStyle w:val="705"/>
      <w:isLgl w:val="false"/>
      <w:suff w:val="space"/>
      <w:lvlText w:val="%1"/>
      <w:lvlJc w:val="left"/>
      <w:pPr>
        <w:ind w:left="425" w:hanging="425"/>
      </w:pPr>
      <w:rPr>
        <w:rFonts w:hint="eastAsia" w:ascii="宋体" w:hAnsi="宋体" w:eastAsia="宋体"/>
        <w:b/>
        <w:i w:val="0"/>
        <w:sz w:val="28"/>
      </w:rPr>
    </w:lvl>
    <w:lvl w:ilvl="1">
      <w:start w:val="1"/>
      <w:numFmt w:val="decimal"/>
      <w:pStyle w:val="704"/>
      <w:isLgl w:val="false"/>
      <w:suff w:val="space"/>
      <w:lvlText w:val="%1.%2"/>
      <w:lvlJc w:val="left"/>
      <w:pPr>
        <w:ind w:left="567" w:hanging="567"/>
      </w:pPr>
      <w:rPr>
        <w:rFonts w:hint="eastAsia" w:ascii="宋体" w:hAnsi="宋体" w:eastAsia="宋体"/>
        <w:b/>
        <w:i w:val="0"/>
      </w:rPr>
    </w:lvl>
    <w:lvl w:ilvl="2">
      <w:start w:val="1"/>
      <w:numFmt w:val="decimal"/>
      <w:pStyle w:val="705"/>
      <w:isLgl w:val="false"/>
      <w:suff w:val="space"/>
      <w:lvlText w:val="%1.%2.%3"/>
      <w:lvlJc w:val="left"/>
      <w:pPr>
        <w:ind w:left="919" w:hanging="709"/>
      </w:pPr>
      <w:rPr>
        <w:rFonts w:hint="eastAsia" w:ascii="宋体" w:hAnsi="宋体" w:eastAsia="宋体"/>
        <w:b/>
        <w:i w:val="0"/>
      </w:rPr>
    </w:lvl>
    <w:lvl w:ilvl="3">
      <w:start w:val="1"/>
      <w:numFmt w:val="decimal"/>
      <w:pStyle w:val="706"/>
      <w:isLgl w:val="false"/>
      <w:suff w:val="space"/>
      <w:lvlText w:val="%1.%2.%3.%4"/>
      <w:lvlJc w:val="left"/>
      <w:pPr>
        <w:ind w:left="1271" w:hanging="851"/>
      </w:pPr>
      <w:rPr>
        <w:rFonts w:hint="eastAsia" w:ascii="宋体" w:hAnsi="宋体" w:eastAsia="宋体"/>
        <w:b/>
        <w:i w:val="0"/>
      </w:rPr>
    </w:lvl>
    <w:lvl w:ilvl="4">
      <w:start w:val="1"/>
      <w:numFmt w:val="decimal"/>
      <w:pStyle w:val="707"/>
      <w:isLgl w:val="false"/>
      <w:suff w:val="space"/>
      <w:lvlText w:val="%1.%2.%3.%4.%5"/>
      <w:lvlJc w:val="left"/>
      <w:pPr>
        <w:ind w:left="1622" w:hanging="992"/>
      </w:pPr>
      <w:rPr>
        <w:rFonts w:hint="eastAsia" w:ascii="宋体" w:hAnsi="宋体" w:eastAsia="宋体"/>
        <w:b/>
        <w:i w:val="0"/>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695"/>
      <w:isLgl w:val="false"/>
      <w:suff w:val="tab"/>
      <w:lvlText w:val="%1"/>
      <w:lvlJc w:val="left"/>
      <w:pPr>
        <w:ind w:left="432" w:hanging="432"/>
      </w:pPr>
      <w:rPr>
        <w:rFonts w:hint="eastAsia"/>
      </w:rPr>
    </w:lvl>
    <w:lvl w:ilvl="1">
      <w:start w:val="1"/>
      <w:numFmt w:val="decimal"/>
      <w:pStyle w:val="697"/>
      <w:isLgl w:val="false"/>
      <w:suff w:val="tab"/>
      <w:lvlText w:val="%1.%2"/>
      <w:lvlJc w:val="left"/>
      <w:pPr>
        <w:ind w:left="718" w:hanging="576"/>
      </w:pPr>
      <w:rPr>
        <w:rFonts w:hint="eastAsia"/>
      </w:rPr>
    </w:lvl>
    <w:lvl w:ilvl="2">
      <w:start w:val="1"/>
      <w:numFmt w:val="decimal"/>
      <w:pStyle w:val="699"/>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9">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655"/>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3"/>
  </w:num>
  <w:num w:numId="2">
    <w:abstractNumId w:val="9"/>
  </w:num>
  <w:num w:numId="3">
    <w:abstractNumId w:val="8"/>
  </w:num>
  <w:num w:numId="4">
    <w:abstractNumId w:val="2"/>
  </w:num>
  <w:num w:numId="5">
    <w:abstractNumId w:val="5"/>
  </w:num>
  <w:num w:numId="6">
    <w:abstractNumId w:val="6"/>
  </w:num>
  <w:num w:numId="7">
    <w:abstractNumId w:val="7"/>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7"/>
    <w:link w:val="652"/>
    <w:uiPriority w:val="9"/>
    <w:rPr>
      <w:rFonts w:ascii="Arial" w:hAnsi="Arial" w:eastAsia="Arial" w:cs="Arial"/>
      <w:sz w:val="40"/>
      <w:szCs w:val="40"/>
    </w:rPr>
  </w:style>
  <w:style w:type="character" w:styleId="15">
    <w:name w:val="Heading 2 Char"/>
    <w:basedOn w:val="657"/>
    <w:link w:val="653"/>
    <w:uiPriority w:val="9"/>
    <w:rPr>
      <w:rFonts w:ascii="Arial" w:hAnsi="Arial" w:eastAsia="Arial" w:cs="Arial"/>
      <w:sz w:val="34"/>
    </w:rPr>
  </w:style>
  <w:style w:type="character" w:styleId="17">
    <w:name w:val="Heading 3 Char"/>
    <w:basedOn w:val="657"/>
    <w:link w:val="654"/>
    <w:uiPriority w:val="9"/>
    <w:rPr>
      <w:rFonts w:ascii="Arial" w:hAnsi="Arial" w:eastAsia="Arial" w:cs="Arial"/>
      <w:sz w:val="30"/>
      <w:szCs w:val="30"/>
    </w:rPr>
  </w:style>
  <w:style w:type="character" w:styleId="19">
    <w:name w:val="Heading 4 Char"/>
    <w:basedOn w:val="657"/>
    <w:link w:val="655"/>
    <w:uiPriority w:val="9"/>
    <w:rPr>
      <w:rFonts w:ascii="Arial" w:hAnsi="Arial" w:eastAsia="Arial" w:cs="Arial"/>
      <w:b/>
      <w:bCs/>
      <w:sz w:val="26"/>
      <w:szCs w:val="26"/>
    </w:rPr>
  </w:style>
  <w:style w:type="character" w:styleId="21">
    <w:name w:val="Heading 5 Char"/>
    <w:basedOn w:val="657"/>
    <w:link w:val="656"/>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7"/>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7"/>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7"/>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7"/>
    <w:link w:val="28"/>
    <w:uiPriority w:val="9"/>
    <w:rPr>
      <w:rFonts w:ascii="Arial" w:hAnsi="Arial" w:eastAsia="Arial" w:cs="Arial"/>
      <w:i/>
      <w:iCs/>
      <w:sz w:val="21"/>
      <w:szCs w:val="21"/>
    </w:r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7"/>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7"/>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7"/>
    <w:link w:val="670"/>
    <w:uiPriority w:val="99"/>
  </w:style>
  <w:style w:type="character" w:styleId="44">
    <w:name w:val="Footer Char"/>
    <w:basedOn w:val="657"/>
    <w:link w:val="668"/>
    <w:uiPriority w:val="99"/>
  </w:style>
  <w:style w:type="character" w:styleId="46">
    <w:name w:val="Caption Char"/>
    <w:basedOn w:val="661"/>
    <w:link w:val="668"/>
    <w:uiPriority w:val="99"/>
  </w:style>
  <w:style w:type="table" w:styleId="48">
    <w:name w:val="Table Grid Light"/>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7"/>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7"/>
    <w:uiPriority w:val="99"/>
    <w:semiHidden/>
    <w:unhideWhenUsed/>
    <w:rPr>
      <w:vertAlign w:val="superscript"/>
    </w:r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2">
    <w:name w:val="Heading 1"/>
    <w:basedOn w:val="651"/>
    <w:next w:val="651"/>
    <w:link w:val="688"/>
    <w:uiPriority w:val="9"/>
    <w:qFormat/>
    <w:pPr>
      <w:numPr>
        <w:ilvl w:val="0"/>
        <w:numId w:val="1"/>
      </w:numPr>
      <w:ind w:firstLine="0"/>
      <w:keepLines/>
      <w:keepNext/>
      <w:spacing w:after="120"/>
      <w:outlineLvl w:val="0"/>
    </w:pPr>
    <w:rPr>
      <w:rFonts w:eastAsia="黑体"/>
      <w:b/>
      <w:bCs/>
      <w:sz w:val="36"/>
      <w:szCs w:val="44"/>
    </w:rPr>
  </w:style>
  <w:style w:type="paragraph" w:styleId="653">
    <w:name w:val="Heading 2"/>
    <w:basedOn w:val="651"/>
    <w:next w:val="651"/>
    <w:link w:val="689"/>
    <w:uiPriority w:val="9"/>
    <w:unhideWhenUsed/>
    <w:qFormat/>
    <w:pPr>
      <w:numPr>
        <w:ilvl w:val="1"/>
        <w:numId w:val="1"/>
      </w:numPr>
      <w:ind w:firstLine="0"/>
      <w:keepLines/>
      <w:keepNext/>
      <w:spacing w:before="260" w:after="260"/>
      <w:outlineLvl w:val="1"/>
    </w:pPr>
    <w:rPr>
      <w:rFonts w:eastAsia="黑体" w:asciiTheme="majorHAnsi" w:hAnsiTheme="majorHAnsi" w:cstheme="majorBidi"/>
      <w:b/>
      <w:bCs/>
      <w:sz w:val="32"/>
      <w:szCs w:val="32"/>
    </w:rPr>
  </w:style>
  <w:style w:type="paragraph" w:styleId="654">
    <w:name w:val="Heading 3"/>
    <w:basedOn w:val="651"/>
    <w:next w:val="651"/>
    <w:link w:val="690"/>
    <w:uiPriority w:val="9"/>
    <w:unhideWhenUsed/>
    <w:qFormat/>
    <w:pPr>
      <w:numPr>
        <w:ilvl w:val="2"/>
        <w:numId w:val="1"/>
      </w:numPr>
      <w:ind w:left="0" w:firstLine="0"/>
      <w:keepLines/>
      <w:keepNext/>
      <w:spacing w:before="260" w:after="260"/>
      <w:outlineLvl w:val="2"/>
    </w:pPr>
    <w:rPr>
      <w:rFonts w:eastAsia="黑体"/>
      <w:b/>
      <w:bCs/>
      <w:sz w:val="30"/>
      <w:szCs w:val="32"/>
    </w:rPr>
  </w:style>
  <w:style w:type="paragraph" w:styleId="655">
    <w:name w:val="Heading 4"/>
    <w:basedOn w:val="651"/>
    <w:next w:val="651"/>
    <w:uiPriority w:val="9"/>
    <w:unhideWhenUsed/>
    <w:qFormat/>
    <w:pPr>
      <w:numPr>
        <w:ilvl w:val="3"/>
        <w:numId w:val="2"/>
      </w:numPr>
      <w:ind w:left="0" w:firstLine="0"/>
      <w:keepLines/>
      <w:keepNext/>
      <w:spacing w:before="60" w:after="60"/>
      <w:outlineLvl w:val="3"/>
    </w:pPr>
    <w:rPr>
      <w:rFonts w:eastAsia="黑体" w:asciiTheme="majorHAnsi" w:hAnsiTheme="majorHAnsi" w:cstheme="majorBidi"/>
      <w:b/>
      <w:bCs/>
      <w:sz w:val="28"/>
      <w:szCs w:val="28"/>
    </w:rPr>
  </w:style>
  <w:style w:type="paragraph" w:styleId="656">
    <w:name w:val="Heading 5"/>
    <w:basedOn w:val="651"/>
    <w:next w:val="651"/>
    <w:uiPriority w:val="9"/>
    <w:unhideWhenUsed/>
    <w:qFormat/>
    <w:pPr>
      <w:ind w:firstLine="562"/>
      <w:keepLines/>
      <w:keepNext/>
      <w:spacing w:before="20" w:after="20"/>
      <w:outlineLvl w:val="4"/>
    </w:pPr>
    <w:rPr>
      <w:rFonts w:ascii="Times New Roman" w:hAnsi="Times New Roman" w:eastAsia="黑体"/>
      <w:b/>
      <w:bCs/>
      <w:sz w:val="28"/>
      <w:szCs w:val="28"/>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customStyle="1">
    <w:name w:val="标题 211"/>
    <w:basedOn w:val="651"/>
    <w:next w:val="651"/>
    <w:uiPriority w:val="9"/>
    <w:unhideWhenUsed/>
    <w:qFormat/>
    <w:pPr>
      <w:keepLines/>
      <w:keepNext/>
      <w:spacing w:before="360" w:after="200"/>
      <w:outlineLvl w:val="1"/>
    </w:pPr>
    <w:rPr>
      <w:rFonts w:ascii="Arial" w:hAnsi="Arial" w:cs="Arial"/>
      <w:sz w:val="34"/>
    </w:rPr>
  </w:style>
  <w:style w:type="paragraph" w:styleId="660">
    <w:name w:val="Normal Indent"/>
    <w:basedOn w:val="651"/>
    <w:next w:val="651"/>
    <w:uiPriority w:val="0"/>
    <w:qFormat/>
    <w:pPr>
      <w:ind w:firstLine="420"/>
    </w:pPr>
    <w:rPr>
      <w:szCs w:val="20"/>
    </w:rPr>
  </w:style>
  <w:style w:type="paragraph" w:styleId="661">
    <w:name w:val="Caption"/>
    <w:basedOn w:val="651"/>
    <w:next w:val="651"/>
    <w:uiPriority w:val="0"/>
    <w:qFormat/>
    <w:rPr>
      <w:rFonts w:ascii="Arial" w:hAnsi="Arial" w:eastAsia="黑体"/>
      <w:sz w:val="20"/>
      <w:szCs w:val="20"/>
    </w:rPr>
  </w:style>
  <w:style w:type="paragraph" w:styleId="662">
    <w:name w:val="Document Map"/>
    <w:basedOn w:val="651"/>
    <w:link w:val="714"/>
    <w:uiPriority w:val="99"/>
    <w:qFormat/>
    <w:rPr>
      <w:rFonts w:ascii="宋体"/>
      <w:sz w:val="18"/>
      <w:szCs w:val="18"/>
    </w:rPr>
  </w:style>
  <w:style w:type="paragraph" w:styleId="663">
    <w:name w:val="annotation text"/>
    <w:basedOn w:val="651"/>
    <w:link w:val="710"/>
    <w:uiPriority w:val="99"/>
    <w:qFormat/>
    <w:pPr>
      <w:jc w:val="left"/>
    </w:pPr>
  </w:style>
  <w:style w:type="paragraph" w:styleId="664">
    <w:name w:val="Body Text"/>
    <w:basedOn w:val="651"/>
    <w:next w:val="660"/>
    <w:uiPriority w:val="0"/>
    <w:qFormat/>
    <w:pPr>
      <w:spacing w:after="120"/>
    </w:pPr>
    <w:rPr>
      <w:sz w:val="28"/>
    </w:rPr>
  </w:style>
  <w:style w:type="paragraph" w:styleId="665">
    <w:name w:val="Body Text Indent"/>
    <w:basedOn w:val="651"/>
    <w:next w:val="651"/>
    <w:link w:val="712"/>
    <w:uiPriority w:val="99"/>
    <w:qFormat/>
    <w:pPr>
      <w:ind w:firstLine="301"/>
      <w:spacing w:line="200" w:lineRule="exact"/>
    </w:pPr>
    <w:rPr>
      <w:sz w:val="24"/>
      <w:szCs w:val="20"/>
    </w:rPr>
  </w:style>
  <w:style w:type="paragraph" w:styleId="666">
    <w:name w:val="Plain Text"/>
    <w:basedOn w:val="651"/>
    <w:uiPriority w:val="0"/>
    <w:qFormat/>
    <w:pPr>
      <w:spacing w:line="400" w:lineRule="exact"/>
    </w:pPr>
    <w:rPr>
      <w:rFonts w:ascii="宋体" w:hAnsi="Courier New"/>
      <w:szCs w:val="24"/>
    </w:rPr>
  </w:style>
  <w:style w:type="paragraph" w:styleId="667">
    <w:name w:val="Body Text Indent 2"/>
    <w:basedOn w:val="651"/>
    <w:uiPriority w:val="0"/>
    <w:qFormat/>
    <w:pPr>
      <w:jc w:val="left"/>
      <w:spacing w:after="120" w:line="480" w:lineRule="auto"/>
    </w:pPr>
  </w:style>
  <w:style w:type="paragraph" w:styleId="668">
    <w:name w:val="Footer"/>
    <w:basedOn w:val="651"/>
    <w:link w:val="683"/>
    <w:uiPriority w:val="99"/>
    <w:unhideWhenUsed/>
    <w:qFormat/>
    <w:pPr>
      <w:jc w:val="left"/>
      <w:tabs>
        <w:tab w:val="center" w:pos="4153" w:leader="none"/>
        <w:tab w:val="right" w:pos="8306" w:leader="none"/>
      </w:tabs>
    </w:pPr>
    <w:rPr>
      <w:sz w:val="18"/>
      <w:szCs w:val="18"/>
    </w:rPr>
  </w:style>
  <w:style w:type="paragraph" w:styleId="669">
    <w:name w:val="envelope return"/>
    <w:basedOn w:val="651"/>
    <w:uiPriority w:val="0"/>
    <w:qFormat/>
    <w:rPr>
      <w:rFonts w:ascii="Arial" w:hAnsi="Arial" w:eastAsia="宋体"/>
      <w:szCs w:val="24"/>
    </w:rPr>
  </w:style>
  <w:style w:type="paragraph" w:styleId="670">
    <w:name w:val="Header"/>
    <w:basedOn w:val="651"/>
    <w:link w:val="6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51"/>
    <w:next w:val="672"/>
    <w:uiPriority w:val="39"/>
    <w:qFormat/>
    <w:pPr>
      <w:jc w:val="left"/>
      <w:spacing w:before="120"/>
    </w:pPr>
    <w:rPr>
      <w:b/>
      <w:caps/>
      <w:sz w:val="22"/>
    </w:rPr>
  </w:style>
  <w:style w:type="paragraph" w:styleId="672">
    <w:name w:val="toc 2"/>
    <w:basedOn w:val="671"/>
    <w:next w:val="651"/>
    <w:uiPriority w:val="39"/>
    <w:unhideWhenUsed/>
    <w:qFormat/>
    <w:pPr>
      <w:ind w:left="420"/>
    </w:pPr>
  </w:style>
  <w:style w:type="paragraph" w:styleId="673">
    <w:name w:val="Normal (Web)"/>
    <w:basedOn w:val="651"/>
    <w:uiPriority w:val="0"/>
    <w:unhideWhenUsed/>
    <w:qFormat/>
    <w:pPr>
      <w:spacing w:before="100" w:beforeAutospacing="1" w:after="100" w:afterAutospacing="1"/>
    </w:pPr>
    <w:rPr>
      <w:rFonts w:ascii="宋体" w:hAnsi="宋体" w:cs="宋体"/>
      <w:szCs w:val="24"/>
    </w:rPr>
  </w:style>
  <w:style w:type="paragraph" w:styleId="674">
    <w:name w:val="annotation subject"/>
    <w:basedOn w:val="663"/>
    <w:next w:val="663"/>
    <w:link w:val="711"/>
    <w:uiPriority w:val="99"/>
    <w:semiHidden/>
    <w:unhideWhenUsed/>
    <w:qFormat/>
    <w:rPr>
      <w:b/>
      <w:bCs/>
    </w:rPr>
  </w:style>
  <w:style w:type="paragraph" w:styleId="675">
    <w:name w:val="Body Text First Indent"/>
    <w:basedOn w:val="651"/>
    <w:next w:val="651"/>
    <w:uiPriority w:val="0"/>
    <w:qFormat/>
    <w:pPr>
      <w:ind w:firstLine="420"/>
      <w:spacing w:after="120"/>
    </w:pPr>
    <w:rPr>
      <w:rFonts w:ascii="Tahoma" w:hAnsi="Tahoma" w:eastAsia="Times New Roman"/>
      <w:szCs w:val="24"/>
    </w:rPr>
  </w:style>
  <w:style w:type="paragraph" w:styleId="676">
    <w:name w:val="Body Text First Indent 2"/>
    <w:basedOn w:val="665"/>
    <w:link w:val="713"/>
    <w:uiPriority w:val="99"/>
    <w:semiHidden/>
    <w:unhideWhenUsed/>
    <w:qFormat/>
    <w:pPr>
      <w:ind w:left="420" w:firstLine="420"/>
      <w:spacing w:after="120" w:line="240" w:lineRule="auto"/>
    </w:pPr>
    <w:rPr>
      <w:sz w:val="21"/>
      <w:szCs w:val="22"/>
    </w:rPr>
  </w:style>
  <w:style w:type="table" w:styleId="677">
    <w:name w:val="Table Grid"/>
    <w:basedOn w:val="658"/>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8">
    <w:name w:val="Strong"/>
    <w:basedOn w:val="657"/>
    <w:uiPriority w:val="0"/>
    <w:qFormat/>
    <w:rPr>
      <w:b/>
    </w:rPr>
  </w:style>
  <w:style w:type="character" w:styleId="679">
    <w:name w:val="page number"/>
    <w:basedOn w:val="657"/>
    <w:uiPriority w:val="0"/>
    <w:qFormat/>
  </w:style>
  <w:style w:type="character" w:styleId="680">
    <w:name w:val="Hyperlink"/>
    <w:uiPriority w:val="99"/>
    <w:unhideWhenUsed/>
    <w:qFormat/>
    <w:rPr>
      <w:color w:val="0563c1" w:themeColor="hyperlink"/>
      <w:u w:val="single"/>
      <w14:textFill>
        <w14:solidFill>
          <w14:schemeClr w14:val="hlink"/>
        </w14:solidFill>
      </w14:textFill>
    </w:rPr>
  </w:style>
  <w:style w:type="character" w:styleId="681">
    <w:name w:val="annotation reference"/>
    <w:basedOn w:val="657"/>
    <w:uiPriority w:val="99"/>
    <w:semiHidden/>
    <w:unhideWhenUsed/>
    <w:qFormat/>
    <w:rPr>
      <w:sz w:val="21"/>
      <w:szCs w:val="21"/>
    </w:rPr>
  </w:style>
  <w:style w:type="character" w:styleId="682" w:customStyle="1">
    <w:name w:val="页眉 字符"/>
    <w:basedOn w:val="657"/>
    <w:link w:val="670"/>
    <w:uiPriority w:val="99"/>
    <w:qFormat/>
    <w:rPr>
      <w:sz w:val="18"/>
      <w:szCs w:val="18"/>
    </w:rPr>
  </w:style>
  <w:style w:type="character" w:styleId="683" w:customStyle="1">
    <w:name w:val="页脚 字符"/>
    <w:basedOn w:val="657"/>
    <w:link w:val="668"/>
    <w:uiPriority w:val="99"/>
    <w:qFormat/>
    <w:rPr>
      <w:sz w:val="18"/>
      <w:szCs w:val="18"/>
    </w:rPr>
  </w:style>
  <w:style w:type="paragraph" w:styleId="684">
    <w:name w:val="List Paragraph"/>
    <w:basedOn w:val="651"/>
    <w:link w:val="687"/>
    <w:uiPriority w:val="34"/>
    <w:qFormat/>
    <w:pPr>
      <w:ind w:firstLine="420"/>
      <w:spacing w:line="360" w:lineRule="auto"/>
    </w:pPr>
    <w:rPr>
      <w:rFonts w:eastAsia="宋体"/>
      <w:sz w:val="24"/>
    </w:rPr>
  </w:style>
  <w:style w:type="paragraph" w:styleId="685" w:customStyle="1">
    <w:name w:val="正文2"/>
    <w:basedOn w:val="651"/>
    <w:link w:val="686"/>
    <w:uiPriority w:val="0"/>
    <w:qFormat/>
    <w:pPr>
      <w:ind w:firstLine="200"/>
      <w:spacing w:line="360" w:lineRule="auto"/>
    </w:pPr>
    <w:rPr>
      <w:rFonts w:eastAsia="宋体" w:cs="Times New Roman" w:asciiTheme="majorEastAsia" w:hAnsiTheme="majorEastAsia"/>
      <w:sz w:val="24"/>
      <w:szCs w:val="24"/>
    </w:rPr>
  </w:style>
  <w:style w:type="character" w:styleId="686" w:customStyle="1">
    <w:name w:val="正文2 字符"/>
    <w:link w:val="685"/>
    <w:uiPriority w:val="0"/>
    <w:qFormat/>
    <w:rPr>
      <w:rFonts w:eastAsia="宋体" w:cs="Times New Roman" w:asciiTheme="majorEastAsia" w:hAnsiTheme="majorEastAsia"/>
      <w:sz w:val="24"/>
      <w:szCs w:val="24"/>
    </w:rPr>
  </w:style>
  <w:style w:type="character" w:styleId="687" w:customStyle="1">
    <w:name w:val="列表段落 字符"/>
    <w:link w:val="684"/>
    <w:uiPriority w:val="34"/>
    <w:qFormat/>
    <w:rPr>
      <w:rFonts w:eastAsia="宋体"/>
      <w:sz w:val="24"/>
    </w:rPr>
  </w:style>
  <w:style w:type="character" w:styleId="688" w:customStyle="1">
    <w:name w:val="标题 1 字符"/>
    <w:basedOn w:val="657"/>
    <w:link w:val="652"/>
    <w:uiPriority w:val="9"/>
    <w:qFormat/>
    <w:rPr>
      <w:rFonts w:eastAsia="黑体"/>
      <w:b/>
      <w:bCs/>
      <w:sz w:val="36"/>
      <w:szCs w:val="44"/>
    </w:rPr>
  </w:style>
  <w:style w:type="character" w:styleId="689" w:customStyle="1">
    <w:name w:val="标题 2 字符"/>
    <w:basedOn w:val="657"/>
    <w:link w:val="653"/>
    <w:uiPriority w:val="9"/>
    <w:qFormat/>
    <w:rPr>
      <w:rFonts w:eastAsia="黑体" w:asciiTheme="majorHAnsi" w:hAnsiTheme="majorHAnsi" w:cstheme="majorBidi"/>
      <w:b/>
      <w:bCs/>
      <w:sz w:val="32"/>
      <w:szCs w:val="32"/>
    </w:rPr>
  </w:style>
  <w:style w:type="character" w:styleId="690" w:customStyle="1">
    <w:name w:val="标题 3 字符"/>
    <w:basedOn w:val="657"/>
    <w:link w:val="654"/>
    <w:uiPriority w:val="9"/>
    <w:qFormat/>
    <w:rPr>
      <w:rFonts w:eastAsia="黑体"/>
      <w:b/>
      <w:bCs/>
      <w:sz w:val="30"/>
      <w:szCs w:val="32"/>
    </w:rPr>
  </w:style>
  <w:style w:type="paragraph" w:styleId="691" w:customStyle="1">
    <w:name w:val="☆ 正文"/>
    <w:basedOn w:val="651"/>
    <w:uiPriority w:val="0"/>
    <w:qFormat/>
    <w:rPr>
      <w:rFonts w:ascii="Calibri" w:hAnsi="Calibri" w:eastAsia="宋体" w:cs="Times New Roman"/>
    </w:rPr>
  </w:style>
  <w:style w:type="paragraph" w:styleId="692" w:customStyle="1">
    <w:name w:val="_正文"/>
    <w:basedOn w:val="651"/>
    <w:uiPriority w:val="0"/>
    <w:qFormat/>
  </w:style>
  <w:style w:type="table" w:styleId="693" w:customStyle="1">
    <w:name w:val="清单表 4 - 着色 11"/>
    <w:basedOn w:val="658"/>
    <w:uiPriority w:val="49"/>
    <w:qFormat/>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band1Horz">
      <w:tcPr>
        <w:shd w:val="clear" w:color="auto" w:fill="d9e2f3" w:themeFill="accent1" w:themeFillTint="33"/>
      </w:tcPr>
    </w:tblStylePr>
    <w:tblStylePr w:type="band1Vert">
      <w:tcPr>
        <w:shd w:val="clear" w:color="auto" w:fill="d9e2f3"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insideH w:val="none" w:color="000000" w:sz="4" w:space="0"/>
        </w:tcBorders>
      </w:tcPr>
    </w:tblStylePr>
    <w:tblStylePr w:type="lastCol">
      <w:rPr>
        <w:b/>
        <w:bCs/>
      </w:rPr>
    </w:tblStylePr>
    <w:tblStylePr w:type="lastRow">
      <w:rPr>
        <w:b/>
        <w:bCs/>
      </w:rPr>
      <w:tcPr>
        <w:tcBorders>
          <w:top w:val="single" w:color="8EAADB" w:themeColor="accent1" w:themeTint="99" w:sz="4" w:space="0"/>
        </w:tcBorders>
      </w:tcPr>
    </w:tblStylePr>
  </w:style>
  <w:style w:type="table" w:styleId="694" w:customStyle="1">
    <w:name w:val="清单表 3 - 着色 11"/>
    <w:basedOn w:val="658"/>
    <w:uiPriority w:val="48"/>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tcPr>
        <w:tcBorders>
          <w:top w:val="single" w:color="4472C4" w:themeColor="accent1" w:sz="4" w:space="0"/>
          <w:bottom w:val="single" w:color="4472C4" w:themeColor="accent1" w:sz="4" w:space="0"/>
          <w:insideH w:val="none" w:color="000000" w:sz="4" w:space="0"/>
        </w:tcBorders>
      </w:tcPr>
    </w:tblStylePr>
    <w:tblStylePr w:type="band1Vert">
      <w:tcPr>
        <w:tcBorders>
          <w:left w:val="single" w:color="4472C4" w:themeColor="accent1" w:sz="4" w:space="0"/>
          <w:right w:val="single" w:color="4472C4"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472c4"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472C4"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472C4" w:themeColor="accent1" w:sz="4" w:space="0"/>
          <w:right w:val="none" w:color="000000" w:sz="4" w:space="0"/>
        </w:tcBorders>
      </w:tcPr>
    </w:tblStylePr>
    <w:tblStylePr w:type="seCell">
      <w:tcPr>
        <w:tcBorders>
          <w:top w:val="single" w:color="4472C4" w:themeColor="accent1" w:sz="4" w:space="0"/>
          <w:left w:val="none" w:color="000000" w:sz="4" w:space="0"/>
        </w:tcBorders>
      </w:tcPr>
    </w:tblStylePr>
  </w:style>
  <w:style w:type="paragraph" w:styleId="695" w:customStyle="1">
    <w:name w:val="JS标题1级"/>
    <w:next w:val="696"/>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696" w:customStyle="1">
    <w:name w:val="JS正文(段落)"/>
    <w:uiPriority w:val="0"/>
    <w:qFormat/>
    <w:pPr>
      <w:ind w:firstLine="420"/>
      <w:jc w:val="both"/>
      <w:spacing w:before="120" w:after="120" w:line="360" w:lineRule="auto"/>
      <w:tabs>
        <w:tab w:val="center" w:pos="4201" w:leader="none"/>
        <w:tab w:val="right" w:pos="9298" w:leader="dot"/>
      </w:tabs>
    </w:pPr>
    <w:rPr>
      <w:rFonts w:ascii="宋体" w:hAnsi="Times New Roman" w:eastAsia="宋体" w:cs="Times New Roman"/>
      <w:sz w:val="21"/>
      <w:lang w:val="en-US" w:eastAsia="zh-CN" w:bidi="ar-SA"/>
    </w:rPr>
  </w:style>
  <w:style w:type="paragraph" w:styleId="697" w:customStyle="1">
    <w:name w:val="JS标题2级"/>
    <w:basedOn w:val="698"/>
    <w:next w:val="696"/>
    <w:uiPriority w:val="0"/>
    <w:qFormat/>
    <w:pPr>
      <w:numPr>
        <w:numId w:val="3"/>
      </w:numPr>
      <w:spacing w:before="50" w:after="50"/>
    </w:pPr>
  </w:style>
  <w:style w:type="paragraph" w:styleId="698" w:customStyle="1">
    <w:name w:val="一级条标题"/>
    <w:next w:val="696"/>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699" w:customStyle="1">
    <w:name w:val="JS标题3级"/>
    <w:basedOn w:val="697"/>
    <w:uiPriority w:val="0"/>
    <w:qFormat/>
    <w:pPr>
      <w:numPr>
        <w:ilvl w:val="2"/>
      </w:numPr>
      <w:outlineLvl w:val="3"/>
    </w:pPr>
  </w:style>
  <w:style w:type="table" w:styleId="700" w:customStyle="1">
    <w:name w:val="网格型20"/>
    <w:basedOn w:val="6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1" w:customStyle="1">
    <w:name w:val="接口表格"/>
    <w:basedOn w:val="651"/>
    <w:uiPriority w:val="0"/>
    <w:qFormat/>
    <w:rPr>
      <w:rFonts w:ascii="宋体" w:hAnsi="宋体"/>
      <w:szCs w:val="21"/>
    </w:rPr>
  </w:style>
  <w:style w:type="paragraph" w:styleId="702" w:customStyle="1">
    <w:name w:val="*Body Text"/>
    <w:uiPriority w:val="0"/>
    <w:qFormat/>
    <w:pPr>
      <w:spacing w:line="360" w:lineRule="auto"/>
    </w:pPr>
    <w:rPr>
      <w:rFonts w:ascii="Futura Lt" w:hAnsi="Futura Lt" w:eastAsia="宋体" w:cs="Futura Lt"/>
      <w:sz w:val="21"/>
      <w:szCs w:val="21"/>
      <w:lang w:val="en-US" w:eastAsia="en-US" w:bidi="ar-SA"/>
    </w:rPr>
  </w:style>
  <w:style w:type="paragraph" w:styleId="703" w:customStyle="1">
    <w:name w:val="FC正文"/>
    <w:basedOn w:val="651"/>
    <w:uiPriority w:val="0"/>
    <w:qFormat/>
    <w:pPr>
      <w:ind w:firstLine="200"/>
      <w:spacing w:line="360" w:lineRule="auto"/>
      <w:widowControl/>
    </w:pPr>
    <w:rPr>
      <w:szCs w:val="24"/>
    </w:rPr>
  </w:style>
  <w:style w:type="paragraph" w:styleId="704" w:customStyle="1">
    <w:name w:val="一体化二"/>
    <w:basedOn w:val="651"/>
    <w:uiPriority w:val="0"/>
    <w:qFormat/>
    <w:pPr>
      <w:numPr>
        <w:ilvl w:val="1"/>
        <w:numId w:val="5"/>
      </w:numPr>
      <w:keepLines/>
      <w:keepNext/>
      <w:spacing w:line="480" w:lineRule="auto"/>
      <w:outlineLvl w:val="1"/>
    </w:pPr>
    <w:rPr>
      <w:rFonts w:ascii="宋体" w:hAnsi="宋体"/>
      <w:b/>
      <w:bCs/>
      <w:sz w:val="24"/>
      <w:szCs w:val="32"/>
    </w:rPr>
  </w:style>
  <w:style w:type="paragraph" w:styleId="705" w:customStyle="1">
    <w:name w:val="一体化三"/>
    <w:basedOn w:val="654"/>
    <w:uiPriority w:val="0"/>
    <w:qFormat/>
    <w:pPr>
      <w:numPr>
        <w:numId w:val="5"/>
      </w:numPr>
      <w:spacing w:line="415" w:lineRule="auto"/>
    </w:pPr>
    <w:rPr>
      <w:sz w:val="24"/>
    </w:rPr>
  </w:style>
  <w:style w:type="paragraph" w:styleId="706" w:customStyle="1">
    <w:name w:val="一体化四"/>
    <w:basedOn w:val="705"/>
    <w:uiPriority w:val="0"/>
    <w:qFormat/>
    <w:pPr>
      <w:numPr>
        <w:ilvl w:val="3"/>
      </w:numPr>
      <w:outlineLvl w:val="3"/>
    </w:pPr>
  </w:style>
  <w:style w:type="paragraph" w:styleId="707" w:customStyle="1">
    <w:name w:val="一体化五"/>
    <w:basedOn w:val="706"/>
    <w:uiPriority w:val="0"/>
    <w:qFormat/>
    <w:pPr>
      <w:numPr>
        <w:ilvl w:val="4"/>
      </w:numPr>
      <w:outlineLvl w:val="4"/>
    </w:pPr>
  </w:style>
  <w:style w:type="paragraph" w:styleId="708" w:customStyle="1">
    <w:name w:val="纯文本1"/>
    <w:basedOn w:val="651"/>
    <w:uiPriority w:val="0"/>
    <w:qFormat/>
    <w:rPr>
      <w:rFonts w:ascii="宋体" w:hAnsi="Courier New"/>
      <w:szCs w:val="20"/>
    </w:rPr>
  </w:style>
  <w:style w:type="paragraph" w:styleId="709" w:customStyle="1">
    <w:name w:val="纯文本2"/>
    <w:basedOn w:val="651"/>
    <w:uiPriority w:val="0"/>
    <w:qFormat/>
    <w:rPr>
      <w:rFonts w:ascii="宋体" w:hAnsi="Courier New" w:eastAsia="楷体_GB2312" w:cs="Times New Roman"/>
      <w:sz w:val="26"/>
      <w:szCs w:val="20"/>
    </w:rPr>
  </w:style>
  <w:style w:type="character" w:styleId="710" w:customStyle="1">
    <w:name w:val="批注文字 字符"/>
    <w:basedOn w:val="657"/>
    <w:link w:val="663"/>
    <w:uiPriority w:val="99"/>
    <w:qFormat/>
    <w:rPr>
      <w:rFonts w:asciiTheme="minorHAnsi" w:hAnsiTheme="minorHAnsi" w:eastAsiaTheme="minorEastAsia" w:cstheme="minorBidi"/>
      <w:sz w:val="21"/>
      <w:szCs w:val="22"/>
    </w:rPr>
  </w:style>
  <w:style w:type="character" w:styleId="711" w:customStyle="1">
    <w:name w:val="批注主题 字符"/>
    <w:basedOn w:val="710"/>
    <w:link w:val="674"/>
    <w:uiPriority w:val="99"/>
    <w:semiHidden/>
    <w:qFormat/>
    <w:rPr>
      <w:rFonts w:asciiTheme="minorHAnsi" w:hAnsiTheme="minorHAnsi" w:eastAsiaTheme="minorEastAsia" w:cstheme="minorBidi"/>
      <w:b/>
      <w:bCs/>
      <w:sz w:val="21"/>
      <w:szCs w:val="22"/>
    </w:rPr>
  </w:style>
  <w:style w:type="character" w:styleId="712" w:customStyle="1">
    <w:name w:val="正文文本缩进 字符"/>
    <w:basedOn w:val="657"/>
    <w:link w:val="665"/>
    <w:uiPriority w:val="99"/>
    <w:qFormat/>
    <w:rPr>
      <w:rFonts w:asciiTheme="minorHAnsi" w:hAnsiTheme="minorHAnsi" w:eastAsiaTheme="minorEastAsia" w:cstheme="minorBidi"/>
      <w:sz w:val="24"/>
    </w:rPr>
  </w:style>
  <w:style w:type="character" w:styleId="713" w:customStyle="1">
    <w:name w:val="正文文本首行缩进 2 字符"/>
    <w:basedOn w:val="712"/>
    <w:link w:val="676"/>
    <w:uiPriority w:val="99"/>
    <w:semiHidden/>
    <w:qFormat/>
    <w:rPr>
      <w:rFonts w:asciiTheme="minorHAnsi" w:hAnsiTheme="minorHAnsi" w:eastAsiaTheme="minorEastAsia" w:cstheme="minorBidi"/>
      <w:sz w:val="21"/>
      <w:szCs w:val="22"/>
    </w:rPr>
  </w:style>
  <w:style w:type="character" w:styleId="714" w:customStyle="1">
    <w:name w:val="文档结构图 字符"/>
    <w:link w:val="662"/>
    <w:uiPriority w:val="99"/>
    <w:qFormat/>
    <w:rPr>
      <w:rFonts w:ascii="宋体" w:hAnsiTheme="minorHAnsi" w:eastAsiaTheme="minorEastAsia" w:cstheme="minorBidi"/>
      <w:sz w:val="18"/>
      <w:szCs w:val="18"/>
    </w:rPr>
  </w:style>
  <w:style w:type="paragraph" w:styleId="715" w:customStyle="1">
    <w:name w:val="方案正文"/>
    <w:basedOn w:val="651"/>
    <w:uiPriority w:val="0"/>
    <w:qFormat/>
    <w:pPr>
      <w:spacing w:line="440" w:lineRule="atLeast"/>
    </w:pPr>
    <w:rPr>
      <w:rFonts w:ascii="Times New Roman" w:hAnsi="Times New Roman"/>
      <w:szCs w:val="20"/>
    </w:rPr>
  </w:style>
  <w:style w:type="paragraph" w:styleId="716" w:customStyle="1">
    <w:name w:val="QB正文"/>
    <w:basedOn w:val="651"/>
    <w:uiPriority w:val="0"/>
    <w:qFormat/>
    <w:pPr>
      <w:ind w:firstLine="200"/>
      <w:spacing w:line="360" w:lineRule="auto"/>
      <w:widowControl/>
    </w:pPr>
    <w:rPr>
      <w:rFonts w:ascii="宋体"/>
      <w:szCs w:val="20"/>
    </w:rPr>
  </w:style>
  <w:style w:type="table" w:styleId="717" w:customStyle="1">
    <w:name w:val="网格型2"/>
    <w:basedOn w:val="6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18">
    <w:name w:val="No Spacing"/>
    <w:basedOn w:val="651"/>
    <w:uiPriority w:val="99"/>
    <w:qFormat/>
  </w:style>
  <w:style w:type="paragraph" w:styleId="719" w:customStyle="1">
    <w:name w:val="段"/>
    <w:next w:val="6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20" w:customStyle="1">
    <w:name w:val="Hy2"/>
    <w:basedOn w:val="651"/>
    <w:uiPriority w:val="0"/>
    <w:qFormat/>
    <w:pPr>
      <w:ind w:firstLine="440"/>
      <w:outlineLvl w:val="1"/>
    </w:pPr>
    <w:rPr>
      <w:rFonts w:ascii="微软雅黑" w:hAnsi="微软雅黑" w:eastAsia="微软雅黑" w:cs="微软雅黑"/>
      <w:bCs/>
      <w:color w:val="000000"/>
      <w:sz w:val="22"/>
    </w:rPr>
  </w:style>
  <w:style w:type="paragraph" w:styleId="721" w:customStyle="1">
    <w:name w:val="正文（首行缩进2字符）"/>
    <w:basedOn w:val="651"/>
    <w:uiPriority w:val="0"/>
    <w:qFormat/>
  </w:style>
  <w:style w:type="numbering" w:styleId="9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jiashu zhou</dc:creator>
  <cp:lastModifiedBy>张倩</cp:lastModifiedBy>
  <cp:revision>4</cp:revision>
  <dcterms:created xsi:type="dcterms:W3CDTF">2026-05-25T03:13:00Z</dcterms:created>
  <dcterms:modified xsi:type="dcterms:W3CDTF">2026-10-14T02:48:22Z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C52B032604F9429A80A41C3BA3774FAE_13</vt:lpwstr>
  </property>
  <property fmtid="{D5CDD505-2E9C-101B-9397-08002B2CF9AE}" pid="4" name="KSOTemplateDocerSaveRecord">
    <vt:lpwstr>eyJoZGlkIjoiYzBmMTFkM2YzY2FiNTQ0MmZmMjliOTA5MjdiNmI1NDUiLCJ1c2VySWQiOiI0NTU4MjY1MzAifQ==</vt:lpwstr>
  </property>
</Properties>
</file>