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918"/>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918"/>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918"/>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91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91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918"/>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918"/>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918"/>
        <w:ind w:left="2877" w:hanging="1800"/>
        <w:jc w:val="left"/>
        <w:spacing w:line="360" w:lineRule="auto"/>
        <w:tabs>
          <w:tab w:val="left" w:pos="3240" w:leader="none"/>
          <w:tab w:val="left" w:pos="3420" w:leader="none"/>
        </w:tabs>
        <w:rPr>
          <w:rFonts w:hint="eastAsia" w:ascii="宋体" w:hAnsi="宋体"/>
          <w:bCs/>
          <w:color w:val="000000"/>
          <w:sz w:val="36"/>
          <w:szCs w:val="36"/>
          <w:highlight w:val="none"/>
          <w:lang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常州机电职业技术学院智能人机交互</w:t>
      </w:r>
      <w:r>
        <w:rPr>
          <w:rFonts w:hint="eastAsia" w:ascii="宋体" w:hAnsi="宋体"/>
          <w:bCs/>
          <w:color w:val="000000"/>
          <w:sz w:val="36"/>
          <w:szCs w:val="36"/>
          <w:highlight w:val="none"/>
          <w:lang w:eastAsia="zh-CN"/>
        </w:rPr>
      </w:r>
      <w:r/>
    </w:p>
    <w:p>
      <w:pPr>
        <w:pStyle w:val="918"/>
        <w:ind w:left="2873" w:firstLine="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hint="eastAsia" w:ascii="宋体" w:hAnsi="宋体"/>
          <w:bCs/>
          <w:color w:val="000000"/>
          <w:sz w:val="36"/>
          <w:szCs w:val="36"/>
          <w:highlight w:val="none"/>
          <w:lang w:eastAsia="zh-CN"/>
        </w:rPr>
        <w:t xml:space="preserve">实训室建设项目</w:t>
      </w:r>
      <w:r>
        <w:rPr>
          <w:rFonts w:hint="eastAsia" w:ascii="宋体" w:hAnsi="宋体" w:eastAsia="宋体"/>
          <w:bCs/>
          <w:color w:val="000000"/>
          <w:sz w:val="36"/>
          <w:szCs w:val="36"/>
          <w:highlight w:val="none"/>
          <w:lang w:eastAsia="zh-CN"/>
        </w:rPr>
      </w:r>
      <w:r/>
    </w:p>
    <w:p>
      <w:pPr>
        <w:pStyle w:val="918"/>
        <w:ind w:firstLine="1080"/>
        <w:jc w:val="left"/>
        <w:spacing w:line="360" w:lineRule="auto"/>
        <w:tabs>
          <w:tab w:val="left" w:pos="3240" w:leader="none"/>
          <w:tab w:val="left" w:pos="3420" w:leader="none"/>
        </w:tabs>
        <w:rPr>
          <w:rFonts w:hint="eastAsia" w:ascii="宋体" w:hAnsi="宋体" w:eastAsia="宋体"/>
          <w:bCs/>
          <w:color w:val="000000"/>
          <w:sz w:val="36"/>
          <w:szCs w:val="36"/>
          <w:highlight w:val="none"/>
          <w:lang w:eastAsia="zh-CN"/>
        </w:rPr>
      </w:pPr>
      <w:r>
        <w:rPr>
          <w:rFonts w:ascii="宋体" w:hAnsi="宋体"/>
          <w:bCs/>
          <w:color w:val="000000"/>
          <w:sz w:val="36"/>
          <w:szCs w:val="36"/>
          <w:highlight w:val="none"/>
        </w:rPr>
        <w:t xml:space="preserve">项目编号：</w:t>
      </w:r>
      <w:bookmarkStart w:id="0" w:name="_Hlk140156589"/>
      <w:r>
        <w:rPr>
          <w:rFonts w:hint="eastAsia" w:ascii="宋体" w:hAnsi="宋体"/>
          <w:bCs/>
          <w:color w:val="000000"/>
          <w:sz w:val="36"/>
          <w:szCs w:val="36"/>
          <w:highlight w:val="none"/>
          <w:lang w:eastAsia="zh-CN"/>
        </w:rPr>
        <w:t xml:space="preserve">JSZC-320400-YTZB-G2026-0047</w:t>
      </w:r>
      <w:r>
        <w:rPr>
          <w:rFonts w:hint="eastAsia" w:ascii="宋体" w:hAnsi="宋体" w:eastAsia="宋体"/>
          <w:bCs/>
          <w:color w:val="000000"/>
          <w:sz w:val="36"/>
          <w:szCs w:val="36"/>
          <w:highlight w:val="none"/>
          <w:lang w:eastAsia="zh-CN"/>
        </w:rPr>
      </w:r>
      <w:r/>
    </w:p>
    <w:p>
      <w:pPr>
        <w:pStyle w:val="918"/>
        <w:ind w:firstLine="1080"/>
        <w:jc w:val="left"/>
        <w:spacing w:line="360" w:lineRule="auto"/>
        <w:tabs>
          <w:tab w:val="left" w:pos="3240" w:leader="none"/>
          <w:tab w:val="left" w:pos="3420" w:leader="none"/>
        </w:tabs>
        <w:rPr>
          <w:rFonts w:hint="eastAsia" w:ascii="宋体" w:hAnsi="宋体"/>
          <w:bCs/>
          <w:color w:val="000000"/>
          <w:sz w:val="36"/>
          <w:szCs w:val="36"/>
          <w:highlight w:val="none"/>
        </w:rPr>
      </w:pPr>
      <w:r/>
      <w:bookmarkEnd w:id="0"/>
      <w:r>
        <w:rPr>
          <w:rFonts w:ascii="宋体" w:hAnsi="宋体"/>
          <w:bCs/>
          <w:color w:val="000000"/>
          <w:sz w:val="36"/>
          <w:szCs w:val="36"/>
          <w:highlight w:val="none"/>
        </w:rPr>
        <w:t xml:space="preserve">采 购 人：</w:t>
      </w:r>
      <w:bookmarkStart w:id="1" w:name="_Hlk140156643"/>
      <w:r>
        <w:rPr>
          <w:rFonts w:hint="eastAsia" w:ascii="宋体" w:hAnsi="宋体"/>
          <w:bCs/>
          <w:color w:val="000000"/>
          <w:sz w:val="36"/>
          <w:szCs w:val="36"/>
          <w:highlight w:val="none"/>
        </w:rPr>
        <w:t xml:space="preserve">常州机电职业技术学院 </w:t>
      </w:r>
      <w:r>
        <w:rPr>
          <w:rFonts w:hint="eastAsia" w:ascii="宋体" w:hAnsi="宋体"/>
          <w:bCs/>
          <w:color w:val="000000"/>
          <w:sz w:val="36"/>
          <w:szCs w:val="36"/>
          <w:highlight w:val="none"/>
        </w:rPr>
      </w:r>
      <w:r/>
    </w:p>
    <w:p>
      <w:pPr>
        <w:pStyle w:val="918"/>
        <w:ind w:firstLine="1080"/>
        <w:jc w:val="left"/>
        <w:spacing w:line="360" w:lineRule="auto"/>
        <w:tabs>
          <w:tab w:val="left" w:pos="3240" w:leader="none"/>
          <w:tab w:val="left" w:pos="3420" w:leader="none"/>
        </w:tabs>
        <w:rPr>
          <w:rFonts w:ascii="宋体" w:hAnsi="宋体"/>
          <w:bCs/>
          <w:color w:val="000000"/>
          <w:sz w:val="36"/>
          <w:szCs w:val="36"/>
          <w:highlight w:val="none"/>
        </w:rPr>
      </w:pPr>
      <w:r/>
      <w:bookmarkEnd w:id="1"/>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常州盈泰招标有限公司</w:t>
      </w:r>
      <w:r>
        <w:rPr>
          <w:rFonts w:ascii="宋体" w:hAnsi="宋体"/>
          <w:bCs/>
          <w:color w:val="000000"/>
          <w:sz w:val="36"/>
          <w:szCs w:val="36"/>
          <w:highlight w:val="none"/>
        </w:rPr>
        <w:t xml:space="preserve"> </w:t>
      </w:r>
      <w:r>
        <w:rPr>
          <w:rFonts w:ascii="宋体" w:hAnsi="宋体"/>
          <w:bCs/>
          <w:color w:val="000000"/>
          <w:sz w:val="36"/>
          <w:szCs w:val="36"/>
          <w:highlight w:val="none"/>
        </w:rPr>
      </w:r>
      <w:r/>
    </w:p>
    <w:p>
      <w:pPr>
        <w:pStyle w:val="918"/>
        <w:jc w:val="left"/>
        <w:widowControl/>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280" w:bottom="1882" w:left="1587" w:header="851" w:footer="851" w:gutter="0"/>
          <w:pgNumType w:start="1"/>
          <w:cols w:num="1" w:sep="0" w:space="1701" w:equalWidth="1"/>
          <w:docGrid w:linePitch="360"/>
          <w:titlePg/>
        </w:sectPr>
      </w:pPr>
      <w:r>
        <w:rPr>
          <w:rFonts w:ascii="宋体" w:hAnsi="宋体"/>
          <w:b/>
          <w:color w:val="000000"/>
          <w:sz w:val="72"/>
          <w:highlight w:val="none"/>
        </w:rPr>
        <w:br w:type="page" w:clear="all"/>
      </w:r>
      <w:r/>
    </w:p>
    <w:p>
      <w:pPr>
        <w:pStyle w:val="918"/>
        <w:jc w:val="center"/>
        <w:spacing w:line="360" w:lineRule="auto"/>
        <w:rPr>
          <w:rFonts w:ascii="宋体" w:hAnsi="宋体"/>
          <w:b/>
          <w:color w:val="000000"/>
          <w:sz w:val="36"/>
          <w:szCs w:val="36"/>
          <w:highlight w:val="none"/>
        </w:rPr>
        <w:outlineLvl w:val="0"/>
      </w:pPr>
      <w:r/>
      <w:bookmarkStart w:id="2" w:name="_Toc6210"/>
      <w:r/>
      <w:bookmarkStart w:id="3" w:name="_Toc146275788"/>
      <w:r/>
      <w:bookmarkStart w:id="4" w:name="_Toc99301418"/>
      <w:r/>
      <w:bookmarkStart w:id="5" w:name="_Toc140168422"/>
      <w:r>
        <w:rPr>
          <w:rFonts w:ascii="宋体" w:hAnsi="宋体"/>
          <w:b/>
          <w:color w:val="000000"/>
          <w:sz w:val="36"/>
          <w:szCs w:val="36"/>
          <w:highlight w:val="none"/>
        </w:rPr>
        <w:t xml:space="preserve">目      录</w:t>
      </w:r>
      <w:bookmarkEnd w:id="2"/>
      <w:r/>
      <w:bookmarkEnd w:id="3"/>
      <w:r/>
      <w:bookmarkEnd w:id="4"/>
      <w:r/>
      <w:bookmarkEnd w:id="5"/>
      <w:r>
        <w:rPr>
          <w:rFonts w:ascii="宋体" w:hAnsi="宋体"/>
          <w:b/>
          <w:color w:val="000000"/>
          <w:sz w:val="36"/>
          <w:szCs w:val="36"/>
          <w:highlight w:val="none"/>
        </w:rPr>
      </w:r>
      <w:r/>
    </w:p>
    <w:p>
      <w:pPr>
        <w:pStyle w:val="918"/>
        <w:rPr>
          <w:rFonts w:ascii="宋体" w:hAnsi="宋体"/>
          <w:color w:val="000000"/>
          <w:highlight w:val="none"/>
        </w:rPr>
      </w:pPr>
      <w:r>
        <w:rPr>
          <w:rFonts w:ascii="宋体" w:hAnsi="宋体"/>
          <w:color w:val="000000"/>
          <w:highlight w:val="none"/>
        </w:rPr>
      </w:r>
      <w:r/>
    </w:p>
    <w:p>
      <w:pPr>
        <w:pStyle w:val="918"/>
        <w:rPr>
          <w:rFonts w:ascii="宋体" w:hAnsi="宋体"/>
          <w:color w:val="000000"/>
          <w:highlight w:val="none"/>
        </w:rPr>
      </w:pPr>
      <w:r>
        <w:rPr>
          <w:rFonts w:ascii="宋体" w:hAnsi="宋体"/>
          <w:color w:val="000000"/>
          <w:highlight w:val="none"/>
        </w:rPr>
      </w:r>
      <w:r/>
    </w:p>
    <w:p>
      <w:pPr>
        <w:pStyle w:val="918"/>
        <w:rPr>
          <w:rFonts w:ascii="宋体" w:hAnsi="宋体"/>
          <w:color w:val="000000"/>
          <w:highlight w:val="none"/>
        </w:rPr>
      </w:pPr>
      <w:r>
        <w:rPr>
          <w:rFonts w:ascii="宋体" w:hAnsi="宋体"/>
          <w:color w:val="000000"/>
          <w:highlight w:val="none"/>
        </w:rPr>
      </w:r>
      <w:r/>
    </w:p>
    <w:p>
      <w:pPr>
        <w:pStyle w:val="970"/>
        <w:tabs>
          <w:tab w:val="right" w:pos="9272" w:leader="dot"/>
        </w:tabs>
        <w:rPr>
          <w:color w:val="000000"/>
          <w:sz w:val="28"/>
          <w:szCs w:val="28"/>
          <w:highlight w:val="none"/>
        </w:rPr>
      </w:pPr>
      <w:r>
        <w:rPr>
          <w:b w:val="0"/>
          <w:color w:val="000000"/>
          <w:sz w:val="28"/>
          <w:szCs w:val="28"/>
          <w:highlight w:val="none"/>
        </w:rPr>
        <w:fldChar w:fldCharType="begin"/>
      </w:r>
      <w:r>
        <w:rPr>
          <w:b w:val="0"/>
          <w:color w:val="000000"/>
          <w:sz w:val="28"/>
          <w:szCs w:val="28"/>
          <w:highlight w:val="none"/>
        </w:rPr>
        <w:instrText xml:space="preserve"> TOC \o "1-1" \h \z \u </w:instrText>
      </w:r>
      <w:r>
        <w:rPr>
          <w:b w:val="0"/>
          <w:color w:val="000000"/>
          <w:sz w:val="28"/>
          <w:szCs w:val="28"/>
          <w:highlight w:val="none"/>
        </w:rPr>
        <w:fldChar w:fldCharType="separate"/>
      </w:r>
      <w:r>
        <w:rPr>
          <w:color w:val="000000"/>
          <w:sz w:val="28"/>
          <w:szCs w:val="28"/>
          <w:highlight w:val="none"/>
        </w:rPr>
        <w:fldChar w:fldCharType="begin"/>
      </w:r>
      <w:r>
        <w:rPr>
          <w:color w:val="000000"/>
          <w:sz w:val="28"/>
          <w:szCs w:val="28"/>
          <w:highlight w:val="none"/>
        </w:rPr>
        <w:instrText xml:space="preserve"> HYPERLINK \l _Toc5670 </w:instrText>
      </w:r>
      <w:r>
        <w:rPr>
          <w:color w:val="000000"/>
          <w:sz w:val="28"/>
          <w:szCs w:val="28"/>
          <w:highlight w:val="none"/>
        </w:rPr>
        <w:fldChar w:fldCharType="separate"/>
      </w:r>
      <w:r>
        <w:rPr>
          <w:color w:val="000000"/>
          <w:sz w:val="28"/>
          <w:szCs w:val="28"/>
          <w:highlight w:val="none"/>
        </w:rPr>
        <w:t xml:space="preserve">第一章   投标邀请</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_Toc5670 \h </w:instrText>
      </w:r>
      <w:r>
        <w:rPr>
          <w:color w:val="000000"/>
          <w:sz w:val="28"/>
          <w:szCs w:val="28"/>
          <w:highlight w:val="none"/>
        </w:rPr>
        <w:fldChar w:fldCharType="separate"/>
      </w:r>
      <w:r>
        <w:rPr>
          <w:color w:val="000000"/>
          <w:sz w:val="28"/>
          <w:szCs w:val="28"/>
          <w:highlight w:val="none"/>
        </w:rPr>
        <w:t xml:space="preserve">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0"/>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_Toc19853 </w:instrText>
      </w:r>
      <w:r>
        <w:rPr>
          <w:color w:val="000000"/>
          <w:sz w:val="28"/>
          <w:szCs w:val="28"/>
          <w:highlight w:val="none"/>
        </w:rPr>
        <w:fldChar w:fldCharType="separate"/>
      </w:r>
      <w:r>
        <w:rPr>
          <w:color w:val="000000"/>
          <w:sz w:val="28"/>
          <w:szCs w:val="28"/>
          <w:highlight w:val="none"/>
        </w:rPr>
        <w:t xml:space="preserve">第二章   投标人须知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_Toc19853 \h </w:instrText>
      </w:r>
      <w:r>
        <w:rPr>
          <w:color w:val="000000"/>
          <w:sz w:val="28"/>
          <w:szCs w:val="28"/>
          <w:highlight w:val="none"/>
        </w:rPr>
        <w:fldChar w:fldCharType="separate"/>
      </w:r>
      <w:r>
        <w:rPr>
          <w:color w:val="000000"/>
          <w:sz w:val="28"/>
          <w:szCs w:val="28"/>
          <w:highlight w:val="none"/>
        </w:rPr>
        <w:t xml:space="preserve">5</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0"/>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_Toc18256 </w:instrText>
      </w:r>
      <w:r>
        <w:rPr>
          <w:color w:val="000000"/>
          <w:sz w:val="28"/>
          <w:szCs w:val="28"/>
          <w:highlight w:val="none"/>
        </w:rPr>
        <w:fldChar w:fldCharType="separate"/>
      </w:r>
      <w:r>
        <w:rPr>
          <w:color w:val="000000"/>
          <w:sz w:val="28"/>
          <w:szCs w:val="28"/>
          <w:highlight w:val="none"/>
        </w:rPr>
        <w:t xml:space="preserve">第三章   资格审查</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_Toc18256 \h </w:instrText>
      </w:r>
      <w:r>
        <w:rPr>
          <w:color w:val="000000"/>
          <w:sz w:val="28"/>
          <w:szCs w:val="28"/>
          <w:highlight w:val="none"/>
        </w:rPr>
        <w:fldChar w:fldCharType="separate"/>
      </w:r>
      <w:r>
        <w:rPr>
          <w:color w:val="000000"/>
          <w:sz w:val="28"/>
          <w:szCs w:val="28"/>
          <w:highlight w:val="none"/>
        </w:rPr>
        <w:t xml:space="preserve">21</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0"/>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_Toc8337 </w:instrText>
      </w:r>
      <w:r>
        <w:rPr>
          <w:color w:val="000000"/>
          <w:sz w:val="28"/>
          <w:szCs w:val="28"/>
          <w:highlight w:val="none"/>
        </w:rPr>
        <w:fldChar w:fldCharType="separate"/>
      </w:r>
      <w:r>
        <w:rPr>
          <w:color w:val="000000"/>
          <w:sz w:val="28"/>
          <w:szCs w:val="28"/>
          <w:highlight w:val="none"/>
        </w:rPr>
        <w:t xml:space="preserve">第四章   评标程序、评标方法和评标标准</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_Toc8337 \h </w:instrText>
      </w:r>
      <w:r>
        <w:rPr>
          <w:color w:val="000000"/>
          <w:sz w:val="28"/>
          <w:szCs w:val="28"/>
          <w:highlight w:val="none"/>
        </w:rPr>
        <w:fldChar w:fldCharType="separate"/>
      </w:r>
      <w:r>
        <w:rPr>
          <w:color w:val="000000"/>
          <w:sz w:val="28"/>
          <w:szCs w:val="28"/>
          <w:highlight w:val="none"/>
        </w:rPr>
        <w:t xml:space="preserve">23</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0"/>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_Toc3548 </w:instrText>
      </w:r>
      <w:r>
        <w:rPr>
          <w:color w:val="000000"/>
          <w:sz w:val="28"/>
          <w:szCs w:val="28"/>
          <w:highlight w:val="none"/>
        </w:rPr>
        <w:fldChar w:fldCharType="separate"/>
      </w:r>
      <w:r>
        <w:rPr>
          <w:color w:val="000000"/>
          <w:sz w:val="28"/>
          <w:szCs w:val="28"/>
          <w:highlight w:val="none"/>
        </w:rPr>
        <w:t xml:space="preserve">第五章   采购需求</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_Toc3548 \h </w:instrText>
      </w:r>
      <w:r>
        <w:rPr>
          <w:color w:val="000000"/>
          <w:sz w:val="28"/>
          <w:szCs w:val="28"/>
          <w:highlight w:val="none"/>
        </w:rPr>
        <w:fldChar w:fldCharType="separate"/>
      </w:r>
      <w:r>
        <w:rPr>
          <w:color w:val="000000"/>
          <w:sz w:val="28"/>
          <w:szCs w:val="28"/>
          <w:highlight w:val="none"/>
        </w:rPr>
        <w:t xml:space="preserve">34</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0"/>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_Toc13507 </w:instrText>
      </w:r>
      <w:r>
        <w:rPr>
          <w:color w:val="000000"/>
          <w:sz w:val="28"/>
          <w:szCs w:val="28"/>
          <w:highlight w:val="none"/>
        </w:rPr>
        <w:fldChar w:fldCharType="separate"/>
      </w:r>
      <w:r>
        <w:rPr>
          <w:color w:val="000000"/>
          <w:sz w:val="28"/>
          <w:szCs w:val="28"/>
          <w:highlight w:val="none"/>
        </w:rPr>
        <w:t xml:space="preserve">第六章   拟签订的合同文本</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_Toc13507 \h </w:instrText>
      </w:r>
      <w:r>
        <w:rPr>
          <w:color w:val="000000"/>
          <w:sz w:val="28"/>
          <w:szCs w:val="28"/>
          <w:highlight w:val="none"/>
        </w:rPr>
        <w:fldChar w:fldCharType="separate"/>
      </w:r>
      <w:r>
        <w:rPr>
          <w:color w:val="000000"/>
          <w:sz w:val="28"/>
          <w:szCs w:val="28"/>
          <w:highlight w:val="none"/>
        </w:rPr>
        <w:t xml:space="preserve">58</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0"/>
        <w:tabs>
          <w:tab w:val="right" w:pos="9272" w:leader="dot"/>
        </w:tabs>
        <w:rPr>
          <w:color w:val="000000"/>
          <w:sz w:val="28"/>
          <w:szCs w:val="28"/>
          <w:highlight w:val="none"/>
        </w:rPr>
      </w:pPr>
      <w:r>
        <w:rPr>
          <w:color w:val="000000"/>
          <w:sz w:val="28"/>
          <w:szCs w:val="28"/>
          <w:highlight w:val="none"/>
        </w:rPr>
        <w:fldChar w:fldCharType="begin"/>
      </w:r>
      <w:r>
        <w:rPr>
          <w:color w:val="000000"/>
          <w:sz w:val="28"/>
          <w:szCs w:val="28"/>
          <w:highlight w:val="none"/>
        </w:rPr>
        <w:instrText xml:space="preserve"> HYPERLINK \l _Toc9705 </w:instrText>
      </w:r>
      <w:r>
        <w:rPr>
          <w:color w:val="000000"/>
          <w:sz w:val="28"/>
          <w:szCs w:val="28"/>
          <w:highlight w:val="none"/>
        </w:rPr>
        <w:fldChar w:fldCharType="separate"/>
      </w:r>
      <w:r>
        <w:rPr>
          <w:color w:val="000000"/>
          <w:sz w:val="28"/>
          <w:szCs w:val="28"/>
          <w:highlight w:val="none"/>
        </w:rPr>
        <w:t xml:space="preserve">第七章   投标文件格式</w:t>
      </w:r>
      <w:r>
        <w:rPr>
          <w:color w:val="000000"/>
          <w:sz w:val="28"/>
          <w:szCs w:val="28"/>
          <w:highlight w:val="none"/>
        </w:rPr>
        <w:tab/>
      </w:r>
      <w:r>
        <w:rPr>
          <w:color w:val="000000"/>
          <w:sz w:val="28"/>
          <w:szCs w:val="28"/>
          <w:highlight w:val="none"/>
        </w:rPr>
        <w:fldChar w:fldCharType="begin"/>
      </w:r>
      <w:r>
        <w:rPr>
          <w:color w:val="000000"/>
          <w:sz w:val="28"/>
          <w:szCs w:val="28"/>
          <w:highlight w:val="none"/>
        </w:rPr>
        <w:instrText xml:space="preserve"> PAGEREF _Toc9705 \h </w:instrText>
      </w:r>
      <w:r>
        <w:rPr>
          <w:color w:val="000000"/>
          <w:sz w:val="28"/>
          <w:szCs w:val="28"/>
          <w:highlight w:val="none"/>
        </w:rPr>
        <w:fldChar w:fldCharType="separate"/>
      </w:r>
      <w:r>
        <w:rPr>
          <w:color w:val="000000"/>
          <w:sz w:val="28"/>
          <w:szCs w:val="28"/>
          <w:highlight w:val="none"/>
        </w:rPr>
        <w:t xml:space="preserve">66</w:t>
      </w:r>
      <w:r>
        <w:rPr>
          <w:color w:val="000000"/>
          <w:sz w:val="28"/>
          <w:szCs w:val="28"/>
          <w:highlight w:val="none"/>
        </w:rPr>
        <w:fldChar w:fldCharType="end"/>
      </w:r>
      <w:r>
        <w:rPr>
          <w:color w:val="000000"/>
          <w:sz w:val="28"/>
          <w:szCs w:val="28"/>
          <w:highlight w:val="none"/>
        </w:rPr>
        <w:fldChar w:fldCharType="end"/>
      </w:r>
      <w:r>
        <w:rPr>
          <w:color w:val="000000"/>
          <w:sz w:val="28"/>
          <w:szCs w:val="28"/>
          <w:highlight w:val="none"/>
        </w:rPr>
      </w:r>
      <w:r/>
    </w:p>
    <w:p>
      <w:pPr>
        <w:pStyle w:val="970"/>
        <w:spacing w:line="360" w:lineRule="auto"/>
        <w:tabs>
          <w:tab w:val="left" w:pos="1050" w:leader="none"/>
          <w:tab w:val="right" w:pos="8937" w:leader="dot"/>
        </w:tabs>
        <w:rPr>
          <w:b w:val="0"/>
          <w:color w:val="000000"/>
          <w:highlight w:val="none"/>
        </w:rPr>
      </w:pPr>
      <w:r>
        <w:rPr>
          <w:color w:val="000000"/>
          <w:sz w:val="28"/>
          <w:szCs w:val="28"/>
          <w:highlight w:val="none"/>
        </w:rPr>
        <w:fldChar w:fldCharType="end"/>
      </w:r>
      <w:r>
        <w:rPr>
          <w:b w:val="0"/>
          <w:color w:val="000000"/>
          <w:highlight w:val="none"/>
        </w:rPr>
      </w:r>
      <w:r/>
    </w:p>
    <w:p>
      <w:pPr>
        <w:pStyle w:val="918"/>
        <w:jc w:val="center"/>
        <w:spacing w:line="360" w:lineRule="auto"/>
        <w:rPr>
          <w:rFonts w:ascii="宋体" w:hAnsi="宋体"/>
          <w:color w:val="000000"/>
          <w:sz w:val="24"/>
          <w:highlight w:val="none"/>
        </w:rPr>
        <w:outlineLvl w:val="0"/>
      </w:pPr>
      <w:r>
        <w:rPr>
          <w:rFonts w:ascii="宋体" w:hAnsi="宋体"/>
          <w:color w:val="000000"/>
          <w:sz w:val="24"/>
          <w:highlight w:val="none"/>
        </w:rPr>
      </w:r>
      <w:r/>
    </w:p>
    <w:p>
      <w:pPr>
        <w:pStyle w:val="918"/>
        <w:jc w:val="center"/>
        <w:spacing w:line="360" w:lineRule="auto"/>
        <w:rPr>
          <w:rFonts w:ascii="宋体" w:hAnsi="宋体"/>
          <w:b/>
          <w:color w:val="000000"/>
          <w:sz w:val="36"/>
          <w:szCs w:val="36"/>
          <w:highlight w:val="none"/>
        </w:rPr>
        <w:sectPr>
          <w:headerReference w:type="first" r:id="rId11"/>
          <w:footerReference w:type="default" r:id="rId19"/>
          <w:footnotePr/>
          <w:endnotePr/>
          <w:type w:val="nextColumn"/>
          <w:pgSz w:w="11907" w:h="16840" w:orient="portrait"/>
          <w:pgMar w:top="1418" w:right="1134" w:bottom="1418" w:left="1501" w:header="851" w:footer="851" w:gutter="0"/>
          <w:cols w:num="1" w:sep="0" w:space="1701" w:equalWidth="1"/>
          <w:docGrid w:linePitch="360"/>
          <w:titlePg/>
        </w:sectPr>
        <w:outlineLvl w:val="0"/>
      </w:pPr>
      <w:r>
        <w:rPr>
          <w:rFonts w:ascii="宋体" w:hAnsi="宋体"/>
          <w:b/>
          <w:color w:val="000000"/>
          <w:sz w:val="36"/>
          <w:szCs w:val="36"/>
          <w:highlight w:val="none"/>
        </w:rPr>
        <w:br w:type="page" w:clear="all"/>
      </w:r>
      <w:r/>
    </w:p>
    <w:p>
      <w:pPr>
        <w:pStyle w:val="918"/>
        <w:jc w:val="center"/>
        <w:spacing w:line="360" w:lineRule="auto"/>
        <w:rPr>
          <w:rFonts w:ascii="宋体" w:hAnsi="宋体"/>
          <w:b/>
          <w:color w:val="000000"/>
          <w:sz w:val="36"/>
          <w:szCs w:val="36"/>
          <w:highlight w:val="none"/>
        </w:rPr>
        <w:outlineLvl w:val="0"/>
      </w:pPr>
      <w:r/>
      <w:bookmarkStart w:id="6" w:name="_Toc5670"/>
      <w:r>
        <w:rPr>
          <w:rFonts w:ascii="宋体" w:hAnsi="宋体"/>
          <w:b/>
          <w:color w:val="000000"/>
          <w:sz w:val="36"/>
          <w:szCs w:val="36"/>
          <w:highlight w:val="none"/>
        </w:rPr>
        <w:t xml:space="preserve">第一章   投标邀请</w:t>
      </w:r>
      <w:bookmarkEnd w:id="6"/>
      <w:r>
        <w:rPr>
          <w:rFonts w:ascii="宋体" w:hAnsi="宋体"/>
          <w:b/>
          <w:color w:val="000000"/>
          <w:sz w:val="36"/>
          <w:szCs w:val="36"/>
          <w:highlight w:val="none"/>
        </w:rPr>
      </w:r>
      <w:r/>
    </w:p>
    <w:p>
      <w:pPr>
        <w:pStyle w:val="918"/>
        <w:ind w:firstLine="480"/>
        <w:spacing w:line="360" w:lineRule="auto"/>
        <w:rPr>
          <w:rFonts w:ascii="宋体" w:hAnsi="宋体"/>
          <w:color w:val="000000"/>
          <w:sz w:val="24"/>
          <w:highlight w:val="none"/>
        </w:rPr>
      </w:pPr>
      <w:r/>
      <w:bookmarkStart w:id="7" w:name="_Toc35393621"/>
      <w:r/>
      <w:bookmarkStart w:id="8" w:name="_Toc28359079"/>
      <w:r/>
      <w:bookmarkStart w:id="9" w:name="_Toc28359002"/>
      <w:r/>
      <w:bookmarkStart w:id="10" w:name="_Toc35393790"/>
      <w:r/>
      <w:bookmarkStart w:id="11" w:name="_Hlk24379207"/>
      <w:r>
        <w:rPr>
          <w:rFonts w:ascii="宋体" w:hAnsi="宋体"/>
          <w:color w:val="000000"/>
          <w:sz w:val="24"/>
          <w:highlight w:val="none"/>
        </w:rPr>
      </w:r>
      <w:r/>
    </w:p>
    <w:p>
      <w:pPr>
        <w:pStyle w:val="920"/>
        <w:jc w:val="left"/>
        <w:spacing w:before="0"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一、项目基本情况</w:t>
      </w:r>
      <w:bookmarkEnd w:id="7"/>
      <w:r/>
      <w:bookmarkEnd w:id="8"/>
      <w:r/>
      <w:bookmarkEnd w:id="9"/>
      <w:r/>
      <w:bookmarkEnd w:id="10"/>
      <w:r>
        <w:rPr>
          <w:rFonts w:ascii="宋体" w:hAnsi="宋体" w:eastAsia="宋体"/>
          <w:color w:val="000000"/>
          <w:sz w:val="24"/>
          <w:szCs w:val="24"/>
          <w:highlight w:val="none"/>
        </w:rPr>
      </w:r>
      <w:r/>
    </w:p>
    <w:p>
      <w:pPr>
        <w:pStyle w:val="918"/>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1.项目编号：</w:t>
      </w:r>
      <w:r>
        <w:rPr>
          <w:rFonts w:hint="eastAsia" w:ascii="宋体" w:hAnsi="宋体" w:cs="宋体"/>
          <w:color w:val="000000"/>
          <w:sz w:val="24"/>
          <w:highlight w:val="none"/>
          <w:lang w:eastAsia="zh-CN"/>
        </w:rPr>
        <w:t xml:space="preserve">JSZC-320400-YTZB-G2026-0047</w:t>
      </w:r>
      <w:r>
        <w:rPr>
          <w:rFonts w:hint="eastAsia" w:ascii="宋体" w:hAnsi="宋体" w:eastAsia="宋体" w:cs="宋体"/>
          <w:color w:val="000000"/>
          <w:sz w:val="24"/>
          <w:highlight w:val="none"/>
          <w:lang w:eastAsia="zh-CN"/>
        </w:rPr>
      </w:r>
      <w:r/>
    </w:p>
    <w:p>
      <w:pPr>
        <w:pStyle w:val="918"/>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2.项目名称：</w:t>
      </w:r>
      <w:bookmarkEnd w:id="11"/>
      <w:r>
        <w:rPr>
          <w:rFonts w:hint="eastAsia" w:ascii="宋体" w:hAnsi="宋体" w:cs="宋体"/>
          <w:color w:val="000000"/>
          <w:sz w:val="24"/>
          <w:highlight w:val="none"/>
          <w:lang w:eastAsia="zh-CN"/>
        </w:rPr>
        <w:t xml:space="preserve">常州机电职业技术学院智能人机交互实训室建设项目</w:t>
      </w:r>
      <w:r>
        <w:rPr>
          <w:rFonts w:hint="eastAsia" w:ascii="宋体" w:hAnsi="宋体" w:eastAsia="宋体" w:cs="宋体"/>
          <w:color w:val="000000"/>
          <w:sz w:val="24"/>
          <w:highlight w:val="none"/>
          <w:lang w:eastAsia="zh-CN"/>
        </w:rPr>
      </w:r>
      <w:r/>
    </w:p>
    <w:p>
      <w:pPr>
        <w:pStyle w:val="9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3.项目预算金额：</w:t>
      </w:r>
      <w:r>
        <w:rPr>
          <w:rFonts w:hint="eastAsia" w:ascii="宋体" w:hAnsi="宋体" w:cs="宋体"/>
          <w:color w:val="000000"/>
          <w:sz w:val="24"/>
          <w:highlight w:val="none"/>
        </w:rPr>
        <w:t xml:space="preserve">人民币</w:t>
      </w:r>
      <w:r>
        <w:rPr>
          <w:rFonts w:hint="eastAsia" w:ascii="宋体" w:hAnsi="宋体" w:cs="宋体"/>
          <w:color w:val="000000"/>
          <w:sz w:val="24"/>
          <w:highlight w:val="none"/>
        </w:rPr>
        <w:t xml:space="preserve">1888040.00</w:t>
      </w:r>
      <w:r/>
      <w:r>
        <w:rPr>
          <w:rFonts w:hint="eastAsia" w:ascii="宋体" w:hAnsi="宋体" w:cs="宋体"/>
          <w:color w:val="000000"/>
          <w:sz w:val="24"/>
          <w:highlight w:val="none"/>
        </w:rPr>
      </w:r>
      <w:r>
        <w:rPr>
          <w:rFonts w:hint="eastAsia" w:ascii="宋体" w:hAnsi="宋体" w:cs="宋体"/>
          <w:color w:val="000000"/>
          <w:sz w:val="24"/>
          <w:highlight w:val="none"/>
        </w:rPr>
        <w:t xml:space="preserve">元</w:t>
      </w:r>
      <w:r>
        <w:rPr>
          <w:rFonts w:hint="eastAsia" w:ascii="宋体" w:hAnsi="宋体" w:cs="宋体"/>
          <w:color w:val="000000"/>
          <w:sz w:val="24"/>
          <w:highlight w:val="none"/>
        </w:rPr>
      </w:r>
      <w:r/>
    </w:p>
    <w:p>
      <w:pPr>
        <w:pStyle w:val="918"/>
        <w:ind w:firstLine="72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项目最高限价（控制价）：</w:t>
      </w:r>
      <w:r>
        <w:rPr>
          <w:rFonts w:hint="eastAsia" w:ascii="宋体" w:hAnsi="宋体" w:cs="宋体"/>
          <w:color w:val="000000"/>
          <w:sz w:val="24"/>
          <w:highlight w:val="none"/>
        </w:rPr>
        <w:t xml:space="preserve">人民币1888040.00元</w:t>
      </w:r>
      <w:r>
        <w:rPr>
          <w:rFonts w:hint="eastAsia" w:ascii="宋体" w:hAnsi="宋体" w:eastAsia="宋体" w:cs="宋体"/>
          <w:color w:val="000000"/>
          <w:sz w:val="24"/>
          <w:highlight w:val="none"/>
          <w:lang w:val="en-US" w:eastAsia="zh-CN"/>
        </w:rPr>
      </w:r>
      <w:r/>
    </w:p>
    <w:p>
      <w:pPr>
        <w:pStyle w:val="918"/>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w:t>
      </w:r>
      <w:r>
        <w:rPr>
          <w:rFonts w:hint="eastAsia" w:ascii="宋体" w:hAnsi="宋体" w:eastAsia="宋体" w:cs="宋体"/>
          <w:color w:val="000000"/>
          <w:sz w:val="24"/>
          <w:highlight w:val="none"/>
        </w:rPr>
        <w:t xml:space="preserve">本项目</w:t>
      </w:r>
      <w:r>
        <w:rPr>
          <w:rFonts w:hint="eastAsia" w:ascii="宋体" w:hAnsi="宋体" w:eastAsia="宋体" w:cs="宋体"/>
          <w:color w:val="000000"/>
          <w:sz w:val="24"/>
          <w:highlight w:val="none"/>
          <w:lang w:val="en-US" w:eastAsia="zh-CN"/>
        </w:rPr>
        <w:t xml:space="preserve">为</w:t>
      </w:r>
      <w:r>
        <w:rPr>
          <w:rFonts w:hint="eastAsia" w:ascii="宋体" w:hAnsi="宋体" w:eastAsia="宋体" w:cs="宋体"/>
          <w:color w:val="000000"/>
          <w:sz w:val="24"/>
          <w:highlight w:val="none"/>
          <w:lang w:eastAsia="zh-CN"/>
        </w:rPr>
        <w:t xml:space="preserve">常州机电职业技术学院智能人机交互实训室建设项目，本项目拟采购建设智能人机交互实训室，主要包括智能人机交互创意实训平台、人机交互与数字展示中心、3D工坊及相关教学配套设施，配置动作与生物力学数据分析系统、桌面式眼动追踪分析系统、MR混合现实头显、人机交互展示墙、3D数字雕刻数位屏等设备，满足工业设计专业智能交互创新实践教学需求。</w:t>
      </w:r>
      <w:r>
        <w:rPr>
          <w:rFonts w:hint="eastAsia" w:ascii="宋体" w:hAnsi="宋体" w:eastAsia="宋体" w:cs="宋体"/>
          <w:color w:val="000000"/>
          <w:sz w:val="24"/>
          <w:highlight w:val="none"/>
        </w:rPr>
        <w:t xml:space="preserve">具体内容详见公开招标文件。</w:t>
      </w:r>
      <w:r>
        <w:rPr>
          <w:rFonts w:hint="eastAsia" w:ascii="宋体" w:hAnsi="宋体" w:eastAsia="宋体" w:cs="宋体"/>
          <w:color w:val="000000"/>
          <w:sz w:val="24"/>
          <w:highlight w:val="none"/>
        </w:rPr>
      </w:r>
      <w:r/>
    </w:p>
    <w:p>
      <w:pPr>
        <w:pStyle w:val="918"/>
        <w:ind w:firstLine="480"/>
        <w:spacing w:line="360" w:lineRule="auto"/>
        <w:rPr>
          <w:rFonts w:hint="eastAsia" w:ascii="宋体" w:hAnsi="宋体" w:cs="宋体"/>
          <w:color w:val="000000"/>
          <w:sz w:val="24"/>
          <w:highlight w:val="none"/>
        </w:rPr>
      </w:pPr>
      <w:r>
        <w:rPr>
          <w:rFonts w:hint="eastAsia" w:ascii="宋体" w:hAnsi="宋体" w:eastAsia="宋体" w:cs="宋体"/>
          <w:color w:val="000000"/>
          <w:sz w:val="24"/>
          <w:highlight w:val="none"/>
        </w:rPr>
        <w:t xml:space="preserve">5.合同履行期限：</w:t>
      </w:r>
      <w:r>
        <w:rPr>
          <w:rFonts w:hint="eastAsia" w:ascii="宋体" w:hAnsi="宋体" w:cs="宋体"/>
          <w:color w:val="000000"/>
          <w:sz w:val="24"/>
          <w:highlight w:val="none"/>
        </w:rPr>
        <w:t xml:space="preserve">自合同签订</w:t>
      </w:r>
      <w:r>
        <w:rPr>
          <w:rFonts w:hint="eastAsia" w:ascii="宋体" w:hAnsi="宋体" w:cs="宋体"/>
          <w:color w:val="000000"/>
          <w:sz w:val="24"/>
          <w:highlight w:val="none"/>
          <w:lang w:val="en-US" w:eastAsia="zh-CN"/>
        </w:rPr>
        <w:t xml:space="preserve">生效</w:t>
      </w:r>
      <w:r>
        <w:rPr>
          <w:rFonts w:hint="eastAsia" w:ascii="宋体" w:hAnsi="宋体" w:cs="宋体"/>
          <w:color w:val="000000"/>
          <w:sz w:val="24"/>
          <w:highlight w:val="none"/>
        </w:rPr>
        <w:t xml:space="preserve">起40日历天内完成供货、安装调试及验收。供货时，按照采购方需求数量、送货地点进行供货。</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6.本项目是否接受联合体： □是  ■否。</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7.本项目是否接受进口产品投标：□是  ■否。</w:t>
      </w:r>
      <w:r>
        <w:rPr>
          <w:rFonts w:hint="eastAsia" w:ascii="宋体" w:hAnsi="宋体" w:cs="宋体"/>
          <w:color w:val="000000"/>
          <w:sz w:val="24"/>
          <w:highlight w:val="none"/>
        </w:rPr>
      </w:r>
      <w:r/>
    </w:p>
    <w:p>
      <w:pPr>
        <w:pStyle w:val="920"/>
        <w:jc w:val="left"/>
        <w:spacing w:before="0" w:line="360" w:lineRule="auto"/>
        <w:rPr>
          <w:rFonts w:ascii="宋体" w:hAnsi="宋体" w:eastAsia="宋体"/>
          <w:color w:val="000000"/>
          <w:sz w:val="24"/>
          <w:szCs w:val="24"/>
          <w:highlight w:val="none"/>
        </w:rPr>
      </w:pPr>
      <w:r/>
      <w:bookmarkStart w:id="12" w:name="_Toc35393622"/>
      <w:r/>
      <w:bookmarkStart w:id="13" w:name="_Toc35393791"/>
      <w:r/>
      <w:bookmarkStart w:id="14" w:name="_Toc28359080"/>
      <w:r/>
      <w:bookmarkStart w:id="15" w:name="_Toc28359003"/>
      <w:r>
        <w:rPr>
          <w:rFonts w:ascii="宋体" w:hAnsi="宋体" w:eastAsia="宋体"/>
          <w:color w:val="000000"/>
          <w:sz w:val="24"/>
          <w:szCs w:val="24"/>
          <w:highlight w:val="none"/>
        </w:rPr>
        <w:t xml:space="preserve">二、申请人的资格要求（须同时满足）</w:t>
      </w:r>
      <w:bookmarkEnd w:id="12"/>
      <w:r/>
      <w:bookmarkEnd w:id="13"/>
      <w:r/>
      <w:bookmarkEnd w:id="14"/>
      <w:r/>
      <w:bookmarkEnd w:id="15"/>
      <w:r>
        <w:rPr>
          <w:rFonts w:ascii="宋体" w:hAnsi="宋体" w:eastAsia="宋体"/>
          <w:color w:val="000000"/>
          <w:sz w:val="24"/>
          <w:szCs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1.满足《中华人民共和国政府采购法》第二十二条规定</w:t>
      </w:r>
      <w:r>
        <w:rPr>
          <w:rFonts w:hint="eastAsia" w:ascii="宋体" w:hAnsi="宋体"/>
          <w:color w:val="000000"/>
          <w:sz w:val="24"/>
          <w:highlight w:val="none"/>
        </w:rPr>
        <w:t xml:space="preserve">以及下列情形：</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bookmarkStart w:id="16" w:name="_Toc28359004"/>
      <w:r/>
      <w:bookmarkStart w:id="17" w:name="_Toc28359081"/>
      <w:r>
        <w:rPr>
          <w:rFonts w:ascii="宋体" w:hAnsi="宋体"/>
          <w:color w:val="000000"/>
          <w:sz w:val="24"/>
          <w:highlight w:val="none"/>
        </w:rPr>
        <w:t xml:space="preserve">2.落实政府采购政策需满足的资格要求：</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2.1 中小企业政策</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本项目不专门面向中小企业预留采购份额。</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t xml:space="preserve">本项目专门面向  </w:t>
      </w:r>
      <w:r>
        <w:rPr>
          <w:rFonts w:ascii="宋体" w:hAnsi="宋体"/>
          <w:color w:val="000000"/>
          <w:sz w:val="24"/>
          <w:highlight w:val="none"/>
        </w:rPr>
        <w:t xml:space="preserve">□</w:t>
      </w:r>
      <w:r>
        <w:rPr>
          <w:rFonts w:ascii="宋体" w:hAnsi="宋体"/>
          <w:color w:val="000000"/>
          <w:sz w:val="24"/>
          <w:highlight w:val="none"/>
        </w:rPr>
        <w:t xml:space="preserve">中小 □小微企业  采购。即：提供的货物全部由符合政策要求的中小企业制造、服务全部由符合政策要求的中小企业承接。</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color w:val="000000"/>
          <w:sz w:val="24"/>
          <w:highlight w:val="none"/>
        </w:rPr>
        <w:t xml:space="preserve">无。</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2.2 其它落实政府采购政策的资格要求（如有）：</w:t>
      </w:r>
      <w:r>
        <w:rPr>
          <w:rFonts w:hint="eastAsia" w:ascii="宋体" w:hAnsi="宋体"/>
          <w:color w:val="000000"/>
          <w:sz w:val="24"/>
          <w:highlight w:val="none"/>
        </w:rPr>
        <w:t xml:space="preserve">无。</w:t>
      </w:r>
      <w:r>
        <w:rPr>
          <w:rFonts w:ascii="宋体" w:hAnsi="宋体"/>
          <w:color w:val="000000"/>
          <w:sz w:val="24"/>
          <w:highlight w:val="none"/>
        </w:rPr>
      </w:r>
      <w:r/>
    </w:p>
    <w:p>
      <w:pPr>
        <w:pStyle w:val="918"/>
        <w:ind w:firstLine="480"/>
        <w:spacing w:line="360" w:lineRule="auto"/>
        <w:rPr>
          <w:rFonts w:ascii="宋体" w:hAnsi="宋体"/>
          <w:i/>
          <w:iCs/>
          <w:color w:val="000000"/>
          <w:sz w:val="24"/>
          <w:highlight w:val="none"/>
          <w:u w:val="single"/>
        </w:rPr>
      </w:pPr>
      <w:r>
        <w:rPr>
          <w:rFonts w:ascii="宋体" w:hAnsi="宋体"/>
          <w:color w:val="000000"/>
          <w:sz w:val="24"/>
          <w:highlight w:val="none"/>
        </w:rPr>
        <w:t xml:space="preserve">3.本项目的特定资格要求：</w:t>
      </w:r>
      <w:r>
        <w:rPr>
          <w:rFonts w:ascii="宋体" w:hAnsi="宋体"/>
          <w:i/>
          <w:iCs/>
          <w:color w:val="000000"/>
          <w:sz w:val="24"/>
          <w:highlight w:val="none"/>
          <w:u w:val="single"/>
        </w:rPr>
      </w:r>
      <w:r/>
    </w:p>
    <w:p>
      <w:pPr>
        <w:pStyle w:val="918"/>
        <w:ind w:firstLine="480"/>
        <w:spacing w:line="360" w:lineRule="auto"/>
        <w:tabs>
          <w:tab w:val="left" w:pos="900" w:leader="none"/>
          <w:tab w:val="left" w:pos="1134" w:leader="none"/>
          <w:tab w:val="left" w:pos="1589" w:leader="none"/>
          <w:tab w:val="left" w:pos="5521" w:leader="none"/>
        </w:tabs>
        <w:rPr>
          <w:rFonts w:ascii="宋体" w:hAnsi="宋体"/>
          <w:i/>
          <w:color w:val="000000"/>
          <w:sz w:val="24"/>
          <w:highlight w:val="none"/>
        </w:rPr>
      </w:pPr>
      <w:r>
        <w:rPr>
          <w:rFonts w:ascii="宋体" w:hAnsi="宋体"/>
          <w:color w:val="000000"/>
          <w:sz w:val="24"/>
          <w:highlight w:val="none"/>
        </w:rPr>
        <w:t xml:space="preserve">3.1本项目是否接受分支机构参与投标：</w:t>
      </w:r>
      <w:r>
        <w:rPr>
          <w:rFonts w:hint="eastAsia" w:ascii="宋体" w:hAnsi="宋体"/>
          <w:color w:val="000000"/>
          <w:sz w:val="24"/>
          <w:highlight w:val="none"/>
        </w:rPr>
        <w:t xml:space="preserve">□</w:t>
      </w:r>
      <w:r>
        <w:rPr>
          <w:rFonts w:ascii="宋体" w:hAnsi="宋体"/>
          <w:color w:val="000000"/>
          <w:sz w:val="24"/>
          <w:highlight w:val="none"/>
        </w:rPr>
        <w:t xml:space="preserve">是   </w:t>
      </w: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i/>
          <w:color w:val="000000"/>
          <w:sz w:val="24"/>
          <w:highlight w:val="none"/>
        </w:rPr>
      </w:r>
      <w:r/>
    </w:p>
    <w:p>
      <w:pPr>
        <w:pStyle w:val="918"/>
        <w:ind w:firstLine="480"/>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ascii="宋体" w:hAnsi="宋体"/>
          <w:color w:val="000000"/>
          <w:sz w:val="24"/>
          <w:highlight w:val="none"/>
        </w:rPr>
        <w:t xml:space="preserve">3.2本项目是否属于政府购买服务：</w:t>
      </w:r>
      <w:r>
        <w:rPr>
          <w:rFonts w:ascii="宋体" w:hAnsi="宋体"/>
          <w:color w:val="000000"/>
          <w:sz w:val="24"/>
          <w:highlight w:val="none"/>
        </w:rPr>
      </w:r>
      <w:r/>
    </w:p>
    <w:p>
      <w:pPr>
        <w:pStyle w:val="918"/>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p>
      <w:pPr>
        <w:pStyle w:val="918"/>
        <w:ind w:left="991" w:firstLine="2"/>
        <w:spacing w:line="360" w:lineRule="auto"/>
        <w:tabs>
          <w:tab w:val="left" w:pos="900" w:leader="none"/>
          <w:tab w:val="left" w:pos="1134" w:leader="none"/>
          <w:tab w:val="left" w:pos="1589"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是，公益一类事业单位、使用事业编制且由财政拨款保障的群团组织，不得作为承接主体；</w:t>
      </w:r>
      <w:r>
        <w:rPr>
          <w:rFonts w:ascii="宋体" w:hAnsi="宋体"/>
          <w:color w:val="000000"/>
          <w:sz w:val="24"/>
          <w:highlight w:val="none"/>
        </w:rPr>
      </w:r>
      <w:r/>
    </w:p>
    <w:p>
      <w:pPr>
        <w:pStyle w:val="918"/>
        <w:ind w:firstLine="480"/>
        <w:spacing w:line="360" w:lineRule="auto"/>
        <w:rPr>
          <w:rFonts w:hint="eastAsia" w:ascii="宋体" w:hAnsi="宋体"/>
          <w:color w:val="000000"/>
          <w:sz w:val="24"/>
          <w:highlight w:val="none"/>
        </w:rPr>
      </w:pPr>
      <w:r>
        <w:rPr>
          <w:rFonts w:ascii="宋体" w:hAnsi="宋体"/>
          <w:color w:val="000000"/>
          <w:sz w:val="24"/>
          <w:highlight w:val="none"/>
        </w:rPr>
        <w:t xml:space="preserve">3.3其他特定资格要求：</w:t>
      </w:r>
      <w:bookmarkEnd w:id="16"/>
      <w:r/>
      <w:bookmarkEnd w:id="17"/>
      <w:r/>
      <w:bookmarkStart w:id="18" w:name="_Toc35393623"/>
      <w:r/>
      <w:bookmarkStart w:id="19" w:name="_Toc35393792"/>
      <w:r>
        <w:rPr>
          <w:rFonts w:hint="eastAsia" w:ascii="宋体" w:hAnsi="宋体"/>
          <w:color w:val="000000"/>
          <w:sz w:val="24"/>
          <w:highlight w:val="none"/>
          <w:lang w:val="en-US" w:eastAsia="zh-CN"/>
        </w:rPr>
        <w:t xml:space="preserve">无</w:t>
      </w:r>
      <w:r>
        <w:rPr>
          <w:rFonts w:hint="eastAsia" w:ascii="宋体" w:hAnsi="宋体"/>
          <w:b/>
          <w:bCs/>
          <w:color w:val="000000"/>
          <w:sz w:val="24"/>
          <w:highlight w:val="none"/>
        </w:rPr>
        <w:t xml:space="preserve">。</w:t>
      </w:r>
      <w:r>
        <w:rPr>
          <w:rFonts w:hint="eastAsia" w:ascii="宋体" w:hAnsi="宋体"/>
          <w:color w:val="000000"/>
          <w:sz w:val="24"/>
          <w:highlight w:val="none"/>
        </w:rPr>
      </w:r>
      <w:r/>
    </w:p>
    <w:p>
      <w:pPr>
        <w:pStyle w:val="920"/>
        <w:jc w:val="left"/>
        <w:spacing w:before="0" w:line="360" w:lineRule="auto"/>
        <w:widowControl/>
        <w:rPr>
          <w:rFonts w:ascii="宋体" w:hAnsi="宋体" w:eastAsia="宋体"/>
          <w:color w:val="000000"/>
          <w:sz w:val="24"/>
          <w:szCs w:val="24"/>
          <w:highlight w:val="none"/>
          <w:lang w:val="en-US" w:eastAsia="zh-CN"/>
        </w:rPr>
      </w:pPr>
      <w:r>
        <w:rPr>
          <w:rFonts w:ascii="宋体" w:hAnsi="宋体" w:eastAsia="宋体"/>
          <w:color w:val="000000"/>
          <w:sz w:val="24"/>
          <w:szCs w:val="24"/>
          <w:highlight w:val="none"/>
        </w:rPr>
        <w:t xml:space="preserve">三、获取招标文件</w:t>
      </w:r>
      <w:bookmarkEnd w:id="18"/>
      <w:r/>
      <w:bookmarkEnd w:id="19"/>
      <w:r>
        <w:rPr>
          <w:rFonts w:ascii="宋体" w:hAnsi="宋体" w:eastAsia="宋体"/>
          <w:color w:val="000000"/>
          <w:sz w:val="24"/>
          <w:szCs w:val="24"/>
          <w:highlight w:val="none"/>
          <w:lang w:val="en-US" w:eastAsia="zh-CN"/>
        </w:rPr>
      </w:r>
      <w:r/>
    </w:p>
    <w:p>
      <w:pPr>
        <w:pStyle w:val="918"/>
        <w:ind w:firstLine="480"/>
        <w:spacing w:line="360" w:lineRule="auto"/>
        <w:rPr>
          <w:rFonts w:hint="eastAsia"/>
          <w:color w:val="000000"/>
          <w:sz w:val="24"/>
          <w:highlight w:val="none"/>
          <w:lang w:bidi="ar"/>
        </w:rPr>
      </w:pPr>
      <w:r>
        <w:rPr>
          <w:rFonts w:ascii="宋体" w:hAnsi="宋体"/>
          <w:color w:val="000000"/>
          <w:sz w:val="24"/>
          <w:highlight w:val="none"/>
          <w:lang w:bidi="ar"/>
        </w:rPr>
        <w:t xml:space="preserve">1.时间</w:t>
      </w:r>
      <w:r>
        <w:rPr>
          <w:rFonts w:hint="eastAsia"/>
          <w:color w:val="000000"/>
          <w:sz w:val="24"/>
          <w:highlight w:val="none"/>
          <w:lang w:bidi="ar"/>
        </w:rPr>
        <w:t xml:space="preserve">：自招标文件公告发布之日起5个工作日</w:t>
      </w:r>
      <w:r>
        <w:rPr>
          <w:rFonts w:hint="eastAsia"/>
          <w:color w:val="000000"/>
          <w:sz w:val="24"/>
          <w:highlight w:val="none"/>
          <w:lang w:eastAsia="zh-CN" w:bidi="ar"/>
        </w:rPr>
        <w:t xml:space="preserve">。</w:t>
      </w:r>
      <w:r>
        <w:rPr>
          <w:rFonts w:hint="eastAsia"/>
          <w:color w:val="000000"/>
          <w:sz w:val="24"/>
          <w:highlight w:val="none"/>
          <w:lang w:bidi="ar"/>
        </w:rPr>
        <w:t xml:space="preserve"> </w:t>
      </w:r>
      <w:r>
        <w:rPr>
          <w:rFonts w:hint="eastAsia"/>
          <w:color w:val="000000"/>
          <w:sz w:val="24"/>
          <w:highlight w:val="none"/>
          <w:lang w:bidi="ar"/>
        </w:rPr>
      </w:r>
      <w:r/>
    </w:p>
    <w:p>
      <w:pPr>
        <w:pStyle w:val="918"/>
        <w:ind w:firstLine="480"/>
        <w:spacing w:line="360" w:lineRule="auto"/>
        <w:rPr>
          <w:rFonts w:ascii="宋体" w:hAnsi="宋体"/>
          <w:color w:val="000000"/>
          <w:sz w:val="24"/>
          <w:highlight w:val="none"/>
        </w:rPr>
      </w:pPr>
      <w:r>
        <w:rPr>
          <w:rFonts w:hint="eastAsia"/>
          <w:color w:val="000000"/>
          <w:sz w:val="24"/>
          <w:highlight w:val="none"/>
          <w:lang w:bidi="ar"/>
        </w:rPr>
        <w:t xml:space="preserve">2.地点：“苏采云”政府采购一体化平台</w:t>
      </w:r>
      <w:r>
        <w:rPr>
          <w:rFonts w:hint="eastAsia"/>
          <w:color w:val="000000"/>
          <w:sz w:val="24"/>
          <w:highlight w:val="none"/>
        </w:rPr>
        <w:t xml:space="preserve">。</w:t>
      </w:r>
      <w:r>
        <w:rPr>
          <w:rFonts w:ascii="宋体" w:hAnsi="宋体"/>
          <w:color w:val="000000"/>
          <w:sz w:val="24"/>
          <w:highlight w:val="none"/>
        </w:rPr>
      </w:r>
      <w:r/>
    </w:p>
    <w:p>
      <w:pPr>
        <w:pStyle w:val="918"/>
        <w:ind w:firstLine="480"/>
        <w:spacing w:line="360" w:lineRule="auto"/>
        <w:rPr>
          <w:color w:val="000000"/>
          <w:sz w:val="24"/>
          <w:highlight w:val="none"/>
          <w:lang w:bidi="ar"/>
        </w:rPr>
      </w:pPr>
      <w:r>
        <w:rPr>
          <w:rFonts w:ascii="宋体" w:hAnsi="宋体"/>
          <w:color w:val="000000"/>
          <w:sz w:val="24"/>
          <w:highlight w:val="none"/>
          <w:lang w:bidi="ar"/>
        </w:rPr>
        <w:t xml:space="preserve">3.方式：</w:t>
      </w:r>
      <w:r>
        <w:rPr>
          <w:rFonts w:hint="eastAsia" w:ascii="宋体" w:hAnsi="宋体"/>
          <w:color w:val="000000"/>
          <w:sz w:val="24"/>
          <w:highlight w:val="none"/>
          <w:lang w:bidi="ar"/>
        </w:rPr>
        <w:t xml:space="preserve">投标人</w:t>
      </w:r>
      <w:r>
        <w:rPr>
          <w:rFonts w:hint="eastAsia"/>
          <w:color w:val="000000"/>
          <w:sz w:val="24"/>
          <w:highlight w:val="none"/>
          <w:lang w:bidi="ar"/>
        </w:rPr>
        <w:t xml:space="preserve">登陆“江苏政府采购网”，在网站首页点击“苏采云”→使用CA锁登录系统（新用户需进行“平台用户注册”）→“项目参与”进行登记，在“可参与项目”中选择“我要参与”，参与成功后到“已参与项目”界面中找到该项目下载文件并进行操作。</w:t>
      </w:r>
      <w:r>
        <w:rPr>
          <w:color w:val="000000"/>
          <w:sz w:val="24"/>
          <w:highlight w:val="none"/>
          <w:lang w:bidi="ar"/>
        </w:rPr>
      </w:r>
      <w:r/>
    </w:p>
    <w:p>
      <w:pPr>
        <w:pStyle w:val="918"/>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4.售价：</w:t>
      </w:r>
      <w:r>
        <w:rPr>
          <w:rFonts w:hint="eastAsia" w:ascii="宋体" w:hAnsi="宋体"/>
          <w:color w:val="000000"/>
          <w:sz w:val="24"/>
          <w:highlight w:val="none"/>
          <w:u w:val="single"/>
          <w:lang w:bidi="ar"/>
        </w:rPr>
        <w:t xml:space="preserve"> 0 </w:t>
      </w:r>
      <w:r>
        <w:rPr>
          <w:rFonts w:hint="eastAsia" w:ascii="宋体" w:hAnsi="宋体"/>
          <w:color w:val="000000"/>
          <w:sz w:val="24"/>
          <w:highlight w:val="none"/>
          <w:lang w:bidi="ar"/>
        </w:rPr>
        <w:t xml:space="preserve">元</w:t>
      </w:r>
      <w:r>
        <w:rPr>
          <w:rFonts w:ascii="宋体" w:hAnsi="宋体"/>
          <w:color w:val="000000"/>
          <w:sz w:val="24"/>
          <w:highlight w:val="none"/>
          <w:lang w:bidi="ar"/>
        </w:rPr>
        <w:t xml:space="preserve">。</w:t>
      </w:r>
      <w:r>
        <w:rPr>
          <w:rFonts w:ascii="宋体" w:hAnsi="宋体"/>
          <w:color w:val="000000"/>
          <w:sz w:val="24"/>
          <w:highlight w:val="none"/>
        </w:rPr>
      </w:r>
      <w:r/>
    </w:p>
    <w:p>
      <w:pPr>
        <w:pStyle w:val="920"/>
        <w:jc w:val="left"/>
        <w:spacing w:before="0" w:line="360" w:lineRule="auto"/>
        <w:widowControl/>
        <w:rPr>
          <w:rFonts w:ascii="宋体" w:hAnsi="宋体" w:eastAsia="宋体"/>
          <w:color w:val="000000"/>
          <w:sz w:val="24"/>
          <w:szCs w:val="24"/>
          <w:highlight w:val="none"/>
        </w:rPr>
      </w:pPr>
      <w:r/>
      <w:bookmarkStart w:id="20" w:name="_Toc28359005"/>
      <w:r/>
      <w:bookmarkStart w:id="21" w:name="_Toc28359082"/>
      <w:r/>
      <w:bookmarkStart w:id="22" w:name="_Toc35393624"/>
      <w:r/>
      <w:bookmarkStart w:id="23" w:name="_Toc35393793"/>
      <w:r>
        <w:rPr>
          <w:rFonts w:ascii="宋体" w:hAnsi="宋体" w:eastAsia="宋体"/>
          <w:color w:val="000000"/>
          <w:sz w:val="24"/>
          <w:szCs w:val="24"/>
          <w:highlight w:val="none"/>
        </w:rPr>
        <w:t xml:space="preserve">四、提交投标文件</w:t>
      </w:r>
      <w:bookmarkEnd w:id="20"/>
      <w:r/>
      <w:bookmarkEnd w:id="21"/>
      <w:r>
        <w:rPr>
          <w:rFonts w:ascii="宋体" w:hAnsi="宋体" w:eastAsia="宋体"/>
          <w:color w:val="000000"/>
          <w:sz w:val="24"/>
          <w:szCs w:val="24"/>
          <w:highlight w:val="none"/>
        </w:rPr>
        <w:t xml:space="preserve">截止时间、开标时间和地点</w:t>
      </w:r>
      <w:bookmarkEnd w:id="22"/>
      <w:r/>
      <w:bookmarkEnd w:id="23"/>
      <w:r>
        <w:rPr>
          <w:rFonts w:ascii="宋体" w:hAnsi="宋体" w:eastAsia="宋体"/>
          <w:color w:val="000000"/>
          <w:sz w:val="24"/>
          <w:szCs w:val="24"/>
          <w:highlight w:val="none"/>
        </w:rPr>
      </w:r>
      <w:r/>
    </w:p>
    <w:p>
      <w:pPr>
        <w:pStyle w:val="918"/>
        <w:ind w:firstLine="480"/>
        <w:spacing w:line="360" w:lineRule="auto"/>
        <w:rPr>
          <w:rFonts w:ascii="宋体" w:hAnsi="宋体"/>
          <w:bCs/>
          <w:color w:val="000000"/>
          <w:sz w:val="24"/>
          <w:highlight w:val="none"/>
          <w:u w:val="single"/>
        </w:rPr>
      </w:pPr>
      <w:r>
        <w:rPr>
          <w:rFonts w:ascii="宋体" w:hAnsi="宋体"/>
          <w:color w:val="000000"/>
          <w:sz w:val="24"/>
          <w:highlight w:val="none"/>
          <w:lang w:bidi="ar"/>
        </w:rPr>
        <w:t xml:space="preserve">投标截止时间、开标时间：</w:t>
      </w:r>
      <w:r>
        <w:rPr>
          <w:rFonts w:hint="eastAsia" w:ascii="宋体" w:hAnsi="宋体"/>
          <w:color w:val="000000"/>
          <w:sz w:val="24"/>
          <w:highlight w:val="none"/>
          <w:lang w:bidi="ar"/>
        </w:rPr>
        <w:t xml:space="preserve">20</w:t>
      </w:r>
      <w:r>
        <w:rPr>
          <w:rFonts w:hint="eastAsia" w:ascii="宋体" w:hAnsi="宋体"/>
          <w:color w:val="000000"/>
          <w:sz w:val="24"/>
          <w:highlight w:val="none"/>
          <w:lang w:val="en-US" w:eastAsia="zh-CN" w:bidi="ar"/>
        </w:rPr>
        <w:t xml:space="preserve">26</w:t>
      </w:r>
      <w:r>
        <w:rPr>
          <w:rFonts w:hint="eastAsia" w:ascii="宋体" w:hAnsi="宋体"/>
          <w:color w:val="000000"/>
          <w:sz w:val="24"/>
          <w:highlight w:val="none"/>
          <w:lang w:bidi="ar"/>
        </w:rPr>
        <w:t xml:space="preserve">年</w:t>
      </w:r>
      <w:r>
        <w:rPr>
          <w:rFonts w:hint="eastAsia" w:ascii="宋体" w:hAnsi="宋体"/>
          <w:color w:val="000000"/>
          <w:sz w:val="24"/>
          <w:highlight w:val="none"/>
          <w:lang w:val="en-US" w:eastAsia="zh-CN" w:bidi="ar"/>
        </w:rPr>
        <w:t xml:space="preserve">11</w:t>
      </w:r>
      <w:r>
        <w:rPr>
          <w:rFonts w:hint="eastAsia" w:ascii="宋体" w:hAnsi="宋体"/>
          <w:color w:val="000000"/>
          <w:sz w:val="24"/>
          <w:highlight w:val="none"/>
          <w:lang w:bidi="ar"/>
        </w:rPr>
        <w:t xml:space="preserve">月</w:t>
      </w:r>
      <w:r>
        <w:rPr>
          <w:rFonts w:hint="eastAsia" w:ascii="宋体" w:hAnsi="宋体"/>
          <w:color w:val="000000"/>
          <w:sz w:val="24"/>
          <w:highlight w:val="none"/>
          <w:lang w:val="en-US" w:eastAsia="zh-CN" w:bidi="ar"/>
        </w:rPr>
        <w:t xml:space="preserve">12</w:t>
      </w:r>
      <w:r>
        <w:rPr>
          <w:rFonts w:hint="eastAsia" w:ascii="宋体" w:hAnsi="宋体"/>
          <w:color w:val="000000"/>
          <w:sz w:val="24"/>
          <w:highlight w:val="none"/>
          <w:lang w:bidi="ar"/>
        </w:rPr>
        <w:t xml:space="preserve">日 </w:t>
      </w:r>
      <w:r>
        <w:rPr>
          <w:rFonts w:hint="eastAsia" w:ascii="宋体" w:hAnsi="宋体"/>
          <w:color w:val="000000"/>
          <w:sz w:val="24"/>
          <w:highlight w:val="none"/>
          <w:lang w:val="en-US" w:eastAsia="zh-CN" w:bidi="ar"/>
        </w:rPr>
        <w:t xml:space="preserve">09</w:t>
      </w:r>
      <w:r>
        <w:rPr>
          <w:rFonts w:hint="eastAsia" w:ascii="宋体" w:hAnsi="宋体"/>
          <w:color w:val="000000"/>
          <w:sz w:val="24"/>
          <w:highlight w:val="none"/>
          <w:lang w:bidi="ar"/>
        </w:rPr>
        <w:t xml:space="preserve">点</w:t>
      </w:r>
      <w:r>
        <w:rPr>
          <w:rFonts w:hint="eastAsia" w:ascii="宋体" w:hAnsi="宋体"/>
          <w:color w:val="000000"/>
          <w:sz w:val="24"/>
          <w:highlight w:val="none"/>
          <w:lang w:val="en-US" w:eastAsia="zh-CN" w:bidi="ar"/>
        </w:rPr>
        <w:t xml:space="preserve">30</w:t>
      </w:r>
      <w:r>
        <w:rPr>
          <w:rFonts w:hint="eastAsia" w:ascii="宋体" w:hAnsi="宋体"/>
          <w:color w:val="000000"/>
          <w:sz w:val="24"/>
          <w:highlight w:val="none"/>
          <w:lang w:bidi="ar"/>
        </w:rPr>
        <w:t xml:space="preserve">分（北京时间）。</w:t>
      </w:r>
      <w:r>
        <w:rPr>
          <w:rFonts w:ascii="宋体" w:hAnsi="宋体"/>
          <w:bCs/>
          <w:color w:val="000000"/>
          <w:sz w:val="24"/>
          <w:highlight w:val="none"/>
          <w:u w:val="single"/>
        </w:rPr>
      </w:r>
      <w:r/>
    </w:p>
    <w:p>
      <w:pPr>
        <w:pStyle w:val="918"/>
        <w:ind w:firstLine="480"/>
        <w:spacing w:line="360" w:lineRule="auto"/>
        <w:rPr>
          <w:rFonts w:hint="eastAsia" w:ascii="宋体" w:hAnsi="宋体" w:cs="宋体"/>
          <w:color w:val="000000"/>
          <w:sz w:val="24"/>
          <w:highlight w:val="none"/>
        </w:rPr>
      </w:pPr>
      <w:r>
        <w:rPr>
          <w:rFonts w:ascii="宋体" w:hAnsi="宋体"/>
          <w:color w:val="000000"/>
          <w:sz w:val="24"/>
          <w:highlight w:val="none"/>
          <w:lang w:bidi="ar"/>
        </w:rPr>
        <w:t xml:space="preserve">地点：</w:t>
      </w:r>
      <w:r>
        <w:rPr>
          <w:rFonts w:hint="eastAsia" w:ascii="宋体" w:hAnsi="宋体" w:cs="宋体"/>
          <w:color w:val="000000"/>
          <w:sz w:val="24"/>
          <w:highlight w:val="none"/>
        </w:rPr>
        <w:t xml:space="preserve">本项目采用远程“不见面”交易方式，无需到现场提交，请投标人在提交时间截止前提前登入“苏采云”（网址：</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lang w:val="zh-TW" w:bidi="ar"/>
        </w:rPr>
      </w:pPr>
      <w:r>
        <w:rPr>
          <w:rFonts w:hint="eastAsia" w:ascii="宋体" w:hAnsi="宋体" w:cs="宋体"/>
          <w:color w:val="000000"/>
          <w:sz w:val="24"/>
          <w:highlight w:val="none"/>
        </w:rPr>
        <w:t xml:space="preserve">http://jszfcg.jsczt.cn/jszc/login?rf=http://jszfcg.jsczt.cn/jszc/workspaceForPurchaseCenter），通过系统在线提交电子投标文件。</w:t>
      </w:r>
      <w:r>
        <w:rPr>
          <w:rFonts w:hint="eastAsia" w:ascii="宋体" w:hAnsi="宋体" w:cs="宋体"/>
          <w:color w:val="000000"/>
          <w:sz w:val="24"/>
          <w:highlight w:val="none"/>
          <w:lang w:val="zh-TW" w:bidi="ar"/>
        </w:rPr>
      </w:r>
      <w:r/>
    </w:p>
    <w:p>
      <w:pPr>
        <w:pStyle w:val="920"/>
        <w:jc w:val="left"/>
        <w:spacing w:before="0" w:line="360" w:lineRule="auto"/>
        <w:rPr>
          <w:rFonts w:ascii="宋体" w:hAnsi="宋体" w:eastAsia="宋体"/>
          <w:color w:val="000000"/>
          <w:sz w:val="24"/>
          <w:szCs w:val="24"/>
          <w:highlight w:val="none"/>
        </w:rPr>
      </w:pPr>
      <w:r/>
      <w:bookmarkStart w:id="24" w:name="_Toc35393794"/>
      <w:r/>
      <w:bookmarkStart w:id="25" w:name="_Toc28359007"/>
      <w:r/>
      <w:bookmarkStart w:id="26" w:name="_Toc35393625"/>
      <w:r/>
      <w:bookmarkStart w:id="27" w:name="_Toc28359084"/>
      <w:r>
        <w:rPr>
          <w:rFonts w:ascii="宋体" w:hAnsi="宋体" w:eastAsia="宋体"/>
          <w:color w:val="000000"/>
          <w:sz w:val="24"/>
          <w:szCs w:val="24"/>
          <w:highlight w:val="none"/>
        </w:rPr>
        <w:t xml:space="preserve">五、公告期限</w:t>
      </w:r>
      <w:bookmarkEnd w:id="24"/>
      <w:r/>
      <w:bookmarkEnd w:id="25"/>
      <w:r/>
      <w:bookmarkEnd w:id="26"/>
      <w:r/>
      <w:bookmarkEnd w:id="27"/>
      <w:r>
        <w:rPr>
          <w:rFonts w:ascii="宋体" w:hAnsi="宋体" w:eastAsia="宋体"/>
          <w:color w:val="000000"/>
          <w:sz w:val="24"/>
          <w:szCs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自本公告发布之日起5个工作日。</w:t>
      </w:r>
      <w:r>
        <w:rPr>
          <w:rFonts w:ascii="宋体" w:hAnsi="宋体"/>
          <w:color w:val="000000"/>
          <w:sz w:val="24"/>
          <w:highlight w:val="none"/>
        </w:rPr>
      </w:r>
      <w:r/>
    </w:p>
    <w:p>
      <w:pPr>
        <w:pStyle w:val="920"/>
        <w:jc w:val="left"/>
        <w:spacing w:before="0" w:line="360" w:lineRule="auto"/>
        <w:rPr>
          <w:rFonts w:ascii="宋体" w:hAnsi="宋体" w:eastAsia="宋体"/>
          <w:color w:val="000000"/>
          <w:sz w:val="24"/>
          <w:szCs w:val="24"/>
          <w:highlight w:val="none"/>
        </w:rPr>
      </w:pPr>
      <w:r/>
      <w:bookmarkStart w:id="28" w:name="_Toc35393795"/>
      <w:r/>
      <w:bookmarkStart w:id="29" w:name="_Toc35393626"/>
      <w:r>
        <w:rPr>
          <w:rFonts w:ascii="宋体" w:hAnsi="宋体" w:eastAsia="宋体"/>
          <w:color w:val="000000"/>
          <w:sz w:val="24"/>
          <w:szCs w:val="24"/>
          <w:highlight w:val="none"/>
        </w:rPr>
        <w:t xml:space="preserve">六、其他补充事宜</w:t>
      </w:r>
      <w:bookmarkEnd w:id="28"/>
      <w:r/>
      <w:bookmarkEnd w:id="29"/>
      <w:r>
        <w:rPr>
          <w:rFonts w:ascii="宋体" w:hAnsi="宋体" w:eastAsia="宋体"/>
          <w:color w:val="000000"/>
          <w:sz w:val="24"/>
          <w:szCs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1.本项目需要落实的政府采购政策：</w:t>
      </w:r>
      <w:r>
        <w:rPr>
          <w:rFonts w:hint="eastAsia" w:ascii="宋体" w:hAnsi="宋体"/>
          <w:color w:val="000000"/>
          <w:sz w:val="24"/>
          <w:highlight w:val="none"/>
          <w:lang w:bidi="ar"/>
        </w:rPr>
        <w:t xml:space="preserve">无</w:t>
      </w:r>
      <w:r>
        <w:rPr>
          <w:rFonts w:ascii="宋体" w:hAnsi="宋体"/>
          <w:color w:val="000000"/>
          <w:sz w:val="24"/>
          <w:highlight w:val="none"/>
          <w:lang w:bidi="ar"/>
        </w:rPr>
        <w:t xml:space="preserve">。</w:t>
      </w:r>
      <w:r>
        <w:rPr>
          <w:rFonts w:ascii="宋体" w:hAnsi="宋体"/>
          <w:color w:val="000000"/>
          <w:sz w:val="24"/>
          <w:highlight w:val="none"/>
        </w:rPr>
        <w:t xml:space="preserve"> </w:t>
      </w:r>
      <w:r>
        <w:rPr>
          <w:rFonts w:ascii="宋体" w:hAnsi="宋体"/>
          <w:color w:val="000000"/>
          <w:sz w:val="24"/>
          <w:highlight w:val="none"/>
        </w:rPr>
      </w:r>
      <w:r/>
    </w:p>
    <w:p>
      <w:pPr>
        <w:pStyle w:val="918"/>
        <w:ind w:firstLine="480"/>
        <w:jc w:val="left"/>
        <w:spacing w:line="360" w:lineRule="auto"/>
        <w:widowControl/>
        <w:rPr>
          <w:rFonts w:ascii="宋体" w:hAnsi="宋体"/>
          <w:bCs/>
          <w:color w:val="000000"/>
          <w:sz w:val="24"/>
          <w:highlight w:val="none"/>
          <w:lang w:bidi="ar"/>
        </w:rPr>
      </w:pPr>
      <w:r>
        <w:rPr>
          <w:rFonts w:ascii="宋体" w:hAnsi="宋体"/>
          <w:color w:val="000000"/>
          <w:sz w:val="24"/>
          <w:highlight w:val="none"/>
          <w:lang w:bidi="ar"/>
        </w:rPr>
        <w:t xml:space="preserve">2.</w:t>
      </w:r>
      <w:r>
        <w:rPr>
          <w:color w:val="000000"/>
          <w:sz w:val="24"/>
          <w:highlight w:val="none"/>
          <w:lang w:bidi="ar"/>
        </w:rPr>
        <w:t xml:space="preserve">本项目采用全流程电子化采购方式</w:t>
      </w:r>
      <w:r>
        <w:rPr>
          <w:rFonts w:ascii="宋体" w:hAnsi="宋体"/>
          <w:color w:val="000000"/>
          <w:sz w:val="24"/>
          <w:highlight w:val="none"/>
          <w:lang w:bidi="ar"/>
        </w:rPr>
        <w:t xml:space="preserve">，请供应商认真学习</w:t>
      </w:r>
      <w:r>
        <w:rPr>
          <w:rFonts w:hint="eastAsia"/>
          <w:color w:val="000000"/>
          <w:sz w:val="24"/>
          <w:highlight w:val="none"/>
          <w:lang w:bidi="ar"/>
        </w:rPr>
        <w:t xml:space="preserve">“苏采云”政府采购一体化平台</w:t>
      </w:r>
      <w:r>
        <w:rPr>
          <w:rFonts w:ascii="宋体" w:hAnsi="宋体"/>
          <w:color w:val="000000"/>
          <w:sz w:val="24"/>
          <w:highlight w:val="none"/>
          <w:lang w:bidi="ar"/>
        </w:rPr>
        <w:t xml:space="preserve">发布的相关操作手册，办理CA认证证书、进行</w:t>
      </w:r>
      <w:r>
        <w:rPr>
          <w:rFonts w:hint="eastAsia" w:ascii="宋体" w:hAnsi="宋体"/>
          <w:color w:val="000000"/>
          <w:sz w:val="24"/>
          <w:highlight w:val="none"/>
          <w:lang w:bidi="ar"/>
        </w:rPr>
        <w:t xml:space="preserve">“</w:t>
      </w:r>
      <w:r>
        <w:rPr>
          <w:rFonts w:ascii="宋体" w:hAnsi="宋体"/>
          <w:color w:val="000000"/>
          <w:sz w:val="24"/>
          <w:highlight w:val="none"/>
          <w:lang w:bidi="ar"/>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lang w:bidi="ar"/>
        </w:rPr>
        <w:t xml:space="preserve">注册绑定，并认真核实</w:t>
      </w:r>
      <w:r>
        <w:rPr>
          <w:rFonts w:ascii="宋体" w:hAnsi="宋体"/>
          <w:bCs/>
          <w:color w:val="000000"/>
          <w:sz w:val="24"/>
          <w:highlight w:val="none"/>
          <w:lang w:bidi="ar"/>
        </w:rPr>
        <w:t xml:space="preserve">数字认证证书情况确认是否符合本项目电子化采购流程要求。</w:t>
      </w:r>
      <w:r>
        <w:rPr>
          <w:rFonts w:ascii="宋体" w:hAnsi="宋体"/>
          <w:bCs/>
          <w:color w:val="000000"/>
          <w:sz w:val="24"/>
          <w:highlight w:val="none"/>
          <w:lang w:bidi="ar"/>
        </w:rPr>
      </w:r>
      <w:r/>
    </w:p>
    <w:p>
      <w:pPr>
        <w:pStyle w:val="918"/>
        <w:ind w:firstLine="480"/>
        <w:spacing w:line="360" w:lineRule="auto"/>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 xml:space="preserve">0519-85588210  0519-85588163</w:t>
      </w:r>
      <w:r>
        <w:rPr>
          <w:color w:val="000000"/>
          <w:sz w:val="24"/>
          <w:highlight w:val="none"/>
        </w:rPr>
      </w:r>
      <w:r/>
    </w:p>
    <w:p>
      <w:pPr>
        <w:pStyle w:val="918"/>
        <w:ind w:firstLine="480"/>
        <w:spacing w:line="360" w:lineRule="auto"/>
        <w:rPr>
          <w:color w:val="000000"/>
          <w:sz w:val="24"/>
          <w:highlight w:val="none"/>
          <w:lang w:bidi="ar"/>
        </w:rPr>
      </w:pPr>
      <w:r>
        <w:rPr>
          <w:color w:val="000000"/>
          <w:sz w:val="24"/>
          <w:highlight w:val="none"/>
          <w:lang w:bidi="ar"/>
        </w:rPr>
        <w:t xml:space="preserve">CA认证证书</w:t>
      </w:r>
      <w:r>
        <w:rPr>
          <w:rFonts w:hint="eastAsia"/>
          <w:color w:val="000000"/>
          <w:sz w:val="24"/>
          <w:highlight w:val="none"/>
          <w:lang w:bidi="ar"/>
        </w:rPr>
        <w:t xml:space="preserve">办理（可邮寄）联系电话   </w:t>
      </w:r>
      <w:r>
        <w:rPr>
          <w:color w:val="000000"/>
          <w:sz w:val="24"/>
          <w:highlight w:val="none"/>
          <w:lang w:bidi="ar"/>
        </w:rPr>
        <w:t xml:space="preserve">0519</w:t>
      </w:r>
      <w:r>
        <w:rPr>
          <w:rFonts w:hint="eastAsia"/>
          <w:color w:val="000000"/>
          <w:sz w:val="24"/>
          <w:highlight w:val="none"/>
          <w:lang w:bidi="ar"/>
        </w:rPr>
        <w:t xml:space="preserve">-</w:t>
      </w:r>
      <w:r>
        <w:rPr>
          <w:color w:val="000000"/>
          <w:sz w:val="24"/>
          <w:highlight w:val="none"/>
          <w:lang w:bidi="ar"/>
        </w:rPr>
        <w:t xml:space="preserve">85588120</w:t>
      </w:r>
      <w:r>
        <w:rPr>
          <w:color w:val="000000"/>
          <w:sz w:val="24"/>
          <w:highlight w:val="none"/>
          <w:lang w:bidi="ar"/>
        </w:rPr>
      </w:r>
      <w:r/>
    </w:p>
    <w:p>
      <w:pPr>
        <w:pStyle w:val="918"/>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2.1办理CA认证证书</w:t>
      </w:r>
      <w:r>
        <w:rPr>
          <w:rFonts w:ascii="宋体" w:hAnsi="宋体"/>
          <w:color w:val="000000"/>
          <w:sz w:val="24"/>
          <w:highlight w:val="none"/>
          <w:lang w:bidi="ar"/>
        </w:rPr>
      </w:r>
      <w:r/>
    </w:p>
    <w:p>
      <w:pPr>
        <w:pStyle w:val="918"/>
        <w:ind w:firstLine="480"/>
        <w:jc w:val="left"/>
        <w:spacing w:line="360" w:lineRule="auto"/>
        <w:widowControl/>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网“下载中心”下载并查阅</w:t>
      </w:r>
      <w:r>
        <w:rPr>
          <w:rFonts w:ascii="宋体" w:hAnsi="宋体"/>
          <w:color w:val="000000"/>
          <w:sz w:val="24"/>
          <w:highlight w:val="none"/>
          <w:lang w:bidi="ar"/>
        </w:rPr>
        <w:t xml:space="preserve"> </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w:t>
      </w:r>
      <w:r>
        <w:rPr>
          <w:rFonts w:hint="eastAsia"/>
          <w:color w:val="000000"/>
          <w:sz w:val="24"/>
          <w:highlight w:val="none"/>
          <w:lang w:bidi="ar"/>
        </w:rPr>
        <w:t xml:space="preserve">政务CA</w:t>
      </w:r>
      <w:r>
        <w:rPr>
          <w:color w:val="000000"/>
          <w:sz w:val="24"/>
          <w:highlight w:val="none"/>
          <w:lang w:bidi="ar"/>
        </w:rPr>
        <w:t xml:space="preserve">证书办理指南</w:t>
      </w:r>
      <w:r>
        <w:rPr>
          <w:rFonts w:ascii="宋体" w:hAnsi="宋体"/>
          <w:color w:val="000000"/>
          <w:sz w:val="24"/>
          <w:highlight w:val="none"/>
          <w:lang w:bidi="ar"/>
        </w:rPr>
        <w:t xml:space="preserve">，按照程序要求办理。</w:t>
      </w:r>
      <w:r>
        <w:rPr>
          <w:rFonts w:ascii="宋体" w:hAnsi="宋体"/>
          <w:color w:val="000000"/>
          <w:sz w:val="24"/>
          <w:highlight w:val="none"/>
        </w:rPr>
      </w:r>
      <w:r/>
    </w:p>
    <w:p>
      <w:pPr>
        <w:pStyle w:val="918"/>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2.2注册</w:t>
      </w:r>
      <w:r>
        <w:rPr>
          <w:rFonts w:ascii="宋体" w:hAnsi="宋体"/>
          <w:color w:val="000000"/>
          <w:sz w:val="24"/>
          <w:highlight w:val="none"/>
          <w:lang w:bidi="ar"/>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lang w:bidi="ar"/>
        </w:rPr>
        <w:t xml:space="preserve">供应商登录常州市政府采购</w:t>
      </w:r>
      <w:r>
        <w:rPr>
          <w:rFonts w:hint="eastAsia" w:ascii="宋体" w:hAnsi="宋体"/>
          <w:color w:val="000000"/>
          <w:sz w:val="24"/>
          <w:highlight w:val="none"/>
          <w:lang w:bidi="ar"/>
        </w:rPr>
        <w:t xml:space="preserve">网“下载中心”-“</w:t>
      </w:r>
      <w:r>
        <w:rPr>
          <w:rFonts w:hint="eastAsia" w:ascii="宋体" w:hAnsi="宋体"/>
          <w:color w:val="000000"/>
          <w:sz w:val="24"/>
          <w:highlight w:val="none"/>
        </w:rPr>
        <w:t xml:space="preserve">“苏采云”系统</w:t>
      </w:r>
      <w:r>
        <w:rPr>
          <w:rFonts w:ascii="宋体" w:hAnsi="宋体"/>
          <w:color w:val="000000"/>
          <w:sz w:val="24"/>
          <w:highlight w:val="none"/>
          <w:lang w:bidi="ar"/>
        </w:rPr>
        <w:t xml:space="preserve">供应商操作指南</w:t>
      </w:r>
      <w:r>
        <w:rPr>
          <w:rFonts w:hint="eastAsia" w:ascii="宋体" w:hAnsi="宋体"/>
          <w:color w:val="000000"/>
          <w:sz w:val="24"/>
          <w:highlight w:val="none"/>
          <w:lang w:bidi="ar"/>
        </w:rPr>
        <w:t xml:space="preserve">”下载相关操作手册、操作视频等，查阅后</w:t>
      </w:r>
      <w:r>
        <w:rPr>
          <w:rFonts w:ascii="宋体" w:hAnsi="宋体"/>
          <w:color w:val="000000"/>
          <w:sz w:val="24"/>
          <w:highlight w:val="none"/>
          <w:lang w:bidi="ar"/>
        </w:rPr>
        <w:t xml:space="preserve">进行自助注册。</w:t>
      </w:r>
      <w:r>
        <w:rPr>
          <w:rFonts w:ascii="宋体" w:hAnsi="宋体"/>
          <w:color w:val="000000"/>
          <w:sz w:val="24"/>
          <w:highlight w:val="none"/>
        </w:rPr>
      </w:r>
      <w:r/>
    </w:p>
    <w:p>
      <w:pPr>
        <w:pStyle w:val="918"/>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2.3</w:t>
      </w:r>
      <w:r>
        <w:rPr>
          <w:rFonts w:hint="eastAsia" w:ascii="宋体" w:hAnsi="宋体"/>
          <w:color w:val="000000"/>
          <w:sz w:val="24"/>
          <w:highlight w:val="none"/>
          <w:lang w:bidi="ar"/>
        </w:rPr>
        <w:t xml:space="preserve">控件</w:t>
      </w:r>
      <w:r>
        <w:rPr>
          <w:rFonts w:ascii="宋体" w:hAnsi="宋体"/>
          <w:color w:val="000000"/>
          <w:sz w:val="24"/>
          <w:highlight w:val="none"/>
          <w:lang w:bidi="ar"/>
        </w:rPr>
        <w:t xml:space="preserve">、客户端下载</w:t>
      </w:r>
      <w:r>
        <w:rPr>
          <w:rFonts w:ascii="宋体" w:hAnsi="宋体"/>
          <w:color w:val="000000"/>
          <w:sz w:val="24"/>
          <w:highlight w:val="none"/>
          <w:lang w:bidi="ar"/>
        </w:rPr>
      </w:r>
      <w:r/>
    </w:p>
    <w:p>
      <w:pPr>
        <w:pStyle w:val="918"/>
        <w:ind w:firstLine="480"/>
        <w:spacing w:line="360" w:lineRule="auto"/>
        <w:rPr>
          <w:color w:val="000000"/>
          <w:sz w:val="24"/>
          <w:highlight w:val="none"/>
        </w:rPr>
      </w:pPr>
      <w:r>
        <w:rPr>
          <w:color w:val="000000"/>
          <w:sz w:val="24"/>
          <w:highlight w:val="none"/>
          <w:lang w:bidi="ar"/>
        </w:rPr>
        <w:t xml:space="preserve">供应商登录常州市政府采购</w:t>
      </w:r>
      <w:r>
        <w:rPr>
          <w:rFonts w:hint="eastAsia"/>
          <w:color w:val="000000"/>
          <w:sz w:val="24"/>
          <w:highlight w:val="none"/>
          <w:lang w:bidi="ar"/>
        </w:rPr>
        <w:t xml:space="preserve">网“下载中心”-“苏采云”系统（供应商）操作手册下载相关操作手册、操作视频等，查阅后进行自助注册。</w:t>
      </w:r>
      <w:r>
        <w:rPr>
          <w:color w:val="000000"/>
          <w:sz w:val="24"/>
          <w:highlight w:val="none"/>
        </w:rPr>
      </w:r>
      <w:r/>
    </w:p>
    <w:p>
      <w:pPr>
        <w:pStyle w:val="918"/>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2.4 获取电子招标文件</w:t>
      </w:r>
      <w:r>
        <w:rPr>
          <w:rFonts w:ascii="宋体" w:hAnsi="宋体"/>
          <w:color w:val="000000"/>
          <w:sz w:val="24"/>
          <w:highlight w:val="none"/>
          <w:lang w:bidi="ar"/>
        </w:rPr>
      </w:r>
      <w:r/>
    </w:p>
    <w:p>
      <w:pPr>
        <w:pStyle w:val="918"/>
        <w:ind w:firstLine="480"/>
        <w:spacing w:line="360" w:lineRule="auto"/>
        <w:rPr>
          <w:rFonts w:ascii="宋体" w:hAnsi="宋体"/>
          <w:color w:val="000000"/>
          <w:sz w:val="24"/>
          <w:highlight w:val="none"/>
          <w:lang w:bidi="ar"/>
        </w:rPr>
      </w:pPr>
      <w:r>
        <w:rPr>
          <w:color w:val="000000"/>
          <w:sz w:val="24"/>
          <w:highlight w:val="none"/>
          <w:lang w:bidi="ar"/>
        </w:rPr>
        <w:t xml:space="preserve">供应商持CA数字认证证书登录</w:t>
      </w:r>
      <w:r>
        <w:rPr>
          <w:rFonts w:hint="eastAsia"/>
          <w:color w:val="000000"/>
          <w:sz w:val="24"/>
          <w:highlight w:val="none"/>
          <w:lang w:bidi="ar"/>
        </w:rPr>
        <w:t xml:space="preserve">“苏采云”系统</w:t>
      </w:r>
      <w:r>
        <w:rPr>
          <w:color w:val="000000"/>
          <w:sz w:val="24"/>
          <w:highlight w:val="none"/>
          <w:lang w:bidi="ar"/>
        </w:rPr>
        <w:t xml:space="preserve">获取</w:t>
      </w:r>
      <w:r>
        <w:rPr>
          <w:rFonts w:ascii="宋体" w:hAnsi="宋体"/>
          <w:color w:val="000000"/>
          <w:sz w:val="24"/>
          <w:highlight w:val="none"/>
          <w:lang w:bidi="ar"/>
        </w:rPr>
        <w:t xml:space="preserve">电子招标文件。未在规定期限内通过</w:t>
      </w:r>
      <w:r>
        <w:rPr>
          <w:rFonts w:hint="eastAsia"/>
          <w:color w:val="000000"/>
          <w:sz w:val="24"/>
          <w:highlight w:val="none"/>
          <w:lang w:bidi="ar"/>
        </w:rPr>
        <w:t xml:space="preserve">“苏采云”</w:t>
      </w:r>
      <w:r>
        <w:rPr>
          <w:rFonts w:ascii="宋体" w:hAnsi="宋体"/>
          <w:color w:val="000000"/>
          <w:sz w:val="24"/>
          <w:highlight w:val="none"/>
          <w:lang w:bidi="ar"/>
        </w:rPr>
        <w:t xml:space="preserve">系统获取招标文件的</w:t>
      </w:r>
      <w:r>
        <w:rPr>
          <w:rFonts w:ascii="宋体" w:hAnsi="宋体"/>
          <w:b/>
          <w:color w:val="000000"/>
          <w:sz w:val="24"/>
          <w:highlight w:val="none"/>
          <w:lang w:bidi="ar"/>
        </w:rPr>
        <w:t xml:space="preserve">投标无效</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18"/>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2.5编制电子投标文件</w:t>
      </w:r>
      <w:r>
        <w:rPr>
          <w:rFonts w:ascii="宋体" w:hAnsi="宋体"/>
          <w:color w:val="000000"/>
          <w:sz w:val="24"/>
          <w:highlight w:val="none"/>
          <w:lang w:bidi="ar"/>
        </w:rPr>
      </w:r>
      <w:r/>
    </w:p>
    <w:p>
      <w:pPr>
        <w:pStyle w:val="918"/>
        <w:ind w:firstLine="480"/>
        <w:spacing w:line="360" w:lineRule="auto"/>
        <w:rPr>
          <w:rFonts w:ascii="宋体" w:hAnsi="宋体"/>
          <w:color w:val="000000"/>
          <w:sz w:val="24"/>
          <w:highlight w:val="none"/>
          <w:lang w:bidi="ar"/>
        </w:rPr>
      </w:pPr>
      <w:r>
        <w:rPr>
          <w:rFonts w:ascii="宋体" w:hAnsi="宋体"/>
          <w:color w:val="000000"/>
          <w:sz w:val="24"/>
          <w:highlight w:val="none"/>
          <w:lang w:bidi="ar"/>
        </w:rPr>
        <w:t xml:space="preserve">供应商应使用电子投标</w:t>
      </w:r>
      <w:r>
        <w:rPr>
          <w:rFonts w:hint="eastAsia" w:ascii="宋体" w:hAnsi="宋体"/>
          <w:color w:val="000000"/>
          <w:sz w:val="24"/>
          <w:highlight w:val="none"/>
          <w:lang w:bidi="ar"/>
        </w:rPr>
        <w:t xml:space="preserve">文件制作</w:t>
      </w:r>
      <w:r>
        <w:rPr>
          <w:rFonts w:ascii="宋体" w:hAnsi="宋体"/>
          <w:color w:val="000000"/>
          <w:sz w:val="24"/>
          <w:highlight w:val="none"/>
          <w:lang w:bidi="ar"/>
        </w:rPr>
        <w:t xml:space="preserve">客户端编制电子投标文件并进行线上投标，供应商电子投标文件需要加密并加盖电子签章</w:t>
      </w:r>
      <w:r>
        <w:rPr>
          <w:rFonts w:ascii="宋体" w:hAnsi="宋体"/>
          <w:bCs/>
          <w:color w:val="000000"/>
          <w:sz w:val="24"/>
          <w:highlight w:val="none"/>
          <w:lang w:bidi="ar"/>
        </w:rPr>
        <w:t xml:space="preserve">，如无法按照要求在电子投标文件中加盖电子签章和加密，请及时通过技术支持服务热线联系技术人员</w:t>
      </w:r>
      <w:r>
        <w:rPr>
          <w:rFonts w:ascii="宋体" w:hAnsi="宋体"/>
          <w:color w:val="000000"/>
          <w:sz w:val="24"/>
          <w:highlight w:val="none"/>
          <w:lang w:bidi="ar"/>
        </w:rPr>
        <w:t xml:space="preserve">。</w:t>
      </w:r>
      <w:r>
        <w:rPr>
          <w:rFonts w:ascii="宋体" w:hAnsi="宋体"/>
          <w:color w:val="000000"/>
          <w:sz w:val="24"/>
          <w:highlight w:val="none"/>
          <w:lang w:bidi="ar"/>
        </w:rPr>
      </w:r>
      <w:r/>
    </w:p>
    <w:p>
      <w:pPr>
        <w:pStyle w:val="918"/>
        <w:ind w:firstLine="480"/>
        <w:jc w:val="left"/>
        <w:spacing w:line="360" w:lineRule="auto"/>
        <w:widowControl/>
        <w:rPr>
          <w:rFonts w:ascii="宋体" w:hAnsi="宋体"/>
          <w:color w:val="000000"/>
          <w:sz w:val="24"/>
          <w:highlight w:val="none"/>
          <w:lang w:val="zh-TW" w:bidi="ar"/>
        </w:rPr>
      </w:pPr>
      <w:r>
        <w:rPr>
          <w:rFonts w:ascii="宋体" w:hAnsi="宋体"/>
          <w:color w:val="000000"/>
          <w:sz w:val="24"/>
          <w:highlight w:val="none"/>
          <w:lang w:val="zh-TW" w:eastAsia="zh-TW" w:bidi="ar"/>
        </w:rPr>
        <w:t xml:space="preserve">2.6</w:t>
      </w:r>
      <w:r>
        <w:rPr>
          <w:rFonts w:ascii="宋体" w:hAnsi="宋体"/>
          <w:color w:val="000000"/>
          <w:sz w:val="24"/>
          <w:highlight w:val="none"/>
          <w:lang w:val="zh-TW" w:bidi="ar"/>
        </w:rPr>
        <w:t xml:space="preserve">提交电子投标文件</w:t>
      </w:r>
      <w:r>
        <w:rPr>
          <w:rFonts w:ascii="宋体" w:hAnsi="宋体"/>
          <w:color w:val="000000"/>
          <w:sz w:val="24"/>
          <w:highlight w:val="none"/>
          <w:lang w:val="zh-TW" w:bidi="ar"/>
        </w:rPr>
      </w:r>
      <w:r/>
    </w:p>
    <w:p>
      <w:pPr>
        <w:pStyle w:val="918"/>
        <w:ind w:firstLine="480"/>
        <w:jc w:val="left"/>
        <w:spacing w:line="360" w:lineRule="auto"/>
        <w:widowControl/>
        <w:rPr>
          <w:rFonts w:ascii="宋体" w:hAnsi="宋体"/>
          <w:color w:val="000000"/>
          <w:sz w:val="24"/>
          <w:highlight w:val="none"/>
          <w:lang w:bidi="ar"/>
        </w:rPr>
      </w:pPr>
      <w:r>
        <w:rPr>
          <w:rFonts w:ascii="宋体" w:hAnsi="宋体"/>
          <w:color w:val="000000"/>
          <w:sz w:val="24"/>
          <w:highlight w:val="none"/>
          <w:lang w:bidi="ar"/>
        </w:rPr>
        <w:t xml:space="preserve">供应商应于投标截止时间前在</w:t>
      </w:r>
      <w:r>
        <w:rPr>
          <w:rFonts w:hint="eastAsia"/>
          <w:color w:val="000000"/>
          <w:sz w:val="24"/>
          <w:highlight w:val="none"/>
          <w:lang w:bidi="ar"/>
        </w:rPr>
        <w:t xml:space="preserve">“苏采云”</w:t>
      </w:r>
      <w:r>
        <w:rPr>
          <w:rFonts w:hint="eastAsia" w:ascii="宋体" w:hAnsi="宋体"/>
          <w:color w:val="000000"/>
          <w:sz w:val="24"/>
          <w:highlight w:val="none"/>
          <w:lang w:bidi="ar"/>
        </w:rPr>
        <w:t xml:space="preserve">系统</w:t>
      </w:r>
      <w:r>
        <w:rPr>
          <w:rFonts w:ascii="宋体" w:hAnsi="宋体"/>
          <w:color w:val="000000"/>
          <w:sz w:val="24"/>
          <w:highlight w:val="none"/>
          <w:lang w:bidi="ar"/>
        </w:rPr>
        <w:t xml:space="preserve">提交电子投标文件，上传电子投标文件过程中请保持与互联网的连接畅通。</w:t>
      </w:r>
      <w:r>
        <w:rPr>
          <w:rFonts w:ascii="宋体" w:hAnsi="宋体"/>
          <w:color w:val="000000"/>
          <w:sz w:val="24"/>
          <w:highlight w:val="none"/>
          <w:lang w:bidi="ar"/>
        </w:rPr>
      </w:r>
      <w:r/>
    </w:p>
    <w:p>
      <w:pPr>
        <w:pStyle w:val="918"/>
        <w:ind w:firstLine="480"/>
        <w:jc w:val="left"/>
        <w:spacing w:line="360" w:lineRule="auto"/>
        <w:widowControl/>
        <w:rPr>
          <w:rFonts w:ascii="宋体" w:hAnsi="宋体"/>
          <w:color w:val="000000"/>
          <w:sz w:val="24"/>
          <w:highlight w:val="none"/>
          <w:lang w:eastAsia="zh-TW" w:bidi="ar"/>
        </w:rPr>
      </w:pPr>
      <w:r>
        <w:rPr>
          <w:rFonts w:ascii="宋体" w:hAnsi="宋体"/>
          <w:color w:val="000000"/>
          <w:sz w:val="24"/>
          <w:highlight w:val="none"/>
          <w:lang w:val="zh-TW" w:eastAsia="zh-TW" w:bidi="ar"/>
        </w:rPr>
        <w:t xml:space="preserve">2</w:t>
      </w:r>
      <w:r>
        <w:rPr>
          <w:rFonts w:ascii="宋体" w:hAnsi="宋体"/>
          <w:color w:val="000000"/>
          <w:sz w:val="24"/>
          <w:highlight w:val="none"/>
          <w:lang w:val="zh-TW" w:bidi="ar"/>
        </w:rPr>
        <w:t xml:space="preserve">.</w:t>
      </w:r>
      <w:r>
        <w:rPr>
          <w:rFonts w:ascii="宋体" w:hAnsi="宋体"/>
          <w:color w:val="000000"/>
          <w:sz w:val="24"/>
          <w:highlight w:val="none"/>
          <w:lang w:val="zh-TW" w:eastAsia="zh-TW" w:bidi="ar"/>
        </w:rPr>
        <w:t xml:space="preserve">7</w:t>
      </w:r>
      <w:r>
        <w:rPr>
          <w:rFonts w:ascii="宋体" w:hAnsi="宋体"/>
          <w:color w:val="000000"/>
          <w:sz w:val="24"/>
          <w:highlight w:val="none"/>
          <w:lang w:val="zh-TW" w:bidi="ar"/>
        </w:rPr>
        <w:t xml:space="preserve">电子开标</w:t>
      </w:r>
      <w:r>
        <w:rPr>
          <w:rFonts w:ascii="宋体" w:hAnsi="宋体"/>
          <w:color w:val="000000"/>
          <w:sz w:val="24"/>
          <w:highlight w:val="none"/>
          <w:lang w:eastAsia="zh-TW" w:bidi="ar"/>
        </w:rPr>
      </w:r>
      <w:r/>
    </w:p>
    <w:p>
      <w:pPr>
        <w:pStyle w:val="918"/>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bidi="ar"/>
        </w:rPr>
        <w:t xml:space="preserve">供应商使用</w:t>
      </w:r>
      <w:r>
        <w:rPr>
          <w:rFonts w:ascii="宋体" w:hAnsi="宋体"/>
          <w:color w:val="000000"/>
          <w:sz w:val="24"/>
          <w:highlight w:val="none"/>
          <w:lang w:bidi="ar"/>
        </w:rPr>
        <w:t xml:space="preserve">CA认证证书</w:t>
      </w:r>
      <w:r>
        <w:rPr>
          <w:rFonts w:ascii="宋体" w:hAnsi="宋体"/>
          <w:color w:val="000000"/>
          <w:sz w:val="24"/>
          <w:highlight w:val="none"/>
          <w:lang w:val="zh-TW" w:bidi="ar"/>
        </w:rPr>
        <w:t xml:space="preserve">登录</w:t>
      </w:r>
      <w:r>
        <w:rPr>
          <w:rFonts w:hint="eastAsia"/>
          <w:color w:val="000000"/>
          <w:sz w:val="24"/>
          <w:highlight w:val="none"/>
          <w:lang w:bidi="ar"/>
        </w:rPr>
        <w:t xml:space="preserve">“苏采云”</w:t>
      </w:r>
      <w:r>
        <w:rPr>
          <w:rFonts w:ascii="宋体" w:hAnsi="宋体"/>
          <w:color w:val="000000"/>
          <w:sz w:val="24"/>
          <w:highlight w:val="none"/>
          <w:lang w:bidi="ar"/>
        </w:rPr>
        <w:t xml:space="preserve">系统进行电子</w:t>
      </w:r>
      <w:r>
        <w:rPr>
          <w:rFonts w:hint="eastAsia" w:ascii="宋体" w:hAnsi="宋体"/>
          <w:color w:val="000000"/>
          <w:sz w:val="24"/>
          <w:highlight w:val="none"/>
          <w:lang w:bidi="ar"/>
        </w:rPr>
        <w:t xml:space="preserve">化不见面</w:t>
      </w:r>
      <w:r>
        <w:rPr>
          <w:rFonts w:ascii="宋体" w:hAnsi="宋体"/>
          <w:color w:val="000000"/>
          <w:sz w:val="24"/>
          <w:highlight w:val="none"/>
          <w:lang w:bidi="ar"/>
        </w:rPr>
        <w:t xml:space="preserve">开标</w:t>
      </w:r>
      <w:r>
        <w:rPr>
          <w:rFonts w:ascii="宋体" w:hAnsi="宋体"/>
          <w:color w:val="000000"/>
          <w:sz w:val="24"/>
          <w:highlight w:val="none"/>
          <w:lang w:val="zh-TW" w:bidi="ar"/>
        </w:rPr>
        <w:t xml:space="preserve">。</w:t>
      </w:r>
      <w:r>
        <w:rPr>
          <w:rFonts w:hint="eastAsia" w:ascii="宋体" w:hAnsi="宋体"/>
          <w:color w:val="000000"/>
          <w:sz w:val="24"/>
          <w:highlight w:val="none"/>
          <w:lang w:val="zh-TW" w:bidi="ar"/>
        </w:rPr>
      </w:r>
      <w:r/>
    </w:p>
    <w:p>
      <w:pPr>
        <w:pStyle w:val="918"/>
        <w:ind w:firstLine="480"/>
        <w:spacing w:line="360" w:lineRule="auto"/>
        <w:rPr>
          <w:rFonts w:hint="eastAsia" w:ascii="宋体" w:hAnsi="宋体"/>
          <w:color w:val="000000"/>
          <w:sz w:val="24"/>
          <w:highlight w:val="none"/>
          <w:lang w:val="zh-TW" w:bidi="ar"/>
        </w:rPr>
      </w:pPr>
      <w:r>
        <w:rPr>
          <w:rFonts w:ascii="宋体" w:hAnsi="宋体"/>
          <w:color w:val="000000"/>
          <w:sz w:val="24"/>
          <w:highlight w:val="none"/>
          <w:lang w:val="zh-TW" w:eastAsia="zh-TW" w:bidi="ar"/>
        </w:rPr>
        <w:t xml:space="preserve">2</w:t>
      </w:r>
      <w:r>
        <w:rPr>
          <w:rFonts w:hint="eastAsia" w:ascii="宋体" w:hAnsi="宋体"/>
          <w:color w:val="000000"/>
          <w:sz w:val="24"/>
          <w:highlight w:val="none"/>
          <w:lang w:val="zh-TW" w:bidi="ar"/>
        </w:rPr>
        <w:t xml:space="preserve">.8注意事项</w:t>
      </w:r>
      <w:r>
        <w:rPr>
          <w:rFonts w:hint="eastAsia" w:ascii="宋体" w:hAnsi="宋体"/>
          <w:color w:val="000000"/>
          <w:sz w:val="24"/>
          <w:highlight w:val="none"/>
          <w:lang w:val="zh-TW" w:bidi="ar"/>
        </w:rPr>
      </w:r>
      <w:r/>
    </w:p>
    <w:p>
      <w:pPr>
        <w:pStyle w:val="918"/>
        <w:ind w:firstLine="480"/>
        <w:spacing w:line="360" w:lineRule="auto"/>
        <w:rPr>
          <w:rFonts w:ascii="宋体" w:hAnsi="宋体"/>
          <w:color w:val="000000"/>
          <w:sz w:val="24"/>
          <w:highlight w:val="none"/>
          <w:lang w:eastAsia="zh-TW"/>
        </w:rPr>
      </w:pPr>
      <w:r>
        <w:rPr>
          <w:rFonts w:ascii="宋体" w:hAnsi="宋体"/>
          <w:color w:val="000000"/>
          <w:sz w:val="24"/>
          <w:highlight w:val="none"/>
          <w:lang w:val="zh-TW" w:bidi="ar"/>
        </w:rPr>
        <w:t xml:space="preserve">供应商</w:t>
      </w:r>
      <w:r>
        <w:rPr>
          <w:rFonts w:hint="eastAsia" w:ascii="宋体" w:hAnsi="宋体"/>
          <w:color w:val="000000"/>
          <w:sz w:val="24"/>
          <w:highlight w:val="none"/>
          <w:lang w:val="zh-TW" w:bidi="ar"/>
        </w:rPr>
        <w:t xml:space="preserve">在开标前应当</w:t>
      </w:r>
      <w:r>
        <w:rPr>
          <w:rFonts w:ascii="宋体" w:hAnsi="宋体"/>
          <w:color w:val="000000"/>
          <w:sz w:val="24"/>
          <w:highlight w:val="none"/>
        </w:rPr>
        <w:t xml:space="preserve">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w:t>
      </w:r>
      <w:r>
        <w:rPr>
          <w:rFonts w:hint="eastAsia" w:ascii="宋体" w:hAnsi="宋体"/>
          <w:color w:val="000000"/>
          <w:sz w:val="24"/>
          <w:highlight w:val="none"/>
        </w:rPr>
        <w:t xml:space="preserve">计算机</w:t>
      </w:r>
      <w:r>
        <w:rPr>
          <w:rFonts w:ascii="宋体" w:hAnsi="宋体"/>
          <w:color w:val="000000"/>
          <w:sz w:val="24"/>
          <w:highlight w:val="none"/>
        </w:rPr>
        <w:t xml:space="preserve">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w:t>
      </w:r>
      <w:r>
        <w:rPr>
          <w:rFonts w:ascii="宋体" w:hAnsi="宋体"/>
          <w:color w:val="000000"/>
          <w:sz w:val="24"/>
          <w:highlight w:val="none"/>
          <w:lang w:eastAsia="zh-TW"/>
        </w:rPr>
      </w:r>
      <w:r/>
    </w:p>
    <w:p>
      <w:pPr>
        <w:pStyle w:val="918"/>
        <w:ind w:firstLine="480"/>
        <w:spacing w:line="360" w:lineRule="auto"/>
        <w:rPr>
          <w:rFonts w:ascii="宋体" w:hAnsi="宋体"/>
          <w:color w:val="000000"/>
          <w:sz w:val="24"/>
          <w:highlight w:val="none"/>
          <w:lang w:val="zh-TW" w:bidi="ar"/>
        </w:rPr>
      </w:pPr>
      <w:r>
        <w:rPr>
          <w:rFonts w:ascii="宋体" w:hAnsi="宋体"/>
          <w:color w:val="000000"/>
          <w:sz w:val="24"/>
          <w:highlight w:val="none"/>
          <w:lang w:val="zh-TW" w:eastAsia="zh-TW" w:bidi="ar"/>
        </w:rPr>
        <w:t xml:space="preserve">3</w:t>
      </w:r>
      <w:r>
        <w:rPr>
          <w:rFonts w:hint="eastAsia" w:ascii="宋体" w:hAnsi="宋体"/>
          <w:color w:val="000000"/>
          <w:sz w:val="24"/>
          <w:highlight w:val="none"/>
          <w:lang w:val="zh-TW" w:bidi="ar"/>
        </w:rPr>
        <w:t xml:space="preserve">.关于常州市中小企业政府采购信用融资：</w:t>
      </w:r>
      <w:r>
        <w:rPr>
          <w:rFonts w:ascii="宋体" w:hAnsi="宋体"/>
          <w:color w:val="000000"/>
          <w:sz w:val="24"/>
          <w:highlight w:val="none"/>
          <w:lang w:val="zh-TW" w:bidi="ar"/>
        </w:rPr>
      </w:r>
      <w:r/>
    </w:p>
    <w:p>
      <w:pPr>
        <w:pStyle w:val="918"/>
        <w:ind w:firstLine="480"/>
        <w:spacing w:line="360" w:lineRule="auto"/>
        <w:rPr>
          <w:rFonts w:ascii="宋体" w:hAnsi="宋体"/>
          <w:color w:val="000000"/>
          <w:sz w:val="24"/>
          <w:highlight w:val="none"/>
          <w:lang w:val="zh-TW" w:bidi="ar"/>
        </w:rPr>
      </w:pPr>
      <w:r>
        <w:rPr>
          <w:rFonts w:hint="eastAsia" w:ascii="宋体" w:hAnsi="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宋体" w:hAnsi="宋体"/>
          <w:color w:val="000000"/>
          <w:sz w:val="24"/>
          <w:highlight w:val="none"/>
          <w:lang w:val="zh-TW" w:bidi="ar"/>
        </w:rPr>
      </w:r>
      <w:r/>
    </w:p>
    <w:p>
      <w:pPr>
        <w:pStyle w:val="920"/>
        <w:jc w:val="left"/>
        <w:spacing w:before="0" w:line="360" w:lineRule="auto"/>
        <w:rPr>
          <w:rFonts w:ascii="宋体" w:hAnsi="宋体" w:eastAsia="宋体"/>
          <w:color w:val="000000"/>
          <w:sz w:val="24"/>
          <w:szCs w:val="24"/>
          <w:highlight w:val="none"/>
        </w:rPr>
      </w:pPr>
      <w:r/>
      <w:bookmarkStart w:id="30" w:name="_Toc35393627"/>
      <w:r/>
      <w:bookmarkStart w:id="31" w:name="_Toc28359085"/>
      <w:r/>
      <w:bookmarkStart w:id="32" w:name="_Toc28359008"/>
      <w:r/>
      <w:bookmarkStart w:id="33" w:name="_Toc35393796"/>
      <w:r>
        <w:rPr>
          <w:rFonts w:ascii="宋体" w:hAnsi="宋体" w:eastAsia="宋体"/>
          <w:color w:val="000000"/>
          <w:sz w:val="24"/>
          <w:szCs w:val="24"/>
          <w:highlight w:val="none"/>
        </w:rPr>
        <w:t xml:space="preserve">七、对本次招标提出询问，请按以下方式联系。</w:t>
      </w:r>
      <w:bookmarkEnd w:id="30"/>
      <w:r/>
      <w:bookmarkEnd w:id="31"/>
      <w:r/>
      <w:bookmarkEnd w:id="32"/>
      <w:r/>
      <w:bookmarkEnd w:id="33"/>
      <w:r>
        <w:rPr>
          <w:rFonts w:ascii="宋体" w:hAnsi="宋体" w:eastAsia="宋体"/>
          <w:color w:val="000000"/>
          <w:sz w:val="24"/>
          <w:szCs w:val="24"/>
          <w:highlight w:val="none"/>
        </w:rPr>
      </w:r>
      <w:r/>
    </w:p>
    <w:p>
      <w:pPr>
        <w:pStyle w:val="918"/>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1.采购人信息</w:t>
      </w:r>
      <w:r>
        <w:rPr>
          <w:rFonts w:ascii="宋体" w:hAnsi="宋体"/>
          <w:b/>
          <w:color w:val="000000"/>
          <w:sz w:val="24"/>
          <w:highlight w:val="none"/>
        </w:rPr>
      </w:r>
      <w:r/>
    </w:p>
    <w:p>
      <w:pPr>
        <w:pStyle w:val="918"/>
        <w:ind w:left="1079" w:hanging="300"/>
        <w:jc w:val="left"/>
        <w:spacing w:line="360" w:lineRule="auto"/>
        <w:rPr>
          <w:rFonts w:hint="eastAsia" w:ascii="宋体" w:hAnsi="宋体" w:eastAsia="宋体" w:cs="Times New Roman"/>
          <w:bCs/>
          <w:color w:val="000000"/>
          <w:sz w:val="24"/>
          <w:highlight w:val="none"/>
        </w:rPr>
      </w:pPr>
      <w:r/>
      <w:bookmarkStart w:id="34" w:name="_Toc28359009"/>
      <w:r/>
      <w:bookmarkStart w:id="35" w:name="_Toc28359086"/>
      <w:r>
        <w:rPr>
          <w:rFonts w:hint="eastAsia" w:ascii="宋体" w:hAnsi="宋体" w:eastAsia="宋体" w:cs="Times New Roman"/>
          <w:bCs/>
          <w:color w:val="000000"/>
          <w:sz w:val="24"/>
          <w:highlight w:val="none"/>
        </w:rPr>
        <w:t xml:space="preserve">名  称：常州机电职业技术学院 </w:t>
      </w:r>
      <w:r>
        <w:rPr>
          <w:rFonts w:hint="eastAsia" w:ascii="宋体" w:hAnsi="宋体" w:eastAsia="宋体" w:cs="Times New Roman"/>
          <w:bCs/>
          <w:color w:val="000000"/>
          <w:sz w:val="24"/>
          <w:highlight w:val="none"/>
        </w:rPr>
      </w:r>
      <w:r/>
    </w:p>
    <w:p>
      <w:pPr>
        <w:pStyle w:val="918"/>
        <w:ind w:left="1079" w:hanging="30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地  址：常州市武进区鸣新中路26号</w:t>
      </w:r>
      <w:r>
        <w:rPr>
          <w:rFonts w:hint="eastAsia" w:ascii="宋体" w:hAnsi="宋体" w:eastAsia="宋体" w:cs="Times New Roman"/>
          <w:bCs/>
          <w:color w:val="000000"/>
          <w:sz w:val="24"/>
          <w:highlight w:val="none"/>
        </w:rPr>
      </w:r>
      <w:r/>
    </w:p>
    <w:p>
      <w:pPr>
        <w:pStyle w:val="918"/>
        <w:ind w:left="1079" w:hanging="300"/>
        <w:jc w:val="left"/>
        <w:spacing w:line="360" w:lineRule="auto"/>
        <w:rPr>
          <w:rFonts w:hint="eastAsia" w:ascii="宋体" w:hAnsi="宋体" w:eastAsia="宋体" w:cs="Times New Roman"/>
          <w:bCs/>
          <w:color w:val="000000"/>
          <w:sz w:val="24"/>
          <w:highlight w:val="none"/>
          <w:lang w:val="en-US" w:eastAsia="zh-CN"/>
        </w:rPr>
      </w:pPr>
      <w:r>
        <w:rPr>
          <w:rFonts w:hint="eastAsia" w:ascii="宋体" w:hAnsi="宋体" w:eastAsia="宋体" w:cs="Times New Roman"/>
          <w:bCs/>
          <w:color w:val="000000"/>
          <w:sz w:val="24"/>
          <w:highlight w:val="none"/>
        </w:rPr>
        <w:t xml:space="preserve">联系人：</w:t>
      </w:r>
      <w:r>
        <w:rPr>
          <w:rFonts w:hint="eastAsia" w:ascii="宋体" w:hAnsi="宋体" w:eastAsia="宋体" w:cs="Times New Roman"/>
          <w:bCs/>
          <w:color w:val="000000"/>
          <w:sz w:val="24"/>
          <w:highlight w:val="none"/>
          <w:lang w:val="en-US" w:eastAsia="zh-CN"/>
        </w:rPr>
        <w:t xml:space="preserve">封老师</w:t>
      </w:r>
      <w:r>
        <w:rPr>
          <w:rFonts w:hint="eastAsia" w:ascii="宋体" w:hAnsi="宋体" w:eastAsia="宋体" w:cs="Times New Roman"/>
          <w:bCs/>
          <w:color w:val="000000"/>
          <w:sz w:val="24"/>
          <w:highlight w:val="none"/>
          <w:lang w:val="en-US" w:eastAsia="zh-CN"/>
        </w:rPr>
      </w:r>
      <w:r/>
    </w:p>
    <w:p>
      <w:pPr>
        <w:pStyle w:val="918"/>
        <w:ind w:left="1079" w:hanging="30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电  话：0519-86331299</w:t>
      </w:r>
      <w:r>
        <w:rPr>
          <w:rFonts w:hint="eastAsia" w:ascii="宋体" w:hAnsi="宋体" w:eastAsia="宋体" w:cs="Times New Roman"/>
          <w:bCs/>
          <w:color w:val="000000"/>
          <w:sz w:val="24"/>
          <w:highlight w:val="none"/>
        </w:rPr>
      </w:r>
      <w:r/>
    </w:p>
    <w:p>
      <w:pPr>
        <w:pStyle w:val="918"/>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2.采购代理机构信息</w:t>
      </w:r>
      <w:bookmarkEnd w:id="34"/>
      <w:r/>
      <w:bookmarkEnd w:id="35"/>
      <w:r>
        <w:rPr>
          <w:rFonts w:ascii="宋体" w:hAnsi="宋体"/>
          <w:b/>
          <w:color w:val="000000"/>
          <w:sz w:val="24"/>
          <w:highlight w:val="none"/>
        </w:rPr>
      </w:r>
      <w:r/>
    </w:p>
    <w:p>
      <w:pPr>
        <w:pStyle w:val="918"/>
        <w:ind w:left="1079" w:hanging="300"/>
        <w:jc w:val="left"/>
        <w:spacing w:line="360" w:lineRule="auto"/>
        <w:rPr>
          <w:rFonts w:hint="eastAsia" w:ascii="宋体" w:hAnsi="宋体" w:eastAsia="宋体" w:cs="Times New Roman"/>
          <w:bCs/>
          <w:color w:val="000000"/>
          <w:sz w:val="24"/>
          <w:highlight w:val="none"/>
        </w:rPr>
      </w:pPr>
      <w:r/>
      <w:bookmarkStart w:id="36" w:name="_Toc28359010"/>
      <w:r/>
      <w:bookmarkStart w:id="37" w:name="_Toc28359087"/>
      <w:r>
        <w:rPr>
          <w:rFonts w:hint="eastAsia" w:ascii="宋体" w:hAnsi="宋体" w:eastAsia="宋体" w:cs="Times New Roman"/>
          <w:bCs/>
          <w:color w:val="000000"/>
          <w:sz w:val="24"/>
          <w:highlight w:val="none"/>
        </w:rPr>
        <w:t xml:space="preserve">名  称：常州盈泰招标有限公司</w:t>
      </w:r>
      <w:r>
        <w:rPr>
          <w:rFonts w:hint="eastAsia" w:ascii="宋体" w:hAnsi="宋体" w:eastAsia="宋体" w:cs="Times New Roman"/>
          <w:bCs/>
          <w:color w:val="000000"/>
          <w:sz w:val="24"/>
          <w:highlight w:val="none"/>
        </w:rPr>
      </w:r>
      <w:r/>
    </w:p>
    <w:p>
      <w:pPr>
        <w:pStyle w:val="918"/>
        <w:ind w:left="1079" w:hanging="30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地  址：常州市新北区太湖中路8号锦湖创新中心A座11楼</w:t>
      </w:r>
      <w:r>
        <w:rPr>
          <w:rFonts w:hint="eastAsia" w:ascii="宋体" w:hAnsi="宋体" w:eastAsia="宋体" w:cs="Times New Roman"/>
          <w:bCs/>
          <w:color w:val="000000"/>
          <w:sz w:val="24"/>
          <w:highlight w:val="none"/>
        </w:rPr>
      </w:r>
      <w:r/>
    </w:p>
    <w:p>
      <w:pPr>
        <w:pStyle w:val="918"/>
        <w:ind w:left="1079" w:hanging="30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联系方式：0519-89853339 </w:t>
      </w:r>
      <w:r>
        <w:rPr>
          <w:rFonts w:hint="eastAsia" w:ascii="宋体" w:hAnsi="宋体" w:eastAsia="宋体" w:cs="Times New Roman"/>
          <w:bCs/>
          <w:color w:val="000000"/>
          <w:sz w:val="24"/>
          <w:highlight w:val="none"/>
        </w:rPr>
      </w:r>
      <w:r/>
    </w:p>
    <w:p>
      <w:pPr>
        <w:pStyle w:val="918"/>
        <w:ind w:left="1080" w:hanging="301"/>
        <w:jc w:val="left"/>
        <w:spacing w:line="360" w:lineRule="auto"/>
        <w:rPr>
          <w:rFonts w:ascii="宋体" w:hAnsi="宋体"/>
          <w:b/>
          <w:color w:val="000000"/>
          <w:sz w:val="24"/>
          <w:highlight w:val="none"/>
        </w:rPr>
      </w:pPr>
      <w:r>
        <w:rPr>
          <w:rFonts w:ascii="宋体" w:hAnsi="宋体"/>
          <w:b/>
          <w:color w:val="000000"/>
          <w:sz w:val="24"/>
          <w:highlight w:val="none"/>
        </w:rPr>
        <w:t xml:space="preserve">3.项目联系方式</w:t>
      </w:r>
      <w:bookmarkEnd w:id="36"/>
      <w:r/>
      <w:bookmarkEnd w:id="37"/>
      <w:r>
        <w:rPr>
          <w:rFonts w:ascii="宋体" w:hAnsi="宋体"/>
          <w:b/>
          <w:color w:val="000000"/>
          <w:sz w:val="24"/>
          <w:highlight w:val="none"/>
        </w:rPr>
      </w:r>
      <w:r/>
    </w:p>
    <w:p>
      <w:pPr>
        <w:pStyle w:val="918"/>
        <w:ind w:left="1079" w:hanging="30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项目联系人：王女士</w:t>
      </w:r>
      <w:r>
        <w:rPr>
          <w:rFonts w:hint="eastAsia" w:ascii="宋体" w:hAnsi="宋体" w:eastAsia="宋体" w:cs="Times New Roman"/>
          <w:bCs/>
          <w:color w:val="000000"/>
          <w:sz w:val="24"/>
          <w:highlight w:val="none"/>
        </w:rPr>
      </w:r>
      <w:r/>
    </w:p>
    <w:p>
      <w:pPr>
        <w:pStyle w:val="918"/>
        <w:ind w:left="1079" w:hanging="300"/>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电  话：0519-89853339</w:t>
      </w:r>
      <w:r>
        <w:rPr>
          <w:rFonts w:hint="eastAsia" w:ascii="宋体" w:hAnsi="宋体" w:eastAsia="宋体" w:cs="Times New Roman"/>
          <w:bCs/>
          <w:color w:val="000000"/>
          <w:sz w:val="24"/>
          <w:highlight w:val="none"/>
        </w:rPr>
      </w:r>
      <w:r/>
    </w:p>
    <w:p>
      <w:pPr>
        <w:pStyle w:val="918"/>
        <w:ind w:left="1080" w:hanging="301"/>
        <w:jc w:val="left"/>
        <w:spacing w:line="360" w:lineRule="auto"/>
        <w:rPr>
          <w:rFonts w:hint="eastAsia" w:ascii="宋体" w:hAnsi="宋体" w:eastAsia="宋体" w:cs="Times New Roman"/>
          <w:bCs/>
          <w:color w:val="000000"/>
          <w:sz w:val="24"/>
          <w:highlight w:val="none"/>
        </w:rPr>
      </w:pPr>
      <w:r>
        <w:rPr>
          <w:rFonts w:hint="eastAsia" w:ascii="宋体" w:hAnsi="宋体" w:eastAsia="宋体" w:cs="Times New Roman"/>
          <w:b/>
          <w:bCs w:val="0"/>
          <w:color w:val="000000"/>
          <w:sz w:val="24"/>
          <w:highlight w:val="none"/>
        </w:rPr>
        <w:t xml:space="preserve">注：</w:t>
      </w:r>
      <w:r>
        <w:rPr>
          <w:rFonts w:hint="eastAsia" w:ascii="宋体" w:hAnsi="宋体" w:eastAsia="宋体" w:cs="Times New Roman"/>
          <w:bCs/>
          <w:color w:val="000000"/>
          <w:sz w:val="24"/>
          <w:highlight w:val="none"/>
        </w:rPr>
        <w:t xml:space="preserve">以上个人信息，由于工作需要经机构或本人同意对外公布。</w:t>
      </w:r>
      <w:r>
        <w:rPr>
          <w:rFonts w:hint="eastAsia" w:ascii="宋体" w:hAnsi="宋体" w:eastAsia="宋体" w:cs="Times New Roman"/>
          <w:bCs/>
          <w:color w:val="000000"/>
          <w:sz w:val="24"/>
          <w:highlight w:val="none"/>
        </w:rPr>
      </w:r>
      <w:r/>
    </w:p>
    <w:p>
      <w:pPr>
        <w:pStyle w:val="918"/>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8" w:name="_Toc127151777"/>
      <w:r/>
      <w:bookmarkStart w:id="39" w:name="_Toc150774783"/>
      <w:r/>
      <w:bookmarkStart w:id="40" w:name="_Toc512937850"/>
      <w:r/>
      <w:bookmarkStart w:id="41" w:name="_Toc264969275"/>
      <w:r/>
      <w:bookmarkStart w:id="42" w:name="_Toc195842950"/>
      <w:r/>
      <w:bookmarkStart w:id="43" w:name="_Toc265228423"/>
      <w:r/>
      <w:bookmarkStart w:id="44" w:name="_Toc226965856"/>
      <w:r/>
      <w:bookmarkStart w:id="45" w:name="_Toc353825548"/>
      <w:r/>
      <w:bookmarkStart w:id="46" w:name="_Toc305158854"/>
      <w:r/>
      <w:bookmarkStart w:id="47" w:name="_Toc127161488"/>
      <w:r/>
      <w:bookmarkStart w:id="48" w:name="_Toc353873938"/>
      <w:r/>
      <w:bookmarkStart w:id="49" w:name="_Toc19853"/>
      <w:r/>
      <w:bookmarkStart w:id="50" w:name="_Toc305158928"/>
      <w:r>
        <w:rPr>
          <w:rFonts w:ascii="宋体" w:hAnsi="宋体"/>
          <w:b/>
          <w:color w:val="000000"/>
          <w:sz w:val="36"/>
          <w:szCs w:val="36"/>
          <w:highlight w:val="none"/>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ascii="宋体" w:hAnsi="宋体"/>
          <w:b/>
          <w:color w:val="000000"/>
          <w:sz w:val="32"/>
          <w:szCs w:val="32"/>
          <w:highlight w:val="none"/>
        </w:rPr>
      </w:r>
      <w:r/>
    </w:p>
    <w:p>
      <w:pPr>
        <w:pStyle w:val="920"/>
        <w:spacing w:before="0" w:line="360" w:lineRule="auto"/>
        <w:tabs>
          <w:tab w:val="center" w:pos="4592" w:leader="none"/>
          <w:tab w:val="left" w:pos="7860" w:leader="none"/>
        </w:tabs>
        <w:rPr>
          <w:rFonts w:ascii="宋体" w:hAnsi="宋体" w:eastAsia="宋体"/>
          <w:color w:val="000000"/>
          <w:sz w:val="28"/>
          <w:highlight w:val="none"/>
        </w:rPr>
      </w:pPr>
      <w:r/>
      <w:bookmarkStart w:id="51" w:name="_Toc151193907"/>
      <w:r/>
      <w:bookmarkStart w:id="52" w:name="_Toc164608788"/>
      <w:r/>
      <w:bookmarkStart w:id="53" w:name="_Toc149720812"/>
      <w:r/>
      <w:bookmarkStart w:id="54" w:name="_Toc226965709"/>
      <w:r/>
      <w:bookmarkStart w:id="55" w:name="_Toc164351613"/>
      <w:r/>
      <w:bookmarkStart w:id="56" w:name="_Toc226309763"/>
      <w:r/>
      <w:bookmarkStart w:id="57" w:name="_Toc150774724"/>
      <w:r/>
      <w:bookmarkStart w:id="58" w:name="_Toc164229360"/>
      <w:r/>
      <w:bookmarkStart w:id="59" w:name="_Toc226337215"/>
      <w:r/>
      <w:bookmarkStart w:id="60" w:name="_Toc150509270"/>
      <w:r/>
      <w:bookmarkStart w:id="61" w:name="_Toc151193689"/>
      <w:r/>
      <w:bookmarkStart w:id="62" w:name="_Toc151193761"/>
      <w:r/>
      <w:bookmarkStart w:id="63" w:name="_Toc150480757"/>
      <w:r/>
      <w:bookmarkStart w:id="64" w:name="_Toc151193617"/>
      <w:r/>
      <w:bookmarkStart w:id="65" w:name="_Toc151190146"/>
      <w:r/>
      <w:bookmarkStart w:id="66" w:name="_Toc520356144"/>
      <w:r/>
      <w:bookmarkStart w:id="67" w:name="_Toc164608633"/>
      <w:r/>
      <w:bookmarkStart w:id="68" w:name="_Toc226965792"/>
      <w:r/>
      <w:bookmarkStart w:id="69" w:name="_Toc127161433"/>
      <w:r/>
      <w:bookmarkStart w:id="70" w:name="_Toc127151519"/>
      <w:r/>
      <w:bookmarkStart w:id="71" w:name="_Toc127151720"/>
      <w:r/>
      <w:bookmarkStart w:id="72" w:name="_Toc151193833"/>
      <w:r/>
      <w:bookmarkStart w:id="73" w:name="_Toc150774619"/>
      <w:r/>
      <w:bookmarkStart w:id="74" w:name="_Toc195842884"/>
      <w:r/>
      <w:bookmarkStart w:id="75" w:name="_Toc142311021"/>
      <w:r/>
      <w:bookmarkStart w:id="76" w:name="_Toc164229214"/>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918"/>
        <w:jc w:val="center"/>
        <w:rPr>
          <w:rFonts w:ascii="宋体" w:hAnsi="宋体"/>
          <w:b/>
          <w:color w:val="000000"/>
          <w:sz w:val="28"/>
          <w:szCs w:val="28"/>
          <w:highlight w:val="none"/>
        </w:rPr>
      </w:pPr>
      <w:r>
        <w:rPr>
          <w:rFonts w:ascii="宋体" w:hAnsi="宋体"/>
          <w:b/>
          <w:color w:val="000000"/>
          <w:sz w:val="28"/>
          <w:szCs w:val="28"/>
          <w:highlight w:val="none"/>
        </w:rPr>
      </w:r>
      <w:r/>
    </w:p>
    <w:p>
      <w:pPr>
        <w:pStyle w:val="918"/>
        <w:ind w:firstLine="480"/>
        <w:spacing w:line="360" w:lineRule="auto"/>
        <w:rPr>
          <w:rFonts w:hint="eastAsia" w:ascii="宋体" w:hAnsi="宋体"/>
          <w:color w:val="000000"/>
          <w:sz w:val="24"/>
          <w:highlight w:val="none"/>
        </w:rPr>
      </w:pPr>
      <w:r>
        <w:rPr>
          <w:rFonts w:ascii="宋体" w:hAnsi="宋体"/>
          <w:color w:val="000000"/>
          <w:sz w:val="24"/>
          <w:highlight w:val="none"/>
        </w:rPr>
        <w:t xml:space="preserve">本表是对投标人须知的具体补充和修改，如有矛盾，均以本资料表为准。</w:t>
      </w:r>
      <w:r>
        <w:rPr>
          <w:rFonts w:hint="eastAsia"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标记“</w:t>
      </w:r>
      <w:r>
        <w:rPr>
          <w:rFonts w:ascii="宋体" w:hAnsi="宋体"/>
          <w:b/>
          <w:color w:val="000000"/>
          <w:sz w:val="24"/>
          <w:highlight w:val="none"/>
        </w:rPr>
        <w:t xml:space="preserve">■</w:t>
      </w:r>
      <w:r>
        <w:rPr>
          <w:rFonts w:ascii="宋体" w:hAnsi="宋体"/>
          <w:color w:val="000000"/>
          <w:sz w:val="24"/>
          <w:highlight w:val="none"/>
        </w:rPr>
        <w:t xml:space="preserve">”的选项意为适用于本项目，标记“□”的选项意为不适用于本项目。</w:t>
      </w:r>
      <w:r>
        <w:rPr>
          <w:rFonts w:ascii="宋体" w:hAnsi="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18"/>
              <w:jc w:val="center"/>
              <w:spacing w:line="380" w:lineRule="exact"/>
              <w:rPr>
                <w:rFonts w:ascii="宋体" w:hAnsi="宋体"/>
                <w:b/>
                <w:bCs/>
                <w:color w:val="000000"/>
                <w:sz w:val="24"/>
                <w:highlight w:val="none"/>
              </w:rPr>
            </w:pPr>
            <w:r>
              <w:rPr>
                <w:rFonts w:ascii="宋体" w:hAnsi="宋体"/>
                <w:b/>
                <w:color w:val="000000"/>
                <w:sz w:val="24"/>
                <w:highlight w:val="none"/>
              </w:rPr>
              <w:t xml:space="preserve">条款号</w:t>
            </w:r>
            <w:r>
              <w:rPr>
                <w:rFonts w:ascii="宋体" w:hAnsi="宋体"/>
                <w:b/>
                <w:bCs/>
                <w:color w:val="000000"/>
                <w:sz w:val="24"/>
                <w:highlight w:val="none"/>
              </w:rPr>
            </w:r>
            <w:r/>
          </w:p>
        </w:tc>
        <w:tc>
          <w:tcPr>
            <w:tcW w:w="1701" w:type="dxa"/>
            <w:vAlign w:val="center"/>
            <w:textDirection w:val="lrTb"/>
            <w:noWrap w:val="false"/>
          </w:tcPr>
          <w:p>
            <w:pPr>
              <w:pStyle w:val="918"/>
              <w:jc w:val="center"/>
              <w:spacing w:line="380" w:lineRule="exact"/>
              <w:rPr>
                <w:rFonts w:ascii="宋体" w:hAnsi="宋体"/>
                <w:b/>
                <w:bCs/>
                <w:color w:val="000000"/>
                <w:sz w:val="24"/>
                <w:highlight w:val="none"/>
              </w:rPr>
            </w:pPr>
            <w:r>
              <w:rPr>
                <w:rFonts w:ascii="宋体" w:hAnsi="宋体"/>
                <w:b/>
                <w:bCs/>
                <w:color w:val="000000"/>
                <w:sz w:val="24"/>
                <w:highlight w:val="none"/>
              </w:rPr>
              <w:t xml:space="preserve">条目</w:t>
            </w:r>
            <w:r>
              <w:rPr>
                <w:rFonts w:ascii="宋体" w:hAnsi="宋体"/>
                <w:b/>
                <w:bCs/>
                <w:color w:val="000000"/>
                <w:sz w:val="24"/>
                <w:highlight w:val="none"/>
              </w:rPr>
            </w:r>
            <w:r/>
          </w:p>
        </w:tc>
        <w:tc>
          <w:tcPr>
            <w:tcW w:w="7540" w:type="dxa"/>
            <w:vAlign w:val="center"/>
            <w:textDirection w:val="lrTb"/>
            <w:noWrap w:val="false"/>
          </w:tcPr>
          <w:p>
            <w:pPr>
              <w:pStyle w:val="918"/>
              <w:jc w:val="center"/>
              <w:spacing w:line="380" w:lineRule="exact"/>
              <w:rPr>
                <w:rFonts w:ascii="宋体" w:hAnsi="宋体"/>
                <w:b/>
                <w:bCs/>
                <w:color w:val="000000"/>
                <w:sz w:val="24"/>
                <w:highlight w:val="none"/>
              </w:rPr>
            </w:pPr>
            <w:r>
              <w:rPr>
                <w:rFonts w:ascii="宋体" w:hAnsi="宋体"/>
                <w:b/>
                <w:bCs/>
                <w:color w:val="000000"/>
                <w:sz w:val="24"/>
                <w:highlight w:val="none"/>
              </w:rPr>
              <w:t xml:space="preserve">内容</w:t>
            </w:r>
            <w:r>
              <w:rPr>
                <w:rFonts w:ascii="宋体" w:hAnsi="宋体"/>
                <w:b/>
                <w:bCs/>
                <w:color w:val="000000"/>
                <w:sz w:val="24"/>
                <w:highlight w:val="none"/>
              </w:rPr>
            </w:r>
            <w:r/>
          </w:p>
        </w:tc>
      </w:tr>
      <w:tr>
        <w:trPr>
          <w:trHeight w:val="20"/>
        </w:trPr>
        <w:tc>
          <w:tcPr>
            <w:tcW w:w="988" w:type="dxa"/>
            <w:vAlign w:val="center"/>
            <w:textDirection w:val="lrTb"/>
            <w:noWrap w:val="false"/>
          </w:tcPr>
          <w:p>
            <w:pPr>
              <w:pStyle w:val="957"/>
              <w:jc w:val="center"/>
              <w:spacing w:line="380" w:lineRule="exact"/>
              <w:rPr>
                <w:rFonts w:hAnsi="宋体"/>
                <w:color w:val="000000"/>
                <w:sz w:val="24"/>
                <w:szCs w:val="24"/>
                <w:highlight w:val="none"/>
              </w:rPr>
            </w:pPr>
            <w:r>
              <w:rPr>
                <w:rFonts w:hAnsi="宋体"/>
                <w:color w:val="000000"/>
                <w:sz w:val="24"/>
                <w:szCs w:val="24"/>
                <w:highlight w:val="none"/>
              </w:rPr>
              <w:t xml:space="preserve">2.2</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项目属性：</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t xml:space="preserve">服务</w:t>
            </w:r>
            <w:r>
              <w:rPr>
                <w:rFonts w:ascii="宋体" w:hAnsi="宋体"/>
                <w:color w:val="000000"/>
                <w:sz w:val="24"/>
                <w:highlight w:val="none"/>
              </w:rPr>
            </w:r>
            <w:r/>
          </w:p>
          <w:p>
            <w:pPr>
              <w:pStyle w:val="918"/>
              <w:jc w:val="left"/>
              <w:spacing w:line="380" w:lineRule="exact"/>
              <w:rPr>
                <w:rFonts w:ascii="宋体" w:hAnsi="宋体"/>
                <w:color w:val="000000"/>
                <w:sz w:val="24"/>
                <w:highlight w:val="none"/>
                <w:u w:val="single"/>
              </w:rPr>
            </w:pPr>
            <w:r>
              <w:rPr>
                <w:rFonts w:ascii="宋体" w:hAnsi="宋体" w:cs="宋体"/>
                <w:color w:val="000000"/>
                <w:sz w:val="24"/>
                <w:highlight w:val="none"/>
              </w:rPr>
              <w:t xml:space="preserve">■</w:t>
            </w:r>
            <w:r>
              <w:rPr>
                <w:rFonts w:ascii="宋体" w:hAnsi="宋体"/>
                <w:color w:val="000000"/>
                <w:sz w:val="24"/>
                <w:highlight w:val="none"/>
              </w:rPr>
              <w:t xml:space="preserve">货物</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57"/>
              <w:jc w:val="center"/>
              <w:spacing w:line="380" w:lineRule="exact"/>
              <w:rPr>
                <w:rFonts w:hAnsi="宋体"/>
                <w:color w:val="000000"/>
                <w:sz w:val="24"/>
                <w:szCs w:val="24"/>
                <w:highlight w:val="none"/>
              </w:rPr>
            </w:pPr>
            <w:r>
              <w:rPr>
                <w:rFonts w:hAnsi="宋体"/>
                <w:color w:val="000000"/>
                <w:sz w:val="24"/>
                <w:szCs w:val="24"/>
                <w:highlight w:val="none"/>
              </w:rPr>
              <w:t xml:space="preserve">2.3</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科研仪器设备</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是否属于科研仪器设备采购项目：</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□是</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b/>
                <w:color w:val="000000"/>
                <w:sz w:val="24"/>
                <w:highlight w:val="none"/>
              </w:rPr>
              <w:t xml:space="preserve">■</w:t>
            </w:r>
            <w:r>
              <w:rPr>
                <w:rFonts w:ascii="宋体" w:hAnsi="宋体"/>
                <w:color w:val="000000"/>
                <w:sz w:val="24"/>
                <w:highlight w:val="none"/>
              </w:rPr>
              <w:t xml:space="preserve">否</w:t>
            </w:r>
            <w:r>
              <w:rPr>
                <w:rFonts w:ascii="宋体" w:hAnsi="宋体"/>
                <w:color w:val="000000"/>
                <w:sz w:val="24"/>
                <w:highlight w:val="none"/>
              </w:rPr>
            </w:r>
            <w:r/>
          </w:p>
        </w:tc>
      </w:tr>
      <w:tr>
        <w:trPr>
          <w:trHeight w:val="20"/>
        </w:trPr>
        <w:tc>
          <w:tcPr>
            <w:tcW w:w="988" w:type="dxa"/>
            <w:vAlign w:val="center"/>
            <w:textDirection w:val="lrTb"/>
            <w:noWrap w:val="false"/>
          </w:tcPr>
          <w:p>
            <w:pPr>
              <w:pStyle w:val="957"/>
              <w:jc w:val="center"/>
              <w:spacing w:line="380" w:lineRule="exact"/>
              <w:rPr>
                <w:rFonts w:hAnsi="宋体"/>
                <w:color w:val="000000"/>
                <w:sz w:val="24"/>
                <w:szCs w:val="24"/>
                <w:highlight w:val="none"/>
              </w:rPr>
            </w:pPr>
            <w:r>
              <w:rPr>
                <w:rFonts w:hAnsi="宋体"/>
                <w:color w:val="000000"/>
                <w:sz w:val="24"/>
                <w:szCs w:val="24"/>
                <w:highlight w:val="none"/>
              </w:rPr>
              <w:t xml:space="preserve">2.4</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核心产品</w:t>
            </w:r>
            <w:r>
              <w:rPr>
                <w:rFonts w:ascii="宋体" w:hAnsi="宋体"/>
                <w:color w:val="000000"/>
                <w:sz w:val="24"/>
                <w:highlight w:val="none"/>
              </w:rPr>
            </w:r>
            <w:r/>
          </w:p>
        </w:tc>
        <w:tc>
          <w:tcPr>
            <w:tcW w:w="7540" w:type="dxa"/>
            <w:vAlign w:val="center"/>
            <w:textDirection w:val="lrTb"/>
            <w:noWrap w:val="false"/>
          </w:tcPr>
          <w:p>
            <w:pPr>
              <w:pStyle w:val="957"/>
              <w:spacing w:line="380" w:lineRule="exact"/>
              <w:rPr>
                <w:rFonts w:hAnsi="宋体"/>
                <w:color w:val="000000"/>
                <w:sz w:val="24"/>
                <w:szCs w:val="24"/>
                <w:highlight w:val="none"/>
              </w:rPr>
            </w:pPr>
            <w:r>
              <w:rPr>
                <w:rFonts w:hint="eastAsia" w:hAnsi="宋体"/>
                <w:color w:val="000000"/>
                <w:sz w:val="24"/>
                <w:szCs w:val="24"/>
                <w:highlight w:val="none"/>
                <w:lang w:eastAsia="zh-CN"/>
              </w:rPr>
              <w:t xml:space="preserve">□</w:t>
            </w:r>
            <w:r>
              <w:rPr>
                <w:rFonts w:hAnsi="宋体"/>
                <w:color w:val="000000"/>
                <w:sz w:val="24"/>
                <w:szCs w:val="24"/>
                <w:highlight w:val="none"/>
              </w:rPr>
              <w:t xml:space="preserve">关于核心产品本项目</w:t>
            </w:r>
            <w:r>
              <w:rPr>
                <w:rFonts w:hAnsi="宋体"/>
                <w:color w:val="000000"/>
                <w:sz w:val="24"/>
                <w:szCs w:val="24"/>
                <w:highlight w:val="none"/>
                <w:u w:val="single"/>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包不适用。</w:t>
            </w:r>
            <w:r>
              <w:rPr>
                <w:rFonts w:hAnsi="宋体"/>
                <w:color w:val="000000"/>
                <w:sz w:val="24"/>
                <w:szCs w:val="24"/>
                <w:highlight w:val="none"/>
              </w:rPr>
            </w:r>
            <w:r/>
          </w:p>
          <w:p>
            <w:pPr>
              <w:pStyle w:val="957"/>
              <w:spacing w:line="380" w:lineRule="exact"/>
              <w:rPr>
                <w:rFonts w:hAnsi="宋体"/>
                <w:color w:val="000000"/>
                <w:sz w:val="24"/>
                <w:szCs w:val="24"/>
                <w:highlight w:val="none"/>
              </w:rPr>
            </w:pPr>
            <w:r>
              <w:rPr>
                <w:rFonts w:hAnsi="宋体"/>
                <w:color w:val="000000"/>
                <w:sz w:val="24"/>
                <w:szCs w:val="24"/>
                <w:highlight w:val="none"/>
              </w:rPr>
              <w:t xml:space="preserve">□本项目__包为单一产品采购项目。</w:t>
            </w:r>
            <w:r>
              <w:rPr>
                <w:rFonts w:hAnsi="宋体"/>
                <w:color w:val="000000"/>
                <w:sz w:val="24"/>
                <w:szCs w:val="24"/>
                <w:highlight w:val="none"/>
              </w:rPr>
            </w:r>
            <w:r/>
          </w:p>
          <w:p>
            <w:pPr>
              <w:pStyle w:val="918"/>
              <w:jc w:val="left"/>
              <w:spacing w:line="380" w:lineRule="exact"/>
              <w:rPr>
                <w:rFonts w:ascii="宋体" w:hAnsi="宋体"/>
                <w:color w:val="000000"/>
                <w:sz w:val="24"/>
                <w:highlight w:val="none"/>
              </w:rPr>
            </w:pPr>
            <w:r>
              <w:rPr>
                <w:rFonts w:hAnsi="宋体"/>
                <w:color w:val="000000"/>
                <w:sz w:val="24"/>
                <w:szCs w:val="24"/>
                <w:highlight w:val="none"/>
              </w:rPr>
              <w:t xml:space="preserve">■</w:t>
            </w:r>
            <w:r>
              <w:rPr>
                <w:rFonts w:ascii="宋体" w:hAnsi="宋体"/>
                <w:color w:val="000000"/>
                <w:sz w:val="24"/>
                <w:highlight w:val="none"/>
              </w:rPr>
              <w:t xml:space="preserve">本项目_</w:t>
            </w:r>
            <w:r>
              <w:rPr>
                <w:rFonts w:hint="eastAsia" w:ascii="宋体" w:hAnsi="宋体"/>
                <w:color w:val="000000"/>
                <w:sz w:val="24"/>
                <w:highlight w:val="none"/>
                <w:lang w:val="en-US" w:eastAsia="zh-CN"/>
              </w:rPr>
              <w:t xml:space="preserve">1</w:t>
            </w:r>
            <w:r>
              <w:rPr>
                <w:rFonts w:ascii="宋体" w:hAnsi="宋体"/>
                <w:color w:val="000000"/>
                <w:sz w:val="24"/>
                <w:highlight w:val="none"/>
              </w:rPr>
              <w:t xml:space="preserve">_包为非单一产品采购项目，核心产品为：</w:t>
            </w:r>
            <w:r>
              <w:rPr>
                <w:rFonts w:hint="eastAsia" w:ascii="宋体" w:hAnsi="宋体"/>
                <w:color w:val="000000"/>
                <w:sz w:val="24"/>
                <w:highlight w:val="none"/>
                <w:u w:val="single"/>
              </w:rPr>
              <w:t xml:space="preserve">人机交互动作采集系统</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vMerge w:val="restart"/>
            <w:textDirection w:val="lrTb"/>
            <w:noWrap w:val="false"/>
          </w:tcPr>
          <w:p>
            <w:pPr>
              <w:pStyle w:val="957"/>
              <w:jc w:val="center"/>
              <w:spacing w:line="380" w:lineRule="exact"/>
              <w:rPr>
                <w:rFonts w:hAnsi="宋体"/>
                <w:color w:val="000000"/>
                <w:sz w:val="24"/>
                <w:szCs w:val="24"/>
                <w:highlight w:val="none"/>
              </w:rPr>
            </w:pPr>
            <w:r>
              <w:rPr>
                <w:rFonts w:hAnsi="宋体"/>
                <w:color w:val="000000"/>
                <w:sz w:val="24"/>
                <w:szCs w:val="24"/>
                <w:highlight w:val="none"/>
              </w:rPr>
              <w:t xml:space="preserve">3.1</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现场考察</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color w:val="000000"/>
                <w:sz w:val="24"/>
                <w:highlight w:val="none"/>
              </w:rPr>
            </w:pPr>
            <w:r>
              <w:rPr>
                <w:rFonts w:hint="eastAsia"/>
                <w:color w:val="000000"/>
                <w:sz w:val="24"/>
                <w:highlight w:val="none"/>
              </w:rPr>
              <w:t xml:space="preserve">■</w:t>
            </w:r>
            <w:r>
              <w:rPr>
                <w:color w:val="000000"/>
                <w:sz w:val="24"/>
                <w:highlight w:val="none"/>
              </w:rPr>
              <w:t xml:space="preserve">不组织</w:t>
            </w:r>
            <w:r>
              <w:rPr>
                <w:color w:val="000000"/>
                <w:sz w:val="24"/>
                <w:highlight w:val="none"/>
              </w:rPr>
            </w:r>
            <w:r/>
          </w:p>
          <w:p>
            <w:pPr>
              <w:pStyle w:val="918"/>
              <w:jc w:val="left"/>
              <w:spacing w:line="380" w:lineRule="exact"/>
              <w:rPr>
                <w:bCs/>
                <w:color w:val="000000"/>
                <w:sz w:val="24"/>
                <w:highlight w:val="none"/>
              </w:rPr>
            </w:pPr>
            <w:r>
              <w:rPr>
                <w:rFonts w:hint="eastAsia"/>
                <w:color w:val="000000"/>
                <w:sz w:val="24"/>
                <w:highlight w:val="none"/>
              </w:rPr>
              <w:t xml:space="preserve">□</w:t>
            </w:r>
            <w:r>
              <w:rPr>
                <w:color w:val="000000"/>
                <w:sz w:val="24"/>
                <w:highlight w:val="none"/>
              </w:rPr>
              <w:t xml:space="preserve">组织，考察时间：___</w:t>
            </w:r>
            <w:r>
              <w:rPr>
                <w:color w:val="000000"/>
                <w:sz w:val="24"/>
                <w:highlight w:val="none"/>
                <w:lang w:bidi="ar"/>
              </w:rPr>
              <w:t xml:space="preserve">年</w:t>
            </w:r>
            <w:r>
              <w:rPr>
                <w:color w:val="000000"/>
                <w:sz w:val="24"/>
                <w:highlight w:val="none"/>
              </w:rPr>
              <w:t xml:space="preserve">___</w:t>
            </w:r>
            <w:r>
              <w:rPr>
                <w:color w:val="000000"/>
                <w:sz w:val="24"/>
                <w:highlight w:val="none"/>
                <w:lang w:bidi="ar"/>
              </w:rPr>
              <w:t xml:space="preserve">月</w:t>
            </w:r>
            <w:r>
              <w:rPr>
                <w:color w:val="000000"/>
                <w:sz w:val="24"/>
                <w:highlight w:val="none"/>
              </w:rPr>
              <w:t xml:space="preserve">___</w:t>
            </w:r>
            <w:r>
              <w:rPr>
                <w:color w:val="000000"/>
                <w:sz w:val="24"/>
                <w:highlight w:val="none"/>
                <w:lang w:bidi="ar"/>
              </w:rPr>
              <w:t xml:space="preserve">日</w:t>
            </w:r>
            <w:r>
              <w:rPr>
                <w:color w:val="000000"/>
                <w:sz w:val="24"/>
                <w:highlight w:val="none"/>
              </w:rPr>
              <w:t xml:space="preserve">___</w:t>
            </w:r>
            <w:r>
              <w:rPr>
                <w:color w:val="000000"/>
                <w:sz w:val="24"/>
                <w:highlight w:val="none"/>
                <w:lang w:bidi="ar"/>
              </w:rPr>
              <w:t xml:space="preserve">点</w:t>
            </w:r>
            <w:r>
              <w:rPr>
                <w:color w:val="000000"/>
                <w:sz w:val="24"/>
                <w:highlight w:val="none"/>
              </w:rPr>
              <w:t xml:space="preserve">___</w:t>
            </w:r>
            <w:r>
              <w:rPr>
                <w:color w:val="000000"/>
                <w:sz w:val="24"/>
                <w:highlight w:val="none"/>
                <w:lang w:bidi="ar"/>
              </w:rPr>
              <w:t xml:space="preserve">分</w:t>
            </w:r>
            <w:r>
              <w:rPr>
                <w:bCs/>
                <w:color w:val="000000"/>
                <w:sz w:val="24"/>
                <w:highlight w:val="none"/>
              </w:rPr>
            </w:r>
            <w:r/>
          </w:p>
          <w:p>
            <w:pPr>
              <w:pStyle w:val="957"/>
              <w:spacing w:line="380" w:lineRule="exact"/>
              <w:rPr>
                <w:rFonts w:hAnsi="宋体"/>
                <w:color w:val="000000"/>
                <w:sz w:val="24"/>
                <w:szCs w:val="24"/>
                <w:highlight w:val="none"/>
              </w:rPr>
            </w:pPr>
            <w:r>
              <w:rPr>
                <w:rFonts w:ascii="Times New Roman" w:hAnsi="Times New Roman"/>
                <w:color w:val="000000"/>
                <w:sz w:val="24"/>
                <w:highlight w:val="none"/>
              </w:rPr>
              <w:t xml:space="preserve">考察地点：___________</w:t>
            </w:r>
            <w:r>
              <w:rPr>
                <w:rFonts w:ascii="Times New Roman" w:hAnsi="Times New Roman"/>
                <w:color w:val="000000"/>
                <w:sz w:val="24"/>
                <w:highlight w:val="none"/>
              </w:rPr>
              <w:t xml:space="preserve">。</w:t>
            </w:r>
            <w:r>
              <w:rPr>
                <w:rFonts w:hAnsi="宋体"/>
                <w:color w:val="000000"/>
                <w:sz w:val="24"/>
                <w:szCs w:val="24"/>
                <w:highlight w:val="none"/>
              </w:rPr>
            </w:r>
            <w:r/>
          </w:p>
        </w:tc>
      </w:tr>
      <w:tr>
        <w:trPr>
          <w:trHeight w:val="20"/>
        </w:trPr>
        <w:tc>
          <w:tcPr>
            <w:tcW w:w="988" w:type="dxa"/>
            <w:vAlign w:val="center"/>
            <w:vMerge w:val="continue"/>
            <w:textDirection w:val="lrTb"/>
            <w:noWrap w:val="false"/>
          </w:tcPr>
          <w:p>
            <w:pPr>
              <w:pStyle w:val="957"/>
              <w:jc w:val="center"/>
              <w:spacing w:line="380" w:lineRule="exact"/>
              <w:rPr>
                <w:rFonts w:hAnsi="宋体"/>
                <w:color w:val="000000"/>
                <w:sz w:val="24"/>
                <w:szCs w:val="24"/>
                <w:highlight w:val="none"/>
              </w:rPr>
            </w:pP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开标前答疑会</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不召开</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□召开，召开时间：__年_月_日_</w:t>
            </w:r>
            <w:r>
              <w:rPr>
                <w:rFonts w:ascii="宋体" w:hAnsi="宋体"/>
                <w:bCs/>
                <w:color w:val="000000"/>
                <w:sz w:val="24"/>
                <w:highlight w:val="none"/>
              </w:rPr>
              <w:t xml:space="preserve">点</w:t>
            </w:r>
            <w:r>
              <w:rPr>
                <w:rFonts w:ascii="宋体" w:hAnsi="宋体"/>
                <w:color w:val="000000"/>
                <w:sz w:val="24"/>
                <w:highlight w:val="none"/>
              </w:rPr>
              <w:t xml:space="preserve">_</w:t>
            </w:r>
            <w:r>
              <w:rPr>
                <w:rFonts w:ascii="宋体" w:hAnsi="宋体"/>
                <w:bCs/>
                <w:color w:val="000000"/>
                <w:sz w:val="24"/>
                <w:highlight w:val="none"/>
              </w:rPr>
              <w:t xml:space="preserve">分</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召开地点：____________</w:t>
            </w:r>
            <w:r>
              <w:rPr>
                <w:rFonts w:hint="eastAsia"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57"/>
              <w:jc w:val="center"/>
              <w:spacing w:line="380" w:lineRule="exact"/>
              <w:rPr>
                <w:rFonts w:hAnsi="宋体"/>
                <w:color w:val="000000"/>
                <w:sz w:val="24"/>
                <w:szCs w:val="24"/>
                <w:highlight w:val="none"/>
              </w:rPr>
            </w:pPr>
            <w:r>
              <w:rPr>
                <w:rFonts w:hAnsi="宋体"/>
                <w:color w:val="000000"/>
                <w:sz w:val="24"/>
                <w:szCs w:val="24"/>
                <w:highlight w:val="none"/>
              </w:rPr>
              <w:t xml:space="preserve">4.1</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样品</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投标样品递交：</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不需要</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□需要，具体要求如下：</w:t>
            </w:r>
            <w:r>
              <w:rPr>
                <w:rFonts w:ascii="宋体" w:hAnsi="宋体"/>
                <w:color w:val="000000"/>
                <w:sz w:val="24"/>
                <w:highlight w:val="none"/>
              </w:rPr>
            </w:r>
            <w:r/>
          </w:p>
          <w:p>
            <w:pPr>
              <w:pStyle w:val="918"/>
              <w:jc w:val="left"/>
              <w:spacing w:line="380" w:lineRule="exact"/>
              <w:rPr>
                <w:rFonts w:ascii="宋体" w:hAnsi="宋体"/>
                <w:color w:val="000000"/>
                <w:sz w:val="24"/>
                <w:highlight w:val="none"/>
                <w:u w:val="single"/>
              </w:rPr>
            </w:pPr>
            <w:r>
              <w:rPr>
                <w:rFonts w:ascii="宋体" w:hAnsi="宋体"/>
                <w:color w:val="000000"/>
                <w:sz w:val="24"/>
                <w:highlight w:val="none"/>
              </w:rPr>
              <w:t xml:space="preserve">（1）样品制作的标准和要求：_________；</w:t>
            </w:r>
            <w:r>
              <w:rPr>
                <w:rFonts w:ascii="宋体" w:hAnsi="宋体"/>
                <w:color w:val="000000"/>
                <w:sz w:val="24"/>
                <w:highlight w:val="none"/>
                <w:u w:val="singl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（2）是否需要随样品提交相关检测报告：</w:t>
            </w:r>
            <w:r>
              <w:rPr>
                <w:rFonts w:ascii="宋体" w:hAnsi="宋体"/>
                <w:color w:val="000000"/>
                <w:sz w:val="24"/>
                <w:highlight w:val="none"/>
              </w:rPr>
            </w:r>
            <w:r/>
          </w:p>
          <w:p>
            <w:pPr>
              <w:pStyle w:val="918"/>
              <w:ind w:firstLine="600"/>
              <w:jc w:val="left"/>
              <w:spacing w:line="380" w:lineRule="exact"/>
              <w:rPr>
                <w:rFonts w:ascii="宋体" w:hAnsi="宋体"/>
                <w:color w:val="000000"/>
                <w:sz w:val="24"/>
                <w:highlight w:val="none"/>
              </w:rPr>
            </w:pPr>
            <w:r>
              <w:rPr>
                <w:rFonts w:ascii="宋体" w:hAnsi="宋体"/>
                <w:color w:val="000000"/>
                <w:sz w:val="24"/>
                <w:highlight w:val="none"/>
              </w:rPr>
              <w:t xml:space="preserve">□不需要</w:t>
            </w:r>
            <w:r>
              <w:rPr>
                <w:rFonts w:ascii="宋体" w:hAnsi="宋体"/>
                <w:color w:val="000000"/>
                <w:sz w:val="24"/>
                <w:highlight w:val="none"/>
              </w:rPr>
            </w:r>
            <w:r/>
          </w:p>
          <w:p>
            <w:pPr>
              <w:pStyle w:val="918"/>
              <w:ind w:firstLine="600"/>
              <w:jc w:val="left"/>
              <w:spacing w:line="380" w:lineRule="exact"/>
              <w:rPr>
                <w:rFonts w:ascii="宋体" w:hAnsi="宋体"/>
                <w:color w:val="000000"/>
                <w:sz w:val="24"/>
                <w:highlight w:val="none"/>
              </w:rPr>
            </w:pPr>
            <w:r>
              <w:rPr>
                <w:rFonts w:ascii="宋体" w:hAnsi="宋体"/>
                <w:color w:val="000000"/>
                <w:sz w:val="24"/>
                <w:highlight w:val="none"/>
              </w:rPr>
              <w:t xml:space="preserve">□需要</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（3）样品递交要求：_________；</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（4）未中标人样品退还：_________；</w:t>
            </w:r>
            <w:r>
              <w:rPr>
                <w:rFonts w:ascii="宋体" w:hAnsi="宋体"/>
                <w:color w:val="000000"/>
                <w:sz w:val="24"/>
                <w:highlight w:val="none"/>
              </w:rPr>
            </w:r>
            <w:r/>
          </w:p>
          <w:p>
            <w:pPr>
              <w:pStyle w:val="918"/>
              <w:jc w:val="left"/>
              <w:spacing w:line="380" w:lineRule="exact"/>
              <w:rPr>
                <w:rFonts w:ascii="宋体" w:hAnsi="宋体"/>
                <w:color w:val="000000"/>
                <w:sz w:val="24"/>
                <w:highlight w:val="none"/>
                <w:u w:val="single"/>
              </w:rPr>
            </w:pPr>
            <w:r>
              <w:rPr>
                <w:rFonts w:ascii="宋体" w:hAnsi="宋体"/>
                <w:color w:val="000000"/>
                <w:sz w:val="24"/>
                <w:highlight w:val="none"/>
              </w:rPr>
              <w:t xml:space="preserve">（5）中标人样品保管、封存及退还：_________；</w:t>
            </w:r>
            <w:r>
              <w:rPr>
                <w:rFonts w:ascii="宋体" w:hAnsi="宋体"/>
                <w:color w:val="000000"/>
                <w:sz w:val="24"/>
                <w:highlight w:val="none"/>
                <w:u w:val="singl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（6）其他要求（如有）：_________。</w:t>
            </w:r>
            <w:r>
              <w:rPr>
                <w:rFonts w:ascii="宋体" w:hAnsi="宋体"/>
                <w:color w:val="000000"/>
                <w:sz w:val="24"/>
                <w:highlight w:val="none"/>
              </w:rPr>
            </w:r>
            <w:r/>
          </w:p>
        </w:tc>
      </w:tr>
      <w:tr>
        <w:trPr>
          <w:trHeight w:val="740"/>
        </w:trPr>
        <w:tc>
          <w:tcPr>
            <w:tcW w:w="988" w:type="dxa"/>
            <w:vAlign w:val="center"/>
            <w:textDirection w:val="lrTb"/>
            <w:noWrap w:val="false"/>
          </w:tcPr>
          <w:p>
            <w:pPr>
              <w:pStyle w:val="957"/>
              <w:jc w:val="center"/>
              <w:spacing w:line="380" w:lineRule="exact"/>
              <w:rPr>
                <w:rFonts w:hAnsi="宋体"/>
                <w:color w:val="000000"/>
                <w:sz w:val="24"/>
                <w:szCs w:val="24"/>
                <w:highlight w:val="none"/>
              </w:rPr>
            </w:pPr>
            <w:r>
              <w:rPr>
                <w:rFonts w:hAnsi="宋体"/>
                <w:color w:val="000000"/>
                <w:sz w:val="24"/>
                <w:szCs w:val="24"/>
                <w:highlight w:val="none"/>
              </w:rPr>
              <w:t xml:space="preserve">5.2.5</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标的所属行业</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本项目采购标的对应的中小企业划分标准所属行业：</w:t>
            </w:r>
            <w:r>
              <w:rPr>
                <w:rFonts w:hint="eastAsia" w:ascii="宋体" w:hAnsi="宋体"/>
                <w:color w:val="000000"/>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sz w:val="24"/>
                <w:highlight w:val="none"/>
              </w:rPr>
            </w:r>
            <w:r/>
          </w:p>
        </w:tc>
      </w:tr>
      <w:tr>
        <w:trPr>
          <w:trHeight w:val="740"/>
        </w:trPr>
        <w:tc>
          <w:tcPr>
            <w:tcW w:w="988" w:type="dxa"/>
            <w:vAlign w:val="center"/>
            <w:textDirection w:val="lrTb"/>
            <w:noWrap w:val="false"/>
          </w:tcPr>
          <w:p>
            <w:pPr>
              <w:pStyle w:val="957"/>
              <w:jc w:val="center"/>
              <w:rPr>
                <w:rFonts w:hAnsi="宋体"/>
                <w:color w:val="000000"/>
                <w:sz w:val="24"/>
                <w:szCs w:val="24"/>
                <w:highlight w:val="none"/>
              </w:rPr>
            </w:pPr>
            <w:r>
              <w:rPr>
                <w:rFonts w:hint="eastAsia" w:hAnsi="宋体"/>
                <w:color w:val="000000"/>
                <w:sz w:val="24"/>
                <w:szCs w:val="24"/>
                <w:highlight w:val="none"/>
                <w:lang w:val="en-US" w:eastAsia="zh-CN"/>
              </w:rPr>
              <w:t xml:space="preserve">6</w:t>
            </w:r>
            <w:r>
              <w:rPr>
                <w:rFonts w:hAnsi="宋体"/>
                <w:color w:val="000000"/>
                <w:sz w:val="24"/>
                <w:szCs w:val="24"/>
                <w:highlight w:val="none"/>
              </w:rPr>
            </w:r>
            <w:r/>
          </w:p>
        </w:tc>
        <w:tc>
          <w:tcPr>
            <w:tcW w:w="1701" w:type="dxa"/>
            <w:vAlign w:val="center"/>
            <w:textDirection w:val="lrTb"/>
            <w:noWrap w:val="false"/>
          </w:tcPr>
          <w:p>
            <w:pPr>
              <w:pStyle w:val="918"/>
              <w:jc w:val="center"/>
              <w:rPr>
                <w:rFonts w:ascii="宋体" w:hAnsi="宋体"/>
                <w:color w:val="000000"/>
                <w:sz w:val="24"/>
                <w:highlight w:val="none"/>
              </w:rPr>
            </w:pPr>
            <w:r>
              <w:rPr>
                <w:rFonts w:ascii="Times New Roman" w:hAnsi="Times New Roman" w:cs="Times New Roman"/>
                <w:color w:val="000000"/>
                <w:sz w:val="24"/>
                <w:szCs w:val="24"/>
                <w:highlight w:val="none"/>
              </w:rPr>
              <w:t xml:space="preserve">本国产品政策支持</w:t>
            </w:r>
            <w:r>
              <w:rPr>
                <w:rFonts w:ascii="宋体" w:hAnsi="宋体"/>
                <w:color w:val="000000"/>
                <w:sz w:val="24"/>
                <w:highlight w:val="none"/>
              </w:rPr>
            </w:r>
            <w:r/>
          </w:p>
        </w:tc>
        <w:tc>
          <w:tcPr>
            <w:tcW w:w="7540" w:type="dxa"/>
            <w:vAlign w:val="center"/>
            <w:textDirection w:val="lrTb"/>
            <w:noWrap w:val="false"/>
          </w:tcPr>
          <w:p>
            <w:pPr>
              <w:pStyle w:val="980"/>
              <w:keepLines w:val="0"/>
              <w:keepNext w:val="0"/>
              <w:spacing w:before="0" w:beforeAutospacing="0" w:after="0" w:afterAutospacing="0" w:line="0" w:lineRule="atLeast"/>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highlight w:val="none"/>
              </w:rPr>
              <w:t xml:space="preserve">关于对采购本国产品给予政策支持，本项目：</w:t>
            </w:r>
            <w:r>
              <w:rPr>
                <w:rFonts w:hint="eastAsia"/>
                <w:color w:val="000000"/>
                <w:sz w:val="24"/>
                <w:highlight w:val="none"/>
              </w:rPr>
              <w:t xml:space="preserve">■</w:t>
            </w:r>
            <w:r>
              <w:rPr>
                <w:rFonts w:ascii="Times New Roman" w:hAnsi="Times New Roman" w:cs="Times New Roman"/>
                <w:color w:val="000000"/>
                <w:sz w:val="24"/>
                <w:szCs w:val="24"/>
                <w:highlight w:val="none"/>
              </w:rPr>
              <w:t xml:space="preserve">适用 不适用。</w:t>
            </w:r>
            <w:r>
              <w:rPr>
                <w:color w:val="000000"/>
                <w:highlight w:val="none"/>
              </w:rPr>
            </w:r>
            <w:r/>
          </w:p>
          <w:p>
            <w:pPr>
              <w:pStyle w:val="918"/>
              <w:jc w:val="left"/>
              <w:rPr>
                <w:rFonts w:ascii="宋体" w:hAnsi="宋体"/>
                <w:color w:val="000000"/>
                <w:sz w:val="24"/>
                <w:highlight w:val="none"/>
              </w:rPr>
            </w:pPr>
            <w:r>
              <w:rPr>
                <w:rFonts w:ascii="Times New Roman" w:hAnsi="Times New Roman" w:cs="Times New Roman"/>
                <w:color w:val="000000"/>
                <w:sz w:val="24"/>
                <w:szCs w:val="24"/>
                <w:highlight w:val="none"/>
                <w:shd w:val="clear" w:color="auto" w:fill="ffffff"/>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宋体" w:hAnsi="宋体"/>
                <w:color w:val="000000"/>
                <w:sz w:val="24"/>
                <w:highlight w:val="none"/>
              </w:rPr>
            </w:r>
            <w:r/>
          </w:p>
        </w:tc>
      </w:tr>
      <w:tr>
        <w:trPr>
          <w:trHeight w:val="841"/>
        </w:trPr>
        <w:tc>
          <w:tcPr>
            <w:tcW w:w="988" w:type="dxa"/>
            <w:vAlign w:val="center"/>
            <w:textDirection w:val="lrTb"/>
            <w:noWrap w:val="false"/>
          </w:tcPr>
          <w:p>
            <w:pPr>
              <w:pStyle w:val="957"/>
              <w:jc w:val="center"/>
              <w:spacing w:line="380" w:lineRule="exact"/>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12</w:t>
            </w:r>
            <w:r>
              <w:rPr>
                <w:rFonts w:hAnsi="宋体" w:eastAsia="宋体"/>
                <w:color w:val="000000"/>
                <w:sz w:val="24"/>
                <w:szCs w:val="24"/>
                <w:highlight w:val="none"/>
                <w:lang w:val="en-US" w:eastAsia="zh-CN"/>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hint="eastAsia" w:ascii="宋体" w:hAnsi="宋体"/>
                <w:color w:val="000000"/>
                <w:sz w:val="24"/>
                <w:highlight w:val="none"/>
              </w:rPr>
              <w:t xml:space="preserve">投标报价的特殊规定：</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■无</w:t>
            </w:r>
            <w:r>
              <w:rPr>
                <w:rFonts w:ascii="宋体" w:hAnsi="宋体"/>
                <w:color w:val="000000"/>
                <w:sz w:val="24"/>
                <w:highlight w:val="none"/>
              </w:rPr>
            </w:r>
            <w:r/>
          </w:p>
          <w:p>
            <w:pPr>
              <w:pStyle w:val="918"/>
              <w:jc w:val="left"/>
              <w:spacing w:line="380" w:lineRule="exact"/>
              <w:rPr>
                <w:rFonts w:hint="eastAsia" w:ascii="宋体" w:hAnsi="宋体"/>
                <w:color w:val="000000"/>
                <w:sz w:val="24"/>
                <w:highlight w:val="none"/>
              </w:rPr>
            </w:pPr>
            <w:r>
              <w:rPr>
                <w:rFonts w:ascii="宋体" w:hAnsi="宋体"/>
                <w:color w:val="000000"/>
                <w:sz w:val="24"/>
                <w:highlight w:val="none"/>
              </w:rPr>
              <w:t xml:space="preserve">□有，具体情形：_____</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20"/>
        </w:trPr>
        <w:tc>
          <w:tcPr>
            <w:tcW w:w="988" w:type="dxa"/>
            <w:vAlign w:val="center"/>
            <w:textDirection w:val="lrTb"/>
            <w:noWrap w:val="false"/>
          </w:tcPr>
          <w:p>
            <w:pPr>
              <w:pStyle w:val="957"/>
              <w:jc w:val="center"/>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lang w:val="en-US" w:eastAsia="zh-CN"/>
              </w:rPr>
              <w:t xml:space="preserve">3</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hint="eastAsia" w:ascii="宋体" w:hAnsi="宋体"/>
                <w:color w:val="000000"/>
                <w:sz w:val="24"/>
                <w:highlight w:val="none"/>
              </w:rPr>
              <w:t xml:space="preserve">投标保证金</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hint="eastAsia" w:ascii="宋体" w:hAnsi="宋体"/>
                <w:color w:val="000000"/>
                <w:sz w:val="24"/>
                <w:highlight w:val="none"/>
              </w:rPr>
              <w:t xml:space="preserve">免收</w:t>
            </w:r>
            <w:r>
              <w:rPr>
                <w:rFonts w:ascii="宋体" w:hAnsi="宋体"/>
                <w:color w:val="000000"/>
                <w:sz w:val="24"/>
                <w:highlight w:val="none"/>
              </w:rPr>
            </w:r>
            <w:r/>
          </w:p>
        </w:tc>
      </w:tr>
      <w:tr>
        <w:trPr>
          <w:trHeight w:val="20"/>
        </w:trPr>
        <w:tc>
          <w:tcPr>
            <w:tcW w:w="988" w:type="dxa"/>
            <w:vAlign w:val="center"/>
            <w:textDirection w:val="lrTb"/>
            <w:noWrap w:val="false"/>
          </w:tcPr>
          <w:p>
            <w:pPr>
              <w:pStyle w:val="957"/>
              <w:jc w:val="center"/>
              <w:rPr>
                <w:rFonts w:hAnsi="宋体"/>
                <w:color w:val="000000"/>
                <w:sz w:val="24"/>
                <w:szCs w:val="24"/>
                <w:highlight w:val="none"/>
              </w:rPr>
            </w:pPr>
            <w:r>
              <w:rPr>
                <w:rFonts w:hint="eastAsia" w:hAnsi="宋体"/>
                <w:color w:val="000000"/>
                <w:sz w:val="24"/>
                <w:szCs w:val="24"/>
                <w:highlight w:val="none"/>
                <w:lang w:val="en-US" w:eastAsia="zh-CN"/>
              </w:rPr>
              <w:t xml:space="preserve">14</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自提交投标文件的截止之日起算</w:t>
            </w:r>
            <w:r>
              <w:rPr>
                <w:rFonts w:ascii="宋体" w:hAnsi="宋体"/>
                <w:color w:val="000000"/>
                <w:sz w:val="24"/>
                <w:highlight w:val="none"/>
                <w:u w:val="single"/>
              </w:rPr>
              <w:t xml:space="preserve">60</w:t>
            </w:r>
            <w:r>
              <w:rPr>
                <w:rFonts w:ascii="宋体" w:hAnsi="宋体"/>
                <w:color w:val="000000"/>
                <w:sz w:val="24"/>
                <w:highlight w:val="none"/>
              </w:rPr>
              <w:t xml:space="preserve">日历天。</w:t>
            </w:r>
            <w:r>
              <w:rPr>
                <w:rFonts w:ascii="宋体" w:hAnsi="宋体"/>
                <w:color w:val="000000"/>
                <w:sz w:val="24"/>
                <w:highlight w:val="none"/>
              </w:rPr>
            </w:r>
            <w:r/>
          </w:p>
        </w:tc>
      </w:tr>
      <w:tr>
        <w:trPr>
          <w:trHeight w:val="20"/>
        </w:trPr>
        <w:tc>
          <w:tcPr>
            <w:tcW w:w="988" w:type="dxa"/>
            <w:vAlign w:val="center"/>
            <w:textDirection w:val="lrTb"/>
            <w:noWrap w:val="false"/>
          </w:tcPr>
          <w:p>
            <w:pPr>
              <w:pStyle w:val="957"/>
              <w:jc w:val="center"/>
              <w:spacing w:line="380" w:lineRule="exact"/>
              <w:rPr>
                <w:rFonts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lang w:val="en-US" w:eastAsia="zh-CN"/>
              </w:rPr>
              <w:t xml:space="preserve">6</w:t>
            </w:r>
            <w:r>
              <w:rPr>
                <w:rFonts w:hAnsi="宋体"/>
                <w:color w:val="000000"/>
                <w:sz w:val="24"/>
                <w:szCs w:val="24"/>
                <w:highlight w:val="none"/>
              </w:rPr>
              <w:t xml:space="preserve">.5</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分包</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本项目的非主体、非关键性工作是否允许分包： </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不允许</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□允许，具体要求：</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（1）可以分包履行的具体内容：_____；</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（2）允许分包的金额或者比例：_____；</w:t>
            </w:r>
            <w:r>
              <w:rPr>
                <w:rFonts w:ascii="宋体" w:hAnsi="宋体"/>
                <w:color w:val="000000"/>
                <w:sz w:val="24"/>
                <w:highlight w:val="none"/>
              </w:rPr>
            </w:r>
            <w:r/>
          </w:p>
          <w:p>
            <w:pPr>
              <w:pStyle w:val="918"/>
              <w:jc w:val="left"/>
              <w:spacing w:line="380" w:lineRule="exact"/>
              <w:rPr>
                <w:rFonts w:ascii="宋体" w:hAnsi="宋体"/>
                <w:color w:val="000000"/>
                <w:sz w:val="24"/>
                <w:highlight w:val="none"/>
                <w:u w:val="single"/>
              </w:rPr>
            </w:pPr>
            <w:r>
              <w:rPr>
                <w:rFonts w:ascii="宋体" w:hAnsi="宋体"/>
                <w:color w:val="000000"/>
                <w:sz w:val="24"/>
                <w:highlight w:val="none"/>
              </w:rPr>
              <w:t xml:space="preserve">（3）其他要求：_____。</w:t>
            </w:r>
            <w:r>
              <w:rPr>
                <w:rFonts w:ascii="宋体" w:hAnsi="宋体"/>
                <w:color w:val="000000"/>
                <w:sz w:val="24"/>
                <w:highlight w:val="none"/>
                <w:u w:val="single"/>
              </w:rPr>
            </w:r>
            <w:r/>
          </w:p>
        </w:tc>
      </w:tr>
      <w:tr>
        <w:trPr>
          <w:trHeight w:val="20"/>
        </w:trPr>
        <w:tc>
          <w:tcPr>
            <w:tcW w:w="988" w:type="dxa"/>
            <w:vAlign w:val="center"/>
            <w:textDirection w:val="lrTb"/>
            <w:noWrap w:val="false"/>
          </w:tcPr>
          <w:p>
            <w:pPr>
              <w:pStyle w:val="957"/>
              <w:jc w:val="center"/>
              <w:rPr>
                <w:rFonts w:hAnsi="宋体"/>
                <w:color w:val="000000"/>
                <w:sz w:val="24"/>
                <w:szCs w:val="24"/>
                <w:highlight w:val="none"/>
              </w:rPr>
            </w:pPr>
            <w:r>
              <w:rPr>
                <w:rFonts w:hint="eastAsia" w:hAnsi="宋体"/>
                <w:color w:val="000000"/>
                <w:sz w:val="24"/>
                <w:szCs w:val="24"/>
                <w:highlight w:val="none"/>
                <w:lang w:val="en-US" w:eastAsia="zh-CN"/>
              </w:rPr>
              <w:t xml:space="preserve">27.1</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询问送达形式：</w:t>
            </w:r>
            <w:r>
              <w:rPr>
                <w:rFonts w:hint="eastAsia" w:ascii="宋体" w:hAnsi="宋体"/>
                <w:color w:val="000000"/>
                <w:sz w:val="24"/>
                <w:highlight w:val="none"/>
                <w:u w:val="single"/>
              </w:rPr>
              <w:t xml:space="preserve">书面形式</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57"/>
              <w:jc w:val="center"/>
              <w:rPr>
                <w:rFonts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lang w:val="en-US" w:eastAsia="zh-CN"/>
              </w:rPr>
              <w:t xml:space="preserve">7.3</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联系方式</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接收询问和质疑的联系方式</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常州盈泰招标有限公司</w:t>
            </w:r>
            <w:r>
              <w:rPr>
                <w:rFonts w:ascii="宋体" w:hAnsi="宋体"/>
                <w:color w:val="000000"/>
                <w:sz w:val="24"/>
                <w:highlight w:val="none"/>
              </w:rPr>
              <w:t xml:space="preserve">；</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0519-89853339</w:t>
            </w:r>
            <w:r>
              <w:rPr>
                <w:rFonts w:ascii="宋体" w:hAnsi="宋体"/>
                <w:color w:val="000000"/>
                <w:sz w:val="24"/>
                <w:highlight w:val="none"/>
              </w:rPr>
              <w:t xml:space="preserve">；</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常州市新北区太湖中路8号锦湖创新中心A座11楼</w:t>
            </w:r>
            <w:r>
              <w:rPr>
                <w:rFonts w:ascii="宋体" w:hAnsi="宋体"/>
                <w:color w:val="000000"/>
                <w:sz w:val="24"/>
                <w:highlight w:val="none"/>
              </w:rPr>
              <w:t xml:space="preserve">。</w:t>
            </w:r>
            <w:r>
              <w:rPr>
                <w:rFonts w:ascii="宋体" w:hAnsi="宋体"/>
                <w:color w:val="000000"/>
                <w:sz w:val="24"/>
                <w:highlight w:val="none"/>
              </w:rPr>
            </w:r>
            <w:r/>
          </w:p>
        </w:tc>
      </w:tr>
      <w:tr>
        <w:trPr>
          <w:trHeight w:val="20"/>
        </w:trPr>
        <w:tc>
          <w:tcPr>
            <w:tcW w:w="988" w:type="dxa"/>
            <w:vAlign w:val="center"/>
            <w:textDirection w:val="lrTb"/>
            <w:noWrap w:val="false"/>
          </w:tcPr>
          <w:p>
            <w:pPr>
              <w:pStyle w:val="957"/>
              <w:jc w:val="center"/>
              <w:rPr>
                <w:rFonts w:hAnsi="宋体"/>
                <w:color w:val="000000"/>
                <w:sz w:val="24"/>
                <w:szCs w:val="24"/>
                <w:highlight w:val="none"/>
              </w:rPr>
            </w:pPr>
            <w:r>
              <w:rPr>
                <w:rFonts w:hAnsi="宋体"/>
                <w:color w:val="000000"/>
                <w:sz w:val="24"/>
                <w:szCs w:val="24"/>
                <w:highlight w:val="none"/>
              </w:rPr>
              <w:t xml:space="preserve">2</w:t>
            </w:r>
            <w:r>
              <w:rPr>
                <w:rFonts w:hint="eastAsia" w:hAnsi="宋体"/>
                <w:color w:val="000000"/>
                <w:sz w:val="24"/>
                <w:szCs w:val="24"/>
                <w:highlight w:val="none"/>
                <w:lang w:val="en-US" w:eastAsia="zh-CN"/>
              </w:rPr>
              <w:t xml:space="preserve">8</w:t>
            </w:r>
            <w:r>
              <w:rPr>
                <w:rFonts w:hAnsi="宋体"/>
                <w:color w:val="000000"/>
                <w:sz w:val="24"/>
                <w:szCs w:val="24"/>
                <w:highlight w:val="none"/>
              </w:rPr>
            </w:r>
            <w:r/>
          </w:p>
        </w:tc>
        <w:tc>
          <w:tcPr>
            <w:tcW w:w="1701" w:type="dxa"/>
            <w:vAlign w:val="center"/>
            <w:textDirection w:val="lrTb"/>
            <w:noWrap w:val="false"/>
          </w:tcPr>
          <w:p>
            <w:pPr>
              <w:pStyle w:val="918"/>
              <w:jc w:val="center"/>
              <w:spacing w:line="380" w:lineRule="exact"/>
              <w:rPr>
                <w:rFonts w:ascii="宋体" w:hAnsi="宋体"/>
                <w:color w:val="000000"/>
                <w:sz w:val="24"/>
                <w:highlight w:val="none"/>
              </w:rPr>
            </w:pPr>
            <w:r>
              <w:rPr>
                <w:rFonts w:ascii="宋体" w:hAnsi="宋体"/>
                <w:color w:val="000000"/>
                <w:sz w:val="24"/>
                <w:highlight w:val="none"/>
              </w:rPr>
              <w:t xml:space="preserve">代理费</w:t>
            </w:r>
            <w:r>
              <w:rPr>
                <w:rFonts w:ascii="宋体" w:hAnsi="宋体"/>
                <w:color w:val="000000"/>
                <w:sz w:val="24"/>
                <w:highlight w:val="none"/>
              </w:rPr>
            </w:r>
            <w:r/>
          </w:p>
        </w:tc>
        <w:tc>
          <w:tcPr>
            <w:tcW w:w="7540" w:type="dxa"/>
            <w:vAlign w:val="center"/>
            <w:textDirection w:val="lrTb"/>
            <w:noWrap w:val="false"/>
          </w:tcPr>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收费对象：</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ascii="宋体" w:hAnsi="宋体"/>
                <w:color w:val="000000"/>
                <w:sz w:val="24"/>
                <w:highlight w:val="none"/>
              </w:rPr>
              <w:t xml:space="preserve">□采购人</w:t>
            </w:r>
            <w:r>
              <w:rPr>
                <w:rFonts w:ascii="宋体" w:hAnsi="宋体"/>
                <w:color w:val="000000"/>
                <w:sz w:val="24"/>
                <w:highlight w:val="none"/>
              </w:rPr>
            </w:r>
            <w:r/>
          </w:p>
          <w:p>
            <w:pPr>
              <w:pStyle w:val="918"/>
              <w:jc w:val="left"/>
              <w:spacing w:line="380" w:lineRule="exact"/>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中标人</w:t>
            </w:r>
            <w:r>
              <w:rPr>
                <w:rFonts w:ascii="宋体" w:hAnsi="宋体"/>
                <w:color w:val="000000"/>
                <w:sz w:val="24"/>
                <w:highlight w:val="none"/>
              </w:rPr>
            </w:r>
            <w:r/>
          </w:p>
          <w:p>
            <w:pPr>
              <w:pStyle w:val="1098"/>
              <w:spacing w:line="380" w:lineRule="exact"/>
              <w:rPr>
                <w:rFonts w:ascii="宋体" w:hAnsi="宋体"/>
                <w:color w:val="000000"/>
                <w:highlight w:val="none"/>
              </w:rPr>
            </w:pPr>
            <w:r>
              <w:rPr>
                <w:rFonts w:hint="eastAsia" w:ascii="宋体" w:hAnsi="宋体"/>
                <w:color w:val="000000"/>
                <w:highlight w:val="none"/>
              </w:rPr>
              <w:t xml:space="preserve">1</w:t>
            </w:r>
            <w:r>
              <w:rPr>
                <w:rFonts w:ascii="宋体" w:hAnsi="宋体"/>
                <w:color w:val="000000"/>
                <w:highlight w:val="none"/>
              </w:rPr>
              <w:t xml:space="preserve">.收费标准：</w:t>
            </w:r>
            <w:r>
              <w:rPr>
                <w:rFonts w:ascii="宋体" w:hAnsi="宋体"/>
                <w:color w:val="000000"/>
                <w:highlight w:val="none"/>
              </w:rPr>
            </w:r>
            <w:r/>
          </w:p>
          <w:tbl>
            <w:tblPr>
              <w:tblW w:w="5437"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tblGrid>
            <w:tr>
              <w:trPr>
                <w:gridAfter w:val="1"/>
                <w:trHeight w:val="422"/>
              </w:trPr>
              <w:tc>
                <w:tcPr>
                  <w:tcW w:w="3027" w:type="dxa"/>
                  <w:vAlign w:val="top"/>
                  <w:textDirection w:val="lrTb"/>
                  <w:noWrap w:val="false"/>
                </w:tcPr>
                <w:p>
                  <w:pPr>
                    <w:pStyle w:val="918"/>
                    <w:ind w:firstLine="1080"/>
                    <w:spacing w:line="440" w:lineRule="exact"/>
                    <w:rPr>
                      <w:rFonts w:hint="eastAsia" w:ascii="宋体" w:hAnsi="宋体" w:cs="宋体"/>
                      <w:color w:val="000000"/>
                      <w:sz w:val="24"/>
                      <w:highlight w:val="none"/>
                    </w:r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314960</wp:posOffset>
                            </wp:positionH>
                            <wp:positionV relativeFrom="paragraph">
                              <wp:posOffset>13335</wp:posOffset>
                            </wp:positionV>
                            <wp:extent cx="1534795" cy="1656715"/>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34795" cy="165671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2;mso-wrap-distance-left:9.0pt;mso-wrap-distance-top:0.0pt;mso-wrap-distance-right:9.0pt;mso-wrap-distance-bottom:0.0pt;flip:xy;visibility:visible;" from="24.8pt,1.1pt" to="145.6pt,131.5pt" filled="f" strokecolor="#000000"/>
                        </w:pict>
                      </mc:Fallback>
                    </mc:AlternateContent>
                  </w: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color w:val="000000"/>
                      <w:sz w:val="24"/>
                      <w:highlight w:val="none"/>
                    </w:rPr>
                    <w:t xml:space="preserve">服</w:t>
                  </w:r>
                  <w:r>
                    <w:rPr>
                      <w:rFonts w:hint="eastAsia" w:ascii="宋体" w:hAnsi="宋体" w:cs="宋体"/>
                      <w:color w:val="000000"/>
                      <w:sz w:val="24"/>
                      <w:highlight w:val="none"/>
                    </w:rPr>
                  </w:r>
                  <w:r/>
                </w:p>
                <w:p>
                  <w:pPr>
                    <w:pStyle w:val="918"/>
                    <w:ind w:firstLine="24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费　　　   务</w:t>
                  </w:r>
                  <w:r>
                    <w:rPr>
                      <w:rFonts w:hint="eastAsia" w:ascii="宋体" w:hAnsi="宋体" w:cs="宋体"/>
                      <w:color w:val="000000"/>
                      <w:sz w:val="24"/>
                      <w:highlight w:val="none"/>
                    </w:rPr>
                  </w:r>
                  <w:r/>
                </w:p>
                <w:p>
                  <w:pPr>
                    <w:pStyle w:val="918"/>
                    <w:ind w:firstLine="1440"/>
                    <w:spacing w:line="440" w:lineRule="exact"/>
                    <w:rPr>
                      <w:rFonts w:hint="eastAsia" w:ascii="宋体" w:hAnsi="宋体" w:cs="宋体"/>
                      <w:color w:val="000000"/>
                      <w:sz w:val="24"/>
                      <w:highlight w:val="none"/>
                    </w:rPr>
                  </w:pPr>
                  <w:r>
                    <w:rPr>
                      <w:rFonts w:hint="eastAsia" w:ascii="宋体" w:hAnsi="宋体" w:cs="宋体"/>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-65404</wp:posOffset>
                            </wp:positionH>
                            <wp:positionV relativeFrom="paragraph">
                              <wp:posOffset>81280</wp:posOffset>
                            </wp:positionV>
                            <wp:extent cx="1915160" cy="1029970"/>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15160" cy="10299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cs="宋体"/>
                      <w:color w:val="000000"/>
                      <w:sz w:val="24"/>
                      <w:highlight w:val="none"/>
                    </w:rPr>
                    <w:t xml:space="preserve">　   类</w:t>
                  </w:r>
                  <w:r>
                    <w:rPr>
                      <w:rFonts w:hint="eastAsia" w:ascii="宋体" w:hAnsi="宋体" w:cs="宋体"/>
                      <w:color w:val="000000"/>
                      <w:sz w:val="24"/>
                      <w:highlight w:val="none"/>
                    </w:rPr>
                  </w:r>
                  <w:r/>
                </w:p>
                <w:p>
                  <w:pPr>
                    <w:pStyle w:val="918"/>
                    <w:ind w:firstLine="120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率　       型</w:t>
                  </w:r>
                  <w:r>
                    <w:rPr>
                      <w:rFonts w:hint="eastAsia" w:ascii="宋体" w:hAnsi="宋体" w:cs="宋体"/>
                      <w:color w:val="000000"/>
                      <w:sz w:val="24"/>
                      <w:highlight w:val="none"/>
                    </w:rPr>
                  </w:r>
                  <w:r/>
                </w:p>
                <w:p>
                  <w:pPr>
                    <w:pStyle w:val="918"/>
                    <w:ind w:firstLine="1200"/>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918"/>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成交金额（万元）</w:t>
                  </w:r>
                  <w:r>
                    <w:rPr>
                      <w:rFonts w:hint="eastAsia" w:ascii="宋体" w:hAnsi="宋体" w:cs="宋体"/>
                      <w:color w:val="000000"/>
                      <w:sz w:val="24"/>
                      <w:highlight w:val="none"/>
                    </w:rPr>
                  </w:r>
                  <w:r/>
                </w:p>
              </w:tc>
              <w:tc>
                <w:tcPr>
                  <w:tcW w:w="2410" w:type="dxa"/>
                  <w:vAlign w:val="center"/>
                  <w:textDirection w:val="lrTb"/>
                  <w:noWrap w:val="false"/>
                </w:tcPr>
                <w:p>
                  <w:pPr>
                    <w:pStyle w:val="91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货物类</w:t>
                  </w:r>
                  <w:r>
                    <w:rPr>
                      <w:rFonts w:hint="eastAsia" w:ascii="宋体" w:hAnsi="宋体" w:cs="宋体"/>
                      <w:color w:val="000000"/>
                      <w:sz w:val="24"/>
                      <w:highlight w:val="none"/>
                    </w:rPr>
                  </w:r>
                  <w:r/>
                </w:p>
              </w:tc>
            </w:tr>
            <w:tr>
              <w:trPr>
                <w:gridAfter w:val="1"/>
                <w:trHeight w:val="330"/>
              </w:trPr>
              <w:tc>
                <w:tcPr>
                  <w:tcW w:w="3027" w:type="dxa"/>
                  <w:vAlign w:val="center"/>
                  <w:textDirection w:val="lrTb"/>
                  <w:noWrap w:val="false"/>
                </w:tcPr>
                <w:p>
                  <w:pPr>
                    <w:pStyle w:val="91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100（含，下同）以下</w:t>
                  </w:r>
                  <w:r>
                    <w:rPr>
                      <w:rFonts w:hint="eastAsia" w:ascii="宋体" w:hAnsi="宋体" w:cs="宋体"/>
                      <w:color w:val="000000"/>
                      <w:sz w:val="24"/>
                      <w:highlight w:val="none"/>
                    </w:rPr>
                  </w:r>
                  <w:r/>
                </w:p>
              </w:tc>
              <w:tc>
                <w:tcPr>
                  <w:tcW w:w="2410" w:type="dxa"/>
                  <w:vAlign w:val="center"/>
                  <w:textDirection w:val="lrTb"/>
                  <w:noWrap w:val="false"/>
                </w:tcPr>
                <w:p>
                  <w:pPr>
                    <w:pStyle w:val="91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r>
            <w:tr>
              <w:trPr>
                <w:gridAfter w:val="1"/>
                <w:trHeight w:val="375"/>
              </w:trPr>
              <w:tc>
                <w:tcPr>
                  <w:tcW w:w="3027" w:type="dxa"/>
                  <w:vAlign w:val="center"/>
                  <w:textDirection w:val="lrTb"/>
                  <w:noWrap w:val="false"/>
                </w:tcPr>
                <w:p>
                  <w:pPr>
                    <w:pStyle w:val="91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100-500</w:t>
                  </w:r>
                  <w:r>
                    <w:rPr>
                      <w:rFonts w:hint="eastAsia" w:ascii="宋体" w:hAnsi="宋体" w:cs="宋体"/>
                      <w:color w:val="000000"/>
                      <w:sz w:val="24"/>
                      <w:highlight w:val="none"/>
                    </w:rPr>
                  </w:r>
                  <w:r/>
                </w:p>
              </w:tc>
              <w:tc>
                <w:tcPr>
                  <w:tcW w:w="2410" w:type="dxa"/>
                  <w:vAlign w:val="center"/>
                  <w:textDirection w:val="lrTb"/>
                  <w:noWrap w:val="false"/>
                </w:tcPr>
                <w:p>
                  <w:pPr>
                    <w:pStyle w:val="91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r>
            <w:tr>
              <w:trPr>
                <w:trHeight w:val="390"/>
              </w:trPr>
              <w:tc>
                <w:tcPr>
                  <w:tcW w:w="3027" w:type="dxa"/>
                  <w:vAlign w:val="center"/>
                  <w:textDirection w:val="lrTb"/>
                  <w:noWrap w:val="false"/>
                </w:tcPr>
                <w:p>
                  <w:pPr>
                    <w:pStyle w:val="91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500—1000</w:t>
                  </w:r>
                  <w:r>
                    <w:rPr>
                      <w:rFonts w:hint="eastAsia" w:ascii="宋体" w:hAnsi="宋体" w:cs="宋体"/>
                      <w:color w:val="000000"/>
                      <w:sz w:val="24"/>
                      <w:highlight w:val="none"/>
                    </w:rPr>
                  </w:r>
                  <w:r/>
                </w:p>
              </w:tc>
              <w:tc>
                <w:tcPr>
                  <w:tcW w:w="2410" w:type="dxa"/>
                  <w:vAlign w:val="center"/>
                  <w:textDirection w:val="lrTb"/>
                  <w:noWrap w:val="false"/>
                </w:tcPr>
                <w:p>
                  <w:pPr>
                    <w:pStyle w:val="91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t xml:space="preserve">0.8%</w:t>
                  </w:r>
                  <w:r>
                    <w:rPr>
                      <w:rFonts w:hint="eastAsia" w:ascii="宋体" w:hAnsi="宋体" w:cs="宋体"/>
                      <w:color w:val="000000"/>
                      <w:sz w:val="24"/>
                      <w:highlight w:val="none"/>
                    </w:rPr>
                  </w:r>
                  <w:r/>
                </w:p>
              </w:tc>
              <w:tc>
                <w:tcPr>
                  <w:tcW w:w="-5442" w:type="auto"/>
                  <w:vAlign w:val="center"/>
                  <w:textDirection w:val="lrTb"/>
                  <w:noWrap w:val="false"/>
                </w:tcPr>
                <w:p>
                  <w:pPr>
                    <w:pStyle w:val="918"/>
                    <w:jc w:val="center"/>
                    <w:spacing w:line="280" w:lineRule="exact"/>
                    <w:rPr>
                      <w:rFonts w:hint="eastAsia" w:ascii="宋体" w:hAnsi="宋体" w:cs="宋体"/>
                      <w:color w:val="000000"/>
                      <w:sz w:val="24"/>
                      <w:highlight w:val="none"/>
                    </w:rPr>
                  </w:pPr>
                  <w:r>
                    <w:rPr>
                      <w:rFonts w:hint="eastAsia" w:ascii="宋体" w:hAnsi="宋体" w:cs="宋体"/>
                      <w:color w:val="000000"/>
                      <w:sz w:val="24"/>
                      <w:highlight w:val="none"/>
                    </w:rPr>
                  </w:r>
                  <w:r/>
                </w:p>
              </w:tc>
            </w:tr>
            <w:tr>
              <w:trPr>
                <w:gridAfter w:val="1"/>
                <w:trHeight w:val="303"/>
              </w:trPr>
              <w:tc>
                <w:tcPr>
                  <w:tcW w:w="3027" w:type="dxa"/>
                  <w:vAlign w:val="center"/>
                  <w:textDirection w:val="lrTb"/>
                  <w:noWrap w:val="false"/>
                </w:tcPr>
                <w:p>
                  <w:pPr>
                    <w:pStyle w:val="91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c>
                <w:tcPr>
                  <w:tcW w:w="2410" w:type="dxa"/>
                  <w:vAlign w:val="center"/>
                  <w:textDirection w:val="lrTb"/>
                  <w:noWrap w:val="false"/>
                </w:tcPr>
                <w:p>
                  <w:pPr>
                    <w:pStyle w:val="918"/>
                    <w:jc w:val="cente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bl>
          <w:p>
            <w:pPr>
              <w:pStyle w:val="918"/>
              <w:jc w:val="left"/>
              <w:spacing w:line="380" w:lineRule="exact"/>
              <w:rPr>
                <w:rFonts w:hint="eastAsia" w:ascii="宋体" w:hAnsi="宋体"/>
                <w:color w:val="000000"/>
                <w:sz w:val="24"/>
                <w:highlight w:val="none"/>
              </w:rPr>
            </w:pPr>
            <w:r>
              <w:rPr>
                <w:rFonts w:hint="eastAsia" w:ascii="宋体" w:hAnsi="宋体"/>
                <w:color w:val="000000"/>
                <w:sz w:val="24"/>
                <w:highlight w:val="none"/>
              </w:rPr>
              <w:t xml:space="preserve">2.代理服务收费按差额定率累进法计算。</w:t>
            </w:r>
            <w:r>
              <w:rPr>
                <w:rFonts w:hint="eastAsia" w:ascii="宋体" w:hAnsi="宋体"/>
                <w:color w:val="000000"/>
                <w:sz w:val="24"/>
                <w:highlight w:val="none"/>
              </w:rPr>
            </w:r>
            <w:r/>
          </w:p>
          <w:p>
            <w:pPr>
              <w:pStyle w:val="918"/>
              <w:jc w:val="left"/>
              <w:spacing w:line="38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color w:val="000000"/>
                <w:highlight w:val="none"/>
              </w:rPr>
              <w:t xml:space="preserve"> </w:t>
            </w:r>
            <w:r>
              <w:rPr>
                <w:rFonts w:hint="eastAsia" w:ascii="宋体" w:hAnsi="宋体"/>
                <w:color w:val="000000"/>
                <w:sz w:val="24"/>
                <w:highlight w:val="none"/>
              </w:rPr>
              <w:t xml:space="preserve">代理服务费以</w:t>
            </w:r>
            <w:r>
              <w:rPr>
                <w:rFonts w:hint="eastAsia" w:ascii="宋体" w:hAnsi="宋体"/>
                <w:b/>
                <w:bCs/>
                <w:color w:val="000000"/>
                <w:sz w:val="24"/>
                <w:highlight w:val="none"/>
              </w:rPr>
              <w:t xml:space="preserve">项目成交金额</w:t>
            </w:r>
            <w:r>
              <w:rPr>
                <w:rFonts w:hint="eastAsia" w:ascii="宋体" w:hAnsi="宋体"/>
                <w:color w:val="000000"/>
                <w:sz w:val="24"/>
                <w:highlight w:val="none"/>
              </w:rPr>
              <w:t xml:space="preserve">为基数，按上述收费标准的48%计算。</w:t>
            </w:r>
            <w:r>
              <w:rPr>
                <w:rFonts w:hint="eastAsia" w:ascii="宋体" w:hAnsi="宋体"/>
                <w:color w:val="000000"/>
                <w:sz w:val="24"/>
                <w:highlight w:val="none"/>
              </w:rPr>
            </w:r>
            <w:r/>
          </w:p>
          <w:p>
            <w:pPr>
              <w:pStyle w:val="1098"/>
              <w:rPr>
                <w:rFonts w:hint="eastAsia" w:ascii="宋体" w:hAnsi="宋体" w:cs="宋体"/>
                <w:b/>
                <w:bCs/>
                <w:color w:val="000000"/>
                <w:highlight w:val="none"/>
              </w:rPr>
            </w:pPr>
            <w:r>
              <w:rPr>
                <w:rFonts w:hint="eastAsia" w:ascii="宋体" w:hAnsi="宋体"/>
                <w:color w:val="000000"/>
                <w:highlight w:val="none"/>
              </w:rPr>
              <w:t xml:space="preserve">4.</w:t>
            </w:r>
            <w:r>
              <w:rPr>
                <w:bCs/>
                <w:color w:val="000000"/>
                <w:highlight w:val="none"/>
              </w:rPr>
              <w:t xml:space="preserve">代理费按上述计算方法不足人民币元的，按人民币元收取。</w:t>
            </w:r>
            <w:r>
              <w:rPr>
                <w:rFonts w:hint="eastAsia" w:ascii="宋体" w:hAnsi="宋体" w:cs="宋体"/>
                <w:b/>
                <w:bCs/>
                <w:color w:val="000000"/>
                <w:highlight w:val="none"/>
              </w:rPr>
            </w:r>
            <w:r/>
          </w:p>
          <w:p>
            <w:pPr>
              <w:pStyle w:val="918"/>
              <w:jc w:val="left"/>
              <w:spacing w:line="380" w:lineRule="exact"/>
              <w:rPr>
                <w:rFonts w:hint="eastAsia" w:ascii="宋体" w:hAnsi="宋体"/>
                <w:color w:val="000000"/>
                <w:sz w:val="24"/>
                <w:highlight w:val="none"/>
                <w:u w:val="single"/>
              </w:rPr>
            </w:pPr>
            <w:r>
              <w:rPr>
                <w:rFonts w:hint="eastAsia" w:ascii="宋体" w:hAnsi="宋体"/>
                <w:color w:val="000000"/>
                <w:sz w:val="24"/>
                <w:highlight w:val="none"/>
              </w:rPr>
              <w:t xml:space="preserve">5.缴纳时间：</w:t>
            </w:r>
            <w:r>
              <w:rPr>
                <w:rFonts w:hint="eastAsia" w:ascii="宋体" w:hAnsi="宋体"/>
                <w:color w:val="000000"/>
                <w:sz w:val="24"/>
                <w:highlight w:val="none"/>
                <w:u w:val="single"/>
              </w:rPr>
              <w:t xml:space="preserve">中标供应商应在领取中标通知书时将代理服务费付至采购代理机构指定的账户：</w:t>
            </w:r>
            <w:r>
              <w:rPr>
                <w:rFonts w:hint="eastAsia" w:ascii="宋体" w:hAnsi="宋体"/>
                <w:color w:val="000000"/>
                <w:sz w:val="24"/>
                <w:highlight w:val="none"/>
                <w:u w:val="single"/>
              </w:rPr>
            </w:r>
            <w:r/>
          </w:p>
          <w:p>
            <w:pPr>
              <w:pStyle w:val="918"/>
              <w:jc w:val="left"/>
              <w:spacing w:line="380" w:lineRule="exact"/>
              <w:rPr>
                <w:rFonts w:hint="eastAsia" w:ascii="宋体" w:hAnsi="宋体"/>
                <w:color w:val="000000"/>
                <w:sz w:val="24"/>
                <w:highlight w:val="none"/>
              </w:rPr>
            </w:pPr>
            <w:r>
              <w:rPr>
                <w:rFonts w:hint="eastAsia" w:ascii="宋体" w:hAnsi="宋体"/>
                <w:color w:val="000000"/>
                <w:sz w:val="24"/>
                <w:highlight w:val="none"/>
              </w:rPr>
              <w:t xml:space="preserve">收款单位：常州盈泰招标有限公司</w:t>
            </w:r>
            <w:r>
              <w:rPr>
                <w:rFonts w:hint="eastAsia" w:ascii="宋体" w:hAnsi="宋体"/>
                <w:color w:val="000000"/>
                <w:sz w:val="24"/>
                <w:highlight w:val="none"/>
              </w:rPr>
            </w:r>
            <w:r/>
          </w:p>
          <w:p>
            <w:pPr>
              <w:pStyle w:val="918"/>
              <w:jc w:val="left"/>
              <w:spacing w:line="380" w:lineRule="exact"/>
              <w:rPr>
                <w:rFonts w:hint="eastAsia" w:ascii="宋体" w:hAnsi="宋体"/>
                <w:color w:val="000000"/>
                <w:sz w:val="24"/>
                <w:highlight w:val="none"/>
              </w:rPr>
            </w:pPr>
            <w:r>
              <w:rPr>
                <w:rFonts w:hint="eastAsia" w:ascii="宋体" w:hAnsi="宋体"/>
                <w:color w:val="000000"/>
                <w:sz w:val="24"/>
                <w:highlight w:val="none"/>
              </w:rPr>
              <w:t xml:space="preserve">开户银行：中国建设银行常州市延陵路支行</w:t>
            </w:r>
            <w:r>
              <w:rPr>
                <w:rFonts w:hint="eastAsia" w:ascii="宋体" w:hAnsi="宋体"/>
                <w:color w:val="000000"/>
                <w:sz w:val="24"/>
                <w:highlight w:val="none"/>
              </w:rPr>
            </w:r>
            <w:r/>
          </w:p>
          <w:p>
            <w:pPr>
              <w:pStyle w:val="918"/>
              <w:jc w:val="left"/>
              <w:spacing w:line="380" w:lineRule="exact"/>
              <w:rPr>
                <w:rFonts w:ascii="宋体" w:hAnsi="宋体"/>
                <w:color w:val="000000"/>
                <w:sz w:val="24"/>
                <w:highlight w:val="none"/>
              </w:rPr>
            </w:pPr>
            <w:r>
              <w:rPr>
                <w:rFonts w:hint="eastAsia" w:ascii="宋体" w:hAnsi="宋体"/>
                <w:color w:val="000000"/>
                <w:sz w:val="24"/>
                <w:highlight w:val="none"/>
              </w:rPr>
              <w:t xml:space="preserve">银行账号：32050162853600001068</w:t>
            </w:r>
            <w:r>
              <w:rPr>
                <w:rFonts w:ascii="宋体" w:hAnsi="宋体"/>
                <w:color w:val="000000"/>
                <w:sz w:val="24"/>
                <w:highlight w:val="none"/>
              </w:rPr>
            </w:r>
            <w:r/>
          </w:p>
        </w:tc>
      </w:tr>
    </w:tbl>
    <w:p>
      <w:pPr>
        <w:pStyle w:val="918"/>
        <w:jc w:val="both"/>
        <w:spacing w:line="380" w:lineRule="exact"/>
        <w:tabs>
          <w:tab w:val="left" w:pos="5580" w:leader="none"/>
        </w:tabs>
        <w:rPr>
          <w:rFonts w:ascii="宋体" w:hAnsi="宋体"/>
          <w:color w:val="000000"/>
          <w:sz w:val="24"/>
          <w:highlight w:val="none"/>
        </w:rPr>
        <w:sectPr>
          <w:footerReference w:type="default" r:id="rId20"/>
          <w:footerReference w:type="first" r:id="rId21"/>
          <w:footnotePr/>
          <w:endnotePr/>
          <w:type w:val="nextPage"/>
          <w:pgSz w:w="11907" w:h="16840" w:orient="portrait"/>
          <w:pgMar w:top="1418" w:right="1134" w:bottom="1418" w:left="1501" w:header="851" w:footer="851" w:gutter="0"/>
          <w:pgNumType w:start="1"/>
          <w:cols w:num="1" w:sep="0" w:space="1701" w:equalWidth="1"/>
          <w:docGrid w:linePitch="360"/>
          <w:titlePg/>
        </w:sectPr>
      </w:pPr>
      <w:r>
        <w:rPr>
          <w:rFonts w:ascii="宋体" w:hAnsi="宋体"/>
          <w:color w:val="000000"/>
          <w:sz w:val="24"/>
          <w:highlight w:val="none"/>
        </w:rPr>
      </w:r>
      <w:r/>
    </w:p>
    <w:p>
      <w:pPr>
        <w:pStyle w:val="918"/>
        <w:jc w:val="center"/>
        <w:spacing w:before="240" w:after="240"/>
        <w:rPr>
          <w:rFonts w:ascii="宋体" w:hAnsi="宋体"/>
          <w:b/>
          <w:color w:val="000000"/>
          <w:sz w:val="28"/>
          <w:szCs w:val="28"/>
          <w:highlight w:val="none"/>
        </w:rPr>
      </w:pPr>
      <w:r/>
      <w:bookmarkStart w:id="77" w:name="_Toc142311019"/>
      <w:r/>
      <w:bookmarkStart w:id="78" w:name="_Toc305158785"/>
      <w:r/>
      <w:bookmarkStart w:id="79" w:name="_Toc127151517"/>
      <w:r/>
      <w:bookmarkStart w:id="80" w:name="_Toc150774722"/>
      <w:r/>
      <w:bookmarkStart w:id="81" w:name="_Toc226337213"/>
      <w:r/>
      <w:bookmarkStart w:id="82" w:name="_Toc264969207"/>
      <w:r/>
      <w:bookmarkStart w:id="83" w:name="_Toc150480755"/>
      <w:r/>
      <w:bookmarkStart w:id="84" w:name="_Toc353873932"/>
      <w:r/>
      <w:bookmarkStart w:id="85" w:name="_Toc353873662"/>
      <w:r/>
      <w:bookmarkStart w:id="86" w:name="_Toc265228355"/>
      <w:r/>
      <w:bookmarkStart w:id="87" w:name="_Toc195842882"/>
      <w:r/>
      <w:bookmarkStart w:id="88" w:name="_Toc353825542"/>
      <w:r/>
      <w:bookmarkStart w:id="89" w:name="_Toc305158859"/>
      <w:r/>
      <w:bookmarkStart w:id="90" w:name="_Toc226965790"/>
      <w:r>
        <w:rPr>
          <w:rFonts w:ascii="宋体" w:hAnsi="宋体"/>
          <w:b/>
          <w:color w:val="000000"/>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b/>
          <w:color w:val="000000"/>
          <w:sz w:val="28"/>
          <w:szCs w:val="28"/>
          <w:highlight w:val="none"/>
        </w:rPr>
      </w:r>
      <w:r/>
    </w:p>
    <w:p>
      <w:pPr>
        <w:pStyle w:val="920"/>
        <w:jc w:val="left"/>
        <w:spacing w:before="0" w:line="360" w:lineRule="auto"/>
        <w:tabs>
          <w:tab w:val="center" w:pos="4592" w:leader="none"/>
          <w:tab w:val="left" w:pos="7860" w:leader="none"/>
        </w:tabs>
        <w:rPr>
          <w:rFonts w:ascii="宋体" w:hAnsi="宋体" w:eastAsia="宋体"/>
          <w:color w:val="000000"/>
          <w:sz w:val="28"/>
          <w:highlight w:val="none"/>
        </w:rPr>
      </w:pPr>
      <w:r/>
      <w:bookmarkStart w:id="91" w:name="_Toc520356143"/>
      <w:r/>
      <w:bookmarkStart w:id="92" w:name="_Toc127151518"/>
      <w:r>
        <w:rPr>
          <w:rFonts w:ascii="宋体" w:hAnsi="宋体" w:eastAsia="宋体"/>
          <w:color w:val="000000"/>
          <w:sz w:val="28"/>
          <w:highlight w:val="none"/>
        </w:rPr>
        <w:tab/>
      </w:r>
      <w:bookmarkStart w:id="93" w:name="_Toc264969208"/>
      <w:r/>
      <w:bookmarkStart w:id="94" w:name="_Toc150509269"/>
      <w:r/>
      <w:bookmarkStart w:id="95" w:name="_Toc151193688"/>
      <w:r/>
      <w:bookmarkStart w:id="96" w:name="_Toc151193760"/>
      <w:r/>
      <w:bookmarkStart w:id="97" w:name="_Toc151193906"/>
      <w:r/>
      <w:bookmarkStart w:id="98" w:name="_Toc226309762"/>
      <w:r/>
      <w:bookmarkStart w:id="99" w:name="_Toc305158786"/>
      <w:r/>
      <w:bookmarkStart w:id="100" w:name="_Toc151193616"/>
      <w:r/>
      <w:bookmarkStart w:id="101" w:name="_Toc150774723"/>
      <w:r/>
      <w:bookmarkStart w:id="102" w:name="_Toc142311020"/>
      <w:r/>
      <w:bookmarkStart w:id="103" w:name="_Toc150774618"/>
      <w:r/>
      <w:bookmarkStart w:id="104" w:name="_Toc151190145"/>
      <w:r/>
      <w:bookmarkStart w:id="105" w:name="_Toc226965791"/>
      <w:r/>
      <w:bookmarkStart w:id="106" w:name="_Toc150480756"/>
      <w:r/>
      <w:bookmarkStart w:id="107" w:name="_Toc226337214"/>
      <w:r/>
      <w:bookmarkStart w:id="108" w:name="_Toc195842883"/>
      <w:r/>
      <w:bookmarkStart w:id="109" w:name="_Toc265228356"/>
      <w:r/>
      <w:bookmarkStart w:id="110" w:name="_Toc226965708"/>
      <w:r/>
      <w:bookmarkStart w:id="111" w:name="_Toc151193832"/>
      <w:r/>
      <w:bookmarkStart w:id="112" w:name="_Toc305158860"/>
      <w:r>
        <w:rPr>
          <w:rFonts w:ascii="宋体" w:hAnsi="宋体" w:eastAsia="宋体"/>
          <w:color w:val="000000"/>
          <w:sz w:val="28"/>
          <w:highlight w:val="none"/>
        </w:rPr>
        <w:t xml:space="preserve">一   说  明</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rPr>
          <w:rFonts w:ascii="宋体" w:hAnsi="宋体" w:eastAsia="宋体"/>
          <w:color w:val="000000"/>
          <w:sz w:val="28"/>
          <w:highlight w:val="none"/>
        </w:rPr>
        <w:tab/>
      </w:r>
      <w:r>
        <w:rPr>
          <w:rFonts w:ascii="宋体" w:hAnsi="宋体" w:eastAsia="宋体"/>
          <w:color w:val="000000"/>
          <w:sz w:val="28"/>
          <w:highlight w:val="none"/>
        </w:rPr>
      </w:r>
      <w:r/>
    </w:p>
    <w:p>
      <w:pPr>
        <w:pStyle w:val="918"/>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3" w:name="_Toc305158787"/>
      <w:r/>
      <w:bookmarkStart w:id="114" w:name="_Toc264969209"/>
      <w:r/>
      <w:bookmarkStart w:id="115" w:name="_Toc265228357"/>
      <w:r/>
      <w:bookmarkStart w:id="116" w:name="_Toc305158861"/>
      <w:r>
        <w:rPr>
          <w:rFonts w:ascii="宋体" w:hAnsi="宋体"/>
          <w:color w:val="000000"/>
          <w:sz w:val="24"/>
          <w:highlight w:val="none"/>
        </w:rPr>
        <w:t xml:space="preserve">采购人、采购代理机构、投标人</w:t>
      </w:r>
      <w:bookmarkEnd w:id="113"/>
      <w:r/>
      <w:bookmarkEnd w:id="114"/>
      <w:r/>
      <w:bookmarkEnd w:id="115"/>
      <w:r/>
      <w:bookmarkEnd w:id="116"/>
      <w:r>
        <w:rPr>
          <w:rFonts w:hint="eastAsia" w:ascii="宋体" w:hAnsi="宋体"/>
          <w:color w:val="000000"/>
          <w:sz w:val="24"/>
          <w:highlight w:val="none"/>
        </w:rPr>
        <w:t xml:space="preserve">、联合体</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投标人（也称</w:t>
      </w:r>
      <w:r>
        <w:rPr>
          <w:rFonts w:hint="eastAsia" w:ascii="宋体" w:hAnsi="宋体"/>
          <w:color w:val="000000"/>
          <w:sz w:val="24"/>
          <w:highlight w:val="none"/>
        </w:rPr>
        <w:t xml:space="preserve">“供应商”、“</w:t>
      </w:r>
      <w:r>
        <w:rPr>
          <w:rFonts w:ascii="宋体" w:hAnsi="宋体"/>
          <w:color w:val="000000"/>
          <w:sz w:val="24"/>
          <w:highlight w:val="none"/>
        </w:rPr>
        <w:t xml:space="preserve">申请人</w:t>
      </w:r>
      <w:r>
        <w:rPr>
          <w:rFonts w:hint="eastAsia" w:ascii="宋体" w:hAnsi="宋体"/>
          <w:color w:val="000000"/>
          <w:sz w:val="24"/>
          <w:highlight w:val="none"/>
        </w:rPr>
        <w:t xml:space="preserve">”</w:t>
      </w:r>
      <w:r>
        <w:rPr>
          <w:rFonts w:ascii="宋体" w:hAnsi="宋体"/>
          <w:color w:val="000000"/>
          <w:sz w:val="24"/>
          <w:highlight w:val="none"/>
        </w:rPr>
        <w:t xml:space="preserve">）：指向采购人提供货物、工程或者服务的法人、其他组织或者自然人。</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hint="eastAsia" w:ascii="宋体" w:hAnsi="宋体"/>
          <w:color w:val="000000"/>
          <w:sz w:val="24"/>
          <w:highlight w:val="none"/>
        </w:rPr>
        <w:t xml:space="preserve">联合体：指两个以上的自然人、法人或者其他组织组成一个联合体，以一个供应商的身份共同参加政府采购。</w:t>
      </w:r>
      <w:r>
        <w:rPr>
          <w:rFonts w:ascii="宋体" w:hAnsi="宋体"/>
          <w:color w:val="000000"/>
          <w:sz w:val="24"/>
          <w:highlight w:val="none"/>
        </w:rPr>
      </w:r>
      <w:r/>
    </w:p>
    <w:p>
      <w:pPr>
        <w:pStyle w:val="918"/>
        <w:numPr>
          <w:ilvl w:val="0"/>
          <w:numId w:val="8"/>
        </w:numPr>
        <w:ind w:left="357" w:hanging="357"/>
        <w:spacing w:line="360" w:lineRule="auto"/>
        <w:tabs>
          <w:tab w:val="left" w:pos="360" w:leader="none"/>
        </w:tabs>
        <w:rPr>
          <w:rFonts w:ascii="宋体" w:hAnsi="宋体"/>
          <w:color w:val="000000"/>
          <w:sz w:val="24"/>
          <w:highlight w:val="none"/>
        </w:rPr>
        <w:outlineLvl w:val="1"/>
      </w:pPr>
      <w:r/>
      <w:bookmarkStart w:id="117" w:name="_Toc127151520"/>
      <w:r/>
      <w:bookmarkStart w:id="118" w:name="_Toc127161434"/>
      <w:r/>
      <w:bookmarkStart w:id="119" w:name="_Toc151193690"/>
      <w:r/>
      <w:bookmarkStart w:id="120" w:name="_Toc195842885"/>
      <w:r/>
      <w:bookmarkStart w:id="121" w:name="_Toc151193908"/>
      <w:r/>
      <w:bookmarkStart w:id="122" w:name="_Toc226309764"/>
      <w:r/>
      <w:bookmarkStart w:id="123" w:name="_Toc164608789"/>
      <w:r/>
      <w:bookmarkStart w:id="124" w:name="_Toc226965793"/>
      <w:r/>
      <w:bookmarkStart w:id="125" w:name="_Toc164351614"/>
      <w:r/>
      <w:bookmarkStart w:id="126" w:name="_Toc149720813"/>
      <w:r/>
      <w:bookmarkStart w:id="127" w:name="_Toc142311022"/>
      <w:r/>
      <w:bookmarkStart w:id="128" w:name="_Toc265228358"/>
      <w:r/>
      <w:bookmarkStart w:id="129" w:name="_Toc264969210"/>
      <w:r/>
      <w:bookmarkStart w:id="130" w:name="_Toc305158788"/>
      <w:r/>
      <w:bookmarkStart w:id="131" w:name="_Toc151193762"/>
      <w:r/>
      <w:bookmarkStart w:id="132" w:name="_Toc164229215"/>
      <w:r/>
      <w:bookmarkStart w:id="133" w:name="_Toc150509271"/>
      <w:r/>
      <w:bookmarkStart w:id="134" w:name="_Toc151193618"/>
      <w:r/>
      <w:bookmarkStart w:id="135" w:name="_Toc151190147"/>
      <w:r/>
      <w:bookmarkStart w:id="136" w:name="_Toc150480758"/>
      <w:r/>
      <w:bookmarkStart w:id="137" w:name="_Toc150774725"/>
      <w:r/>
      <w:bookmarkStart w:id="138" w:name="_Toc127151721"/>
      <w:r/>
      <w:bookmarkStart w:id="139" w:name="_Toc305158862"/>
      <w:r/>
      <w:bookmarkStart w:id="140" w:name="_Toc150774620"/>
      <w:r/>
      <w:bookmarkStart w:id="141" w:name="_Toc164608634"/>
      <w:r/>
      <w:bookmarkStart w:id="142" w:name="_Toc151193834"/>
      <w:r/>
      <w:bookmarkStart w:id="143" w:name="_Toc226337216"/>
      <w:r/>
      <w:bookmarkStart w:id="144" w:name="_Toc164229361"/>
      <w:r/>
      <w:bookmarkStart w:id="145" w:name="_Toc226965710"/>
      <w:r>
        <w:rPr>
          <w:rFonts w:ascii="宋体" w:hAnsi="宋体"/>
          <w:color w:val="000000"/>
          <w:sz w:val="24"/>
          <w:highlight w:val="none"/>
        </w:rPr>
        <w:t xml:space="preserve">资金来源</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rPr>
          <w:rFonts w:ascii="宋体" w:hAnsi="宋体"/>
          <w:color w:val="000000"/>
          <w:sz w:val="24"/>
          <w:highlight w:val="none"/>
        </w:rPr>
        <w:t xml:space="preserve">、项目属性、科研仪器设备采购、核心产品</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资金来源为财政性资金和/或本项目采购中无法与财政性资金分割的非财政性资金。</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项目属性见《投标人须知资料表》。</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是否属于科研仪器设备采购见《投标人须知资料表》。</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 w:val="left" w:pos="5521" w:leader="none"/>
        </w:tabs>
        <w:rPr>
          <w:rFonts w:ascii="宋体" w:hAnsi="宋体"/>
          <w:color w:val="000000"/>
          <w:sz w:val="24"/>
          <w:highlight w:val="none"/>
        </w:rPr>
      </w:pPr>
      <w:r>
        <w:rPr>
          <w:rFonts w:ascii="宋体" w:hAnsi="宋体"/>
          <w:color w:val="000000"/>
          <w:sz w:val="24"/>
          <w:highlight w:val="none"/>
        </w:rPr>
        <w:t xml:space="preserve">核心产品见《投标人须知资料表》。</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现场考察、开标前答疑会</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8"/>
          <w:highlight w:val="none"/>
        </w:rPr>
      </w:pPr>
      <w:r>
        <w:rPr>
          <w:rFonts w:ascii="宋体" w:hAnsi="宋体"/>
          <w:color w:val="000000"/>
          <w:sz w:val="24"/>
          <w:highlight w:val="none"/>
        </w:rPr>
        <w:t xml:space="preserve">若《投标人须知资料表》中规定了组织现场考察、召开开标前答疑会，则投标人应按要求在规定的时间和地点参加。</w:t>
      </w:r>
      <w:bookmarkStart w:id="146" w:name="_Toc265228360"/>
      <w:r/>
      <w:bookmarkStart w:id="147" w:name="_Toc226337218"/>
      <w:r/>
      <w:bookmarkStart w:id="148" w:name="_Toc150480760"/>
      <w:r/>
      <w:bookmarkStart w:id="149" w:name="_Toc150509273"/>
      <w:r/>
      <w:bookmarkStart w:id="150" w:name="_Toc305158864"/>
      <w:r/>
      <w:bookmarkStart w:id="151" w:name="_Toc151193836"/>
      <w:r/>
      <w:bookmarkStart w:id="152" w:name="_Toc195842887"/>
      <w:r/>
      <w:bookmarkStart w:id="153" w:name="_Toc151193910"/>
      <w:r/>
      <w:bookmarkStart w:id="154" w:name="_Toc305158790"/>
      <w:r/>
      <w:bookmarkStart w:id="155" w:name="_Toc150774727"/>
      <w:r/>
      <w:bookmarkStart w:id="156" w:name="_Toc226309766"/>
      <w:r/>
      <w:bookmarkStart w:id="157" w:name="_Toc226965795"/>
      <w:r/>
      <w:bookmarkStart w:id="158" w:name="_Toc151193764"/>
      <w:r/>
      <w:bookmarkStart w:id="159" w:name="_Toc151193692"/>
      <w:r/>
      <w:bookmarkStart w:id="160" w:name="_Toc226965712"/>
      <w:r/>
      <w:bookmarkStart w:id="161" w:name="_Toc127151522"/>
      <w:r/>
      <w:bookmarkStart w:id="162" w:name="_Toc151193620"/>
      <w:r/>
      <w:bookmarkStart w:id="163" w:name="_Toc520356146"/>
      <w:r/>
      <w:bookmarkStart w:id="164" w:name="_Toc142311024"/>
      <w:r/>
      <w:bookmarkStart w:id="165" w:name="_Toc150774622"/>
      <w:r/>
      <w:bookmarkStart w:id="166" w:name="_Toc264969212"/>
      <w:r/>
      <w:bookmarkStart w:id="167" w:name="_Toc151190149"/>
      <w:r>
        <w:rPr>
          <w:rFonts w:ascii="宋体" w:hAnsi="宋体"/>
          <w:color w:val="000000"/>
          <w:sz w:val="28"/>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样品</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样品的评审方法以及评审标准等内容见第四章《评标方法和评标标准》。</w:t>
      </w:r>
      <w:r>
        <w:rPr>
          <w:rFonts w:ascii="宋体" w:hAnsi="宋体"/>
          <w:color w:val="000000"/>
          <w:sz w:val="24"/>
          <w:highlight w:val="none"/>
        </w:rPr>
      </w:r>
      <w:r/>
    </w:p>
    <w:p>
      <w:pPr>
        <w:pStyle w:val="918"/>
        <w:numPr>
          <w:ilvl w:val="0"/>
          <w:numId w:val="8"/>
        </w:numPr>
        <w:ind w:left="357" w:hanging="357"/>
        <w:spacing w:line="360" w:lineRule="auto"/>
        <w:tabs>
          <w:tab w:val="left" w:pos="360" w:leader="none"/>
        </w:tabs>
        <w:rPr>
          <w:rFonts w:ascii="宋体" w:hAnsi="宋体"/>
          <w:color w:val="000000"/>
          <w:sz w:val="24"/>
          <w:highlight w:val="none"/>
        </w:rPr>
        <w:outlineLvl w:val="1"/>
      </w:pPr>
      <w:r>
        <w:rPr>
          <w:rFonts w:ascii="宋体" w:hAnsi="宋体"/>
          <w:color w:val="000000"/>
          <w:sz w:val="24"/>
          <w:highlight w:val="none"/>
        </w:rPr>
        <w:t xml:space="preserve">政府采购政策（包括但不限于下列具体政策要求）</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18"/>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中小企业、监狱企业及残疾人福利性单位</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中小企业定义：</w:t>
      </w:r>
      <w:r>
        <w:rPr>
          <w:rFonts w:ascii="宋体" w:hAnsi="宋体"/>
          <w:color w:val="000000"/>
          <w:sz w:val="24"/>
          <w:highlight w:val="none"/>
        </w:rPr>
      </w:r>
      <w:r/>
    </w:p>
    <w:p>
      <w:pPr>
        <w:pStyle w:val="1014"/>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14"/>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14"/>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14"/>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14"/>
        <w:numPr>
          <w:ilvl w:val="0"/>
          <w:numId w:val="9"/>
        </w:numPr>
        <w:spacing w:line="360" w:lineRule="auto"/>
        <w:tabs>
          <w:tab w:val="left" w:pos="900"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14"/>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14"/>
        <w:numPr>
          <w:ilvl w:val="1"/>
          <w:numId w:val="9"/>
        </w:numPr>
        <w:spacing w:line="360" w:lineRule="auto"/>
        <w:tabs>
          <w:tab w:val="left" w:pos="1589" w:leader="none"/>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14"/>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中小企业是</w:t>
      </w:r>
      <w:r>
        <w:rPr>
          <w:rFonts w:ascii="宋体" w:hAnsi="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olor w:val="000000"/>
          <w:sz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供应商提供的货物、工程或者服务符合下列情形的，享受中小企业扶持政策：</w:t>
      </w:r>
      <w:r>
        <w:rPr>
          <w:rFonts w:ascii="宋体" w:hAnsi="宋体"/>
          <w:color w:val="000000"/>
          <w:sz w:val="24"/>
          <w:highlight w:val="none"/>
        </w:rPr>
      </w:r>
      <w:r/>
    </w:p>
    <w:p>
      <w:pPr>
        <w:pStyle w:val="918"/>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（1）在货物采购项目中，货物由中小企业制造，即货物由中小企业生产且使用该中小企业商号或者注册商标；</w:t>
      </w:r>
      <w:r>
        <w:rPr>
          <w:rFonts w:ascii="宋体" w:hAnsi="宋体"/>
          <w:color w:val="000000"/>
          <w:sz w:val="24"/>
          <w:highlight w:val="none"/>
        </w:rPr>
      </w:r>
      <w:r/>
    </w:p>
    <w:p>
      <w:pPr>
        <w:pStyle w:val="918"/>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（2）在工程采购项目中，工程由中小企业承建，即工程施工单位为中小企业；</w:t>
      </w:r>
      <w:r>
        <w:rPr>
          <w:rFonts w:ascii="宋体" w:hAnsi="宋体"/>
          <w:color w:val="000000"/>
          <w:sz w:val="24"/>
          <w:highlight w:val="none"/>
        </w:rPr>
      </w:r>
      <w:r/>
    </w:p>
    <w:p>
      <w:pPr>
        <w:pStyle w:val="918"/>
        <w:ind w:left="2835"/>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（3）在服务采购项目中，服务由中小企业承接，即提供服务的人员为中小企业依照《中华人民共和国劳动</w:t>
      </w:r>
      <w:r>
        <w:rPr>
          <w:rFonts w:hint="eastAsia" w:ascii="宋体" w:hAnsi="宋体"/>
          <w:color w:val="000000"/>
          <w:sz w:val="24"/>
          <w:highlight w:val="none"/>
        </w:rPr>
        <w:t xml:space="preserve">合同法</w:t>
      </w:r>
      <w:r>
        <w:rPr>
          <w:rFonts w:ascii="宋体" w:hAnsi="宋体"/>
          <w:color w:val="000000"/>
          <w:sz w:val="24"/>
          <w:highlight w:val="none"/>
        </w:rPr>
        <w:t xml:space="preserve">》订立劳动合同的从业人员。</w:t>
      </w:r>
      <w:r>
        <w:rPr>
          <w:rFonts w:ascii="宋体" w:hAnsi="宋体"/>
          <w:color w:val="000000"/>
          <w:sz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在货物采购项目中，供应商提供的货物既有中小企业制造货物，也有大型企业制造货物的，不享受中小企业扶持政策。</w:t>
      </w:r>
      <w:r>
        <w:rPr>
          <w:rFonts w:ascii="宋体" w:hAnsi="宋体"/>
          <w:color w:val="000000"/>
          <w:sz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残疾人福利单位定义：享受政府采购支持政策的残疾人福利性单位应当同时满足以下条件：</w:t>
      </w:r>
      <w:r>
        <w:rPr>
          <w:rFonts w:ascii="宋体" w:hAnsi="宋体"/>
          <w:color w:val="000000"/>
          <w:sz w:val="24"/>
          <w:highlight w:val="none"/>
        </w:rPr>
      </w:r>
      <w:r/>
    </w:p>
    <w:p>
      <w:pPr>
        <w:pStyle w:val="1014"/>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1014"/>
        <w:numPr>
          <w:ilvl w:val="2"/>
          <w:numId w:val="9"/>
        </w:numPr>
        <w:spacing w:line="360" w:lineRule="auto"/>
        <w:tabs>
          <w:tab w:val="left" w:pos="1980" w:leader="none"/>
          <w:tab w:val="left" w:pos="2035" w:leader="none"/>
          <w:tab w:val="left" w:pos="2977" w:leader="none"/>
        </w:tabs>
        <w:rPr>
          <w:rFonts w:ascii="宋体" w:hAnsi="宋体"/>
          <w:vanish/>
          <w:color w:val="000000"/>
          <w:sz w:val="24"/>
          <w:szCs w:val="24"/>
          <w:highlight w:val="none"/>
        </w:rPr>
      </w:pPr>
      <w:r>
        <w:rPr>
          <w:rFonts w:ascii="宋体" w:hAnsi="宋体"/>
          <w:vanish/>
          <w:color w:val="000000"/>
          <w:sz w:val="24"/>
          <w:szCs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安置的残疾人占本单位在职职工人数的比例不低于25%（含25%），并且安置的残疾人人数不少于10 人（含10 人）；</w:t>
      </w:r>
      <w:r>
        <w:rPr>
          <w:rFonts w:ascii="宋体" w:hAnsi="宋体"/>
          <w:color w:val="000000"/>
          <w:sz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依法与安置的每位残疾人签订了一年以上（含一年）的劳动合同或服务协议；</w:t>
      </w:r>
      <w:r>
        <w:rPr>
          <w:rFonts w:ascii="宋体" w:hAnsi="宋体"/>
          <w:color w:val="000000"/>
          <w:sz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为安置的每位残疾人按月足额缴纳了基本养老保险、基本医疗保险、失业保险、工伤保险和生育保险等社会保险费；</w:t>
      </w:r>
      <w:r>
        <w:rPr>
          <w:rFonts w:ascii="宋体" w:hAnsi="宋体"/>
          <w:color w:val="000000"/>
          <w:sz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通过银行等金融机构向安置的每位残疾人，按月支付了不低于单位所在区县适用的经省级人民政府批准的月最低工资标准的工资；</w:t>
      </w:r>
      <w:r>
        <w:rPr>
          <w:rFonts w:ascii="宋体" w:hAnsi="宋体"/>
          <w:color w:val="000000"/>
          <w:sz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ascii="宋体" w:hAnsi="宋体"/>
          <w:color w:val="000000"/>
          <w:sz w:val="24"/>
          <w:highlight w:val="none"/>
        </w:rPr>
      </w:r>
      <w:r/>
    </w:p>
    <w:p>
      <w:pPr>
        <w:pStyle w:val="918"/>
        <w:numPr>
          <w:ilvl w:val="3"/>
          <w:numId w:val="9"/>
        </w:numPr>
        <w:ind w:left="2885"/>
        <w:spacing w:line="360" w:lineRule="auto"/>
        <w:tabs>
          <w:tab w:val="left" w:pos="1980" w:leader="none"/>
          <w:tab w:val="left" w:pos="2035" w:leader="none"/>
          <w:tab w:val="left" w:pos="2885" w:leader="none"/>
          <w:tab w:val="left" w:pos="2977" w:leader="none"/>
        </w:tabs>
        <w:rPr>
          <w:rFonts w:ascii="宋体" w:hAnsi="宋体"/>
          <w:color w:val="000000"/>
          <w:sz w:val="24"/>
          <w:highlight w:val="none"/>
        </w:rPr>
      </w:pPr>
      <w:r>
        <w:rPr>
          <w:rFonts w:ascii="宋体" w:hAnsi="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本项目是否专门面向中小企业预留采购份额见第一章《投标邀请》。</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采购标的对应的中小企业划分标准所属行业见《投标人须知资料表》。</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小微企业价格评审优惠的政策调整：见第四章《评标方法和评标标准》。</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政府采购节能产品、环境标志产品</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olor w:val="000000"/>
          <w:sz w:val="24"/>
          <w:highlight w:val="none"/>
        </w:rPr>
      </w:r>
      <w:r/>
    </w:p>
    <w:p>
      <w:pPr>
        <w:pStyle w:val="918"/>
        <w:numPr>
          <w:ilvl w:val="2"/>
          <w:numId w:val="8"/>
        </w:numPr>
        <w:spacing w:line="360" w:lineRule="auto"/>
        <w:tabs>
          <w:tab w:val="left" w:pos="1980"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依据</w:t>
      </w:r>
      <w:r>
        <w:rPr>
          <w:rFonts w:ascii="宋体" w:hAnsi="宋体"/>
          <w:color w:val="000000"/>
          <w:sz w:val="24"/>
          <w:highlight w:val="none"/>
        </w:rPr>
        <w:t xml:space="preserve">《关于印发〈商品包装政府采购需求标准（试行）〉、〈快递包装政府采购需求标准（试行）〉的通知》（财办库〔2020〕123号）</w:t>
      </w:r>
      <w:r>
        <w:rPr>
          <w:rFonts w:hint="eastAsia" w:ascii="宋体" w:hAnsi="宋体"/>
          <w:color w:val="000000"/>
          <w:sz w:val="24"/>
          <w:highlight w:val="none"/>
        </w:rPr>
        <w:t xml:space="preserve">文件</w:t>
      </w:r>
      <w:r>
        <w:rPr>
          <w:rFonts w:ascii="宋体" w:hAnsi="宋体"/>
          <w:color w:val="000000"/>
          <w:sz w:val="24"/>
          <w:highlight w:val="none"/>
        </w:rPr>
        <w:t xml:space="preserve">精神</w:t>
      </w:r>
      <w:r>
        <w:rPr>
          <w:rFonts w:hint="eastAsia" w:ascii="宋体" w:hAnsi="宋体"/>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支持乡村产业振兴管理</w:t>
      </w:r>
      <w:r>
        <w:rPr>
          <w:rFonts w:ascii="宋体" w:hAnsi="宋体"/>
          <w:color w:val="000000"/>
          <w:sz w:val="24"/>
          <w:highlight w:val="none"/>
        </w:rPr>
      </w:r>
      <w:r/>
    </w:p>
    <w:p>
      <w:pPr>
        <w:pStyle w:val="918"/>
        <w:numPr>
          <w:ilvl w:val="2"/>
          <w:numId w:val="8"/>
        </w:numPr>
        <w:spacing w:line="360" w:lineRule="auto"/>
        <w:tabs>
          <w:tab w:val="left" w:pos="1980" w:leader="none"/>
          <w:tab w:val="left" w:pos="2014" w:leader="none"/>
        </w:tabs>
        <w:rPr>
          <w:rFonts w:ascii="宋体" w:hAnsi="宋体"/>
          <w:color w:val="000000"/>
          <w:sz w:val="24"/>
          <w:highlight w:val="none"/>
        </w:rPr>
      </w:pPr>
      <w:r>
        <w:rPr>
          <w:rFonts w:ascii="宋体" w:hAnsi="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正版软件</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政府采购创新产品政策</w:t>
      </w:r>
      <w:r>
        <w:rPr>
          <w:rFonts w:hint="eastAsia" w:ascii="宋体" w:hAnsi="宋体"/>
          <w:color w:val="000000"/>
          <w:sz w:val="24"/>
          <w:highlight w:val="none"/>
        </w:rPr>
      </w:r>
      <w:r/>
    </w:p>
    <w:p>
      <w:pPr>
        <w:pStyle w:val="918"/>
        <w:numPr>
          <w:ilvl w:val="2"/>
          <w:numId w:val="8"/>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olor w:val="000000"/>
          <w:sz w:val="24"/>
          <w:highlight w:val="none"/>
        </w:rPr>
      </w:r>
      <w:r/>
    </w:p>
    <w:p>
      <w:pPr>
        <w:pStyle w:val="918"/>
        <w:ind w:firstLine="120"/>
        <w:spacing w:line="480" w:lineRule="exact"/>
        <w:rPr>
          <w:color w:val="000000"/>
          <w:sz w:val="24"/>
          <w:highlight w:val="none"/>
        </w:rPr>
      </w:pPr>
      <w:r>
        <w:rPr>
          <w:rFonts w:hint="eastAsia"/>
          <w:color w:val="000000"/>
          <w:sz w:val="24"/>
          <w:highlight w:val="none"/>
        </w:rPr>
        <w:t xml:space="preserve"> 5.7     绿色采购政策</w:t>
      </w:r>
      <w:r>
        <w:rPr>
          <w:color w:val="000000"/>
          <w:sz w:val="24"/>
          <w:highlight w:val="none"/>
        </w:rPr>
      </w:r>
      <w:r/>
    </w:p>
    <w:p>
      <w:pPr>
        <w:pStyle w:val="918"/>
        <w:ind w:firstLine="1200"/>
        <w:spacing w:line="480" w:lineRule="exact"/>
        <w:rPr>
          <w:rFonts w:ascii="宋体" w:hAnsi="宋体"/>
          <w:bCs/>
          <w:color w:val="000000"/>
          <w:sz w:val="24"/>
          <w:highlight w:val="none"/>
        </w:rPr>
      </w:pPr>
      <w:r>
        <w:rPr>
          <w:rFonts w:hint="eastAsia"/>
          <w:color w:val="000000"/>
          <w:sz w:val="24"/>
          <w:highlight w:val="none"/>
        </w:rPr>
        <w:t xml:space="preserve">5.7.1  </w:t>
      </w:r>
      <w:r>
        <w:rPr>
          <w:rFonts w:hint="eastAsia" w:ascii="宋体" w:hAnsi="宋体"/>
          <w:bCs/>
          <w:color w:val="000000"/>
          <w:sz w:val="24"/>
          <w:highlight w:val="none"/>
        </w:rPr>
        <w:t xml:space="preserve">绿色数据中心政策 </w:t>
      </w:r>
      <w:r>
        <w:rPr>
          <w:rFonts w:ascii="宋体" w:hAnsi="宋体"/>
          <w:bCs/>
          <w:color w:val="000000"/>
          <w:sz w:val="24"/>
          <w:highlight w:val="none"/>
        </w:rPr>
      </w:r>
      <w:r/>
    </w:p>
    <w:p>
      <w:pPr>
        <w:pStyle w:val="918"/>
        <w:ind w:left="1197"/>
        <w:spacing w:line="480" w:lineRule="exact"/>
        <w:rPr>
          <w:rFonts w:ascii="宋体" w:hAnsi="宋体"/>
          <w:color w:val="000000"/>
          <w:sz w:val="24"/>
          <w:highlight w:val="none"/>
        </w:rPr>
      </w:pPr>
      <w:r>
        <w:rPr>
          <w:rFonts w:hint="eastAsia" w:ascii="宋体" w:hAnsi="宋体"/>
          <w:color w:val="000000"/>
          <w:sz w:val="24"/>
          <w:highlight w:val="none"/>
        </w:rPr>
        <w:t xml:space="preserve">依据《绿色数据中心政府采购需求标准（试行）》（财办库〔2023〕7 号）文件精神，采购</w:t>
      </w:r>
      <w:r>
        <w:rPr>
          <w:rFonts w:hint="eastAsia" w:ascii="宋体" w:hAnsi="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olor w:val="000000"/>
          <w:sz w:val="24"/>
          <w:highlight w:val="none"/>
        </w:rPr>
      </w:r>
      <w:r/>
    </w:p>
    <w:p>
      <w:pPr>
        <w:pStyle w:val="918"/>
        <w:ind w:firstLine="1200"/>
        <w:spacing w:line="480" w:lineRule="exact"/>
        <w:rPr>
          <w:rFonts w:ascii="宋体" w:hAnsi="宋体"/>
          <w:color w:val="000000"/>
          <w:sz w:val="24"/>
          <w:highlight w:val="none"/>
        </w:rPr>
      </w:pPr>
      <w:r>
        <w:rPr>
          <w:rFonts w:hint="eastAsia" w:ascii="宋体" w:hAnsi="宋体"/>
          <w:color w:val="000000"/>
          <w:sz w:val="24"/>
          <w:highlight w:val="none"/>
        </w:rPr>
        <w:t xml:space="preserve">5.7.2 推广应用绿色建材</w:t>
      </w:r>
      <w:r>
        <w:rPr>
          <w:rFonts w:ascii="宋体" w:hAnsi="宋体"/>
          <w:color w:val="000000"/>
          <w:sz w:val="24"/>
          <w:highlight w:val="none"/>
        </w:rPr>
      </w:r>
      <w:r/>
    </w:p>
    <w:p>
      <w:pPr>
        <w:pStyle w:val="918"/>
        <w:ind w:left="1197"/>
        <w:spacing w:line="480" w:lineRule="exact"/>
        <w:rPr>
          <w:rFonts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w:t>
      </w:r>
      <w:r>
        <w:rPr>
          <w:rFonts w:hint="eastAsia"/>
          <w:color w:val="000000"/>
          <w:sz w:val="24"/>
          <w:highlight w:val="none"/>
        </w:rPr>
        <w:t xml:space="preserve">常财购</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18</w:t>
      </w:r>
      <w:r>
        <w:rPr>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color w:val="000000"/>
          <w:sz w:val="24"/>
          <w:highlight w:val="none"/>
        </w:rPr>
        <w:t xml:space="preserve">财库〔20</w:t>
      </w:r>
      <w:r>
        <w:rPr>
          <w:rFonts w:hint="eastAsia"/>
          <w:color w:val="000000"/>
          <w:sz w:val="24"/>
          <w:highlight w:val="none"/>
        </w:rPr>
        <w:t xml:space="preserve">22</w:t>
      </w:r>
      <w:r>
        <w:rPr>
          <w:color w:val="000000"/>
          <w:sz w:val="24"/>
          <w:highlight w:val="none"/>
        </w:rPr>
        <w:t xml:space="preserve">〕</w:t>
      </w:r>
      <w:r>
        <w:rPr>
          <w:rFonts w:hint="eastAsia"/>
          <w:color w:val="000000"/>
          <w:sz w:val="24"/>
          <w:highlight w:val="none"/>
        </w:rPr>
        <w:t xml:space="preserve">35</w:t>
      </w:r>
      <w:r>
        <w:rPr>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color w:val="000000"/>
          <w:sz w:val="24"/>
          <w:highlight w:val="none"/>
        </w:rPr>
        <w:t xml:space="preserve">〔20</w:t>
      </w:r>
      <w:r>
        <w:rPr>
          <w:rFonts w:hint="eastAsia"/>
          <w:color w:val="000000"/>
          <w:sz w:val="24"/>
          <w:highlight w:val="none"/>
        </w:rPr>
        <w:t xml:space="preserve">23</w:t>
      </w:r>
      <w:r>
        <w:rPr>
          <w:color w:val="000000"/>
          <w:sz w:val="24"/>
          <w:highlight w:val="none"/>
        </w:rPr>
        <w:t xml:space="preserve">〕</w:t>
      </w:r>
      <w:r>
        <w:rPr>
          <w:rFonts w:hint="eastAsia"/>
          <w:color w:val="000000"/>
          <w:sz w:val="24"/>
          <w:highlight w:val="none"/>
        </w:rPr>
        <w:t xml:space="preserve">52</w:t>
      </w:r>
      <w:r>
        <w:rPr>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ascii="宋体" w:hAnsi="宋体"/>
          <w:color w:val="000000"/>
          <w:sz w:val="24"/>
          <w:highlight w:val="none"/>
        </w:rPr>
      </w:r>
      <w:r/>
    </w:p>
    <w:p>
      <w:pPr>
        <w:pStyle w:val="918"/>
        <w:ind w:firstLine="1080"/>
        <w:spacing w:line="480" w:lineRule="exact"/>
        <w:rPr>
          <w:rFonts w:ascii="宋体" w:hAnsi="宋体"/>
          <w:color w:val="000000"/>
          <w:sz w:val="24"/>
          <w:highlight w:val="none"/>
        </w:rPr>
      </w:pPr>
      <w:r>
        <w:rPr>
          <w:rFonts w:hint="eastAsia" w:ascii="宋体" w:hAnsi="宋体"/>
          <w:color w:val="000000"/>
          <w:sz w:val="24"/>
          <w:highlight w:val="none"/>
        </w:rPr>
        <w:t xml:space="preserve">5.7.3 优先使用低挥发性有机化合物产品</w:t>
      </w:r>
      <w:r>
        <w:rPr>
          <w:rFonts w:ascii="宋体" w:hAnsi="宋体"/>
          <w:color w:val="000000"/>
          <w:sz w:val="24"/>
          <w:highlight w:val="none"/>
        </w:rPr>
      </w:r>
      <w:r/>
    </w:p>
    <w:p>
      <w:pPr>
        <w:pStyle w:val="918"/>
        <w:ind w:left="1079" w:hanging="600"/>
        <w:spacing w:line="480" w:lineRule="exact"/>
        <w:rPr>
          <w:rFonts w:hint="eastAsia" w:ascii="宋体" w:hAnsi="宋体"/>
          <w:color w:val="000000"/>
          <w:sz w:val="24"/>
          <w:highlight w:val="none"/>
        </w:rPr>
      </w:pPr>
      <w:r>
        <w:rPr>
          <w:rFonts w:hint="eastAsia"/>
          <w:color w:val="000000"/>
          <w:sz w:val="24"/>
          <w:highlight w:val="none"/>
        </w:rPr>
        <w:t xml:space="preserve">     </w:t>
      </w: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918"/>
        <w:numPr>
          <w:ilvl w:val="0"/>
          <w:numId w:val="8"/>
        </w:numPr>
        <w:ind w:left="357" w:hanging="357"/>
        <w:pageBreakBefore w:val="0"/>
        <w:spacing w:line="360" w:lineRule="auto"/>
        <w:widowControl w:val="off"/>
        <w:tabs>
          <w:tab w:val="left" w:pos="360" w:leader="none"/>
          <w:tab w:val="left" w:pos="900" w:leader="none"/>
        </w:tabs>
        <w:rPr>
          <w:rFonts w:hint="eastAsia"/>
          <w:color w:val="000000"/>
          <w:sz w:val="24"/>
          <w:highlight w:val="none"/>
        </w:rPr>
        <w:outlineLvl w:val="1"/>
      </w:pPr>
      <w:r>
        <w:rPr>
          <w:rFonts w:hint="eastAsia"/>
          <w:color w:val="000000"/>
          <w:sz w:val="24"/>
          <w:highlight w:val="none"/>
        </w:rPr>
        <w:t xml:space="preserve">采购本国产品的支持政策</w:t>
      </w:r>
      <w:r>
        <w:rPr>
          <w:rFonts w:hint="eastAsia"/>
          <w:color w:val="000000"/>
          <w:sz w:val="24"/>
          <w:highlight w:val="none"/>
        </w:rPr>
      </w:r>
      <w:r/>
    </w:p>
    <w:p>
      <w:pPr>
        <w:pStyle w:val="918"/>
        <w:numPr>
          <w:ilvl w:val="0"/>
          <w:numId w:val="0"/>
        </w:numPr>
        <w:ind w:firstLine="480"/>
        <w:pageBreakBefore w:val="0"/>
        <w:spacing w:line="360" w:lineRule="auto"/>
        <w:widowControl w:val="off"/>
        <w:tabs>
          <w:tab w:val="left" w:pos="360" w:leader="none"/>
        </w:tabs>
        <w:rPr>
          <w:rFonts w:ascii="宋体" w:hAnsi="宋体"/>
          <w:color w:val="000000"/>
          <w:sz w:val="24"/>
          <w:highlight w:val="none"/>
        </w:rPr>
        <w:outlineLvl w:val="1"/>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投标费用</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ascii="宋体" w:hAnsi="宋体"/>
          <w:color w:val="000000"/>
          <w:sz w:val="24"/>
          <w:highlight w:val="none"/>
        </w:rPr>
      </w:r>
      <w:r/>
    </w:p>
    <w:p>
      <w:pPr>
        <w:pStyle w:val="918"/>
        <w:ind w:left="1080"/>
        <w:spacing w:line="360" w:lineRule="auto"/>
        <w:tabs>
          <w:tab w:val="left" w:pos="1080" w:leader="none"/>
        </w:tabs>
        <w:rPr>
          <w:rFonts w:ascii="宋体" w:hAnsi="宋体"/>
          <w:color w:val="000000"/>
          <w:sz w:val="28"/>
          <w:highlight w:val="none"/>
        </w:rPr>
      </w:pPr>
      <w:r/>
      <w:bookmarkStart w:id="168" w:name="_1.8_计量单位"/>
      <w:r/>
      <w:bookmarkEnd w:id="168"/>
      <w:r>
        <w:rPr>
          <w:rFonts w:ascii="宋体" w:hAnsi="宋体"/>
          <w:color w:val="000000"/>
          <w:sz w:val="28"/>
          <w:highlight w:val="none"/>
        </w:rPr>
      </w:r>
      <w:r/>
    </w:p>
    <w:p>
      <w:pPr>
        <w:pStyle w:val="920"/>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二   招标文件</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rPr>
          <w:rFonts w:ascii="宋体" w:hAnsi="宋体" w:eastAsia="宋体"/>
          <w:color w:val="000000"/>
          <w:sz w:val="28"/>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169" w:name="_Toc226965713"/>
      <w:r/>
      <w:bookmarkStart w:id="170" w:name="_Toc151193837"/>
      <w:r/>
      <w:bookmarkStart w:id="171" w:name="_Toc151193693"/>
      <w:r/>
      <w:bookmarkStart w:id="172" w:name="_Toc164608792"/>
      <w:r/>
      <w:bookmarkStart w:id="173" w:name="_Toc150509274"/>
      <w:r/>
      <w:bookmarkStart w:id="174" w:name="_Toc127151523"/>
      <w:r/>
      <w:bookmarkStart w:id="175" w:name="_Toc127151724"/>
      <w:r/>
      <w:bookmarkStart w:id="176" w:name="_Toc150774728"/>
      <w:r/>
      <w:bookmarkStart w:id="177" w:name="_Toc164229364"/>
      <w:r/>
      <w:bookmarkStart w:id="178" w:name="_Toc151190150"/>
      <w:r/>
      <w:bookmarkStart w:id="179" w:name="_Toc226309767"/>
      <w:r/>
      <w:bookmarkStart w:id="180" w:name="_Toc149720816"/>
      <w:r/>
      <w:bookmarkStart w:id="181" w:name="_Toc151193765"/>
      <w:r/>
      <w:bookmarkStart w:id="182" w:name="_Toc226965796"/>
      <w:r/>
      <w:bookmarkStart w:id="183" w:name="_Toc142311025"/>
      <w:r/>
      <w:bookmarkStart w:id="184" w:name="_Toc150480761"/>
      <w:r/>
      <w:bookmarkStart w:id="185" w:name="_Toc264969213"/>
      <w:r/>
      <w:bookmarkStart w:id="186" w:name="_Toc151193621"/>
      <w:r/>
      <w:bookmarkStart w:id="187" w:name="_Toc265228361"/>
      <w:r/>
      <w:bookmarkStart w:id="188" w:name="_Toc164608637"/>
      <w:r/>
      <w:bookmarkStart w:id="189" w:name="_Toc127161437"/>
      <w:r/>
      <w:bookmarkStart w:id="190" w:name="_Toc151193911"/>
      <w:r/>
      <w:bookmarkStart w:id="191" w:name="_Toc520356147"/>
      <w:r/>
      <w:bookmarkStart w:id="192" w:name="_Toc150774623"/>
      <w:r/>
      <w:bookmarkStart w:id="193" w:name="_Toc226337219"/>
      <w:r/>
      <w:bookmarkStart w:id="194" w:name="_Toc164229218"/>
      <w:r/>
      <w:bookmarkStart w:id="195" w:name="_Toc164351617"/>
      <w:r/>
      <w:bookmarkStart w:id="196" w:name="_Toc305158791"/>
      <w:r/>
      <w:bookmarkStart w:id="197" w:name="_Toc195842888"/>
      <w:r/>
      <w:bookmarkStart w:id="198" w:name="_Toc305158865"/>
      <w:r>
        <w:rPr>
          <w:rFonts w:ascii="宋体" w:hAnsi="宋体"/>
          <w:color w:val="000000"/>
          <w:sz w:val="24"/>
          <w:highlight w:val="none"/>
        </w:rPr>
        <w:t xml:space="preserve">招标文件构</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rPr>
          <w:rFonts w:ascii="宋体" w:hAnsi="宋体"/>
          <w:color w:val="000000"/>
          <w:sz w:val="24"/>
          <w:highlight w:val="none"/>
        </w:rPr>
        <w:t xml:space="preserve">成</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招标文件包括以下部分：</w:t>
      </w:r>
      <w:r>
        <w:rPr>
          <w:rFonts w:ascii="宋体" w:hAnsi="宋体"/>
          <w:color w:val="000000"/>
          <w:sz w:val="24"/>
          <w:highlight w:val="none"/>
        </w:rPr>
      </w:r>
      <w:r/>
    </w:p>
    <w:p>
      <w:pPr>
        <w:pStyle w:val="918"/>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投标邀请</w:t>
      </w:r>
      <w:r>
        <w:rPr>
          <w:rFonts w:ascii="宋体" w:hAnsi="宋体"/>
          <w:color w:val="000000"/>
          <w:sz w:val="24"/>
          <w:highlight w:val="none"/>
        </w:rPr>
      </w:r>
      <w:r/>
    </w:p>
    <w:p>
      <w:pPr>
        <w:pStyle w:val="918"/>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投标人须知</w:t>
      </w:r>
      <w:r>
        <w:rPr>
          <w:rFonts w:ascii="宋体" w:hAnsi="宋体"/>
          <w:color w:val="000000"/>
          <w:sz w:val="24"/>
          <w:highlight w:val="none"/>
        </w:rPr>
      </w:r>
      <w:r/>
    </w:p>
    <w:p>
      <w:pPr>
        <w:pStyle w:val="918"/>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资格审查</w:t>
      </w:r>
      <w:r>
        <w:rPr>
          <w:rFonts w:ascii="宋体" w:hAnsi="宋体"/>
          <w:color w:val="000000"/>
          <w:sz w:val="24"/>
          <w:highlight w:val="none"/>
        </w:rPr>
      </w:r>
      <w:r/>
    </w:p>
    <w:p>
      <w:pPr>
        <w:pStyle w:val="918"/>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918"/>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采购需求</w:t>
      </w:r>
      <w:r>
        <w:rPr>
          <w:rFonts w:ascii="宋体" w:hAnsi="宋体"/>
          <w:color w:val="000000"/>
          <w:sz w:val="24"/>
          <w:highlight w:val="none"/>
        </w:rPr>
      </w:r>
      <w:r/>
    </w:p>
    <w:p>
      <w:pPr>
        <w:pStyle w:val="918"/>
        <w:numPr>
          <w:ilvl w:val="0"/>
          <w:numId w:val="10"/>
        </w:numPr>
        <w:ind w:left="1440" w:firstLine="5"/>
        <w:spacing w:line="360" w:lineRule="auto"/>
        <w:tabs>
          <w:tab w:val="left" w:pos="1980" w:leader="none"/>
          <w:tab w:val="left" w:pos="2520" w:leader="none"/>
          <w:tab w:val="left" w:pos="4941" w:leader="none"/>
        </w:tabs>
        <w:rPr>
          <w:rFonts w:ascii="宋体" w:hAnsi="宋体"/>
          <w:color w:val="000000"/>
          <w:sz w:val="24"/>
          <w:highlight w:val="none"/>
        </w:rPr>
      </w:pPr>
      <w:r>
        <w:rPr>
          <w:rFonts w:ascii="宋体" w:hAnsi="宋体"/>
          <w:color w:val="000000"/>
          <w:sz w:val="24"/>
          <w:highlight w:val="none"/>
        </w:rPr>
        <w:t xml:space="preserve">拟签订的合同文本</w:t>
      </w:r>
      <w:r>
        <w:rPr>
          <w:rFonts w:ascii="宋体" w:hAnsi="宋体"/>
          <w:color w:val="000000"/>
          <w:sz w:val="24"/>
          <w:highlight w:val="none"/>
        </w:rPr>
      </w:r>
      <w:r/>
    </w:p>
    <w:p>
      <w:pPr>
        <w:pStyle w:val="918"/>
        <w:numPr>
          <w:ilvl w:val="0"/>
          <w:numId w:val="10"/>
        </w:numPr>
        <w:ind w:left="1440" w:firstLine="5"/>
        <w:spacing w:line="360" w:lineRule="auto"/>
        <w:tabs>
          <w:tab w:val="left" w:pos="1980" w:leader="none"/>
          <w:tab w:val="left" w:pos="2520" w:leader="none"/>
          <w:tab w:val="left" w:pos="4941" w:leader="none"/>
        </w:tabs>
        <w:rPr>
          <w:rFonts w:hint="eastAsia" w:ascii="宋体" w:hAnsi="宋体"/>
          <w:color w:val="000000"/>
          <w:sz w:val="24"/>
          <w:highlight w:val="none"/>
        </w:rPr>
      </w:pPr>
      <w:r>
        <w:rPr>
          <w:rFonts w:ascii="宋体" w:hAnsi="宋体"/>
          <w:color w:val="000000"/>
          <w:sz w:val="24"/>
          <w:highlight w:val="none"/>
        </w:rPr>
        <w:t xml:space="preserve">投标文件格式</w:t>
      </w:r>
      <w:r>
        <w:rPr>
          <w:rFonts w:hint="eastAsia"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numPr>
          <w:ilvl w:val="0"/>
          <w:numId w:val="8"/>
        </w:numPr>
        <w:ind w:left="357" w:hanging="357"/>
        <w:spacing w:line="360" w:lineRule="auto"/>
        <w:tabs>
          <w:tab w:val="left" w:pos="900" w:leader="none"/>
          <w:tab w:val="left" w:pos="1080" w:leader="none"/>
          <w:tab w:val="left" w:pos="2014" w:leader="none"/>
        </w:tabs>
        <w:rPr>
          <w:rFonts w:ascii="宋体" w:hAnsi="宋体"/>
          <w:color w:val="000000"/>
          <w:sz w:val="24"/>
          <w:highlight w:val="none"/>
        </w:rPr>
        <w:outlineLvl w:val="1"/>
      </w:pPr>
      <w:r>
        <w:rPr>
          <w:rFonts w:ascii="宋体" w:hAnsi="宋体"/>
          <w:color w:val="000000"/>
          <w:sz w:val="24"/>
          <w:highlight w:val="none"/>
        </w:rPr>
        <w:t xml:space="preserve">对招标文件的澄清或修改</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采购人或采购代理机构对已发出的招标文件进行必要澄清或者修改的，将在原公告发布媒体上以</w:t>
      </w:r>
      <w:r>
        <w:rPr>
          <w:rFonts w:hint="eastAsia" w:ascii="宋体" w:hAnsi="宋体"/>
          <w:color w:val="000000"/>
          <w:sz w:val="24"/>
          <w:highlight w:val="none"/>
        </w:rPr>
        <w:t xml:space="preserve">发布</w:t>
      </w:r>
      <w:r>
        <w:rPr>
          <w:rFonts w:ascii="宋体" w:hAnsi="宋体"/>
          <w:color w:val="000000"/>
          <w:sz w:val="24"/>
          <w:highlight w:val="none"/>
        </w:rPr>
        <w:t xml:space="preserve">更正公告</w:t>
      </w:r>
      <w:r>
        <w:rPr>
          <w:rFonts w:hint="eastAsia" w:ascii="宋体" w:hAnsi="宋体"/>
          <w:color w:val="000000"/>
          <w:sz w:val="24"/>
          <w:highlight w:val="none"/>
        </w:rPr>
        <w:t xml:space="preserve">的</w:t>
      </w:r>
      <w:r>
        <w:rPr>
          <w:rFonts w:ascii="宋体" w:hAnsi="宋体"/>
          <w:color w:val="000000"/>
          <w:sz w:val="24"/>
          <w:highlight w:val="none"/>
        </w:rPr>
        <w:t xml:space="preserve">形式通知所有获取招标文件的潜在投标人。</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61"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color w:val="000000"/>
          <w:sz w:val="24"/>
          <w:highlight w:val="none"/>
        </w:rPr>
      </w:r>
      <w:r/>
    </w:p>
    <w:p>
      <w:pPr>
        <w:pStyle w:val="918"/>
        <w:ind w:left="1080"/>
        <w:spacing w:line="360" w:lineRule="auto"/>
        <w:tabs>
          <w:tab w:val="left" w:pos="1080" w:leader="none"/>
          <w:tab w:val="left" w:pos="1561" w:leader="none"/>
        </w:tabs>
        <w:rPr>
          <w:rFonts w:ascii="宋体" w:hAnsi="宋体"/>
          <w:color w:val="000000"/>
          <w:sz w:val="28"/>
          <w:highlight w:val="none"/>
        </w:rPr>
      </w:pPr>
      <w:r/>
      <w:bookmarkStart w:id="199" w:name="_Toc150480764"/>
      <w:r/>
      <w:bookmarkStart w:id="200" w:name="_Toc151190153"/>
      <w:r/>
      <w:bookmarkStart w:id="201" w:name="_Toc265228364"/>
      <w:r/>
      <w:bookmarkStart w:id="202" w:name="_Toc305158794"/>
      <w:r/>
      <w:bookmarkStart w:id="203" w:name="_Toc226309770"/>
      <w:r/>
      <w:bookmarkStart w:id="204" w:name="_Toc226965799"/>
      <w:r/>
      <w:bookmarkStart w:id="205" w:name="_Toc151193840"/>
      <w:r/>
      <w:bookmarkStart w:id="206" w:name="_Toc150509277"/>
      <w:r/>
      <w:bookmarkStart w:id="207" w:name="_Toc264969216"/>
      <w:r/>
      <w:bookmarkStart w:id="208" w:name="_Toc226337222"/>
      <w:r/>
      <w:bookmarkStart w:id="209" w:name="_Toc142311028"/>
      <w:r/>
      <w:bookmarkStart w:id="210" w:name="_Toc151193624"/>
      <w:r/>
      <w:bookmarkStart w:id="211" w:name="_Toc150774626"/>
      <w:r/>
      <w:bookmarkStart w:id="212" w:name="_Toc516367020"/>
      <w:r/>
      <w:bookmarkStart w:id="213" w:name="_Toc151193768"/>
      <w:r/>
      <w:bookmarkStart w:id="214" w:name="_Toc127151526"/>
      <w:r/>
      <w:bookmarkStart w:id="215" w:name="_Toc226965716"/>
      <w:r/>
      <w:bookmarkStart w:id="216" w:name="_Toc520356150"/>
      <w:r/>
      <w:bookmarkStart w:id="217" w:name="_Toc150774731"/>
      <w:r/>
      <w:bookmarkStart w:id="218" w:name="_Toc195842891"/>
      <w:r/>
      <w:bookmarkStart w:id="219" w:name="_Toc305158868"/>
      <w:r/>
      <w:bookmarkStart w:id="220" w:name="_Toc151193696"/>
      <w:r/>
      <w:bookmarkStart w:id="221" w:name="_Toc151193914"/>
      <w:r>
        <w:rPr>
          <w:rFonts w:ascii="宋体" w:hAnsi="宋体"/>
          <w:color w:val="000000"/>
          <w:sz w:val="28"/>
          <w:highlight w:val="none"/>
        </w:rPr>
      </w:r>
      <w:r/>
    </w:p>
    <w:p>
      <w:pPr>
        <w:pStyle w:val="920"/>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三   投标文件</w:t>
      </w:r>
      <w:bookmarkEnd w:id="212"/>
      <w:r>
        <w:rPr>
          <w:rFonts w:ascii="宋体" w:hAnsi="宋体" w:eastAsia="宋体"/>
          <w:color w:val="000000"/>
          <w:sz w:val="28"/>
          <w:highlight w:val="none"/>
        </w:rPr>
        <w:t xml:space="preserve">的编制</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3"/>
      <w:r/>
      <w:bookmarkEnd w:id="214"/>
      <w:r/>
      <w:bookmarkEnd w:id="215"/>
      <w:r/>
      <w:bookmarkEnd w:id="216"/>
      <w:r/>
      <w:bookmarkEnd w:id="217"/>
      <w:r/>
      <w:bookmarkEnd w:id="218"/>
      <w:r/>
      <w:bookmarkEnd w:id="219"/>
      <w:r/>
      <w:bookmarkEnd w:id="220"/>
      <w:r/>
      <w:bookmarkEnd w:id="221"/>
      <w:r>
        <w:rPr>
          <w:rFonts w:ascii="宋体" w:hAnsi="宋体" w:eastAsia="宋体"/>
          <w:color w:val="000000"/>
          <w:sz w:val="28"/>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22" w:name="_Toc127161441"/>
      <w:r/>
      <w:bookmarkStart w:id="223" w:name="_Toc226965800"/>
      <w:r/>
      <w:bookmarkStart w:id="224" w:name="_Toc164608641"/>
      <w:r/>
      <w:bookmarkStart w:id="225" w:name="_Toc305158869"/>
      <w:r/>
      <w:bookmarkStart w:id="226" w:name="_Toc150774627"/>
      <w:r/>
      <w:bookmarkStart w:id="227" w:name="_Toc127151527"/>
      <w:r/>
      <w:bookmarkStart w:id="228" w:name="_Toc127151728"/>
      <w:r/>
      <w:bookmarkStart w:id="229" w:name="_Toc264969217"/>
      <w:r/>
      <w:bookmarkStart w:id="230" w:name="_Toc195842892"/>
      <w:r/>
      <w:bookmarkStart w:id="231" w:name="_Toc151193841"/>
      <w:r/>
      <w:bookmarkStart w:id="232" w:name="_Toc150774732"/>
      <w:r/>
      <w:bookmarkStart w:id="233" w:name="_Toc516367021"/>
      <w:r/>
      <w:bookmarkStart w:id="234" w:name="_Toc142311029"/>
      <w:r/>
      <w:bookmarkStart w:id="235" w:name="_Toc149720820"/>
      <w:r/>
      <w:bookmarkStart w:id="236" w:name="_Toc150480765"/>
      <w:r/>
      <w:bookmarkStart w:id="237" w:name="_Toc151193697"/>
      <w:r/>
      <w:bookmarkStart w:id="238" w:name="_Toc305158795"/>
      <w:r/>
      <w:bookmarkStart w:id="239" w:name="_Toc151193625"/>
      <w:r/>
      <w:bookmarkStart w:id="240" w:name="_Toc265228365"/>
      <w:r/>
      <w:bookmarkStart w:id="241" w:name="_Toc226337223"/>
      <w:r/>
      <w:bookmarkStart w:id="242" w:name="_Toc164351621"/>
      <w:r/>
      <w:bookmarkStart w:id="243" w:name="_Toc520356151"/>
      <w:r/>
      <w:bookmarkStart w:id="244" w:name="_Toc150509278"/>
      <w:r/>
      <w:bookmarkStart w:id="245" w:name="_Toc164608796"/>
      <w:r/>
      <w:bookmarkStart w:id="246" w:name="_Toc164229222"/>
      <w:r/>
      <w:bookmarkStart w:id="247" w:name="_Toc151190154"/>
      <w:r/>
      <w:bookmarkStart w:id="248" w:name="_Toc226965717"/>
      <w:r/>
      <w:bookmarkStart w:id="249" w:name="_Toc151193769"/>
      <w:r/>
      <w:bookmarkStart w:id="250" w:name="_Toc226309771"/>
      <w:r/>
      <w:bookmarkStart w:id="251" w:name="_Toc151193915"/>
      <w:r/>
      <w:bookmarkStart w:id="252" w:name="_Toc164229368"/>
      <w:r>
        <w:rPr>
          <w:rFonts w:ascii="宋体" w:hAnsi="宋体"/>
          <w:color w:val="000000"/>
          <w:sz w:val="24"/>
          <w:highlight w:val="none"/>
        </w:rPr>
        <w:t xml:space="preserve">投标范围、投标文件中计量单位的使用</w:t>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ascii="宋体" w:hAnsi="宋体"/>
          <w:color w:val="000000"/>
          <w:sz w:val="24"/>
          <w:highlight w:val="none"/>
        </w:rPr>
        <w:t xml:space="preserve">及投标语言</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color w:val="000000"/>
          <w:sz w:val="24"/>
          <w:highlight w:val="none"/>
        </w:rPr>
        <w:t xml:space="preserve">无效投标</w:t>
      </w:r>
      <w:r>
        <w:rPr>
          <w:rFonts w:ascii="宋体" w:hAnsi="宋体"/>
          <w:color w:val="000000"/>
          <w:sz w:val="24"/>
          <w:highlight w:val="none"/>
        </w:rPr>
        <w:t xml:space="preserve">。</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除招标文件有特殊要求外，本项目投标所使用的计量单位，应采用中华人民共和国法定计量单位。</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53" w:name="_Toc164608797"/>
      <w:r/>
      <w:bookmarkStart w:id="254" w:name="_Toc149720821"/>
      <w:r/>
      <w:bookmarkStart w:id="255" w:name="_Toc226965718"/>
      <w:r/>
      <w:bookmarkStart w:id="256" w:name="_Toc151193626"/>
      <w:r/>
      <w:bookmarkStart w:id="257" w:name="_Toc305158796"/>
      <w:r/>
      <w:bookmarkStart w:id="258" w:name="_Toc151193842"/>
      <w:r/>
      <w:bookmarkStart w:id="259" w:name="_Toc150480766"/>
      <w:r/>
      <w:bookmarkStart w:id="260" w:name="_Ref467306676"/>
      <w:r/>
      <w:bookmarkStart w:id="261" w:name="_Ref467306195"/>
      <w:r/>
      <w:bookmarkStart w:id="262" w:name="_Toc516367022"/>
      <w:r/>
      <w:bookmarkStart w:id="263" w:name="_Toc195842893"/>
      <w:r/>
      <w:bookmarkStart w:id="264" w:name="_Toc151193916"/>
      <w:r/>
      <w:bookmarkStart w:id="265" w:name="_Toc127151528"/>
      <w:r/>
      <w:bookmarkStart w:id="266" w:name="_Toc264969218"/>
      <w:r/>
      <w:bookmarkStart w:id="267" w:name="_Toc151190155"/>
      <w:r/>
      <w:bookmarkStart w:id="268" w:name="_Toc226309772"/>
      <w:r/>
      <w:bookmarkStart w:id="269" w:name="_Toc151193698"/>
      <w:r/>
      <w:bookmarkStart w:id="270" w:name="_Toc520356152"/>
      <w:r/>
      <w:bookmarkStart w:id="271" w:name="_Toc151193770"/>
      <w:r/>
      <w:bookmarkStart w:id="272" w:name="_Toc127161442"/>
      <w:r/>
      <w:bookmarkStart w:id="273" w:name="_Toc226965801"/>
      <w:r/>
      <w:bookmarkStart w:id="274" w:name="_Toc150774628"/>
      <w:r/>
      <w:bookmarkStart w:id="275" w:name="_Toc127151729"/>
      <w:r/>
      <w:bookmarkStart w:id="276" w:name="_Toc164229369"/>
      <w:r/>
      <w:bookmarkStart w:id="277" w:name="_Toc164229223"/>
      <w:r/>
      <w:bookmarkStart w:id="278" w:name="_Toc150509279"/>
      <w:r/>
      <w:bookmarkStart w:id="279" w:name="_Toc226337224"/>
      <w:r/>
      <w:bookmarkStart w:id="280" w:name="_Toc150774733"/>
      <w:r/>
      <w:bookmarkStart w:id="281" w:name="_Toc164351622"/>
      <w:r/>
      <w:bookmarkStart w:id="282" w:name="_Toc305158870"/>
      <w:r/>
      <w:bookmarkStart w:id="283" w:name="_Toc265228366"/>
      <w:r/>
      <w:bookmarkStart w:id="284" w:name="_Toc164608642"/>
      <w:r/>
      <w:bookmarkStart w:id="285" w:name="_Toc142311030"/>
      <w:r>
        <w:rPr>
          <w:rFonts w:ascii="宋体" w:hAnsi="宋体"/>
          <w:color w:val="000000"/>
          <w:sz w:val="24"/>
          <w:highlight w:val="none"/>
        </w:rPr>
        <w:t xml:space="preserve">投标文件</w:t>
      </w:r>
      <w:bookmarkEnd w:id="260"/>
      <w:r/>
      <w:bookmarkEnd w:id="261"/>
      <w:r/>
      <w:bookmarkEnd w:id="262"/>
      <w:r>
        <w:rPr>
          <w:rFonts w:ascii="宋体" w:hAnsi="宋体"/>
          <w:color w:val="000000"/>
          <w:sz w:val="24"/>
          <w:highlight w:val="none"/>
        </w:rPr>
        <w:t xml:space="preserve">构成</w:t>
      </w:r>
      <w:bookmarkEnd w:id="253"/>
      <w:r/>
      <w:bookmarkEnd w:id="254"/>
      <w:r/>
      <w:bookmarkEnd w:id="255"/>
      <w:r/>
      <w:bookmarkEnd w:id="256"/>
      <w:r/>
      <w:bookmarkEnd w:id="257"/>
      <w:r/>
      <w:bookmarkEnd w:id="258"/>
      <w:r/>
      <w:bookmarkEnd w:id="259"/>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286" w:name="_Ref467052588"/>
      <w:r>
        <w:rPr>
          <w:rFonts w:ascii="宋体" w:hAnsi="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第四章《评标程序、评标方法和评标标准》中涉及的证明文件。</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投标人认为应附的其他材料。</w:t>
      </w:r>
      <w:bookmarkEnd w:id="286"/>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287" w:name="_Toc150774630"/>
      <w:r/>
      <w:bookmarkStart w:id="288" w:name="_Toc127151530"/>
      <w:r/>
      <w:bookmarkStart w:id="289" w:name="_Toc150480768"/>
      <w:r/>
      <w:bookmarkStart w:id="290" w:name="_Toc151193844"/>
      <w:r/>
      <w:bookmarkStart w:id="291" w:name="_Toc164229371"/>
      <w:r/>
      <w:bookmarkStart w:id="292" w:name="_Toc127161444"/>
      <w:r/>
      <w:bookmarkStart w:id="293" w:name="_Toc151193918"/>
      <w:r/>
      <w:bookmarkStart w:id="294" w:name="_Toc164608644"/>
      <w:r/>
      <w:bookmarkStart w:id="295" w:name="_Toc151193700"/>
      <w:r/>
      <w:bookmarkStart w:id="296" w:name="_Toc164608799"/>
      <w:r/>
      <w:bookmarkStart w:id="297" w:name="_Toc150509281"/>
      <w:r/>
      <w:bookmarkStart w:id="298" w:name="_Toc127151731"/>
      <w:r/>
      <w:bookmarkStart w:id="299" w:name="_Toc195842895"/>
      <w:r/>
      <w:bookmarkStart w:id="300" w:name="_Toc164229225"/>
      <w:r/>
      <w:bookmarkStart w:id="301" w:name="_Toc164351624"/>
      <w:r/>
      <w:bookmarkStart w:id="302" w:name="_Toc150774735"/>
      <w:r/>
      <w:bookmarkStart w:id="303" w:name="_Toc149720823"/>
      <w:r/>
      <w:bookmarkStart w:id="304" w:name="_Toc151190157"/>
      <w:r/>
      <w:bookmarkStart w:id="305" w:name="_Toc520356155"/>
      <w:r/>
      <w:bookmarkStart w:id="306" w:name="_Toc151193628"/>
      <w:r/>
      <w:bookmarkStart w:id="307" w:name="_Toc142311032"/>
      <w:r/>
      <w:bookmarkStart w:id="308" w:name="_Toc151193772"/>
      <w:r>
        <w:rPr>
          <w:rFonts w:ascii="宋体" w:hAnsi="宋体"/>
          <w:color w:val="000000"/>
          <w:sz w:val="24"/>
          <w:highlight w:val="none"/>
        </w:rPr>
        <w:t xml:space="preserve">投标报价</w:t>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所有投标均以人民币报价。</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投标人的报价应包括为完成本项目所发生的一切费用和税费，招标人将不再支付报价以外的任何费用。</w:t>
      </w:r>
      <w:r>
        <w:rPr>
          <w:rFonts w:hint="eastAsia" w:ascii="宋体" w:hAnsi="宋体"/>
          <w:color w:val="000000"/>
          <w:sz w:val="24"/>
          <w:highlight w:val="none"/>
        </w:rPr>
        <w:t xml:space="preserve">投标人的报价应包括但不限于下列内容，《投标人须知资料表》中有特殊规定的，从其规定。</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按照招标文件要求完成本项目的全部相关服务费用。 </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采购人不得向供应商索要或者接受其给予的赠品、回扣或者与采购无关的其他商品、服务。</w:t>
      </w:r>
      <w:r>
        <w:rPr>
          <w:rFonts w:ascii="宋体" w:hAnsi="宋体"/>
          <w:color w:val="000000"/>
          <w:sz w:val="24"/>
          <w:highlight w:val="none"/>
        </w:rPr>
      </w:r>
      <w:r/>
    </w:p>
    <w:p>
      <w:pPr>
        <w:pStyle w:val="918"/>
        <w:numPr>
          <w:ilvl w:val="1"/>
          <w:numId w:val="8"/>
        </w:numPr>
        <w:ind w:left="1080"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投标人不能提供任何有选择性或可调整的报价，否则其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hint="eastAsia" w:ascii="宋体" w:hAnsi="宋体"/>
          <w:color w:val="000000"/>
          <w:sz w:val="24"/>
          <w:highlight w:val="none"/>
        </w:rPr>
        <w:outlineLvl w:val="1"/>
      </w:pPr>
      <w:r/>
      <w:bookmarkStart w:id="309" w:name="_Toc226965804"/>
      <w:r/>
      <w:bookmarkStart w:id="310" w:name="_Toc164351625"/>
      <w:r/>
      <w:bookmarkStart w:id="311" w:name="_Toc164229372"/>
      <w:r/>
      <w:bookmarkStart w:id="312" w:name="_Toc151190158"/>
      <w:r/>
      <w:bookmarkStart w:id="313" w:name="_Toc164608800"/>
      <w:r/>
      <w:bookmarkStart w:id="314" w:name="_Toc150774631"/>
      <w:r/>
      <w:bookmarkStart w:id="315" w:name="_Toc151193701"/>
      <w:r/>
      <w:bookmarkStart w:id="316" w:name="_Toc264969221"/>
      <w:r/>
      <w:bookmarkStart w:id="317" w:name="_Toc127151531"/>
      <w:r/>
      <w:bookmarkStart w:id="318" w:name="_Toc305158873"/>
      <w:r/>
      <w:bookmarkStart w:id="319" w:name="_Toc164608645"/>
      <w:r/>
      <w:bookmarkStart w:id="320" w:name="_Toc150774736"/>
      <w:r/>
      <w:bookmarkStart w:id="321" w:name="_Toc164229226"/>
      <w:r/>
      <w:bookmarkStart w:id="322" w:name="_Toc127161445"/>
      <w:r/>
      <w:bookmarkStart w:id="323" w:name="_Toc151193773"/>
      <w:r/>
      <w:bookmarkStart w:id="324" w:name="_Toc149720824"/>
      <w:r/>
      <w:bookmarkStart w:id="325" w:name="_Toc226965721"/>
      <w:r/>
      <w:bookmarkStart w:id="326" w:name="_Toc142311033"/>
      <w:r/>
      <w:bookmarkStart w:id="327" w:name="_Toc150480769"/>
      <w:r/>
      <w:bookmarkStart w:id="328" w:name="_Toc127151732"/>
      <w:r/>
      <w:bookmarkStart w:id="329" w:name="_Toc305158799"/>
      <w:r/>
      <w:bookmarkStart w:id="330" w:name="_Toc226337227"/>
      <w:r/>
      <w:bookmarkStart w:id="331" w:name="_Toc151193845"/>
      <w:r/>
      <w:bookmarkStart w:id="332" w:name="_Ref467306513"/>
      <w:r/>
      <w:bookmarkStart w:id="333" w:name="_Toc151193919"/>
      <w:r/>
      <w:bookmarkStart w:id="334" w:name="_Toc226309775"/>
      <w:r/>
      <w:bookmarkStart w:id="335" w:name="_Toc520356156"/>
      <w:r/>
      <w:bookmarkStart w:id="336" w:name="_Toc151193629"/>
      <w:r/>
      <w:bookmarkStart w:id="337" w:name="_Toc150509282"/>
      <w:r/>
      <w:bookmarkStart w:id="338" w:name="_Toc195842896"/>
      <w:r/>
      <w:bookmarkStart w:id="339" w:name="_Toc265228369"/>
      <w:r>
        <w:rPr>
          <w:rFonts w:ascii="宋体" w:hAnsi="宋体"/>
          <w:color w:val="000000"/>
          <w:sz w:val="24"/>
          <w:highlight w:val="none"/>
        </w:rPr>
        <w:t xml:space="preserve">投标保证金</w:t>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rPr>
          <w:rFonts w:hint="eastAsia" w:ascii="宋体" w:hAnsi="宋体"/>
          <w:color w:val="000000"/>
          <w:sz w:val="24"/>
          <w:highlight w:val="none"/>
        </w:rPr>
      </w:r>
      <w:r/>
    </w:p>
    <w:p>
      <w:pPr>
        <w:pStyle w:val="918"/>
        <w:ind w:left="357"/>
        <w:spacing w:line="360" w:lineRule="auto"/>
        <w:tabs>
          <w:tab w:val="left" w:pos="360" w:leader="none"/>
        </w:tabs>
        <w:rPr>
          <w:rFonts w:ascii="宋体" w:hAnsi="宋体"/>
          <w:color w:val="000000"/>
          <w:sz w:val="24"/>
          <w:highlight w:val="none"/>
        </w:rPr>
        <w:outlineLvl w:val="1"/>
      </w:pPr>
      <w:r>
        <w:rPr>
          <w:rFonts w:hint="eastAsia" w:ascii="宋体" w:hAnsi="宋体"/>
          <w:color w:val="000000"/>
          <w:sz w:val="24"/>
          <w:highlight w:val="none"/>
        </w:rPr>
        <w:t xml:space="preserve">根据江苏省和常州市的相关文件规定，免收投标保证金。</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40" w:name="_Toc164229227"/>
      <w:r/>
      <w:bookmarkStart w:id="341" w:name="_Toc151193846"/>
      <w:r/>
      <w:bookmarkStart w:id="342" w:name="_Toc226309776"/>
      <w:r/>
      <w:bookmarkStart w:id="343" w:name="_Toc164608646"/>
      <w:r/>
      <w:bookmarkStart w:id="344" w:name="_Toc150774737"/>
      <w:r/>
      <w:bookmarkStart w:id="345" w:name="_Toc149720825"/>
      <w:r/>
      <w:bookmarkStart w:id="346" w:name="_Toc195842897"/>
      <w:r/>
      <w:bookmarkStart w:id="347" w:name="_Toc305158800"/>
      <w:r/>
      <w:bookmarkStart w:id="348" w:name="_Toc150774632"/>
      <w:r/>
      <w:bookmarkStart w:id="349" w:name="_Toc265228370"/>
      <w:r/>
      <w:bookmarkStart w:id="350" w:name="_Toc151193702"/>
      <w:r/>
      <w:bookmarkStart w:id="351" w:name="_Toc164351626"/>
      <w:r/>
      <w:bookmarkStart w:id="352" w:name="_Toc164229373"/>
      <w:r/>
      <w:bookmarkStart w:id="353" w:name="_Toc226337228"/>
      <w:r/>
      <w:bookmarkStart w:id="354" w:name="_Toc150509283"/>
      <w:r/>
      <w:bookmarkStart w:id="355" w:name="_Toc520356157"/>
      <w:r/>
      <w:bookmarkStart w:id="356" w:name="_Toc127151532"/>
      <w:r/>
      <w:bookmarkStart w:id="357" w:name="_Toc264969222"/>
      <w:r/>
      <w:bookmarkStart w:id="358" w:name="_Toc142311034"/>
      <w:r/>
      <w:bookmarkStart w:id="359" w:name="_Toc127151733"/>
      <w:r/>
      <w:bookmarkStart w:id="360" w:name="_Toc226965722"/>
      <w:r/>
      <w:bookmarkStart w:id="361" w:name="_Toc226965805"/>
      <w:r/>
      <w:bookmarkStart w:id="362" w:name="_Toc127161446"/>
      <w:r/>
      <w:bookmarkStart w:id="363" w:name="_Toc305158874"/>
      <w:r/>
      <w:bookmarkStart w:id="364" w:name="_Toc151193630"/>
      <w:r/>
      <w:bookmarkStart w:id="365" w:name="_Toc150480770"/>
      <w:r/>
      <w:bookmarkStart w:id="366" w:name="_Toc151193774"/>
      <w:r/>
      <w:bookmarkStart w:id="367" w:name="_Toc164608801"/>
      <w:r/>
      <w:bookmarkStart w:id="368" w:name="_Toc151193920"/>
      <w:r/>
      <w:bookmarkStart w:id="369" w:name="_Toc151190159"/>
      <w:r>
        <w:rPr>
          <w:rFonts w:ascii="宋体" w:hAnsi="宋体"/>
          <w:color w:val="000000"/>
          <w:sz w:val="24"/>
          <w:highlight w:val="none"/>
        </w:rPr>
        <w:t xml:space="preserve">投标有效期</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文件</w:t>
      </w:r>
      <w:r>
        <w:rPr>
          <w:rFonts w:ascii="宋体" w:hAnsi="宋体"/>
          <w:color w:val="000000"/>
          <w:sz w:val="24"/>
          <w:highlight w:val="none"/>
        </w:rPr>
        <w:t xml:space="preserve">应在本招标文件《投标人须知资料表》中规定的投标有效期内保持有效，投标有效期少于招标文件规定期限的，其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370" w:name="_Toc226965723"/>
      <w:r/>
      <w:bookmarkStart w:id="371" w:name="_Toc305158801"/>
      <w:r/>
      <w:bookmarkStart w:id="372" w:name="_Toc164608802"/>
      <w:r/>
      <w:bookmarkStart w:id="373" w:name="_Toc226309777"/>
      <w:r/>
      <w:bookmarkStart w:id="374" w:name="_Toc164229374"/>
      <w:r/>
      <w:bookmarkStart w:id="375" w:name="_Toc226965806"/>
      <w:r/>
      <w:bookmarkStart w:id="376" w:name="_Toc151190160"/>
      <w:r/>
      <w:bookmarkStart w:id="377" w:name="_Toc150774738"/>
      <w:r/>
      <w:bookmarkStart w:id="378" w:name="_Toc164229228"/>
      <w:r/>
      <w:bookmarkStart w:id="379" w:name="_Toc226337229"/>
      <w:r/>
      <w:bookmarkStart w:id="380" w:name="_Toc520356158"/>
      <w:r/>
      <w:bookmarkStart w:id="381" w:name="_Toc151193703"/>
      <w:r/>
      <w:bookmarkStart w:id="382" w:name="_Toc142311035"/>
      <w:r/>
      <w:bookmarkStart w:id="383" w:name="_Toc150480771"/>
      <w:r/>
      <w:bookmarkStart w:id="384" w:name="_Toc150774633"/>
      <w:r/>
      <w:bookmarkStart w:id="385" w:name="_Toc151193921"/>
      <w:r/>
      <w:bookmarkStart w:id="386" w:name="_Toc150509284"/>
      <w:r/>
      <w:bookmarkStart w:id="387" w:name="_Toc164351627"/>
      <w:r/>
      <w:bookmarkStart w:id="388" w:name="_Toc265228371"/>
      <w:r/>
      <w:bookmarkStart w:id="389" w:name="_Toc264969223"/>
      <w:r/>
      <w:bookmarkStart w:id="390" w:name="_Toc305158875"/>
      <w:r/>
      <w:bookmarkStart w:id="391" w:name="_Toc151193631"/>
      <w:r/>
      <w:bookmarkStart w:id="392" w:name="_Toc151193775"/>
      <w:r/>
      <w:bookmarkStart w:id="393" w:name="_Toc127161447"/>
      <w:r/>
      <w:bookmarkStart w:id="394" w:name="_Toc127151533"/>
      <w:r/>
      <w:bookmarkStart w:id="395" w:name="_Toc151193847"/>
      <w:r/>
      <w:bookmarkStart w:id="396" w:name="_Toc164608647"/>
      <w:r/>
      <w:bookmarkStart w:id="397" w:name="_Toc195842898"/>
      <w:r/>
      <w:bookmarkStart w:id="398" w:name="_Toc127151734"/>
      <w:r/>
      <w:bookmarkStart w:id="399" w:name="_Toc149720826"/>
      <w:r>
        <w:rPr>
          <w:rFonts w:ascii="宋体" w:hAnsi="宋体"/>
          <w:color w:val="000000"/>
          <w:sz w:val="24"/>
          <w:highlight w:val="none"/>
        </w:rPr>
        <w:t xml:space="preserve">投标文件的签署</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rPr>
          <w:rFonts w:ascii="宋体" w:hAnsi="宋体"/>
          <w:color w:val="000000"/>
          <w:sz w:val="24"/>
          <w:highlight w:val="none"/>
        </w:rPr>
        <w:t xml:space="preserve">、加盖公章</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bookmarkStart w:id="400" w:name="_Toc142311036"/>
      <w:r/>
      <w:bookmarkStart w:id="401" w:name="_Toc305158876"/>
      <w:r/>
      <w:bookmarkStart w:id="402" w:name="_Toc520356159"/>
      <w:r/>
      <w:bookmarkStart w:id="403" w:name="_Toc150774634"/>
      <w:r/>
      <w:bookmarkStart w:id="404" w:name="_Toc226965807"/>
      <w:r/>
      <w:bookmarkStart w:id="405" w:name="_Toc264969224"/>
      <w:r/>
      <w:bookmarkStart w:id="406" w:name="_Toc226309778"/>
      <w:r/>
      <w:bookmarkStart w:id="407" w:name="_Toc226337230"/>
      <w:r/>
      <w:bookmarkStart w:id="408" w:name="_Toc151193632"/>
      <w:r/>
      <w:bookmarkStart w:id="409" w:name="_Toc151193704"/>
      <w:r/>
      <w:bookmarkStart w:id="410" w:name="_Toc150509285"/>
      <w:r/>
      <w:bookmarkStart w:id="411" w:name="_Toc305158802"/>
      <w:r/>
      <w:bookmarkStart w:id="412" w:name="_Toc151193922"/>
      <w:r/>
      <w:bookmarkStart w:id="413" w:name="_Toc226965724"/>
      <w:r/>
      <w:bookmarkStart w:id="414" w:name="_Toc151193776"/>
      <w:r/>
      <w:bookmarkStart w:id="415" w:name="_Toc150774739"/>
      <w:r/>
      <w:bookmarkStart w:id="416" w:name="_Toc265228372"/>
      <w:r/>
      <w:bookmarkStart w:id="417" w:name="_Toc151193848"/>
      <w:r/>
      <w:bookmarkStart w:id="418" w:name="_Toc195842899"/>
      <w:r/>
      <w:bookmarkStart w:id="419" w:name="_Toc151190161"/>
      <w:r/>
      <w:bookmarkStart w:id="420" w:name="_Toc150480772"/>
      <w:r/>
      <w:bookmarkStart w:id="421" w:name="_Toc127151534"/>
      <w:r>
        <w:rPr>
          <w:rFonts w:ascii="宋体" w:hAnsi="宋体"/>
          <w:color w:val="000000"/>
          <w:sz w:val="24"/>
          <w:highlight w:val="none"/>
        </w:rPr>
        <w:t xml:space="preserve">招标文件要求签字的内容（如授权委托书等），</w:t>
      </w:r>
      <w:r>
        <w:rPr>
          <w:rFonts w:hint="eastAsia" w:ascii="宋体" w:hAnsi="宋体"/>
          <w:color w:val="000000"/>
          <w:sz w:val="24"/>
          <w:highlight w:val="none"/>
        </w:rPr>
        <w:t xml:space="preserve">可以使用电子签章或使用原件的电子件（电子件指扫描件、照片等形式电子文件）；要求</w:t>
      </w:r>
      <w:r>
        <w:rPr>
          <w:rFonts w:ascii="宋体" w:hAnsi="宋体"/>
          <w:color w:val="000000"/>
          <w:sz w:val="24"/>
          <w:highlight w:val="none"/>
        </w:rPr>
        <w:t xml:space="preserve">第三方出具的加盖公章原件（如联合协议、分包意向协议、制造商授权书等），投标文件中应使用原件的电子件。</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招标文件要求加盖公章的内容，</w:t>
      </w:r>
      <w:r>
        <w:rPr>
          <w:rFonts w:hint="eastAsia" w:ascii="宋体" w:hAnsi="宋体"/>
          <w:color w:val="000000"/>
          <w:sz w:val="24"/>
          <w:highlight w:val="none"/>
        </w:rPr>
        <w:t xml:space="preserve">一般</w:t>
      </w:r>
      <w:r>
        <w:rPr>
          <w:rFonts w:ascii="宋体" w:hAnsi="宋体"/>
          <w:color w:val="000000"/>
          <w:sz w:val="24"/>
          <w:highlight w:val="none"/>
        </w:rPr>
        <w:t xml:space="preserve">通过投标文件编制工具加盖电子签章。</w:t>
      </w:r>
      <w:r>
        <w:rPr>
          <w:rFonts w:ascii="宋体" w:hAnsi="宋体"/>
          <w:color w:val="000000"/>
          <w:sz w:val="24"/>
          <w:highlight w:val="none"/>
        </w:rPr>
      </w:r>
      <w:r/>
    </w:p>
    <w:p>
      <w:pPr>
        <w:pStyle w:val="918"/>
        <w:ind w:left="357"/>
        <w:spacing w:line="360" w:lineRule="auto"/>
        <w:tabs>
          <w:tab w:val="left" w:pos="900" w:leader="none"/>
          <w:tab w:val="left" w:pos="1080" w:leader="none"/>
        </w:tabs>
        <w:rPr>
          <w:rFonts w:ascii="宋体" w:hAnsi="宋体"/>
          <w:color w:val="000000"/>
          <w:highlight w:val="none"/>
        </w:rPr>
      </w:pPr>
      <w:r>
        <w:rPr>
          <w:rFonts w:ascii="宋体" w:hAnsi="宋体"/>
          <w:color w:val="000000"/>
          <w:highlight w:val="none"/>
        </w:rPr>
      </w:r>
      <w:r/>
    </w:p>
    <w:p>
      <w:pPr>
        <w:pStyle w:val="920"/>
        <w:spacing w:before="0" w:line="360" w:lineRule="auto"/>
        <w:rPr>
          <w:rFonts w:ascii="宋体" w:hAnsi="宋体" w:eastAsia="宋体"/>
          <w:color w:val="000000"/>
          <w:sz w:val="28"/>
          <w:highlight w:val="none"/>
        </w:rPr>
      </w:pPr>
      <w:r>
        <w:rPr>
          <w:rFonts w:ascii="宋体" w:hAnsi="宋体" w:eastAsia="宋体"/>
          <w:color w:val="000000"/>
          <w:sz w:val="28"/>
          <w:highlight w:val="none"/>
        </w:rPr>
        <w:t xml:space="preserve">四   投标文件的提交</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rPr>
          <w:rFonts w:ascii="宋体" w:hAnsi="宋体" w:eastAsia="宋体"/>
          <w:color w:val="000000"/>
          <w:sz w:val="28"/>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22" w:name="_Toc151190162"/>
      <w:r/>
      <w:bookmarkStart w:id="423" w:name="_Toc151193849"/>
      <w:r/>
      <w:bookmarkStart w:id="424" w:name="_Toc265228373"/>
      <w:r/>
      <w:bookmarkStart w:id="425" w:name="_Toc151193923"/>
      <w:r/>
      <w:bookmarkStart w:id="426" w:name="_Toc264969225"/>
      <w:r/>
      <w:bookmarkStart w:id="427" w:name="_Toc226965808"/>
      <w:r/>
      <w:bookmarkStart w:id="428" w:name="_Toc164229376"/>
      <w:r/>
      <w:bookmarkStart w:id="429" w:name="_Toc127161449"/>
      <w:r/>
      <w:bookmarkStart w:id="430" w:name="_Toc151193633"/>
      <w:r/>
      <w:bookmarkStart w:id="431" w:name="_Toc127151736"/>
      <w:r/>
      <w:bookmarkStart w:id="432" w:name="_Toc150774740"/>
      <w:r/>
      <w:bookmarkStart w:id="433" w:name="_Toc305158803"/>
      <w:r/>
      <w:bookmarkStart w:id="434" w:name="_Toc127151535"/>
      <w:r/>
      <w:bookmarkStart w:id="435" w:name="_Toc150509286"/>
      <w:r/>
      <w:bookmarkStart w:id="436" w:name="_Toc150774635"/>
      <w:r/>
      <w:bookmarkStart w:id="437" w:name="_Toc151193777"/>
      <w:r/>
      <w:bookmarkStart w:id="438" w:name="_Toc520356160"/>
      <w:r/>
      <w:bookmarkStart w:id="439" w:name="_Toc149720828"/>
      <w:r/>
      <w:bookmarkStart w:id="440" w:name="_Toc151193705"/>
      <w:r/>
      <w:bookmarkStart w:id="441" w:name="_Toc195842900"/>
      <w:r/>
      <w:bookmarkStart w:id="442" w:name="_Toc226337231"/>
      <w:r/>
      <w:bookmarkStart w:id="443" w:name="_Toc164351629"/>
      <w:r/>
      <w:bookmarkStart w:id="444" w:name="_Toc164229230"/>
      <w:r/>
      <w:bookmarkStart w:id="445" w:name="_Toc150480773"/>
      <w:r/>
      <w:bookmarkStart w:id="446" w:name="_Toc142311037"/>
      <w:r/>
      <w:bookmarkStart w:id="447" w:name="_Toc305158877"/>
      <w:r/>
      <w:bookmarkStart w:id="448" w:name="_Toc164608804"/>
      <w:r/>
      <w:bookmarkStart w:id="449" w:name="_Toc164608649"/>
      <w:r/>
      <w:bookmarkStart w:id="450" w:name="_Toc226309779"/>
      <w:r/>
      <w:bookmarkStart w:id="451" w:name="_Toc226965725"/>
      <w:r>
        <w:rPr>
          <w:rFonts w:ascii="宋体" w:hAnsi="宋体"/>
          <w:color w:val="000000"/>
          <w:sz w:val="24"/>
          <w:highlight w:val="none"/>
        </w:rPr>
        <w:t xml:space="preserve">投标文件的</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rPr>
          <w:rFonts w:ascii="宋体" w:hAnsi="宋体"/>
          <w:color w:val="000000"/>
          <w:sz w:val="24"/>
          <w:highlight w:val="none"/>
        </w:rPr>
        <w:t xml:space="preserve">提交</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lang w:bidi="ar"/>
        </w:rPr>
        <w:t xml:space="preserve">政府采购一体化平台</w:t>
      </w:r>
      <w:r>
        <w:rPr>
          <w:rFonts w:ascii="宋体" w:hAnsi="宋体"/>
          <w:color w:val="000000"/>
          <w:sz w:val="24"/>
          <w:highlight w:val="none"/>
        </w:rPr>
        <w:t xml:space="preserve">。投标人根据招标文件及</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ascii="宋体" w:hAnsi="宋体"/>
          <w:color w:val="000000"/>
          <w:sz w:val="24"/>
          <w:highlight w:val="none"/>
          <w:lang w:bidi="ar"/>
        </w:rPr>
        <w:t xml:space="preserve">系统</w:t>
      </w:r>
      <w:r>
        <w:rPr>
          <w:rFonts w:ascii="宋体" w:hAnsi="宋体"/>
          <w:color w:val="000000"/>
          <w:sz w:val="24"/>
          <w:highlight w:val="none"/>
        </w:rPr>
        <w:t xml:space="preserve">供应商操作手册要求编制、生成并提交电子投标文件。</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采购人及采购代理机构拒绝接受通过</w:t>
      </w:r>
      <w:r>
        <w:rPr>
          <w:rFonts w:hint="eastAsia" w:ascii="宋体" w:hAnsi="宋体"/>
          <w:color w:val="000000"/>
          <w:sz w:val="24"/>
          <w:highlight w:val="none"/>
        </w:rPr>
        <w:t xml:space="preserve">“</w:t>
      </w:r>
      <w:r>
        <w:rPr>
          <w:rFonts w:ascii="宋体" w:hAnsi="宋体"/>
          <w:color w:val="000000"/>
          <w:sz w:val="24"/>
          <w:highlight w:val="none"/>
        </w:rPr>
        <w:t xml:space="preserve">苏采云”系统以外任何形式提交的投标文件。</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52" w:name="_Toc226965809"/>
      <w:r/>
      <w:bookmarkStart w:id="453" w:name="_Toc150774636"/>
      <w:r/>
      <w:bookmarkStart w:id="454" w:name="_Toc164229231"/>
      <w:r/>
      <w:bookmarkStart w:id="455" w:name="_Toc305158878"/>
      <w:r/>
      <w:bookmarkStart w:id="456" w:name="_Toc226965726"/>
      <w:r/>
      <w:bookmarkStart w:id="457" w:name="_Toc164608650"/>
      <w:r/>
      <w:bookmarkStart w:id="458" w:name="_Toc164608805"/>
      <w:r/>
      <w:bookmarkStart w:id="459" w:name="_Toc127151536"/>
      <w:r/>
      <w:bookmarkStart w:id="460" w:name="_Toc520356161"/>
      <w:r/>
      <w:bookmarkStart w:id="461" w:name="_Toc226309780"/>
      <w:r/>
      <w:bookmarkStart w:id="462" w:name="_Toc164229377"/>
      <w:r/>
      <w:bookmarkStart w:id="463" w:name="_Toc127161450"/>
      <w:r/>
      <w:bookmarkStart w:id="464" w:name="_Toc164351630"/>
      <w:r/>
      <w:bookmarkStart w:id="465" w:name="_Toc150509287"/>
      <w:r/>
      <w:bookmarkStart w:id="466" w:name="_Toc226337232"/>
      <w:r/>
      <w:bookmarkStart w:id="467" w:name="_Toc151193634"/>
      <w:r/>
      <w:bookmarkStart w:id="468" w:name="_Toc151193778"/>
      <w:r/>
      <w:bookmarkStart w:id="469" w:name="_Toc151190163"/>
      <w:r/>
      <w:bookmarkStart w:id="470" w:name="_Toc264969226"/>
      <w:r/>
      <w:bookmarkStart w:id="471" w:name="_Toc127151737"/>
      <w:r/>
      <w:bookmarkStart w:id="472" w:name="_Toc150774741"/>
      <w:r/>
      <w:bookmarkStart w:id="473" w:name="_Toc265228374"/>
      <w:r/>
      <w:bookmarkStart w:id="474" w:name="_Toc151193924"/>
      <w:r/>
      <w:bookmarkStart w:id="475" w:name="_Toc151193850"/>
      <w:r/>
      <w:bookmarkStart w:id="476" w:name="_Toc149720829"/>
      <w:r/>
      <w:bookmarkStart w:id="477" w:name="_Toc142311038"/>
      <w:r/>
      <w:bookmarkStart w:id="478" w:name="_Toc195842901"/>
      <w:r/>
      <w:bookmarkStart w:id="479" w:name="_Toc305158804"/>
      <w:r/>
      <w:bookmarkStart w:id="480" w:name="_Toc150480774"/>
      <w:r/>
      <w:bookmarkStart w:id="481" w:name="_Toc151193706"/>
      <w:r>
        <w:rPr>
          <w:rFonts w:ascii="宋体" w:hAnsi="宋体"/>
          <w:color w:val="000000"/>
          <w:sz w:val="24"/>
          <w:highlight w:val="none"/>
        </w:rPr>
        <w:t xml:space="preserve">投标截止</w:t>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rPr>
          <w:rFonts w:ascii="宋体" w:hAnsi="宋体"/>
          <w:color w:val="000000"/>
          <w:sz w:val="24"/>
          <w:highlight w:val="none"/>
        </w:rPr>
        <w:t xml:space="preserve">时间</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投标人应在招标文件要求提交投标文件截止时间前，将电子投标文件提交至</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482" w:name="_Toc164351631"/>
      <w:r/>
      <w:bookmarkStart w:id="483" w:name="_Toc226965810"/>
      <w:r/>
      <w:bookmarkStart w:id="484" w:name="_Toc226309781"/>
      <w:r/>
      <w:bookmarkStart w:id="485" w:name="_Toc150774637"/>
      <w:r/>
      <w:bookmarkStart w:id="486" w:name="_Toc151193635"/>
      <w:r/>
      <w:bookmarkStart w:id="487" w:name="_Toc164229232"/>
      <w:r/>
      <w:bookmarkStart w:id="488" w:name="_Toc520356162"/>
      <w:r/>
      <w:bookmarkStart w:id="489" w:name="_Toc151193925"/>
      <w:r/>
      <w:bookmarkStart w:id="490" w:name="_Toc226337233"/>
      <w:r/>
      <w:bookmarkStart w:id="491" w:name="_Toc226965727"/>
      <w:r/>
      <w:bookmarkStart w:id="492" w:name="_Toc305158879"/>
      <w:r/>
      <w:bookmarkStart w:id="493" w:name="_Toc151193707"/>
      <w:r/>
      <w:bookmarkStart w:id="494" w:name="_Toc151190164"/>
      <w:r/>
      <w:bookmarkStart w:id="495" w:name="_Toc151193851"/>
      <w:r/>
      <w:bookmarkStart w:id="496" w:name="_Toc151193779"/>
      <w:r/>
      <w:bookmarkStart w:id="497" w:name="_Toc164608651"/>
      <w:r/>
      <w:bookmarkStart w:id="498" w:name="_Toc150480775"/>
      <w:r/>
      <w:bookmarkStart w:id="499" w:name="_Toc149720830"/>
      <w:r/>
      <w:bookmarkStart w:id="500" w:name="_Toc305158805"/>
      <w:r/>
      <w:bookmarkStart w:id="501" w:name="_Toc164608806"/>
      <w:r/>
      <w:bookmarkStart w:id="502" w:name="_Toc127151738"/>
      <w:r/>
      <w:bookmarkStart w:id="503" w:name="_Toc164229378"/>
      <w:r/>
      <w:bookmarkStart w:id="504" w:name="_Toc142311039"/>
      <w:r/>
      <w:bookmarkStart w:id="505" w:name="_Toc127151537"/>
      <w:r/>
      <w:bookmarkStart w:id="506" w:name="_Toc195842902"/>
      <w:r/>
      <w:bookmarkStart w:id="507" w:name="_Toc150774742"/>
      <w:r/>
      <w:bookmarkStart w:id="508" w:name="_Toc127161451"/>
      <w:r/>
      <w:bookmarkStart w:id="509" w:name="_Toc265228375"/>
      <w:r/>
      <w:bookmarkStart w:id="510" w:name="_Toc150509288"/>
      <w:r/>
      <w:bookmarkStart w:id="511" w:name="_Toc264969227"/>
      <w:r>
        <w:rPr>
          <w:rFonts w:ascii="宋体" w:hAnsi="宋体"/>
          <w:color w:val="000000"/>
          <w:sz w:val="24"/>
          <w:highlight w:val="none"/>
        </w:rPr>
        <w:t xml:space="preserve">投标文件的修改与撤回</w:t>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投标截止时间前，投标人可以通过</w:t>
      </w:r>
      <w:r>
        <w:rPr>
          <w:rFonts w:hint="eastAsia" w:ascii="宋体" w:hAnsi="宋体"/>
          <w:color w:val="000000"/>
          <w:sz w:val="24"/>
          <w:highlight w:val="none"/>
        </w:rPr>
        <w:t xml:space="preserve">“</w:t>
      </w:r>
      <w:r>
        <w:rPr>
          <w:rFonts w:ascii="宋体" w:hAnsi="宋体"/>
          <w:color w:val="000000"/>
          <w:sz w:val="24"/>
          <w:highlight w:val="none"/>
        </w:rPr>
        <w:t xml:space="preserve">苏采云”系统对所提交的投标文件进行补充、修改或者撤回。</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投标人对投标文件的补充、修改的内容应当按照招标文件要求签署、加盖公章，作为投标文件的组成部分。</w:t>
      </w:r>
      <w:r>
        <w:rPr>
          <w:rFonts w:ascii="宋体" w:hAnsi="宋体"/>
          <w:color w:val="000000"/>
          <w:sz w:val="24"/>
          <w:highlight w:val="none"/>
        </w:rPr>
      </w:r>
      <w:r/>
    </w:p>
    <w:p>
      <w:pPr>
        <w:pStyle w:val="918"/>
        <w:spacing w:line="360" w:lineRule="auto"/>
        <w:rPr>
          <w:rFonts w:ascii="宋体" w:hAnsi="宋体"/>
          <w:color w:val="000000"/>
          <w:sz w:val="24"/>
          <w:highlight w:val="none"/>
        </w:rPr>
      </w:pPr>
      <w:r>
        <w:rPr>
          <w:rFonts w:ascii="宋体" w:hAnsi="宋体"/>
          <w:color w:val="000000"/>
          <w:sz w:val="24"/>
          <w:highlight w:val="none"/>
        </w:rPr>
      </w:r>
      <w:r/>
    </w:p>
    <w:p>
      <w:pPr>
        <w:pStyle w:val="920"/>
        <w:spacing w:before="0" w:line="360" w:lineRule="auto"/>
        <w:rPr>
          <w:rFonts w:ascii="宋体" w:hAnsi="宋体" w:eastAsia="宋体"/>
          <w:color w:val="000000"/>
          <w:sz w:val="28"/>
          <w:highlight w:val="none"/>
        </w:rPr>
      </w:pPr>
      <w:r/>
      <w:bookmarkStart w:id="512" w:name="_Toc151193780"/>
      <w:r/>
      <w:bookmarkStart w:id="513" w:name="_Toc150774743"/>
      <w:r/>
      <w:bookmarkStart w:id="514" w:name="_Toc151193708"/>
      <w:r/>
      <w:bookmarkStart w:id="515" w:name="_Toc226965811"/>
      <w:r/>
      <w:bookmarkStart w:id="516" w:name="_Toc142311040"/>
      <w:r/>
      <w:bookmarkStart w:id="517" w:name="_Toc151193852"/>
      <w:r/>
      <w:bookmarkStart w:id="518" w:name="_Toc150509289"/>
      <w:r/>
      <w:bookmarkStart w:id="519" w:name="_Toc226309782"/>
      <w:r/>
      <w:bookmarkStart w:id="520" w:name="_Toc226337234"/>
      <w:r/>
      <w:bookmarkStart w:id="521" w:name="_Toc264969228"/>
      <w:r/>
      <w:bookmarkStart w:id="522" w:name="_Toc151193926"/>
      <w:r/>
      <w:bookmarkStart w:id="523" w:name="_Toc226965728"/>
      <w:r/>
      <w:bookmarkStart w:id="524" w:name="_Toc150774638"/>
      <w:r/>
      <w:bookmarkStart w:id="525" w:name="_Toc151193636"/>
      <w:r/>
      <w:bookmarkStart w:id="526" w:name="_Toc305158880"/>
      <w:r/>
      <w:bookmarkStart w:id="527" w:name="_Toc150480776"/>
      <w:r/>
      <w:bookmarkStart w:id="528" w:name="_Toc265228376"/>
      <w:r/>
      <w:bookmarkStart w:id="529" w:name="_Toc520356163"/>
      <w:r/>
      <w:bookmarkStart w:id="530" w:name="_Toc127151538"/>
      <w:r/>
      <w:bookmarkStart w:id="531" w:name="_Toc305158806"/>
      <w:r/>
      <w:bookmarkStart w:id="532" w:name="_Toc151190165"/>
      <w:r/>
      <w:bookmarkStart w:id="533" w:name="_Toc195842903"/>
      <w:r>
        <w:rPr>
          <w:rFonts w:ascii="宋体" w:hAnsi="宋体" w:eastAsia="宋体"/>
          <w:color w:val="000000"/>
          <w:sz w:val="28"/>
          <w:highlight w:val="none"/>
        </w:rPr>
        <w:t xml:space="preserve">五   开标、资格审查及评标</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ascii="宋体" w:hAnsi="宋体" w:eastAsia="宋体"/>
          <w:color w:val="000000"/>
          <w:sz w:val="28"/>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534" w:name="_Toc151193781"/>
      <w:r/>
      <w:bookmarkStart w:id="535" w:name="_Toc127151539"/>
      <w:r/>
      <w:bookmarkStart w:id="536" w:name="_Toc195842904"/>
      <w:r/>
      <w:bookmarkStart w:id="537" w:name="_Toc520356164"/>
      <w:r/>
      <w:bookmarkStart w:id="538" w:name="_Toc226309783"/>
      <w:r/>
      <w:bookmarkStart w:id="539" w:name="_Toc150509290"/>
      <w:r/>
      <w:bookmarkStart w:id="540" w:name="_Toc264969229"/>
      <w:r/>
      <w:bookmarkStart w:id="541" w:name="_Toc150774744"/>
      <w:r/>
      <w:bookmarkStart w:id="542" w:name="_Toc142311041"/>
      <w:r/>
      <w:bookmarkStart w:id="543" w:name="_Toc305158881"/>
      <w:r/>
      <w:bookmarkStart w:id="544" w:name="_Toc305158807"/>
      <w:r/>
      <w:bookmarkStart w:id="545" w:name="_Toc150480777"/>
      <w:r/>
      <w:bookmarkStart w:id="546" w:name="_Toc164229380"/>
      <w:r/>
      <w:bookmarkStart w:id="547" w:name="_Toc151193709"/>
      <w:r/>
      <w:bookmarkStart w:id="548" w:name="_Toc127161453"/>
      <w:r/>
      <w:bookmarkStart w:id="549" w:name="_Toc149720832"/>
      <w:r/>
      <w:bookmarkStart w:id="550" w:name="_Toc265228377"/>
      <w:r/>
      <w:bookmarkStart w:id="551" w:name="_Toc226337235"/>
      <w:r/>
      <w:bookmarkStart w:id="552" w:name="_Toc150774639"/>
      <w:r/>
      <w:bookmarkStart w:id="553" w:name="_Toc226965812"/>
      <w:r/>
      <w:bookmarkStart w:id="554" w:name="_Toc164351633"/>
      <w:r/>
      <w:bookmarkStart w:id="555" w:name="_Toc151193927"/>
      <w:r/>
      <w:bookmarkStart w:id="556" w:name="_Toc164608653"/>
      <w:r/>
      <w:bookmarkStart w:id="557" w:name="_Toc164608808"/>
      <w:r/>
      <w:bookmarkStart w:id="558" w:name="_Toc226965729"/>
      <w:r/>
      <w:bookmarkStart w:id="559" w:name="_Toc151193637"/>
      <w:r/>
      <w:bookmarkStart w:id="560" w:name="_Toc151190166"/>
      <w:r/>
      <w:bookmarkStart w:id="561" w:name="_Toc164229234"/>
      <w:r/>
      <w:bookmarkStart w:id="562" w:name="_Toc127151740"/>
      <w:r/>
      <w:bookmarkStart w:id="563" w:name="_Toc151193853"/>
      <w:r>
        <w:rPr>
          <w:rFonts w:ascii="宋体" w:hAnsi="宋体"/>
          <w:color w:val="000000"/>
          <w:sz w:val="24"/>
          <w:highlight w:val="none"/>
        </w:rPr>
        <w:t xml:space="preserve">开标</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采购人或采购代理机构将按招标文件的规定，在投标截止时间的同一时间和招标文件预先确定的地点组织开标。</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本项目开标采用不见面招投标模式</w:t>
      </w:r>
      <w:r>
        <w:rPr>
          <w:rFonts w:hint="eastAsia" w:ascii="宋体" w:hAnsi="宋体"/>
          <w:color w:val="000000"/>
          <w:sz w:val="24"/>
          <w:highlight w:val="none"/>
        </w:rPr>
        <w:t xml:space="preserve">，</w:t>
      </w:r>
      <w:r>
        <w:rPr>
          <w:rFonts w:ascii="宋体" w:hAnsi="宋体"/>
          <w:color w:val="000000"/>
          <w:sz w:val="24"/>
          <w:highlight w:val="none"/>
        </w:rPr>
        <w:t xml:space="preserve">使用</w:t>
      </w:r>
      <w:r>
        <w:rPr>
          <w:rFonts w:hint="eastAsia" w:ascii="宋体" w:hAnsi="宋体"/>
          <w:color w:val="000000"/>
          <w:sz w:val="24"/>
          <w:highlight w:val="none"/>
        </w:rPr>
        <w:t xml:space="preserve">“</w:t>
      </w:r>
      <w:r>
        <w:rPr>
          <w:rFonts w:ascii="宋体" w:hAnsi="宋体"/>
          <w:color w:val="000000"/>
          <w:sz w:val="24"/>
          <w:highlight w:val="none"/>
        </w:rPr>
        <w:t xml:space="preserve">苏采云”系统</w:t>
      </w:r>
      <w:r>
        <w:rPr>
          <w:rFonts w:hint="eastAsia" w:ascii="宋体" w:hAnsi="宋体"/>
          <w:color w:val="000000"/>
          <w:sz w:val="24"/>
          <w:highlight w:val="none"/>
        </w:rPr>
        <w:t xml:space="preserve">在线进行开标</w:t>
      </w:r>
      <w:r>
        <w:rPr>
          <w:rFonts w:ascii="宋体" w:hAnsi="宋体"/>
          <w:color w:val="000000"/>
          <w:sz w:val="24"/>
          <w:highlight w:val="none"/>
        </w:rPr>
        <w:t xml:space="preserve">。投标人应在规定的时间内对投标文件进行解密，因非系统原因导致的解密失败，视为</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开标过程将使用</w:t>
      </w:r>
      <w:r>
        <w:rPr>
          <w:rFonts w:hint="eastAsia" w:ascii="宋体" w:hAnsi="宋体"/>
          <w:color w:val="000000"/>
          <w:sz w:val="24"/>
          <w:highlight w:val="none"/>
        </w:rPr>
        <w:t xml:space="preserve">“</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政府采购一体化平台公</w:t>
      </w:r>
      <w:r>
        <w:rPr>
          <w:rFonts w:ascii="宋体" w:hAnsi="宋体"/>
          <w:color w:val="000000"/>
          <w:sz w:val="24"/>
          <w:highlight w:val="none"/>
        </w:rPr>
        <w:t xml:space="preserve">布投标人名称、投标价格和招标文件规定的需要宣布的其他内容并进行记录，并由参加开标的各投标人代表</w:t>
      </w:r>
      <w:r>
        <w:rPr>
          <w:rFonts w:hint="eastAsia" w:ascii="宋体" w:hAnsi="宋体"/>
          <w:color w:val="000000"/>
          <w:sz w:val="24"/>
          <w:highlight w:val="none"/>
        </w:rPr>
        <w:t xml:space="preserve">在规定时间内</w:t>
      </w:r>
      <w:r>
        <w:rPr>
          <w:rFonts w:ascii="宋体" w:hAnsi="宋体"/>
          <w:color w:val="000000"/>
          <w:sz w:val="24"/>
          <w:highlight w:val="none"/>
        </w:rPr>
        <w:t xml:space="preserve">确认</w:t>
      </w:r>
      <w:bookmarkStart w:id="564" w:name="_Toc520356165"/>
      <w:r>
        <w:rPr>
          <w:rFonts w:hint="eastAsia" w:ascii="宋体" w:hAnsi="宋体"/>
          <w:color w:val="000000"/>
          <w:sz w:val="24"/>
          <w:highlight w:val="none"/>
        </w:rPr>
        <w:t xml:space="preserve">。投标人超过规定时间未确认但是未提出疑义的，系统将视同已确认</w:t>
      </w:r>
      <w:r>
        <w:rPr>
          <w:rFonts w:ascii="宋体" w:hAnsi="宋体"/>
          <w:color w:val="000000"/>
          <w:sz w:val="24"/>
          <w:highlight w:val="none"/>
        </w:rPr>
        <w:t xml:space="preserve">。</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投标人代表对开标过程和开标记录有疑义，以及认为采购人、采购代理机构相关工作人员有需要回避的情形的，应当场</w:t>
      </w:r>
      <w:r>
        <w:rPr>
          <w:rFonts w:hint="eastAsia" w:ascii="宋体" w:hAnsi="宋体"/>
          <w:color w:val="000000"/>
          <w:sz w:val="24"/>
          <w:highlight w:val="none"/>
        </w:rPr>
        <w:t xml:space="preserve">通过业务系统</w:t>
      </w:r>
      <w:r>
        <w:rPr>
          <w:rFonts w:ascii="宋体" w:hAnsi="宋体"/>
          <w:color w:val="000000"/>
          <w:sz w:val="24"/>
          <w:highlight w:val="none"/>
        </w:rPr>
        <w:t xml:space="preserve">提出询问或者回避申请。采购人、采购代理机构对投标人代表提出的询问或者回避申请将及时处理。</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ascii="宋体" w:hAnsi="宋体"/>
          <w:color w:val="000000"/>
          <w:sz w:val="24"/>
          <w:highlight w:val="none"/>
        </w:rPr>
        <w:t xml:space="preserve">投标人不足3家的，不予开标。</w:t>
      </w:r>
      <w:r>
        <w:rPr>
          <w:rFonts w:hint="eastAsia"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投标人须在开标前使用“验证CA”功能验证本地计算机的控件环境是否正常，并且在开标</w:t>
      </w:r>
      <w:r>
        <w:rPr>
          <w:rFonts w:hint="eastAsia" w:ascii="宋体" w:hAnsi="宋体"/>
          <w:color w:val="000000"/>
          <w:sz w:val="24"/>
          <w:highlight w:val="none"/>
        </w:rPr>
        <w:t xml:space="preserve">评审</w:t>
      </w:r>
      <w:r>
        <w:rPr>
          <w:rFonts w:ascii="宋体" w:hAnsi="宋体"/>
          <w:color w:val="000000"/>
          <w:sz w:val="24"/>
          <w:highlight w:val="none"/>
        </w:rPr>
        <w:t xml:space="preserve">过程中不可随意更换</w:t>
      </w:r>
      <w:r>
        <w:rPr>
          <w:rFonts w:hint="eastAsia" w:ascii="宋体" w:hAnsi="宋体"/>
          <w:color w:val="000000"/>
          <w:sz w:val="24"/>
          <w:highlight w:val="none"/>
        </w:rPr>
        <w:t xml:space="preserve">计算机</w:t>
      </w:r>
      <w:r>
        <w:rPr>
          <w:rFonts w:ascii="宋体" w:hAnsi="宋体"/>
          <w:color w:val="000000"/>
          <w:sz w:val="24"/>
          <w:highlight w:val="none"/>
        </w:rPr>
        <w:t xml:space="preserve">，必须使用验证成功的计算机进行操作，否则造成相应后果由投标</w:t>
      </w:r>
      <w:r>
        <w:rPr>
          <w:rFonts w:hint="eastAsia" w:ascii="宋体" w:hAnsi="宋体"/>
          <w:color w:val="000000"/>
          <w:sz w:val="24"/>
          <w:highlight w:val="none"/>
        </w:rPr>
        <w:t xml:space="preserve">人</w:t>
      </w:r>
      <w:r>
        <w:rPr>
          <w:rFonts w:ascii="宋体" w:hAnsi="宋体"/>
          <w:color w:val="000000"/>
          <w:sz w:val="24"/>
          <w:highlight w:val="none"/>
        </w:rPr>
        <w:t xml:space="preserve">自行承担。本地计算机</w:t>
      </w:r>
      <w:r>
        <w:rPr>
          <w:rFonts w:hint="eastAsia" w:ascii="宋体" w:hAnsi="宋体"/>
          <w:color w:val="000000"/>
          <w:sz w:val="24"/>
          <w:highlight w:val="none"/>
        </w:rPr>
        <w:t xml:space="preserve">要求安装摄像头、麦克风和音箱，保持网络通畅。</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因本项目</w:t>
      </w:r>
      <w:r>
        <w:rPr>
          <w:rFonts w:ascii="宋体" w:hAnsi="宋体"/>
          <w:color w:val="000000"/>
          <w:sz w:val="24"/>
          <w:highlight w:val="none"/>
        </w:rPr>
        <w:t xml:space="preserve">采用不见面交易的</w:t>
      </w:r>
      <w:r>
        <w:rPr>
          <w:rFonts w:hint="eastAsia" w:ascii="宋体" w:hAnsi="宋体"/>
          <w:color w:val="000000"/>
          <w:sz w:val="24"/>
          <w:highlight w:val="none"/>
        </w:rPr>
        <w:t xml:space="preserve">方式</w:t>
      </w:r>
      <w:r>
        <w:rPr>
          <w:rFonts w:ascii="宋体" w:hAnsi="宋体"/>
          <w:color w:val="000000"/>
          <w:sz w:val="24"/>
          <w:highlight w:val="none"/>
        </w:rPr>
        <w:t xml:space="preserve">，在</w:t>
      </w:r>
      <w:r>
        <w:rPr>
          <w:rFonts w:hint="eastAsia" w:ascii="宋体" w:hAnsi="宋体"/>
          <w:color w:val="000000"/>
          <w:sz w:val="24"/>
          <w:highlight w:val="none"/>
        </w:rPr>
        <w:t xml:space="preserve">开标、评审</w:t>
      </w:r>
      <w:r>
        <w:rPr>
          <w:rFonts w:ascii="宋体" w:hAnsi="宋体"/>
          <w:color w:val="000000"/>
          <w:sz w:val="24"/>
          <w:highlight w:val="none"/>
        </w:rPr>
        <w:t xml:space="preserve">过程中，</w:t>
      </w:r>
      <w:r>
        <w:rPr>
          <w:rFonts w:hint="eastAsia" w:ascii="宋体" w:hAnsi="宋体"/>
          <w:color w:val="000000"/>
          <w:sz w:val="24"/>
          <w:highlight w:val="none"/>
        </w:rPr>
        <w:t xml:space="preserve">供应商</w:t>
      </w:r>
      <w:r>
        <w:rPr>
          <w:rFonts w:ascii="宋体" w:hAnsi="宋体"/>
          <w:color w:val="000000"/>
          <w:sz w:val="24"/>
          <w:highlight w:val="none"/>
        </w:rPr>
        <w:t xml:space="preserve">需</w:t>
      </w:r>
      <w:r>
        <w:rPr>
          <w:rFonts w:hint="eastAsia" w:ascii="宋体" w:hAnsi="宋体"/>
          <w:color w:val="000000"/>
          <w:sz w:val="24"/>
          <w:highlight w:val="none"/>
        </w:rPr>
        <w:t xml:space="preserve">要</w:t>
      </w:r>
      <w:r>
        <w:rPr>
          <w:rFonts w:ascii="宋体" w:hAnsi="宋体"/>
          <w:color w:val="000000"/>
          <w:sz w:val="24"/>
          <w:highlight w:val="none"/>
        </w:rPr>
        <w:t xml:space="preserve">保持操作计算机前有相关责任人</w:t>
      </w:r>
      <w:r>
        <w:rPr>
          <w:rFonts w:hint="eastAsia" w:ascii="宋体" w:hAnsi="宋体"/>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rFonts w:ascii="宋体" w:hAnsi="宋体"/>
          <w:color w:val="000000"/>
          <w:sz w:val="24"/>
          <w:highlight w:val="none"/>
        </w:rPr>
        <w:t xml:space="preserve">。</w:t>
      </w:r>
      <w:r>
        <w:rPr>
          <w:rFonts w:hint="eastAsia"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如果在</w:t>
      </w:r>
      <w:r>
        <w:rPr>
          <w:rFonts w:ascii="宋体" w:hAnsi="宋体"/>
          <w:color w:val="000000"/>
          <w:sz w:val="24"/>
          <w:highlight w:val="none"/>
        </w:rPr>
        <w:t xml:space="preserve">采购</w:t>
      </w:r>
      <w:r>
        <w:rPr>
          <w:rFonts w:hint="eastAsia" w:ascii="宋体" w:hAnsi="宋体"/>
          <w:color w:val="000000"/>
          <w:sz w:val="24"/>
          <w:highlight w:val="none"/>
        </w:rPr>
        <w:t xml:space="preserve">活动</w:t>
      </w:r>
      <w:r>
        <w:rPr>
          <w:rFonts w:ascii="宋体" w:hAnsi="宋体"/>
          <w:color w:val="000000"/>
          <w:sz w:val="24"/>
          <w:highlight w:val="none"/>
        </w:rPr>
        <w:t xml:space="preserve">过程中出现以下情形，导致</w:t>
      </w:r>
      <w:r>
        <w:rPr>
          <w:rFonts w:ascii="宋体" w:hAnsi="宋体"/>
          <w:color w:val="000000"/>
          <w:sz w:val="24"/>
          <w:highlight w:val="none"/>
          <w:lang w:bidi="ar"/>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无法正常运行，或者无法保证</w:t>
      </w:r>
      <w:r>
        <w:rPr>
          <w:rFonts w:hint="eastAsia" w:ascii="宋体" w:hAnsi="宋体"/>
          <w:color w:val="000000"/>
          <w:sz w:val="24"/>
          <w:highlight w:val="none"/>
        </w:rPr>
        <w:t xml:space="preserve">本项目采购活动</w:t>
      </w:r>
      <w:r>
        <w:rPr>
          <w:rFonts w:ascii="宋体" w:hAnsi="宋体"/>
          <w:color w:val="000000"/>
          <w:sz w:val="24"/>
          <w:highlight w:val="none"/>
        </w:rPr>
        <w:t xml:space="preserve">的公平、公正和安全时，</w:t>
      </w:r>
      <w:r>
        <w:rPr>
          <w:rFonts w:hint="eastAsia" w:ascii="宋体" w:hAnsi="宋体"/>
          <w:color w:val="000000"/>
          <w:sz w:val="24"/>
          <w:highlight w:val="none"/>
        </w:rPr>
        <w:t xml:space="preserve">代理机构</w:t>
      </w:r>
      <w:r>
        <w:rPr>
          <w:rFonts w:ascii="宋体" w:hAnsi="宋体"/>
          <w:color w:val="000000"/>
          <w:sz w:val="24"/>
          <w:highlight w:val="none"/>
        </w:rPr>
        <w:t xml:space="preserve">可</w:t>
      </w:r>
      <w:r>
        <w:rPr>
          <w:rFonts w:hint="eastAsia" w:ascii="宋体" w:hAnsi="宋体"/>
          <w:color w:val="000000"/>
          <w:sz w:val="24"/>
          <w:highlight w:val="none"/>
        </w:rPr>
        <w:t xml:space="preserve">以延缓或者暂停采购活动，情况严重的可以终止采购</w:t>
      </w:r>
      <w:r>
        <w:rPr>
          <w:rFonts w:ascii="宋体" w:hAnsi="宋体"/>
          <w:color w:val="000000"/>
          <w:sz w:val="24"/>
          <w:highlight w:val="none"/>
        </w:rPr>
        <w:t xml:space="preserve">活动：</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 1)</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发生故障而无法登录访问的；</w:t>
      </w:r>
      <w:r>
        <w:rPr>
          <w:rFonts w:ascii="宋体" w:hAnsi="宋体"/>
          <w:color w:val="000000"/>
          <w:sz w:val="24"/>
          <w:highlight w:val="none"/>
        </w:rPr>
      </w:r>
      <w:r/>
    </w:p>
    <w:p>
      <w:pPr>
        <w:pStyle w:val="918"/>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应用或数据库出现错误，不能进行正常操作的；</w:t>
      </w:r>
      <w:r>
        <w:rPr>
          <w:rFonts w:ascii="宋体" w:hAnsi="宋体"/>
          <w:color w:val="000000"/>
          <w:sz w:val="24"/>
          <w:highlight w:val="none"/>
        </w:rPr>
      </w:r>
      <w:r/>
    </w:p>
    <w:p>
      <w:pPr>
        <w:pStyle w:val="918"/>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平台</w:t>
      </w:r>
      <w:r>
        <w:rPr>
          <w:rFonts w:hint="eastAsia" w:ascii="宋体" w:hAnsi="宋体"/>
          <w:color w:val="000000"/>
          <w:sz w:val="24"/>
          <w:highlight w:val="none"/>
        </w:rPr>
        <w:t xml:space="preserve">系统</w:t>
      </w:r>
      <w:r>
        <w:rPr>
          <w:rFonts w:ascii="宋体" w:hAnsi="宋体"/>
          <w:color w:val="000000"/>
          <w:sz w:val="24"/>
          <w:highlight w:val="none"/>
        </w:rPr>
        <w:t xml:space="preserve">发现严重安全漏洞，有潜在泄密危险的；</w:t>
      </w:r>
      <w:r>
        <w:rPr>
          <w:rFonts w:ascii="宋体" w:hAnsi="宋体"/>
          <w:color w:val="000000"/>
          <w:sz w:val="24"/>
          <w:highlight w:val="none"/>
        </w:rPr>
      </w:r>
      <w:r/>
    </w:p>
    <w:p>
      <w:pPr>
        <w:pStyle w:val="918"/>
        <w:ind w:left="357" w:firstLine="840"/>
        <w:spacing w:line="360" w:lineRule="auto"/>
        <w:tabs>
          <w:tab w:val="left" w:pos="1080" w:leader="none"/>
          <w:tab w:val="left" w:pos="1589" w:leader="none"/>
          <w:tab w:val="left" w:pos="2014"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病毒发作导致平台</w:t>
      </w:r>
      <w:r>
        <w:rPr>
          <w:rFonts w:hint="eastAsia" w:ascii="宋体" w:hAnsi="宋体"/>
          <w:color w:val="000000"/>
          <w:sz w:val="24"/>
          <w:highlight w:val="none"/>
        </w:rPr>
        <w:t xml:space="preserve">系统</w:t>
      </w:r>
      <w:r>
        <w:rPr>
          <w:rFonts w:ascii="宋体" w:hAnsi="宋体"/>
          <w:color w:val="000000"/>
          <w:sz w:val="24"/>
          <w:highlight w:val="none"/>
        </w:rPr>
        <w:t xml:space="preserve">不能进行正常操作的；</w:t>
      </w:r>
      <w:r>
        <w:rPr>
          <w:rFonts w:ascii="宋体" w:hAnsi="宋体"/>
          <w:color w:val="000000"/>
          <w:sz w:val="24"/>
          <w:highlight w:val="none"/>
        </w:rPr>
      </w:r>
      <w:r/>
    </w:p>
    <w:p>
      <w:pPr>
        <w:pStyle w:val="918"/>
        <w:ind w:left="357" w:firstLine="840"/>
        <w:spacing w:line="360" w:lineRule="auto"/>
        <w:tabs>
          <w:tab w:val="left" w:pos="1080" w:leader="none"/>
          <w:tab w:val="left" w:pos="1589" w:leader="none"/>
          <w:tab w:val="left" w:pos="2014" w:leader="none"/>
        </w:tabs>
        <w:rPr>
          <w:rFonts w:hint="eastAsia" w:ascii="宋体" w:hAnsi="宋体"/>
          <w:color w:val="000000"/>
          <w:sz w:val="24"/>
          <w:highlight w:val="none"/>
        </w:rPr>
      </w:pPr>
      <w:r>
        <w:rPr>
          <w:rFonts w:hint="eastAsia" w:ascii="宋体" w:hAnsi="宋体"/>
          <w:color w:val="000000"/>
          <w:sz w:val="24"/>
          <w:highlight w:val="none"/>
        </w:rPr>
        <w:t xml:space="preserve">5)</w:t>
      </w:r>
      <w:r>
        <w:rPr>
          <w:rFonts w:ascii="宋体" w:hAnsi="宋体"/>
          <w:color w:val="000000"/>
          <w:sz w:val="24"/>
          <w:highlight w:val="none"/>
        </w:rPr>
        <w:t xml:space="preserve">其他无法保证</w:t>
      </w:r>
      <w:r>
        <w:rPr>
          <w:rFonts w:hint="eastAsia" w:ascii="宋体" w:hAnsi="宋体"/>
          <w:color w:val="000000"/>
          <w:sz w:val="24"/>
          <w:highlight w:val="none"/>
        </w:rPr>
        <w:t xml:space="preserve">本次采购活动</w:t>
      </w:r>
      <w:r>
        <w:rPr>
          <w:rFonts w:ascii="宋体" w:hAnsi="宋体"/>
          <w:color w:val="000000"/>
          <w:sz w:val="24"/>
          <w:highlight w:val="none"/>
        </w:rPr>
        <w:t xml:space="preserve">的公平、公正和安全的情况。</w:t>
      </w:r>
      <w:r>
        <w:rPr>
          <w:rFonts w:hint="eastAsia" w:ascii="宋体" w:hAnsi="宋体"/>
          <w:color w:val="000000"/>
          <w:sz w:val="24"/>
          <w:highlight w:val="none"/>
        </w:rPr>
      </w:r>
      <w:r/>
    </w:p>
    <w:p>
      <w:pPr>
        <w:pStyle w:val="918"/>
        <w:ind w:left="1134"/>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出现</w:t>
      </w:r>
      <w:r>
        <w:rPr>
          <w:rFonts w:hint="eastAsia" w:ascii="宋体" w:hAnsi="宋体"/>
          <w:color w:val="000000"/>
          <w:sz w:val="24"/>
          <w:highlight w:val="none"/>
        </w:rPr>
        <w:t xml:space="preserve">上述</w:t>
      </w:r>
      <w:r>
        <w:rPr>
          <w:rFonts w:ascii="宋体" w:hAnsi="宋体"/>
          <w:color w:val="000000"/>
          <w:sz w:val="24"/>
          <w:highlight w:val="none"/>
        </w:rPr>
        <w:t xml:space="preserve">情形，不影响采购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代理机构</w:t>
      </w:r>
      <w:r>
        <w:rPr>
          <w:rFonts w:ascii="宋体" w:hAnsi="宋体"/>
          <w:color w:val="000000"/>
          <w:sz w:val="24"/>
          <w:highlight w:val="none"/>
        </w:rPr>
        <w:t xml:space="preserve">可以待上述情形消除后继续组织</w:t>
      </w:r>
      <w:r>
        <w:rPr>
          <w:rFonts w:hint="eastAsia" w:ascii="宋体" w:hAnsi="宋体"/>
          <w:color w:val="000000"/>
          <w:sz w:val="24"/>
          <w:highlight w:val="none"/>
        </w:rPr>
        <w:t xml:space="preserve">不见面</w:t>
      </w:r>
      <w:r>
        <w:rPr>
          <w:rFonts w:ascii="宋体" w:hAnsi="宋体"/>
          <w:color w:val="000000"/>
          <w:sz w:val="24"/>
          <w:highlight w:val="none"/>
        </w:rPr>
        <w:t xml:space="preserve">交易</w:t>
      </w:r>
      <w:r>
        <w:rPr>
          <w:rFonts w:hint="eastAsia" w:ascii="宋体" w:hAnsi="宋体"/>
          <w:color w:val="000000"/>
          <w:sz w:val="24"/>
          <w:highlight w:val="none"/>
        </w:rPr>
        <w:t xml:space="preserve">采购</w:t>
      </w:r>
      <w:r>
        <w:rPr>
          <w:rFonts w:ascii="宋体" w:hAnsi="宋体"/>
          <w:color w:val="000000"/>
          <w:sz w:val="24"/>
          <w:highlight w:val="none"/>
        </w:rPr>
        <w:t xml:space="preserve">活动，也可以决定某些环节以纸质形式进行；影响或可能影响采购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公平、公正性的，应当</w:t>
      </w:r>
      <w:r>
        <w:rPr>
          <w:rFonts w:hint="eastAsia" w:ascii="宋体" w:hAnsi="宋体"/>
          <w:color w:val="000000"/>
          <w:sz w:val="24"/>
          <w:highlight w:val="none"/>
        </w:rPr>
        <w:t xml:space="preserve">终止本次项目，</w:t>
      </w:r>
      <w:r>
        <w:rPr>
          <w:rFonts w:ascii="宋体" w:hAnsi="宋体"/>
          <w:color w:val="000000"/>
          <w:sz w:val="24"/>
          <w:highlight w:val="none"/>
        </w:rPr>
        <w:t xml:space="preserve">重新</w:t>
      </w:r>
      <w:r>
        <w:rPr>
          <w:rFonts w:hint="eastAsia" w:ascii="宋体" w:hAnsi="宋体"/>
          <w:color w:val="000000"/>
          <w:sz w:val="24"/>
          <w:highlight w:val="none"/>
        </w:rPr>
        <w:t xml:space="preserve">组织</w:t>
      </w:r>
      <w:r>
        <w:rPr>
          <w:rFonts w:ascii="宋体" w:hAnsi="宋体"/>
          <w:color w:val="000000"/>
          <w:sz w:val="24"/>
          <w:highlight w:val="none"/>
        </w:rPr>
        <w:t xml:space="preserve">采购。</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资格审查</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见第三章《资格审查》。</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564"/>
      <w:r/>
      <w:bookmarkStart w:id="565" w:name="_Toc151193854"/>
      <w:r/>
      <w:bookmarkStart w:id="566" w:name="_Toc151193638"/>
      <w:r/>
      <w:bookmarkStart w:id="567" w:name="_Toc305158882"/>
      <w:r/>
      <w:bookmarkStart w:id="568" w:name="_Toc127151741"/>
      <w:r/>
      <w:bookmarkStart w:id="569" w:name="_Toc151190167"/>
      <w:r/>
      <w:bookmarkStart w:id="570" w:name="_Toc164608654"/>
      <w:r/>
      <w:bookmarkStart w:id="571" w:name="_Toc127161454"/>
      <w:r/>
      <w:bookmarkStart w:id="572" w:name="_Toc305158808"/>
      <w:r/>
      <w:bookmarkStart w:id="573" w:name="_Toc150774640"/>
      <w:r/>
      <w:bookmarkStart w:id="574" w:name="_Toc151193782"/>
      <w:r/>
      <w:bookmarkStart w:id="575" w:name="_Toc164608809"/>
      <w:r/>
      <w:bookmarkStart w:id="576" w:name="_Toc226965730"/>
      <w:r/>
      <w:bookmarkStart w:id="577" w:name="_Toc264969230"/>
      <w:r/>
      <w:bookmarkStart w:id="578" w:name="_Toc150774745"/>
      <w:r/>
      <w:bookmarkStart w:id="579" w:name="_Toc164229235"/>
      <w:r/>
      <w:bookmarkStart w:id="580" w:name="_Toc226337236"/>
      <w:r/>
      <w:bookmarkStart w:id="581" w:name="_Toc195842905"/>
      <w:r/>
      <w:bookmarkStart w:id="582" w:name="_Toc226965813"/>
      <w:r/>
      <w:bookmarkStart w:id="583" w:name="_Toc127151540"/>
      <w:r/>
      <w:bookmarkStart w:id="584" w:name="_Toc164351634"/>
      <w:r/>
      <w:bookmarkStart w:id="585" w:name="_Toc150480778"/>
      <w:r/>
      <w:bookmarkStart w:id="586" w:name="_Toc151193928"/>
      <w:r/>
      <w:bookmarkStart w:id="587" w:name="_Toc226309784"/>
      <w:r/>
      <w:bookmarkStart w:id="588" w:name="_Toc151193710"/>
      <w:r/>
      <w:bookmarkStart w:id="589" w:name="_Toc149720833"/>
      <w:r/>
      <w:bookmarkStart w:id="590" w:name="_Toc265228378"/>
      <w:r/>
      <w:bookmarkStart w:id="591" w:name="_Toc150509291"/>
      <w:r/>
      <w:bookmarkStart w:id="592" w:name="_Toc164229381"/>
      <w:r/>
      <w:bookmarkStart w:id="593" w:name="_Toc142311042"/>
      <w:r>
        <w:rPr>
          <w:rFonts w:ascii="宋体" w:hAnsi="宋体"/>
          <w:color w:val="000000"/>
          <w:sz w:val="24"/>
          <w:highlight w:val="none"/>
        </w:rPr>
        <w:t xml:space="preserve">评标委员会</w:t>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评标委员会根据政府采购有关规定和本次招标采购项目的特点进行组建，并负责具体评标事务，独立履行职责。</w:t>
      </w:r>
      <w:bookmarkStart w:id="594" w:name="_Toc520356166"/>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评审专家须符合</w:t>
      </w:r>
      <w:r>
        <w:rPr>
          <w:rFonts w:hint="eastAsia" w:ascii="宋体" w:hAnsi="宋体"/>
          <w:color w:val="000000"/>
          <w:sz w:val="24"/>
          <w:highlight w:val="none"/>
        </w:rPr>
        <w:t xml:space="preserve">相关</w:t>
      </w:r>
      <w:r>
        <w:rPr>
          <w:rFonts w:ascii="宋体" w:hAnsi="宋体"/>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594"/>
      <w:r/>
      <w:bookmarkStart w:id="595" w:name="_Toc520356169"/>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评标程序、评标方法和评标标准</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见第四章《评标程序、评标方法和评标标准》。</w:t>
      </w:r>
      <w:r>
        <w:rPr>
          <w:rFonts w:ascii="宋体" w:hAnsi="宋体"/>
          <w:color w:val="000000"/>
          <w:sz w:val="24"/>
          <w:highlight w:val="none"/>
        </w:rPr>
      </w:r>
      <w:r/>
    </w:p>
    <w:p>
      <w:pPr>
        <w:pStyle w:val="918"/>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920"/>
        <w:spacing w:before="0" w:line="360" w:lineRule="auto"/>
        <w:rPr>
          <w:rFonts w:ascii="宋体" w:hAnsi="宋体" w:eastAsia="宋体"/>
          <w:color w:val="000000"/>
          <w:sz w:val="28"/>
          <w:highlight w:val="none"/>
        </w:rPr>
      </w:pPr>
      <w:r/>
      <w:bookmarkStart w:id="596" w:name="_Toc264969235"/>
      <w:r/>
      <w:bookmarkStart w:id="597" w:name="_Toc226965818"/>
      <w:r/>
      <w:bookmarkStart w:id="598" w:name="_Toc195842910"/>
      <w:r/>
      <w:bookmarkStart w:id="599" w:name="_Toc151193859"/>
      <w:r/>
      <w:bookmarkStart w:id="600" w:name="_Toc150480783"/>
      <w:r/>
      <w:bookmarkStart w:id="601" w:name="_Toc226965735"/>
      <w:r/>
      <w:bookmarkStart w:id="602" w:name="_Toc305158813"/>
      <w:r/>
      <w:bookmarkStart w:id="603" w:name="_Toc142311047"/>
      <w:r/>
      <w:bookmarkStart w:id="604" w:name="_Toc265228383"/>
      <w:r/>
      <w:bookmarkStart w:id="605" w:name="_Toc127151545"/>
      <w:r/>
      <w:bookmarkStart w:id="606" w:name="_Toc150509296"/>
      <w:r/>
      <w:bookmarkStart w:id="607" w:name="_Toc226337241"/>
      <w:r/>
      <w:bookmarkStart w:id="608" w:name="_Toc151193715"/>
      <w:r/>
      <w:bookmarkStart w:id="609" w:name="_Toc150774645"/>
      <w:r/>
      <w:bookmarkStart w:id="610" w:name="_Toc151193643"/>
      <w:r/>
      <w:bookmarkStart w:id="611" w:name="_Toc150774750"/>
      <w:r/>
      <w:bookmarkStart w:id="612" w:name="_Toc226309789"/>
      <w:r/>
      <w:bookmarkStart w:id="613" w:name="_Toc151190172"/>
      <w:r/>
      <w:bookmarkStart w:id="614" w:name="_Toc305158887"/>
      <w:r/>
      <w:bookmarkStart w:id="615" w:name="_Toc151193787"/>
      <w:r/>
      <w:bookmarkStart w:id="616" w:name="_Toc151193933"/>
      <w:r>
        <w:rPr>
          <w:rFonts w:ascii="宋体" w:hAnsi="宋体" w:eastAsia="宋体"/>
          <w:color w:val="000000"/>
          <w:sz w:val="28"/>
          <w:highlight w:val="none"/>
        </w:rPr>
        <w:t xml:space="preserve">六   </w:t>
      </w:r>
      <w:bookmarkEnd w:id="595"/>
      <w:r>
        <w:rPr>
          <w:rFonts w:ascii="宋体" w:hAnsi="宋体" w:eastAsia="宋体"/>
          <w:color w:val="000000"/>
          <w:sz w:val="28"/>
          <w:highlight w:val="none"/>
        </w:rPr>
        <w:t xml:space="preserve">确定中标</w:t>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Start w:id="617" w:name="_Toc264969237"/>
      <w:r/>
      <w:bookmarkStart w:id="618" w:name="_Toc150774647"/>
      <w:r/>
      <w:bookmarkStart w:id="619" w:name="_Toc151193789"/>
      <w:r/>
      <w:bookmarkStart w:id="620" w:name="_Toc149720840"/>
      <w:r/>
      <w:bookmarkStart w:id="621" w:name="_Toc164229388"/>
      <w:r/>
      <w:bookmarkStart w:id="622" w:name="_Toc151193717"/>
      <w:r/>
      <w:bookmarkStart w:id="623" w:name="_Toc305158815"/>
      <w:r/>
      <w:bookmarkStart w:id="624" w:name="_Toc127151547"/>
      <w:r/>
      <w:bookmarkStart w:id="625" w:name="_Toc305158889"/>
      <w:r/>
      <w:bookmarkStart w:id="626" w:name="_Toc265228385"/>
      <w:r/>
      <w:bookmarkStart w:id="627" w:name="_Toc150774752"/>
      <w:r/>
      <w:bookmarkStart w:id="628" w:name="_Toc164351641"/>
      <w:r/>
      <w:bookmarkStart w:id="629" w:name="_Toc226309791"/>
      <w:r/>
      <w:bookmarkStart w:id="630" w:name="_Toc142311049"/>
      <w:r/>
      <w:bookmarkStart w:id="631" w:name="_Toc127161461"/>
      <w:r/>
      <w:bookmarkStart w:id="632" w:name="_Toc226965737"/>
      <w:r/>
      <w:bookmarkStart w:id="633" w:name="_Toc150480785"/>
      <w:r/>
      <w:bookmarkStart w:id="634" w:name="_Toc164229242"/>
      <w:r/>
      <w:bookmarkStart w:id="635" w:name="_Toc164608816"/>
      <w:r/>
      <w:bookmarkStart w:id="636" w:name="_Toc151193861"/>
      <w:r/>
      <w:bookmarkStart w:id="637" w:name="_Toc150509298"/>
      <w:r/>
      <w:bookmarkStart w:id="638" w:name="_Toc164608661"/>
      <w:r/>
      <w:bookmarkStart w:id="639" w:name="_Toc226337243"/>
      <w:r/>
      <w:bookmarkStart w:id="640" w:name="_Toc226965820"/>
      <w:r/>
      <w:bookmarkStart w:id="641" w:name="_Toc195842912"/>
      <w:r/>
      <w:bookmarkStart w:id="642" w:name="_Toc151193645"/>
      <w:r/>
      <w:bookmarkStart w:id="643" w:name="_Toc151193935"/>
      <w:r/>
      <w:bookmarkStart w:id="644" w:name="_Toc151190174"/>
      <w:r/>
      <w:bookmarkStart w:id="645" w:name="_Toc127151748"/>
      <w:r>
        <w:rPr>
          <w:rFonts w:ascii="宋体" w:hAnsi="宋体" w:eastAsia="宋体"/>
          <w:color w:val="000000"/>
          <w:sz w:val="28"/>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确定中标人</w:t>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采购人将在评标报告确定的中标候选人名单中按顺序确定中标人，中标候选人并列的，由采购人</w:t>
      </w:r>
      <w:r>
        <w:rPr>
          <w:rFonts w:hint="eastAsia" w:ascii="宋体" w:hAnsi="宋体"/>
          <w:color w:val="000000"/>
          <w:sz w:val="24"/>
          <w:highlight w:val="none"/>
        </w:rPr>
        <w:t xml:space="preserve">依法</w:t>
      </w:r>
      <w:r>
        <w:rPr>
          <w:rFonts w:ascii="宋体" w:hAnsi="宋体"/>
          <w:color w:val="000000"/>
          <w:sz w:val="24"/>
          <w:highlight w:val="none"/>
        </w:rPr>
        <w:t xml:space="preserve">确定</w:t>
      </w:r>
      <w:r>
        <w:rPr>
          <w:rFonts w:hint="eastAsia" w:ascii="宋体" w:hAnsi="宋体"/>
          <w:color w:val="000000"/>
          <w:sz w:val="24"/>
          <w:highlight w:val="none"/>
        </w:rPr>
        <w:t xml:space="preserve">。</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Start w:id="646" w:name="_Toc164608663"/>
      <w:r/>
      <w:bookmarkStart w:id="647" w:name="_Toc164229390"/>
      <w:r/>
      <w:bookmarkStart w:id="648" w:name="_Toc127151549"/>
      <w:r/>
      <w:bookmarkStart w:id="649" w:name="_Toc305158891"/>
      <w:r/>
      <w:bookmarkStart w:id="650" w:name="_Toc149720842"/>
      <w:r/>
      <w:bookmarkStart w:id="651" w:name="_Toc151193791"/>
      <w:r/>
      <w:bookmarkStart w:id="652" w:name="_Toc226965739"/>
      <w:r/>
      <w:bookmarkStart w:id="653" w:name="_Toc151193863"/>
      <w:r/>
      <w:bookmarkStart w:id="654" w:name="_Toc520356176"/>
      <w:r/>
      <w:bookmarkStart w:id="655" w:name="_Ref467307090"/>
      <w:r/>
      <w:bookmarkStart w:id="656" w:name="_Ref467306425"/>
      <w:r/>
      <w:bookmarkStart w:id="657" w:name="_Toc151193647"/>
      <w:r/>
      <w:bookmarkStart w:id="658" w:name="_Toc164229244"/>
      <w:r/>
      <w:bookmarkStart w:id="659" w:name="_Toc142311051"/>
      <w:r/>
      <w:bookmarkStart w:id="660" w:name="_Toc127161463"/>
      <w:r/>
      <w:bookmarkStart w:id="661" w:name="_Toc164351643"/>
      <w:r/>
      <w:bookmarkStart w:id="662" w:name="_Toc195842914"/>
      <w:r/>
      <w:bookmarkStart w:id="663" w:name="_Toc305158817"/>
      <w:r/>
      <w:bookmarkStart w:id="664" w:name="_Toc226337245"/>
      <w:r/>
      <w:bookmarkStart w:id="665" w:name="_Toc265228387"/>
      <w:r/>
      <w:bookmarkStart w:id="666" w:name="_Toc150774754"/>
      <w:r/>
      <w:bookmarkStart w:id="667" w:name="_Toc150774649"/>
      <w:r/>
      <w:bookmarkStart w:id="668" w:name="_Toc151193937"/>
      <w:r/>
      <w:bookmarkStart w:id="669" w:name="_Toc164608818"/>
      <w:r/>
      <w:bookmarkStart w:id="670" w:name="_Toc150509300"/>
      <w:r/>
      <w:bookmarkStart w:id="671" w:name="_Toc226309793"/>
      <w:r/>
      <w:bookmarkStart w:id="672" w:name="_Toc151193719"/>
      <w:r/>
      <w:bookmarkStart w:id="673" w:name="_Toc226965822"/>
      <w:r/>
      <w:bookmarkStart w:id="674" w:name="_Toc150480787"/>
      <w:r/>
      <w:bookmarkStart w:id="675" w:name="_Toc127151750"/>
      <w:r/>
      <w:bookmarkStart w:id="676" w:name="_Toc264969239"/>
      <w:r/>
      <w:bookmarkStart w:id="677" w:name="_Toc151190176"/>
      <w:r>
        <w:rPr>
          <w:rFonts w:ascii="宋体" w:hAnsi="宋体"/>
          <w:color w:val="000000"/>
          <w:sz w:val="24"/>
          <w:highlight w:val="none"/>
        </w:rPr>
        <w:t xml:space="preserve">中标公告与中标通知书</w:t>
      </w:r>
      <w:bookmarkEnd w:id="649"/>
      <w:r/>
      <w:bookmarkEnd w:id="663"/>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采购人或采购代理机构自中标人确定之日起2个工作日内，</w:t>
      </w:r>
      <w:r>
        <w:rPr>
          <w:rFonts w:ascii="宋体" w:hAnsi="宋体"/>
          <w:color w:val="000000"/>
          <w:sz w:val="24"/>
          <w:highlight w:val="none"/>
        </w:rPr>
        <w:t xml:space="preserve">在</w:t>
      </w:r>
      <w:r>
        <w:rPr>
          <w:rFonts w:hint="eastAsia" w:ascii="宋体" w:hAnsi="宋体"/>
          <w:color w:val="000000"/>
          <w:sz w:val="24"/>
          <w:highlight w:val="none"/>
        </w:rPr>
        <w:t xml:space="preserve">常州市政府采购网</w:t>
      </w:r>
      <w:r>
        <w:rPr>
          <w:rFonts w:ascii="宋体" w:hAnsi="宋体"/>
          <w:color w:val="000000"/>
          <w:sz w:val="24"/>
          <w:highlight w:val="none"/>
        </w:rPr>
        <w:t xml:space="preserve">公告中标结果</w:t>
      </w:r>
      <w:r>
        <w:rPr>
          <w:rFonts w:ascii="宋体" w:hAnsi="宋体"/>
          <w:color w:val="000000"/>
          <w:sz w:val="24"/>
          <w:highlight w:val="none"/>
        </w:rPr>
        <w:t xml:space="preserve">，</w:t>
      </w:r>
      <w:r>
        <w:rPr>
          <w:rFonts w:hint="eastAsia" w:ascii="宋体" w:hAnsi="宋体"/>
          <w:color w:val="000000"/>
          <w:sz w:val="24"/>
          <w:highlight w:val="none"/>
        </w:rPr>
        <w:t xml:space="preserve">同时向中标人发出中标通知书，</w:t>
      </w:r>
      <w:r>
        <w:rPr>
          <w:rFonts w:ascii="宋体" w:hAnsi="宋体"/>
          <w:color w:val="000000"/>
          <w:sz w:val="24"/>
          <w:highlight w:val="none"/>
        </w:rPr>
        <w:t xml:space="preserve">中标公告期限为1个工作日。</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废标</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在招标采购中，出现下列情形之一的，应予废标：</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符合专业条件的供应商或者对招标文件作实质响应的供应商不足三家的；</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出现影响采购公正的违法、违规行为的；</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投标人的报价均超过了采购预算，采购人不能支付的；</w:t>
      </w:r>
      <w:r>
        <w:rPr>
          <w:rFonts w:ascii="宋体" w:hAnsi="宋体"/>
          <w:color w:val="000000"/>
          <w:sz w:val="24"/>
          <w:highlight w:val="none"/>
        </w:rPr>
      </w:r>
      <w:r/>
    </w:p>
    <w:p>
      <w:pPr>
        <w:pStyle w:val="918"/>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因重大变故，采购任务取消的。</w:t>
      </w:r>
      <w:r>
        <w:rPr>
          <w:rFonts w:hint="eastAsia"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hint="eastAsia" w:ascii="宋体" w:hAnsi="宋体"/>
          <w:color w:val="000000"/>
          <w:spacing w:val="2"/>
          <w:sz w:val="24"/>
          <w:highlight w:val="none"/>
        </w:rPr>
        <w:t xml:space="preserve">平台系统</w:t>
      </w:r>
      <w:r>
        <w:rPr>
          <w:rFonts w:ascii="宋体" w:hAnsi="宋体"/>
          <w:color w:val="000000"/>
          <w:sz w:val="24"/>
          <w:highlight w:val="none"/>
        </w:rPr>
        <w:t xml:space="preserve">出现</w:t>
      </w:r>
      <w:r>
        <w:rPr>
          <w:rFonts w:hint="eastAsia" w:ascii="宋体" w:hAnsi="宋体"/>
          <w:color w:val="000000"/>
          <w:sz w:val="24"/>
          <w:highlight w:val="none"/>
        </w:rPr>
        <w:t xml:space="preserve">序号18.8的所述</w:t>
      </w:r>
      <w:r>
        <w:rPr>
          <w:rFonts w:ascii="宋体" w:hAnsi="宋体"/>
          <w:color w:val="000000"/>
          <w:sz w:val="24"/>
          <w:highlight w:val="none"/>
        </w:rPr>
        <w:t xml:space="preserve">情形，</w:t>
      </w:r>
      <w:r>
        <w:rPr>
          <w:rFonts w:hint="eastAsia" w:ascii="宋体" w:hAnsi="宋体"/>
          <w:color w:val="000000"/>
          <w:sz w:val="24"/>
          <w:highlight w:val="none"/>
        </w:rPr>
        <w:t xml:space="preserve">情况严重且</w:t>
      </w:r>
      <w:r>
        <w:rPr>
          <w:rFonts w:ascii="宋体" w:hAnsi="宋体"/>
          <w:color w:val="000000"/>
          <w:sz w:val="24"/>
          <w:highlight w:val="none"/>
        </w:rPr>
        <w:t xml:space="preserve">影响采购</w:t>
      </w:r>
      <w:r>
        <w:rPr>
          <w:rFonts w:hint="eastAsia" w:ascii="宋体" w:hAnsi="宋体"/>
          <w:color w:val="000000"/>
          <w:sz w:val="24"/>
          <w:highlight w:val="none"/>
        </w:rPr>
        <w:t xml:space="preserve">活动</w:t>
      </w:r>
      <w:r>
        <w:rPr>
          <w:rFonts w:ascii="宋体" w:hAnsi="宋体"/>
          <w:color w:val="000000"/>
          <w:sz w:val="24"/>
          <w:highlight w:val="none"/>
        </w:rPr>
        <w:t xml:space="preserve">公平、公正性的</w:t>
      </w:r>
      <w:r>
        <w:rPr>
          <w:rFonts w:hint="eastAsia" w:ascii="宋体" w:hAnsi="宋体"/>
          <w:color w:val="000000"/>
          <w:sz w:val="24"/>
          <w:highlight w:val="none"/>
        </w:rPr>
        <w:t xml:space="preserve">。</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废标后，采购人将废标理由通知所有投标人。</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46"/>
      <w:r/>
      <w:bookmarkEnd w:id="647"/>
      <w:r/>
      <w:bookmarkEnd w:id="648"/>
      <w:r/>
      <w:bookmarkEnd w:id="650"/>
      <w:r/>
      <w:bookmarkEnd w:id="651"/>
      <w:r/>
      <w:bookmarkEnd w:id="652"/>
      <w:r/>
      <w:bookmarkEnd w:id="653"/>
      <w:r/>
      <w:bookmarkEnd w:id="657"/>
      <w:r/>
      <w:bookmarkEnd w:id="658"/>
      <w:r/>
      <w:bookmarkEnd w:id="659"/>
      <w:r/>
      <w:bookmarkEnd w:id="660"/>
      <w:r/>
      <w:bookmarkEnd w:id="661"/>
      <w:r/>
      <w:bookmarkEnd w:id="662"/>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Start w:id="678" w:name="_Toc127151550"/>
      <w:r/>
      <w:bookmarkStart w:id="679" w:name="_Toc305158818"/>
      <w:r/>
      <w:bookmarkStart w:id="680" w:name="_Toc150774650"/>
      <w:r/>
      <w:bookmarkStart w:id="681" w:name="_Toc195842915"/>
      <w:r/>
      <w:bookmarkStart w:id="682" w:name="_Toc164229391"/>
      <w:r/>
      <w:bookmarkStart w:id="683" w:name="_Toc142311052"/>
      <w:r/>
      <w:bookmarkStart w:id="684" w:name="_Toc151190177"/>
      <w:r/>
      <w:bookmarkStart w:id="685" w:name="_Toc151193720"/>
      <w:r/>
      <w:bookmarkStart w:id="686" w:name="_Toc264969240"/>
      <w:r/>
      <w:bookmarkStart w:id="687" w:name="_Toc226965740"/>
      <w:r/>
      <w:bookmarkStart w:id="688" w:name="_Toc520356175"/>
      <w:r/>
      <w:bookmarkStart w:id="689" w:name="_Toc226965823"/>
      <w:r/>
      <w:bookmarkStart w:id="690" w:name="_Toc305158892"/>
      <w:r/>
      <w:bookmarkStart w:id="691" w:name="_Toc151193938"/>
      <w:r/>
      <w:bookmarkStart w:id="692" w:name="_Toc150774755"/>
      <w:r/>
      <w:bookmarkStart w:id="693" w:name="_Toc150480788"/>
      <w:r/>
      <w:bookmarkStart w:id="694" w:name="_Toc151193648"/>
      <w:r/>
      <w:bookmarkStart w:id="695" w:name="_Toc226309794"/>
      <w:r/>
      <w:bookmarkStart w:id="696" w:name="_Toc164608664"/>
      <w:r/>
      <w:bookmarkStart w:id="697" w:name="_Toc127161464"/>
      <w:r/>
      <w:bookmarkStart w:id="698" w:name="_Toc164229245"/>
      <w:r/>
      <w:bookmarkStart w:id="699" w:name="_Toc150509301"/>
      <w:r/>
      <w:bookmarkStart w:id="700" w:name="_Toc149720843"/>
      <w:r/>
      <w:bookmarkStart w:id="701" w:name="_Ref467307062"/>
      <w:r/>
      <w:bookmarkStart w:id="702" w:name="_Toc164608819"/>
      <w:r/>
      <w:bookmarkStart w:id="703" w:name="_Ref467306978"/>
      <w:r/>
      <w:bookmarkStart w:id="704" w:name="_Toc151193792"/>
      <w:r/>
      <w:bookmarkStart w:id="705" w:name="_Toc226337246"/>
      <w:r/>
      <w:bookmarkStart w:id="706" w:name="_Ref467306377"/>
      <w:r/>
      <w:bookmarkStart w:id="707" w:name="_Toc151193864"/>
      <w:r/>
      <w:bookmarkStart w:id="708" w:name="_Toc127151751"/>
      <w:r/>
      <w:bookmarkStart w:id="709" w:name="_Toc265228388"/>
      <w:r/>
      <w:bookmarkStart w:id="710" w:name="_Ref467307204"/>
      <w:r/>
      <w:bookmarkStart w:id="711" w:name="_Toc164351644"/>
      <w:r>
        <w:rPr>
          <w:rFonts w:ascii="宋体" w:hAnsi="宋体"/>
          <w:color w:val="000000"/>
          <w:sz w:val="24"/>
          <w:highlight w:val="none"/>
        </w:rPr>
        <w:t xml:space="preserve">签订合同</w:t>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中标人</w:t>
      </w:r>
      <w:r>
        <w:rPr>
          <w:rFonts w:hint="eastAsia" w:ascii="宋体" w:hAnsi="宋体"/>
          <w:color w:val="000000"/>
          <w:sz w:val="24"/>
          <w:highlight w:val="none"/>
        </w:rPr>
        <w:t xml:space="preserve">拒绝</w:t>
      </w:r>
      <w:r>
        <w:rPr>
          <w:rFonts w:ascii="宋体" w:hAnsi="宋体"/>
          <w:color w:val="000000"/>
          <w:sz w:val="24"/>
          <w:highlight w:val="none"/>
        </w:rPr>
        <w:t xml:space="preserve">与采购人签订合同的，采购人</w:t>
      </w:r>
      <w:r>
        <w:rPr>
          <w:rFonts w:hint="eastAsia" w:ascii="宋体" w:hAnsi="宋体"/>
          <w:color w:val="000000"/>
          <w:sz w:val="24"/>
          <w:highlight w:val="none"/>
        </w:rPr>
        <w:t xml:space="preserve">可以</w:t>
      </w:r>
      <w:r>
        <w:rPr>
          <w:rFonts w:ascii="宋体" w:hAnsi="宋体"/>
          <w:color w:val="000000"/>
          <w:sz w:val="24"/>
          <w:highlight w:val="none"/>
        </w:rPr>
        <w:t xml:space="preserve">按照评</w:t>
      </w:r>
      <w:r>
        <w:rPr>
          <w:rFonts w:hint="eastAsia" w:ascii="宋体" w:hAnsi="宋体"/>
          <w:color w:val="000000"/>
          <w:sz w:val="24"/>
          <w:highlight w:val="none"/>
        </w:rPr>
        <w:t xml:space="preserve">标</w:t>
      </w:r>
      <w:r>
        <w:rPr>
          <w:rFonts w:ascii="宋体" w:hAnsi="宋体"/>
          <w:color w:val="000000"/>
          <w:sz w:val="24"/>
          <w:highlight w:val="none"/>
        </w:rPr>
        <w:t xml:space="preserve">报告推荐的中标候选人名单排序，确定下一候选人为中标人，</w:t>
      </w:r>
      <w:r>
        <w:rPr>
          <w:rFonts w:hint="eastAsia" w:ascii="宋体" w:hAnsi="宋体"/>
          <w:color w:val="000000"/>
          <w:sz w:val="24"/>
          <w:highlight w:val="none"/>
        </w:rPr>
        <w:t xml:space="preserve">也可以</w:t>
      </w:r>
      <w:r>
        <w:rPr>
          <w:rFonts w:ascii="宋体" w:hAnsi="宋体"/>
          <w:color w:val="000000"/>
          <w:sz w:val="24"/>
          <w:highlight w:val="none"/>
        </w:rPr>
        <w:t xml:space="preserve">重新开展政府采购活动。</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联合体中标的，联合体各方应当共同与采购人签订合同，就中标项目向采购人承担连带责任。</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政府采购合同不能转包。</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color w:val="000000"/>
          <w:sz w:val="24"/>
          <w:highlight w:val="none"/>
        </w:rPr>
        <w:t xml:space="preserve">，</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。中标人就采购项目和分包项目向采购人负责，分包供应商就分包项目承担责任。</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bookmarkEnd w:id="654"/>
      <w:r/>
      <w:bookmarkEnd w:id="655"/>
      <w:r/>
      <w:bookmarkEnd w:id="656"/>
      <w:r>
        <w:rPr>
          <w:rFonts w:ascii="宋体" w:hAnsi="宋体"/>
          <w:color w:val="000000"/>
          <w:sz w:val="24"/>
          <w:highlight w:val="none"/>
        </w:rPr>
        <w:t xml:space="preserve">询问与质疑</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询问</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投标人对政府采购活动事项有疑问的，可依法提出询问，并按《投标人须知资料表》载明的形式送达采购人或采购代理机构。</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采购人或采购代理机构对供应商依法提出的询问，在3个工作日内作出答复，但答复的内容不得涉及商业秘密。</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质疑</w:t>
      </w:r>
      <w:r>
        <w:rPr>
          <w:rFonts w:ascii="宋体" w:hAnsi="宋体"/>
          <w:color w:val="000000"/>
          <w:sz w:val="24"/>
          <w:highlight w:val="none"/>
        </w:rPr>
      </w:r>
      <w:r/>
    </w:p>
    <w:p>
      <w:pPr>
        <w:pStyle w:val="918"/>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hint="eastAsia" w:ascii="宋体" w:hAnsi="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质疑函须使用财政部制定的范本文件。</w:t>
      </w:r>
      <w:r>
        <w:rPr>
          <w:rFonts w:hint="eastAsia" w:ascii="宋体" w:hAnsi="宋体"/>
          <w:color w:val="000000"/>
          <w:sz w:val="24"/>
          <w:highlight w:val="none"/>
        </w:rPr>
        <w:t xml:space="preserve">（下载网址：</w:t>
      </w:r>
      <w:r>
        <w:rPr>
          <w:rFonts w:ascii="宋体" w:hAnsi="宋体"/>
          <w:color w:val="000000"/>
          <w:highlight w:val="none"/>
        </w:rPr>
        <w:fldChar w:fldCharType="begin"/>
      </w:r>
      <w:r>
        <w:rPr>
          <w:rFonts w:ascii="宋体" w:hAnsi="宋体"/>
          <w:color w:val="000000"/>
          <w:highlight w:val="none"/>
        </w:rPr>
        <w:instrText xml:space="preserve"> HYPERLINK "http://gks.mof.gov.cn/ztztz/zhengfucaigouguanli/201802/t20180201_2804589.htm" </w:instrText>
      </w:r>
      <w:r>
        <w:rPr>
          <w:rFonts w:ascii="宋体" w:hAnsi="宋体"/>
          <w:color w:val="000000"/>
          <w:highlight w:val="none"/>
        </w:rPr>
        <w:fldChar w:fldCharType="separate"/>
      </w:r>
      <w:r>
        <w:rPr>
          <w:rStyle w:val="995"/>
          <w:rFonts w:ascii="宋体" w:hAnsi="宋体"/>
          <w:color w:val="000000"/>
          <w:highlight w:val="none"/>
        </w:rPr>
        <w:t xml:space="preserve">http://gk</w:t>
      </w:r>
      <w:bookmarkStart w:id="712" w:name="_Hlt100654014"/>
      <w:r>
        <w:rPr>
          <w:rStyle w:val="995"/>
          <w:rFonts w:ascii="宋体" w:hAnsi="宋体"/>
          <w:color w:val="000000"/>
          <w:highlight w:val="none"/>
        </w:rPr>
        <w:t xml:space="preserve">s</w:t>
      </w:r>
      <w:bookmarkEnd w:id="712"/>
      <w:r>
        <w:rPr>
          <w:rStyle w:val="995"/>
          <w:rFonts w:ascii="宋体" w:hAnsi="宋体"/>
          <w:color w:val="000000"/>
          <w:highlight w:val="none"/>
        </w:rPr>
        <w:t xml:space="preserve">.m</w:t>
      </w:r>
      <w:bookmarkStart w:id="713" w:name="_Hlt100653994"/>
      <w:r/>
      <w:bookmarkStart w:id="714" w:name="_Hlt100653993"/>
      <w:r>
        <w:rPr>
          <w:rStyle w:val="995"/>
          <w:rFonts w:ascii="宋体" w:hAnsi="宋体"/>
          <w:color w:val="000000"/>
          <w:highlight w:val="none"/>
        </w:rPr>
        <w:t xml:space="preserve">o</w:t>
      </w:r>
      <w:bookmarkEnd w:id="713"/>
      <w:r/>
      <w:bookmarkEnd w:id="714"/>
      <w:r>
        <w:rPr>
          <w:rStyle w:val="995"/>
          <w:rFonts w:ascii="宋体" w:hAnsi="宋体"/>
          <w:color w:val="000000"/>
          <w:highlight w:val="none"/>
        </w:rPr>
        <w:t xml:space="preserve">f.gov.cn/ztztz/zhengfucaigouguanli/201802/t20180201_2804589.htm</w:t>
      </w:r>
      <w:r>
        <w:rPr>
          <w:rFonts w:ascii="宋体" w:hAnsi="宋体"/>
          <w:color w:val="000000"/>
          <w:highlight w:val="none"/>
        </w:rPr>
        <w:fldChar w:fldCharType="end"/>
      </w:r>
      <w:r>
        <w:rPr>
          <w:rFonts w:hint="eastAsia" w:ascii="宋体" w:hAnsi="宋体"/>
          <w:color w:val="000000"/>
          <w:highlight w:val="none"/>
        </w:rPr>
        <w:t xml:space="preserve">）</w:t>
      </w:r>
      <w:r>
        <w:rPr>
          <w:rFonts w:ascii="宋体" w:hAnsi="宋体"/>
          <w:color w:val="000000"/>
          <w:sz w:val="24"/>
          <w:highlight w:val="none"/>
        </w:rPr>
      </w:r>
      <w:r/>
    </w:p>
    <w:p>
      <w:pPr>
        <w:pStyle w:val="918"/>
        <w:numPr>
          <w:ilvl w:val="2"/>
          <w:numId w:val="8"/>
        </w:numPr>
        <w:spacing w:line="360" w:lineRule="auto"/>
        <w:tabs>
          <w:tab w:val="left" w:pos="1980" w:leader="none"/>
        </w:tabs>
        <w:rPr>
          <w:rFonts w:ascii="宋体" w:hAnsi="宋体"/>
          <w:color w:val="000000"/>
          <w:sz w:val="24"/>
          <w:highlight w:val="none"/>
        </w:rPr>
      </w:pPr>
      <w:r>
        <w:rPr>
          <w:rFonts w:ascii="宋体" w:hAnsi="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ascii="宋体" w:hAnsi="宋体"/>
          <w:color w:val="000000"/>
          <w:sz w:val="24"/>
          <w:highlight w:val="none"/>
        </w:rPr>
      </w:r>
      <w:r/>
    </w:p>
    <w:p>
      <w:pPr>
        <w:pStyle w:val="918"/>
        <w:numPr>
          <w:ilvl w:val="2"/>
          <w:numId w:val="8"/>
        </w:numPr>
        <w:spacing w:line="360" w:lineRule="auto"/>
        <w:tabs>
          <w:tab w:val="left" w:pos="1980" w:leader="none"/>
        </w:tabs>
        <w:rPr>
          <w:rFonts w:hint="eastAsia" w:ascii="宋体" w:hAnsi="宋体"/>
          <w:color w:val="000000"/>
          <w:sz w:val="24"/>
          <w:highlight w:val="none"/>
        </w:rPr>
      </w:pPr>
      <w:r>
        <w:rPr>
          <w:rFonts w:ascii="宋体" w:hAnsi="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接收询问和质疑的联系部门、联系电话和通讯地址见《投标人须知资料表》</w:t>
      </w:r>
      <w:r>
        <w:rPr>
          <w:rFonts w:hint="eastAsia" w:ascii="宋体" w:hAnsi="宋体"/>
          <w:color w:val="000000"/>
          <w:sz w:val="24"/>
          <w:highlight w:val="none"/>
        </w:rPr>
        <w:t xml:space="preserve">。</w:t>
      </w:r>
      <w:r>
        <w:rPr>
          <w:rFonts w:ascii="宋体" w:hAnsi="宋体"/>
          <w:color w:val="000000"/>
          <w:sz w:val="24"/>
          <w:highlight w:val="none"/>
        </w:rPr>
      </w:r>
      <w:r/>
    </w:p>
    <w:p>
      <w:pPr>
        <w:pStyle w:val="918"/>
        <w:numPr>
          <w:ilvl w:val="0"/>
          <w:numId w:val="8"/>
        </w:numPr>
        <w:ind w:left="357" w:hanging="357"/>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代理费</w:t>
      </w:r>
      <w:r>
        <w:rPr>
          <w:rFonts w:ascii="宋体" w:hAnsi="宋体"/>
          <w:color w:val="000000"/>
          <w:sz w:val="24"/>
          <w:highlight w:val="none"/>
        </w:rPr>
      </w:r>
      <w:r/>
    </w:p>
    <w:p>
      <w:pPr>
        <w:pStyle w:val="918"/>
        <w:numPr>
          <w:ilvl w:val="1"/>
          <w:numId w:val="8"/>
        </w:numPr>
        <w:ind w:left="1077" w:hanging="720"/>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ascii="宋体" w:hAnsi="宋体"/>
          <w:color w:val="000000"/>
          <w:sz w:val="24"/>
          <w:highlight w:val="none"/>
        </w:rPr>
      </w:r>
      <w:r/>
    </w:p>
    <w:p>
      <w:pPr>
        <w:pStyle w:val="918"/>
        <w:jc w:val="center"/>
        <w:spacing w:line="360" w:lineRule="auto"/>
        <w:rPr>
          <w:rFonts w:ascii="宋体" w:hAnsi="宋体"/>
          <w:b/>
          <w:color w:val="000000"/>
          <w:sz w:val="36"/>
          <w:szCs w:val="36"/>
          <w:highlight w:val="none"/>
        </w:rPr>
        <w:outlineLvl w:val="0"/>
      </w:pPr>
      <w:r/>
      <w:bookmarkStart w:id="715" w:name="_Toc353873664"/>
      <w:r/>
      <w:bookmarkStart w:id="716" w:name="_Toc305158896"/>
      <w:r/>
      <w:bookmarkStart w:id="717" w:name="_Toc305158822"/>
      <w:r/>
      <w:bookmarkStart w:id="718" w:name="_Toc264969244"/>
      <w:r/>
      <w:bookmarkStart w:id="719" w:name="_Toc226337250"/>
      <w:r/>
      <w:bookmarkStart w:id="720" w:name="_Toc150774759"/>
      <w:r/>
      <w:bookmarkStart w:id="721" w:name="_Toc353873934"/>
      <w:r/>
      <w:bookmarkStart w:id="722" w:name="_Toc127151554"/>
      <w:r/>
      <w:bookmarkStart w:id="723" w:name="_Toc142311056"/>
      <w:r/>
      <w:bookmarkStart w:id="724" w:name="_Toc150480792"/>
      <w:r/>
      <w:bookmarkStart w:id="725" w:name="_Toc226965827"/>
      <w:r/>
      <w:bookmarkStart w:id="726" w:name="_Toc353825544"/>
      <w:r/>
      <w:bookmarkStart w:id="727" w:name="_Toc265228392"/>
      <w:r>
        <w:rPr>
          <w:rFonts w:ascii="宋体" w:hAnsi="宋体"/>
          <w:color w:val="000000"/>
          <w:sz w:val="24"/>
          <w:highlight w:val="none"/>
        </w:rPr>
        <w:br w:type="page" w:clear="all"/>
      </w:r>
      <w:bookmarkStart w:id="728" w:name="_Toc18256"/>
      <w:r>
        <w:rPr>
          <w:rFonts w:ascii="宋体" w:hAnsi="宋体"/>
          <w:b/>
          <w:color w:val="000000"/>
          <w:sz w:val="36"/>
          <w:szCs w:val="36"/>
          <w:highlight w:val="none"/>
        </w:rPr>
        <w:t xml:space="preserve">第三章   </w:t>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rPr>
          <w:rFonts w:ascii="宋体" w:hAnsi="宋体"/>
          <w:b/>
          <w:color w:val="000000"/>
          <w:sz w:val="36"/>
          <w:szCs w:val="36"/>
          <w:highlight w:val="none"/>
        </w:rPr>
        <w:t xml:space="preserve">资格审查</w:t>
      </w:r>
      <w:bookmarkEnd w:id="728"/>
      <w:r/>
      <w:bookmarkStart w:id="729" w:name="_Toc487900382"/>
      <w:r>
        <w:rPr>
          <w:rFonts w:ascii="宋体" w:hAnsi="宋体"/>
          <w:b/>
          <w:color w:val="000000"/>
          <w:sz w:val="36"/>
          <w:szCs w:val="36"/>
          <w:highlight w:val="none"/>
        </w:rPr>
      </w:r>
      <w:r/>
    </w:p>
    <w:p>
      <w:pPr>
        <w:pStyle w:val="918"/>
        <w:jc w:val="center"/>
        <w:spacing w:line="360" w:lineRule="auto"/>
        <w:tabs>
          <w:tab w:val="left" w:pos="360" w:leader="none"/>
          <w:tab w:val="left" w:pos="900" w:leader="none"/>
        </w:tabs>
        <w:rPr>
          <w:rFonts w:ascii="宋体" w:hAnsi="宋体"/>
          <w:b/>
          <w:color w:val="000000"/>
          <w:sz w:val="24"/>
          <w:highlight w:val="none"/>
        </w:rPr>
        <w:outlineLvl w:val="1"/>
      </w:pPr>
      <w:r/>
      <w:bookmarkStart w:id="730" w:name="_Toc99301422"/>
      <w:r>
        <w:rPr>
          <w:rFonts w:ascii="宋体" w:hAnsi="宋体"/>
          <w:b/>
          <w:color w:val="000000"/>
          <w:sz w:val="24"/>
          <w:highlight w:val="none"/>
        </w:rPr>
        <w:t xml:space="preserve">一、资格审查程序</w:t>
      </w:r>
      <w:bookmarkEnd w:id="730"/>
      <w:r>
        <w:rPr>
          <w:rFonts w:ascii="宋体" w:hAnsi="宋体"/>
          <w:b/>
          <w:color w:val="000000"/>
          <w:sz w:val="24"/>
          <w:highlight w:val="none"/>
        </w:rPr>
      </w:r>
      <w:r/>
    </w:p>
    <w:p>
      <w:pPr>
        <w:pStyle w:val="918"/>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开标结束后，采购人将根据《资格审查要求》中的规定，对投标人进行资格审查，并形成资格审查结果。</w:t>
      </w:r>
      <w:r>
        <w:rPr>
          <w:rFonts w:ascii="宋体" w:hAnsi="宋体"/>
          <w:color w:val="000000"/>
          <w:sz w:val="24"/>
          <w:highlight w:val="none"/>
        </w:rPr>
      </w:r>
      <w:r/>
    </w:p>
    <w:p>
      <w:pPr>
        <w:pStyle w:val="918"/>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《资格审查要求》中对格式有要求的，除招标文件另有规定外，均为“实质性格式”文件。</w:t>
      </w:r>
      <w:r>
        <w:rPr>
          <w:rFonts w:ascii="宋体" w:hAnsi="宋体"/>
          <w:color w:val="000000"/>
          <w:sz w:val="24"/>
          <w:highlight w:val="none"/>
        </w:rPr>
      </w:r>
      <w:r/>
    </w:p>
    <w:p>
      <w:pPr>
        <w:pStyle w:val="918"/>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投标人《资格证明文件》有任何一项不符合《资格审查要求》的，资格审查不合格，其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numPr>
          <w:ilvl w:val="0"/>
          <w:numId w:val="11"/>
        </w:numPr>
        <w:ind w:left="426" w:hanging="426"/>
        <w:spacing w:line="360" w:lineRule="auto"/>
        <w:tabs>
          <w:tab w:val="left" w:pos="426" w:leader="none"/>
          <w:tab w:val="left" w:pos="851" w:leader="none"/>
        </w:tabs>
        <w:rPr>
          <w:rFonts w:ascii="宋体" w:hAnsi="宋体"/>
          <w:color w:val="000000"/>
          <w:sz w:val="24"/>
          <w:highlight w:val="none"/>
        </w:rPr>
        <w:outlineLvl w:val="1"/>
      </w:pPr>
      <w:r>
        <w:rPr>
          <w:rFonts w:ascii="宋体" w:hAnsi="宋体"/>
          <w:color w:val="000000"/>
          <w:sz w:val="24"/>
          <w:highlight w:val="none"/>
        </w:rPr>
        <w:t xml:space="preserve">资格审查合格的投标人不足3家的，不进行评标。</w:t>
      </w:r>
      <w:r>
        <w:rPr>
          <w:rFonts w:ascii="宋体" w:hAnsi="宋体"/>
          <w:color w:val="000000"/>
          <w:sz w:val="24"/>
          <w:highlight w:val="none"/>
        </w:rPr>
      </w:r>
      <w:r/>
    </w:p>
    <w:p>
      <w:pPr>
        <w:pStyle w:val="918"/>
        <w:jc w:val="left"/>
        <w:widowControl/>
        <w:rPr>
          <w:rFonts w:ascii="宋体" w:hAnsi="宋体"/>
          <w:color w:val="000000"/>
          <w:sz w:val="24"/>
          <w:highlight w:val="none"/>
        </w:rPr>
      </w:pPr>
      <w:r>
        <w:rPr>
          <w:rFonts w:ascii="宋体" w:hAnsi="宋体"/>
          <w:color w:val="000000"/>
          <w:sz w:val="24"/>
          <w:highlight w:val="none"/>
        </w:rPr>
      </w:r>
      <w:r/>
    </w:p>
    <w:p>
      <w:pPr>
        <w:pStyle w:val="918"/>
        <w:jc w:val="center"/>
        <w:spacing w:line="360" w:lineRule="auto"/>
        <w:tabs>
          <w:tab w:val="left" w:pos="360" w:leader="none"/>
          <w:tab w:val="left" w:pos="900" w:leader="none"/>
        </w:tabs>
        <w:rPr>
          <w:rFonts w:ascii="宋体" w:hAnsi="宋体"/>
          <w:b/>
          <w:color w:val="000000"/>
          <w:sz w:val="24"/>
          <w:highlight w:val="none"/>
        </w:rPr>
        <w:outlineLvl w:val="1"/>
      </w:pPr>
      <w:r>
        <w:rPr>
          <w:rFonts w:ascii="宋体" w:hAnsi="宋体"/>
          <w:b/>
          <w:color w:val="000000"/>
          <w:sz w:val="24"/>
          <w:highlight w:val="none"/>
        </w:rPr>
        <w:t xml:space="preserve">二、资格审查要求</w:t>
      </w:r>
      <w:r>
        <w:rPr>
          <w:rFonts w:ascii="宋体" w:hAnsi="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918"/>
              <w:jc w:val="center"/>
              <w:tabs>
                <w:tab w:val="left" w:pos="1080" w:leader="none"/>
              </w:tabs>
              <w:rPr>
                <w:rFonts w:ascii="宋体" w:hAnsi="宋体"/>
                <w:b/>
                <w:color w:val="000000"/>
                <w:sz w:val="24"/>
                <w:highlight w:val="none"/>
              </w:rPr>
            </w:pPr>
            <w:r/>
            <w:bookmarkStart w:id="731" w:name="_Hlt487972895"/>
            <w:r/>
            <w:bookmarkEnd w:id="731"/>
            <w:r>
              <w:rPr>
                <w:rFonts w:ascii="宋体" w:hAnsi="宋体"/>
                <w:b/>
                <w:color w:val="000000"/>
                <w:sz w:val="24"/>
                <w:highlight w:val="none"/>
              </w:rPr>
              <w:t xml:space="preserve">序号</w:t>
            </w:r>
            <w:r>
              <w:rPr>
                <w:rFonts w:ascii="宋体" w:hAnsi="宋体"/>
                <w:b/>
                <w:color w:val="000000"/>
                <w:sz w:val="24"/>
                <w:highlight w:val="none"/>
              </w:rPr>
            </w:r>
            <w:r/>
          </w:p>
        </w:tc>
        <w:tc>
          <w:tcPr>
            <w:tcW w:w="1066" w:type="dxa"/>
            <w:vAlign w:val="center"/>
            <w:textDirection w:val="lrTb"/>
            <w:noWrap w:val="false"/>
          </w:tcPr>
          <w:p>
            <w:pPr>
              <w:pStyle w:val="918"/>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2596" w:type="dxa"/>
            <w:vAlign w:val="center"/>
            <w:textDirection w:val="lrTb"/>
            <w:noWrap w:val="false"/>
          </w:tcPr>
          <w:p>
            <w:pPr>
              <w:pStyle w:val="918"/>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c>
          <w:tcPr>
            <w:tcW w:w="881" w:type="dxa"/>
            <w:vAlign w:val="center"/>
            <w:textDirection w:val="lrTb"/>
            <w:noWrap w:val="false"/>
          </w:tcPr>
          <w:p>
            <w:pPr>
              <w:pStyle w:val="918"/>
              <w:jc w:val="center"/>
              <w:tabs>
                <w:tab w:val="left" w:pos="1080" w:leader="none"/>
              </w:tabs>
              <w:rPr>
                <w:rFonts w:ascii="宋体" w:hAnsi="宋体"/>
                <w:b/>
                <w:color w:val="000000"/>
                <w:sz w:val="24"/>
                <w:highlight w:val="none"/>
              </w:rPr>
            </w:pPr>
            <w:r>
              <w:rPr>
                <w:rFonts w:ascii="宋体" w:hAnsi="宋体"/>
                <w:b/>
                <w:color w:val="000000"/>
                <w:sz w:val="24"/>
                <w:highlight w:val="none"/>
              </w:rPr>
              <w:t xml:space="preserve">格式要求</w:t>
            </w:r>
            <w:r>
              <w:rPr>
                <w:rFonts w:ascii="宋体" w:hAnsi="宋体"/>
                <w:b/>
                <w:color w:val="000000"/>
                <w:sz w:val="24"/>
                <w:highlight w:val="none"/>
              </w:rPr>
            </w:r>
            <w:r/>
          </w:p>
        </w:tc>
      </w:tr>
      <w:tr>
        <w:trPr>
          <w:cantSplit/>
          <w:trHeight w:val="468"/>
        </w:trPr>
        <w:tc>
          <w:tcPr>
            <w:tcW w:w="454" w:type="dxa"/>
            <w:vAlign w:val="center"/>
            <w:textDirection w:val="lrTb"/>
            <w:noWrap w:val="false"/>
          </w:tcPr>
          <w:p>
            <w:pPr>
              <w:pStyle w:val="918"/>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06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highlight w:val="none"/>
              </w:rPr>
            </w:r>
            <w:r/>
          </w:p>
        </w:tc>
        <w:tc>
          <w:tcPr>
            <w:tcW w:w="259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具体规定见第一章《投标邀请》</w:t>
            </w:r>
            <w:r>
              <w:rPr>
                <w:rFonts w:ascii="宋体" w:hAnsi="宋体"/>
                <w:color w:val="000000"/>
                <w:sz w:val="24"/>
                <w:highlight w:val="none"/>
              </w:rPr>
            </w:r>
            <w:r/>
          </w:p>
        </w:tc>
        <w:tc>
          <w:tcPr>
            <w:tcW w:w="881"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454" w:type="dxa"/>
            <w:vAlign w:val="center"/>
            <w:textDirection w:val="lrTb"/>
            <w:noWrap w:val="false"/>
          </w:tcPr>
          <w:p>
            <w:pPr>
              <w:pStyle w:val="918"/>
              <w:jc w:val="center"/>
              <w:tabs>
                <w:tab w:val="left" w:pos="10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r>
            <w:r/>
          </w:p>
        </w:tc>
        <w:tc>
          <w:tcPr>
            <w:tcW w:w="1066" w:type="dxa"/>
            <w:vAlign w:val="center"/>
            <w:textDirection w:val="lrTb"/>
            <w:noWrap w:val="false"/>
          </w:tcPr>
          <w:p>
            <w:pPr>
              <w:pStyle w:val="918"/>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投标人资格声明函</w:t>
            </w:r>
            <w:r>
              <w:rPr>
                <w:rFonts w:ascii="宋体" w:hAnsi="宋体"/>
                <w:color w:val="000000"/>
                <w:sz w:val="24"/>
                <w:highlight w:val="none"/>
              </w:rPr>
            </w:r>
            <w:r/>
          </w:p>
        </w:tc>
        <w:tc>
          <w:tcPr>
            <w:tcW w:w="259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提供了符合招标文件要求的《</w:t>
            </w:r>
            <w:r>
              <w:rPr>
                <w:rFonts w:hint="eastAsia" w:ascii="宋体" w:hAnsi="宋体"/>
                <w:color w:val="000000"/>
                <w:sz w:val="24"/>
                <w:highlight w:val="none"/>
              </w:rPr>
              <w:t xml:space="preserve">投标人资格声明函</w:t>
            </w:r>
            <w:r>
              <w:rPr>
                <w:rFonts w:ascii="宋体" w:hAnsi="宋体"/>
                <w:color w:val="000000"/>
                <w:sz w:val="24"/>
                <w:highlight w:val="none"/>
              </w:rPr>
              <w:t xml:space="preserve">》。</w:t>
            </w:r>
            <w:r>
              <w:rPr>
                <w:rFonts w:ascii="宋体" w:hAnsi="宋体"/>
                <w:color w:val="000000"/>
                <w:sz w:val="24"/>
                <w:highlight w:val="none"/>
              </w:rPr>
            </w:r>
            <w:r/>
          </w:p>
        </w:tc>
        <w:tc>
          <w:tcPr>
            <w:tcW w:w="881"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格式见《投标文件格式》</w:t>
            </w:r>
            <w:r>
              <w:rPr>
                <w:rFonts w:ascii="宋体" w:hAnsi="宋体"/>
                <w:color w:val="000000"/>
                <w:sz w:val="24"/>
                <w:highlight w:val="none"/>
              </w:rPr>
            </w:r>
            <w:r/>
          </w:p>
        </w:tc>
      </w:tr>
      <w:tr>
        <w:trPr>
          <w:cantSplit/>
          <w:trHeight w:val="468"/>
        </w:trPr>
        <w:tc>
          <w:tcPr>
            <w:tcW w:w="454" w:type="dxa"/>
            <w:vAlign w:val="center"/>
            <w:textDirection w:val="lrTb"/>
            <w:noWrap w:val="false"/>
          </w:tcPr>
          <w:p>
            <w:pPr>
              <w:pStyle w:val="918"/>
              <w:jc w:val="center"/>
              <w:tabs>
                <w:tab w:val="left" w:pos="1080" w:leader="none"/>
              </w:tabs>
              <w:rPr>
                <w:rFonts w:ascii="宋体" w:hAnsi="宋体"/>
                <w:color w:val="000000"/>
                <w:sz w:val="24"/>
                <w:highlight w:val="none"/>
              </w:rPr>
            </w:pPr>
            <w:r>
              <w:rPr>
                <w:rFonts w:hint="eastAsia" w:ascii="宋体" w:hAnsi="宋体"/>
                <w:color w:val="000000"/>
                <w:sz w:val="24"/>
                <w:highlight w:val="none"/>
              </w:rPr>
              <w:t xml:space="preserve">1-2</w:t>
            </w:r>
            <w:r>
              <w:rPr>
                <w:rFonts w:ascii="宋体" w:hAnsi="宋体"/>
                <w:color w:val="000000"/>
                <w:sz w:val="24"/>
                <w:highlight w:val="none"/>
              </w:rPr>
            </w:r>
            <w:r/>
          </w:p>
        </w:tc>
        <w:tc>
          <w:tcPr>
            <w:tcW w:w="106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投标人信用记录</w:t>
            </w:r>
            <w:r>
              <w:rPr>
                <w:rFonts w:ascii="宋体" w:hAnsi="宋体"/>
                <w:color w:val="000000"/>
                <w:sz w:val="24"/>
                <w:highlight w:val="none"/>
              </w:rPr>
            </w:r>
            <w:r/>
          </w:p>
        </w:tc>
        <w:tc>
          <w:tcPr>
            <w:tcW w:w="259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查询渠道：信用中国网站和中国政府采购网（</w:t>
            </w:r>
            <w:r>
              <w:rPr>
                <w:rFonts w:ascii="宋体" w:hAnsi="宋体"/>
                <w:color w:val="000000"/>
                <w:highlight w:val="none"/>
              </w:rPr>
              <w:t xml:space="preserve">www.creditchina.gov.cn</w:t>
            </w:r>
            <w:r>
              <w:rPr>
                <w:rFonts w:ascii="宋体" w:hAnsi="宋体"/>
                <w:color w:val="000000"/>
                <w:sz w:val="24"/>
                <w:highlight w:val="none"/>
              </w:rPr>
              <w:t xml:space="preserve">、</w:t>
            </w:r>
            <w:r>
              <w:rPr>
                <w:rFonts w:ascii="宋体" w:hAnsi="宋体"/>
                <w:color w:val="000000"/>
                <w:highlight w:val="none"/>
              </w:rPr>
              <w:t xml:space="preserve">www.ccgp.gov.cn</w:t>
            </w:r>
            <w:r>
              <w:rPr>
                <w:rFonts w:ascii="宋体" w:hAnsi="宋体"/>
                <w:color w:val="000000"/>
                <w:sz w:val="24"/>
                <w:highlight w:val="none"/>
              </w:rPr>
              <w:t xml:space="preserve">）；</w:t>
            </w:r>
            <w:r>
              <w:rPr>
                <w:rFonts w:ascii="宋体" w:hAnsi="宋体"/>
                <w:color w:val="000000"/>
                <w:sz w:val="24"/>
                <w:highlight w:val="none"/>
              </w:rPr>
            </w:r>
            <w:r/>
          </w:p>
          <w:p>
            <w:pPr>
              <w:pStyle w:val="918"/>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截止时点：投标截止时间以后、</w:t>
            </w:r>
            <w:r>
              <w:rPr>
                <w:rFonts w:hint="eastAsia" w:ascii="宋体" w:hAnsi="宋体"/>
                <w:color w:val="000000"/>
                <w:sz w:val="24"/>
                <w:highlight w:val="none"/>
              </w:rPr>
              <w:t xml:space="preserve">资格审查阶段采购人或</w:t>
            </w:r>
            <w:r>
              <w:rPr>
                <w:rFonts w:ascii="宋体" w:hAnsi="宋体"/>
                <w:color w:val="000000"/>
                <w:sz w:val="24"/>
                <w:highlight w:val="none"/>
              </w:rPr>
              <w:t xml:space="preserve">采购代理机构的实际查询时间；</w:t>
            </w:r>
            <w:r>
              <w:rPr>
                <w:rFonts w:ascii="宋体" w:hAnsi="宋体"/>
                <w:color w:val="000000"/>
                <w:sz w:val="24"/>
                <w:highlight w:val="none"/>
              </w:rPr>
            </w:r>
            <w:r/>
          </w:p>
          <w:p>
            <w:pPr>
              <w:pStyle w:val="918"/>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信用信息查询记录和证据留存具体方式：查询结果网页打印页作为查询记录和证据，与其他采购文件一并保存；</w:t>
            </w:r>
            <w:r>
              <w:rPr>
                <w:rFonts w:ascii="宋体" w:hAnsi="宋体"/>
                <w:color w:val="000000"/>
                <w:sz w:val="24"/>
                <w:highlight w:val="none"/>
              </w:rPr>
            </w:r>
            <w:r/>
          </w:p>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信用信息的使用原则：经认定的被列入失信被执行人、重大税收违法案件当事人名单、政府采购严重违法失信行为记录名单的投标人，其</w:t>
            </w:r>
            <w:r>
              <w:rPr>
                <w:rFonts w:ascii="宋体" w:hAnsi="宋体"/>
                <w:b/>
                <w:color w:val="000000"/>
                <w:sz w:val="24"/>
                <w:highlight w:val="none"/>
              </w:rPr>
              <w:t xml:space="preserve">投标无效</w:t>
            </w:r>
            <w:r>
              <w:rPr>
                <w:rFonts w:ascii="宋体" w:hAnsi="宋体"/>
                <w:color w:val="000000"/>
                <w:sz w:val="24"/>
                <w:highlight w:val="none"/>
              </w:rPr>
              <w:t xml:space="preserve">。联合体形式投标的，联合体成员存在不良信用记录，视同联合体存在不良信用记录。</w:t>
            </w:r>
            <w:r>
              <w:rPr>
                <w:rFonts w:ascii="宋体" w:hAnsi="宋体"/>
                <w:color w:val="000000"/>
                <w:sz w:val="24"/>
                <w:highlight w:val="none"/>
              </w:rPr>
            </w:r>
            <w:r/>
          </w:p>
        </w:tc>
        <w:tc>
          <w:tcPr>
            <w:tcW w:w="881"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无须投标人提供，由采购人查询。</w:t>
            </w:r>
            <w:r>
              <w:rPr>
                <w:rFonts w:ascii="宋体" w:hAnsi="宋体"/>
                <w:color w:val="000000"/>
                <w:sz w:val="24"/>
                <w:highlight w:val="none"/>
              </w:rPr>
            </w:r>
            <w:r/>
          </w:p>
        </w:tc>
      </w:tr>
      <w:tr>
        <w:trPr>
          <w:cantSplit/>
          <w:trHeight w:val="468"/>
        </w:trPr>
        <w:tc>
          <w:tcPr>
            <w:tcW w:w="454" w:type="dxa"/>
            <w:vAlign w:val="center"/>
            <w:textDirection w:val="lrTb"/>
            <w:noWrap w:val="false"/>
          </w:tcPr>
          <w:p>
            <w:pPr>
              <w:pStyle w:val="918"/>
              <w:jc w:val="center"/>
              <w:tabs>
                <w:tab w:val="left" w:pos="10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106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落实政府采购政策需满足的资格要求</w:t>
            </w:r>
            <w:r>
              <w:rPr>
                <w:rFonts w:ascii="宋体" w:hAnsi="宋体"/>
                <w:color w:val="000000"/>
                <w:sz w:val="24"/>
                <w:highlight w:val="none"/>
              </w:rPr>
            </w:r>
            <w:r/>
          </w:p>
        </w:tc>
        <w:tc>
          <w:tcPr>
            <w:tcW w:w="259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具体要求见第一章《投标邀请》</w:t>
            </w:r>
            <w:r>
              <w:rPr>
                <w:rFonts w:ascii="宋体" w:hAnsi="宋体"/>
                <w:color w:val="000000"/>
                <w:sz w:val="24"/>
                <w:highlight w:val="none"/>
              </w:rPr>
            </w:r>
            <w:r/>
          </w:p>
        </w:tc>
        <w:tc>
          <w:tcPr>
            <w:tcW w:w="881"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8"/>
        </w:trPr>
        <w:tc>
          <w:tcPr>
            <w:tcW w:w="454" w:type="dxa"/>
            <w:vAlign w:val="center"/>
            <w:textDirection w:val="lrTb"/>
            <w:noWrap w:val="false"/>
          </w:tcPr>
          <w:p>
            <w:pPr>
              <w:pStyle w:val="918"/>
              <w:jc w:val="center"/>
              <w:tabs>
                <w:tab w:val="left" w:pos="1080" w:leader="none"/>
              </w:tabs>
              <w:rPr>
                <w:rFonts w:ascii="宋体" w:hAnsi="宋体"/>
                <w:color w:val="000000"/>
                <w:sz w:val="24"/>
                <w:highlight w:val="none"/>
              </w:rPr>
            </w:pPr>
            <w:r>
              <w:rPr>
                <w:rFonts w:ascii="宋体" w:hAnsi="宋体"/>
                <w:color w:val="000000"/>
                <w:sz w:val="24"/>
                <w:highlight w:val="none"/>
              </w:rPr>
              <w:t xml:space="preserve">2-3</w:t>
            </w:r>
            <w:r>
              <w:rPr>
                <w:rFonts w:ascii="宋体" w:hAnsi="宋体"/>
                <w:color w:val="000000"/>
                <w:sz w:val="24"/>
                <w:highlight w:val="none"/>
              </w:rPr>
            </w:r>
            <w:r/>
          </w:p>
        </w:tc>
        <w:tc>
          <w:tcPr>
            <w:tcW w:w="106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其它落实政府采购政策的资格要求</w:t>
            </w:r>
            <w:r>
              <w:rPr>
                <w:rFonts w:ascii="宋体" w:hAnsi="宋体"/>
                <w:color w:val="000000"/>
                <w:sz w:val="24"/>
                <w:highlight w:val="none"/>
              </w:rPr>
            </w:r>
            <w:r/>
          </w:p>
        </w:tc>
        <w:tc>
          <w:tcPr>
            <w:tcW w:w="259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881"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r>
        <w:trPr>
          <w:cantSplit/>
          <w:trHeight w:val="468"/>
        </w:trPr>
        <w:tc>
          <w:tcPr>
            <w:tcW w:w="454" w:type="dxa"/>
            <w:vAlign w:val="center"/>
            <w:textDirection w:val="lrTb"/>
            <w:noWrap w:val="false"/>
          </w:tcPr>
          <w:p>
            <w:pPr>
              <w:pStyle w:val="918"/>
              <w:jc w:val="center"/>
              <w:tabs>
                <w:tab w:val="left" w:pos="1080" w:leader="none"/>
              </w:tabs>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106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本项目的特定资格要求</w:t>
            </w:r>
            <w:r>
              <w:rPr>
                <w:rFonts w:ascii="宋体" w:hAnsi="宋体"/>
                <w:color w:val="000000"/>
                <w:sz w:val="24"/>
                <w:highlight w:val="none"/>
              </w:rPr>
            </w:r>
            <w:r/>
          </w:p>
        </w:tc>
        <w:tc>
          <w:tcPr>
            <w:tcW w:w="259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如有，见第一章《投标邀请》</w:t>
            </w:r>
            <w:r>
              <w:rPr>
                <w:rFonts w:ascii="宋体" w:hAnsi="宋体"/>
                <w:color w:val="000000"/>
                <w:sz w:val="24"/>
                <w:highlight w:val="none"/>
              </w:rPr>
            </w:r>
            <w:r/>
          </w:p>
        </w:tc>
        <w:tc>
          <w:tcPr>
            <w:tcW w:w="881"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1134"/>
        </w:trPr>
        <w:tc>
          <w:tcPr>
            <w:tcW w:w="454" w:type="dxa"/>
            <w:vAlign w:val="center"/>
            <w:textDirection w:val="lrTb"/>
            <w:noWrap w:val="false"/>
          </w:tcPr>
          <w:p>
            <w:pPr>
              <w:pStyle w:val="918"/>
              <w:jc w:val="center"/>
              <w:tabs>
                <w:tab w:val="left" w:pos="1080" w:leader="none"/>
              </w:tabs>
              <w:rPr>
                <w:rFonts w:ascii="宋体" w:hAnsi="宋体"/>
                <w:color w:val="000000"/>
                <w:sz w:val="24"/>
                <w:highlight w:val="none"/>
              </w:rPr>
            </w:pPr>
            <w:r>
              <w:rPr>
                <w:rFonts w:ascii="宋体" w:hAnsi="宋体"/>
                <w:color w:val="000000"/>
                <w:sz w:val="24"/>
                <w:highlight w:val="none"/>
              </w:rPr>
              <w:t xml:space="preserve">3-1</w:t>
            </w:r>
            <w:r>
              <w:rPr>
                <w:rFonts w:ascii="宋体" w:hAnsi="宋体"/>
                <w:color w:val="000000"/>
                <w:sz w:val="24"/>
                <w:highlight w:val="none"/>
              </w:rPr>
            </w:r>
            <w:r/>
          </w:p>
        </w:tc>
        <w:tc>
          <w:tcPr>
            <w:tcW w:w="106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是否接受联合体投标</w:t>
            </w:r>
            <w:r>
              <w:rPr>
                <w:rFonts w:ascii="宋体" w:hAnsi="宋体"/>
                <w:color w:val="000000"/>
                <w:sz w:val="24"/>
                <w:highlight w:val="none"/>
              </w:rPr>
            </w:r>
            <w:r/>
          </w:p>
        </w:tc>
        <w:tc>
          <w:tcPr>
            <w:tcW w:w="259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本项目不接受联合体投标</w:t>
            </w:r>
            <w:r>
              <w:rPr>
                <w:rFonts w:hint="eastAsia" w:ascii="宋体" w:hAnsi="宋体"/>
                <w:color w:val="000000"/>
                <w:sz w:val="24"/>
                <w:highlight w:val="none"/>
              </w:rPr>
              <w:t xml:space="preserve">时</w:t>
            </w:r>
            <w:r>
              <w:rPr>
                <w:rFonts w:ascii="宋体" w:hAnsi="宋体"/>
                <w:color w:val="000000"/>
                <w:sz w:val="24"/>
                <w:highlight w:val="none"/>
              </w:rPr>
              <w:t xml:space="preserve">，</w:t>
            </w:r>
            <w:r>
              <w:rPr>
                <w:rFonts w:hint="eastAsia" w:ascii="宋体" w:hAnsi="宋体"/>
                <w:color w:val="000000"/>
                <w:sz w:val="24"/>
                <w:highlight w:val="none"/>
              </w:rPr>
              <w:t xml:space="preserve">投标人不得为联合体</w:t>
            </w:r>
            <w:r>
              <w:rPr>
                <w:rFonts w:ascii="宋体" w:hAnsi="宋体"/>
                <w:color w:val="000000"/>
                <w:sz w:val="24"/>
                <w:highlight w:val="none"/>
              </w:rPr>
              <w:t xml:space="preserve">。</w:t>
            </w:r>
            <w:r>
              <w:rPr>
                <w:rFonts w:ascii="宋体" w:hAnsi="宋体"/>
                <w:color w:val="000000"/>
                <w:sz w:val="24"/>
                <w:highlight w:val="none"/>
              </w:rPr>
            </w:r>
            <w:r/>
          </w:p>
        </w:tc>
        <w:tc>
          <w:tcPr>
            <w:tcW w:w="881"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r>
            <w:r/>
          </w:p>
        </w:tc>
      </w:tr>
      <w:tr>
        <w:trPr>
          <w:cantSplit/>
          <w:trHeight w:val="460"/>
        </w:trPr>
        <w:tc>
          <w:tcPr>
            <w:tcW w:w="454" w:type="dxa"/>
            <w:vAlign w:val="center"/>
            <w:textDirection w:val="lrTb"/>
            <w:noWrap w:val="false"/>
          </w:tcPr>
          <w:p>
            <w:pPr>
              <w:pStyle w:val="918"/>
              <w:jc w:val="center"/>
              <w:tabs>
                <w:tab w:val="left" w:pos="1080" w:leader="none"/>
              </w:tabs>
              <w:rPr>
                <w:rFonts w:hint="eastAsia" w:ascii="宋体" w:hAnsi="宋体"/>
                <w:color w:val="000000"/>
                <w:sz w:val="24"/>
                <w:highlight w:val="none"/>
              </w:rPr>
            </w:pPr>
            <w:r>
              <w:rPr>
                <w:rFonts w:ascii="宋体" w:hAnsi="宋体"/>
                <w:color w:val="000000"/>
                <w:sz w:val="24"/>
                <w:highlight w:val="none"/>
              </w:rPr>
              <w:t xml:space="preserve">3-2</w:t>
            </w:r>
            <w:r>
              <w:rPr>
                <w:rFonts w:hint="eastAsia" w:ascii="宋体" w:hAnsi="宋体"/>
                <w:color w:val="000000"/>
                <w:sz w:val="24"/>
                <w:highlight w:val="none"/>
              </w:rPr>
            </w:r>
            <w:r/>
          </w:p>
        </w:tc>
        <w:tc>
          <w:tcPr>
            <w:tcW w:w="1066"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其他特定资格要求</w:t>
            </w:r>
            <w:r>
              <w:rPr>
                <w:rFonts w:ascii="宋体" w:hAnsi="宋体"/>
                <w:color w:val="000000"/>
                <w:sz w:val="24"/>
                <w:highlight w:val="none"/>
              </w:rPr>
            </w:r>
            <w:r/>
          </w:p>
        </w:tc>
        <w:tc>
          <w:tcPr>
            <w:tcW w:w="2596" w:type="dxa"/>
            <w:vAlign w:val="center"/>
            <w:textDirection w:val="lrTb"/>
            <w:noWrap w:val="false"/>
          </w:tcPr>
          <w:p>
            <w:pPr>
              <w:pStyle w:val="918"/>
              <w:tabs>
                <w:tab w:val="left" w:pos="1080" w:leader="none"/>
              </w:tabs>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无</w:t>
            </w:r>
            <w:r>
              <w:rPr>
                <w:rFonts w:hint="eastAsia" w:ascii="宋体" w:hAnsi="宋体" w:eastAsia="宋体"/>
                <w:color w:val="000000"/>
                <w:sz w:val="24"/>
                <w:highlight w:val="none"/>
                <w:lang w:val="en-US" w:eastAsia="zh-CN"/>
              </w:rPr>
            </w:r>
            <w:r/>
          </w:p>
        </w:tc>
        <w:tc>
          <w:tcPr>
            <w:tcW w:w="881" w:type="dxa"/>
            <w:vAlign w:val="center"/>
            <w:textDirection w:val="lrTb"/>
            <w:noWrap w:val="false"/>
          </w:tcPr>
          <w:p>
            <w:pPr>
              <w:pStyle w:val="918"/>
              <w:tabs>
                <w:tab w:val="left" w:pos="1080" w:leader="none"/>
              </w:tabs>
              <w:rPr>
                <w:rFonts w:ascii="宋体" w:hAnsi="宋体"/>
                <w:color w:val="000000"/>
                <w:sz w:val="24"/>
                <w:highlight w:val="none"/>
              </w:rPr>
            </w:pPr>
            <w:r>
              <w:rPr>
                <w:rFonts w:ascii="宋体" w:hAnsi="宋体"/>
                <w:color w:val="000000"/>
                <w:sz w:val="24"/>
                <w:highlight w:val="none"/>
              </w:rPr>
              <w:t xml:space="preserve">提供证明文件的电子件或电子证照</w:t>
            </w:r>
            <w:r>
              <w:rPr>
                <w:rFonts w:ascii="宋体" w:hAnsi="宋体"/>
                <w:color w:val="000000"/>
                <w:sz w:val="24"/>
                <w:highlight w:val="none"/>
              </w:rPr>
            </w:r>
            <w:r/>
          </w:p>
        </w:tc>
      </w:tr>
    </w:tbl>
    <w:p>
      <w:pPr>
        <w:pStyle w:val="918"/>
        <w:jc w:val="left"/>
        <w:widowControl/>
        <w:rPr>
          <w:rFonts w:ascii="宋体" w:hAnsi="宋体"/>
          <w:color w:val="000000"/>
          <w:sz w:val="24"/>
          <w:highlight w:val="none"/>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29"/>
      <w:r/>
      <w:bookmarkStart w:id="732" w:name="_Toc127151779"/>
      <w:r/>
      <w:bookmarkStart w:id="733" w:name="_Toc226965858"/>
      <w:r/>
      <w:bookmarkStart w:id="734" w:name="_Toc353873940"/>
      <w:r/>
      <w:bookmarkStart w:id="735" w:name="_Toc127161490"/>
      <w:r/>
      <w:bookmarkStart w:id="736" w:name="_Toc353825550"/>
      <w:r>
        <w:rPr>
          <w:rFonts w:ascii="宋体" w:hAnsi="宋体"/>
          <w:color w:val="000000"/>
          <w:sz w:val="24"/>
          <w:highlight w:val="none"/>
        </w:rPr>
        <w:br w:type="page" w:clear="all"/>
      </w:r>
      <w:r>
        <w:rPr>
          <w:rFonts w:ascii="宋体" w:hAnsi="宋体"/>
          <w:color w:val="000000"/>
          <w:sz w:val="24"/>
          <w:highlight w:val="none"/>
        </w:rPr>
      </w:r>
      <w:r/>
    </w:p>
    <w:p>
      <w:pPr>
        <w:pStyle w:val="918"/>
        <w:jc w:val="center"/>
        <w:spacing w:line="360" w:lineRule="auto"/>
        <w:rPr>
          <w:rFonts w:ascii="宋体" w:hAnsi="宋体"/>
          <w:b/>
          <w:color w:val="000000"/>
          <w:sz w:val="36"/>
          <w:szCs w:val="36"/>
          <w:highlight w:val="none"/>
        </w:rPr>
        <w:outlineLvl w:val="0"/>
      </w:pPr>
      <w:r/>
      <w:bookmarkStart w:id="737" w:name="_Toc8337"/>
      <w:r>
        <w:rPr>
          <w:rFonts w:ascii="宋体" w:hAnsi="宋体"/>
          <w:b/>
          <w:color w:val="000000"/>
          <w:sz w:val="36"/>
          <w:szCs w:val="36"/>
          <w:highlight w:val="none"/>
        </w:rPr>
        <w:t xml:space="preserve">第四章   </w:t>
      </w:r>
      <w:bookmarkEnd w:id="732"/>
      <w:r/>
      <w:bookmarkEnd w:id="733"/>
      <w:r/>
      <w:bookmarkEnd w:id="734"/>
      <w:r/>
      <w:bookmarkEnd w:id="735"/>
      <w:r/>
      <w:bookmarkEnd w:id="736"/>
      <w:r/>
      <w:bookmarkStart w:id="738" w:name="_Hlt164229061"/>
      <w:r/>
      <w:bookmarkEnd w:id="738"/>
      <w:r>
        <w:rPr>
          <w:rFonts w:ascii="宋体" w:hAnsi="宋体"/>
          <w:b/>
          <w:color w:val="000000"/>
          <w:sz w:val="36"/>
          <w:szCs w:val="36"/>
          <w:highlight w:val="none"/>
        </w:rPr>
        <w:t xml:space="preserve">评标程序、评标方法和评标标准</w:t>
      </w:r>
      <w:bookmarkEnd w:id="737"/>
      <w:r>
        <w:rPr>
          <w:rFonts w:ascii="宋体" w:hAnsi="宋体"/>
          <w:b/>
          <w:color w:val="000000"/>
          <w:sz w:val="36"/>
          <w:szCs w:val="36"/>
          <w:highlight w:val="none"/>
        </w:rPr>
      </w:r>
      <w:r/>
    </w:p>
    <w:p>
      <w:pPr>
        <w:pStyle w:val="918"/>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918"/>
        <w:numPr>
          <w:ilvl w:val="0"/>
          <w:numId w:val="12"/>
        </w:numPr>
        <w:spacing w:line="360" w:lineRule="auto"/>
        <w:tabs>
          <w:tab w:val="left" w:pos="360" w:leader="none"/>
          <w:tab w:val="left" w:pos="900" w:leader="none"/>
        </w:tabs>
        <w:rPr>
          <w:rFonts w:ascii="宋体" w:hAnsi="宋体"/>
          <w:color w:val="000000"/>
          <w:sz w:val="24"/>
          <w:highlight w:val="none"/>
        </w:rPr>
        <w:outlineLvl w:val="1"/>
      </w:pPr>
      <w:r/>
      <w:bookmarkStart w:id="739" w:name="_Toc127151541"/>
      <w:r/>
      <w:bookmarkStart w:id="740" w:name="_Toc150480779"/>
      <w:r/>
      <w:bookmarkStart w:id="741" w:name="_Toc164229382"/>
      <w:r/>
      <w:bookmarkStart w:id="742" w:name="_Toc305158883"/>
      <w:r/>
      <w:bookmarkStart w:id="743" w:name="_Toc150774746"/>
      <w:r/>
      <w:bookmarkStart w:id="744" w:name="_Toc264969231"/>
      <w:r/>
      <w:bookmarkStart w:id="745" w:name="_Toc265228379"/>
      <w:r/>
      <w:bookmarkStart w:id="746" w:name="_Toc305158809"/>
      <w:r/>
      <w:bookmarkStart w:id="747" w:name="_Toc226337237"/>
      <w:r/>
      <w:bookmarkStart w:id="748" w:name="_Toc164608655"/>
      <w:r/>
      <w:bookmarkStart w:id="749" w:name="_Toc142311043"/>
      <w:r/>
      <w:bookmarkStart w:id="750" w:name="_Toc164229236"/>
      <w:r/>
      <w:bookmarkStart w:id="751" w:name="_Toc226965814"/>
      <w:r/>
      <w:bookmarkStart w:id="752" w:name="_Toc127161455"/>
      <w:r/>
      <w:bookmarkStart w:id="753" w:name="_Toc164351635"/>
      <w:r/>
      <w:bookmarkStart w:id="754" w:name="_Toc151193711"/>
      <w:r/>
      <w:bookmarkStart w:id="755" w:name="_Toc151193783"/>
      <w:r/>
      <w:bookmarkStart w:id="756" w:name="_Toc164608810"/>
      <w:r/>
      <w:bookmarkStart w:id="757" w:name="_Toc150509292"/>
      <w:r/>
      <w:bookmarkStart w:id="758" w:name="_Toc151193855"/>
      <w:r/>
      <w:bookmarkStart w:id="759" w:name="_Toc195842906"/>
      <w:r/>
      <w:bookmarkStart w:id="760" w:name="_Toc149720834"/>
      <w:r/>
      <w:bookmarkStart w:id="761" w:name="_Toc150774641"/>
      <w:r/>
      <w:bookmarkStart w:id="762" w:name="_Toc151190168"/>
      <w:r/>
      <w:bookmarkStart w:id="763" w:name="_Toc151193929"/>
      <w:r/>
      <w:bookmarkStart w:id="764" w:name="_Toc151193639"/>
      <w:r/>
      <w:bookmarkStart w:id="765" w:name="_Toc226309785"/>
      <w:r/>
      <w:bookmarkStart w:id="766" w:name="_Toc127151742"/>
      <w:r/>
      <w:bookmarkStart w:id="767" w:name="_Toc226965731"/>
      <w:r/>
      <w:bookmarkStart w:id="768" w:name="_Toc353873941"/>
      <w:r/>
      <w:bookmarkStart w:id="769" w:name="_Toc353825551"/>
      <w:r/>
      <w:bookmarkStart w:id="770" w:name="_Toc353873665"/>
      <w:r/>
      <w:bookmarkStart w:id="771" w:name="_Toc305158823"/>
      <w:r/>
      <w:bookmarkStart w:id="772" w:name="_Toc226965828"/>
      <w:r/>
      <w:bookmarkStart w:id="773" w:name="_Toc226337251"/>
      <w:r/>
      <w:bookmarkStart w:id="774" w:name="_Toc265228393"/>
      <w:r/>
      <w:bookmarkStart w:id="775" w:name="_Toc264969245"/>
      <w:r/>
      <w:bookmarkStart w:id="776" w:name="_Toc353825545"/>
      <w:r/>
      <w:bookmarkStart w:id="777" w:name="_Toc150774760"/>
      <w:r/>
      <w:bookmarkStart w:id="778" w:name="_Toc195842920"/>
      <w:r/>
      <w:bookmarkStart w:id="779" w:name="_Toc150480793"/>
      <w:r/>
      <w:bookmarkStart w:id="780" w:name="_Toc142311057"/>
      <w:r/>
      <w:bookmarkStart w:id="781" w:name="_Toc127151555"/>
      <w:r/>
      <w:bookmarkStart w:id="782" w:name="_Toc353873935"/>
      <w:r/>
      <w:bookmarkStart w:id="783" w:name="_Toc305158897"/>
      <w:r>
        <w:rPr>
          <w:rFonts w:ascii="宋体" w:hAnsi="宋体"/>
          <w:color w:val="000000"/>
          <w:sz w:val="24"/>
          <w:highlight w:val="none"/>
        </w:rPr>
        <w:t xml:space="preserve">投标文件的符合性审查</w:t>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评标委员会对资格审查合格的投标人的投标文件进行符合性审查，以确定其是否满足招标文件的实质性要求。</w:t>
      </w:r>
      <w:bookmarkStart w:id="784" w:name="_Toc520356167"/>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评标委员会根据《符合性审查</w:t>
      </w:r>
      <w:r>
        <w:rPr>
          <w:rFonts w:hint="eastAsia" w:ascii="宋体" w:hAnsi="宋体"/>
          <w:color w:val="000000"/>
          <w:sz w:val="24"/>
          <w:highlight w:val="none"/>
        </w:rPr>
        <w:t xml:space="preserve">要求</w:t>
      </w:r>
      <w:r>
        <w:rPr>
          <w:rFonts w:ascii="宋体" w:hAnsi="宋体"/>
          <w:color w:val="000000"/>
          <w:sz w:val="24"/>
          <w:highlight w:val="none"/>
        </w:rPr>
        <w:t xml:space="preserve">》中规定的审查因素和审查内容，对投标人的投标文件是否实质上响应招标文件进行符合性审查，并形成符合性审查评审结果。</w:t>
      </w:r>
      <w:r>
        <w:rPr>
          <w:rFonts w:hint="eastAsia" w:ascii="宋体" w:hAnsi="宋体"/>
          <w:color w:val="000000"/>
          <w:sz w:val="24"/>
          <w:highlight w:val="none"/>
        </w:rPr>
        <w:t xml:space="preserve">投标人《商务技术文件》有任何一项不符合</w:t>
      </w:r>
      <w:r>
        <w:rPr>
          <w:rFonts w:ascii="宋体" w:hAnsi="宋体"/>
          <w:color w:val="000000"/>
          <w:sz w:val="24"/>
          <w:highlight w:val="none"/>
        </w:rPr>
        <w:t xml:space="preserve">《符合性审查</w:t>
      </w:r>
      <w:r>
        <w:rPr>
          <w:rFonts w:hint="eastAsia" w:ascii="宋体" w:hAnsi="宋体"/>
          <w:color w:val="000000"/>
          <w:sz w:val="24"/>
          <w:highlight w:val="none"/>
        </w:rPr>
        <w:t xml:space="preserve">要求</w:t>
      </w:r>
      <w:r>
        <w:rPr>
          <w:rFonts w:ascii="宋体" w:hAnsi="宋体"/>
          <w:color w:val="000000"/>
          <w:sz w:val="24"/>
          <w:highlight w:val="none"/>
        </w:rPr>
        <w:t xml:space="preserve">》</w:t>
      </w:r>
      <w:bookmarkEnd w:id="784"/>
      <w:r>
        <w:rPr>
          <w:rFonts w:hint="eastAsia" w:ascii="宋体" w:hAnsi="宋体"/>
          <w:color w:val="000000"/>
          <w:sz w:val="24"/>
          <w:highlight w:val="none"/>
        </w:rPr>
        <w:t xml:space="preserve">要求的，</w:t>
      </w:r>
      <w:r>
        <w:rPr>
          <w:rFonts w:hint="eastAsia" w:ascii="宋体" w:hAnsi="宋体"/>
          <w:b/>
          <w:color w:val="000000"/>
          <w:sz w:val="24"/>
          <w:highlight w:val="none"/>
        </w:rPr>
        <w:t xml:space="preserve">投标无效</w:t>
      </w:r>
      <w:r>
        <w:rPr>
          <w:rFonts w:hint="eastAsia" w:ascii="宋体" w:hAnsi="宋体"/>
          <w:color w:val="000000"/>
          <w:sz w:val="24"/>
          <w:highlight w:val="none"/>
        </w:rPr>
        <w:t xml:space="preserve">。</w:t>
      </w:r>
      <w:r>
        <w:rPr>
          <w:rFonts w:ascii="宋体" w:hAnsi="宋体"/>
          <w:color w:val="000000"/>
          <w:sz w:val="24"/>
          <w:highlight w:val="none"/>
        </w:rPr>
      </w:r>
      <w:r/>
    </w:p>
    <w:p>
      <w:pPr>
        <w:pStyle w:val="918"/>
        <w:ind w:hanging="357"/>
        <w:jc w:val="center"/>
        <w:spacing w:line="360" w:lineRule="auto"/>
        <w:tabs>
          <w:tab w:val="left" w:pos="900" w:leader="none"/>
          <w:tab w:val="left" w:pos="1080" w:leader="none"/>
          <w:tab w:val="left" w:pos="1589" w:leader="none"/>
        </w:tabs>
        <w:rPr>
          <w:rFonts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ascii="宋体" w:hAnsi="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918"/>
              <w:jc w:val="center"/>
              <w:widowControl/>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976" w:type="dxa"/>
            <w:vAlign w:val="center"/>
            <w:textDirection w:val="lrTb"/>
            <w:noWrap w:val="false"/>
          </w:tcPr>
          <w:p>
            <w:pPr>
              <w:pStyle w:val="918"/>
              <w:jc w:val="center"/>
              <w:widowControl/>
              <w:rPr>
                <w:rFonts w:ascii="宋体" w:hAnsi="宋体"/>
                <w:b/>
                <w:color w:val="000000"/>
                <w:sz w:val="24"/>
                <w:highlight w:val="none"/>
              </w:rPr>
            </w:pPr>
            <w:r>
              <w:rPr>
                <w:rFonts w:ascii="宋体" w:hAnsi="宋体"/>
                <w:b/>
                <w:color w:val="000000"/>
                <w:sz w:val="24"/>
                <w:highlight w:val="none"/>
              </w:rPr>
              <w:t xml:space="preserve">审查因素</w:t>
            </w:r>
            <w:r>
              <w:rPr>
                <w:rFonts w:ascii="宋体" w:hAnsi="宋体"/>
                <w:b/>
                <w:color w:val="000000"/>
                <w:sz w:val="24"/>
                <w:highlight w:val="none"/>
              </w:rPr>
            </w:r>
            <w:r/>
          </w:p>
        </w:tc>
        <w:tc>
          <w:tcPr>
            <w:tcW w:w="3620" w:type="dxa"/>
            <w:vAlign w:val="center"/>
            <w:textDirection w:val="lrTb"/>
            <w:noWrap w:val="false"/>
          </w:tcPr>
          <w:p>
            <w:pPr>
              <w:pStyle w:val="918"/>
              <w:jc w:val="center"/>
              <w:widowControl/>
              <w:rPr>
                <w:rFonts w:ascii="宋体" w:hAnsi="宋体"/>
                <w:b/>
                <w:color w:val="000000"/>
                <w:sz w:val="24"/>
                <w:highlight w:val="none"/>
              </w:rPr>
            </w:pPr>
            <w:r>
              <w:rPr>
                <w:rFonts w:ascii="宋体" w:hAnsi="宋体"/>
                <w:b/>
                <w:color w:val="000000"/>
                <w:sz w:val="24"/>
                <w:highlight w:val="none"/>
              </w:rPr>
              <w:t xml:space="preserve">审查内容</w:t>
            </w:r>
            <w:r>
              <w:rPr>
                <w:rFonts w:ascii="宋体" w:hAnsi="宋体"/>
                <w:b/>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法定代表人资格证明书和政府采购供应商信用承诺书</w:t>
            </w:r>
            <w:r>
              <w:rPr>
                <w:rFonts w:hint="eastAsia"/>
                <w:color w:val="000000"/>
                <w:sz w:val="24"/>
                <w:highlight w:val="none"/>
                <w:lang w:eastAsia="zh-CN"/>
              </w:rPr>
              <w:t xml:space="preserve">和供应商管理关系或控股关系信息情况表</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按招标文件要求提供</w:t>
            </w:r>
            <w:r>
              <w:rPr>
                <w:rFonts w:hint="eastAsia" w:ascii="宋体" w:hAnsi="宋体"/>
                <w:color w:val="000000"/>
                <w:sz w:val="24"/>
                <w:highlight w:val="none"/>
              </w:rPr>
              <w:t xml:space="preserve">投标函、</w:t>
            </w:r>
            <w:r>
              <w:rPr>
                <w:rFonts w:hint="eastAsia" w:ascii="宋体" w:hAnsi="宋体"/>
                <w:color w:val="000000"/>
                <w:sz w:val="24"/>
                <w:highlight w:val="none"/>
              </w:rPr>
              <w:t xml:space="preserve">法定代表人资格证明书和政府采购供应商信用承诺书</w:t>
            </w:r>
            <w:r>
              <w:rPr>
                <w:rFonts w:hint="eastAsia"/>
                <w:color w:val="000000"/>
                <w:sz w:val="24"/>
                <w:highlight w:val="none"/>
              </w:rPr>
              <w:t xml:space="preserve">和供应商管理关系或控股关系信息情况表</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投标完整性</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hint="eastAsia" w:ascii="宋体" w:hAnsi="宋体"/>
                <w:color w:val="000000"/>
                <w:sz w:val="24"/>
                <w:highlight w:val="none"/>
              </w:rPr>
              <w:t xml:space="preserve">未</w:t>
            </w:r>
            <w:r>
              <w:rPr>
                <w:rFonts w:ascii="宋体" w:hAnsi="宋体"/>
                <w:color w:val="000000"/>
                <w:sz w:val="24"/>
                <w:highlight w:val="none"/>
              </w:rPr>
              <w:t xml:space="preserve">将一个采购包中的内容拆开投标；</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3</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投标报价</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投标报价</w:t>
            </w:r>
            <w:r>
              <w:rPr>
                <w:rFonts w:hint="eastAsia" w:ascii="宋体" w:hAnsi="宋体"/>
                <w:color w:val="000000"/>
                <w:sz w:val="24"/>
                <w:highlight w:val="none"/>
              </w:rPr>
              <w:t xml:space="preserve">未</w:t>
            </w:r>
            <w:r>
              <w:rPr>
                <w:rFonts w:ascii="宋体" w:hAnsi="宋体"/>
                <w:color w:val="000000"/>
                <w:sz w:val="24"/>
                <w:highlight w:val="none"/>
              </w:rPr>
              <w:t xml:space="preserve">超过招标文件中规定的项目/采购包预算金额或者项目/采购包最高限价</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4</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报价唯一性</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hint="eastAsia" w:ascii="宋体" w:hAnsi="宋体"/>
                <w:color w:val="000000"/>
                <w:sz w:val="24"/>
                <w:highlight w:val="none"/>
              </w:rPr>
              <w:t xml:space="preserve">出现可选择性或可调整的报价（招标文件另有规定的除外）</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5</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投标有效期</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投标文件中承诺的投标有效期</w:t>
            </w:r>
            <w:r>
              <w:rPr>
                <w:rFonts w:hint="eastAsia" w:ascii="宋体" w:hAnsi="宋体"/>
                <w:color w:val="000000"/>
                <w:sz w:val="24"/>
                <w:highlight w:val="none"/>
              </w:rPr>
              <w:t xml:space="preserve">满足</w:t>
            </w:r>
            <w:r>
              <w:rPr>
                <w:rFonts w:ascii="宋体" w:hAnsi="宋体"/>
                <w:color w:val="000000"/>
                <w:sz w:val="24"/>
                <w:highlight w:val="none"/>
              </w:rPr>
              <w:t xml:space="preserve">招标文件中载明的投标有效期的；</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6</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签署、加盖公章</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按照招标文件要求签署、加盖公章的；</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hint="eastAsia" w:ascii="宋体" w:hAnsi="宋体"/>
                <w:color w:val="000000"/>
                <w:sz w:val="24"/>
                <w:highlight w:val="none"/>
              </w:rPr>
              <w:t xml:space="preserve">实质性格式</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hint="eastAsia" w:ascii="宋体" w:hAnsi="宋体"/>
                <w:color w:val="000000"/>
                <w:sz w:val="24"/>
                <w:highlight w:val="none"/>
              </w:rPr>
              <w:t xml:space="preserve">标记为</w:t>
            </w:r>
            <w:r>
              <w:rPr>
                <w:rFonts w:ascii="宋体" w:hAnsi="宋体"/>
                <w:color w:val="000000"/>
                <w:sz w:val="24"/>
                <w:highlight w:val="none"/>
              </w:rPr>
              <w:t xml:space="preserve">“实质性格式”的</w:t>
            </w:r>
            <w:r>
              <w:rPr>
                <w:rFonts w:hint="eastAsia" w:ascii="宋体" w:hAnsi="宋体"/>
                <w:color w:val="000000"/>
                <w:sz w:val="24"/>
                <w:highlight w:val="none"/>
              </w:rPr>
              <w:t xml:space="preserve">文件均按</w:t>
            </w:r>
            <w:r>
              <w:rPr>
                <w:rFonts w:ascii="宋体" w:hAnsi="宋体"/>
                <w:color w:val="000000"/>
                <w:sz w:val="24"/>
                <w:highlight w:val="none"/>
              </w:rPr>
              <w:t xml:space="preserve">招标文件</w:t>
            </w:r>
            <w:r>
              <w:rPr>
                <w:rFonts w:hint="eastAsia" w:ascii="宋体" w:hAnsi="宋体"/>
                <w:color w:val="000000"/>
                <w:sz w:val="24"/>
                <w:highlight w:val="none"/>
              </w:rPr>
              <w:t xml:space="preserve">要求提供；</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8</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s="Segoe UI Symbol"/>
                <w:color w:val="000000"/>
                <w:sz w:val="24"/>
                <w:highlight w:val="none"/>
              </w:rPr>
              <w:t xml:space="preserve">★</w:t>
            </w:r>
            <w:r>
              <w:rPr>
                <w:rFonts w:ascii="宋体" w:hAnsi="宋体"/>
                <w:color w:val="000000"/>
                <w:sz w:val="24"/>
                <w:highlight w:val="none"/>
              </w:rPr>
              <w:t xml:space="preserve">号条款响应</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投标文件满足招标文件</w:t>
            </w:r>
            <w:r>
              <w:rPr>
                <w:rFonts w:ascii="宋体" w:hAnsi="宋体"/>
                <w:color w:val="000000"/>
                <w:sz w:val="24"/>
                <w:highlight w:val="none"/>
              </w:rPr>
              <w:t xml:space="preserve">第五章《采购需求》</w:t>
            </w:r>
            <w:r>
              <w:rPr>
                <w:rFonts w:ascii="宋体" w:hAnsi="宋体"/>
                <w:color w:val="000000"/>
                <w:sz w:val="24"/>
                <w:highlight w:val="none"/>
              </w:rPr>
              <w:t xml:space="preserve">中</w:t>
            </w:r>
            <w:r>
              <w:rPr>
                <w:rFonts w:ascii="宋体" w:hAnsi="宋体" w:cs="Segoe UI Symbol"/>
                <w:color w:val="000000"/>
                <w:sz w:val="24"/>
                <w:highlight w:val="none"/>
              </w:rPr>
              <w:t xml:space="preserve">★</w:t>
            </w:r>
            <w:r>
              <w:rPr>
                <w:rFonts w:ascii="宋体" w:hAnsi="宋体"/>
                <w:color w:val="000000"/>
                <w:sz w:val="24"/>
                <w:highlight w:val="none"/>
              </w:rPr>
              <w:t xml:space="preserve">号条款要求的；</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9</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分包承担主体资质（如有）</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分包承担主体具备《投标人须知资料表》载明的资质条件</w:t>
            </w:r>
            <w:r>
              <w:rPr>
                <w:rFonts w:hint="eastAsia" w:ascii="宋体" w:hAnsi="宋体"/>
                <w:color w:val="000000"/>
                <w:sz w:val="24"/>
                <w:highlight w:val="none"/>
              </w:rPr>
              <w:t xml:space="preserve">且</w:t>
            </w:r>
            <w:r>
              <w:rPr>
                <w:rFonts w:ascii="宋体" w:hAnsi="宋体"/>
                <w:color w:val="000000"/>
                <w:sz w:val="24"/>
                <w:highlight w:val="none"/>
              </w:rPr>
              <w:t xml:space="preserve">提供</w:t>
            </w:r>
            <w:r>
              <w:rPr>
                <w:rFonts w:hint="eastAsia" w:ascii="宋体" w:hAnsi="宋体"/>
                <w:color w:val="000000"/>
                <w:sz w:val="24"/>
                <w:highlight w:val="none"/>
              </w:rPr>
              <w:t xml:space="preserve">了</w:t>
            </w:r>
            <w:r>
              <w:rPr>
                <w:rFonts w:ascii="宋体" w:hAnsi="宋体"/>
                <w:color w:val="000000"/>
                <w:sz w:val="24"/>
                <w:highlight w:val="none"/>
              </w:rPr>
              <w:t xml:space="preserve">资质证书电子件</w:t>
            </w:r>
            <w:r>
              <w:rPr>
                <w:rFonts w:hint="eastAsia" w:ascii="宋体" w:hAnsi="宋体"/>
                <w:color w:val="000000"/>
                <w:sz w:val="24"/>
                <w:highlight w:val="none"/>
              </w:rPr>
              <w:t xml:space="preserve">（如有）</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10</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分包意向协议</w:t>
            </w:r>
            <w:r>
              <w:rPr>
                <w:rFonts w:ascii="宋体" w:hAnsi="宋体"/>
                <w:color w:val="000000"/>
                <w:sz w:val="24"/>
                <w:highlight w:val="none"/>
              </w:rPr>
            </w:r>
            <w:r/>
          </w:p>
          <w:p>
            <w:pPr>
              <w:pStyle w:val="918"/>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按招标文件规定签订并提供分包意向协议原件的电子件的；</w:t>
            </w:r>
            <w:r>
              <w:rPr>
                <w:rFonts w:hint="eastAsia" w:ascii="宋体" w:hAnsi="宋体"/>
                <w:color w:val="000000"/>
                <w:sz w:val="24"/>
                <w:highlight w:val="none"/>
              </w:rPr>
              <w:t xml:space="preserve">（如有）</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11</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报价的修正（如有）</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hint="eastAsia" w:ascii="宋体" w:hAnsi="宋体"/>
                <w:color w:val="000000"/>
                <w:sz w:val="24"/>
                <w:highlight w:val="none"/>
              </w:rPr>
              <w:t xml:space="preserve">不涉及报价修正</w:t>
            </w:r>
            <w:r>
              <w:rPr>
                <w:rFonts w:ascii="宋体" w:hAnsi="宋体"/>
                <w:color w:val="000000"/>
                <w:sz w:val="24"/>
                <w:highlight w:val="none"/>
              </w:rPr>
              <w:t xml:space="preserve">，或投标文件报价出现前后不一致</w:t>
            </w:r>
            <w:r>
              <w:rPr>
                <w:rFonts w:hint="eastAsia" w:ascii="宋体" w:hAnsi="宋体"/>
                <w:color w:val="000000"/>
                <w:sz w:val="24"/>
                <w:highlight w:val="none"/>
              </w:rPr>
              <w:t xml:space="preserve">时</w:t>
            </w:r>
            <w:r>
              <w:rPr>
                <w:rFonts w:ascii="宋体" w:hAnsi="宋体"/>
                <w:color w:val="000000"/>
                <w:sz w:val="24"/>
                <w:highlight w:val="none"/>
              </w:rPr>
              <w:t xml:space="preserve">，投标人对修正后的报价予</w:t>
            </w:r>
            <w:r>
              <w:rPr>
                <w:rFonts w:hint="eastAsia" w:ascii="宋体" w:hAnsi="宋体"/>
                <w:color w:val="000000"/>
                <w:sz w:val="24"/>
                <w:highlight w:val="none"/>
              </w:rPr>
              <w:t xml:space="preserve">以</w:t>
            </w:r>
            <w:r>
              <w:rPr>
                <w:rFonts w:ascii="宋体" w:hAnsi="宋体"/>
                <w:color w:val="000000"/>
                <w:sz w:val="24"/>
                <w:highlight w:val="none"/>
              </w:rPr>
              <w:t xml:space="preserve">确认；（如有）</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12</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报价合理性</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报价合理，或</w:t>
            </w:r>
            <w:r>
              <w:rPr>
                <w:rFonts w:hint="eastAsia" w:ascii="宋体" w:hAnsi="宋体"/>
                <w:color w:val="000000"/>
                <w:sz w:val="24"/>
                <w:highlight w:val="none"/>
              </w:rPr>
              <w:t xml:space="preserve">投标人的报价明显低于其他通过符合性审查投标人的报价，</w:t>
            </w:r>
            <w:r>
              <w:rPr>
                <w:rFonts w:ascii="宋体" w:hAnsi="宋体"/>
                <w:color w:val="000000"/>
                <w:sz w:val="24"/>
                <w:highlight w:val="none"/>
              </w:rPr>
              <w:t xml:space="preserve">有可能影响产品质量或者不能诚信履约的</w:t>
            </w:r>
            <w:r>
              <w:rPr>
                <w:rFonts w:hint="eastAsia" w:ascii="宋体" w:hAnsi="宋体"/>
                <w:color w:val="000000"/>
                <w:sz w:val="24"/>
                <w:highlight w:val="none"/>
              </w:rPr>
              <w:t xml:space="preserve">，能够应评标委员会要求在规定时间内证明其报价合理性的</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13</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进口产品</w:t>
            </w:r>
            <w:r>
              <w:rPr>
                <w:rFonts w:ascii="宋体" w:hAnsi="宋体"/>
                <w:color w:val="000000"/>
                <w:sz w:val="24"/>
                <w:highlight w:val="none"/>
              </w:rPr>
            </w:r>
            <w:r/>
          </w:p>
          <w:p>
            <w:pPr>
              <w:pStyle w:val="918"/>
              <w:jc w:val="left"/>
              <w:widowControl/>
              <w:rPr>
                <w:rFonts w:ascii="宋体" w:hAnsi="宋体"/>
                <w:color w:val="000000"/>
                <w:sz w:val="24"/>
                <w:highlight w:val="none"/>
              </w:rPr>
            </w:pPr>
            <w:r>
              <w:rPr>
                <w:rFonts w:ascii="宋体" w:hAnsi="宋体"/>
                <w:color w:val="000000"/>
                <w:sz w:val="24"/>
                <w:highlight w:val="none"/>
              </w:rPr>
              <w:t xml:space="preserve">（如有）</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hint="eastAsia" w:ascii="宋体" w:hAnsi="宋体"/>
                <w:color w:val="000000"/>
                <w:sz w:val="24"/>
                <w:highlight w:val="none"/>
              </w:rPr>
              <w:t xml:space="preserve">招标文件</w:t>
            </w:r>
            <w:r>
              <w:rPr>
                <w:rFonts w:ascii="宋体" w:hAnsi="宋体"/>
                <w:color w:val="000000"/>
                <w:sz w:val="24"/>
                <w:highlight w:val="none"/>
              </w:rPr>
              <w:t xml:space="preserve">不接受进口产品投标</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投标人所投产品非进口产品的；</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14</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国家有关部门对投标人的投标产品有强制性规定或要求的（如相应技术、安全、节能和环保等），投标人的投标产品</w:t>
            </w:r>
            <w:r>
              <w:rPr>
                <w:rFonts w:hint="eastAsia" w:ascii="宋体" w:hAnsi="宋体"/>
                <w:color w:val="000000"/>
                <w:sz w:val="24"/>
                <w:highlight w:val="none"/>
              </w:rPr>
              <w:t xml:space="preserve">应</w:t>
            </w:r>
            <w:r>
              <w:rPr>
                <w:rFonts w:ascii="宋体" w:hAnsi="宋体"/>
                <w:color w:val="000000"/>
                <w:sz w:val="24"/>
                <w:highlight w:val="none"/>
              </w:rPr>
              <w:t xml:space="preserve">符合相应规定或要求</w:t>
            </w:r>
            <w:r>
              <w:rPr>
                <w:rFonts w:hint="eastAsia" w:ascii="宋体" w:hAnsi="宋体"/>
                <w:color w:val="000000"/>
                <w:sz w:val="24"/>
                <w:highlight w:val="none"/>
              </w:rPr>
              <w:t xml:space="preserve">，并提供证明文件电子件：</w:t>
            </w:r>
            <w:r>
              <w:rPr>
                <w:rFonts w:ascii="宋体" w:hAnsi="宋体"/>
                <w:color w:val="000000"/>
                <w:sz w:val="24"/>
                <w:highlight w:val="none"/>
              </w:rPr>
            </w:r>
            <w:r/>
          </w:p>
          <w:p>
            <w:pPr>
              <w:pStyle w:val="918"/>
              <w:jc w:val="left"/>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color w:val="000000"/>
                <w:sz w:val="24"/>
                <w:highlight w:val="none"/>
              </w:rPr>
            </w:r>
            <w:r/>
          </w:p>
          <w:p>
            <w:pPr>
              <w:pStyle w:val="918"/>
              <w:jc w:val="left"/>
              <w:widowControl/>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投标产品如涉及计算机信息系统安全专用产品的，须</w:t>
            </w:r>
            <w:r>
              <w:rPr>
                <w:rFonts w:hint="eastAsia" w:ascii="宋体" w:hAnsi="宋体"/>
                <w:color w:val="000000"/>
                <w:sz w:val="24"/>
                <w:highlight w:val="none"/>
              </w:rPr>
              <w:t xml:space="preserve">提供</w:t>
            </w:r>
            <w:r>
              <w:rPr>
                <w:rFonts w:ascii="宋体" w:hAnsi="宋体"/>
                <w:color w:val="000000"/>
                <w:sz w:val="24"/>
                <w:highlight w:val="none"/>
              </w:rPr>
              <w:t xml:space="preserve">公安部颁发的计算机信息系统安全专用产品销售许可证；</w:t>
            </w:r>
            <w:r>
              <w:rPr>
                <w:rFonts w:ascii="宋体" w:hAnsi="宋体"/>
                <w:color w:val="000000"/>
                <w:sz w:val="24"/>
                <w:highlight w:val="none"/>
              </w:rPr>
            </w:r>
            <w:r/>
          </w:p>
          <w:p>
            <w:pPr>
              <w:pStyle w:val="918"/>
              <w:jc w:val="lef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投标产品如有属于开展国家信息安全产品认证产品范围的，须</w:t>
            </w:r>
            <w:r>
              <w:rPr>
                <w:rFonts w:hint="eastAsia" w:ascii="宋体" w:hAnsi="宋体"/>
                <w:color w:val="000000"/>
                <w:sz w:val="24"/>
                <w:highlight w:val="none"/>
              </w:rPr>
              <w:t xml:space="preserve">提供</w:t>
            </w:r>
            <w:r>
              <w:rPr>
                <w:rFonts w:ascii="宋体" w:hAnsi="宋体"/>
                <w:color w:val="000000"/>
                <w:sz w:val="24"/>
                <w:highlight w:val="none"/>
              </w:rPr>
              <w:t xml:space="preserve">由中国网络安全审查技术与认证中心（原中国信息安全认证中心）按国家标准认证颁发的有效认证证书等）；</w:t>
            </w:r>
            <w:r>
              <w:rPr>
                <w:rFonts w:ascii="宋体" w:hAnsi="宋体"/>
                <w:color w:val="000000"/>
                <w:sz w:val="24"/>
                <w:highlight w:val="none"/>
              </w:rPr>
            </w:r>
            <w:r/>
          </w:p>
          <w:p>
            <w:pPr>
              <w:pStyle w:val="918"/>
              <w:jc w:val="left"/>
              <w:widowControl/>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15</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公平竞争</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投标人遵循公平竞争的原则，不存在恶意串通，妨碍其他投标人的竞争行为，不存在损害采购人或者其他投标人的合法权益情形的；</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16</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串通投标</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ascii="宋体" w:hAnsi="宋体"/>
                <w:color w:val="000000"/>
                <w:sz w:val="24"/>
                <w:highlight w:val="none"/>
              </w:rPr>
              <w:t xml:space="preserve">17</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附加条件</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投标文件</w:t>
            </w:r>
            <w:r>
              <w:rPr>
                <w:rFonts w:hint="eastAsia" w:ascii="宋体" w:hAnsi="宋体"/>
                <w:color w:val="000000"/>
                <w:sz w:val="24"/>
                <w:highlight w:val="none"/>
              </w:rPr>
              <w:t xml:space="preserve">未</w:t>
            </w:r>
            <w:r>
              <w:rPr>
                <w:rFonts w:ascii="宋体" w:hAnsi="宋体"/>
                <w:color w:val="000000"/>
                <w:sz w:val="24"/>
                <w:highlight w:val="none"/>
              </w:rPr>
              <w:t xml:space="preserve">含有采购人不能接受的附加条件的；</w:t>
            </w:r>
            <w:r>
              <w:rPr>
                <w:rFonts w:ascii="宋体" w:hAnsi="宋体"/>
                <w:color w:val="000000"/>
                <w:sz w:val="24"/>
                <w:highlight w:val="none"/>
              </w:rPr>
            </w:r>
            <w:r/>
          </w:p>
        </w:tc>
      </w:tr>
      <w:tr>
        <w:trPr>
          <w:trHeight w:val="685"/>
        </w:trPr>
        <w:tc>
          <w:tcPr>
            <w:tcW w:w="404" w:type="dxa"/>
            <w:vAlign w:val="center"/>
            <w:textDirection w:val="lrTb"/>
            <w:noWrap w:val="false"/>
          </w:tcPr>
          <w:p>
            <w:pPr>
              <w:pStyle w:val="918"/>
              <w:jc w:val="center"/>
              <w:widowControl/>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8</w:t>
            </w:r>
            <w:r>
              <w:rPr>
                <w:rFonts w:ascii="宋体" w:hAnsi="宋体"/>
                <w:color w:val="000000"/>
                <w:sz w:val="24"/>
                <w:highlight w:val="none"/>
              </w:rPr>
            </w:r>
            <w:r/>
          </w:p>
        </w:tc>
        <w:tc>
          <w:tcPr>
            <w:tcW w:w="976"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其他无效情形</w:t>
            </w:r>
            <w:r>
              <w:rPr>
                <w:rFonts w:ascii="宋体" w:hAnsi="宋体"/>
                <w:color w:val="000000"/>
                <w:sz w:val="24"/>
                <w:highlight w:val="none"/>
              </w:rPr>
            </w:r>
            <w:r/>
          </w:p>
        </w:tc>
        <w:tc>
          <w:tcPr>
            <w:tcW w:w="3620" w:type="dxa"/>
            <w:vAlign w:val="center"/>
            <w:textDirection w:val="lrTb"/>
            <w:noWrap w:val="false"/>
          </w:tcPr>
          <w:p>
            <w:pPr>
              <w:pStyle w:val="918"/>
              <w:jc w:val="left"/>
              <w:widowControl/>
              <w:rPr>
                <w:rFonts w:ascii="宋体" w:hAnsi="宋体"/>
                <w:color w:val="000000"/>
                <w:sz w:val="24"/>
                <w:highlight w:val="none"/>
              </w:rPr>
            </w:pPr>
            <w:r>
              <w:rPr>
                <w:rFonts w:ascii="宋体" w:hAnsi="宋体"/>
                <w:color w:val="000000"/>
                <w:sz w:val="24"/>
                <w:highlight w:val="none"/>
              </w:rPr>
              <w:t xml:space="preserve">投标人、投标文件</w:t>
            </w:r>
            <w:r>
              <w:rPr>
                <w:rFonts w:hint="eastAsia" w:ascii="宋体" w:hAnsi="宋体"/>
                <w:color w:val="000000"/>
                <w:sz w:val="24"/>
                <w:highlight w:val="none"/>
              </w:rPr>
              <w:t xml:space="preserve">不存在</w:t>
            </w:r>
            <w:r>
              <w:rPr>
                <w:rFonts w:ascii="宋体" w:hAnsi="宋体"/>
                <w:color w:val="000000"/>
                <w:sz w:val="24"/>
                <w:highlight w:val="none"/>
              </w:rPr>
              <w:t xml:space="preserve">不符合法律、法规和招标文件规定的其他无效情形。</w:t>
            </w:r>
            <w:r>
              <w:rPr>
                <w:rFonts w:ascii="宋体" w:hAnsi="宋体"/>
                <w:color w:val="000000"/>
                <w:sz w:val="24"/>
                <w:highlight w:val="none"/>
              </w:rPr>
            </w:r>
            <w:r/>
          </w:p>
        </w:tc>
      </w:tr>
    </w:tbl>
    <w:p>
      <w:pPr>
        <w:pStyle w:val="918"/>
        <w:numPr>
          <w:ilvl w:val="0"/>
          <w:numId w:val="13"/>
        </w:numPr>
        <w:spacing w:line="360" w:lineRule="auto"/>
        <w:tabs>
          <w:tab w:val="left" w:pos="900" w:leader="none"/>
          <w:tab w:val="left" w:pos="1080" w:leader="none"/>
          <w:tab w:val="left" w:pos="1589" w:leader="none"/>
        </w:tabs>
        <w:rPr>
          <w:rFonts w:ascii="宋体" w:hAnsi="宋体"/>
          <w:color w:val="000000"/>
          <w:sz w:val="24"/>
          <w:highlight w:val="none"/>
        </w:rPr>
        <w:sectPr>
          <w:headerReference w:type="even" r:id="rId12"/>
          <w:headerReference w:type="first" r:id="rId13"/>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918"/>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投标文件有关事项的澄清或者说明</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评标过程中，评标委员会将</w:t>
      </w:r>
      <w:r>
        <w:rPr>
          <w:rFonts w:hint="eastAsia" w:ascii="宋体" w:hAnsi="宋体"/>
          <w:color w:val="000000"/>
          <w:sz w:val="24"/>
          <w:highlight w:val="none"/>
        </w:rPr>
        <w:t xml:space="preserve">通过“</w:t>
      </w:r>
      <w:r>
        <w:rPr>
          <w:rFonts w:ascii="宋体" w:hAnsi="宋体"/>
          <w:color w:val="000000"/>
          <w:sz w:val="24"/>
          <w:highlight w:val="none"/>
        </w:rPr>
        <w:t xml:space="preserve">苏采云”</w:t>
      </w:r>
      <w:r>
        <w:rPr>
          <w:rFonts w:hint="eastAsia" w:ascii="宋体" w:hAnsi="宋体"/>
          <w:color w:val="000000"/>
          <w:sz w:val="24"/>
          <w:highlight w:val="none"/>
        </w:rPr>
        <w:t xml:space="preserve">政府采购一体化平台</w:t>
      </w:r>
      <w:r>
        <w:rPr>
          <w:rFonts w:ascii="宋体" w:hAnsi="宋体"/>
          <w:color w:val="000000"/>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color w:val="000000"/>
          <w:sz w:val="24"/>
          <w:highlight w:val="none"/>
        </w:rPr>
        <w:t xml:space="preserve">电子</w:t>
      </w:r>
      <w:r>
        <w:rPr>
          <w:rFonts w:ascii="宋体" w:hAnsi="宋体"/>
          <w:color w:val="000000"/>
          <w:sz w:val="24"/>
          <w:highlight w:val="none"/>
        </w:rPr>
        <w:t xml:space="preserve">公章。投标人的澄清、说明或者补正不得超出投标文件的范围或者改变投标文件的实质性内容。澄清文件将作为投标文件内容的一部分。</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评标委员会认为投标人的报价明显低于其他通过符合性审查投标人的报价，有可能影响产品质量或者不能诚信履约的，有权要求该投标人在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的时间内提供书面说明，必要时提交相关证明材料；若投标人不能证明其报价合理性，评标委员会将其作为</w:t>
      </w:r>
      <w:r>
        <w:rPr>
          <w:rFonts w:ascii="宋体" w:hAnsi="宋体"/>
          <w:b/>
          <w:color w:val="000000"/>
          <w:sz w:val="24"/>
          <w:highlight w:val="none"/>
        </w:rPr>
        <w:t xml:space="preserve">无效投标处理</w:t>
      </w:r>
      <w:r>
        <w:rPr>
          <w:rFonts w:ascii="宋体" w:hAnsi="宋体"/>
          <w:color w:val="000000"/>
          <w:sz w:val="24"/>
          <w:highlight w:val="none"/>
        </w:rPr>
        <w:t xml:space="preserve">。</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投标报价须包含招标文件全部内容，如分项报价表有缺漏视为已含在其他各项报价中，将不对投标总价进行调整。评标委员会有权要求投标人在</w:t>
      </w:r>
      <w:r>
        <w:rPr>
          <w:rFonts w:hint="eastAsia" w:ascii="宋体" w:hAnsi="宋体"/>
          <w:color w:val="000000"/>
          <w:sz w:val="24"/>
          <w:highlight w:val="none"/>
        </w:rPr>
        <w:t xml:space="preserve">规定</w:t>
      </w:r>
      <w:r>
        <w:rPr>
          <w:rFonts w:ascii="宋体" w:hAnsi="宋体"/>
          <w:color w:val="000000"/>
          <w:sz w:val="24"/>
          <w:highlight w:val="none"/>
        </w:rPr>
        <w:t xml:space="preserve">的时间内对此进行书面确认，投标人不确认的，视为将一个采购包中的内容拆开投标，其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投标文件报价出现前后不一致的，按照下列规定修正：</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招标文件对于报价修正是否另有规定：</w:t>
      </w:r>
      <w:r>
        <w:rPr>
          <w:rFonts w:ascii="宋体" w:hAnsi="宋体"/>
          <w:color w:val="000000"/>
          <w:sz w:val="24"/>
          <w:highlight w:val="none"/>
        </w:rPr>
      </w:r>
      <w:r/>
    </w:p>
    <w:p>
      <w:pPr>
        <w:pStyle w:val="918"/>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u w:val="single"/>
        </w:rPr>
      </w:pPr>
      <w:r>
        <w:rPr>
          <w:rFonts w:ascii="宋体" w:hAnsi="宋体"/>
          <w:color w:val="000000"/>
          <w:sz w:val="24"/>
          <w:highlight w:val="none"/>
        </w:rPr>
        <w:t xml:space="preserve">□有，具体规定为：______________</w:t>
      </w:r>
      <w:r>
        <w:rPr>
          <w:rFonts w:ascii="宋体" w:hAnsi="宋体"/>
          <w:color w:val="000000"/>
          <w:sz w:val="24"/>
          <w:highlight w:val="none"/>
          <w:u w:val="single"/>
        </w:rPr>
      </w:r>
      <w:r/>
    </w:p>
    <w:p>
      <w:pPr>
        <w:pStyle w:val="918"/>
        <w:ind w:left="2035"/>
        <w:spacing w:line="360" w:lineRule="auto"/>
        <w:tabs>
          <w:tab w:val="left" w:pos="1080" w:leader="none"/>
          <w:tab w:val="left" w:pos="1589" w:leader="none"/>
          <w:tab w:val="left" w:pos="2035" w:leader="none"/>
          <w:tab w:val="left" w:pos="2114"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无，按下述2.4.2-2.4.7项规定修正。</w:t>
      </w:r>
      <w:r>
        <w:rPr>
          <w:rFonts w:ascii="宋体" w:hAnsi="宋体"/>
          <w:color w:val="000000"/>
          <w:sz w:val="24"/>
          <w:highlight w:val="none"/>
        </w:rPr>
      </w:r>
      <w:r/>
    </w:p>
    <w:p>
      <w:pPr>
        <w:pStyle w:val="918"/>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单独递交的开标一览表（报价表）与投标文件中开标一览表（报价表）内容不一致的，以单独递交的开标一览表（报价表）为准；</w:t>
      </w:r>
      <w:r>
        <w:rPr>
          <w:rFonts w:ascii="宋体" w:hAnsi="宋体"/>
          <w:color w:val="000000"/>
          <w:sz w:val="24"/>
          <w:highlight w:val="none"/>
        </w:rPr>
      </w:r>
      <w:r/>
    </w:p>
    <w:p>
      <w:pPr>
        <w:pStyle w:val="918"/>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投标文件中开标一览表（报价表）内容与投标文件中相应内容不一致的，以开标一览表（报价表）为准；</w:t>
      </w:r>
      <w:r>
        <w:rPr>
          <w:rFonts w:ascii="宋体" w:hAnsi="宋体"/>
          <w:color w:val="000000"/>
          <w:sz w:val="24"/>
          <w:highlight w:val="none"/>
        </w:rPr>
      </w:r>
      <w:r/>
    </w:p>
    <w:p>
      <w:pPr>
        <w:pStyle w:val="918"/>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大写金额和小写金额不一致的，以大写金额为准；</w:t>
      </w:r>
      <w:r>
        <w:rPr>
          <w:rFonts w:ascii="宋体" w:hAnsi="宋体"/>
          <w:color w:val="000000"/>
          <w:sz w:val="24"/>
          <w:highlight w:val="none"/>
        </w:rPr>
      </w:r>
      <w:r/>
    </w:p>
    <w:p>
      <w:pPr>
        <w:pStyle w:val="918"/>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单价金额小数点或者百分比有明显错位的，以开标一览表的总价为准，并修改单价；</w:t>
      </w:r>
      <w:r>
        <w:rPr>
          <w:rFonts w:ascii="宋体" w:hAnsi="宋体"/>
          <w:color w:val="000000"/>
          <w:sz w:val="24"/>
          <w:highlight w:val="none"/>
        </w:rPr>
      </w:r>
      <w:r/>
    </w:p>
    <w:p>
      <w:pPr>
        <w:pStyle w:val="918"/>
        <w:numPr>
          <w:ilvl w:val="2"/>
          <w:numId w:val="12"/>
        </w:numPr>
        <w:ind w:left="2035"/>
        <w:spacing w:line="360" w:lineRule="auto"/>
        <w:tabs>
          <w:tab w:val="left" w:pos="1980" w:leader="none"/>
          <w:tab w:val="left" w:pos="2035" w:leader="none"/>
          <w:tab w:val="left" w:pos="2114" w:leader="none"/>
          <w:tab w:val="left" w:pos="2977" w:leader="none"/>
        </w:tabs>
        <w:rPr>
          <w:rFonts w:ascii="宋体" w:hAnsi="宋体"/>
          <w:color w:val="000000"/>
          <w:sz w:val="24"/>
          <w:highlight w:val="none"/>
        </w:rPr>
      </w:pPr>
      <w:r>
        <w:rPr>
          <w:rFonts w:ascii="宋体" w:hAnsi="宋体"/>
          <w:color w:val="000000"/>
          <w:sz w:val="24"/>
          <w:highlight w:val="none"/>
        </w:rPr>
        <w:t xml:space="preserve">总价金额与按单价汇总金额不一致的，以单价金额计算结果为准。</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 w:val="left" w:pos="2114" w:leader="none"/>
        </w:tabs>
        <w:rPr>
          <w:rFonts w:ascii="宋体" w:hAnsi="宋体"/>
          <w:color w:val="000000"/>
          <w:sz w:val="24"/>
          <w:highlight w:val="none"/>
        </w:rPr>
      </w:pPr>
      <w:r>
        <w:rPr>
          <w:rFonts w:ascii="宋体" w:hAnsi="宋体"/>
          <w:color w:val="000000"/>
          <w:sz w:val="24"/>
          <w:highlight w:val="none"/>
        </w:rPr>
        <w:t xml:space="preserve">同时出现两种以上不一致的，按照前款规定的顺序修正。修正后的报价经投标人书面确认后产生约束力，投标人不确认的，其</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hint="eastAsia" w:ascii="宋体" w:hAnsi="宋体"/>
          <w:b/>
          <w:bCs/>
          <w:color w:val="000000"/>
          <w:sz w:val="24"/>
          <w:highlight w:val="none"/>
        </w:rPr>
      </w:pPr>
      <w:r>
        <w:rPr>
          <w:rFonts w:hint="eastAsia" w:ascii="宋体" w:hAnsi="宋体"/>
          <w:b/>
          <w:bCs/>
          <w:color w:val="000000"/>
          <w:sz w:val="24"/>
          <w:highlight w:val="none"/>
        </w:rPr>
        <w:t xml:space="preserve">其他：评审过程中出现下列情形之一的，评审委员会应当启动异常低价投标（ 响应）审查程序：</w:t>
      </w:r>
      <w:r>
        <w:rPr>
          <w:rFonts w:hint="eastAsia" w:ascii="宋体" w:hAnsi="宋体"/>
          <w:b/>
          <w:bCs/>
          <w:color w:val="000000"/>
          <w:sz w:val="24"/>
          <w:highlight w:val="none"/>
        </w:rPr>
      </w:r>
      <w:r/>
    </w:p>
    <w:p>
      <w:pPr>
        <w:pStyle w:val="918"/>
        <w:numPr>
          <w:ilvl w:val="0"/>
          <w:numId w:val="14"/>
        </w:numPr>
        <w:ind w:left="357" w:firstLine="480"/>
        <w:spacing w:line="360" w:lineRule="auto"/>
        <w:tabs>
          <w:tab w:val="left" w:pos="1080" w:leader="none"/>
        </w:tabs>
        <w:rPr>
          <w:rFonts w:hint="eastAsia" w:ascii="宋体" w:hAnsi="宋体"/>
          <w:color w:val="000000"/>
          <w:sz w:val="24"/>
          <w:highlight w:val="none"/>
        </w:rPr>
      </w:pPr>
      <w:r>
        <w:rPr>
          <w:rFonts w:hint="eastAsia" w:ascii="宋体" w:hAnsi="宋体"/>
          <w:color w:val="000000"/>
          <w:sz w:val="24"/>
          <w:highlight w:val="none"/>
        </w:rPr>
        <w:t xml:space="preserve">投标（响应）报价低于全部通过符合性审查供应商投标（响应）报价平均值50%的，即投标（响应）报价&lt;全部通过符合性审查供应商投标（响应）报价平均值×50%；</w:t>
      </w:r>
      <w:r>
        <w:rPr>
          <w:rFonts w:hint="eastAsia" w:ascii="宋体" w:hAnsi="宋体"/>
          <w:color w:val="000000"/>
          <w:sz w:val="24"/>
          <w:highlight w:val="none"/>
        </w:rPr>
      </w:r>
      <w:r/>
    </w:p>
    <w:p>
      <w:pPr>
        <w:pStyle w:val="918"/>
        <w:numPr>
          <w:ilvl w:val="0"/>
          <w:numId w:val="14"/>
        </w:numPr>
        <w:ind w:left="357" w:firstLine="48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投标（响应）报价低于通过符合性审查的次低报价供应商投标（响应）报价50%的，即投标（响应）报价&lt;通过符合性审查的次低报价供应商投标（响应）报价×50%；</w:t>
      </w:r>
      <w:r>
        <w:rPr>
          <w:rFonts w:ascii="宋体" w:hAnsi="宋体"/>
          <w:color w:val="000000"/>
          <w:sz w:val="24"/>
          <w:highlight w:val="none"/>
        </w:rPr>
      </w:r>
      <w:r/>
    </w:p>
    <w:p>
      <w:pPr>
        <w:pStyle w:val="918"/>
        <w:numPr>
          <w:ilvl w:val="0"/>
          <w:numId w:val="14"/>
        </w:numPr>
        <w:ind w:left="357" w:firstLine="48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 投标（响应）报价低于采购项目最高限价45%的，即投标（响应）报价&lt;采购项目最高限价×45%；</w:t>
      </w:r>
      <w:r>
        <w:rPr>
          <w:rFonts w:ascii="宋体" w:hAnsi="宋体"/>
          <w:color w:val="000000"/>
          <w:sz w:val="24"/>
          <w:highlight w:val="none"/>
        </w:rPr>
      </w:r>
      <w:r/>
    </w:p>
    <w:p>
      <w:pPr>
        <w:pStyle w:val="918"/>
        <w:numPr>
          <w:ilvl w:val="0"/>
          <w:numId w:val="14"/>
        </w:numPr>
        <w:ind w:left="357" w:firstLine="480"/>
        <w:spacing w:line="360" w:lineRule="auto"/>
        <w:tabs>
          <w:tab w:val="left" w:pos="1080" w:leader="none"/>
        </w:tabs>
        <w:rPr>
          <w:rFonts w:ascii="宋体" w:hAnsi="宋体"/>
          <w:color w:val="000000"/>
          <w:sz w:val="24"/>
          <w:highlight w:val="none"/>
        </w:rPr>
      </w:pPr>
      <w:r>
        <w:rPr>
          <w:rFonts w:hint="eastAsia" w:ascii="宋体" w:hAnsi="宋体"/>
          <w:color w:val="000000"/>
          <w:sz w:val="24"/>
          <w:highlight w:val="none"/>
        </w:rPr>
        <w:t xml:space="preserve">评审委员会认定的投标人报价过低、</w:t>
      </w:r>
      <w:r>
        <w:rPr>
          <w:rFonts w:hint="eastAsia" w:ascii="宋体" w:hAnsi="宋体"/>
          <w:color w:val="000000"/>
          <w:sz w:val="24"/>
          <w:highlight w:val="none"/>
        </w:rPr>
        <w:t xml:space="preserve">有可能影响产品质量或者不能诚信履约的其他情形。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落实政府采购政策的价格调整：只有符合第二章《投标人须知》5.2条规定情形的，可以享受中小企业扶持政策，用扣除后的价格参加评审；否则，评标时价格不予扣除。</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对于未预留份额专门面向中小企业采购的采购项目，以及预留份额项目中的非预留部分采购包，对</w:t>
      </w:r>
      <w:r>
        <w:rPr>
          <w:rFonts w:ascii="宋体" w:hAnsi="宋体"/>
          <w:b/>
          <w:color w:val="000000"/>
          <w:sz w:val="24"/>
          <w:highlight w:val="none"/>
        </w:rPr>
        <w:t xml:space="preserve">小微企业</w:t>
      </w:r>
      <w:r>
        <w:rPr>
          <w:rFonts w:ascii="宋体" w:hAnsi="宋体"/>
          <w:color w:val="000000"/>
          <w:sz w:val="24"/>
          <w:highlight w:val="none"/>
        </w:rPr>
        <w:t xml:space="preserve">报价给予</w:t>
      </w:r>
      <w:r>
        <w:rPr>
          <w:rFonts w:hint="eastAsia" w:ascii="宋体" w:hAnsi="宋体"/>
          <w:b/>
          <w:bCs/>
          <w:color w:val="000000"/>
          <w:sz w:val="24"/>
          <w:highlight w:val="none"/>
          <w:u w:val="single"/>
        </w:rPr>
        <w:t xml:space="preserve">10</w:t>
      </w:r>
      <w:r>
        <w:rPr>
          <w:rFonts w:ascii="宋体" w:hAnsi="宋体"/>
          <w:b/>
          <w:bCs/>
          <w:color w:val="000000"/>
          <w:sz w:val="24"/>
          <w:highlight w:val="none"/>
        </w:rPr>
        <w:t xml:space="preserve">%</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对于未预留份额专门面向中小企业采购的采购项目，以及预留份额项目中的非预留部分采购包，且接受大中型企业与</w:t>
      </w:r>
      <w:r>
        <w:rPr>
          <w:rFonts w:ascii="宋体" w:hAnsi="宋体"/>
          <w:b/>
          <w:color w:val="000000"/>
          <w:sz w:val="24"/>
          <w:highlight w:val="none"/>
        </w:rPr>
        <w:t xml:space="preserve">小微企业</w:t>
      </w:r>
      <w:r>
        <w:rPr>
          <w:rFonts w:ascii="宋体" w:hAnsi="宋体"/>
          <w:color w:val="000000"/>
          <w:sz w:val="24"/>
          <w:highlight w:val="none"/>
        </w:rPr>
        <w:t xml:space="preserve">组成联合体或者允许大中型企业向一家或者多家</w:t>
      </w:r>
      <w:r>
        <w:rPr>
          <w:rFonts w:ascii="宋体" w:hAnsi="宋体"/>
          <w:b/>
          <w:color w:val="000000"/>
          <w:sz w:val="24"/>
          <w:highlight w:val="none"/>
        </w:rPr>
        <w:t xml:space="preserve">小微企业</w:t>
      </w:r>
      <w:r>
        <w:rPr>
          <w:rFonts w:ascii="宋体" w:hAnsi="宋体"/>
          <w:color w:val="000000"/>
          <w:sz w:val="24"/>
          <w:highlight w:val="none"/>
        </w:rPr>
        <w:t xml:space="preserve">分包的采购项目，对于联合协议或者分包意向协议约定</w:t>
      </w:r>
      <w:r>
        <w:rPr>
          <w:rFonts w:ascii="宋体" w:hAnsi="宋体"/>
          <w:b/>
          <w:color w:val="000000"/>
          <w:sz w:val="24"/>
          <w:highlight w:val="none"/>
        </w:rPr>
        <w:t xml:space="preserve">小微企业</w:t>
      </w:r>
      <w:r>
        <w:rPr>
          <w:rFonts w:ascii="宋体" w:hAnsi="宋体"/>
          <w:color w:val="000000"/>
          <w:sz w:val="24"/>
          <w:highlight w:val="none"/>
        </w:rPr>
        <w:t xml:space="preserve">的合同份额占到合同总金额 30%以上的联合体或者大中型企业的报价给予</w:t>
      </w:r>
      <w:r>
        <w:rPr>
          <w:rFonts w:hint="eastAsia" w:ascii="宋体" w:hAnsi="宋体"/>
          <w:color w:val="000000"/>
          <w:sz w:val="24"/>
          <w:highlight w:val="none"/>
          <w:u w:val="single"/>
        </w:rPr>
        <w:t xml:space="preserve">3</w:t>
      </w:r>
      <w:r>
        <w:rPr>
          <w:rFonts w:ascii="宋体" w:hAnsi="宋体"/>
          <w:color w:val="000000"/>
          <w:sz w:val="24"/>
          <w:highlight w:val="none"/>
        </w:rPr>
        <w:t xml:space="preserve">%的扣除，用扣除后的价格参加评审。</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组成联合体或者接受分包的小微企业与联合体内其他企业、分包企业之间存在直接控股、管理关系的，不享受价格扣除优惠政策。</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价格扣除比例对小型企业和微型企业同等对待，不作区分。</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中小企业参加政府采购活动，应当按照招标文件给定的格式出具《中小企业声明函》，否则不得享受相关中小企业扶持政策。</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残疾人福利性单位按招标文件要求提供了《残疾人福利性单位声明函》（见附件）的，视同小微企业。</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2014" w:leader="none"/>
        </w:tabs>
        <w:rPr>
          <w:rFonts w:ascii="宋体" w:hAnsi="宋体"/>
          <w:color w:val="000000"/>
          <w:sz w:val="24"/>
          <w:highlight w:val="none"/>
        </w:rPr>
      </w:pPr>
      <w:r>
        <w:rPr>
          <w:rFonts w:ascii="宋体" w:hAnsi="宋体"/>
          <w:color w:val="000000"/>
          <w:sz w:val="24"/>
          <w:highlight w:val="none"/>
        </w:rPr>
        <w:t xml:space="preserve">若投标人同时属于小型或微型企业、监狱企业、残疾人福利性单位中的两种及以上，将不重复享受小微企业价格扣减的优惠政策。</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 w:val="left" w:pos="1872" w:leader="none"/>
        </w:tabs>
        <w:rPr>
          <w:rFonts w:hint="eastAsia" w:ascii="宋体" w:hAnsi="宋体"/>
          <w:color w:val="000000"/>
          <w:sz w:val="24"/>
          <w:highlight w:val="none"/>
        </w:rPr>
      </w:pPr>
      <w:r>
        <w:rPr>
          <w:rFonts w:hint="eastAsia" w:ascii="宋体" w:hAnsi="宋体"/>
          <w:color w:val="000000"/>
          <w:sz w:val="24"/>
          <w:highlight w:val="none"/>
        </w:rPr>
        <w:t xml:space="preserve">采购本国产品的支持政策</w:t>
      </w:r>
      <w:r>
        <w:rPr>
          <w:rFonts w:hint="eastAsia" w:ascii="宋体" w:hAnsi="宋体"/>
          <w:color w:val="000000"/>
          <w:sz w:val="24"/>
          <w:highlight w:val="none"/>
        </w:rPr>
      </w:r>
      <w:r/>
    </w:p>
    <w:p>
      <w:pPr>
        <w:pStyle w:val="918"/>
        <w:numPr>
          <w:ilvl w:val="2"/>
          <w:numId w:val="12"/>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rPr>
      </w:r>
      <w:r/>
    </w:p>
    <w:p>
      <w:pPr>
        <w:pStyle w:val="918"/>
        <w:numPr>
          <w:ilvl w:val="2"/>
          <w:numId w:val="12"/>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918"/>
        <w:numPr>
          <w:ilvl w:val="2"/>
          <w:numId w:val="12"/>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918"/>
        <w:numPr>
          <w:ilvl w:val="2"/>
          <w:numId w:val="12"/>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918"/>
        <w:numPr>
          <w:ilvl w:val="2"/>
          <w:numId w:val="12"/>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00"/>
          <w:sz w:val="24"/>
          <w:highlight w:val="none"/>
        </w:rPr>
      </w:r>
      <w:r/>
    </w:p>
    <w:p>
      <w:pPr>
        <w:pStyle w:val="918"/>
        <w:numPr>
          <w:ilvl w:val="2"/>
          <w:numId w:val="12"/>
        </w:numPr>
        <w:spacing w:line="360" w:lineRule="auto"/>
        <w:tabs>
          <w:tab w:val="left" w:pos="1980" w:leader="none"/>
        </w:tabs>
        <w:rPr>
          <w:rFonts w:hint="eastAsia" w:ascii="宋体" w:hAnsi="宋体"/>
          <w:color w:val="000000"/>
          <w:sz w:val="24"/>
          <w:highlight w:val="none"/>
        </w:rPr>
      </w:pPr>
      <w:r>
        <w:rPr>
          <w:rFonts w:hint="eastAsia" w:ascii="宋体" w:hAnsi="宋体"/>
          <w:color w:val="000000"/>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918"/>
        <w:numPr>
          <w:ilvl w:val="2"/>
          <w:numId w:val="12"/>
        </w:numPr>
        <w:spacing w:line="360" w:lineRule="auto"/>
        <w:tabs>
          <w:tab w:val="left" w:pos="1980" w:leader="none"/>
        </w:tabs>
        <w:rPr>
          <w:color w:val="000000"/>
          <w:sz w:val="24"/>
          <w:highlight w:val="none"/>
        </w:rPr>
      </w:pPr>
      <w:r>
        <w:rPr>
          <w:rFonts w:hint="eastAsia" w:ascii="宋体" w:hAnsi="宋体"/>
          <w:color w:val="000000"/>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 w:val="24"/>
          <w:highlight w:val="none"/>
        </w:rPr>
      </w:r>
      <w:r/>
    </w:p>
    <w:p>
      <w:pPr>
        <w:pStyle w:val="918"/>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投标文件的比较和评价</w:t>
      </w:r>
      <w:bookmarkEnd w:id="768"/>
      <w:r/>
      <w:bookmarkEnd w:id="769"/>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评标方法和评标标准</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本项目采用的评标方法为：</w:t>
      </w:r>
      <w:r>
        <w:rPr>
          <w:rFonts w:ascii="宋体" w:hAnsi="宋体"/>
          <w:color w:val="000000"/>
          <w:sz w:val="24"/>
          <w:highlight w:val="none"/>
        </w:rPr>
      </w:r>
      <w:r/>
    </w:p>
    <w:p>
      <w:pPr>
        <w:pStyle w:val="918"/>
        <w:ind w:left="1985"/>
        <w:spacing w:line="360" w:lineRule="auto"/>
        <w:tabs>
          <w:tab w:val="left" w:pos="900" w:leader="none"/>
          <w:tab w:val="left" w:pos="1589" w:leader="none"/>
          <w:tab w:val="left" w:pos="1701" w:leader="none"/>
        </w:tabs>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综合评分法，指投标文件满足招标文件全部实质性要求，且按照评审因素的量化指标评审得分最高的投标人为中标候选人的评标方法，见《评标标准》</w:t>
      </w:r>
      <w:r>
        <w:rPr>
          <w:rFonts w:hint="eastAsia" w:ascii="宋体" w:hAnsi="宋体"/>
          <w:color w:val="000000"/>
          <w:sz w:val="24"/>
          <w:highlight w:val="none"/>
        </w:rPr>
        <w:t xml:space="preserve">，招标文件中没有规定的评标标准不得作为评审的依据。</w:t>
      </w:r>
      <w:r>
        <w:rPr>
          <w:rFonts w:ascii="宋体" w:hAnsi="宋体"/>
          <w:color w:val="000000"/>
          <w:sz w:val="24"/>
          <w:highlight w:val="none"/>
        </w:rPr>
      </w:r>
      <w:r/>
    </w:p>
    <w:p>
      <w:pPr>
        <w:pStyle w:val="918"/>
        <w:ind w:left="1985"/>
        <w:spacing w:line="360" w:lineRule="auto"/>
        <w:tabs>
          <w:tab w:val="left" w:pos="900" w:leader="none"/>
          <w:tab w:val="left" w:pos="1589" w:leader="none"/>
          <w:tab w:val="left" w:pos="1701" w:leader="none"/>
        </w:tabs>
        <w:rPr>
          <w:rFonts w:ascii="宋体" w:hAnsi="宋体"/>
          <w:color w:val="000000"/>
          <w:sz w:val="24"/>
          <w:highlight w:val="none"/>
        </w:rPr>
      </w:pPr>
      <w:r>
        <w:rPr>
          <w:rFonts w:ascii="宋体" w:hAnsi="宋体"/>
          <w:color w:val="000000"/>
          <w:sz w:val="24"/>
          <w:highlight w:val="none"/>
        </w:rPr>
        <w:t xml:space="preserve">□最低评标价法，指投标文件满足招标文件全部实质性要求，且投标报价最低的投标人为中标候选人的评标方法。</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color w:val="000000"/>
          <w:sz w:val="24"/>
          <w:highlight w:val="none"/>
        </w:rPr>
        <w:t xml:space="preserve">投标无效</w:t>
      </w:r>
      <w:r>
        <w:rPr>
          <w:rFonts w:ascii="宋体" w:hAnsi="宋体"/>
          <w:color w:val="000000"/>
          <w:sz w:val="24"/>
          <w:highlight w:val="none"/>
        </w:rPr>
        <w:t xml:space="preserve">。</w:t>
      </w:r>
      <w:r>
        <w:rPr>
          <w:rFonts w:ascii="宋体" w:hAnsi="宋体"/>
          <w:color w:val="000000"/>
          <w:sz w:val="24"/>
          <w:highlight w:val="none"/>
        </w:rPr>
      </w:r>
      <w:r/>
    </w:p>
    <w:p>
      <w:pPr>
        <w:pStyle w:val="918"/>
        <w:ind w:left="2035"/>
        <w:spacing w:line="360" w:lineRule="auto"/>
        <w:tabs>
          <w:tab w:val="left" w:pos="1080" w:leader="none"/>
          <w:tab w:val="left" w:pos="1589" w:leader="none"/>
          <w:tab w:val="left" w:pos="2035" w:leader="none"/>
        </w:tabs>
        <w:rPr>
          <w:rFonts w:ascii="宋体" w:hAnsi="宋体"/>
          <w:color w:val="000000"/>
          <w:sz w:val="24"/>
          <w:highlight w:val="none"/>
        </w:rPr>
      </w:pPr>
      <w:r>
        <w:rPr>
          <w:rFonts w:ascii="宋体" w:hAnsi="宋体"/>
          <w:color w:val="000000"/>
          <w:sz w:val="24"/>
          <w:highlight w:val="none"/>
        </w:rPr>
        <w:t xml:space="preserve">□随机抽取</w:t>
      </w:r>
      <w:r>
        <w:rPr>
          <w:rFonts w:ascii="宋体" w:hAnsi="宋体"/>
          <w:color w:val="000000"/>
          <w:sz w:val="24"/>
          <w:highlight w:val="none"/>
        </w:rPr>
      </w:r>
      <w:r/>
    </w:p>
    <w:p>
      <w:pPr>
        <w:pStyle w:val="918"/>
        <w:ind w:left="2035"/>
        <w:spacing w:line="360" w:lineRule="auto"/>
        <w:tabs>
          <w:tab w:val="left" w:pos="1080" w:leader="none"/>
          <w:tab w:val="left" w:pos="1589" w:leader="none"/>
          <w:tab w:val="left" w:pos="2035" w:leader="none"/>
        </w:tabs>
        <w:rPr>
          <w:rFonts w:ascii="宋体" w:hAnsi="宋体"/>
          <w:color w:val="000000"/>
          <w:sz w:val="24"/>
          <w:highlight w:val="none"/>
          <w:u w:val="single"/>
        </w:rPr>
      </w:pPr>
      <w:r>
        <w:rPr>
          <w:rFonts w:ascii="宋体" w:hAnsi="宋体"/>
          <w:color w:val="000000"/>
          <w:sz w:val="24"/>
          <w:highlight w:val="none"/>
        </w:rPr>
        <w:t xml:space="preserve">□其他方式，具体要求：_____</w:t>
      </w:r>
      <w:r>
        <w:rPr>
          <w:rFonts w:ascii="宋体" w:hAnsi="宋体"/>
          <w:color w:val="000000"/>
          <w:sz w:val="24"/>
          <w:highlight w:val="none"/>
          <w:u w:val="singl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非政府强制采购的节能产品或环境标志产品，依据品目清单和认证证书实施政府优先采购。优先采购的具体规定（如涉及）_____。</w:t>
      </w:r>
      <w:r>
        <w:rPr>
          <w:rFonts w:ascii="宋体" w:hAnsi="宋体"/>
          <w:color w:val="000000"/>
          <w:sz w:val="24"/>
          <w:highlight w:val="none"/>
        </w:rPr>
      </w:r>
      <w:r/>
    </w:p>
    <w:p>
      <w:pPr>
        <w:pStyle w:val="918"/>
        <w:numPr>
          <w:ilvl w:val="2"/>
          <w:numId w:val="12"/>
        </w:numPr>
        <w:ind w:left="2035"/>
        <w:spacing w:line="360" w:lineRule="auto"/>
        <w:tabs>
          <w:tab w:val="left" w:pos="1080" w:leader="none"/>
          <w:tab w:val="left" w:pos="1589" w:leader="none"/>
          <w:tab w:val="left" w:pos="1980" w:leader="none"/>
          <w:tab w:val="left" w:pos="2035" w:leader="none"/>
        </w:tabs>
        <w:rPr>
          <w:rFonts w:ascii="宋体" w:hAnsi="宋体"/>
          <w:color w:val="000000"/>
          <w:sz w:val="24"/>
          <w:highlight w:val="none"/>
        </w:rPr>
      </w:pPr>
      <w:r>
        <w:rPr>
          <w:rFonts w:ascii="宋体" w:hAnsi="宋体"/>
          <w:color w:val="000000"/>
          <w:sz w:val="24"/>
          <w:highlight w:val="none"/>
        </w:rPr>
        <w:t xml:space="preserve">关于无线局域网认证产品政府采购清单中的产品，优先采购的具体规定（如涉及）_____。</w:t>
      </w:r>
      <w:r>
        <w:rPr>
          <w:rFonts w:ascii="宋体" w:hAnsi="宋体"/>
          <w:color w:val="000000"/>
          <w:sz w:val="24"/>
          <w:highlight w:val="none"/>
        </w:rPr>
      </w:r>
      <w:r/>
    </w:p>
    <w:p>
      <w:pPr>
        <w:pStyle w:val="918"/>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确定</w:t>
      </w:r>
      <w:bookmarkStart w:id="785" w:name="_Toc151193788"/>
      <w:r/>
      <w:bookmarkStart w:id="786" w:name="_Toc151193934"/>
      <w:r/>
      <w:bookmarkStart w:id="787" w:name="_Toc226309790"/>
      <w:r/>
      <w:bookmarkStart w:id="788" w:name="_Toc264969236"/>
      <w:r/>
      <w:bookmarkStart w:id="789" w:name="_Toc151193716"/>
      <w:r/>
      <w:bookmarkStart w:id="790" w:name="_Toc151190173"/>
      <w:r/>
      <w:bookmarkStart w:id="791" w:name="_Toc305158814"/>
      <w:r/>
      <w:bookmarkStart w:id="792" w:name="_Toc127151546"/>
      <w:r/>
      <w:bookmarkStart w:id="793" w:name="_Toc150509297"/>
      <w:r/>
      <w:bookmarkStart w:id="794" w:name="_Toc164608815"/>
      <w:r/>
      <w:bookmarkStart w:id="795" w:name="_Toc164229387"/>
      <w:r/>
      <w:bookmarkStart w:id="796" w:name="_Toc151193860"/>
      <w:r/>
      <w:bookmarkStart w:id="797" w:name="_Toc226337242"/>
      <w:r/>
      <w:bookmarkStart w:id="798" w:name="_Toc150774751"/>
      <w:r/>
      <w:bookmarkStart w:id="799" w:name="_Toc127161460"/>
      <w:r/>
      <w:bookmarkStart w:id="800" w:name="_Toc151193644"/>
      <w:r/>
      <w:bookmarkStart w:id="801" w:name="_Toc164608660"/>
      <w:r/>
      <w:bookmarkStart w:id="802" w:name="_Toc149720839"/>
      <w:r/>
      <w:bookmarkStart w:id="803" w:name="_Toc226965819"/>
      <w:r/>
      <w:bookmarkStart w:id="804" w:name="_Toc305158888"/>
      <w:r/>
      <w:bookmarkStart w:id="805" w:name="_Toc150774646"/>
      <w:r/>
      <w:bookmarkStart w:id="806" w:name="_Toc226965736"/>
      <w:r/>
      <w:bookmarkStart w:id="807" w:name="_Toc195842911"/>
      <w:r/>
      <w:bookmarkStart w:id="808" w:name="_Toc127151747"/>
      <w:r/>
      <w:bookmarkStart w:id="809" w:name="_Toc520356170"/>
      <w:r/>
      <w:bookmarkStart w:id="810" w:name="_Toc142311048"/>
      <w:r/>
      <w:bookmarkStart w:id="811" w:name="_Toc164229241"/>
      <w:r/>
      <w:bookmarkStart w:id="812" w:name="_Toc164351640"/>
      <w:r/>
      <w:bookmarkStart w:id="813" w:name="_Toc265228384"/>
      <w:r/>
      <w:bookmarkStart w:id="814" w:name="_Toc150480784"/>
      <w:r/>
      <w:bookmarkStart w:id="815" w:name="_Ref467307010"/>
      <w:r>
        <w:rPr>
          <w:rFonts w:ascii="宋体" w:hAnsi="宋体"/>
          <w:color w:val="000000"/>
          <w:sz w:val="24"/>
          <w:highlight w:val="none"/>
        </w:rPr>
        <w:t xml:space="preserve">中标候选人名单</w:t>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color w:val="000000"/>
          <w:sz w:val="24"/>
          <w:highlight w:val="none"/>
        </w:rPr>
      </w:r>
      <w:r/>
    </w:p>
    <w:p>
      <w:pPr>
        <w:pStyle w:val="957"/>
        <w:ind w:left="993" w:firstLine="136"/>
        <w:spacing w:line="360" w:lineRule="auto"/>
        <w:tabs>
          <w:tab w:val="left" w:pos="900" w:leader="none"/>
          <w:tab w:val="left" w:pos="2127" w:leader="none"/>
        </w:tabs>
        <w:rPr>
          <w:rFonts w:hAnsi="宋体"/>
          <w:color w:val="000000"/>
          <w:sz w:val="24"/>
          <w:szCs w:val="24"/>
          <w:highlight w:val="none"/>
        </w:rPr>
      </w:pPr>
      <w:r>
        <w:rPr>
          <w:rFonts w:hAnsi="宋体"/>
          <w:color w:val="000000"/>
          <w:sz w:val="24"/>
          <w:szCs w:val="24"/>
          <w:highlight w:val="none"/>
        </w:rPr>
        <w:t xml:space="preserve">□随机抽取</w:t>
      </w:r>
      <w:r>
        <w:rPr>
          <w:rFonts w:hAnsi="宋体"/>
          <w:color w:val="000000"/>
          <w:sz w:val="24"/>
          <w:szCs w:val="24"/>
          <w:highlight w:val="none"/>
        </w:rPr>
      </w:r>
      <w:r/>
    </w:p>
    <w:p>
      <w:pPr>
        <w:pStyle w:val="957"/>
        <w:ind w:left="993" w:firstLine="136"/>
        <w:spacing w:line="360" w:lineRule="auto"/>
        <w:tabs>
          <w:tab w:val="left" w:pos="900" w:leader="none"/>
          <w:tab w:val="left" w:pos="2127" w:leader="none"/>
        </w:tabs>
        <w:rPr>
          <w:rFonts w:hAnsi="宋体"/>
          <w:color w:val="000000"/>
          <w:sz w:val="24"/>
          <w:szCs w:val="24"/>
          <w:highlight w:val="none"/>
        </w:rPr>
      </w:pPr>
      <w:r>
        <w:rPr>
          <w:rFonts w:hAnsi="宋体"/>
          <w:color w:val="000000"/>
          <w:sz w:val="24"/>
          <w:szCs w:val="24"/>
          <w:highlight w:val="none"/>
        </w:rPr>
        <w:t xml:space="preserve">■</w:t>
      </w:r>
      <w:r>
        <w:rPr>
          <w:rFonts w:hAnsi="宋体"/>
          <w:color w:val="000000"/>
          <w:sz w:val="24"/>
          <w:szCs w:val="24"/>
          <w:highlight w:val="none"/>
        </w:rPr>
        <w:t xml:space="preserve">其他方式，具体要求：</w:t>
      </w:r>
      <w:r>
        <w:rPr>
          <w:rFonts w:hAnsi="宋体"/>
          <w:color w:val="000000"/>
          <w:sz w:val="24"/>
          <w:szCs w:val="24"/>
          <w:highlight w:val="none"/>
          <w:u w:val="single"/>
        </w:rPr>
        <w:t xml:space="preserve">投标总价最低的</w:t>
      </w:r>
      <w:r>
        <w:rPr>
          <w:rFonts w:hAnsi="宋体"/>
          <w:color w:val="000000"/>
          <w:sz w:val="24"/>
          <w:szCs w:val="24"/>
          <w:highlight w:val="none"/>
        </w:rPr>
      </w:r>
      <w:r/>
    </w:p>
    <w:p>
      <w:pPr>
        <w:pStyle w:val="957"/>
        <w:ind w:left="993" w:firstLine="136"/>
        <w:spacing w:line="360" w:lineRule="auto"/>
        <w:tabs>
          <w:tab w:val="left" w:pos="900" w:leader="none"/>
          <w:tab w:val="left" w:pos="2127" w:leader="none"/>
        </w:tabs>
        <w:rPr>
          <w:rFonts w:hAnsi="宋体"/>
          <w:color w:val="000000"/>
          <w:sz w:val="24"/>
          <w:highlight w:val="none"/>
        </w:rPr>
      </w:pPr>
      <w:r>
        <w:rPr>
          <w:rFonts w:hAnsi="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评标委员会要对评分汇总情况进行复核，特别是对排名第一的、报价最低的、投标或</w:t>
      </w:r>
      <w:r>
        <w:rPr>
          <w:rFonts w:hint="eastAsia" w:ascii="宋体" w:hAnsi="宋体"/>
          <w:color w:val="000000"/>
          <w:sz w:val="24"/>
          <w:highlight w:val="none"/>
        </w:rPr>
        <w:t xml:space="preserve">响应</w:t>
      </w:r>
      <w:r>
        <w:rPr>
          <w:rFonts w:ascii="宋体" w:hAnsi="宋体"/>
          <w:color w:val="000000"/>
          <w:sz w:val="24"/>
          <w:highlight w:val="none"/>
        </w:rPr>
        <w:t xml:space="preserve">文件被认定为无效的情形进行重点复核。</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评标委员会将根据各投标人的评标排序，依次推荐本项目（</w:t>
      </w:r>
      <w:r>
        <w:rPr>
          <w:rFonts w:hint="eastAsia" w:ascii="宋体" w:hAnsi="宋体"/>
          <w:color w:val="000000"/>
          <w:sz w:val="24"/>
          <w:highlight w:val="none"/>
        </w:rPr>
        <w:t xml:space="preserve">各</w:t>
      </w:r>
      <w:r>
        <w:rPr>
          <w:rFonts w:ascii="宋体" w:hAnsi="宋体"/>
          <w:color w:val="000000"/>
          <w:sz w:val="24"/>
          <w:highlight w:val="none"/>
        </w:rPr>
        <w:t xml:space="preserve">采购包）的中标候选人，起草并签署评标报告。本项目（</w:t>
      </w:r>
      <w:r>
        <w:rPr>
          <w:rFonts w:hint="eastAsia" w:ascii="宋体" w:hAnsi="宋体"/>
          <w:color w:val="000000"/>
          <w:sz w:val="24"/>
          <w:highlight w:val="none"/>
        </w:rPr>
        <w:t xml:space="preserve">各</w:t>
      </w:r>
      <w:r>
        <w:rPr>
          <w:rFonts w:ascii="宋体" w:hAnsi="宋体"/>
          <w:color w:val="000000"/>
          <w:sz w:val="24"/>
          <w:highlight w:val="none"/>
        </w:rPr>
        <w:t xml:space="preserve">采购包）评标委员会共（各）推荐</w:t>
      </w:r>
      <w:r>
        <w:rPr>
          <w:rFonts w:hint="eastAsia" w:ascii="宋体" w:hAnsi="宋体"/>
          <w:color w:val="000000"/>
          <w:sz w:val="24"/>
          <w:highlight w:val="none"/>
        </w:rPr>
        <w:t xml:space="preserve">不少于3</w:t>
      </w:r>
      <w:r>
        <w:rPr>
          <w:rFonts w:ascii="宋体" w:hAnsi="宋体"/>
          <w:color w:val="000000"/>
          <w:sz w:val="24"/>
          <w:highlight w:val="none"/>
        </w:rPr>
        <w:t xml:space="preserve">名中标候选人。</w:t>
      </w:r>
      <w:r>
        <w:rPr>
          <w:rFonts w:ascii="宋体" w:hAnsi="宋体"/>
          <w:color w:val="000000"/>
          <w:sz w:val="24"/>
          <w:highlight w:val="none"/>
        </w:rPr>
      </w:r>
      <w:r/>
    </w:p>
    <w:p>
      <w:pPr>
        <w:pStyle w:val="918"/>
        <w:numPr>
          <w:ilvl w:val="0"/>
          <w:numId w:val="12"/>
        </w:numPr>
        <w:spacing w:line="360" w:lineRule="auto"/>
        <w:tabs>
          <w:tab w:val="left" w:pos="360" w:leader="none"/>
          <w:tab w:val="left" w:pos="900" w:leader="none"/>
        </w:tabs>
        <w:rPr>
          <w:rFonts w:ascii="宋体" w:hAnsi="宋体"/>
          <w:color w:val="000000"/>
          <w:sz w:val="24"/>
          <w:highlight w:val="none"/>
        </w:rPr>
        <w:outlineLvl w:val="1"/>
      </w:pPr>
      <w:r>
        <w:rPr>
          <w:rFonts w:ascii="宋体" w:hAnsi="宋体"/>
          <w:color w:val="000000"/>
          <w:sz w:val="24"/>
          <w:highlight w:val="none"/>
        </w:rPr>
        <w:t xml:space="preserve">报告违法行为</w:t>
      </w:r>
      <w:r>
        <w:rPr>
          <w:rFonts w:ascii="宋体" w:hAnsi="宋体"/>
          <w:color w:val="000000"/>
          <w:sz w:val="24"/>
          <w:highlight w:val="none"/>
        </w:rPr>
      </w:r>
      <w:r/>
    </w:p>
    <w:p>
      <w:pPr>
        <w:pStyle w:val="918"/>
        <w:numPr>
          <w:ilvl w:val="1"/>
          <w:numId w:val="12"/>
        </w:numPr>
        <w:ind w:left="1077" w:hanging="720"/>
        <w:spacing w:line="360" w:lineRule="auto"/>
        <w:tabs>
          <w:tab w:val="left" w:pos="1080" w:leader="none"/>
          <w:tab w:val="left" w:pos="1589" w:leader="none"/>
        </w:tabs>
        <w:rPr>
          <w:rFonts w:ascii="宋体" w:hAnsi="宋体"/>
          <w:color w:val="000000"/>
          <w:sz w:val="24"/>
          <w:highlight w:val="none"/>
        </w:rPr>
      </w:pPr>
      <w:r>
        <w:rPr>
          <w:rFonts w:ascii="宋体" w:hAnsi="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918"/>
        <w:ind w:firstLine="241"/>
        <w:jc w:val="left"/>
        <w:widowControl/>
        <w:rPr>
          <w:rFonts w:ascii="宋体" w:hAnsi="宋体"/>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t xml:space="preserve">二、评标标准</w:t>
      </w:r>
      <w:r>
        <w:rPr>
          <w:rFonts w:ascii="宋体" w:hAnsi="宋体"/>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0"/>
        <w:gridCol w:w="1255"/>
        <w:gridCol w:w="7062"/>
        <w:gridCol w:w="10"/>
        <w:gridCol w:w="781"/>
      </w:tblGrid>
      <w:tr>
        <w:trPr>
          <w:trHeight w:val="650"/>
        </w:trPr>
        <w:tc>
          <w:tcPr>
            <w:tcW w:w="404" w:type="dxa"/>
            <w:vAlign w:val="center"/>
            <w:textDirection w:val="lrTb"/>
            <w:noWrap w:val="false"/>
          </w:tcPr>
          <w:p>
            <w:pPr>
              <w:pStyle w:val="1111"/>
              <w:jc w:val="center"/>
              <w:rPr>
                <w:rFonts w:hint="eastAsia" w:ascii="宋体" w:hAnsi="宋体" w:eastAsia="宋体" w:cs="宋体"/>
                <w:b/>
                <w:bCs/>
                <w:color w:val="000000"/>
                <w:sz w:val="24"/>
                <w:szCs w:val="24"/>
                <w:highlight w:val="none"/>
                <w:lang w:val="en-US"/>
              </w:rPr>
            </w:pPr>
            <w:r/>
            <w:bookmarkStart w:id="816" w:name="_Hlk196396521"/>
            <w:r>
              <w:rPr>
                <w:rFonts w:hint="eastAsia" w:ascii="宋体" w:hAnsi="宋体" w:eastAsia="宋体" w:cs="宋体"/>
                <w:b/>
                <w:bCs/>
                <w:color w:val="000000"/>
                <w:sz w:val="24"/>
                <w:szCs w:val="24"/>
                <w:highlight w:val="none"/>
                <w:lang w:val="en-US"/>
              </w:rPr>
              <w:t xml:space="preserve">序号</w:t>
            </w:r>
            <w:r>
              <w:rPr>
                <w:rFonts w:hint="eastAsia" w:ascii="宋体" w:hAnsi="宋体" w:eastAsia="宋体" w:cs="宋体"/>
                <w:b/>
                <w:bCs/>
                <w:color w:val="000000"/>
                <w:sz w:val="24"/>
                <w:szCs w:val="24"/>
                <w:highlight w:val="none"/>
                <w:lang w:val="en-US"/>
              </w:rPr>
            </w:r>
            <w:r/>
          </w:p>
        </w:tc>
        <w:tc>
          <w:tcPr>
            <w:tcW w:w="633" w:type="dxa"/>
            <w:vAlign w:val="center"/>
            <w:textDirection w:val="lrTb"/>
            <w:noWrap w:val="false"/>
          </w:tcPr>
          <w:p>
            <w:pPr>
              <w:pStyle w:val="1111"/>
              <w:jc w:val="center"/>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评审因素</w:t>
            </w:r>
            <w:r>
              <w:rPr>
                <w:rFonts w:hint="eastAsia" w:ascii="宋体" w:hAnsi="宋体" w:eastAsia="宋体" w:cs="宋体"/>
                <w:b/>
                <w:bCs/>
                <w:color w:val="000000"/>
                <w:sz w:val="24"/>
                <w:szCs w:val="24"/>
                <w:highlight w:val="none"/>
                <w:lang w:val="en-US"/>
              </w:rPr>
            </w:r>
            <w:r/>
          </w:p>
        </w:tc>
        <w:tc>
          <w:tcPr>
            <w:tcW w:w="3563" w:type="dxa"/>
            <w:vAlign w:val="center"/>
            <w:textDirection w:val="lrTb"/>
            <w:noWrap w:val="false"/>
          </w:tcPr>
          <w:p>
            <w:pPr>
              <w:pStyle w:val="1111"/>
              <w:jc w:val="center"/>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评分标准</w:t>
            </w:r>
            <w:r>
              <w:rPr>
                <w:rFonts w:hint="eastAsia" w:ascii="宋体" w:hAnsi="宋体" w:eastAsia="宋体" w:cs="宋体"/>
                <w:b/>
                <w:bCs/>
                <w:color w:val="000000"/>
                <w:sz w:val="24"/>
                <w:szCs w:val="24"/>
                <w:highlight w:val="none"/>
                <w:lang w:val="en-US"/>
              </w:rPr>
            </w:r>
            <w:r/>
          </w:p>
        </w:tc>
        <w:tc>
          <w:tcPr>
            <w:gridSpan w:val="2"/>
            <w:tcW w:w="791" w:type="dxa"/>
            <w:vAlign w:val="center"/>
            <w:textDirection w:val="lrTb"/>
            <w:noWrap w:val="false"/>
          </w:tcPr>
          <w:p>
            <w:pPr>
              <w:pStyle w:val="1111"/>
              <w:jc w:val="center"/>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分值</w:t>
            </w:r>
            <w:r>
              <w:rPr>
                <w:rFonts w:hint="eastAsia" w:ascii="宋体" w:hAnsi="宋体" w:eastAsia="宋体" w:cs="宋体"/>
                <w:b/>
                <w:bCs/>
                <w:color w:val="000000"/>
                <w:sz w:val="24"/>
                <w:szCs w:val="24"/>
                <w:highlight w:val="none"/>
                <w:lang w:val="en-US"/>
              </w:rPr>
            </w:r>
            <w:r/>
          </w:p>
        </w:tc>
      </w:tr>
      <w:tr>
        <w:trPr>
          <w:trHeight w:val="577"/>
        </w:trPr>
        <w:tc>
          <w:tcPr>
            <w:tcW w:w="404" w:type="dxa"/>
            <w:vAlign w:val="center"/>
            <w:textDirection w:val="lrTb"/>
            <w:noWrap w:val="false"/>
          </w:tcPr>
          <w:p>
            <w:pPr>
              <w:pStyle w:val="1111"/>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en-US" w:eastAsia="zh-CN"/>
              </w:rPr>
            </w:r>
            <w:r/>
          </w:p>
        </w:tc>
        <w:tc>
          <w:tcPr>
            <w:gridSpan w:val="4"/>
            <w:tcW w:w="9108" w:type="dxa"/>
            <w:vAlign w:val="center"/>
            <w:textDirection w:val="lrTb"/>
            <w:noWrap w:val="false"/>
          </w:tcPr>
          <w:p>
            <w:pPr>
              <w:pStyle w:val="1111"/>
              <w:jc w:val="both"/>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价格分（</w:t>
            </w:r>
            <w:r>
              <w:rPr>
                <w:rFonts w:hint="eastAsia" w:ascii="宋体" w:hAnsi="宋体" w:eastAsia="宋体" w:cs="宋体"/>
                <w:b/>
                <w:bCs/>
                <w:color w:val="000000"/>
                <w:sz w:val="24"/>
                <w:szCs w:val="24"/>
                <w:highlight w:val="none"/>
                <w:lang w:val="en-US" w:eastAsia="zh-CN"/>
              </w:rPr>
              <w:t xml:space="preserve">30</w:t>
            </w:r>
            <w:r>
              <w:rPr>
                <w:rFonts w:hint="eastAsia" w:ascii="宋体" w:hAnsi="宋体" w:eastAsia="宋体" w:cs="宋体"/>
                <w:b/>
                <w:bCs/>
                <w:color w:val="000000"/>
                <w:sz w:val="24"/>
                <w:szCs w:val="24"/>
                <w:highlight w:val="none"/>
                <w:lang w:val="en-US"/>
              </w:rPr>
              <w:t xml:space="preserve">分）</w:t>
            </w:r>
            <w:r>
              <w:rPr>
                <w:rFonts w:hint="eastAsia" w:ascii="宋体" w:hAnsi="宋体" w:eastAsia="宋体" w:cs="宋体"/>
                <w:b/>
                <w:bCs/>
                <w:color w:val="000000"/>
                <w:sz w:val="24"/>
                <w:szCs w:val="24"/>
                <w:highlight w:val="none"/>
                <w:lang w:val="en-US"/>
              </w:rPr>
            </w:r>
            <w:r/>
          </w:p>
        </w:tc>
      </w:tr>
      <w:tr>
        <w:trPr>
          <w:trHeight w:val="1274"/>
        </w:trPr>
        <w:tc>
          <w:tcPr>
            <w:tcW w:w="404" w:type="dxa"/>
            <w:vAlign w:val="center"/>
            <w:textDirection w:val="lrTb"/>
            <w:noWrap w:val="false"/>
          </w:tcPr>
          <w:p>
            <w:pPr>
              <w:pStyle w:val="918"/>
              <w:jc w:val="center"/>
              <w:rPr>
                <w:rFonts w:hint="eastAsia" w:ascii="宋体" w:hAnsi="宋体" w:eastAsia="宋体" w:cs="宋体"/>
                <w:color w:val="000000"/>
                <w:sz w:val="24"/>
                <w:szCs w:val="24"/>
                <w:highlight w:val="none"/>
              </w:rPr>
            </w:pPr>
            <w:r/>
            <w:bookmarkEnd w:id="816"/>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33" w:type="dxa"/>
            <w:vAlign w:val="center"/>
            <w:textDirection w:val="lrTb"/>
            <w:noWrap w:val="false"/>
          </w:tcPr>
          <w:p>
            <w:pPr>
              <w:pStyle w:val="918"/>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w:t>
            </w:r>
            <w:r>
              <w:rPr>
                <w:rFonts w:hint="eastAsia" w:ascii="宋体" w:hAnsi="宋体" w:eastAsia="宋体" w:cs="宋体"/>
                <w:color w:val="000000"/>
                <w:sz w:val="24"/>
                <w:szCs w:val="24"/>
                <w:highlight w:val="none"/>
              </w:rPr>
            </w:r>
            <w:r/>
          </w:p>
        </w:tc>
        <w:tc>
          <w:tcPr>
            <w:tcW w:w="3563" w:type="dxa"/>
            <w:vAlign w:val="center"/>
            <w:textDirection w:val="lrTb"/>
            <w:noWrap w:val="false"/>
          </w:tcPr>
          <w:p>
            <w:pPr>
              <w:pStyle w:val="1111"/>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rPr>
              <w:t xml:space="preserve">采用低价优先法计算，即满足招标文件要求且价格最低的投标报价为评标基准价，其价格分为满分30分。其他投标人的价格分统一按照下列公式计算（结果保留小数点后两位）： </w:t>
            </w:r>
            <w:r>
              <w:rPr>
                <w:rFonts w:hint="eastAsia" w:ascii="宋体" w:hAnsi="宋体" w:eastAsia="宋体" w:cs="宋体"/>
                <w:color w:val="000000"/>
                <w:sz w:val="24"/>
                <w:szCs w:val="24"/>
                <w:highlight w:val="none"/>
                <w:lang w:val="en-US"/>
              </w:rPr>
              <w:br w:type="textWrapping" w:clear="all"/>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rPr>
              <w:t xml:space="preserve">价格分=(评标基准价／投标报价)×30%×100。</w:t>
            </w:r>
            <w:r>
              <w:rPr>
                <w:rFonts w:hint="eastAsia" w:ascii="宋体" w:hAnsi="宋体" w:eastAsia="宋体" w:cs="宋体"/>
                <w:color w:val="000000"/>
                <w:sz w:val="24"/>
                <w:szCs w:val="24"/>
                <w:highlight w:val="none"/>
              </w:rPr>
            </w:r>
            <w:r/>
          </w:p>
        </w:tc>
        <w:tc>
          <w:tcPr>
            <w:gridSpan w:val="2"/>
            <w:tcW w:w="791" w:type="dxa"/>
            <w:vAlign w:val="center"/>
            <w:textDirection w:val="lrTb"/>
            <w:noWrap w:val="false"/>
          </w:tcPr>
          <w:p>
            <w:pPr>
              <w:pStyle w:val="918"/>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rPr>
            </w:r>
            <w:r/>
          </w:p>
        </w:tc>
      </w:tr>
      <w:tr>
        <w:trPr>
          <w:trHeight w:val="627"/>
        </w:trPr>
        <w:tc>
          <w:tcPr>
            <w:tcW w:w="404" w:type="dxa"/>
            <w:vAlign w:val="center"/>
            <w:textDirection w:val="lrTb"/>
            <w:noWrap w:val="false"/>
          </w:tcPr>
          <w:p>
            <w:pPr>
              <w:pStyle w:val="918"/>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val="en-US" w:eastAsia="zh-CN"/>
              </w:rPr>
            </w:r>
            <w:r/>
          </w:p>
        </w:tc>
        <w:tc>
          <w:tcPr>
            <w:gridSpan w:val="4"/>
            <w:tcW w:w="9108" w:type="dxa"/>
            <w:vAlign w:val="center"/>
            <w:textDirection w:val="lrTb"/>
            <w:noWrap w:val="false"/>
          </w:tcPr>
          <w:p>
            <w:pPr>
              <w:pStyle w:val="918"/>
              <w:jc w:val="both"/>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lang w:val="en-US" w:eastAsia="zh-CN"/>
              </w:rPr>
              <w:t xml:space="preserve">39</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c>
      </w:tr>
      <w:tr>
        <w:trPr>
          <w:trHeight w:val="638"/>
        </w:trPr>
        <w:tc>
          <w:tcPr>
            <w:tcW w:w="404"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lang w:val="en-US"/>
              </w:rPr>
            </w:r>
            <w:r/>
          </w:p>
        </w:tc>
        <w:tc>
          <w:tcPr>
            <w:tcW w:w="633"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技术参数</w:t>
            </w:r>
            <w:r>
              <w:rPr>
                <w:rFonts w:hint="eastAsia" w:ascii="宋体" w:hAnsi="宋体" w:eastAsia="宋体" w:cs="宋体"/>
                <w:color w:val="000000"/>
                <w:sz w:val="24"/>
                <w:szCs w:val="24"/>
                <w:highlight w:val="none"/>
                <w:lang w:val="en-US"/>
              </w:rPr>
            </w:r>
            <w:r/>
          </w:p>
        </w:tc>
        <w:tc>
          <w:tcPr>
            <w:gridSpan w:val="2"/>
            <w:tcW w:w="7072" w:type="dxa"/>
            <w:vAlign w:val="center"/>
            <w:textDirection w:val="lrTb"/>
            <w:noWrap w:val="false"/>
          </w:tcPr>
          <w:p>
            <w:pPr>
              <w:pStyle w:val="111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rPr>
              <w:t xml:space="preserve">评委根据投标人所投产品对招标文件参数要求的响应程度打分，全部满足招标文件参数要求的得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t xml:space="preserve">0分。</w:t>
            </w:r>
            <w:r>
              <w:rPr>
                <w:rFonts w:hint="eastAsia" w:ascii="宋体" w:hAnsi="宋体" w:eastAsia="宋体" w:cs="宋体"/>
                <w:b/>
                <w:bCs/>
                <w:color w:val="000000"/>
                <w:sz w:val="24"/>
                <w:szCs w:val="24"/>
                <w:highlight w:val="none"/>
                <w:lang w:val="en-US"/>
              </w:rPr>
              <w:t xml:space="preserve">参数要求中加“★”项为实质性响应条件,不满足则作为无效投标处理；</w:t>
            </w:r>
            <w:r>
              <w:rPr>
                <w:rFonts w:hint="eastAsia" w:ascii="宋体" w:hAnsi="宋体" w:eastAsia="宋体" w:cs="宋体"/>
                <w:color w:val="000000"/>
                <w:sz w:val="24"/>
                <w:szCs w:val="24"/>
                <w:highlight w:val="none"/>
                <w:lang w:val="en-US"/>
              </w:rPr>
              <w:t xml:space="preserve">加▲项技术要求如有负偏离每有一项扣</w:t>
            </w:r>
            <w:r>
              <w:rPr>
                <w:rFonts w:hint="eastAsia" w:ascii="宋体" w:hAnsi="宋体" w:eastAsia="宋体" w:cs="宋体"/>
                <w:color w:val="000000"/>
                <w:sz w:val="24"/>
                <w:szCs w:val="24"/>
                <w:highlight w:val="none"/>
                <w:lang w:val="en-US" w:eastAsia="zh-CN"/>
              </w:rPr>
              <w:t xml:space="preserve">0.8</w:t>
            </w:r>
            <w:r>
              <w:rPr>
                <w:rFonts w:hint="eastAsia" w:ascii="宋体" w:hAnsi="宋体" w:eastAsia="宋体" w:cs="宋体"/>
                <w:color w:val="000000"/>
                <w:sz w:val="24"/>
                <w:szCs w:val="24"/>
                <w:highlight w:val="none"/>
                <w:lang w:val="en-US"/>
              </w:rPr>
              <w:t xml:space="preserve">分。一般技术参数以投标人提交的《技术偏离表》响应内容作为评审依据</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11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①全部一般参数均满足，得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rPr>
              <w:t xml:space="preserve">分；</w:t>
            </w:r>
            <w:r>
              <w:rPr>
                <w:rFonts w:hint="eastAsia" w:ascii="宋体" w:hAnsi="宋体" w:eastAsia="宋体" w:cs="宋体"/>
                <w:color w:val="000000"/>
                <w:sz w:val="24"/>
                <w:szCs w:val="24"/>
                <w:highlight w:val="none"/>
                <w:lang w:val="en-US"/>
              </w:rPr>
            </w:r>
            <w:r/>
          </w:p>
          <w:p>
            <w:pPr>
              <w:pStyle w:val="111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②一般参数负偏离项≤10项，得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rPr>
              <w:t xml:space="preserve">分；</w:t>
            </w:r>
            <w:r>
              <w:rPr>
                <w:rFonts w:hint="eastAsia" w:ascii="宋体" w:hAnsi="宋体" w:eastAsia="宋体" w:cs="宋体"/>
                <w:color w:val="000000"/>
                <w:sz w:val="24"/>
                <w:szCs w:val="24"/>
                <w:highlight w:val="none"/>
                <w:lang w:val="en-US"/>
              </w:rPr>
            </w:r>
            <w:r/>
          </w:p>
          <w:p>
            <w:pPr>
              <w:pStyle w:val="111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③一般参数负偏离项11项～30项，得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分；</w:t>
            </w:r>
            <w:r>
              <w:rPr>
                <w:rFonts w:hint="eastAsia" w:ascii="宋体" w:hAnsi="宋体" w:eastAsia="宋体" w:cs="宋体"/>
                <w:color w:val="000000"/>
                <w:sz w:val="24"/>
                <w:szCs w:val="24"/>
                <w:highlight w:val="none"/>
                <w:lang w:val="en-US"/>
              </w:rPr>
            </w:r>
            <w:r/>
          </w:p>
          <w:p>
            <w:pPr>
              <w:pStyle w:val="111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④一般参数负偏离项＞30项，得0分；</w:t>
            </w:r>
            <w:r>
              <w:rPr>
                <w:rFonts w:hint="eastAsia" w:ascii="宋体" w:hAnsi="宋体" w:eastAsia="宋体" w:cs="宋体"/>
                <w:color w:val="000000"/>
                <w:sz w:val="24"/>
                <w:szCs w:val="24"/>
                <w:highlight w:val="none"/>
                <w:lang w:val="en-US"/>
              </w:rPr>
            </w:r>
            <w:r/>
          </w:p>
          <w:p>
            <w:pPr>
              <w:pStyle w:val="1111"/>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rPr>
              <w:t xml:space="preserve">注：加“★”项和加“▲”项须在</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lang w:eastAsia="zh-CN"/>
              </w:rPr>
              <w:t xml:space="preserve">投标文件中</w:t>
            </w:r>
            <w:r>
              <w:rPr>
                <w:rFonts w:hint="eastAsia" w:ascii="宋体" w:hAnsi="宋体" w:eastAsia="宋体" w:cs="宋体"/>
                <w:b/>
                <w:bCs/>
                <w:color w:val="000000"/>
                <w:sz w:val="24"/>
                <w:szCs w:val="24"/>
                <w:highlight w:val="none"/>
                <w:lang w:val="en-US"/>
              </w:rPr>
              <w:t xml:space="preserve">提供包括但不限于检测报告，产品说明书，宣传彩页，视频等相关证明材料，否则视为负偏离处理</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tc>
        <w:tc>
          <w:tcPr>
            <w:tcW w:w="393" w:type="dxa"/>
            <w:vAlign w:val="center"/>
            <w:textDirection w:val="lrTb"/>
            <w:noWrap w:val="false"/>
          </w:tcPr>
          <w:p>
            <w:pPr>
              <w:pStyle w:val="111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t xml:space="preserve">0</w:t>
            </w:r>
            <w:r>
              <w:rPr>
                <w:rFonts w:hint="eastAsia" w:ascii="宋体" w:hAnsi="宋体" w:eastAsia="宋体" w:cs="宋体"/>
                <w:color w:val="000000"/>
                <w:sz w:val="24"/>
                <w:szCs w:val="24"/>
                <w:highlight w:val="none"/>
                <w:lang w:val="en-US" w:eastAsia="zh-CN"/>
              </w:rPr>
            </w:r>
            <w:r/>
          </w:p>
        </w:tc>
      </w:tr>
      <w:tr>
        <w:trPr>
          <w:trHeight w:val="3082"/>
        </w:trPr>
        <w:tc>
          <w:tcPr>
            <w:tcW w:w="404"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lang w:val="en-US"/>
              </w:rPr>
            </w:r>
            <w:r/>
          </w:p>
        </w:tc>
        <w:tc>
          <w:tcPr>
            <w:tcW w:w="633" w:type="dxa"/>
            <w:vAlign w:val="center"/>
            <w:textDirection w:val="lrTb"/>
            <w:noWrap w:val="false"/>
          </w:tcPr>
          <w:p>
            <w:pPr>
              <w:pStyle w:val="111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业绩</w:t>
            </w:r>
            <w:r>
              <w:rPr>
                <w:rFonts w:hint="eastAsia" w:ascii="宋体" w:hAnsi="宋体" w:eastAsia="宋体" w:cs="宋体"/>
                <w:color w:val="000000"/>
                <w:sz w:val="24"/>
                <w:szCs w:val="24"/>
                <w:highlight w:val="none"/>
                <w:lang w:val="en-US" w:eastAsia="zh-CN"/>
              </w:rPr>
            </w:r>
            <w:r/>
          </w:p>
        </w:tc>
        <w:tc>
          <w:tcPr>
            <w:gridSpan w:val="2"/>
            <w:tcW w:w="7072" w:type="dxa"/>
            <w:vAlign w:val="center"/>
            <w:textDirection w:val="lrTb"/>
            <w:noWrap w:val="false"/>
          </w:tcPr>
          <w:p>
            <w:pPr>
              <w:pStyle w:val="1111"/>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投标人自2023年1月1日至本项目招标公告发布之日止（时间以合同书上载明的时间为准）</w:t>
            </w:r>
            <w:r>
              <w:rPr>
                <w:rFonts w:hint="eastAsia" w:ascii="宋体" w:hAnsi="宋体" w:eastAsia="宋体" w:cs="宋体"/>
                <w:color w:val="000000"/>
                <w:sz w:val="24"/>
                <w:szCs w:val="24"/>
                <w:lang w:val="en-US"/>
              </w:rPr>
              <w:t xml:space="preserve">具有</w:t>
            </w:r>
            <w:r>
              <w:rPr>
                <w:rFonts w:hint="eastAsia" w:ascii="宋体" w:hAnsi="宋体" w:eastAsia="宋体" w:cs="宋体"/>
                <w:color w:val="000000"/>
                <w:sz w:val="24"/>
                <w:szCs w:val="24"/>
                <w:lang w:val="en-US" w:eastAsia="zh-CN"/>
              </w:rPr>
              <w:t xml:space="preserve">与</w:t>
            </w:r>
            <w:r>
              <w:rPr>
                <w:rFonts w:hint="eastAsia" w:ascii="宋体" w:hAnsi="宋体" w:eastAsia="宋体" w:cs="宋体"/>
                <w:color w:val="000000"/>
                <w:sz w:val="24"/>
                <w:szCs w:val="24"/>
                <w:lang w:val="en-US"/>
              </w:rPr>
              <w:t xml:space="preserve">人机交互实训室相关项目业绩</w:t>
            </w:r>
            <w:r>
              <w:rPr>
                <w:rFonts w:hint="eastAsia" w:ascii="宋体" w:hAnsi="宋体" w:eastAsia="宋体" w:cs="宋体"/>
                <w:color w:val="000000"/>
                <w:sz w:val="24"/>
                <w:szCs w:val="24"/>
                <w:lang w:val="en-US" w:eastAsia="zh-CN"/>
              </w:rPr>
              <w:t xml:space="preserve">的得3</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；具有</w:t>
            </w:r>
            <w:r>
              <w:rPr>
                <w:rFonts w:hint="eastAsia" w:ascii="宋体" w:hAnsi="宋体" w:eastAsia="宋体" w:cs="宋体"/>
                <w:color w:val="000000"/>
                <w:sz w:val="24"/>
                <w:szCs w:val="24"/>
                <w:lang w:val="en-US" w:eastAsia="zh-CN"/>
              </w:rPr>
              <w:t xml:space="preserve">与</w:t>
            </w:r>
            <w:r>
              <w:rPr>
                <w:rFonts w:hint="eastAsia" w:ascii="宋体" w:hAnsi="宋体" w:eastAsia="宋体" w:cs="宋体"/>
                <w:color w:val="000000"/>
                <w:sz w:val="24"/>
                <w:szCs w:val="24"/>
                <w:lang w:val="en-US"/>
              </w:rPr>
              <w:t xml:space="preserve">虚拟仿真相关课程研发的项目业绩</w:t>
            </w:r>
            <w:r>
              <w:rPr>
                <w:rFonts w:hint="eastAsia" w:ascii="宋体" w:hAnsi="宋体" w:eastAsia="宋体" w:cs="宋体"/>
                <w:color w:val="000000"/>
                <w:sz w:val="24"/>
                <w:szCs w:val="24"/>
                <w:lang w:val="en-US" w:eastAsia="zh-CN"/>
              </w:rPr>
              <w:t xml:space="preserve">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；具有</w:t>
            </w:r>
            <w:r>
              <w:rPr>
                <w:rFonts w:hint="eastAsia" w:ascii="宋体" w:hAnsi="宋体" w:eastAsia="宋体" w:cs="宋体"/>
                <w:color w:val="000000"/>
                <w:sz w:val="24"/>
                <w:szCs w:val="24"/>
                <w:lang w:val="en-US" w:eastAsia="zh-CN"/>
              </w:rPr>
              <w:t xml:space="preserve">与</w:t>
            </w:r>
            <w:r>
              <w:rPr>
                <w:rFonts w:hint="eastAsia" w:ascii="宋体" w:hAnsi="宋体" w:eastAsia="宋体" w:cs="宋体"/>
                <w:color w:val="000000"/>
                <w:sz w:val="24"/>
                <w:szCs w:val="24"/>
                <w:lang w:val="en-US"/>
              </w:rPr>
              <w:t xml:space="preserve">展览展厅场馆设计相关项目的业绩</w:t>
            </w:r>
            <w:r>
              <w:rPr>
                <w:rFonts w:hint="eastAsia" w:ascii="宋体" w:hAnsi="宋体" w:eastAsia="宋体" w:cs="宋体"/>
                <w:color w:val="000000"/>
                <w:sz w:val="24"/>
                <w:szCs w:val="24"/>
                <w:lang w:val="en-US" w:eastAsia="zh-CN"/>
              </w:rPr>
              <w:t xml:space="preserve">的得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t xml:space="preserve">本项最高得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rPr>
            </w:r>
            <w:r/>
          </w:p>
          <w:p>
            <w:pPr>
              <w:pStyle w:val="1111"/>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rPr>
              <w:t xml:space="preserve">注：电子投标文件中提供有效业绩合同（含主要内容关键页）扫描件并加盖投标人电子公章，未</w:t>
            </w:r>
            <w:r>
              <w:rPr>
                <w:rFonts w:hint="eastAsia" w:ascii="宋体" w:hAnsi="宋体" w:eastAsia="宋体" w:cs="宋体"/>
                <w:b/>
                <w:bCs/>
                <w:color w:val="000000"/>
                <w:sz w:val="24"/>
                <w:szCs w:val="24"/>
                <w:lang w:val="en-US" w:eastAsia="zh-CN"/>
              </w:rPr>
              <w:t xml:space="preserve">按要求</w:t>
            </w:r>
            <w:r>
              <w:rPr>
                <w:rFonts w:hint="eastAsia" w:ascii="宋体" w:hAnsi="宋体" w:eastAsia="宋体" w:cs="宋体"/>
                <w:b/>
                <w:bCs/>
                <w:color w:val="000000"/>
                <w:sz w:val="24"/>
                <w:szCs w:val="24"/>
                <w:lang w:val="en-US"/>
              </w:rPr>
              <w:t xml:space="preserve">提供不得分。</w:t>
            </w:r>
            <w:r>
              <w:rPr>
                <w:rFonts w:hint="eastAsia" w:ascii="宋体" w:hAnsi="宋体" w:eastAsia="宋体" w:cs="宋体"/>
                <w:b/>
                <w:bCs/>
                <w:color w:val="000000"/>
                <w:sz w:val="24"/>
                <w:szCs w:val="24"/>
                <w:lang w:val="en-US"/>
              </w:rPr>
            </w:r>
            <w:r/>
          </w:p>
          <w:p>
            <w:pPr>
              <w:pStyle w:val="1111"/>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w:t>
            </w:r>
            <w:r>
              <w:rPr>
                <w:rFonts w:hint="eastAsia" w:ascii="宋体" w:hAnsi="宋体" w:eastAsia="宋体" w:cs="宋体"/>
                <w:b/>
                <w:bCs/>
                <w:color w:val="000000"/>
                <w:sz w:val="24"/>
                <w:szCs w:val="24"/>
                <w:lang w:val="en-US"/>
              </w:rPr>
              <w:t xml:space="preserve">采购人合同签订、履约期间，有权要求投标人出具电子投标文件中的合同书原件，予以确认其的真实性和有效性，如出现与事实不符等情况，将根据有关规定以“提供虚假材料谋取中标（成交）”予以处理。</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rPr>
            </w:r>
            <w:r/>
          </w:p>
        </w:tc>
        <w:tc>
          <w:tcPr>
            <w:tcW w:w="393" w:type="dxa"/>
            <w:vAlign w:val="center"/>
            <w:textDirection w:val="lrTb"/>
            <w:noWrap w:val="false"/>
          </w:tcPr>
          <w:p>
            <w:pPr>
              <w:pStyle w:val="111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highlight w:val="none"/>
                <w:lang w:val="en-US" w:eastAsia="zh-CN"/>
              </w:rPr>
            </w:r>
            <w:r/>
          </w:p>
        </w:tc>
      </w:tr>
      <w:tr>
        <w:trPr>
          <w:trHeight w:val="529"/>
        </w:trPr>
        <w:tc>
          <w:tcPr>
            <w:tcW w:w="404" w:type="dxa"/>
            <w:vAlign w:val="center"/>
            <w:textDirection w:val="lrTb"/>
            <w:noWrap w:val="false"/>
          </w:tcPr>
          <w:p>
            <w:pPr>
              <w:pStyle w:val="1111"/>
              <w:jc w:val="center"/>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lang w:val="en-US" w:eastAsia="zh-CN"/>
              </w:rPr>
            </w:r>
            <w:r/>
          </w:p>
        </w:tc>
        <w:tc>
          <w:tcPr>
            <w:gridSpan w:val="4"/>
            <w:tcW w:w="9108" w:type="dxa"/>
            <w:vAlign w:val="center"/>
            <w:textDirection w:val="lrTb"/>
            <w:noWrap w:val="false"/>
          </w:tcPr>
          <w:p>
            <w:pPr>
              <w:pStyle w:val="1111"/>
              <w:jc w:val="both"/>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rPr>
              <w:t xml:space="preserve">主观分（</w:t>
            </w:r>
            <w:r>
              <w:rPr>
                <w:rFonts w:hint="eastAsia" w:ascii="宋体" w:hAnsi="宋体" w:eastAsia="宋体" w:cs="宋体"/>
                <w:b/>
                <w:bCs/>
                <w:color w:val="000000"/>
                <w:sz w:val="24"/>
                <w:szCs w:val="24"/>
                <w:highlight w:val="none"/>
                <w:lang w:val="en-US" w:eastAsia="zh-CN"/>
              </w:rPr>
              <w:t xml:space="preserve">31</w:t>
            </w:r>
            <w:r>
              <w:rPr>
                <w:rFonts w:hint="eastAsia" w:ascii="宋体" w:hAnsi="宋体" w:eastAsia="宋体" w:cs="宋体"/>
                <w:b/>
                <w:bCs/>
                <w:color w:val="000000"/>
                <w:sz w:val="24"/>
                <w:szCs w:val="24"/>
                <w:highlight w:val="none"/>
                <w:lang w:val="en-US"/>
              </w:rPr>
              <w:t xml:space="preserve">分）</w:t>
            </w:r>
            <w:r>
              <w:rPr>
                <w:rFonts w:hint="eastAsia" w:ascii="宋体" w:hAnsi="宋体" w:eastAsia="宋体" w:cs="宋体"/>
                <w:b/>
                <w:bCs/>
                <w:color w:val="000000"/>
                <w:sz w:val="24"/>
                <w:szCs w:val="24"/>
                <w:highlight w:val="none"/>
                <w:lang w:val="en-US"/>
              </w:rPr>
            </w:r>
            <w:r/>
          </w:p>
        </w:tc>
      </w:tr>
      <w:tr>
        <w:trPr>
          <w:trHeight w:val="301"/>
        </w:trPr>
        <w:tc>
          <w:tcPr>
            <w:tcW w:w="404"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1</w:t>
            </w:r>
            <w:r>
              <w:rPr>
                <w:rFonts w:hint="eastAsia" w:ascii="宋体" w:hAnsi="宋体" w:eastAsia="宋体" w:cs="宋体"/>
                <w:color w:val="000000"/>
                <w:sz w:val="24"/>
                <w:szCs w:val="24"/>
                <w:highlight w:val="none"/>
                <w:lang w:val="en-US"/>
              </w:rPr>
            </w:r>
            <w:r/>
          </w:p>
        </w:tc>
        <w:tc>
          <w:tcPr>
            <w:tcW w:w="633" w:type="dxa"/>
            <w:vAlign w:val="center"/>
            <w:textDirection w:val="lrTb"/>
            <w:noWrap w:val="false"/>
          </w:tcPr>
          <w:p>
            <w:pPr>
              <w:pStyle w:val="1111"/>
              <w:jc w:val="center"/>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项目实施及</w:t>
            </w:r>
            <w:r>
              <w:rPr>
                <w:rFonts w:hint="eastAsia" w:ascii="宋体" w:hAnsi="宋体" w:eastAsia="宋体" w:cs="宋体"/>
                <w:color w:val="000000"/>
                <w:sz w:val="24"/>
                <w:szCs w:val="24"/>
                <w:lang w:val="en-US"/>
              </w:rPr>
            </w:r>
            <w:r/>
          </w:p>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rPr>
              <w:t xml:space="preserve">技术方案</w:t>
            </w:r>
            <w:r>
              <w:rPr>
                <w:rFonts w:hint="eastAsia" w:ascii="宋体" w:hAnsi="宋体" w:eastAsia="宋体" w:cs="宋体"/>
                <w:color w:val="000000"/>
                <w:sz w:val="24"/>
                <w:szCs w:val="24"/>
                <w:highlight w:val="none"/>
                <w:lang w:val="en-US"/>
              </w:rPr>
            </w:r>
            <w:r/>
          </w:p>
        </w:tc>
        <w:tc>
          <w:tcPr>
            <w:gridSpan w:val="2"/>
            <w:tcW w:w="7072" w:type="dxa"/>
            <w:vAlign w:val="center"/>
            <w:textDirection w:val="lrTb"/>
            <w:noWrap w:val="false"/>
          </w:tcPr>
          <w:p>
            <w:pPr>
              <w:pStyle w:val="1111"/>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rPr>
              <w:t xml:space="preserve">投标人应结合本项目建设目标、设备配置、教学应用需求及现场实施条件，提供完整、具有针对性和可实施性的项目实施及技术方案。方案应对项目总体架构、系统组成、设备部署、软硬件协同、空间布局、平台建设、安装调试、系统对接及实际教学应用进行详细说明。技术方案内容包含但不限于以下内容：</w:t>
            </w:r>
            <w:r>
              <w:rPr>
                <w:rFonts w:hint="eastAsia" w:ascii="宋体" w:hAnsi="宋体" w:eastAsia="宋体" w:cs="宋体"/>
                <w:b/>
                <w:bCs/>
                <w:color w:val="000000"/>
                <w:sz w:val="24"/>
                <w:szCs w:val="24"/>
                <w:lang w:val="en-US"/>
              </w:rPr>
            </w:r>
            <w:r/>
          </w:p>
          <w:p>
            <w:pPr>
              <w:pStyle w:val="1111"/>
              <w:numPr>
                <w:ilvl w:val="0"/>
                <w:numId w:val="15"/>
              </w:numPr>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项目总体设计方案：结合智能人机交互实训系统建设目标，对项目整体技术架构、功能架构、设备组成、及软件平台关系应用体系进行说明； </w:t>
            </w:r>
            <w:r>
              <w:rPr>
                <w:rFonts w:hint="eastAsia" w:ascii="宋体" w:hAnsi="宋体" w:eastAsia="宋体" w:cs="宋体"/>
                <w:color w:val="000000"/>
                <w:sz w:val="24"/>
                <w:szCs w:val="24"/>
                <w:lang w:val="en-US"/>
              </w:rPr>
            </w:r>
            <w:r/>
          </w:p>
          <w:p>
            <w:pPr>
              <w:pStyle w:val="1111"/>
              <w:numPr>
                <w:ilvl w:val="0"/>
                <w:numId w:val="15"/>
              </w:numPr>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智能人机交互综合教学开发套装建设方案：说明嵌入式开发主机、视觉模块、触控显示、及传感器组成及部署方式； </w:t>
            </w:r>
            <w:r>
              <w:rPr>
                <w:rFonts w:hint="eastAsia" w:ascii="宋体" w:hAnsi="宋体" w:eastAsia="宋体" w:cs="宋体"/>
                <w:color w:val="000000"/>
                <w:sz w:val="24"/>
                <w:szCs w:val="24"/>
                <w:lang w:val="en-US"/>
              </w:rPr>
            </w:r>
            <w:r/>
          </w:p>
          <w:p>
            <w:pPr>
              <w:pStyle w:val="1111"/>
              <w:numPr>
                <w:ilvl w:val="0"/>
                <w:numId w:val="15"/>
              </w:numPr>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人机交互展示墙建设方案：提供整体显示系统、触控系统、图形控制设备及交互软件的系统架构和部署方案； </w:t>
            </w:r>
            <w:r>
              <w:rPr>
                <w:rFonts w:hint="eastAsia" w:ascii="宋体" w:hAnsi="宋体" w:eastAsia="宋体" w:cs="宋体"/>
                <w:color w:val="000000"/>
                <w:sz w:val="24"/>
                <w:szCs w:val="24"/>
                <w:lang w:val="en-US"/>
              </w:rPr>
            </w:r>
            <w:r/>
          </w:p>
          <w:p>
            <w:pPr>
              <w:pStyle w:val="1111"/>
              <w:numPr>
                <w:ilvl w:val="0"/>
                <w:numId w:val="15"/>
              </w:numPr>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人机交互课程教学与资源管理平台建设方案：提供平台整体架构、课程教学管理、虚拟仿真实验及数据资源管理的建设方案； </w:t>
            </w:r>
            <w:r>
              <w:rPr>
                <w:rFonts w:hint="eastAsia" w:ascii="宋体" w:hAnsi="宋体" w:eastAsia="宋体" w:cs="宋体"/>
                <w:color w:val="000000"/>
                <w:sz w:val="24"/>
                <w:szCs w:val="24"/>
                <w:lang w:val="en-US"/>
              </w:rPr>
            </w:r>
            <w:r/>
          </w:p>
          <w:p>
            <w:pPr>
              <w:pStyle w:val="1111"/>
              <w:numPr>
                <w:ilvl w:val="0"/>
                <w:numId w:val="15"/>
              </w:numPr>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展示中心智能环境配套系统建设方案：对展示收纳、作品展示、设备体验、学生交流及空间分区等功能进行整体规划；并提供平面布置图或深化设计示意图。</w:t>
            </w:r>
            <w:r>
              <w:rPr>
                <w:rFonts w:hint="eastAsia" w:ascii="宋体" w:hAnsi="宋体" w:eastAsia="宋体" w:cs="宋体"/>
                <w:color w:val="000000"/>
                <w:sz w:val="24"/>
                <w:szCs w:val="24"/>
                <w:lang w:val="en-US"/>
              </w:rPr>
            </w:r>
            <w:r/>
          </w:p>
          <w:p>
            <w:pPr>
              <w:pStyle w:val="1111"/>
              <w:numPr>
                <w:ilvl w:val="0"/>
                <w:numId w:val="15"/>
              </w:numPr>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3D工坊智能环境配套系统建设方案：针对3D工坊结合3D打印、3D扫描、三维模型设计及教学实训需求进行布局设计；说明设备承载、操作空间、模型成果展示方式，并提供平面布置或深化设计示意。</w:t>
            </w:r>
            <w:r>
              <w:rPr>
                <w:rFonts w:hint="eastAsia" w:ascii="宋体" w:hAnsi="宋体" w:eastAsia="宋体" w:cs="宋体"/>
                <w:color w:val="000000"/>
                <w:sz w:val="24"/>
                <w:szCs w:val="24"/>
                <w:lang w:val="en-US"/>
              </w:rPr>
            </w:r>
            <w:r/>
          </w:p>
          <w:p>
            <w:pPr>
              <w:pStyle w:val="1111"/>
              <w:rPr>
                <w:rFonts w:hint="eastAsia" w:ascii="宋体" w:hAnsi="宋体" w:eastAsia="宋体" w:cs="宋体"/>
                <w:b/>
                <w:bCs/>
                <w:color w:val="000000"/>
                <w:sz w:val="24"/>
                <w:szCs w:val="24"/>
                <w:lang w:val="en-US"/>
              </w:rPr>
            </w:pPr>
            <w:r>
              <w:rPr>
                <w:rFonts w:hint="eastAsia" w:ascii="宋体" w:hAnsi="宋体" w:eastAsia="宋体" w:cs="宋体"/>
                <w:b/>
                <w:bCs/>
                <w:color w:val="000000"/>
                <w:sz w:val="24"/>
                <w:szCs w:val="24"/>
                <w:lang w:val="en-US"/>
              </w:rPr>
              <w:t xml:space="preserve">评分标准：</w:t>
            </w:r>
            <w:r>
              <w:rPr>
                <w:rFonts w:hint="eastAsia" w:ascii="宋体" w:hAnsi="宋体" w:eastAsia="宋体" w:cs="宋体"/>
                <w:b/>
                <w:bCs/>
                <w:color w:val="000000"/>
                <w:sz w:val="24"/>
                <w:szCs w:val="24"/>
                <w:lang w:val="en-US"/>
              </w:rPr>
            </w:r>
            <w:r/>
          </w:p>
          <w:p>
            <w:pPr>
              <w:pStyle w:val="111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方案完整覆盖上述建设内容，对项目总体架构及各子系统建设均进行了详细设计；软硬件关系、空间布局、教学应用、系统对接及实施流程清晰，提供必要的系统架构图、设备部署图、空间布置图或流程图；方案与本项目实际需求高度匹配，技术路线明确，实施步骤具体，具有较强的可操作性和可落地性，得</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111"/>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方案基本覆盖上述建设内容，对主要系统架构、设备部署、空间建设及平台应用有较详细说明；整体技术路线合理，实施流程较清晰，但部分子系统的深化设计、系统协同关系或实施细节描述不够充分，得</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rPr>
            </w:r>
            <w:r/>
          </w:p>
          <w:p>
            <w:pPr>
              <w:pStyle w:val="111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提供了项目技术及实施方案，基本涉及主要建设内容，但方案针对性一般，对部分系统仅进行原则性描述；系统架构、空间布局、教学应用、软硬件协同或实施过程中的具体措施存在明显不足，得</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11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rPr>
              <w:t xml:space="preserve">方案内容较简单，与本项目实际建设需求结合程度较低；多数内容为通用描述，缺少针对主要子系统的具体设计、布局、对接或实施措施，难以充分体现项目实施可行性，得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val="en-US"/>
              </w:rPr>
              <w:t xml:space="preserve">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r>
            <w:r/>
          </w:p>
          <w:p>
            <w:pPr>
              <w:pStyle w:val="1111"/>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rPr>
              <w:t xml:space="preserve">未提供项目实施及技术方案</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lang w:val="en-US"/>
              </w:rPr>
              <w:t xml:space="preserve">此项不得分。</w:t>
            </w:r>
            <w:r>
              <w:rPr>
                <w:rFonts w:hint="eastAsia" w:ascii="宋体" w:hAnsi="宋体" w:eastAsia="宋体" w:cs="宋体"/>
                <w:color w:val="000000"/>
                <w:sz w:val="24"/>
                <w:szCs w:val="24"/>
                <w:highlight w:val="none"/>
                <w:lang w:val="en-US" w:eastAsia="zh-CN"/>
              </w:rPr>
            </w:r>
            <w:r/>
          </w:p>
        </w:tc>
        <w:tc>
          <w:tcPr>
            <w:tcW w:w="393" w:type="dxa"/>
            <w:vAlign w:val="center"/>
            <w:textDirection w:val="lrTb"/>
            <w:noWrap w:val="false"/>
          </w:tcPr>
          <w:p>
            <w:pPr>
              <w:pStyle w:val="1111"/>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12</w:t>
            </w:r>
            <w:r>
              <w:rPr>
                <w:rFonts w:ascii="宋体" w:hAnsi="宋体" w:eastAsia="宋体" w:cs="宋体"/>
                <w:color w:val="000000"/>
                <w:sz w:val="24"/>
                <w:szCs w:val="24"/>
                <w:highlight w:val="none"/>
                <w:lang w:val="en-US" w:eastAsia="zh-CN"/>
              </w:rPr>
            </w:r>
            <w:r/>
          </w:p>
        </w:tc>
      </w:tr>
      <w:tr>
        <w:trPr>
          <w:trHeight w:val="1648"/>
        </w:trPr>
        <w:tc>
          <w:tcPr>
            <w:tcW w:w="404"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2</w:t>
            </w:r>
            <w:r>
              <w:rPr>
                <w:rFonts w:hint="eastAsia" w:ascii="宋体" w:hAnsi="宋体" w:eastAsia="宋体" w:cs="宋体"/>
                <w:color w:val="000000"/>
                <w:sz w:val="24"/>
                <w:szCs w:val="24"/>
                <w:highlight w:val="none"/>
                <w:lang w:val="en-US"/>
              </w:rPr>
            </w:r>
            <w:r/>
          </w:p>
        </w:tc>
        <w:tc>
          <w:tcPr>
            <w:tcW w:w="633"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rPr>
              <w:t xml:space="preserve">培训方案</w:t>
            </w:r>
            <w:r>
              <w:rPr>
                <w:rFonts w:hint="eastAsia" w:ascii="宋体" w:hAnsi="宋体" w:eastAsia="宋体" w:cs="宋体"/>
                <w:color w:val="000000"/>
                <w:sz w:val="24"/>
                <w:szCs w:val="24"/>
                <w:highlight w:val="none"/>
                <w:lang w:val="en-US"/>
              </w:rPr>
            </w:r>
            <w:r/>
          </w:p>
        </w:tc>
        <w:tc>
          <w:tcPr>
            <w:gridSpan w:val="2"/>
            <w:tcW w:w="7072" w:type="dxa"/>
            <w:vAlign w:val="center"/>
            <w:textDirection w:val="lrTb"/>
            <w:noWrap w:val="false"/>
          </w:tcPr>
          <w:p>
            <w:pPr>
              <w:pStyle w:val="1111"/>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lang w:val="en-US"/>
              </w:rPr>
              <w:t xml:space="preserve">投标人应根据采购文件要求制定详细的培训方案，至少包含培训内容、培训人数、培训方式、培训实施时间和计划等方面进行评审：</w:t>
            </w:r>
            <w:r>
              <w:rPr>
                <w:rFonts w:hint="eastAsia" w:ascii="宋体" w:hAnsi="宋体" w:eastAsia="宋体" w:cs="宋体"/>
                <w:color w:val="000000"/>
                <w:sz w:val="24"/>
                <w:szCs w:val="24"/>
                <w:lang w:val="en-US"/>
              </w:rPr>
              <w:br w:type="textWrapping" w:clear="all"/>
            </w:r>
            <w:r>
              <w:rPr>
                <w:rFonts w:hint="eastAsia" w:ascii="宋体" w:hAnsi="宋体" w:eastAsia="宋体" w:cs="宋体"/>
                <w:color w:val="000000"/>
                <w:sz w:val="24"/>
                <w:szCs w:val="24"/>
                <w:lang w:val="en-US"/>
              </w:rPr>
              <w:t xml:space="preserve">方案内容精细详尽、可操作性强的，得3分；</w:t>
            </w:r>
            <w:r>
              <w:rPr>
                <w:rFonts w:hint="eastAsia" w:ascii="宋体" w:hAnsi="宋体" w:eastAsia="宋体" w:cs="宋体"/>
                <w:color w:val="000000"/>
                <w:sz w:val="24"/>
                <w:szCs w:val="24"/>
                <w:lang w:val="en-US"/>
              </w:rPr>
              <w:br w:type="textWrapping" w:clear="all"/>
            </w:r>
            <w:r>
              <w:rPr>
                <w:rFonts w:hint="eastAsia" w:ascii="宋体" w:hAnsi="宋体" w:eastAsia="宋体" w:cs="宋体"/>
                <w:color w:val="000000"/>
                <w:sz w:val="24"/>
                <w:szCs w:val="24"/>
                <w:lang w:val="en-US"/>
              </w:rPr>
              <w:t xml:space="preserve">方案内容基本完整但可操作性一般的，得2分；</w:t>
            </w:r>
            <w:r>
              <w:rPr>
                <w:rFonts w:hint="eastAsia" w:ascii="宋体" w:hAnsi="宋体" w:eastAsia="宋体" w:cs="宋体"/>
                <w:color w:val="000000"/>
                <w:sz w:val="24"/>
                <w:szCs w:val="24"/>
                <w:lang w:val="en-US"/>
              </w:rPr>
              <w:br w:type="textWrapping" w:clear="all"/>
            </w:r>
            <w:r>
              <w:rPr>
                <w:rFonts w:hint="eastAsia" w:ascii="宋体" w:hAnsi="宋体" w:eastAsia="宋体" w:cs="宋体"/>
                <w:color w:val="000000"/>
                <w:sz w:val="24"/>
                <w:szCs w:val="24"/>
                <w:lang w:val="en-US"/>
              </w:rPr>
              <w:t xml:space="preserve">方案存在明显缺陷且难以实施的，得1分；</w:t>
            </w:r>
            <w:r>
              <w:rPr>
                <w:rFonts w:hint="eastAsia" w:ascii="宋体" w:hAnsi="宋体" w:eastAsia="宋体" w:cs="宋体"/>
                <w:color w:val="000000"/>
                <w:sz w:val="24"/>
                <w:szCs w:val="24"/>
                <w:lang w:val="en-US"/>
              </w:rPr>
              <w:br w:type="textWrapping" w:clear="all"/>
            </w:r>
            <w:r>
              <w:rPr>
                <w:rFonts w:hint="eastAsia" w:ascii="宋体" w:hAnsi="宋体" w:eastAsia="宋体" w:cs="宋体"/>
                <w:color w:val="000000"/>
                <w:sz w:val="24"/>
                <w:szCs w:val="24"/>
                <w:lang w:val="en-US"/>
              </w:rPr>
              <w:t xml:space="preserve">未提供不得分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r>
            <w:r/>
          </w:p>
        </w:tc>
        <w:tc>
          <w:tcPr>
            <w:tcW w:w="393" w:type="dxa"/>
            <w:vAlign w:val="center"/>
            <w:textDirection w:val="lrTb"/>
            <w:noWrap w:val="false"/>
          </w:tcPr>
          <w:p>
            <w:pPr>
              <w:pStyle w:val="111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highlight w:val="none"/>
                <w:lang w:val="en-US" w:eastAsia="zh-CN"/>
              </w:rPr>
            </w:r>
            <w:r/>
          </w:p>
        </w:tc>
      </w:tr>
      <w:tr>
        <w:trPr>
          <w:trHeight w:val="90"/>
        </w:trPr>
        <w:tc>
          <w:tcPr>
            <w:tcW w:w="404"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3</w:t>
            </w:r>
            <w:r>
              <w:rPr>
                <w:rFonts w:hint="eastAsia" w:ascii="宋体" w:hAnsi="宋体" w:eastAsia="宋体" w:cs="宋体"/>
                <w:color w:val="000000"/>
                <w:sz w:val="24"/>
                <w:szCs w:val="24"/>
                <w:highlight w:val="none"/>
                <w:lang w:val="en-US"/>
              </w:rPr>
            </w:r>
            <w:r/>
          </w:p>
        </w:tc>
        <w:tc>
          <w:tcPr>
            <w:tcW w:w="633"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rPr>
              <w:t xml:space="preserve">售后服务方案</w:t>
            </w:r>
            <w:r>
              <w:rPr>
                <w:rFonts w:hint="eastAsia" w:ascii="宋体" w:hAnsi="宋体" w:eastAsia="宋体" w:cs="宋体"/>
                <w:color w:val="000000"/>
                <w:sz w:val="24"/>
                <w:szCs w:val="24"/>
                <w:highlight w:val="none"/>
                <w:lang w:val="en-US"/>
              </w:rPr>
            </w:r>
            <w:r/>
          </w:p>
        </w:tc>
        <w:tc>
          <w:tcPr>
            <w:gridSpan w:val="2"/>
            <w:tcW w:w="7072" w:type="dxa"/>
            <w:vAlign w:val="center"/>
            <w:textDirection w:val="lrTb"/>
            <w:noWrap w:val="false"/>
          </w:tcPr>
          <w:p>
            <w:pPr>
              <w:pStyle w:val="1111"/>
              <w:rPr>
                <w:rFonts w:hint="eastAsia" w:ascii="宋体" w:hAnsi="宋体" w:eastAsia="宋体" w:cs="宋体"/>
                <w:color w:val="000000"/>
                <w:sz w:val="24"/>
                <w:szCs w:val="24"/>
                <w:highlight w:val="none"/>
                <w:lang w:val="en-US"/>
              </w:rPr>
            </w:pPr>
            <w:r>
              <w:rPr>
                <w:rFonts w:hint="eastAsia" w:ascii="宋体" w:hAnsi="宋体" w:eastAsia="宋体" w:cs="宋体"/>
                <w:b/>
                <w:bCs/>
                <w:color w:val="000000"/>
                <w:sz w:val="24"/>
                <w:szCs w:val="24"/>
                <w:lang w:val="en-US" w:eastAsia="zh-CN"/>
              </w:rPr>
              <w:t xml:space="preserve">评委</w:t>
            </w:r>
            <w:r>
              <w:rPr>
                <w:rFonts w:hint="eastAsia" w:ascii="宋体" w:hAnsi="宋体" w:eastAsia="宋体" w:cs="宋体"/>
                <w:b/>
                <w:bCs/>
                <w:color w:val="000000"/>
                <w:sz w:val="24"/>
                <w:szCs w:val="24"/>
                <w:lang w:val="en-US"/>
              </w:rPr>
              <w:t xml:space="preserve">根据投标人提供的售后服务体系、售后服务人员、售后服务承诺、售后服务应答及处理时间，质保期内的售后服务范围、质保期满后的售后服务范围进行打分。</w:t>
            </w:r>
            <w:r>
              <w:rPr>
                <w:rFonts w:hint="eastAsia" w:ascii="宋体" w:hAnsi="宋体" w:eastAsia="宋体" w:cs="宋体"/>
                <w:color w:val="000000"/>
                <w:sz w:val="24"/>
                <w:szCs w:val="24"/>
                <w:lang w:val="en-US"/>
              </w:rPr>
              <w:br w:type="textWrapping" w:clear="all"/>
            </w:r>
            <w:r>
              <w:rPr>
                <w:rFonts w:hint="eastAsia" w:ascii="宋体" w:hAnsi="宋体" w:eastAsia="宋体" w:cs="宋体"/>
                <w:color w:val="000000"/>
                <w:sz w:val="24"/>
                <w:szCs w:val="24"/>
                <w:lang w:val="en-US"/>
              </w:rPr>
              <w:t xml:space="preserve">方案详细，可操作性强，完全满足项目需要的，得3分；</w:t>
            </w:r>
            <w:r>
              <w:rPr>
                <w:rFonts w:hint="eastAsia" w:ascii="宋体" w:hAnsi="宋体" w:eastAsia="宋体" w:cs="宋体"/>
                <w:color w:val="000000"/>
                <w:sz w:val="24"/>
                <w:szCs w:val="24"/>
                <w:lang w:val="en-US"/>
              </w:rPr>
              <w:br w:type="textWrapping" w:clear="all"/>
            </w:r>
            <w:r>
              <w:rPr>
                <w:rFonts w:hint="eastAsia" w:ascii="宋体" w:hAnsi="宋体" w:eastAsia="宋体" w:cs="宋体"/>
                <w:color w:val="000000"/>
                <w:sz w:val="24"/>
                <w:szCs w:val="24"/>
                <w:lang w:val="en-US"/>
              </w:rPr>
              <w:t xml:space="preserve">方案较详细，可操作性较强，基本满足项目需求，略有欠缺需要完善的，得2分；</w:t>
            </w:r>
            <w:r>
              <w:rPr>
                <w:rFonts w:hint="eastAsia" w:ascii="宋体" w:hAnsi="宋体" w:eastAsia="宋体" w:cs="宋体"/>
                <w:color w:val="000000"/>
                <w:sz w:val="24"/>
                <w:szCs w:val="24"/>
                <w:lang w:val="en-US"/>
              </w:rPr>
              <w:br w:type="textWrapping" w:clear="all"/>
            </w:r>
            <w:r>
              <w:rPr>
                <w:rFonts w:hint="eastAsia" w:ascii="宋体" w:hAnsi="宋体" w:eastAsia="宋体" w:cs="宋体"/>
                <w:color w:val="000000"/>
                <w:sz w:val="24"/>
                <w:szCs w:val="24"/>
                <w:lang w:val="en-US"/>
              </w:rPr>
              <w:t xml:space="preserve">方案不够详细，可操作性一般，不能较好满足项目需要的，得1分；</w:t>
            </w:r>
            <w:r>
              <w:rPr>
                <w:rFonts w:hint="eastAsia" w:ascii="宋体" w:hAnsi="宋体" w:eastAsia="宋体" w:cs="宋体"/>
                <w:color w:val="000000"/>
                <w:sz w:val="24"/>
                <w:szCs w:val="24"/>
                <w:lang w:val="en-US"/>
              </w:rPr>
              <w:br w:type="textWrapping" w:clear="all"/>
            </w:r>
            <w:r>
              <w:rPr>
                <w:rFonts w:hint="eastAsia" w:ascii="宋体" w:hAnsi="宋体" w:eastAsia="宋体" w:cs="宋体"/>
                <w:color w:val="000000"/>
                <w:sz w:val="24"/>
                <w:szCs w:val="24"/>
                <w:lang w:val="en-US"/>
              </w:rPr>
              <w:t xml:space="preserve">未描述或者完全不能满足项目需要的，得0分。</w:t>
            </w:r>
            <w:r>
              <w:rPr>
                <w:rFonts w:hint="eastAsia" w:ascii="宋体" w:hAnsi="宋体" w:eastAsia="宋体" w:cs="宋体"/>
                <w:color w:val="000000"/>
                <w:sz w:val="24"/>
                <w:szCs w:val="24"/>
                <w:highlight w:val="none"/>
                <w:lang w:val="en-US"/>
              </w:rPr>
            </w:r>
            <w:r/>
          </w:p>
        </w:tc>
        <w:tc>
          <w:tcPr>
            <w:tcW w:w="393" w:type="dxa"/>
            <w:vAlign w:val="center"/>
            <w:textDirection w:val="lrTb"/>
            <w:noWrap w:val="false"/>
          </w:tcPr>
          <w:p>
            <w:pPr>
              <w:pStyle w:val="111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rPr>
              <w:t xml:space="preserve">3</w:t>
            </w:r>
            <w:r>
              <w:rPr>
                <w:rFonts w:hint="eastAsia" w:ascii="宋体" w:hAnsi="宋体" w:eastAsia="宋体" w:cs="宋体"/>
                <w:color w:val="000000"/>
                <w:sz w:val="24"/>
                <w:szCs w:val="24"/>
                <w:highlight w:val="none"/>
                <w:lang w:val="en-US" w:eastAsia="zh-CN"/>
              </w:rPr>
            </w:r>
            <w:r/>
          </w:p>
        </w:tc>
      </w:tr>
      <w:tr>
        <w:trPr>
          <w:trHeight w:val="583"/>
        </w:trPr>
        <w:tc>
          <w:tcPr>
            <w:tcW w:w="404"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rPr>
              <w:t xml:space="preserve">4</w:t>
            </w:r>
            <w:r>
              <w:rPr>
                <w:rFonts w:hint="eastAsia" w:ascii="宋体" w:hAnsi="宋体" w:eastAsia="宋体" w:cs="宋体"/>
                <w:color w:val="000000"/>
                <w:sz w:val="24"/>
                <w:szCs w:val="24"/>
                <w:highlight w:val="none"/>
                <w:lang w:val="en-US"/>
              </w:rPr>
            </w:r>
            <w:r/>
          </w:p>
        </w:tc>
        <w:tc>
          <w:tcPr>
            <w:tcW w:w="633" w:type="dxa"/>
            <w:vAlign w:val="center"/>
            <w:textDirection w:val="lrTb"/>
            <w:noWrap w:val="false"/>
          </w:tcPr>
          <w:p>
            <w:pPr>
              <w:pStyle w:val="1111"/>
              <w:jc w:val="center"/>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lang w:val="en-US"/>
              </w:rPr>
              <w:t xml:space="preserve">现场演示</w:t>
            </w:r>
            <w:r>
              <w:rPr>
                <w:rFonts w:hint="eastAsia" w:ascii="宋体" w:hAnsi="宋体" w:eastAsia="宋体" w:cs="宋体"/>
                <w:color w:val="000000"/>
                <w:sz w:val="24"/>
                <w:szCs w:val="24"/>
                <w:highlight w:val="none"/>
                <w:lang w:val="en-US"/>
              </w:rPr>
            </w:r>
            <w:r/>
          </w:p>
        </w:tc>
        <w:tc>
          <w:tcPr>
            <w:gridSpan w:val="2"/>
            <w:tcW w:w="7072" w:type="dxa"/>
            <w:vAlign w:val="center"/>
            <w:textDirection w:val="lrTb"/>
            <w:noWrap w:val="false"/>
          </w:tcPr>
          <w:p>
            <w:pPr>
              <w:pStyle w:val="918"/>
              <w:rPr>
                <w:rFonts w:hint="eastAsia" w:ascii="宋体" w:hAnsi="宋体" w:eastAsia="宋体" w:cs="宋体"/>
                <w:color w:val="000000"/>
                <w:sz w:val="24"/>
              </w:rPr>
            </w:pPr>
            <w:r>
              <w:rPr>
                <w:rFonts w:hint="eastAsia" w:ascii="宋体" w:hAnsi="宋体" w:eastAsia="宋体" w:cs="宋体"/>
                <w:color w:val="000000"/>
                <w:sz w:val="24"/>
              </w:rPr>
              <w:t xml:space="preserve">投标人根据采购招标文件的采购清单中的详细技术指标进行功能演示。</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b/>
                <w:bCs/>
                <w:color w:val="000000"/>
                <w:sz w:val="24"/>
              </w:rPr>
              <w:t xml:space="preserve">演示内容1：</w:t>
            </w:r>
            <w:r>
              <w:rPr>
                <w:rFonts w:hint="eastAsia" w:ascii="宋体" w:hAnsi="宋体" w:eastAsia="宋体" w:cs="宋体"/>
                <w:color w:val="000000"/>
                <w:sz w:val="24"/>
              </w:rPr>
              <w:t xml:space="preserve"> 要求演示虚拟仿真实验课程的场景展示、实验交互及任务设计等功能，演示内容应与采购需求中虚拟仿真课程脚本一、课程脚本二相对应。每门课程满分3分，两门课程合计6分。具体评分要求如下：</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（1）课程场景与教学内容展示： 演示课程的实验场景、教学目标、功能模块及基本实验流程，展示课程整体设计框架及主要教学内容。演示内容与对应课程脚本要求相符的得1分，否则不得分。</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（2）虚拟实验交互功能： 演示课程中至少1项典型实验交互操作，能够在三维仿真场景中进行对象选择、参数调整、场景切换或实验操作，并展示相应的交互反馈或结果变化。满足要求的得1分，否则不得分。</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（3）实验任务及成果展示： 演示课程实验任务的设计内容及实施流程，每门课程应包含不少于3个可独立完成的实验任务，并能够展示实验操作步骤、任务结果或实验报告等相关内容。满足要求的得1分，否则不得分。</w:t>
            </w:r>
            <w:r>
              <w:rPr>
                <w:rFonts w:hint="eastAsia" w:ascii="宋体" w:hAnsi="宋体" w:eastAsia="宋体" w:cs="宋体"/>
                <w:color w:val="000000"/>
                <w:sz w:val="24"/>
              </w:rPr>
            </w:r>
            <w:r/>
          </w:p>
          <w:p>
            <w:pPr>
              <w:pStyle w:val="918"/>
              <w:rPr>
                <w:rFonts w:hint="eastAsia" w:ascii="宋体" w:hAnsi="宋体" w:eastAsia="宋体" w:cs="宋体"/>
                <w:color w:val="000000"/>
                <w:sz w:val="24"/>
                <w:szCs w:val="24"/>
              </w:rPr>
            </w:pPr>
            <w:r>
              <w:rPr>
                <w:rFonts w:hint="eastAsia" w:ascii="宋体" w:hAnsi="宋体" w:eastAsia="宋体" w:cs="宋体"/>
                <w:b/>
                <w:bCs/>
                <w:color w:val="000000"/>
                <w:sz w:val="24"/>
              </w:rPr>
              <w:t xml:space="preserve">演示内容2：</w:t>
            </w:r>
            <w:r>
              <w:rPr>
                <w:rFonts w:hint="eastAsia" w:ascii="宋体" w:hAnsi="宋体" w:eastAsia="宋体" w:cs="宋体"/>
                <w:color w:val="000000"/>
                <w:sz w:val="24"/>
                <w:szCs w:val="24"/>
              </w:rPr>
              <w:t xml:space="preserve"> 要求演示AR交互展示台部分核心功能，每满足1项得1分，满分3分；未演示或对应功能演示不完整的，该项不得分。</w:t>
            </w:r>
            <w:r>
              <w:rPr>
                <w:rFonts w:hint="eastAsia" w:ascii="宋体" w:hAnsi="宋体" w:eastAsia="宋体" w:cs="宋体"/>
                <w:color w:val="000000"/>
                <w:sz w:val="24"/>
                <w:szCs w:val="24"/>
              </w:rPr>
            </w:r>
            <w:r/>
          </w:p>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（1）识别控制模块可于电容触控设备进行智能实体模块捕捉与交互识别，实现实体模块的位置移动、360度旋转等动作识别，可同时支持多个实体模块同时识别操作使用。</w:t>
            </w:r>
            <w:r>
              <w:rPr>
                <w:rFonts w:hint="eastAsia" w:ascii="宋体" w:hAnsi="宋体" w:eastAsia="宋体" w:cs="宋体"/>
                <w:color w:val="000000"/>
                <w:sz w:val="24"/>
                <w:szCs w:val="24"/>
              </w:rPr>
            </w:r>
            <w:r/>
          </w:p>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（2）演示第一人称视角三维场景交互，能够通过实体识别件或触控操作实现定位、移动及视角旋转。</w:t>
            </w:r>
            <w:r>
              <w:rPr>
                <w:rFonts w:hint="eastAsia" w:ascii="宋体" w:hAnsi="宋体" w:eastAsia="宋体" w:cs="宋体"/>
                <w:color w:val="000000"/>
                <w:sz w:val="24"/>
                <w:szCs w:val="24"/>
              </w:rPr>
            </w:r>
            <w:r/>
          </w:p>
          <w:p>
            <w:pPr>
              <w:pStyle w:val="91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（3）演示手指触控与实体识别件两种交互方式，两种方式能够分别或组合用于数字内容操作。</w:t>
            </w:r>
            <w:r>
              <w:rPr>
                <w:rFonts w:hint="eastAsia" w:ascii="宋体" w:hAnsi="宋体" w:eastAsia="宋体" w:cs="宋体"/>
                <w:color w:val="000000"/>
                <w:sz w:val="24"/>
                <w:szCs w:val="24"/>
              </w:rPr>
            </w:r>
            <w:r/>
          </w:p>
          <w:p>
            <w:pPr>
              <w:pStyle w:val="918"/>
              <w:rPr>
                <w:rFonts w:hint="eastAsia" w:ascii="宋体" w:hAnsi="宋体" w:eastAsia="宋体" w:cs="宋体"/>
                <w:color w:val="000000"/>
                <w:sz w:val="24"/>
              </w:rPr>
            </w:pPr>
            <w:r>
              <w:rPr>
                <w:rFonts w:hint="eastAsia" w:ascii="宋体" w:hAnsi="宋体" w:eastAsia="宋体" w:cs="宋体"/>
                <w:b/>
                <w:bCs/>
                <w:color w:val="000000"/>
                <w:sz w:val="24"/>
              </w:rPr>
              <w:t xml:space="preserve">演示内容3</w:t>
            </w:r>
            <w:r>
              <w:rPr>
                <w:rFonts w:hint="eastAsia" w:ascii="宋体" w:hAnsi="宋体" w:eastAsia="宋体" w:cs="宋体"/>
                <w:color w:val="000000"/>
                <w:sz w:val="24"/>
              </w:rPr>
              <w:t xml:space="preserve">：要求演示数据资源管理平台的资源使用统计及三维模型在线预览功能，共2项，每项满分2分，合计4分。具体评分要求如下：</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（1）资源使用统计与排行功能：</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① 演示资源使用情况统计功能，能够对平台内数字资源的浏览、收藏、下载、点赞等使用数据中的不少于2项进行统计与展示，满足要求得1分，否则不得分。</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② 演示资源热度排行功能，能够根据资源使用统计数据形成热门资源排行榜，并展示对应资源名称、统计指标或使用数量等信息，满足要求得1分，否则不得分。</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（2）三维模型在线预览功能（2分）：</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① 演示平台内三维模型资产的在线加载与预览功能，能够通过鼠标或其他交互方式实现模型旋转、缩放等操作，满足要求得1分，否则不得分。</w:t>
            </w:r>
            <w:r>
              <w:rPr>
                <w:rFonts w:hint="eastAsia" w:ascii="宋体" w:hAnsi="宋体" w:eastAsia="宋体" w:cs="宋体"/>
                <w:color w:val="000000"/>
                <w:sz w:val="24"/>
              </w:rPr>
            </w:r>
            <w:r/>
          </w:p>
          <w:p>
            <w:pPr>
              <w:pStyle w:val="918"/>
              <w:rPr>
                <w:rFonts w:hint="eastAsia" w:ascii="宋体" w:hAnsi="宋体" w:eastAsia="宋体" w:cs="宋体"/>
                <w:color w:val="000000"/>
                <w:sz w:val="24"/>
              </w:rPr>
            </w:pPr>
            <w:r>
              <w:rPr>
                <w:rFonts w:hint="eastAsia" w:ascii="宋体" w:hAnsi="宋体" w:eastAsia="宋体" w:cs="宋体"/>
                <w:color w:val="000000"/>
                <w:sz w:val="24"/>
              </w:rPr>
              <w:t xml:space="preserve">② 演示三维模型的多模式显示功能，能够在白模、拓扑、法线、材质/反射或等效模型显示模式中切换展示不少于3种模式，满足要求得1分，否则不得分。</w:t>
            </w:r>
            <w:r>
              <w:rPr>
                <w:rFonts w:hint="eastAsia" w:ascii="宋体" w:hAnsi="宋体" w:eastAsia="宋体" w:cs="宋体"/>
                <w:color w:val="000000"/>
                <w:sz w:val="24"/>
              </w:rPr>
            </w:r>
            <w:r/>
          </w:p>
          <w:p>
            <w:pPr>
              <w:pStyle w:val="918"/>
              <w:rPr>
                <w:rFonts w:hint="eastAsia" w:ascii="宋体" w:hAnsi="宋体" w:eastAsia="宋体" w:cs="宋体"/>
                <w:b/>
                <w:bCs/>
                <w:color w:val="000000"/>
                <w:sz w:val="24"/>
              </w:rPr>
            </w:pPr>
            <w:r>
              <w:rPr>
                <w:rFonts w:hint="eastAsia" w:ascii="宋体" w:hAnsi="宋体" w:eastAsia="宋体" w:cs="宋体"/>
                <w:b/>
                <w:bCs/>
                <w:color w:val="000000"/>
                <w:sz w:val="24"/>
              </w:rPr>
              <w:t xml:space="preserve">演示要求： </w:t>
            </w:r>
            <w:r>
              <w:rPr>
                <w:rFonts w:hint="eastAsia" w:ascii="宋体" w:hAnsi="宋体" w:eastAsia="宋体" w:cs="宋体"/>
                <w:b/>
                <w:bCs/>
                <w:color w:val="000000"/>
                <w:sz w:val="24"/>
              </w:rPr>
            </w:r>
            <w:r/>
          </w:p>
          <w:p>
            <w:pPr>
              <w:pStyle w:val="918"/>
              <w:rPr>
                <w:rFonts w:hint="eastAsia" w:ascii="宋体" w:hAnsi="宋体" w:eastAsia="宋体" w:cs="宋体"/>
                <w:b/>
                <w:bCs/>
                <w:color w:val="000000"/>
                <w:sz w:val="24"/>
              </w:rPr>
            </w:pPr>
            <w:r>
              <w:rPr>
                <w:rFonts w:hint="eastAsia" w:ascii="宋体" w:hAnsi="宋体" w:eastAsia="宋体" w:cs="宋体"/>
                <w:b/>
                <w:bCs/>
                <w:color w:val="000000"/>
                <w:sz w:val="24"/>
              </w:rPr>
              <w:t xml:space="preserve">1.供应商根据需按照招标文件规定的演示内容制作演示视频文件，演示视频中的演示形式须是目前正在运行的真实环境或模拟环境，演示时间不超过15分钟，需在“苏采云”系统演示文件入口按系统要求上传演示文件，文件上传方式见《苏采云系统供应商操作手册》规定，上传的演示视频将作为投标文件的组成部分。</w:t>
            </w:r>
            <w:r>
              <w:rPr>
                <w:rFonts w:hint="eastAsia" w:ascii="宋体" w:hAnsi="宋体" w:eastAsia="宋体" w:cs="宋体"/>
                <w:b/>
                <w:bCs/>
                <w:color w:val="000000"/>
                <w:sz w:val="24"/>
              </w:rPr>
            </w:r>
            <w:r/>
          </w:p>
          <w:p>
            <w:pPr>
              <w:pStyle w:val="918"/>
              <w:rPr>
                <w:rFonts w:hint="eastAsia" w:ascii="宋体" w:hAnsi="宋体" w:eastAsia="宋体" w:cs="宋体"/>
                <w:b/>
                <w:bCs/>
                <w:color w:val="000000"/>
                <w:sz w:val="24"/>
              </w:rPr>
            </w:pPr>
            <w:r>
              <w:rPr>
                <w:rFonts w:hint="eastAsia" w:ascii="宋体" w:hAnsi="宋体" w:eastAsia="宋体" w:cs="宋体"/>
                <w:b/>
                <w:bCs/>
                <w:color w:val="000000"/>
                <w:sz w:val="24"/>
              </w:rPr>
              <w:t xml:space="preserve">2.单个视频附件压缩包大小不得超过50M，整体附件压缩包不得超过300M，视频文件格式建议采用MP4或AVI格式。</w:t>
            </w:r>
            <w:r>
              <w:rPr>
                <w:rFonts w:hint="eastAsia" w:ascii="宋体" w:hAnsi="宋体" w:eastAsia="宋体" w:cs="宋体"/>
                <w:b/>
                <w:bCs/>
                <w:color w:val="000000"/>
                <w:sz w:val="24"/>
              </w:rPr>
            </w:r>
            <w:r/>
          </w:p>
          <w:p>
            <w:pPr>
              <w:pStyle w:val="918"/>
              <w:rPr>
                <w:rFonts w:hint="eastAsia" w:ascii="宋体" w:hAnsi="宋体" w:eastAsia="宋体" w:cs="宋体"/>
                <w:color w:val="000000"/>
                <w:sz w:val="24"/>
                <w:szCs w:val="24"/>
                <w:highlight w:val="none"/>
                <w:lang w:val="en-US"/>
              </w:rPr>
            </w:pPr>
            <w:r>
              <w:rPr>
                <w:rFonts w:hint="eastAsia" w:ascii="宋体" w:hAnsi="宋体" w:eastAsia="宋体" w:cs="宋体"/>
                <w:b/>
                <w:bCs/>
                <w:color w:val="000000"/>
                <w:sz w:val="24"/>
              </w:rPr>
              <w:t xml:space="preserve">3.演示内容确保真实且作为项目履约验收的重要参考依据。因供应商上传文件本身损坏等自身原因导致演示资料无法正常读取的视为无效演示，本项不得分，由供应商自行承担责任。</w:t>
            </w:r>
            <w:r>
              <w:rPr>
                <w:rFonts w:hint="eastAsia" w:ascii="宋体" w:hAnsi="宋体" w:eastAsia="宋体" w:cs="宋体"/>
                <w:color w:val="000000"/>
                <w:sz w:val="24"/>
                <w:szCs w:val="24"/>
                <w:highlight w:val="none"/>
                <w:lang w:val="en-US"/>
              </w:rPr>
            </w:r>
            <w:r/>
          </w:p>
        </w:tc>
        <w:tc>
          <w:tcPr>
            <w:tcW w:w="393" w:type="dxa"/>
            <w:vAlign w:val="center"/>
            <w:textDirection w:val="lrTb"/>
            <w:noWrap w:val="false"/>
          </w:tcPr>
          <w:p>
            <w:pPr>
              <w:pStyle w:val="1111"/>
              <w:jc w:val="center"/>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rPr>
              <w:t xml:space="preserve">1</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highlight w:val="none"/>
                <w:lang w:val="en-US" w:eastAsia="zh-CN"/>
              </w:rPr>
            </w:r>
            <w:r/>
          </w:p>
        </w:tc>
      </w:tr>
    </w:tbl>
    <w:p>
      <w:pPr>
        <w:pStyle w:val="918"/>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注：1.评分细则中要求提供的证明文件及资料等在投标文件中提供电子扫描件，并加盖公章。</w:t>
      </w:r>
      <w:r>
        <w:rPr>
          <w:rFonts w:hint="eastAsia" w:ascii="宋体" w:hAnsi="宋体" w:eastAsia="宋体" w:cs="宋体"/>
          <w:bCs/>
          <w:color w:val="000000"/>
          <w:sz w:val="24"/>
          <w:highlight w:val="none"/>
        </w:rPr>
      </w:r>
      <w:r/>
    </w:p>
    <w:p>
      <w:pPr>
        <w:pStyle w:val="918"/>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2.评审时，未能按以上要求提供相应证明的，不作为评审依据，不得分。</w:t>
      </w:r>
      <w:r>
        <w:rPr>
          <w:rFonts w:hint="eastAsia" w:ascii="宋体" w:hAnsi="宋体" w:eastAsia="宋体" w:cs="宋体"/>
          <w:bCs/>
          <w:color w:val="000000"/>
          <w:sz w:val="24"/>
          <w:highlight w:val="none"/>
        </w:rPr>
      </w:r>
      <w:r/>
    </w:p>
    <w:p>
      <w:pPr>
        <w:pStyle w:val="918"/>
        <w:ind w:firstLine="480"/>
        <w:jc w:val="left"/>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3.便于评审，请投标人在偏离表中逐条列出技术参数证明材料所在页码，因未列明所在页码而造成的后果由投标人自行承担。</w:t>
      </w:r>
      <w:r>
        <w:rPr>
          <w:rFonts w:hint="eastAsia" w:ascii="宋体" w:hAnsi="宋体" w:eastAsia="宋体" w:cs="宋体"/>
          <w:bCs/>
          <w:color w:val="000000"/>
          <w:sz w:val="24"/>
          <w:highlight w:val="none"/>
        </w:rPr>
      </w:r>
      <w:r/>
    </w:p>
    <w:p>
      <w:pPr>
        <w:pStyle w:val="918"/>
        <w:ind w:firstLine="480"/>
        <w:jc w:val="center"/>
        <w:spacing w:line="360" w:lineRule="auto"/>
        <w:widowControl/>
        <w:rPr>
          <w:rFonts w:ascii="宋体" w:hAnsi="宋体"/>
          <w:b/>
          <w:color w:val="000000"/>
          <w:sz w:val="36"/>
          <w:szCs w:val="36"/>
          <w:highlight w:val="none"/>
        </w:rPr>
      </w:pPr>
      <w:r>
        <w:rPr>
          <w:rFonts w:hint="eastAsia" w:ascii="宋体" w:hAnsi="宋体" w:eastAsia="宋体" w:cs="宋体"/>
          <w:bCs/>
          <w:color w:val="000000"/>
          <w:sz w:val="24"/>
          <w:highlight w:val="none"/>
        </w:rPr>
        <w:br w:type="page" w:clear="all"/>
      </w:r>
      <w:bookmarkStart w:id="817" w:name="_Toc3548"/>
      <w:r>
        <w:rPr>
          <w:rFonts w:ascii="宋体" w:hAnsi="宋体"/>
          <w:b/>
          <w:color w:val="000000"/>
          <w:sz w:val="36"/>
          <w:szCs w:val="36"/>
          <w:highlight w:val="none"/>
        </w:rPr>
        <w:t xml:space="preserve">第五章   采购需求</w:t>
      </w:r>
      <w:bookmarkEnd w:id="817"/>
      <w:r>
        <w:rPr>
          <w:rFonts w:ascii="宋体" w:hAnsi="宋体"/>
          <w:b/>
          <w:color w:val="000000"/>
          <w:sz w:val="36"/>
          <w:szCs w:val="36"/>
          <w:highlight w:val="none"/>
        </w:rPr>
      </w:r>
      <w:r/>
    </w:p>
    <w:p>
      <w:pPr>
        <w:pStyle w:val="918"/>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一、项目概况</w:t>
      </w:r>
      <w:r>
        <w:rPr>
          <w:rFonts w:hint="eastAsia" w:ascii="宋体" w:hAnsi="宋体" w:eastAsia="宋体" w:cs="宋体"/>
          <w:b/>
          <w:bCs/>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项目名称：常州机电职业技术学院智能人机交互实训室建设项目</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项目内容：本项目拟采购建设智能人机交互实训室，主要包括智能人机交互创意实训平台、人机交互与数字展示中心、3D工坊及相关教学配套设施，配置动作与生物力学数据分析系统、桌面式眼动追踪分析系统、MR混合现实头显、人机交互展示墙、3D数字雕刻数位屏等设备，满足工业设计专业智能交互创新实践教学需求；</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建设目标：本项目以“人—机—环境”系统工程思想为建设主线，坚持以人为中心开展智能人机交互实训条件建设。在人要素方面，通过动作捕捉、人体三维扫描及</w:t>
      </w:r>
      <w:r>
        <w:rPr>
          <w:rFonts w:hint="eastAsia" w:ascii="宋体" w:hAnsi="宋体" w:eastAsia="宋体" w:cs="宋体"/>
          <w:color w:val="000000"/>
          <w:sz w:val="24"/>
          <w:szCs w:val="24"/>
          <w:highlight w:val="none"/>
        </w:rPr>
        <w:t xml:space="preserve">生物力学分析、桌面式眼动追踪分析系统等手段，获取人的动作、姿态、人体尺度和操作行为数据；在机要素方面，利用嵌入式开发套装、内容创作与数据处理终端、VR/AR/MR交互设备、三维扫描与打印设备以及各类展示终端，完成感知、计算、控制、制造和反馈；在环境要素方面，通过交互投影、展示墙、教学大屏和墙面空间建设，构建物理环境与数字环境相融合的教学场景。三类要素共同形成“人的需求与行为采集—机器感知与处理—环境呈现与支持—人的体验与评价”的闭环，支撑人机交互设计、人因工程、智能制造、虚拟现实和产品创新等课程教学与实践。</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rPr>
        <w:t xml:space="preserve">采购需求</w:t>
      </w:r>
      <w:r>
        <w:rPr>
          <w:rFonts w:hint="eastAsia" w:ascii="宋体" w:hAnsi="宋体" w:eastAsia="宋体" w:cs="宋体"/>
          <w:b/>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1、采购清单及技术要求</w:t>
      </w:r>
      <w:r>
        <w:rPr>
          <w:rFonts w:hint="eastAsia" w:ascii="宋体" w:hAnsi="宋体" w:eastAsia="宋体" w:cs="宋体"/>
          <w:color w:val="000000"/>
          <w:sz w:val="24"/>
          <w:szCs w:val="24"/>
          <w:highlight w:val="none"/>
        </w:rPr>
      </w:r>
      <w:r/>
    </w:p>
    <w:tbl>
      <w:tblPr>
        <w:tblW w:w="1037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7"/>
        <w:gridCol w:w="1245"/>
        <w:gridCol w:w="6817"/>
        <w:gridCol w:w="848"/>
        <w:gridCol w:w="703"/>
      </w:tblGrid>
      <w:tr>
        <w:trPr>
          <w:trHeight w:val="586"/>
        </w:trPr>
        <w:tc>
          <w:tcPr>
            <w:tcW w:w="757" w:type="dxa"/>
            <w:vAlign w:val="center"/>
            <w:textDirection w:val="lrTb"/>
            <w:noWrap w:val="false"/>
          </w:tcPr>
          <w:p>
            <w:pPr>
              <w:pStyle w:val="918"/>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货物名称</w:t>
            </w:r>
            <w:r>
              <w:rPr>
                <w:rFonts w:hint="eastAsia" w:ascii="宋体" w:hAnsi="宋体" w:eastAsia="宋体" w:cs="宋体"/>
                <w:b/>
                <w:bCs/>
                <w:color w:val="000000"/>
                <w:sz w:val="24"/>
                <w:szCs w:val="24"/>
              </w:rPr>
            </w:r>
            <w:r/>
          </w:p>
        </w:tc>
        <w:tc>
          <w:tcPr>
            <w:tcW w:w="6817" w:type="dxa"/>
            <w:vAlign w:val="center"/>
            <w:textDirection w:val="lrTb"/>
            <w:noWrap w:val="false"/>
          </w:tcPr>
          <w:p>
            <w:pPr>
              <w:pStyle w:val="918"/>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规格及参数</w:t>
            </w:r>
            <w:r>
              <w:rPr>
                <w:rFonts w:hint="eastAsia" w:ascii="宋体" w:hAnsi="宋体" w:eastAsia="宋体" w:cs="宋体"/>
                <w:b/>
                <w:bCs/>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rPr>
                <w:rFonts w:hint="eastAsia" w:ascii="宋体" w:hAnsi="宋体" w:eastAsia="宋体" w:cs="宋体"/>
                <w:b/>
                <w:bCs/>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动作与生物力学数据分析系统</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▲支持行业通用三维运动捕捉数据的导入与处理功能，至少支持C3D格式数据；能够读取三维标记点轨迹，并对文件中包含的测力台、模拟量等实验数据进行调用或处理。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▲支持人体多刚体生物力学模型建立与分析功能，支持根据人体解剖标志点或运动捕捉标记点建立身体节段及关节模型，并能够结合受试者人体测量数据对模型进行个体化设置或缩放。</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支持人体运动学分析功能，能够基于三维运动数据计算或分析不少于关节角度、节段位置、节段姿态、位移、速度、角速度等运动学指标。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支持逆动力学或等效人体动力学计算功能，能够结合人体模型、运动学数据及外部力数据，对人体运动过程中的关节力、关节力矩等动力学指标进行计算或分析。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支持外部力数据处理功能，支持测力台或其他外力测量数据参与人体动力学分析，能够处理地面反作用力、作用点/压力中心、力矩等相关数据。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支持三维动作数据可视化功能，支持在三维视图中显示人体节段、关节、运动轨迹或外力信息，并能够按照时间序列进行动作播放、暂停及逐帧查看。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支持原始运动信号处理功能，包括数据截取、数据平滑或滤波等处理方式；滤波参数或处理区间能够由用户根据实验需求进行设置。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支持运动事件定义或识别功能，支持根据时间、标记点运动特征、力信号阈值或其他数据条件建立运动事件，用于动作阶段划分及周期分析。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支持人体运动周期标准化或分段分析功能，能够按照步态周期、动作周期或用户定义事件对连续动作数据进行分段、归一化或对比分析。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支持不同实验、不同受试者或同一受试者不同测试条件下的数据对比功能，支持对一个或多个运动学、动力学指标进行曲线或数值比较。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支持数据统计分析功能，至少支持平均值、最大值、最小值、标准差中的≥3类统计指标计算，并能够基于指定动作周期或时间区间进行统计。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支持图形化分析结果展示功能，支持以曲线图、数据表或三维视图中的≥2种方式显示实验分析结果，并支持用户选择需要展示的数据变量。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支持分析结果输出功能，能够将运动学、动力学或统计分析结果导出为通用数据格式，至少支持CSV、TXT、XLS/XLSX等格式中的≥1种，便于后续科研统计或教学分析。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支持分析流程保存或重复执行功能，能够保存模型设置、数据处理过程或分析配置，并用于同类型实验数据的重复处理，提高批量实验数据处理效率。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系统支持完整的软件操作界面，能够完成数据管理、模型设置、运动数据处理、分析计算及结果查看；主要数据处理与分析工作无需用户自行开发完整程序后方能实现。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 软件应兼容采购人现有或本项目配套的动作捕捉实验数据，项目实施阶段完成典型动作捕捉数据导入、模型建立、运动学分析及动力学分析流程测试。</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桌面式眼动追踪分析系统</w:t>
            </w:r>
            <w:r>
              <w:rPr>
                <w:rFonts w:hint="eastAsia" w:ascii="宋体" w:hAnsi="宋体" w:eastAsia="宋体" w:cs="宋体"/>
                <w:color w:val="000000"/>
                <w:sz w:val="24"/>
                <w:szCs w:val="24"/>
              </w:rPr>
            </w:r>
            <w:r/>
          </w:p>
        </w:tc>
        <w:tc>
          <w:tcPr>
            <w:tcW w:w="6817" w:type="dxa"/>
            <w:vAlign w:val="center"/>
            <w:textDirection w:val="lrTb"/>
            <w:noWrap w:val="false"/>
          </w:tcPr>
          <w:p>
            <w:pPr>
              <w:pStyle w:val="918"/>
              <w:numPr>
                <w:ilvl w:val="0"/>
                <w:numId w:val="16"/>
              </w:numPr>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采用非接触式桌面眼动追踪技术，无需在受试者头部佩戴采集设备；支持双眼眼动数据同步采集，能够分别获取左眼、右眼或双眼综合视线位置、注视点及眼动信息。</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★眼动数据采样频率≥120Hz；支持针对不同受试者进行眼动校准及验证，确保眼动数据采集的有效性。</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支持眼动数据采集及输出功能，采集内容至少包括时间戳、视线坐标、注视位置、瞳孔尺寸或直径等信息，并能够记录左眼、右眼或双眼的瞳孔变化数据。</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支持眼动实验刺激材料及项目管理功能；支持刺激材料导入、测试任务组织，以及实验项目创建、保存、打开和管理。</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支持眼动实验过程记录、同步回放及动态内容分析功能，支持视频眼动数据叠加显示，并具备屏幕录制、实验界面录制或等效实验过程记录功能。</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支持注视及扫视行为分析功能，能够识别、记录和显示注视点、注视次数、注视持续时间、视线移动轨迹等数据；支持注视次数、总注视时间、平均注视时间、首次注视时间等≥3项统计指标分析。</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支持兴趣区域设置及可视化分析功能，能够自定义≥1个兴趣区域，并统计注视次数、注视时间或首次注视时间等指标；支持生成二维眼动热力图或等效可视化结果，展示受试者视觉注意分布情况。</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支持实验数据管理、查询及分析结果展示功能，能够对不同实验项目的眼动数据、实验刺激内容及分析结果进行集中管理，支持实验数据查看、回放及统计分析。</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支持眼动原始数据及分析结果导出功能，至少支持CSV、TXT、XLS/XLSX等通用格式中的≥1种；系统应支持Windows操作系统下的软件安装、数据采集及分析。</w:t>
            </w:r>
            <w:r>
              <w:rPr>
                <w:rFonts w:hint="eastAsia" w:ascii="宋体" w:hAnsi="宋体" w:eastAsia="宋体" w:cs="宋体"/>
                <w:color w:val="000000"/>
                <w:sz w:val="24"/>
                <w:szCs w:val="24"/>
                <w:lang w:val="en-US" w:eastAsia="zh-CN"/>
              </w:rPr>
            </w:r>
            <w:r/>
          </w:p>
          <w:p>
            <w:pPr>
              <w:pStyle w:val="918"/>
              <w:numPr>
                <w:ilvl w:val="0"/>
                <w:numId w:val="16"/>
              </w:numPr>
              <w:ind w:left="0" w:firstLine="0"/>
              <w:jc w:val="lef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配套提供笔记本电脑安装组件≥1套、独立显示器或桌面支撑安装组件≥1套，支持设备在笔记本电脑、台式显示器或桌面实验环境中安装使用；安装组件应支持位置及角度调整，满足不同实验环境下设备稳定固定及正常数据采集要求。</w:t>
            </w:r>
            <w:r>
              <w:rPr>
                <w:rFonts w:hint="eastAsia" w:ascii="宋体" w:hAnsi="宋体" w:eastAsia="宋体" w:cs="宋体"/>
                <w:color w:val="000000"/>
                <w:sz w:val="24"/>
                <w:szCs w:val="24"/>
                <w:lang w:val="en-US" w:eastAsia="zh-CN"/>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智能人机交互综合教学开发套装</w:t>
            </w:r>
            <w:r>
              <w:rPr>
                <w:rFonts w:hint="eastAsia" w:ascii="宋体" w:hAnsi="宋体" w:eastAsia="宋体" w:cs="宋体"/>
                <w:color w:val="000000"/>
                <w:sz w:val="24"/>
                <w:szCs w:val="24"/>
              </w:rPr>
            </w:r>
            <w:r/>
          </w:p>
        </w:tc>
        <w:tc>
          <w:tcPr>
            <w:tcW w:w="6817" w:type="dxa"/>
            <w:vAlign w:val="center"/>
            <w:textDirection w:val="lrTb"/>
            <w:noWrap w:val="false"/>
          </w:tcPr>
          <w:p>
            <w:pPr>
              <w:pStyle w:val="918"/>
              <w:numPr>
                <w:ilvl w:val="0"/>
                <w:numId w:val="17"/>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采用64位ARM或性能相当的嵌入式处理架构，CPU核心数≥4核，主频≥2.0GHz，运行内存≥8GB，能够运行Linux类操作系统，并支持Python、C/C++等≥2种编程开发语言。</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开发主机支持通用硬件扩展接口，提供可编程GPIO接口数量≥20个，并支持SPI、UART、PWM等接口或通信方式中的≥3种，能够连接传感器、执行器及其他人机交互外设。</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▲配套视觉采集模块，图像传感器有效像素≥800万，支持基于神经网络的视觉推理能力。</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▲配套传感器及执行器实验组件总数量≥30件，至少包含环境感知、光学感知、运动感知、人体/生物信息感知、声光交互及机电执行等≥6类功能模块，并能够与嵌入式开发主机连接进行数据采集和交互控制。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开发主机支持MicroSD、SD、eMMC、NVMe或其他非易失性存储扩展能力，套装配套可用存储介质容量≥64GB，并预装或能够安装适用于教学开发的操作系统。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开发主机支持图形处理能力，支持OpenGL、OpenGL ES、Vulkan等图形接口中的≥1种，能够开展图形界面、人机交互界面及视觉应用开发。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开发主机支持显示输出能力，能够连接外部显示设备；支持同时连接触控显示器及其他显示终端，或通过扩展方式实现多显示设备教学应用。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开发主机提供USB接口总数量≥4个，其中高速USB接口≥2个，用于连接键盘、鼠标、摄像设备、存储设备及其他交互外设。</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开发主机支持有线网络接口，网络速率≥1000Mbps；同时支持双频Wi-Fi无线网络功能。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开发主机支持蓝牙无线通信功能，蓝牙版本≥5.0或采用性能相当及以上的无线通信方案，能够连接无线键盘、鼠标、传感器或其他人机交互终端。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开发主机支持摄像头或高速图像采集设备连接接口，支持至少1路数字摄像设备接入；接口形式不限于MIPI、USB等通用方式。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视觉采集模块图像分辨率≥3200×2400，支持静态图像及视频数据采集。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配套触控显示终端，显示尺寸≥7英寸，分辨率≥800×480，支持多点或单点触控功能，能够实现嵌入式系统图形界面显示及触控交互。</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配套与开发主机处理性能及功耗匹配的主动或被动散热组件，能够满足长时间教学实验运行条件下的散热需求。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配套满足开发主机正常运行的供电组件，输出功率能够满足主机、存储设备及常规USB外设同时工作的供电需求，并支持过流、过压或短路保护功能中的≥1项。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 配套开发及实验所需连接线材，包括电源、显示、摄像、传感器连接或数据通信线材；所提供线材数量及规格应满足整套设备正常安装和实验使用要求。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17. 支持基于Python开展GPIO控制、传感器数据采集、视觉分析及人机交互应用开发，并提供相关驱动程序、开发库或示例代码。</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人机交互内容创作终端</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★处理器采用x86-64架构，物理核心数≥20核、线程数≥28线程，最高睿频≥5.5GHz。</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★配置内存容量≥64GB，采用DDR5内存；支持内存扩展能力，最大支持内存容量≥128GB。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★配置独立图形处理器，独立显存容量≥16GB，支持硬件光线追踪。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配置M.2 NVMe固态硬盘，容量≥2TB，采用PCIe接口。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主板提供内存插槽≥4个，PCIe x16扩展插槽≥1个，M.2固态硬盘接口≥2个，满足后续容量扩展需求。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配置千兆及以上以太网接口≥1个，USB接口总数量≥6个，其中USB 3.0或以上高速接口≥4个，USB Type-C接口≥1个，接口支持数据传输；</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配置音频输入或音频输出接口，能够满足耳机、扬声器、麦克风等教学外设连接需求。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配置数字视频输出接口≥3个，支持HDMI、DisplayPort或功能相当的数字显示接口，并支持多显示器扩展应用。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配置的电源额定功率应满足处理器、图形处理器及整机满负荷稳定运行需求；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配置与处理器及图形处理器功耗相匹配的散热系统。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支持64位Windows操作系统，配套提供Windows 11专业版或性能及功能相当的64位桌面操作系统授权。</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配置有线键盘、鼠标各≥1套。</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配套显示器尺寸≥27英寸，物理分辨率≥1920×1080，刷新率≥60Hz，采用IPS或显示性能相当的液晶面板，水平及垂直可视角度均≥170°。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★支持配套人机交互内容创作类软件，面向数字媒体、人机交互、视觉设计、短视频、数字故事及创意内容教学。软件需提供图形化创作界面，支持素材导入、时间线编辑、特效叠加与多轨合成。</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智能人机交互展示终端</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★显示区域尺寸≥75英寸，分辨率≥3840×2160，支持4K超高清内容显示；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采用透明显示、全息成像或具有等效视觉效果的数字显示技术。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显示面板亮度≥200cd/㎡，显示对比度≥800:1。</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支持画面比例自适应或调整功能，支持16:9、9:16等常见数字内容显示比例中。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内置独立运算控制单元，处理器核心数≥8核，运行内存≥8GB，内部存储容量≥1TB；支持4K视频硬件解码能力，能够独立运行数字展示及人机交互应用。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内置运算控制单元应支持GPU图形处理能力，支持3840×2160@60Hz或以上规格的视频信号输入或输出，满足数字人物、三维模型及高清视频内容显示需求。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配备阵列式麦克风及摄像头；麦克风阵列单元数量≥2个，摄像头有效像素≥200万，能够为语音交互、人体感知、图像采集等应用提供硬件基础。</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配置内置或一体化扬声器，采用双声道或立体声输出，扬声器总额定功率≥20W。</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配置有线网络接口≥1个，接口速率≥1000Mbps，支持蓝牙或者无线网络功能，支持2.4GHz及5GHz双频Wi-Fi。</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设备采用方形、矩形或结构等效的一体化舱体设计，显示单元、控制单元、音响及主要线缆应集成于设备内部或配套结构中。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设备应支持长时间连续展示应用，在正常散热及额定供电条件下，连续运行≥8小时不得出现异常关机、明显闪屏或系统失去响应。</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▲支持数字人实时交互能力，支持语音识别、自然语言理解或大语言模型问答、语音合成及数字人语音播报，实现“用户提问—语义理解—智能回答—数字人播报”的完整交互流程。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▲支持数字人形象展示功能，并能够在全息展示设备中以真人比例或接近真人比例进行展示。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配套提供不少于1套可直接使用的数字人形象及基础交互场景，并根据采购人的教学展示主题完成基础角色、欢迎语及展示内容配置。</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人机交互动作采集系统</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★采用无线惯性动作捕捉方式，无需在场地内布置光学摄像机即可完成全身人体动作采集；单套系统配置人体动作惯性传感器数量≥17个，能够覆盖头部、躯干、上肢及下肢主要人体节段。</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惯性传感器应集成加速度、角速度及姿态方向感知能力，采用多传感器融合方式实时计算人体姿态；系统动作数据输出频率≥60Hz，并支持根据应用需求调整或选择输出频率。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惯性传感器陀螺仪量程满足人体快速运动采集需求，最大角速度测量范围≥±2000°/s。</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无线有效动作采集距离≥5m；采用无线局域网、专用无线通信或其他等效无线数据传输方式。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传感器采用可充电供电方式，单次充电连续工作时间≥5小时，能够满足连续教学实训使用需求。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配套全身穿戴固定组件，应能够将传感器分别固定于人体头部、躯干、上臂、前臂、手部/腕部、大腿、小腿、脚部等主要部位。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配置手部动作捕捉组件，每只手的手指动作感知单元数量≥5个，能够采集五指弯曲、伸展或姿态变化。</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系统支持至少1名受试者进行全身动作实时捕捉，并支持后续扩展多人动作捕捉的能力。</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配套提供整套设备运输及收纳箱，能够统一存放动作传感器、数据传输设备、充电组件、穿戴固定组件及相关附件。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支持实时全身骨骼姿态解算及动作数据输出能力，能够实时显示人体骨骼动作，并将动作数据实时传输至第三方三维软件、游戏引擎、数字人应用或用户自行开发的应用程序。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支持硬件校准、人体骨骼标定、实时动作预览、动作录制、数据回放及动作数据导出功能；动作数据至少支持FBX、BVH、CSV等通用格式中的≥2种。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支持动作数据实时网络广播或数据流输出，供第三方应用实时接收人体动作数据。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支持动作数据录制，并能够对已录制动作进行回放、时间轴查看及数据导出。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提供SDK、API、插件或标准实时数据接口中的≥1种二次开发方式，便于开展人机交互、虚拟现实及数字人应用开发。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实时数据接口应至少支持C/C++、C#、Python等开发语言中的≥1种，或提供基于标准网络协议的数据接收方式。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 系统能够与Unity、Unreal Engine、Maya、3ds Max、Blender等三维开发或数字内容制作软件中的≥2种进行数据交换或实时动作驱动。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17. ▲应提供不少于50项动作数据教学资源，资源类型应包括但不限于动作捕捉示例数据、人体姿态数据、教学案例素材样例。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18. ▲动作数据教学资源应支持与其他数字媒体资产平台的用户账号体系、项目管理模块、数字资源库及后台管理模块进行兼容或集成；支持通过网页端或统一应用入口访问和使用，并能够实现数据资源、教学工作流及分析结果的统一管理，不得影响原有系统正常运行。</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人机交互数据处理终端</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★处理器采用x86-64架构，物理核心数≥20核、线程数≥28线程，最高睿频≥5.5GHz。</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★配置内存容量≥64GB，采用DDR5内存；支持内存扩展能力，最大支持内存容量≥128GB。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★配置独立图形处理器，独立显存容量≥16GB，支持硬件光线追踪。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配置M.2 NVMe固态硬盘，容量≥2TB，采用PCIe接口。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主板提供内存插槽≥4个，PCIe x16扩展插槽≥1个，M.2固态硬盘接口≥2个，满足后续容量扩展需求。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配置千兆及以上以太网接口≥1个，USB接口总数量≥6个，其中USB 3.0或以上高速接口≥4个，USB Type-C接口≥1个，接口支持数据传输；</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配置音频输入或音频输出接口，能够满足耳机、扬声器、麦克风等教学外设连接需求。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配置数字视频输出接口≥3个，支持HDMI、DisplayPort或功能相当的数字显示接口，并支持多显示器扩展应用。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配置的电源额定功率应满足处理器、图形处理器及整机满负荷稳定运行需求；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配置与处理器及图形处理器功耗相匹配的散热系统。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支持64位Windows操作系统，配套提供Windows 11专业版或性能及功能相当的64位桌面操作系统授权。</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配置有线键盘、鼠标各≥1套。</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配套显示器尺寸≥27英寸，物理分辨率≥1920×1080，刷新率≥60Hz，采用IPS或显示性能相当的液晶面板，水平及垂直可视角度均≥170°。</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VR一体机开发版</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分辨率：单眼≥2160*2160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视角：≥105°</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瞳距调节：调节(≥62~72mm)；支持多人瞳距记忆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闪存：≥256 GB UFS3.1</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★内存：≥12 GB LPDDR5</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摄像头：≥4颗环境追踪摄像头；支持MR，双目≥3200万像素</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传感器：支持iToF深度感知摄像头</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手柄：支持光学6DoF摇杆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电池容量：≥5700mAh</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需开放系统开发者权限，支持自定义固件刷写。</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体感互动套件</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单套配置体感追踪器数量≥2个，支持佩戴于下肢或其他人体部位进行动作采集，并能够通过算法实现全身动作追踪。</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追踪器支持无线数据传输，并能够与配套VR/MR设备或交互终端进行连接使用。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追踪器采用惯性与光学/红外等多传感器融合方式，支持6DoF姿态追踪；动作追踪频率≥100Hz。</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支持输出全身人体骨骼动作数据。可用于虚拟角色驱动、体感交互及运动识别。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全身动作追踪延迟≤30ms，满足实时体感交互应用需求。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单个追踪器连续工作时间≥20小时，采用可充电电池，具备USB Type-C或其他通用充电接口。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支持Unity、Unreal Engine、OpenXR等开发平台或标准接口，便于开展体感互动、虚拟现实及人机交互应用开发。</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VR手部追踪模块</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支持双手同步追踪，能够实时识别手掌位置、手指弯曲、伸展及手部姿态变化，用于虚拟现实、人机交互及三维内容控制。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采用双目视觉、红外视觉或性能相当的手部空间追踪技术，摄像采集帧率≥100fps。</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手部有效追踪距离≥0.6m，水平或综合追踪视场角≥120°。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支持手掌、手指或手部关键点实时数据输出，并能够驱动虚拟手模型同步运动。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支持USB 2.0、USB 3.0或以上通用数据接口，设备通过USB完成数据传输及供电，无需独立外接电源。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支持桌面放置使用，并支持安装于VR/MR头戴设备或其他交互装置上的扩展能力；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配套提供开发接口、SDK或插件，支持Unity、Unreal Engine等三维交互开发平台中的≥1种，用于开展VR手势交互及应用二次开发。</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MR混合现实头显</w:t>
            </w:r>
            <w:r>
              <w:rPr>
                <w:rFonts w:hint="eastAsia" w:ascii="宋体" w:hAnsi="宋体" w:eastAsia="宋体" w:cs="宋体"/>
                <w:color w:val="000000"/>
                <w:sz w:val="24"/>
                <w:szCs w:val="24"/>
              </w:rPr>
            </w:r>
            <w:r/>
          </w:p>
        </w:tc>
        <w:tc>
          <w:tcPr>
            <w:tcW w:w="6817" w:type="dxa"/>
            <w:vAlign w:val="center"/>
            <w:textDirection w:val="lrTb"/>
            <w:noWrap w:val="false"/>
          </w:tcPr>
          <w:p>
            <w:pPr>
              <w:pStyle w:val="918"/>
              <w:numPr>
                <w:ilvl w:val="0"/>
                <w:numId w:val="18"/>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★处理器采用≥8核架构或性能相当的处理方案；运行内存≥8GB DDR，内置存储容量≥64GB；支持Android 12及3D AR OS操作系统，能够实现虚拟数字内容与现实空间实时融合显示。</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配置OLED显示屏≥2个，最高亮度≥3000nit，刷新率≥60Hz，支持24位真彩显示；单眼分辨率≥1920×1080，3D显示分辨率≥3840×1080；</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配置追踪摄像头≥4颗，分辨率≥640×480；头部配置≥9轴IMU传感器，采样率≥1000Hz，手持终端配置≥6轴IMU传感器，实现姿态感知及空间运动追踪。</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配置RGB摄像头≥2颗，摄像头有效像素≥1300万，支持二维码识别、空间定位、拍照及远程视频交互；手持终端配置≥1300万像素自动对焦摄像头，最大分辨率≥4256×3168。</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配置TOF深度摄像头≥1个，分辨率≥224×172，支持三维深度识别、物体识别及平面检测。</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支持Wi-Fi 6无线通信以及2.4GHz/5GHz双频Wi-Fi、Bluetooth 5.0及2.4GHz专用无线通信协议；配置≥1个千兆RJ45有线网络接口。</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2D、3D、6DoF三种显示模式切换，其中2D模式支持投屏显示，3D模式支持立体显示及3DoF姿态跟随，6DoF模式支持三维空间定位与追踪；支持系统界面空间锚定、虚拟内容叠加、实时头瞄、手势识别、语音控制及手持终端虚拟射线和物理按键控制。</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头部配置环境光传感器及距离传感器各≥1颗，支持显示亮度自动调节、手动亮度调节、佩戴状态检测及自动休眠；配置LED灯≥3颗，手持终端配置补光灯≥1颗，并配备终端状态指示灯、三色指示灯及头部状态指示灯各≥1颗。</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头部配置立体声扬声器≥2个、3.5mm耳机接口≥1个，支持有线降噪耳机及单麦AI降噪，手持终端配置扬声器≥1个；配置信息显示屏≥1.3英寸，分辨率≥240×240，支持电量、充电状态、无线连接状态、时间及日期等信息显示。</w:t>
            </w:r>
            <w:r>
              <w:rPr>
                <w:rFonts w:hint="eastAsia" w:ascii="宋体" w:hAnsi="宋体" w:eastAsia="宋体" w:cs="宋体"/>
                <w:color w:val="000000"/>
                <w:sz w:val="24"/>
                <w:szCs w:val="24"/>
              </w:rPr>
            </w:r>
            <w:r/>
          </w:p>
          <w:p>
            <w:pPr>
              <w:pStyle w:val="918"/>
              <w:numPr>
                <w:ilvl w:val="0"/>
                <w:numId w:val="18"/>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设备内置可充电电池，连续使用时间≥2.5小时，充电时间＜2.5小时，支持边充电边使用。</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AR智能交互眼镜</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采用Micro LED或性能相当的近眼显示技术，显示亮度≥1500nit，视场角≥30°。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★CPU核心数≥8核；运行内存≥2GB，内部存储容量≥16GB。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配置摄像头≥1个，有效像素≥1200万，摄像头视场角≥100°，支持拍照、视频采集及视觉识别类应用。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支持语音、触控、物理按键、外置无线控制器等交互方式。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支持无线通信功能，支持Wi-Fi 6或以上无线网络，并支持Bluetooth 5.0或以上版本。</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配置麦克风及扬声器，支持语音采集、语音播报及智能语音交互；麦克风数量≥2个。</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内置惯性姿态传感器，支持人体头部姿态或眼镜空间姿态感知；支持佩戴状态检测或等效智能感知功能。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整机重量≤60g，采用内置可充电电池供电；配套提供充电装置、收纳组件及正常使用所需附件，并提供SDK、API或等效开发接口，用于AR及人机交互应用开发。</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全景相机</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★配置鱼眼或超广角镜头≥6个，能够进行360°全景图片、全景视频及沉浸式数字内容采集。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★支持360°3D立体全景拍摄能力，最高输出分辨率≥7680×3840，3D全景视频最高分辨率≥7680×7680@30fps，支持JPEG及RAW/DNG等格式。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支持机内实时全景拼接能力，实时拼接视频分辨率≥3840×1920@30fps，并支持实时预览或实时输出。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支持全景视频直播功能，支持机内推流、自定义服务器推流或HDMI输出等直播方式，并支持直播过程中同步保存高分辨率原始素材。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支持H.264、H.265后期输出方式，满足专业全景视频制作及后期编辑需求。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支持图像防抖或姿态稳定功能。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配置内置麦克风≥4个，并支持外接音频输入接口；支持全景声、空间音频或多声道音频录制。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支持多存储介质同步记录能力，支持SD、MicroSD或其他高速存储介质。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支持有线或无线方式进行相机控制、拍摄参数调整及实时画面监看。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采用可拆卸充电电池供电，同时支持外接电源连续运行。</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配套提供全景视频拼接及后期处理软件，能够完成全景素材导入、拼接、稳定处理及视频输出，并支持Windows或macOS等主流操作系统。</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人机交互内容设计终端</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★处理器采用x86-64架构，物理核心数≥20核、线程数≥28线程，最高睿频≥5.5GHz。</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★配置内存容量≥64GB，采用DDR5内存；支持内存扩展能力，最大支持内存容量≥128GB。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★配置独立图形处理器，独立显存容量≥16GB，支持硬件光线追踪。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配置M.2 NVMe固态硬盘，容量≥2TB，采用PCIe接口。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主板提供内存插槽≥4个，PCIe x16扩展插槽≥1个，M.2固态硬盘接口≥2个，满足后续容量扩展需求。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配置千兆及以上以太网接口≥1个，USB接口总数量≥6个，其中USB 3.0或以上高速接口≥4个，USB Type-C接口≥1个，接口支持数据传输；</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配置音频输入或音频输出接口，能够满足耳机、扬声器、麦克风等教学外设连接需求。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配置数字视频输出接口≥3个，支持HDMI、DisplayPort或功能相当的数字显示接口，并支持多显示器扩展应用。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配置的电源额定功率应满足处理器、图形处理器及整机满负荷稳定运行需求；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配置与处理器及图形处理器功耗相匹配的散热系统。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支持64位Windows操作系统，配套提供Windows 11专业版或性能及功能相当的64位桌面操作系统授权。</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配置有线键盘、鼠标各≥1套。</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配套显示器尺寸≥27英寸，物理分辨率≥1920×1080，刷新率≥60Hz，采用IPS或显示性能相当的液晶面板，水平及垂直可视角度均≥170°。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▲支持可视化内容设计类软件，面向人机交互、数字媒体、视觉设计创意及相关教学实训。</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shd w:val="clear" w:color="000000" w:fill="ffffff"/>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Ar数字交互展示台</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★配置交互显示屏，显示尺寸≥43英寸，交互识别分辨率≥1920×1080，显示系统支持≥3840×2160超高清内容输出。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交互显示区域采用电容式或性能相当的多点触控技术，同时触控点数≥20点，支持多人或多指并行操作。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★配置独立图形运算单元，处理器物理核心数≥6核，运行内存≥8GB，固态存储容量≥500GB；配置独立图形处理器，显存容量≥4GB，满足三维数字内容实时渲染及交互展示需求。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配套实体交互识别卡或功能相当的实体交互标识件≥1个，能够在电容触控区域进行位置识别、移动识别及旋转识别。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设备采用双屏协同或功能相当的显示结构，其中交互区域用于触控及实体交互操作，数字展示区域用于三维模型、图片、视频或其他数字内容展示。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配套实体交互识别控制软件，能够实时识别实体交互标识件的位置、移动及360°旋转动作，并支持多个实体交互标识件同时识别和操作。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支持实体交互识别容错能力，在实体识别件移动过程中发生部分触点短暂丢失时，系统能够保持身份及运动状态连续识别。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支持识别灵敏度、识别精度或识别策略调节功能，支持≥3档或连续参数配置，以适应不同实体识别件及不同交互应用场景。</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支持交互屏与展示屏独立选择或配置，在多显示设备环境下能够指定交互操作界面和数字内容展示界面。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支持手指触控与实体识别件两种交互方式，两种方式能够分别或组合用于数字内容操作。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▲支持接入其他数字媒体资产平台，能够调用其中的产品模型、工业模型、艺术模型等数字资产，支持模型资源的分类调用、内容切换及展示更新，实现媒体资产与AR展示台内容之间的联动应用。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支持三维数字场景自动漫游功能，能够按照预设路径进行三维场景浏览。</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支持第一人称视角三维场景交互，能够通过实体识别件或触控操作实现定位、移动及视角旋转。</w:t>
            </w:r>
            <w:r>
              <w:rPr>
                <w:rFonts w:hint="eastAsia" w:ascii="宋体" w:hAnsi="宋体" w:eastAsia="宋体" w:cs="宋体"/>
                <w:color w:val="000000"/>
                <w:sz w:val="24"/>
                <w:szCs w:val="24"/>
              </w:rPr>
            </w:r>
            <w:r/>
          </w:p>
        </w:tc>
        <w:tc>
          <w:tcPr>
            <w:shd w:val="clear" w:color="000000" w:fill="ffffff"/>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shd w:val="clear" w:color="000000" w:fill="ffffff"/>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交互投影系统</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★采用激光光源，标准亮度≥5000流明，物理分辨率≥1920×1080，光源正常使用寿命≥20000小时。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投影设备支持16:9、16:10或其他主流显示比例，并支持≥3840×2160超高清信号输入。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投影设备具备HDMI数字视频输入接口≥2个，并具备USB、RJ45网络接口、RS-232控制接口等接口中的≥2类。</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投影设备支持吊装、桌面放置或其他安装方式，并配套提供与设备适配的安装支架及固定组件。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配置高精度互动感应装置，采用计算机视觉、红外视觉或性能相当的非接触式空间定位技术，有效互动识别区域≥5m×8m。</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感应装置识别帧率≥60FPS，触控或定位误差≤3mm；支持不少于10点同步交互识别。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感应装置支持自动标定及手动标定，并具备画面异形校准、局部精度校准或等效交互区域校准能力。</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互动感应系统支持HID、鼠标协议、TUIO等交互协议中的≥2种，可将实时位置及互动操作数据传输至配套应用软件。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互动感应装置支持安装位置及角度调整，能够根据现场投影画面范围完成感应区域匹配。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支持读取互动感应设备输出的位置、点击、移动等操作数据，并根据用户互动行为触发相应的图片、视频、动画或数字内容反馈。</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支持单点及多点互动逻辑，可根据互动目标位置执行点击、选择、拖动、移动、切换等交互操作。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▲支持接入其他数字媒体资产平台，能够调用其中的产品模型、工业模型、艺术模型等数字资产，支持模型资源的分类调用、内容切换及展示更新，实现媒体资产与投影内容之间的联动应用。</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人机交互展示墙</w:t>
            </w:r>
            <w:r>
              <w:rPr>
                <w:rFonts w:hint="eastAsia" w:ascii="宋体" w:hAnsi="宋体" w:eastAsia="宋体" w:cs="宋体"/>
                <w:color w:val="000000"/>
                <w:sz w:val="24"/>
                <w:szCs w:val="24"/>
              </w:rPr>
            </w:r>
            <w:r/>
          </w:p>
        </w:tc>
        <w:tc>
          <w:tcPr>
            <w:tcW w:w="6817" w:type="dxa"/>
            <w:vAlign w:val="center"/>
            <w:textDirection w:val="lrTb"/>
            <w:noWrap w:val="false"/>
          </w:tcPr>
          <w:p>
            <w:pPr>
              <w:pStyle w:val="918"/>
              <w:numPr>
                <w:ilvl w:val="0"/>
                <w:numId w:val="19"/>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大尺寸显示单元≥4台，单台显示尺寸≥85英寸，物理分辨率≥3840×2160，刷新率≥60Hz，水平及垂直可视角度均≥170°；采用LCD、LED或显示性能相当的数字显示技术，多台显示单元可组合形成连续的大尺寸数字信息展示区域。</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★配置独立图形控制单元，处理器物理核心数≥8核，运行内存≥8GB，固态存储容量≥1TB；配置独立图形处理器，显存容量≥8GB，支持GPU图形加速及多屏扩展显示功能。</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图形控制单元配置数字视频输出接口≥4路，能够同时驱动全部显示单元，各通道支持≥3840×2160分辨率输出或等效显示方案；配置千兆及以上网络接口≥1个、USB接口≥4个，支持Windows 10、Windows 11或其他兼容的操作系统。</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整体式多点触控系统，采用红外、光学或性能相当的非接触式触控识别技术，支持≥4个显示区域拼接为连续触控区域，并建立统一触控坐标系；同时触控点数≥20点，定位精度≤5mm，响应时间≤30ms，支持点击、双击、拖动、滑动、缩放等≥4种触控操作。</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★配套可移动支架≥4台，支持显示单元组合联动及单台设备独立使用；系统支持多人同时交互，不同用户能够在不同显示区域进行独立触摸浏览及操作，满足多人协同教学、作品展示及交互体验需求。</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支持大画布数字信息墙展示功能，能够同时呈现大量图片、海报、作品缩略图及其他数字信息卡片，并通过动态布局实现持续变化的视觉展示效果。</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支持动态数字信息墙交互功能，用户触摸指定内容后，可实现内容突出显示、放大及详细信息查看；内容放大时，其他数字内容能够自动重新排列、避让或移动，关闭后恢复原有展示状态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字媒体内容交互浏览功能，具备单击、双击、滑动、拖拽、缩放等≥3种操作方式；支持同一信息对象关联多张图片或其他媒体资源，并能够连续浏览；支持为指定作品、项目或资源生成或绑定二维码，供移动终端扫码获取扩展信息。</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▲支持接入其他数字媒体资产平台，能够调用产品模型、工业模型、艺术模型等数字资产，支持模型资源分类调用、内容切换及展示更新。</w:t>
            </w:r>
            <w:r>
              <w:rPr>
                <w:rFonts w:hint="eastAsia" w:ascii="宋体" w:hAnsi="宋体" w:eastAsia="宋体" w:cs="宋体"/>
                <w:color w:val="000000"/>
                <w:sz w:val="24"/>
                <w:szCs w:val="24"/>
              </w:rPr>
            </w:r>
            <w:r/>
          </w:p>
          <w:p>
            <w:pPr>
              <w:pStyle w:val="918"/>
              <w:numPr>
                <w:ilvl w:val="0"/>
                <w:numId w:val="19"/>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支持可视化数字内容管理后台，管理员无需修改程序源代码即可完成图片、文字、视频及数字作品等展示内容的新增、编辑、删除与发布；</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全息展示终端</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▲采用全息成像技术，全息数字显示或有效成像区域对角尺寸≥60英寸，显示或内容输出物理分辨率≥1920×1080，支持16:9高清视频内容展示。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采用全息光学玻璃、半透半反光学介质或性能相当的全息成像结构，支持虚拟数字内容独立展示以及虚拟影像与实体展品组合展示。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具备实体展品摆放空间，能够放置产品模型、工业模型、艺术作品或其他教学展示实物，并实现实体展品与数字影像叠加展示。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▲配置独立播放或运算控制单元，运行内存≥8GB，存储容量≥1TB，能够独立完成全息视频、图片及数字内容播放。</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支持HDMI或其他数字高清视频接口≥1个，并具备USB接口≥2个。</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支持有线网络以及Wi-Fi无线网络连接能力。</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配置内置或集成式音频播放设备，支持数字展示内容同步进行声音播放。</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支持辅助照明功能，照明亮度支持调整或根据展示内容进行设置。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采用金属、钢化玻璃或强度相当的复合结构材料，全息成像区域应具有必要的防护措施。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设备支持连续运行≥8小时，在额定供电及正常环境条件下不得出现异常关机、画面中断或明显显示异常。</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接入其他数字媒体资产平台，能够调用其中的产品模型、工业模型、艺术模型等数字资产，并支持以二维预览图、三维模型或对应渲染内容等形式在全息展示终端中进行展示；支持模型资源的分类调用、内容切换及展示更新，实现媒体资产与全息展示内容之间的联动应用。</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透明展示终端</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显示尺寸≥55英寸，采用全彩LED透明显示技术；像素间距≤2.5mm，像素密度≥100000点/㎡。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整屏感官透明度≥85%，在正常安装环境下应保持屏幕后方空间及环境的视觉通透性。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显示亮度≥1000cd/㎡，支持亮度调节；灰度等级≥16bit，色温调节范围应覆盖3000K～10000K满足图片、视频、动画及数字艺术内容的层次化显示要求。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采用灯驱一体或性能相当的集成驱动方式，支持单点单控及静态驱动，换帧频率覆盖60～120Hz或性能不低于该范围。</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灯珠规格采用1515或性能相当及以上的小型化封装方案，灯珠工作寿命≥100000小时。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支持黑色背景或针对透明显示制作的数字素材播放，可形成悬浮式、空间化或类似裸眼三维的数字视觉展示效果。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屏体采用轻薄化透明结构，支持壁挂、吊装或与现场展示结构一体化安装；支持根据现场空间进行尺寸组合或显示区域定制。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显示系统采用一体化或高度集成式控制结构，内置或配套发送控制组件。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防护等级≥IP20，满足室内展示环境安装及使用要求。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采用模块化设计，支持显示单元独立安装、维护或更换，并能够根据项目实际展示面积进行横向或纵向扩展。</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接入其他数字媒体资产平台，能够调用其中的产品模型、工业模型、艺术模型等数字资产，并支持以二维预览图、三维模型在展示终端中进行展示；支持模型资源的分类调用、内容切换及展示更新，实现媒体资产与展示终端内容之间的联动应用。</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智能人机课程及教学研发资源管理平台</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人机交互课程教学与资源管理平台应由人机交互教学课程管理平台、定制虚拟仿真实验课程及数据资源管理平台组成，形成集课程教学、虚拟仿真实验、实验过程管理、教学资源管理及数据成果管理于一体的综合教学应用平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一、 人机交互教学课程管理平台</w:t>
            </w:r>
            <w:r>
              <w:rPr>
                <w:rFonts w:hint="eastAsia" w:ascii="宋体" w:hAnsi="宋体" w:eastAsia="宋体" w:cs="宋体"/>
                <w:color w:val="000000"/>
                <w:sz w:val="24"/>
                <w:szCs w:val="24"/>
              </w:rPr>
            </w:r>
            <w:r/>
          </w:p>
          <w:p>
            <w:pPr>
              <w:pStyle w:val="918"/>
              <w:numPr>
                <w:ilvl w:val="0"/>
                <w:numId w:val="20"/>
              </w:num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▲配套数据资源平台统一入口及后台管理平台，面向人机交互、数字媒体等专业教学实训；支持院级或实训室级门户展示，门户名称、标识、栏目及展示内容可根据采购人教学需求进行配置。</w:t>
            </w:r>
            <w:r>
              <w:rPr>
                <w:rFonts w:hint="eastAsia" w:ascii="宋体" w:hAnsi="宋体" w:eastAsia="宋体" w:cs="宋体"/>
                <w:color w:val="000000"/>
                <w:sz w:val="24"/>
                <w:szCs w:val="24"/>
              </w:rPr>
            </w:r>
            <w:r/>
          </w:p>
          <w:p>
            <w:pPr>
              <w:pStyle w:val="918"/>
              <w:numPr>
                <w:ilvl w:val="0"/>
                <w:numId w:val="20"/>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统一身份认证、组织架构及用户权限管理，支持教师、学生、管理员等不同角色登录及权限配置；支持建立≥2级教学组织架构，包含院系、专业、班级、课程等组织关系；具备用户新增、修改、查询、启用、停用及角色创建、菜单权限、资源权限配置等功能。</w:t>
            </w:r>
            <w:r>
              <w:rPr>
                <w:rFonts w:hint="eastAsia" w:ascii="宋体" w:hAnsi="宋体" w:eastAsia="宋体" w:cs="宋体"/>
                <w:color w:val="000000"/>
                <w:sz w:val="24"/>
                <w:szCs w:val="24"/>
              </w:rPr>
            </w:r>
            <w:r/>
          </w:p>
          <w:p>
            <w:pPr>
              <w:pStyle w:val="918"/>
              <w:numPr>
                <w:ilvl w:val="0"/>
                <w:numId w:val="20"/>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▲支持数字教学资产统一管理功能，至少能够对教学工作流、媒资资产、应用实例等≥3类资源进行集中管理，支持资源查看、分类、审核、发布或权限控制等功能中的≥3项；</w:t>
            </w:r>
            <w:r>
              <w:rPr>
                <w:rFonts w:hint="eastAsia" w:ascii="宋体" w:hAnsi="宋体" w:eastAsia="宋体" w:cs="宋体"/>
                <w:color w:val="000000"/>
                <w:sz w:val="24"/>
                <w:szCs w:val="24"/>
              </w:rPr>
            </w:r>
            <w:r/>
          </w:p>
          <w:p>
            <w:pPr>
              <w:pStyle w:val="918"/>
              <w:numPr>
                <w:ilvl w:val="0"/>
                <w:numId w:val="20"/>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教学工作流管理与应用功能，至少覆盖数字绘画、交互设计、图像处理、三维建模与渲染等≥3类教学场景；支持工作流的新增、配置、定制、保存、查看、调用及管理，并能够通过统一门户调用已配置的教学工作流。</w:t>
            </w:r>
            <w:r>
              <w:rPr>
                <w:rFonts w:hint="eastAsia" w:ascii="宋体" w:hAnsi="宋体" w:eastAsia="宋体" w:cs="宋体"/>
                <w:color w:val="000000"/>
                <w:sz w:val="24"/>
                <w:szCs w:val="24"/>
              </w:rPr>
            </w:r>
            <w:r/>
          </w:p>
          <w:p>
            <w:pPr>
              <w:pStyle w:val="918"/>
              <w:numPr>
                <w:ilvl w:val="0"/>
                <w:numId w:val="20"/>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第三方教学应用及数字内容创作工具集成，能够接入图像创作、视频制作、数字人内容制作及脚本、故事、分镜创作等应用；支持应用实例登记、查看、调用及权限配置，并支持第三方应用或采购人自建应用通过统一账户或统一入口访问。</w:t>
            </w:r>
            <w:r>
              <w:rPr>
                <w:rFonts w:hint="eastAsia" w:ascii="宋体" w:hAnsi="宋体" w:eastAsia="宋体" w:cs="宋体"/>
                <w:color w:val="000000"/>
                <w:sz w:val="24"/>
                <w:szCs w:val="24"/>
              </w:rPr>
            </w:r>
            <w:r/>
          </w:p>
          <w:p>
            <w:pPr>
              <w:pStyle w:val="918"/>
              <w:numPr>
                <w:ilvl w:val="0"/>
                <w:numId w:val="20"/>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课程教务及教学成绩管理功能，能够设置课程适用对象、适用班级及教学组织关系；支持按课程、班级统计和查询理论课程成绩，学生可查看个人成绩；提供实验结果自动上传接口，支持按规范接口提交实验结果并保存，具备实验成绩统计与查询功能。</w:t>
            </w:r>
            <w:r>
              <w:rPr>
                <w:rFonts w:hint="eastAsia" w:ascii="宋体" w:hAnsi="宋体" w:eastAsia="宋体" w:cs="宋体"/>
                <w:color w:val="000000"/>
                <w:sz w:val="24"/>
                <w:szCs w:val="24"/>
              </w:rPr>
            </w:r>
            <w:r/>
          </w:p>
          <w:p>
            <w:pPr>
              <w:pStyle w:val="918"/>
              <w:numPr>
                <w:ilvl w:val="0"/>
                <w:numId w:val="20"/>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教学资源上传及资源库管理功能，能够上传和管理教学视频、教学课件、文档资料等资源，支持最大4GB单文件直接上传；教师可维护个人资源库，并能够将教学资料、实验素材等添加至教学资源库，实现教学资源集中管理与共享。</w:t>
            </w:r>
            <w:r>
              <w:rPr>
                <w:rFonts w:hint="eastAsia" w:ascii="宋体" w:hAnsi="宋体" w:eastAsia="宋体" w:cs="宋体"/>
                <w:color w:val="000000"/>
                <w:sz w:val="24"/>
                <w:szCs w:val="24"/>
              </w:rPr>
            </w:r>
            <w:r/>
          </w:p>
          <w:p>
            <w:pPr>
              <w:pStyle w:val="918"/>
              <w:numPr>
                <w:ilvl w:val="0"/>
                <w:numId w:val="20"/>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配套数据采集及应用插件包，支持Maya、Unity、Unreal Engine等软件或开发平台，能够满足虚拟现实、三维动画、动作数据采集及人机交互应用的数据接入、处理或教学开发需求。</w:t>
            </w:r>
            <w:r>
              <w:rPr>
                <w:rFonts w:hint="eastAsia" w:ascii="宋体" w:hAnsi="宋体" w:eastAsia="宋体" w:cs="宋体"/>
                <w:color w:val="000000"/>
                <w:sz w:val="24"/>
                <w:szCs w:val="24"/>
              </w:rPr>
            </w:r>
            <w:r/>
          </w:p>
          <w:p>
            <w:pPr>
              <w:pStyle w:val="918"/>
              <w:numPr>
                <w:ilvl w:val="0"/>
                <w:numId w:val="20"/>
              </w:numPr>
              <w:ind w:left="0"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台采用B/S、C/S或混合架构，提供图形化后台管理界面，支持教学资源、工作流、应用实例及用户权限的统一管理；客户端应能够在本项目配置的人机交互数据处理终端正常运行，并具备第三方应用接入及后续功能扩展能力。</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 定制虚拟仿真实验课程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 ★应提供不少于2个课程内容方向的虚拟仿真实验资源，每个课程内容方向均应具备独立的实验目标、实验任务、虚拟操作过程、数据分析及实验结果输出功能。内容方向应覆盖人体动作分析、工业产品艺术设计、人机交互内容设计方向，投标单位可结合项目教学需求进行具体课程内容设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虚拟仿真实验应具备交互式操作能力，学生能够在实验过程中进行参数设置、对象操作、条件调整、数据采集或结果分析，不得仅采用视频播放、PPT展示或静态网页浏览方式替代虚拟仿真实验。</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每个课程内容方向应包含不少于3个可独立完成的实验任务，全部虚拟仿真实验资源合计提供实验任务不少于9项。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虚拟实验场景中应能够配置虚拟人物、设备、显示终端、传感器或其他交互对象中的≥2类，并能够通过操作触发相应状态变化。</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支持视觉、声音、动画、文字、设备状态变化等反馈方式中的≥3类，用于模拟真实人机交互系统的多模态反馈过程。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虚拟仿真实验应具备实验介绍、实验目的、实验原理、操作步骤、实验任务、实验结果及实验总结等教学环节。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学生应能够自主修改实验参数，不同参数设置应产生相应的实验过程或实验结果变化。</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支持实验过程数据记录，能够记录学生实验步骤、关键操作、参数设置、实验结果等信息中的≥3项。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支持实验数据可视化，实验结果能够采用曲线图、柱状图、数据表、热力图、三维轨迹等形式中的≥2种进行展示。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支持实验结果导出，至少能够将实验数据、分析结果或实验报告中的≥1类内容导出为常用文档、表格或数据格式。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虚拟仿真实验应具备实验考核功能，支持根据实验步骤完成情况、实验参数设置、实验结果分析、实验答题等内容中的≥2项进行成绩评价。</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应支持管理员、教师、学生等不同角色使用，其中教师能够发布实验任务、查看学生实验进度及实验结果。</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建模精度：低模不低于5000面、高模不低于10000面；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交互实时响应，视频资源分辨率1920*1080,音频资源声音清晰。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三维模型表面应光滑无锯齿，建模效果应尽量接近实物。贴图分辨率1024*1024；表格必须有底色、各行列根据用户需求以不同颜色显示；曲线图中不同线条须不同颜色显示；图片颜色搭配协调和突出。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 显示窗口功能分区简洁，图像、数据和控制多画面设计，主副画面自由切换，并根据预先设置条件进行错误操作报警功能。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17. 界面友好直观、实验场景和操作交互贴近实际，真实感强；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18. ★应支持与本项目VR/AR人机交互设备、AR数字交互展台、等设备中使用该课程并进行数据关联。</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19. ★定制虚拟仿真课程内容脚本要求：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19.1 虚拟仿真课程脚本一</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本课程的实验教学目标，本着“能实不虚”的原则，学生在进入本课程学习之初，应该对真实实验的场景数字孪生选定、交互影像设计原理、投影融合设计操作过程、预期结论等有初步的</w:t>
            </w:r>
            <w:r>
              <w:rPr>
                <w:rFonts w:hint="eastAsia" w:ascii="宋体" w:hAnsi="宋体" w:eastAsia="宋体" w:cs="宋体"/>
                <w:color w:val="000000"/>
                <w:sz w:val="24"/>
                <w:szCs w:val="24"/>
              </w:rPr>
              <w:t xml:space="preserve">课堂教学和较全面的认识。门户展示首页、实验背景、课程目标、实验要求、成绩评定、教学团队、实验评价、项目特色等教学内容的展示。系统操作者在三维仿真模拟的实验场景中，可通过操作键盘、鼠标点击实验设备、实验环节进行操作，开展针对性的交互使用训练。同时，系统配以文字、图片、音频、视频等相关介绍，进行实验教学培训、授课、考核等实验教学工作，它可以使教学老师摆脱繁重的实验教学工作，大幅度提高教学效率和学生的学习积极性。同时，使学生能够不受时间和地点限制，完成专业的培训和锻炼，建成一套技术先进与实用相结合的实验教学系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本课程分为3章：实验介绍、场景教学、实验报告。</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 实验介绍：操作提示、实验目的、实验流程、基础知识;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场景教学：场景选择、背景音乐选择、人物选择；通过以上模块结合投影融合技术实现古代云锦工艺流程；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实验报告：模型场景应实现云锦工艺制作全流程交互程序开发，包含每个制造工序的模拟制作、角色的选择、评分逻辑实现、实验报告生成等功能；在“设计”单元根据资料库提供的织布机零件通过投影融合技术功能实现各个元素的替换。</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19.2 ★虚拟仿真课程脚本二</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（1）平台应具备完整的实验流程管理功能，包含且不限于以下核心功能模块：实验准备模块、设计场地漫游模块、景观特征分析模块、方案设计模块、实验报告模块。</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（2）平台应支持完整的实验流程管理，实验流程包含以下核心环节：选择实验地块、进入设计场地、场地尺度数据采集、场地景观风貌采集、景观特征分析、提交环境报告。</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（3）提供知识角信息查阅功能，学生可在实验前详细查阅实验背景资料、设计方法、相关政策法规、行业标准以及各环节知识点；实验过程中可随时点开知识角进行信息查阅。</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（4）支持选择实验地块，引导学生对园林景观规划区位大环境作概括式了解；支持查阅地块背景资料及设计任务书，模拟实际工程项目中了解地块资料和设计任务的环节。</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（5）支持学生在三维场景中漫游，熟悉实验环境，了解操作步骤和相关知识点。</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（6）环境报告提交模块：支持通过查阅环境报告和勘测图表回顾勘测过程，支持发现遗漏数据时返回补测，确认无误后进入下一环节。</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（7）支持景观更新设计定位、园林景观小品设计、公共空间景观设计。</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（8）支持设计方案展示、方案效益评估、方案优化设计选择等功能。</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（9）支持生成最终实验报告，包括现场勘测环境报告、方案设计报告、方案效益评估报告、互评得分和评审意见，便于学生回顾实验全过程。</w:t>
            </w:r>
            <w:r>
              <w:rPr>
                <w:rFonts w:hint="eastAsia" w:ascii="宋体" w:hAnsi="宋体" w:eastAsia="宋体" w:cs="宋体"/>
                <w:color w:val="000000"/>
                <w:sz w:val="24"/>
                <w:szCs w:val="24"/>
              </w:rPr>
            </w:r>
            <w:r/>
          </w:p>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 数据资源管理平台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 ▲平台支持实训室设备共享使用，为VR一体机、AR交互展台等设计终端设备提供数据支撑及共享。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▲配套数字模型与多媒体资产管理类平台，面向三维模型设计、数字媒体内容创作、人机交互及相关教学实训。</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支持数字资产创建功能，创建资产时能够设置资产名称、资产类型、子类型、标签、公开属性及描述等信息中的≥4项。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▲支持数字资产首页或资源看板功能，能够展示不同类型资源的数量、占比、热门资源或资源使用情况等统计信息中的≥2项。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支持多类型数字资产统一管理功能，至少支持文本、图片、视频、音频、三维模型等≥5类数字资源的创建、上传、分类、查看及管理。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支持数字资产公有/私有权限管理及审核发布机制，用户能够将个人资产提交至公共资源区域，由授权角色完成审核、发布或退回等操作，实现教学资源规范化管理。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支持资源使用情况展示功能，支持按照浏览、收藏、下载、点赞等指标中的≥2项形成资源热度统计或排行。</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支持通过二维码、链接或其他便捷方式获取数字资产，方便移动终端或其他教学设备访问资源。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支持三维模型资产在线预览功能，支持三维模型旋转、缩放等交互操作，并支持白模、拓扑、法线、材质/反射或等效模型显示模式中的≥3种。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支持全景图像或全景媒体资源预览，用户能够通过拖动或其他交互方式调整观看角度。</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音视频资源支持在线播放、暂停、进度控制或全屏预览等功能中的≥2项。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支持与其他教学应用或创作应用的数据协同能力，支持通过文件、链接、标准接口或系统内部资源引用等方式调用数字资产。</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软件采用B/S、C/S或混合架构，支持图形化操作界面，能够在本项目模型内容创作终端正常访问及运行。</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应提供三维模型教学资源不少于100项，资源类型至少覆盖角色、场景环境、工业模型、产品模型等≥4类，并可用于三维设计、数字内容创作及人机交互教学实训。[</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开放书架</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≥1组，240cm*30cm*180cm，人造板采用人造板或性能相当的板材制作，用于VR设备、头戴设备及配件分类存放。</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展示柜</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≥4组，120cm*30cm*200cm，玻璃门展示柜，LED照明柜体配置玻璃门及内部LED照明，用于学生作品、模型及数字产品展示。</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展示台</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≥15个，支持采用不同造型或规格组合，满足工业设计模型、交互作品、艺术设计成果等不同尺寸作品的陈列展示需求。</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储物柜</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≥1组，1800×1000×500mm用于教学材料、设备附件及展示用品集中收纳。</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资料/材料架</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≥1组，开放式多层书架，≥1200×400×600mm用于课程资料、作品集及相关教学材料展示。</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休闲桌</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配套休闲座椅，圆桌≥800mm每桌配置座椅≥4把；休闲桌数量≥10张，满足学生交流、项目讨论及课程成果展示使用需求。</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体验操作台</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≥2组，120cm*40cm*90cm，用于VR、MR、AR及其他人机交互设备体验和操作。</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隔断墙</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应根据现场空间设置储藏区域，通过隔断方式形成相对独立的设备、材料或活动隔断收纳空间。空间分隔系统采用活动隔断或功能相当的模块化分隔结构，隔断面层采用防火板硬包或性能相当材料，隔断总实施面积约198㎡。75款防火板，31*3、6*3*6道、15*3*3道，隔断门板厚度要求≥75mm，门板基材采用防火板或性能相当材料，边框采用铝合金或强度相当的金属结构，五金配件应符合国家相关质量标准。</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198</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平方</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延长轨道</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铝合金轨道</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接口配件</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活动隔断系统应采用顶部轨道导向结构，并配齐直线、十字、T型、L型等实际安装所需轨道连接及转向配件</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隔音棉</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配套材料、结构件及饰面材料应符合国家现行室内环境、防火及产品质量相关标准；涉及人造板材的，应满足室内使用的环保要求。隔断内部配置隔音棉或性能相当的吸声材料，提升分隔后的空间声学隔离效果。</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198</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平方</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3D数字雕刻数位屏</w:t>
            </w:r>
            <w:r>
              <w:rPr>
                <w:rFonts w:hint="eastAsia" w:ascii="宋体" w:hAnsi="宋体" w:eastAsia="宋体" w:cs="宋体"/>
                <w:color w:val="000000"/>
                <w:sz w:val="24"/>
                <w:szCs w:val="24"/>
              </w:rPr>
            </w:r>
            <w:r/>
          </w:p>
        </w:tc>
        <w:tc>
          <w:tcPr>
            <w:tcW w:w="6817" w:type="dxa"/>
            <w:vAlign w:val="center"/>
            <w:textDirection w:val="lrTb"/>
            <w:noWrap w:val="false"/>
          </w:tcPr>
          <w:p>
            <w:pPr>
              <w:pStyle w:val="918"/>
              <w:numPr>
                <w:ilvl w:val="0"/>
                <w:numId w:val="21"/>
              </w:numPr>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屏幕尺寸≥21.5英寸，有效工作区域≥475×265mm；采用IPS平面转换显示技术，配备全覆盖防眩光蚀刻钢化玻璃。</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屏幕最高支持分辨率≥3840×2160，刷新率≥120Hz，对比度≥1200:1，亮度≥300cd/㎡，响应时间≤12ms，支持屏幕背光均匀性优化。</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▲屏幕色域覆盖≥99% DCI-P3、≥95% Adobe RGB及100% Rec.709，支持HDR高动态范围显示技术；支持Pantone Validated彩通认证。</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▲支持EMR电磁感应技术，配套专业压感笔，笔压感级别≥8192级；压感笔支持AES协议，满足数字绘画、三维雕刻及精细化设计操作需求。</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压感笔采用无源无线技术，支持可更换笔握按键及配重调节；笔侧按键数量≥3颗，支持≥±60°倾角感应，笔尖识别高度≥10mm。</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配套标准笔尖≥5个、毡笔笔尖≥5个，并提供屏侧笔托，支持笔尖、笔尖移除器、笔握、替换按键及配重杆等附件的统一收纳管理。</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支持投射电容式多点触控技术，可同时识别≥10指触控操作，触控识别分辨率≥0.025mm/点，最高触控读取率≥120Hz。</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支持ExpressKey快捷按键功能，快捷按键数量≥8颗，可用于设计软件快捷操作；支持DDC/CI显示控制通信技术，便于显示设备参数管理及控制。</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配置USB-C接口≥1个、USB-A接口≥1个，其中支持USB 3.2 Gen1或USB 2.0数据传输的USB-C接口≥1个；配置miniDisplayPort接口≥1个、HDMI 2.0接口≥1个，并支持Kensington安全锁孔。</w:t>
            </w:r>
            <w:r>
              <w:rPr>
                <w:rFonts w:hint="eastAsia" w:ascii="宋体" w:hAnsi="宋体" w:eastAsia="宋体" w:cs="宋体"/>
                <w:color w:val="000000"/>
                <w:sz w:val="24"/>
                <w:szCs w:val="24"/>
                <w:lang w:val="en-US"/>
              </w:rPr>
            </w:r>
            <w:r/>
          </w:p>
          <w:p>
            <w:pPr>
              <w:pStyle w:val="918"/>
              <w:numPr>
                <w:ilvl w:val="0"/>
                <w:numId w:val="21"/>
              </w:numPr>
              <w:ind w:left="0" w:firstLine="0"/>
              <w:jc w:val="left"/>
              <w:widowControl/>
              <w:rPr>
                <w:rFonts w:hint="eastAsia" w:ascii="宋体" w:hAnsi="宋体" w:eastAsia="宋体" w:cs="宋体"/>
                <w:color w:val="000000"/>
                <w:sz w:val="24"/>
                <w:szCs w:val="24"/>
                <w:lang w:val="en-US"/>
              </w:rPr>
            </w:pPr>
            <w:r>
              <w:rPr>
                <w:rFonts w:hint="eastAsia" w:ascii="宋体" w:hAnsi="宋体" w:eastAsia="宋体" w:cs="宋体"/>
                <w:color w:val="000000"/>
                <w:sz w:val="24"/>
                <w:szCs w:val="24"/>
                <w:lang w:val="en-US"/>
              </w:rPr>
              <w:t xml:space="preserve">配备原厂可调节人体工学支架，支持锁定闩及无级角度调节，支架可调节折角范围≥60°，支持顺时针及逆时针各≥20°旋转调节。</w:t>
            </w:r>
            <w:r>
              <w:rPr>
                <w:rFonts w:hint="eastAsia" w:ascii="宋体" w:hAnsi="宋体" w:eastAsia="宋体" w:cs="宋体"/>
                <w:color w:val="000000"/>
                <w:sz w:val="24"/>
                <w:szCs w:val="24"/>
                <w:lang w:val="en-US"/>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桌面级3D打印机</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★有效打印成型尺寸不小于250mm×250mm×250mm。</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▲支持双喷嘴、双打印头或功能相当的双材料打印方式，并支持采用独立支撑材料完成复杂模型打印。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喷嘴最高工作温度≥300℃，热床最高工作温度≥110℃，满足PLA、PETG、ABS、ASA、TPU、PA、PC等材料中的≥5种打印需求。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采用封闭式打印腔体，并支持腔体温度控制、主动加热或等效热环境管理功能，最高受控腔温≥50℃。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喷嘴采用硬化钢、不锈钢或耐磨性能相当的材料，标配喷嘴直径≤0.4mm，并支持更换不同直径喷嘴。</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工具头最大移动速度≥500mm/s，最大移动加速度≥10000mm/s²，支持高速模型打印。</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支持碳纤维、玻璃纤维或其他纤维增强复合材料，满足工业设计及结构件模型制作需求。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支持断料检测、断电续打、耗材异常检测、开门检测等智能检测功能中的≥3项。</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配置内置摄像头，视频分辨率≥1920×1080，支持打印过程实时监控，并支持延时摄影或打印过程记录功能。</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支持空气净化功能，至少采用颗粒物过滤、HEPA过滤、活性炭过滤等方式中的≥2种。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配置彩色触控显示屏，屏幕尺寸≥4英寸，支持设备状态查看、文件选择、打印任务控制及设备参数设置。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支持无线网络连接功能，支持通过本地触控终端、计算机客户端或移动终端中的≥2种方式进行打印任务管理及设备状态查看。</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配套切片软件应支持Windows、macOS、Linux等操作系统中的≥2种，并支持模型摆放、支撑生成、材料参数设置、切片预览及打印文件输出。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切片软件至少支持STL、3MF、OBJ等常用三维模型格式中的≥2种导入，并支持生成设备能够识别的打印任务文件。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▲支持多材料或多颜色扩展系统，可通过自动供料、自动换料或其他方式扩展多种耗材连续打印能力。</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3D打印机耗材</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耗材线径为1.75mm，线径公差≤±0.03mm。</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2.提供打印耗材总重量不少于120kg，耗材应采用独立盘装或卷装包装，每卷净重原则上≥1kg。</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耗材应具备良好的打印稳定性和层间附着性能，打印过程中不得出现明显断料、严重翘曲、异常脆断或持续性堵头现象。</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耗材推荐打印温度范围应覆盖190℃～230℃，适用于常规PLA高速打印工艺。</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耗材应适用于0.4mm及以上常用喷嘴，并兼容本项目设备的自动送料或多材料扩展系统使用。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耗材颜色应提供不少于6种可选颜色，具体颜色由采购人在供货前确认，以满足不同教学作品及模型打印需求。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耗材应采用密封防潮包装，并配套干燥剂或等效防潮措施。</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手持式3D扫描仪</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▲采用手持式扫描及触屏操作，支持无线单机独立操作，无需连接外部计算设备即可完成扫描，并能够直接输出Mesh模型文件；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配置纹理相机≥1个，纹理相机像素≥500万。</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▲支持小范围激光扫描、大范围快速激光扫描及红外散斑扫描三种模式；其中小范围激光扫描采用7线平行蓝激光，大范围快速激光扫描采用50线蓝激光；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小范围扫描点距支持0.05～10mm，大范围扫描点距支持0.2～10mm。</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支持蓝色线激光光源及红外线激光光源。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扫描速度：数据捕获速度≥4,800,000点/秒。</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扫描精度：体积精度≥0.04mm+0.06mm/m。</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支持Wi-Fi 6、以太网、USB Type-C及U盘等方式向外部设备传输扫描数据。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配置可更换锂电池≥4块，续航时间≥4小时；支持外接100W PD3.0协议充电宝，并支持外接100W PD3.0协议快充适配器。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★配置一体式显示屏，尺寸≥6.4英寸；内置处理器核心数≥8核；内置Android操作系统；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▲激光扫描模式支持标志点拼接、框架点拼接、特征拼接及混合拼接；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支持数字化云平台软件，具备三维模型数据管理功能，支持模型上传、信息查看、下载、移动、重命名、分享及删除。</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支持全屏查看、纹理显示/隐藏、阴影显示/隐藏、视角重置及模型自动旋转展示；支持嵌入分享，可下载原文件或glTF文件；支持网络端与移动端相互分享及二维码分享。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支持模型编辑器支持场景管理，具备HDR灯光管理功能，支持HDR资源自定义上传，以及曝光、旋转、模糊等参数设置。模型编辑器具备材质球管理及PBR材质设置功能，支持金属、粗糙、AO、透明度、自发光、法线、凹凸、衰减、透射度、材质厚度、透明涂层、光泽、镜面反射、折射、反射、双面材质等参数，并提供默认材质库。</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 模型编辑器具备摄像机管理功能，支持正交/透视相机切换及FOV参数设置。</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专业级3D人体三维扫描仪</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配置一体式触摸显示屏，屏幕尺寸≥6.4英寸，支持通过触摸屏完成扫描操作，并查看及处理扫描数据。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存储容量≥512GB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▲支持人体扫描、腔体扫描及手持扫描。</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相机数量≥5个。</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空间点距支持0.2mm～3mm范围内调节。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扫描范围：静态扫描幅面≥1260mm×1090mm。</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▲配置白光LED光源及红外VCSEL光源。</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▲支持特征拼接、纹理拼接、标志点拼接、框架点拼接及混合拼接。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★配置像素≥500万的纹理相机，能够直接获取彩色3D数据。</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支持质量色谱功能，在扫描过程中能够通过彩色色谱对点云边缘数据质量进行实时评价，并提示工作人员对漏扫区域进行补扫。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自带无线热点，可通过设备热点直接与外部计算设备建立无线连接。</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★内置计算单元：CPU核心数≥8核，主频≥2.4GHz；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支持通过Type-C接口连接移动电池供电，在连续扫描模式下续航时间≥3小时。</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支持额面、躯干、上肢、腿、足、腔体等扫描部位的可视化选择。</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 支持数字化云平台软件，具备三维模型数据管理功能，支持模型上传、信息查看、下载、移动、重命名、分享及删除。</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17. 支持全屏查看、纹理显示/隐藏、阴影显示/隐藏、视角重置及模型自动旋转展示；支持嵌入分享，可下载原文件或glTF文件；支持网络端与移动端相互分享及二维码分享。</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18. 支持模型编辑器支持场景管理，具备HDR灯光管理功能，支持HDR资源自定义上传，以及曝光、旋转、模糊等参数设置。模型编辑器具备材质球管理及PBR材质设置功能，支持金属、粗糙、AO、透明度、自发光、法线、凹凸、衰减、透射度、材质厚度、透明涂层、光泽、镜面反射、折射、反射、双面材质等参数，并提供默认材质库。</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19. 模型编辑器具备摄像机管理功能，支持正交/透视相机切换及FOV参数设置。</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模型内容创作终端</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★处理器采用x86-64架构，物理核心数≥20核、线程数≥28线程，最高睿频≥5.5GHz。</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2. ★配置内存容量≥64GB，采用DDR5内存；支持内存扩展能力，最大支持内存容量≥128GB。</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3. ★配置独立图形处理器，独立显存容量≥16GB，支持硬件光线追踪。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4. 配置M.2 NVMe固态硬盘，容量≥2TB，采用PCIe接口。</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5. 主板提供内存插槽≥4个，PCIe x16扩展插槽≥1个，M.2固态硬盘接口≥2个，满足后续容量扩展需求。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6. 配置千兆及以上以太网接口≥1个，USB接口总数量≥6个，其中USB 3.0或以上高速接口≥4个，USB Type-C接口≥1个，接口支持数据传输；</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7. 配置音频输入或音频输出接口，能够满足耳机、扬声器、麦克风等教学外设连接需求。</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8. 配置数字视频输出接口≥3个，支持HDMI、DisplayPort或功能相当的数字显示接口，并支持多显示器扩展应用。</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9. 配置的电源额定功率应满足处理器、图形处理器及整机满负荷稳定运行需求； </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10. 配置与处理器及图形处理器功耗相匹配的散热系统。</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11. 支持64位Windows操作系统，配套提供Windows 11专业版或性能及功能相当的64位桌面操作系统授权。</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12. 配置有线键盘、鼠标各≥1套。</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13. 配套显示器尺寸≥27英寸，物理分辨率≥1920×1080，刷新率≥60Hz，采用IPS或显示性能相当的液晶面板，水平及垂直可视角度均≥170°。</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14. 应提供不少于3个课程内容方向的3D建模与打印教学课程资源，课程内容至少覆盖三维模型设计基础、产品/工业模型设计、3D打印成型与实践等方向。</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15. 应提供不少于100项可用于教学实训的三维模型资源，资源类型至少覆盖产品模型、工业模型、机械结构模型、创意模型、教学示例模型等≥4类。</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16. 三维模型资源应提供可用于3D打印的通用文件格式，至少支持STL、3MF、OBJ等格式中的≥2种，并能够导入本项目3D打印设备配套切片工具进行打印。</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电脑桌椅</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教学操作单元配置不少于8套120cm*60cm*75cm，并配套座凳≥1个，满足学生进行三维设计、模型处理及相关教学操作。</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模型</w:t>
            </w:r>
            <w:r>
              <w:rPr>
                <w:rFonts w:hint="eastAsia" w:ascii="宋体" w:hAnsi="宋体" w:eastAsia="宋体" w:cs="宋体"/>
                <w:color w:val="000000"/>
                <w:sz w:val="24"/>
                <w:szCs w:val="24"/>
              </w:rPr>
            </w:r>
            <w:r/>
          </w:p>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展示柜</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配置模型展示单元≥1组，300cm*35cm*180cm采用组合式结构，用于三维打印模型、工业设计作品及课程成果展示。</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储物柜</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配置储物收纳单元≥2个100cm*30cm*110cm，用于打印耗材、扫描附件、工具及教学材料分类存放。</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工作台1</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配置3D打印设备承载工作台≥3个，160cm*60cm*75cm并各配套座凳≥4个，应满足桌面级3D打印设备稳定放置及日常操作需求</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r>
        <w:trPr>
          <w:trHeight w:val="20"/>
        </w:trPr>
        <w:tc>
          <w:tcPr>
            <w:tcW w:w="757"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rPr>
                <w:rFonts w:hint="eastAsia" w:ascii="宋体" w:hAnsi="宋体" w:eastAsia="宋体" w:cs="宋体"/>
                <w:color w:val="000000"/>
                <w:sz w:val="24"/>
                <w:szCs w:val="24"/>
              </w:rPr>
            </w:r>
            <w:r/>
          </w:p>
        </w:tc>
        <w:tc>
          <w:tcPr>
            <w:tcW w:w="1245"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工作台2</w:t>
            </w:r>
            <w:r>
              <w:rPr>
                <w:rFonts w:hint="eastAsia" w:ascii="宋体" w:hAnsi="宋体" w:eastAsia="宋体" w:cs="宋体"/>
                <w:color w:val="000000"/>
                <w:sz w:val="24"/>
                <w:szCs w:val="24"/>
              </w:rPr>
            </w:r>
            <w:r/>
          </w:p>
        </w:tc>
        <w:tc>
          <w:tcPr>
            <w:tcW w:w="6817" w:type="dxa"/>
            <w:vAlign w:val="center"/>
            <w:textDirection w:val="lrTb"/>
            <w:noWrap w:val="false"/>
          </w:tcPr>
          <w:p>
            <w:pPr>
              <w:pStyle w:val="918"/>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配置3D扫描设备操作工作台≥1个，200cm*120cm*75cm并配套座凳≥4个，满足3D扫描、模型摆放、数据采集及多人协同操作需求。</w:t>
            </w:r>
            <w:r>
              <w:rPr>
                <w:rFonts w:hint="eastAsia" w:ascii="宋体" w:hAnsi="宋体" w:eastAsia="宋体" w:cs="宋体"/>
                <w:color w:val="000000"/>
                <w:sz w:val="24"/>
                <w:szCs w:val="24"/>
              </w:rPr>
            </w:r>
            <w:r/>
          </w:p>
        </w:tc>
        <w:tc>
          <w:tcPr>
            <w:tcW w:w="848"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703" w:type="dxa"/>
            <w:vAlign w:val="center"/>
            <w:textDirection w:val="lrTb"/>
            <w:noWrap w:val="false"/>
          </w:tcPr>
          <w:p>
            <w:pPr>
              <w:pStyle w:val="918"/>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rPr>
                <w:rFonts w:hint="eastAsia" w:ascii="宋体" w:hAnsi="宋体" w:eastAsia="宋体" w:cs="宋体"/>
                <w:color w:val="000000"/>
                <w:sz w:val="24"/>
                <w:szCs w:val="24"/>
              </w:rPr>
            </w:r>
            <w:r/>
          </w:p>
        </w:tc>
      </w:tr>
    </w:tbl>
    <w:p>
      <w:pPr>
        <w:pStyle w:val="918"/>
        <w:ind w:firstLine="482"/>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注：打“★”项为实质性响应条件,不满足则作无效投标处理。</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2、供货时间及方式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自合同签订</w:t>
      </w:r>
      <w:r>
        <w:rPr>
          <w:rFonts w:hint="eastAsia" w:ascii="宋体" w:hAnsi="宋体" w:eastAsia="宋体" w:cs="宋体"/>
          <w:color w:val="000000"/>
          <w:sz w:val="24"/>
          <w:szCs w:val="24"/>
          <w:highlight w:val="none"/>
          <w:lang w:val="en-US" w:eastAsia="zh-CN"/>
        </w:rPr>
        <w:t xml:space="preserve">生效</w:t>
      </w:r>
      <w:r>
        <w:rPr>
          <w:rFonts w:hint="eastAsia" w:ascii="宋体" w:hAnsi="宋体" w:eastAsia="宋体" w:cs="宋体"/>
          <w:color w:val="000000"/>
          <w:sz w:val="24"/>
          <w:szCs w:val="24"/>
          <w:highlight w:val="none"/>
          <w:lang w:eastAsia="zh-CN"/>
        </w:rPr>
        <w:t xml:space="preserve">起40日历天内完成供货、安装调试及验收。供货时，按照采购方需求数量、送货地点进行供货。</w:t>
      </w:r>
      <w:r>
        <w:rPr>
          <w:rFonts w:hint="eastAsia" w:ascii="宋体" w:hAnsi="宋体" w:eastAsia="宋体" w:cs="宋体"/>
          <w:color w:val="000000"/>
          <w:sz w:val="24"/>
          <w:szCs w:val="24"/>
          <w:highlight w:val="none"/>
          <w:lang w:eastAsia="zh-CN"/>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3、验收标准</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提供的所有货物在交接过程中都须进行严格的检验和试验。</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出厂检验：</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提供货物的产品合格证。</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到货检验：货物运达目的地后，</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通知</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派员及验收部门赴现场共同清验交收，并形成记录材料。清验中，若发现货物由于非</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原因（包括运输）发生任何损坏、缺陷、缺少或与合同规定的质量标准和规范不符，应做好记录，并由双方代表签字，各执一份，作为</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提出修理、更换、索赔的依据。若</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代表未按约定时间赴现场参加验收，</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有权自行开箱清点检验，其检验结果和记录对双方同样有效，并作为</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向</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索赔的有效证据。</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安装调试检验：货物安装调试结束后由</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组织相关部门进行验收，并出具验收结果。若对验收结果有异议，可由双方委托权威的第三方检验机构进行检验。检验结果对双方都有约束力，检验费用由责任方负担。</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配套服务检验：</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必须提供货物的现场安装、启动、调试、监督等服务；提供标的物组装和一般维修所必须的工具；提供在合同规定的期限内对所提供货物实行运行监督、维修服务的前提条件是该服务并不能免除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在质量保证期内所承担的义务；</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提出异议的时间和办法：如有任何货物经检验和试验不符合技术规范的要求，</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可以拒收。</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应更换被拒收的货物，使之符合技术规范书的要求，</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承担由此发生的一切费用。</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如对</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提出的修理、更换、索赔要求有异议，应在接到</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书面通知后3天内提出，并在该时间内自费派代表赴现场同</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代表共同复验。</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在接到</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按本合同规定提出的索赔通知后，应尽快修理、更换或补发短缺部分，由此产生的制造、修理和运费及保险费均由</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负担。上述索赔，</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从付款中扣除。</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4、质保期及售后服务</w:t>
      </w:r>
      <w:r>
        <w:rPr>
          <w:rFonts w:hint="eastAsia" w:ascii="宋体" w:hAnsi="宋体" w:eastAsia="宋体" w:cs="宋体"/>
          <w:color w:val="000000"/>
          <w:sz w:val="24"/>
          <w:szCs w:val="24"/>
          <w:highlight w:val="none"/>
        </w:rPr>
      </w:r>
      <w:r/>
    </w:p>
    <w:p>
      <w:pPr>
        <w:pStyle w:val="9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 质量保证期为自物资设备验收合格并通过试运后3年。</w:t>
      </w:r>
      <w:r>
        <w:rPr>
          <w:rFonts w:hint="eastAsia" w:ascii="宋体" w:hAnsi="宋体" w:eastAsia="宋体" w:cs="宋体"/>
          <w:color w:val="000000"/>
          <w:sz w:val="24"/>
          <w:szCs w:val="24"/>
          <w:highlight w:val="none"/>
        </w:rPr>
      </w:r>
      <w:r/>
    </w:p>
    <w:p>
      <w:pPr>
        <w:pStyle w:val="9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4.2中标人</w:t>
      </w:r>
      <w:r>
        <w:rPr>
          <w:rFonts w:hint="eastAsia" w:ascii="宋体" w:hAnsi="宋体" w:eastAsia="宋体" w:cs="宋体"/>
          <w:color w:val="000000"/>
          <w:sz w:val="24"/>
          <w:szCs w:val="24"/>
          <w:highlight w:val="none"/>
        </w:rPr>
        <w:t xml:space="preserve">应保证所供物资设备在安装调试合同货物时，免费派出技术人员赴</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现场技术指导。对</w:t>
      </w:r>
      <w:r>
        <w:rPr>
          <w:rFonts w:hint="eastAsia" w:ascii="宋体" w:hAnsi="宋体" w:eastAsia="宋体" w:cs="宋体"/>
          <w:color w:val="000000"/>
          <w:sz w:val="24"/>
          <w:szCs w:val="24"/>
          <w:highlight w:val="none"/>
          <w:lang w:eastAsia="zh-CN"/>
        </w:rPr>
        <w:t xml:space="preserve">招标人</w:t>
      </w:r>
      <w:r>
        <w:rPr>
          <w:rFonts w:hint="eastAsia" w:ascii="宋体" w:hAnsi="宋体" w:eastAsia="宋体" w:cs="宋体"/>
          <w:color w:val="000000"/>
          <w:sz w:val="24"/>
          <w:szCs w:val="24"/>
          <w:highlight w:val="none"/>
        </w:rPr>
        <w:t xml:space="preserve">人员进行培训，主要培训内容为：货物的功能、基本结构、性能、主要部件的构造及处理，日常使用操作、保养与管理、常见故障的排除、紧急情况的处理等，并按要求做好记录，双方签字确认。</w:t>
      </w:r>
      <w:r>
        <w:rPr>
          <w:rFonts w:hint="eastAsia" w:ascii="宋体" w:hAnsi="宋体" w:eastAsia="宋体" w:cs="宋体"/>
          <w:color w:val="000000"/>
          <w:sz w:val="24"/>
          <w:szCs w:val="24"/>
          <w:highlight w:val="none"/>
        </w:rPr>
      </w:r>
      <w:r/>
    </w:p>
    <w:p>
      <w:pPr>
        <w:pStyle w:val="9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4.3质量保证期内免费更换零配件（人为损坏除外），质量保证期满后实行终身有偿维修保养。</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接到用户报修电话后白天4小时、夜间8小时内维修人员赶到现场检修处理。</w:t>
      </w:r>
      <w:r>
        <w:rPr>
          <w:rFonts w:hint="eastAsia" w:ascii="宋体" w:hAnsi="宋体" w:eastAsia="宋体" w:cs="宋体"/>
          <w:color w:val="000000"/>
          <w:sz w:val="24"/>
          <w:szCs w:val="24"/>
          <w:highlight w:val="none"/>
        </w:rPr>
      </w:r>
      <w:r/>
    </w:p>
    <w:p>
      <w:pPr>
        <w:pStyle w:val="9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4.4质保期结束，不能视为</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对合同货物中存在的可能引起货物损坏的潜在缺陷所应负责任的解除。潜在缺陷指货物在制造过程中未被发现的隐患，</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对纠正潜在缺陷应负责任，其时间应延续至质保期终止后贰年。当发现这类潜在缺陷时（经双方确认），</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应立即予以无偿修复或更换。</w:t>
      </w:r>
      <w:r>
        <w:rPr>
          <w:rFonts w:hint="eastAsia" w:ascii="宋体" w:hAnsi="宋体" w:eastAsia="宋体" w:cs="宋体"/>
          <w:color w:val="000000"/>
          <w:sz w:val="24"/>
          <w:szCs w:val="24"/>
          <w:highlight w:val="none"/>
        </w:rPr>
      </w:r>
      <w:r/>
    </w:p>
    <w:p>
      <w:pPr>
        <w:pStyle w:val="9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5、履约保证金：</w:t>
      </w:r>
      <w:r>
        <w:rPr>
          <w:rFonts w:hint="eastAsia" w:ascii="宋体" w:hAnsi="宋体" w:eastAsia="宋体" w:cs="宋体"/>
          <w:color w:val="000000"/>
          <w:sz w:val="24"/>
          <w:szCs w:val="24"/>
          <w:highlight w:val="none"/>
        </w:rPr>
      </w:r>
      <w:r/>
    </w:p>
    <w:p>
      <w:pPr>
        <w:pStyle w:val="95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为保障合同的有效履行，签订合同前，</w:t>
      </w:r>
      <w:r>
        <w:rPr>
          <w:rFonts w:hint="eastAsia" w:ascii="宋体" w:hAnsi="宋体" w:eastAsia="宋体" w:cs="宋体"/>
          <w:color w:val="000000"/>
          <w:sz w:val="24"/>
          <w:szCs w:val="24"/>
          <w:highlight w:val="none"/>
          <w:lang w:val="en-US" w:eastAsia="zh-CN"/>
        </w:rPr>
        <w:t xml:space="preserve">中标人</w:t>
      </w:r>
      <w:r>
        <w:rPr>
          <w:rFonts w:hint="eastAsia" w:ascii="宋体" w:hAnsi="宋体" w:eastAsia="宋体" w:cs="宋体"/>
          <w:color w:val="000000"/>
          <w:sz w:val="24"/>
          <w:szCs w:val="24"/>
          <w:highlight w:val="none"/>
        </w:rPr>
        <w:t xml:space="preserve">应先缴纳合同总额的5%履约保证金</w:t>
      </w:r>
      <w:bookmarkStart w:id="818" w:name="_Hlk513402998"/>
      <w:r>
        <w:rPr>
          <w:rFonts w:hint="eastAsia" w:ascii="宋体" w:hAnsi="宋体" w:eastAsia="宋体" w:cs="宋体"/>
          <w:color w:val="000000"/>
          <w:sz w:val="24"/>
          <w:szCs w:val="24"/>
          <w:highlight w:val="none"/>
        </w:rPr>
        <w:t xml:space="preserve">；承诺的质保期满后15个工作日内退还履约保证金。</w:t>
      </w:r>
      <w:bookmarkEnd w:id="818"/>
      <w:r>
        <w:rPr>
          <w:rFonts w:hint="eastAsia" w:ascii="宋体" w:hAnsi="宋体" w:eastAsia="宋体" w:cs="宋体"/>
          <w:color w:val="000000"/>
          <w:sz w:val="24"/>
          <w:szCs w:val="24"/>
          <w:highlight w:val="none"/>
        </w:rPr>
        <w:t xml:space="preserve">（不计息）</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6、付款方式</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6.1合同签订后15个工作日内甲方支付给乙方合同总额的 20 %作为预付款；</w:t>
      </w:r>
      <w:r>
        <w:rPr>
          <w:rFonts w:hint="eastAsia" w:ascii="宋体" w:hAnsi="宋体" w:eastAsia="宋体" w:cs="宋体"/>
          <w:color w:val="000000"/>
          <w:sz w:val="24"/>
          <w:szCs w:val="24"/>
          <w:highlight w:val="none"/>
          <w:lang w:val="en-US" w:eastAsia="zh-CN"/>
        </w:rPr>
      </w:r>
      <w:r/>
    </w:p>
    <w:p>
      <w:pPr>
        <w:pStyle w:val="918"/>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6.2乙方将全部货物运至甲方指定地点并签署《到货确认单》后，乙方向甲方开具等额合法有效的增值税发票，甲方在收到上述资料并审核无误后15个工作日内，向乙方支付合同总金额的33%；</w:t>
      </w:r>
      <w:r>
        <w:rPr>
          <w:rFonts w:hint="eastAsia" w:ascii="宋体" w:hAnsi="宋体" w:eastAsia="宋体" w:cs="宋体"/>
          <w:color w:val="000000"/>
          <w:sz w:val="24"/>
          <w:szCs w:val="24"/>
          <w:highlight w:val="none"/>
          <w:lang w:val="en-US" w:eastAsia="zh-CN"/>
        </w:rPr>
      </w:r>
      <w:r/>
    </w:p>
    <w:p>
      <w:pPr>
        <w:pStyle w:val="918"/>
        <w:ind w:firstLine="480"/>
        <w:spacing w:line="360" w:lineRule="auto"/>
        <w:rPr>
          <w:color w:val="000000"/>
          <w:sz w:val="24"/>
          <w:highlight w:val="none"/>
        </w:rPr>
      </w:pPr>
      <w:r>
        <w:rPr>
          <w:rFonts w:hint="eastAsia" w:ascii="宋体" w:hAnsi="宋体" w:eastAsia="宋体" w:cs="宋体"/>
          <w:color w:val="000000"/>
          <w:sz w:val="24"/>
          <w:szCs w:val="24"/>
          <w:highlight w:val="none"/>
          <w:lang w:val="en-US" w:eastAsia="zh-CN"/>
        </w:rPr>
        <w:t xml:space="preserve">6.3剩余款项待设备安装调试完成，甲方最终验收合格且乙方向甲方开具剩余款项有效的增值税发票后，15个工作日内向乙方支付合同总金额的47%。</w:t>
      </w:r>
      <w:r>
        <w:rPr>
          <w:color w:val="000000"/>
          <w:sz w:val="24"/>
          <w:highlight w:val="none"/>
        </w:rPr>
      </w:r>
      <w:r/>
    </w:p>
    <w:p>
      <w:pPr>
        <w:pStyle w:val="918"/>
        <w:jc w:val="center"/>
        <w:spacing w:line="360" w:lineRule="auto"/>
        <w:rPr>
          <w:rFonts w:ascii="宋体" w:hAnsi="宋体"/>
          <w:b/>
          <w:color w:val="000000"/>
          <w:sz w:val="36"/>
          <w:szCs w:val="36"/>
          <w:highlight w:val="none"/>
        </w:rPr>
      </w:pPr>
      <w:r/>
      <w:bookmarkStart w:id="819" w:name="_Toc13507"/>
      <w:r>
        <w:rPr>
          <w:rFonts w:ascii="宋体" w:hAnsi="宋体"/>
          <w:b/>
          <w:color w:val="000000"/>
          <w:sz w:val="36"/>
          <w:szCs w:val="36"/>
          <w:highlight w:val="none"/>
        </w:rPr>
        <w:br w:type="page" w:clear="all"/>
      </w:r>
      <w:r>
        <w:rPr>
          <w:rFonts w:ascii="宋体" w:hAnsi="宋体"/>
          <w:b/>
          <w:color w:val="000000"/>
          <w:sz w:val="36"/>
          <w:szCs w:val="36"/>
          <w:highlight w:val="none"/>
        </w:rPr>
        <w:t xml:space="preserve">第六章   拟签订的合同文本</w:t>
      </w:r>
      <w:bookmarkEnd w:id="819"/>
      <w:r>
        <w:rPr>
          <w:rFonts w:ascii="宋体" w:hAnsi="宋体"/>
          <w:b/>
          <w:color w:val="000000"/>
          <w:sz w:val="36"/>
          <w:szCs w:val="36"/>
          <w:highlight w:val="none"/>
        </w:rPr>
      </w:r>
      <w:r/>
    </w:p>
    <w:p>
      <w:pPr>
        <w:pStyle w:val="918"/>
        <w:jc w:val="center"/>
        <w:spacing w:line="360" w:lineRule="auto"/>
        <w:rPr>
          <w:rFonts w:ascii="宋体" w:hAnsi="宋体"/>
          <w:b/>
          <w:color w:val="000000"/>
          <w:sz w:val="28"/>
          <w:szCs w:val="28"/>
          <w:highlight w:val="none"/>
        </w:rPr>
      </w:pPr>
      <w:r>
        <w:rPr>
          <w:rFonts w:hint="eastAsia" w:ascii="宋体" w:hAnsi="宋体"/>
          <w:b/>
          <w:color w:val="000000"/>
          <w:sz w:val="28"/>
          <w:szCs w:val="28"/>
          <w:u w:val="single"/>
          <w:lang w:val="en-US" w:eastAsia="zh-CN"/>
        </w:rPr>
        <w:t xml:space="preserve">常州机电职业技术学院智能人机交互实训室建设项目 </w:t>
      </w:r>
      <w:r>
        <w:rPr>
          <w:rFonts w:hint="eastAsia" w:ascii="宋体" w:hAnsi="宋体"/>
          <w:b/>
          <w:color w:val="000000"/>
          <w:sz w:val="28"/>
          <w:szCs w:val="28"/>
          <w:highlight w:val="none"/>
        </w:rPr>
        <w:t xml:space="preserve">合同</w:t>
      </w:r>
      <w:r>
        <w:rPr>
          <w:rFonts w:ascii="宋体" w:hAnsi="宋体"/>
          <w:b/>
          <w:color w:val="000000"/>
          <w:sz w:val="28"/>
          <w:szCs w:val="28"/>
          <w:highlight w:val="none"/>
        </w:rPr>
      </w:r>
      <w:r/>
    </w:p>
    <w:p>
      <w:pPr>
        <w:pStyle w:val="957"/>
        <w:ind w:firstLine="210"/>
        <w:spacing w:line="360" w:lineRule="auto"/>
        <w:rPr>
          <w:rFonts w:hint="eastAsia" w:ascii="宋体" w:hAnsi="宋体" w:eastAsia="宋体" w:cs="宋体"/>
          <w:color w:val="000000"/>
          <w:sz w:val="24"/>
          <w:szCs w:val="24"/>
          <w:highlight w:val="none"/>
        </w:rPr>
      </w:pPr>
      <w:r>
        <w:rPr>
          <w:rFonts w:hint="eastAsia"/>
          <w:color w:val="000000"/>
          <w:highlight w:val="none"/>
        </w:rPr>
        <w:t xml:space="preserve">                      </w:t>
      </w:r>
      <w:r>
        <w:rPr>
          <w:rFonts w:hint="eastAsia" w:ascii="宋体" w:hAnsi="宋体" w:eastAsia="宋体" w:cs="宋体"/>
          <w:color w:val="000000"/>
          <w:sz w:val="24"/>
          <w:szCs w:val="24"/>
          <w:highlight w:val="none"/>
        </w:rPr>
        <w:t xml:space="preserve">（仅为格式合同，依据实际情况作适当调整）</w:t>
      </w:r>
      <w:r>
        <w:rPr>
          <w:rFonts w:hint="eastAsia" w:ascii="宋体" w:hAnsi="宋体" w:eastAsia="宋体" w:cs="宋体"/>
          <w:color w:val="000000"/>
          <w:sz w:val="24"/>
          <w:szCs w:val="24"/>
          <w:highlight w:val="none"/>
        </w:rPr>
      </w:r>
      <w:r/>
    </w:p>
    <w:p>
      <w:pPr>
        <w:pStyle w:val="957"/>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u w:val="single"/>
        </w:rPr>
        <w:t xml:space="preserve"> 常州机电职业技术学院 </w:t>
      </w:r>
      <w:r>
        <w:rPr>
          <w:rFonts w:hint="eastAsia"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合同编号：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57"/>
        <w:ind w:firstLine="2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乙方: </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签订时间: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u w:val="single"/>
        </w:rPr>
      </w:r>
      <w:r/>
    </w:p>
    <w:p>
      <w:pPr>
        <w:pStyle w:val="957"/>
        <w:ind w:firstLine="2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r>
      <w:r/>
    </w:p>
    <w:p>
      <w:pPr>
        <w:pStyle w:val="918"/>
        <w:ind w:firstLine="435"/>
        <w:spacing w:line="360" w:lineRule="auto"/>
        <w:rPr>
          <w:rFonts w:ascii="宋体" w:hAnsi="宋体"/>
          <w:b/>
          <w:color w:val="000000"/>
          <w:sz w:val="24"/>
          <w:szCs w:val="24"/>
        </w:rPr>
      </w:pPr>
      <w:r>
        <w:rPr>
          <w:rFonts w:hint="eastAsia" w:ascii="宋体" w:hAnsi="宋体"/>
          <w:color w:val="000000"/>
          <w:sz w:val="24"/>
          <w:szCs w:val="24"/>
        </w:rPr>
        <w:t xml:space="preserve">根据常州盈泰招标有限公司</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日进行的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color w:val="000000"/>
          <w:sz w:val="24"/>
          <w:szCs w:val="24"/>
        </w:rPr>
        <w:t xml:space="preserve">号招标要求，甲、乙双方就</w:t>
      </w:r>
      <w:r>
        <w:rPr>
          <w:rFonts w:hint="eastAsia" w:ascii="宋体" w:hAnsi="宋体"/>
          <w:color w:val="000000"/>
          <w:sz w:val="24"/>
          <w:szCs w:val="24"/>
          <w:u w:val="single"/>
        </w:rPr>
        <w:t xml:space="preserve"> 常州机电职业技术学院智能人机交互实训室建设项目</w:t>
      </w:r>
      <w:r>
        <w:rPr>
          <w:rFonts w:hint="eastAsia" w:ascii="宋体" w:hAnsi="宋体"/>
          <w:bCs/>
          <w:color w:val="000000"/>
          <w:sz w:val="24"/>
          <w:szCs w:val="24"/>
        </w:rPr>
        <w:t xml:space="preserve">，</w:t>
      </w:r>
      <w:r>
        <w:rPr>
          <w:rFonts w:hint="eastAsia" w:ascii="宋体" w:hAnsi="宋体"/>
          <w:color w:val="000000"/>
          <w:sz w:val="24"/>
          <w:szCs w:val="24"/>
        </w:rPr>
        <w:t xml:space="preserve">本着平等互利的原则，通过共同协商，根据</w:t>
      </w:r>
      <w:r>
        <w:rPr>
          <w:rFonts w:hint="eastAsia" w:ascii="宋体" w:hAnsi="宋体"/>
          <w:bCs/>
          <w:color w:val="000000"/>
          <w:sz w:val="24"/>
          <w:szCs w:val="24"/>
        </w:rPr>
        <w:t xml:space="preserve">《中华人民共和国政府采购法》、《中华人民共和国民法典》</w:t>
      </w:r>
      <w:r>
        <w:rPr>
          <w:rFonts w:hint="eastAsia" w:ascii="宋体" w:hAnsi="宋体"/>
          <w:color w:val="000000"/>
          <w:sz w:val="24"/>
          <w:szCs w:val="24"/>
        </w:rPr>
        <w:t xml:space="preserve">及有关法律法规，就相关事宜达成如下合同。</w:t>
      </w:r>
      <w:r>
        <w:rPr>
          <w:rFonts w:ascii="宋体" w:hAnsi="宋体"/>
          <w:b/>
          <w:color w:val="000000"/>
          <w:sz w:val="24"/>
          <w:szCs w:val="24"/>
        </w:rPr>
      </w:r>
      <w:r/>
    </w:p>
    <w:p>
      <w:pPr>
        <w:pStyle w:val="957"/>
        <w:ind w:firstLine="422"/>
        <w:spacing w:line="360" w:lineRule="auto"/>
        <w:rPr>
          <w:rFonts w:hAnsi="宋体"/>
          <w:b/>
          <w:color w:val="000000"/>
          <w:szCs w:val="21"/>
        </w:rPr>
      </w:pPr>
      <w:r>
        <w:rPr>
          <w:rFonts w:hint="eastAsia" w:hAnsi="宋体"/>
          <w:b/>
          <w:color w:val="000000"/>
          <w:szCs w:val="21"/>
        </w:rPr>
        <w:t xml:space="preserve">一、合同标的</w:t>
      </w:r>
      <w:r>
        <w:rPr>
          <w:rFonts w:hAnsi="宋体"/>
          <w:b/>
          <w:color w:val="000000"/>
          <w:szCs w:val="21"/>
        </w:rPr>
      </w:r>
      <w:r/>
    </w:p>
    <w:tbl>
      <w:tblPr>
        <w:tblW w:w="9173"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8"/>
        <w:gridCol w:w="1084"/>
        <w:gridCol w:w="1084"/>
        <w:gridCol w:w="1084"/>
        <w:gridCol w:w="1085"/>
        <w:gridCol w:w="1084"/>
        <w:gridCol w:w="1090"/>
        <w:gridCol w:w="1090"/>
        <w:gridCol w:w="1084"/>
      </w:tblGrid>
      <w:tr>
        <w:trPr>
          <w:trHeight w:val="662"/>
        </w:trPr>
        <w:tc>
          <w:tcPr>
            <w:tcW w:w="488" w:type="dxa"/>
            <w:vAlign w:val="center"/>
            <w:textDirection w:val="lrTb"/>
            <w:noWrap w:val="false"/>
          </w:tcPr>
          <w:p>
            <w:pPr>
              <w:pStyle w:val="918"/>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rPr>
                <w:rFonts w:hint="eastAsia" w:ascii="宋体" w:hAnsi="宋体" w:eastAsia="宋体" w:cs="宋体"/>
                <w:b/>
                <w:bCs/>
                <w:i w:val="0"/>
                <w:iCs w:val="0"/>
                <w:color w:val="000000"/>
                <w:sz w:val="24"/>
                <w:szCs w:val="24"/>
                <w:u w:val="none"/>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rPr>
                <w:rFonts w:hint="eastAsia" w:ascii="宋体" w:hAnsi="宋体" w:eastAsia="宋体" w:cs="宋体"/>
                <w:b/>
                <w:bCs/>
                <w:i w:val="0"/>
                <w:iCs w:val="0"/>
                <w:color w:val="000000"/>
                <w:sz w:val="24"/>
                <w:szCs w:val="24"/>
                <w:u w:val="none"/>
              </w:rPr>
            </w:r>
            <w:r/>
          </w:p>
        </w:tc>
        <w:tc>
          <w:tcPr>
            <w:tcW w:w="1084" w:type="dxa"/>
            <w:vAlign w:val="top"/>
            <w:textDirection w:val="lrTb"/>
            <w:noWrap w:val="false"/>
          </w:tcPr>
          <w:p>
            <w:pPr>
              <w:pStyle w:val="918"/>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型号</w:t>
            </w:r>
            <w:r>
              <w:rPr>
                <w:rFonts w:hint="eastAsia" w:ascii="宋体" w:hAnsi="宋体" w:eastAsia="宋体" w:cs="宋体"/>
                <w:b/>
                <w:bCs/>
                <w:i w:val="0"/>
                <w:iCs w:val="0"/>
                <w:color w:val="000000"/>
                <w:sz w:val="24"/>
                <w:szCs w:val="24"/>
                <w:u w:val="none"/>
                <w:lang w:val="en-US" w:eastAsia="zh-CN" w:bidi="ar"/>
              </w:rPr>
            </w:r>
            <w:r/>
          </w:p>
          <w:p>
            <w:pPr>
              <w:pStyle w:val="918"/>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w:t>
            </w:r>
            <w:r>
              <w:rPr>
                <w:rFonts w:hint="eastAsia" w:ascii="宋体" w:hAnsi="宋体" w:eastAsia="宋体" w:cs="宋体"/>
                <w:i w:val="0"/>
                <w:iCs w:val="0"/>
                <w:color w:val="000000"/>
                <w:sz w:val="24"/>
                <w:szCs w:val="24"/>
                <w:u w:val="none"/>
              </w:rPr>
            </w:r>
            <w:r/>
          </w:p>
        </w:tc>
        <w:tc>
          <w:tcPr>
            <w:tcW w:w="1084" w:type="dxa"/>
            <w:vAlign w:val="top"/>
            <w:textDirection w:val="lrTb"/>
            <w:noWrap w:val="false"/>
          </w:tcPr>
          <w:p>
            <w:pPr>
              <w:pStyle w:val="91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品牌</w:t>
            </w:r>
            <w:r>
              <w:rPr>
                <w:rFonts w:hint="eastAsia" w:ascii="宋体" w:hAnsi="宋体" w:eastAsia="宋体" w:cs="宋体"/>
                <w:b/>
                <w:bCs/>
                <w:i w:val="0"/>
                <w:iCs w:val="0"/>
                <w:color w:val="000000"/>
                <w:sz w:val="24"/>
                <w:szCs w:val="24"/>
                <w:u w:val="none"/>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rPr>
                <w:rFonts w:hint="eastAsia" w:ascii="宋体" w:hAnsi="宋体" w:eastAsia="宋体" w:cs="宋体"/>
                <w:b/>
                <w:bCs/>
                <w:i w:val="0"/>
                <w:iCs w:val="0"/>
                <w:color w:val="000000"/>
                <w:sz w:val="24"/>
                <w:szCs w:val="24"/>
                <w:u w:val="none"/>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单位</w:t>
            </w:r>
            <w:r>
              <w:rPr>
                <w:rFonts w:hint="eastAsia" w:ascii="宋体" w:hAnsi="宋体" w:eastAsia="宋体" w:cs="宋体"/>
                <w:b/>
                <w:bCs/>
                <w:i w:val="0"/>
                <w:iCs w:val="0"/>
                <w:color w:val="000000"/>
                <w:sz w:val="24"/>
                <w:szCs w:val="24"/>
                <w:u w:val="none"/>
              </w:rPr>
            </w:r>
            <w:r/>
          </w:p>
        </w:tc>
        <w:tc>
          <w:tcPr>
            <w:tcW w:w="1090" w:type="dxa"/>
            <w:vAlign w:val="center"/>
            <w:textDirection w:val="lrTb"/>
            <w:noWrap w:val="false"/>
          </w:tcPr>
          <w:p>
            <w:pPr>
              <w:pStyle w:val="91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单价（元）</w:t>
            </w:r>
            <w:r>
              <w:rPr>
                <w:rFonts w:hint="eastAsia" w:ascii="宋体" w:hAnsi="宋体" w:eastAsia="宋体" w:cs="宋体"/>
                <w:b/>
                <w:bCs/>
                <w:i w:val="0"/>
                <w:iCs w:val="0"/>
                <w:color w:val="000000"/>
                <w:sz w:val="24"/>
                <w:szCs w:val="24"/>
                <w:u w:val="none"/>
              </w:rPr>
            </w:r>
            <w:r/>
          </w:p>
        </w:tc>
        <w:tc>
          <w:tcPr>
            <w:tcW w:w="1090" w:type="dxa"/>
            <w:vAlign w:val="center"/>
            <w:textDirection w:val="lrTb"/>
            <w:noWrap w:val="false"/>
          </w:tcPr>
          <w:p>
            <w:pPr>
              <w:pStyle w:val="91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金额（元）</w:t>
            </w:r>
            <w:r>
              <w:rPr>
                <w:rFonts w:hint="eastAsia" w:ascii="宋体" w:hAnsi="宋体" w:eastAsia="宋体" w:cs="宋体"/>
                <w:b/>
                <w:bCs/>
                <w:i w:val="0"/>
                <w:iCs w:val="0"/>
                <w:color w:val="000000"/>
                <w:sz w:val="24"/>
                <w:szCs w:val="24"/>
                <w:u w:val="none"/>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备注</w:t>
            </w:r>
            <w:r>
              <w:rPr>
                <w:rFonts w:hint="eastAsia" w:ascii="宋体" w:hAnsi="宋体" w:eastAsia="宋体" w:cs="宋体"/>
                <w:b/>
                <w:bCs/>
                <w:i w:val="0"/>
                <w:iCs w:val="0"/>
                <w:color w:val="000000"/>
                <w:sz w:val="24"/>
                <w:szCs w:val="24"/>
                <w:u w:val="none"/>
              </w:rPr>
            </w:r>
            <w:r/>
          </w:p>
        </w:tc>
      </w:tr>
      <w:tr>
        <w:trPr>
          <w:trHeight w:val="1532"/>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动作与生物力学数据分析系统</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2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桌面式眼动追踪分析系统</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532"/>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智能人机交互综合教学开发套装</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2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人机交互内容创作终端</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2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智能人机交互展示终端</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3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人机交互动作采集系统</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2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7</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人机交互数据处理终端</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VR一体机开发版</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9</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体感互动套件</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VR手部追踪模块</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MR混合现实头显</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AR智能交互眼镜</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13</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全景相机</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2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14</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人机交互内容设计终端</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r>
            <w:r/>
          </w:p>
        </w:tc>
        <w:tc>
          <w:tcPr>
            <w:shd w:val="clear" w:color="auto" w:fill="ffffff"/>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Ar数字交互展示台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shd w:val="clear" w:color="auto" w:fill="ffffff"/>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shd w:val="clear" w:color="auto" w:fill="ffffff"/>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shd w:val="clear" w:color="auto" w:fill="ffffff"/>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shd w:val="clear" w:color="auto" w:fill="ffffff"/>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16</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交互投影系统</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17</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人机交互展示墙</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18</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全息展示终端</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19</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透明展示终端</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532"/>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20</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智能人机课程及教学研发资源管理平台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开放书架</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展示柜</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23</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展示台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15</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24</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储物柜</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25</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资料/材料架</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26</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休闲桌</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10</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27</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体验操作台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28</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隔断墙</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198</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平方</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29</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延长轨道</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45</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米</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30</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接口配件</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隔音棉</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198</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平方</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3D数字雕刻数位屏</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33</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桌面级3D打印机</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34</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3D打印机耗材</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923"/>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35</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手持式3D扫描仪</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122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36</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专业级3D人体三维扫描仪</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37</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模型内容创作终端</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台</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38</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电脑桌椅</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8</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套</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39</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模型展示柜</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40</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储物柜</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工作台1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3</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618"/>
        </w:trPr>
        <w:tc>
          <w:tcPr>
            <w:tcW w:w="488"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42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工作台2</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详细见</w:t>
            </w:r>
            <w:r>
              <w:rPr>
                <w:rFonts w:hint="eastAsia" w:ascii="宋体" w:hAnsi="宋体" w:eastAsia="宋体" w:cs="宋体"/>
                <w:color w:val="000000"/>
                <w:sz w:val="24"/>
                <w:szCs w:val="24"/>
                <w:lang w:val="en-US" w:eastAsia="zh-CN" w:bidi="ar-SA"/>
              </w:rPr>
              <w:br w:type="textWrapping" w:clear="all"/>
            </w:r>
            <w:r>
              <w:rPr>
                <w:rFonts w:hint="eastAsia" w:ascii="宋体" w:hAnsi="宋体" w:eastAsia="宋体" w:cs="宋体"/>
                <w:color w:val="000000"/>
                <w:sz w:val="24"/>
                <w:szCs w:val="24"/>
                <w:lang w:val="en-US" w:eastAsia="zh-CN" w:bidi="ar-SA"/>
              </w:rPr>
              <w:t xml:space="preserve">参数</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both"/>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1085"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个</w:t>
            </w: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90" w:type="dxa"/>
            <w:vAlign w:val="center"/>
            <w:textDirection w:val="lrTb"/>
            <w:noWrap w:val="false"/>
          </w:tcPr>
          <w:p>
            <w:pPr>
              <w:pStyle w:val="918"/>
              <w:jc w:val="both"/>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r>
            <w:r/>
          </w:p>
        </w:tc>
        <w:tc>
          <w:tcPr>
            <w:tcW w:w="1084" w:type="dxa"/>
            <w:vAlign w:val="center"/>
            <w:textDirection w:val="lrTb"/>
            <w:noWrap w:val="false"/>
          </w:tcPr>
          <w:p>
            <w:pPr>
              <w:pStyle w:val="918"/>
              <w:jc w:val="cente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r>
      <w:tr>
        <w:trPr>
          <w:trHeight w:val="324"/>
        </w:trPr>
        <w:tc>
          <w:tcPr>
            <w:gridSpan w:val="9"/>
            <w:tcW w:w="9173" w:type="dxa"/>
            <w:vAlign w:val="center"/>
            <w:textDirection w:val="lrTb"/>
            <w:noWrap w:val="false"/>
          </w:tcPr>
          <w:p>
            <w:pPr>
              <w:pStyle w:val="918"/>
              <w:jc w:val="center"/>
              <w:keepLines w:val="0"/>
              <w:keepNext w:val="0"/>
              <w:widowControl/>
              <w:rPr>
                <w:rFonts w:hint="eastAsia" w:ascii="宋体" w:hAnsi="宋体" w:eastAsia="宋体" w:cs="宋体"/>
                <w:color w:val="000000"/>
                <w:sz w:val="24"/>
                <w:szCs w:val="24"/>
                <w:lang w:val="en-US" w:eastAsia="zh-CN" w:bidi="ar-SA"/>
              </w:rPr>
              <w:suppressLineNumbers w:val="0"/>
            </w:pPr>
            <w:r>
              <w:rPr>
                <w:rFonts w:hint="eastAsia" w:ascii="宋体" w:hAnsi="宋体" w:eastAsia="宋体" w:cs="宋体"/>
                <w:color w:val="000000"/>
                <w:sz w:val="24"/>
                <w:szCs w:val="24"/>
                <w:lang w:val="en-US" w:eastAsia="zh-CN" w:bidi="ar-SA"/>
              </w:rPr>
              <w:t xml:space="preserve">合计金额大写 </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；小写</w:t>
            </w:r>
            <w:r>
              <w:rPr>
                <w:rFonts w:hint="eastAsia" w:ascii="宋体" w:hAnsi="宋体" w:eastAsia="宋体" w:cs="宋体"/>
                <w:color w:val="000000"/>
                <w:sz w:val="24"/>
                <w:szCs w:val="24"/>
                <w:u w:val="single"/>
                <w:lang w:val="en-US" w:eastAsia="zh-CN" w:bidi="ar-SA"/>
              </w:rPr>
              <w:t xml:space="preserve">               </w:t>
            </w:r>
            <w:r>
              <w:rPr>
                <w:rFonts w:hint="eastAsia" w:ascii="宋体" w:hAnsi="宋体" w:eastAsia="宋体" w:cs="宋体"/>
                <w:color w:val="000000"/>
                <w:sz w:val="24"/>
                <w:szCs w:val="24"/>
                <w:lang w:val="en-US" w:eastAsia="zh-CN" w:bidi="ar-SA"/>
              </w:rPr>
              <w:t xml:space="preserve">  元</w:t>
            </w:r>
            <w:r>
              <w:rPr>
                <w:rFonts w:hint="eastAsia" w:ascii="宋体" w:hAnsi="宋体" w:eastAsia="宋体" w:cs="宋体"/>
                <w:color w:val="000000"/>
                <w:sz w:val="24"/>
                <w:szCs w:val="24"/>
                <w:lang w:val="en-US" w:eastAsia="zh-CN" w:bidi="ar-SA"/>
              </w:rPr>
            </w:r>
            <w:r/>
          </w:p>
        </w:tc>
      </w:tr>
    </w:tbl>
    <w:p>
      <w:pPr>
        <w:pStyle w:val="957"/>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合同总价款包括货物设计、制造、包装、仓储、运输装缷、保险、安装、调试及其材料及验收合格之前保管及保修期内备品备件、专用工具、伴随服务、技术图纸资料、人员培训发生的所有含税费用。本合同总价款还包含乙方应当提供的伴随服务/售后服务费用。</w:t>
      </w:r>
      <w:r>
        <w:rPr>
          <w:rFonts w:hint="eastAsia" w:ascii="宋体" w:hAnsi="宋体" w:eastAsia="宋体" w:cs="宋体"/>
          <w:color w:val="000000"/>
          <w:sz w:val="24"/>
          <w:szCs w:val="24"/>
          <w:highlight w:val="none"/>
          <w:lang w:val="en-US" w:eastAsia="zh-CN"/>
        </w:rPr>
      </w:r>
      <w:r/>
    </w:p>
    <w:p>
      <w:pPr>
        <w:pStyle w:val="957"/>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二、合同标的技术要求 </w:t>
      </w:r>
      <w:r>
        <w:rPr>
          <w:rFonts w:hint="eastAsia" w:ascii="宋体" w:hAnsi="宋体" w:eastAsia="宋体" w:cs="宋体"/>
          <w:b/>
          <w:color w:val="000000"/>
          <w:sz w:val="24"/>
          <w:szCs w:val="24"/>
        </w:rPr>
      </w:r>
      <w:r/>
    </w:p>
    <w:p>
      <w:pPr>
        <w:pStyle w:val="91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1.技术质量要求：</w:t>
      </w:r>
      <w:r>
        <w:rPr>
          <w:rFonts w:hint="eastAsia" w:ascii="宋体" w:hAnsi="宋体" w:eastAsia="宋体" w:cs="宋体"/>
          <w:color w:val="000000"/>
          <w:sz w:val="24"/>
          <w:szCs w:val="24"/>
        </w:rPr>
      </w:r>
      <w:r/>
    </w:p>
    <w:p>
      <w:pPr>
        <w:pStyle w:val="91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2.下列文件是构成合同不可分割的部分，并与本合同具有同等法律效力，</w:t>
      </w:r>
      <w:r>
        <w:rPr>
          <w:rFonts w:hint="eastAsia" w:ascii="宋体" w:hAnsi="宋体" w:eastAsia="宋体" w:cs="宋体"/>
          <w:bCs/>
          <w:color w:val="000000"/>
          <w:sz w:val="24"/>
          <w:szCs w:val="24"/>
        </w:rPr>
        <w:t xml:space="preserve">这些文件包括</w:t>
      </w:r>
      <w:r>
        <w:rPr>
          <w:rFonts w:hint="eastAsia" w:ascii="宋体" w:hAnsi="宋体" w:eastAsia="宋体" w:cs="宋体"/>
          <w:bCs/>
          <w:color w:val="000000"/>
          <w:sz w:val="24"/>
          <w:szCs w:val="24"/>
        </w:rPr>
        <w:t xml:space="preserve">但不限于：</w:t>
      </w:r>
      <w:r>
        <w:rPr>
          <w:rFonts w:hint="eastAsia" w:ascii="宋体" w:hAnsi="宋体" w:eastAsia="宋体" w:cs="宋体"/>
          <w:color w:val="000000"/>
          <w:sz w:val="24"/>
          <w:szCs w:val="24"/>
        </w:rPr>
      </w:r>
      <w:r/>
    </w:p>
    <w:p>
      <w:pPr>
        <w:pStyle w:val="918"/>
        <w:numPr>
          <w:ilvl w:val="0"/>
          <w:numId w:val="0"/>
        </w:numPr>
        <w:ind w:left="4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号招标文件。</w:t>
      </w:r>
      <w:r>
        <w:rPr>
          <w:rFonts w:hint="eastAsia" w:ascii="宋体" w:hAnsi="宋体" w:eastAsia="宋体" w:cs="宋体"/>
          <w:color w:val="000000"/>
          <w:sz w:val="24"/>
          <w:szCs w:val="24"/>
        </w:rPr>
      </w:r>
      <w:r/>
    </w:p>
    <w:p>
      <w:pPr>
        <w:pStyle w:val="91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（2）乙方提交的投标书。</w:t>
      </w:r>
      <w:r>
        <w:rPr>
          <w:rFonts w:hint="eastAsia" w:ascii="宋体" w:hAnsi="宋体" w:eastAsia="宋体" w:cs="宋体"/>
          <w:color w:val="000000"/>
          <w:sz w:val="24"/>
          <w:szCs w:val="24"/>
        </w:rPr>
      </w:r>
      <w:r/>
    </w:p>
    <w:p>
      <w:pPr>
        <w:pStyle w:val="91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（3）谈判文件及相关的资料。</w:t>
      </w:r>
      <w:r>
        <w:rPr>
          <w:rFonts w:hint="eastAsia" w:ascii="宋体" w:hAnsi="宋体" w:eastAsia="宋体" w:cs="宋体"/>
          <w:color w:val="000000"/>
          <w:sz w:val="24"/>
          <w:szCs w:val="24"/>
        </w:rPr>
      </w:r>
      <w:r/>
    </w:p>
    <w:p>
      <w:pPr>
        <w:pStyle w:val="91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（4）乙方投标的其他资料及承诺。</w:t>
      </w:r>
      <w:r>
        <w:rPr>
          <w:rFonts w:hint="eastAsia" w:ascii="宋体" w:hAnsi="宋体" w:eastAsia="宋体" w:cs="宋体"/>
          <w:color w:val="000000"/>
          <w:sz w:val="24"/>
          <w:szCs w:val="24"/>
        </w:rPr>
      </w:r>
      <w:r/>
    </w:p>
    <w:p>
      <w:pPr>
        <w:pStyle w:val="918"/>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（5）经甲、乙、双方确认的其他补充协议及相关资料。</w:t>
      </w:r>
      <w:r>
        <w:rPr>
          <w:rFonts w:hint="eastAsia" w:ascii="宋体" w:hAnsi="宋体" w:eastAsia="宋体" w:cs="宋体"/>
          <w:color w:val="000000"/>
          <w:sz w:val="24"/>
          <w:szCs w:val="24"/>
        </w:rPr>
      </w:r>
      <w:r/>
    </w:p>
    <w:p>
      <w:pPr>
        <w:pStyle w:val="957"/>
        <w:ind w:firstLine="482"/>
        <w:spacing w:line="360" w:lineRule="auto"/>
        <w:rPr>
          <w:rFonts w:hint="eastAsia" w:ascii="宋体" w:hAnsi="宋体" w:eastAsia="宋体" w:cs="宋体"/>
          <w:b/>
          <w:color w:val="000000"/>
          <w:sz w:val="24"/>
          <w:szCs w:val="24"/>
        </w:rPr>
      </w:pPr>
      <w:r/>
      <w:bookmarkStart w:id="820" w:name="_Toc154830750"/>
      <w:r/>
      <w:bookmarkStart w:id="821" w:name="_Toc430158359"/>
      <w:r/>
      <w:bookmarkStart w:id="822" w:name="_Toc251500492"/>
      <w:r/>
      <w:bookmarkStart w:id="823" w:name="_Toc471819251"/>
      <w:r>
        <w:rPr>
          <w:rFonts w:hint="eastAsia" w:ascii="宋体" w:hAnsi="宋体" w:eastAsia="宋体" w:cs="宋体"/>
          <w:b/>
          <w:color w:val="000000"/>
          <w:sz w:val="24"/>
          <w:szCs w:val="24"/>
        </w:rPr>
        <w:t xml:space="preserve">三、交货与运输</w:t>
      </w:r>
      <w:bookmarkEnd w:id="820"/>
      <w:r/>
      <w:bookmarkEnd w:id="821"/>
      <w:r/>
      <w:bookmarkEnd w:id="822"/>
      <w:r/>
      <w:bookmarkEnd w:id="823"/>
      <w:r>
        <w:rPr>
          <w:rFonts w:hint="eastAsia" w:ascii="宋体" w:hAnsi="宋体" w:eastAsia="宋体" w:cs="宋体"/>
          <w:b/>
          <w:color w:val="000000"/>
          <w:sz w:val="24"/>
          <w:szCs w:val="24"/>
        </w:rPr>
      </w:r>
      <w:r/>
    </w:p>
    <w:p>
      <w:pPr>
        <w:pStyle w:val="918"/>
        <w:ind w:firstLine="480"/>
        <w:spacing w:line="360" w:lineRule="auto"/>
        <w:rPr>
          <w:rFonts w:hint="eastAsia" w:ascii="宋体" w:hAnsi="宋体" w:eastAsia="宋体" w:cs="宋体"/>
          <w:color w:val="000000"/>
          <w:sz w:val="24"/>
          <w:szCs w:val="24"/>
        </w:rPr>
      </w:pPr>
      <w:r/>
      <w:bookmarkStart w:id="824" w:name="_Toc251500493"/>
      <w:r/>
      <w:bookmarkStart w:id="825" w:name="_Toc471819252"/>
      <w:r/>
      <w:bookmarkStart w:id="826" w:name="_Toc154830751"/>
      <w:r/>
      <w:bookmarkStart w:id="827" w:name="_Toc430158360"/>
      <w:r>
        <w:rPr>
          <w:rFonts w:hint="eastAsia" w:ascii="宋体" w:hAnsi="宋体" w:eastAsia="宋体" w:cs="宋体"/>
          <w:color w:val="000000"/>
          <w:sz w:val="24"/>
          <w:szCs w:val="24"/>
        </w:rPr>
        <w:t xml:space="preserve">1．货物交付</w:t>
      </w:r>
      <w:bookmarkEnd w:id="824"/>
      <w:r/>
      <w:bookmarkEnd w:id="825"/>
      <w:r/>
      <w:bookmarkEnd w:id="826"/>
      <w:r/>
      <w:bookmarkEnd w:id="827"/>
      <w:r>
        <w:rPr>
          <w:rFonts w:hint="eastAsia" w:ascii="宋体" w:hAnsi="宋体" w:eastAsia="宋体" w:cs="宋体"/>
          <w:color w:val="000000"/>
          <w:sz w:val="24"/>
          <w:szCs w:val="24"/>
        </w:rPr>
        <w:t xml:space="preserve">：本合同货物的交货日期为202</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日前，具体以货物运到现场的时间为准，此日期或甲方书面通知变更后的日期为计算迟交货物违约金的依据。</w:t>
      </w:r>
      <w:r>
        <w:rPr>
          <w:rFonts w:hint="eastAsia" w:ascii="宋体" w:hAnsi="宋体" w:eastAsia="宋体" w:cs="宋体"/>
          <w:color w:val="000000"/>
          <w:sz w:val="24"/>
          <w:szCs w:val="24"/>
        </w:rPr>
      </w:r>
      <w:r/>
    </w:p>
    <w:p>
      <w:pPr>
        <w:pStyle w:val="918"/>
        <w:ind w:firstLine="39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2．资料交付</w:t>
      </w:r>
      <w:r>
        <w:rPr>
          <w:rFonts w:hint="eastAsia" w:ascii="宋体" w:hAnsi="宋体" w:eastAsia="宋体" w:cs="宋体"/>
          <w:color w:val="000000"/>
          <w:sz w:val="24"/>
          <w:szCs w:val="24"/>
        </w:rPr>
      </w:r>
      <w:r/>
    </w:p>
    <w:p>
      <w:pPr>
        <w:pStyle w:val="918"/>
        <w:ind w:firstLine="398"/>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w:t>
      </w:r>
      <w:r>
        <w:rPr>
          <w:rFonts w:hint="eastAsia" w:ascii="宋体" w:hAnsi="宋体" w:eastAsia="宋体" w:cs="宋体"/>
          <w:color w:val="000000"/>
          <w:sz w:val="24"/>
          <w:szCs w:val="24"/>
        </w:rPr>
        <w:t xml:space="preserve">方应在交付货物的同时向甲方提供</w:t>
      </w:r>
      <w:r>
        <w:rPr>
          <w:rFonts w:hint="eastAsia" w:ascii="宋体" w:hAnsi="宋体" w:eastAsia="宋体" w:cs="宋体"/>
          <w:color w:val="000000"/>
          <w:sz w:val="24"/>
          <w:szCs w:val="24"/>
        </w:rPr>
        <w:t xml:space="preserve">全套随机文件（含产品合格证书、使用维护说明书、验收报告书）壹套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918"/>
        <w:spacing w:line="360" w:lineRule="auto"/>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3．交货地点：</w:t>
      </w:r>
      <w:r>
        <w:rPr>
          <w:rFonts w:hint="eastAsia" w:ascii="宋体" w:hAnsi="宋体" w:eastAsia="宋体" w:cs="宋体"/>
          <w:color w:val="000000"/>
          <w:sz w:val="24"/>
          <w:szCs w:val="24"/>
        </w:rPr>
        <w:t xml:space="preserve">乙</w:t>
      </w:r>
      <w:r>
        <w:rPr>
          <w:rFonts w:hint="eastAsia" w:ascii="宋体" w:hAnsi="宋体" w:eastAsia="宋体" w:cs="宋体"/>
          <w:color w:val="000000"/>
          <w:sz w:val="24"/>
          <w:szCs w:val="24"/>
        </w:rPr>
        <w:t xml:space="preserve">方应将货物运到甲方指定的地点。货物现场交付，甲方检验无误，签署收货通知单后，货物所有权转移给甲方。</w:t>
      </w:r>
      <w:r>
        <w:rPr>
          <w:rFonts w:hint="eastAsia" w:ascii="宋体" w:hAnsi="宋体" w:eastAsia="宋体" w:cs="宋体"/>
          <w:color w:val="000000"/>
          <w:sz w:val="24"/>
          <w:szCs w:val="24"/>
          <w:u w:val="single"/>
        </w:rPr>
      </w:r>
      <w:r/>
    </w:p>
    <w:p>
      <w:pPr>
        <w:pStyle w:val="957"/>
        <w:ind w:firstLine="482"/>
        <w:spacing w:line="360" w:lineRule="auto"/>
        <w:rPr>
          <w:rFonts w:hAnsi="宋体"/>
          <w:color w:val="000000"/>
          <w:sz w:val="24"/>
          <w:szCs w:val="24"/>
        </w:rPr>
      </w:pPr>
      <w:r/>
      <w:bookmarkStart w:id="828" w:name="_Toc430158363"/>
      <w:r/>
      <w:bookmarkStart w:id="829" w:name="_Toc251500496"/>
      <w:r/>
      <w:bookmarkStart w:id="830" w:name="_Toc471819255"/>
      <w:r/>
      <w:bookmarkStart w:id="831" w:name="_Toc154830755"/>
      <w:r>
        <w:rPr>
          <w:rFonts w:hint="eastAsia" w:hAnsi="宋体"/>
          <w:b/>
          <w:color w:val="000000"/>
          <w:sz w:val="24"/>
          <w:szCs w:val="24"/>
        </w:rPr>
        <w:t xml:space="preserve">四、</w:t>
      </w:r>
      <w:bookmarkEnd w:id="828"/>
      <w:r/>
      <w:bookmarkEnd w:id="829"/>
      <w:r/>
      <w:bookmarkEnd w:id="830"/>
      <w:r/>
      <w:bookmarkEnd w:id="831"/>
      <w:r>
        <w:rPr>
          <w:rFonts w:hint="eastAsia" w:hAnsi="宋体"/>
          <w:b/>
          <w:color w:val="000000"/>
          <w:sz w:val="24"/>
          <w:szCs w:val="24"/>
        </w:rPr>
        <w:t xml:space="preserve">验收方案</w:t>
      </w:r>
      <w:r>
        <w:rPr>
          <w:rFonts w:hAnsi="宋体"/>
          <w:color w:val="000000"/>
          <w:sz w:val="24"/>
          <w:szCs w:val="24"/>
        </w:rPr>
      </w:r>
      <w:r/>
    </w:p>
    <w:p>
      <w:pPr>
        <w:pStyle w:val="957"/>
        <w:ind w:firstLine="480"/>
        <w:spacing w:line="360" w:lineRule="auto"/>
        <w:rPr>
          <w:rFonts w:hAnsi="宋体" w:eastAsia="宋体" w:cs="Times New Roman"/>
          <w:color w:val="000000"/>
          <w:sz w:val="24"/>
          <w:szCs w:val="24"/>
        </w:rPr>
      </w:pPr>
      <w:r/>
      <w:bookmarkStart w:id="832" w:name="_Toc471819256"/>
      <w:r/>
      <w:bookmarkStart w:id="833" w:name="_Toc154830756"/>
      <w:r/>
      <w:bookmarkStart w:id="834" w:name="_Toc251500497"/>
      <w:r/>
      <w:bookmarkStart w:id="835" w:name="_Toc430158364"/>
      <w:r>
        <w:rPr>
          <w:rFonts w:hint="eastAsia" w:hAnsi="宋体" w:eastAsia="宋体" w:cs="Times New Roman"/>
          <w:color w:val="000000"/>
          <w:sz w:val="24"/>
          <w:szCs w:val="24"/>
        </w:rPr>
        <w:t xml:space="preserve">乙方提供的所有货物在交接过程中都须进行严格的检验和试验。</w:t>
      </w:r>
      <w:r>
        <w:rPr>
          <w:rFonts w:hAnsi="宋体" w:eastAsia="宋体" w:cs="Times New Roman"/>
          <w:color w:val="000000"/>
          <w:sz w:val="24"/>
          <w:szCs w:val="24"/>
        </w:rPr>
      </w:r>
      <w:r/>
    </w:p>
    <w:p>
      <w:pPr>
        <w:pStyle w:val="957"/>
        <w:ind w:firstLine="480"/>
        <w:spacing w:line="360" w:lineRule="auto"/>
        <w:rPr>
          <w:rFonts w:hAnsi="宋体" w:eastAsia="宋体" w:cs="Times New Roman"/>
          <w:color w:val="000000"/>
          <w:sz w:val="24"/>
          <w:szCs w:val="24"/>
        </w:rPr>
      </w:pPr>
      <w:r>
        <w:rPr>
          <w:rFonts w:hint="eastAsia" w:hAnsi="宋体" w:eastAsia="宋体" w:cs="Times New Roman"/>
          <w:color w:val="000000"/>
          <w:sz w:val="24"/>
          <w:szCs w:val="24"/>
        </w:rPr>
        <w:t xml:space="preserve">1．出厂检验：乙方提供货物的产品合格证。</w:t>
      </w:r>
      <w:r>
        <w:rPr>
          <w:rFonts w:hAnsi="宋体" w:eastAsia="宋体" w:cs="Times New Roman"/>
          <w:color w:val="000000"/>
          <w:sz w:val="24"/>
          <w:szCs w:val="24"/>
        </w:rPr>
      </w:r>
      <w:r/>
    </w:p>
    <w:p>
      <w:pPr>
        <w:pStyle w:val="957"/>
        <w:ind w:firstLine="480"/>
        <w:spacing w:line="360" w:lineRule="auto"/>
        <w:rPr>
          <w:rFonts w:hAnsi="宋体" w:eastAsia="宋体" w:cs="Times New Roman"/>
          <w:color w:val="000000"/>
          <w:sz w:val="24"/>
          <w:szCs w:val="24"/>
        </w:rPr>
      </w:pPr>
      <w:r>
        <w:rPr>
          <w:rFonts w:hint="eastAsia" w:hAnsi="宋体" w:eastAsia="宋体" w:cs="Times New Roman"/>
          <w:color w:val="000000"/>
          <w:sz w:val="24"/>
          <w:szCs w:val="24"/>
        </w:rPr>
        <w:t xml:space="preserve">2．到货检验：货物运达目的地后，甲方通知乙方派员及验收部门赴现场共同清验交收，并形成记录材料。清验中，若发现货物由于非甲方原因（包括运输）发生任何损坏、缺陷、缺少或与合同规定的质量标准和规范不符，应做好记录，并由双方代表签字，各执一份，作为甲方向乙方提出修理、更换、索赔的依据。若乙方代表未按约定时间赴现场参加验收，甲方有权自行开箱清点检验，其检验结果和记录对双方同样有效，并作为甲方向乙方索赔的有效证据。</w:t>
      </w:r>
      <w:r>
        <w:rPr>
          <w:rFonts w:hAnsi="宋体" w:eastAsia="宋体" w:cs="Times New Roman"/>
          <w:color w:val="000000"/>
          <w:sz w:val="24"/>
          <w:szCs w:val="24"/>
        </w:rPr>
      </w:r>
      <w:r/>
    </w:p>
    <w:p>
      <w:pPr>
        <w:pStyle w:val="957"/>
        <w:ind w:firstLine="480"/>
        <w:spacing w:line="360" w:lineRule="auto"/>
        <w:rPr>
          <w:rFonts w:hAnsi="宋体" w:eastAsia="宋体" w:cs="Times New Roman"/>
          <w:color w:val="000000"/>
          <w:sz w:val="24"/>
          <w:szCs w:val="24"/>
        </w:rPr>
      </w:pPr>
      <w:r>
        <w:rPr>
          <w:rFonts w:hint="eastAsia" w:hAnsi="宋体" w:eastAsia="宋体" w:cs="Times New Roman"/>
          <w:color w:val="000000"/>
          <w:sz w:val="24"/>
          <w:szCs w:val="24"/>
        </w:rPr>
        <w:t xml:space="preserve">3.安装调试检验：货物安装调试结束后由甲方组织相关部门进行验收，并出具验收结果。若对验收结果有异议，可由双方委托权威的第三方检验机构进行检验。检验结果对双方都有约束力，检验费用由责任方负担。</w:t>
      </w:r>
      <w:r>
        <w:rPr>
          <w:rFonts w:hAnsi="宋体" w:eastAsia="宋体" w:cs="Times New Roman"/>
          <w:color w:val="000000"/>
          <w:sz w:val="24"/>
          <w:szCs w:val="24"/>
        </w:rPr>
      </w:r>
      <w:r/>
    </w:p>
    <w:p>
      <w:pPr>
        <w:pStyle w:val="957"/>
        <w:ind w:firstLine="480"/>
        <w:spacing w:line="360" w:lineRule="auto"/>
        <w:rPr>
          <w:rFonts w:hAnsi="宋体" w:eastAsia="宋体" w:cs="Times New Roman"/>
          <w:color w:val="000000"/>
          <w:sz w:val="24"/>
          <w:szCs w:val="24"/>
        </w:rPr>
      </w:pPr>
      <w:r>
        <w:rPr>
          <w:rFonts w:hint="eastAsia" w:hAnsi="宋体" w:eastAsia="宋体" w:cs="Times New Roman"/>
          <w:color w:val="000000"/>
          <w:sz w:val="24"/>
          <w:szCs w:val="24"/>
        </w:rPr>
        <w:t xml:space="preserve">4．配套服务检验：乙方必须提供货物的现场安装、启动、调试、监督等服务；提供标的物组装和一般维修所必须的工具；提供在合同规定的期限内对所提供货物实行运行监督、维修服务的前提条件是该服务并不能免除乙方在质量保证期内所承担的义务；</w:t>
      </w:r>
      <w:r>
        <w:rPr>
          <w:rFonts w:hAnsi="宋体" w:eastAsia="宋体" w:cs="Times New Roman"/>
          <w:color w:val="000000"/>
          <w:sz w:val="24"/>
          <w:szCs w:val="24"/>
        </w:rPr>
      </w:r>
      <w:r/>
    </w:p>
    <w:p>
      <w:pPr>
        <w:pStyle w:val="957"/>
        <w:ind w:firstLine="480"/>
        <w:spacing w:line="360" w:lineRule="auto"/>
        <w:rPr>
          <w:rFonts w:hAnsi="宋体" w:eastAsia="宋体" w:cs="Times New Roman"/>
          <w:color w:val="000000"/>
          <w:sz w:val="24"/>
          <w:szCs w:val="24"/>
        </w:rPr>
      </w:pPr>
      <w:r>
        <w:rPr>
          <w:rFonts w:hint="eastAsia" w:hAnsi="宋体" w:eastAsia="宋体" w:cs="Times New Roman"/>
          <w:color w:val="000000"/>
          <w:sz w:val="24"/>
          <w:szCs w:val="24"/>
        </w:rPr>
        <w:t xml:space="preserve">5．提出异议的时间和办法：如有任何货物经检验和试验不符合技术规范的要求，甲方可以拒收。乙方应更换被拒收的货物，使之符合技术规范书的要求，乙方承担由此发生的一切费用。乙方如对甲方提出的修理、更换、索赔要求有异议，应在接到甲方书面通知后3天内提出，并在该时间内自费派代表赴现场同甲方代表共同复验。乙方在接到甲方按本合同规定提出的索赔通知后，应尽快修理、更换或补发短缺部分，由此产生的制造、修理和运费及保险费均由乙方负担。上述索赔，甲方从付款中扣除。</w:t>
      </w:r>
      <w:r>
        <w:rPr>
          <w:rFonts w:hAnsi="宋体" w:eastAsia="宋体" w:cs="Times New Roman"/>
          <w:color w:val="000000"/>
          <w:sz w:val="24"/>
          <w:szCs w:val="24"/>
        </w:rPr>
      </w:r>
      <w:r/>
    </w:p>
    <w:p>
      <w:pPr>
        <w:pStyle w:val="957"/>
        <w:ind w:firstLine="480"/>
        <w:spacing w:line="360" w:lineRule="auto"/>
        <w:rPr>
          <w:rFonts w:hAnsi="宋体" w:eastAsia="宋体" w:cs="Times New Roman"/>
          <w:color w:val="000000"/>
          <w:sz w:val="24"/>
          <w:szCs w:val="24"/>
        </w:rPr>
      </w:pPr>
      <w:r>
        <w:rPr>
          <w:rFonts w:hint="eastAsia" w:hAnsi="宋体" w:eastAsia="宋体" w:cs="Times New Roman"/>
          <w:color w:val="000000"/>
          <w:sz w:val="24"/>
          <w:szCs w:val="24"/>
        </w:rPr>
        <w:t xml:space="preserve">6.其他（根据项目特性还需要增加的条款）</w:t>
      </w:r>
      <w:r>
        <w:rPr>
          <w:rFonts w:hAnsi="宋体" w:eastAsia="宋体" w:cs="Times New Roman"/>
          <w:color w:val="000000"/>
          <w:sz w:val="24"/>
          <w:szCs w:val="24"/>
        </w:rPr>
      </w:r>
      <w:r/>
    </w:p>
    <w:p>
      <w:pPr>
        <w:pStyle w:val="957"/>
        <w:ind w:firstLine="482"/>
        <w:spacing w:line="36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五、</w:t>
      </w:r>
      <w:bookmarkEnd w:id="832"/>
      <w:r/>
      <w:bookmarkEnd w:id="833"/>
      <w:r/>
      <w:bookmarkEnd w:id="834"/>
      <w:r/>
      <w:bookmarkEnd w:id="835"/>
      <w:r/>
      <w:bookmarkStart w:id="836" w:name="_Toc471819258"/>
      <w:r/>
      <w:bookmarkStart w:id="837" w:name="_Toc154830757"/>
      <w:r/>
      <w:bookmarkStart w:id="838" w:name="_Hlk514702285"/>
      <w:r/>
      <w:bookmarkStart w:id="839" w:name="_Toc251500498"/>
      <w:r/>
      <w:bookmarkStart w:id="840" w:name="_Toc430158366"/>
      <w:r>
        <w:rPr>
          <w:rFonts w:hint="eastAsia" w:ascii="宋体" w:hAnsi="宋体" w:eastAsia="宋体" w:cs="Times New Roman"/>
          <w:b/>
          <w:bCs/>
          <w:color w:val="000000"/>
          <w:sz w:val="24"/>
          <w:szCs w:val="24"/>
        </w:rPr>
        <w:t xml:space="preserve">履约保证金：</w:t>
      </w:r>
      <w:bookmarkEnd w:id="838"/>
      <w:r/>
      <w:bookmarkStart w:id="841" w:name="_Hlk514701096"/>
      <w:r>
        <w:rPr>
          <w:rFonts w:hint="eastAsia" w:ascii="宋体" w:hAnsi="宋体" w:eastAsia="宋体" w:cs="Times New Roman"/>
          <w:b/>
          <w:bCs/>
          <w:color w:val="000000"/>
          <w:sz w:val="24"/>
          <w:szCs w:val="24"/>
        </w:rPr>
      </w:r>
      <w:r/>
    </w:p>
    <w:p>
      <w:pPr>
        <w:pStyle w:val="957"/>
        <w:ind w:firstLine="480"/>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为保障合同的有效履行，签订合同前，乙方应先缴纳合同总额的</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5</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 xml:space="preserve">%的履约保证金，计</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 元；承诺的质保期满后15个工作日内退还履约保证金。（不计息）</w:t>
      </w:r>
      <w:r>
        <w:rPr>
          <w:rFonts w:hint="eastAsia" w:ascii="宋体" w:hAnsi="宋体" w:eastAsia="宋体" w:cs="Times New Roman"/>
          <w:color w:val="000000"/>
          <w:sz w:val="24"/>
          <w:szCs w:val="24"/>
        </w:rPr>
      </w:r>
      <w:r/>
    </w:p>
    <w:p>
      <w:pPr>
        <w:pStyle w:val="957"/>
        <w:ind w:firstLine="482"/>
        <w:spacing w:line="360" w:lineRule="auto"/>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六、付款方式：</w:t>
      </w:r>
      <w:r>
        <w:rPr>
          <w:rFonts w:hint="eastAsia" w:ascii="宋体" w:hAnsi="宋体" w:eastAsia="宋体" w:cs="Times New Roman"/>
          <w:b/>
          <w:bCs/>
          <w:color w:val="000000"/>
          <w:sz w:val="24"/>
          <w:szCs w:val="24"/>
        </w:rPr>
      </w:r>
      <w:r/>
    </w:p>
    <w:p>
      <w:pPr>
        <w:pStyle w:val="918"/>
        <w:ind w:firstLine="480"/>
        <w:spacing w:line="400" w:lineRule="exact"/>
        <w:rPr>
          <w:rFonts w:ascii="宋体" w:hAnsi="宋体" w:cs="宋体"/>
          <w:color w:val="000000"/>
          <w:sz w:val="24"/>
          <w:szCs w:val="24"/>
        </w:rPr>
      </w:pPr>
      <w:r/>
      <w:bookmarkEnd w:id="841"/>
      <w:r>
        <w:rPr>
          <w:rFonts w:hint="eastAsia" w:ascii="宋体" w:hAnsi="宋体" w:cs="宋体"/>
          <w:color w:val="000000"/>
          <w:sz w:val="24"/>
          <w:szCs w:val="24"/>
        </w:rPr>
        <w:t xml:space="preserve">本合同经费按以下第</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种方式支付：</w:t>
      </w:r>
      <w:r>
        <w:rPr>
          <w:rFonts w:ascii="宋体" w:hAnsi="宋体" w:cs="宋体"/>
          <w:color w:val="000000"/>
          <w:sz w:val="24"/>
          <w:szCs w:val="24"/>
        </w:rPr>
      </w:r>
      <w:r/>
    </w:p>
    <w:p>
      <w:pPr>
        <w:pStyle w:val="918"/>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1.一次性支付，支付时间和方式。合同签订后，按验收标准验收合格后15个工作日内付合同总额的1</w:t>
      </w:r>
      <w:r>
        <w:rPr>
          <w:rFonts w:ascii="宋体" w:hAnsi="宋体" w:cs="宋体"/>
          <w:color w:val="000000"/>
          <w:sz w:val="24"/>
          <w:szCs w:val="24"/>
        </w:rPr>
        <w:t xml:space="preserve">00</w:t>
      </w:r>
      <w:r>
        <w:rPr>
          <w:rFonts w:hint="eastAsia" w:ascii="宋体" w:hAnsi="宋体" w:cs="宋体"/>
          <w:color w:val="000000"/>
          <w:sz w:val="24"/>
          <w:szCs w:val="24"/>
        </w:rPr>
        <w:t xml:space="preserve">%。</w:t>
      </w:r>
      <w:r>
        <w:rPr>
          <w:rFonts w:ascii="宋体" w:hAnsi="宋体" w:cs="宋体"/>
          <w:color w:val="000000"/>
          <w:sz w:val="24"/>
          <w:szCs w:val="24"/>
        </w:rPr>
      </w:r>
      <w:r/>
    </w:p>
    <w:p>
      <w:pPr>
        <w:pStyle w:val="918"/>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2.分期支付，支付时间和方式：</w:t>
      </w:r>
      <w:r>
        <w:rPr>
          <w:rFonts w:ascii="宋体" w:hAnsi="宋体" w:cs="宋体"/>
          <w:color w:val="000000"/>
          <w:sz w:val="24"/>
          <w:szCs w:val="24"/>
        </w:rPr>
      </w:r>
      <w:r/>
    </w:p>
    <w:p>
      <w:pPr>
        <w:pStyle w:val="918"/>
        <w:ind w:firstLine="480"/>
        <w:spacing w:line="40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合同签订后15个工作日内甲方支付给乙方合同总额的 20 %作为预付款；</w:t>
      </w:r>
      <w:r>
        <w:rPr>
          <w:rFonts w:hint="eastAsia" w:ascii="宋体" w:hAnsi="宋体" w:cs="宋体"/>
          <w:color w:val="000000"/>
          <w:sz w:val="24"/>
          <w:szCs w:val="24"/>
        </w:rPr>
      </w:r>
      <w:r/>
    </w:p>
    <w:p>
      <w:pPr>
        <w:pStyle w:val="918"/>
        <w:ind w:firstLine="480"/>
        <w:spacing w:line="40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乙方将全部货物运至甲方指定地点并签署《到货确认单》后，乙方向甲方开具等额合法有效的增值税发票，甲方在收到上述资料并审核无误后15个工作日内，向乙方支付合同总金额的33%；</w:t>
      </w:r>
      <w:r>
        <w:rPr>
          <w:rFonts w:hint="eastAsia" w:ascii="宋体" w:hAnsi="宋体" w:cs="宋体"/>
          <w:color w:val="000000"/>
          <w:sz w:val="24"/>
          <w:szCs w:val="24"/>
        </w:rPr>
      </w:r>
      <w:r/>
    </w:p>
    <w:p>
      <w:pPr>
        <w:pStyle w:val="918"/>
        <w:ind w:firstLine="480"/>
        <w:spacing w:line="400" w:lineRule="exact"/>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剩余款项待设备安装调试完成，甲方最终验收合格且乙方向甲方开具剩余款项有效的增值税发票后，15个工作日内向乙方支付合同总金额的47%。</w:t>
      </w:r>
      <w:r>
        <w:rPr>
          <w:rFonts w:hint="eastAsia" w:ascii="宋体" w:hAnsi="宋体" w:cs="宋体"/>
          <w:color w:val="000000"/>
          <w:sz w:val="24"/>
          <w:szCs w:val="24"/>
        </w:rPr>
      </w:r>
      <w:r/>
    </w:p>
    <w:p>
      <w:pPr>
        <w:pStyle w:val="918"/>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3.其他约定的支付方式，约定如下：</w:t>
      </w:r>
      <w:r>
        <w:rPr>
          <w:rFonts w:hint="eastAsia" w:ascii="宋体" w:hAnsi="宋体" w:cs="宋体"/>
          <w:color w:val="000000"/>
          <w:sz w:val="24"/>
          <w:szCs w:val="24"/>
          <w:u w:val="single"/>
        </w:rPr>
        <w:t xml:space="preserve">                       ；</w:t>
      </w:r>
      <w:r>
        <w:rPr>
          <w:rFonts w:ascii="宋体" w:hAnsi="宋体" w:cs="宋体"/>
          <w:color w:val="000000"/>
          <w:sz w:val="24"/>
          <w:szCs w:val="24"/>
        </w:rPr>
      </w:r>
      <w:r/>
    </w:p>
    <w:p>
      <w:pPr>
        <w:pStyle w:val="957"/>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七、质量保证期与售后服务</w:t>
      </w:r>
      <w:bookmarkEnd w:id="836"/>
      <w:r/>
      <w:bookmarkEnd w:id="837"/>
      <w:r/>
      <w:bookmarkEnd w:id="839"/>
      <w:r/>
      <w:bookmarkEnd w:id="840"/>
      <w:r>
        <w:rPr>
          <w:rFonts w:hint="eastAsia" w:ascii="宋体" w:hAnsi="宋体" w:eastAsia="宋体" w:cs="宋体"/>
          <w:b/>
          <w:color w:val="000000"/>
          <w:sz w:val="24"/>
          <w:szCs w:val="24"/>
          <w:highlight w:val="none"/>
        </w:rPr>
      </w:r>
      <w:r/>
    </w:p>
    <w:p>
      <w:pPr>
        <w:pStyle w:val="918"/>
        <w:ind w:firstLine="480"/>
        <w:spacing w:line="360" w:lineRule="auto"/>
        <w:rPr>
          <w:rFonts w:ascii="宋体" w:hAnsi="宋体"/>
          <w:color w:val="000000"/>
          <w:sz w:val="24"/>
          <w:szCs w:val="24"/>
        </w:rPr>
      </w:pPr>
      <w:r>
        <w:rPr>
          <w:rFonts w:hint="eastAsia" w:ascii="宋体" w:hAnsi="宋体"/>
          <w:color w:val="000000"/>
          <w:sz w:val="24"/>
          <w:szCs w:val="24"/>
        </w:rPr>
        <w:t xml:space="preserve">1.质量保证期为自物资设备验收合格并通过试运后</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ascii="宋体" w:hAnsi="宋体"/>
          <w:color w:val="000000"/>
          <w:sz w:val="24"/>
          <w:szCs w:val="24"/>
        </w:rPr>
      </w:r>
      <w:r/>
    </w:p>
    <w:p>
      <w:pPr>
        <w:pStyle w:val="918"/>
        <w:ind w:firstLine="480"/>
        <w:spacing w:line="360" w:lineRule="auto"/>
        <w:rPr>
          <w:rFonts w:ascii="宋体" w:hAnsi="宋体"/>
          <w:color w:val="000000"/>
          <w:sz w:val="24"/>
          <w:szCs w:val="24"/>
        </w:rPr>
      </w:pPr>
      <w:r>
        <w:rPr>
          <w:rFonts w:hint="eastAsia" w:ascii="宋体" w:hAnsi="宋体"/>
          <w:color w:val="000000"/>
          <w:sz w:val="24"/>
          <w:szCs w:val="24"/>
        </w:rPr>
        <w:t xml:space="preserve">2.乙方应保证所供物资设备在安装调试合同货物时，免费派出技术人员赴甲方现场技术指导。对甲方人员进行培训，主要培训内容为：货物的功能、基本结构、性能、主要部件的</w:t>
      </w:r>
      <w:r>
        <w:rPr>
          <w:rFonts w:hint="eastAsia" w:ascii="宋体" w:hAnsi="宋体"/>
          <w:color w:val="000000"/>
          <w:sz w:val="24"/>
          <w:szCs w:val="24"/>
        </w:rPr>
        <w:t xml:space="preserve">构造及处理，日常使用操作、保养与管理、常见故障的排除、紧急情况的处理等，并按要求做好记录，双方签字确认。</w:t>
      </w:r>
      <w:r>
        <w:rPr>
          <w:rFonts w:ascii="宋体" w:hAnsi="宋体"/>
          <w:color w:val="000000"/>
          <w:sz w:val="24"/>
          <w:szCs w:val="24"/>
        </w:rPr>
      </w:r>
      <w:r/>
    </w:p>
    <w:p>
      <w:pPr>
        <w:pStyle w:val="918"/>
        <w:ind w:firstLine="480"/>
        <w:spacing w:line="360" w:lineRule="auto"/>
        <w:rPr>
          <w:rFonts w:hint="eastAsia" w:ascii="宋体" w:hAnsi="宋体" w:eastAsia="宋体"/>
          <w:color w:val="000000"/>
          <w:sz w:val="24"/>
          <w:szCs w:val="24"/>
          <w:lang w:val="en-US" w:eastAsia="zh-CN"/>
        </w:rPr>
      </w:pPr>
      <w:r>
        <w:rPr>
          <w:rFonts w:hint="eastAsia" w:ascii="宋体" w:hAnsi="宋体"/>
          <w:color w:val="000000"/>
          <w:sz w:val="24"/>
          <w:szCs w:val="24"/>
        </w:rPr>
        <w:t xml:space="preserve">3.质量保证期内免费更换零配件（人为损坏除外），质量保证期满后实行终身有偿维修保养。乙</w:t>
      </w:r>
      <w:r>
        <w:rPr>
          <w:rFonts w:hint="eastAsia" w:ascii="宋体" w:hAnsi="宋体"/>
          <w:color w:val="000000"/>
          <w:sz w:val="24"/>
          <w:szCs w:val="24"/>
        </w:rPr>
        <w:t xml:space="preserve">方接到用户报修电话后白天</w:t>
      </w:r>
      <w:r>
        <w:rPr>
          <w:rFonts w:hint="eastAsia" w:ascii="宋体" w:hAnsi="宋体"/>
          <w:color w:val="000000"/>
          <w:sz w:val="24"/>
          <w:szCs w:val="24"/>
          <w:u w:val="single"/>
        </w:rPr>
        <w:t xml:space="preserve">     </w:t>
      </w:r>
      <w:r>
        <w:rPr>
          <w:rFonts w:hint="eastAsia" w:ascii="宋体" w:hAnsi="宋体"/>
          <w:color w:val="000000"/>
          <w:sz w:val="24"/>
          <w:szCs w:val="24"/>
        </w:rPr>
        <w:t xml:space="preserve">小时、夜间</w:t>
      </w:r>
      <w:r>
        <w:rPr>
          <w:rFonts w:hint="eastAsia" w:ascii="宋体" w:hAnsi="宋体"/>
          <w:color w:val="000000"/>
          <w:sz w:val="24"/>
          <w:szCs w:val="24"/>
          <w:u w:val="single"/>
        </w:rPr>
        <w:t xml:space="preserve">    </w:t>
      </w:r>
      <w:r>
        <w:rPr>
          <w:rFonts w:hint="eastAsia" w:ascii="宋体" w:hAnsi="宋体"/>
          <w:color w:val="000000"/>
          <w:sz w:val="24"/>
          <w:szCs w:val="24"/>
        </w:rPr>
        <w:t xml:space="preserve">小时内维修人员赶到现场检修处理。</w:t>
      </w:r>
      <w:r>
        <w:rPr>
          <w:rFonts w:hint="eastAsia" w:ascii="宋体" w:hAnsi="宋体"/>
          <w:color w:val="000000"/>
          <w:sz w:val="24"/>
          <w:szCs w:val="24"/>
          <w:lang w:val="en-US" w:eastAsia="zh-CN"/>
        </w:rPr>
        <w:t xml:space="preserve"> </w:t>
      </w:r>
      <w:r>
        <w:rPr>
          <w:rFonts w:hint="eastAsia" w:ascii="宋体" w:hAnsi="宋体" w:eastAsia="宋体"/>
          <w:color w:val="000000"/>
          <w:sz w:val="24"/>
          <w:szCs w:val="24"/>
          <w:lang w:val="en-US" w:eastAsia="zh-CN"/>
        </w:rPr>
      </w:r>
      <w:r/>
    </w:p>
    <w:p>
      <w:pPr>
        <w:pStyle w:val="957"/>
        <w:ind w:firstLine="480"/>
        <w:spacing w:line="360" w:lineRule="auto"/>
        <w:rPr>
          <w:rFonts w:hAnsi="宋体"/>
          <w:color w:val="000000"/>
          <w:sz w:val="24"/>
          <w:szCs w:val="24"/>
        </w:rPr>
      </w:pPr>
      <w:r>
        <w:rPr>
          <w:rFonts w:hint="eastAsia" w:hAnsi="宋体"/>
          <w:color w:val="000000"/>
          <w:sz w:val="24"/>
          <w:szCs w:val="24"/>
        </w:rPr>
        <w:t xml:space="preserve">4.质保期结束，不能视为乙方对合同货物中存在的可能引起货物损坏的潜在缺陷所应负责任的解除。潜在缺陷指货物在制造过程中未被发现的隐患，乙方对纠正潜在缺陷应负责任，其时间应延续至质保期</w:t>
      </w:r>
      <w:r>
        <w:rPr>
          <w:rFonts w:hint="eastAsia" w:hAnsi="宋体"/>
          <w:color w:val="000000"/>
          <w:sz w:val="24"/>
          <w:szCs w:val="24"/>
        </w:rPr>
        <w:t xml:space="preserve">终止后贰年。当发现这类潜在缺陷时（经双方确认），乙方应立即予以无偿修复或更换。</w:t>
      </w:r>
      <w:r>
        <w:rPr>
          <w:rFonts w:hAnsi="宋体"/>
          <w:color w:val="000000"/>
          <w:sz w:val="24"/>
          <w:szCs w:val="24"/>
        </w:rPr>
      </w:r>
      <w:r/>
    </w:p>
    <w:p>
      <w:pPr>
        <w:pStyle w:val="957"/>
        <w:ind w:firstLine="480"/>
        <w:spacing w:line="360" w:lineRule="auto"/>
        <w:rPr>
          <w:rFonts w:hint="eastAsia" w:hAnsi="宋体" w:eastAsia="宋体" w:cs="Times New Roman"/>
          <w:color w:val="000000"/>
          <w:sz w:val="24"/>
          <w:szCs w:val="24"/>
          <w:lang w:val="en-US" w:eastAsia="zh-CN"/>
        </w:rPr>
      </w:pPr>
      <w:r>
        <w:rPr>
          <w:rFonts w:hint="eastAsia" w:hAnsi="宋体" w:eastAsia="宋体" w:cs="Times New Roman"/>
          <w:color w:val="000000"/>
          <w:sz w:val="24"/>
          <w:szCs w:val="24"/>
        </w:rPr>
        <w:t xml:space="preserve">5.其他承诺</w:t>
      </w:r>
      <w:r>
        <w:rPr>
          <w:rFonts w:hint="eastAsia" w:hAnsi="宋体" w:eastAsia="宋体" w:cs="Times New Roman"/>
          <w:color w:val="000000"/>
          <w:sz w:val="24"/>
          <w:szCs w:val="24"/>
          <w:lang w:val="en-US" w:eastAsia="zh-CN"/>
        </w:rPr>
        <w:t xml:space="preserve"> </w:t>
      </w:r>
      <w:r>
        <w:rPr>
          <w:rFonts w:hint="eastAsia" w:hAnsi="宋体" w:eastAsia="宋体" w:cs="Times New Roman"/>
          <w:color w:val="000000"/>
          <w:sz w:val="24"/>
          <w:szCs w:val="24"/>
          <w:lang w:val="en-US" w:eastAsia="zh-CN"/>
        </w:rPr>
      </w:r>
      <w:r/>
    </w:p>
    <w:p>
      <w:pPr>
        <w:pStyle w:val="918"/>
        <w:ind w:firstLine="482"/>
        <w:spacing w:line="360" w:lineRule="auto"/>
        <w:rPr>
          <w:color w:val="000000"/>
          <w:sz w:val="24"/>
          <w:szCs w:val="24"/>
        </w:rPr>
      </w:pPr>
      <w:r/>
      <w:bookmarkStart w:id="842" w:name="_Toc251500499"/>
      <w:r/>
      <w:bookmarkStart w:id="843" w:name="_Toc471819259"/>
      <w:r/>
      <w:bookmarkStart w:id="844" w:name="_Toc154830758"/>
      <w:r/>
      <w:bookmarkStart w:id="845" w:name="_Toc430158367"/>
      <w:r>
        <w:rPr>
          <w:rFonts w:hint="eastAsia" w:ascii="宋体" w:hAnsi="宋体"/>
          <w:b/>
          <w:bCs/>
          <w:color w:val="000000"/>
          <w:sz w:val="24"/>
          <w:szCs w:val="24"/>
        </w:rPr>
        <w:t xml:space="preserve">八、违约责任</w:t>
      </w:r>
      <w:bookmarkEnd w:id="842"/>
      <w:r/>
      <w:bookmarkEnd w:id="843"/>
      <w:r/>
      <w:bookmarkEnd w:id="844"/>
      <w:r/>
      <w:bookmarkEnd w:id="845"/>
      <w:r>
        <w:rPr>
          <w:color w:val="000000"/>
          <w:sz w:val="24"/>
          <w:szCs w:val="24"/>
        </w:rPr>
      </w:r>
      <w:r/>
    </w:p>
    <w:p>
      <w:pPr>
        <w:pStyle w:val="957"/>
        <w:ind w:firstLine="360"/>
        <w:spacing w:line="360" w:lineRule="auto"/>
        <w:rPr>
          <w:rFonts w:hAnsi="宋体"/>
          <w:color w:val="000000"/>
          <w:sz w:val="24"/>
          <w:szCs w:val="24"/>
        </w:rPr>
      </w:pPr>
      <w:r>
        <w:rPr>
          <w:rFonts w:hint="eastAsia" w:hAnsi="宋体"/>
          <w:color w:val="000000"/>
          <w:sz w:val="24"/>
          <w:szCs w:val="24"/>
        </w:rPr>
        <w:t xml:space="preserve">1、乙方不履行或未按约定要求完全履行合同，甲方有权扣除履约保证金作为违约金。</w:t>
      </w:r>
      <w:r>
        <w:rPr>
          <w:rFonts w:hAnsi="宋体"/>
          <w:color w:val="000000"/>
          <w:sz w:val="24"/>
          <w:szCs w:val="24"/>
        </w:rPr>
      </w:r>
      <w:r/>
    </w:p>
    <w:p>
      <w:pPr>
        <w:pStyle w:val="957"/>
        <w:ind w:firstLine="360"/>
        <w:spacing w:line="360" w:lineRule="auto"/>
        <w:rPr>
          <w:rFonts w:hAnsi="宋体"/>
          <w:color w:val="000000"/>
          <w:sz w:val="24"/>
          <w:szCs w:val="24"/>
        </w:rPr>
      </w:pPr>
      <w:r>
        <w:rPr>
          <w:rFonts w:hint="eastAsia" w:hAnsi="宋体"/>
          <w:color w:val="000000"/>
          <w:sz w:val="24"/>
          <w:szCs w:val="24"/>
        </w:rPr>
        <w:t xml:space="preserve">2、乙方逾期交货或者甲方逾期付款,应向对方支付违约金,迟延履行违约金以逾期部分价款总额每日千分之</w:t>
      </w:r>
      <w:r>
        <w:rPr>
          <w:rFonts w:hint="eastAsia" w:hAnsi="宋体"/>
          <w:color w:val="000000"/>
          <w:sz w:val="24"/>
          <w:szCs w:val="24"/>
          <w:u w:val="single"/>
        </w:rPr>
        <w:t xml:space="preserve"> 八  </w:t>
      </w:r>
      <w:r>
        <w:rPr>
          <w:rFonts w:hint="eastAsia" w:hAnsi="宋体"/>
          <w:color w:val="000000"/>
          <w:sz w:val="24"/>
          <w:szCs w:val="24"/>
        </w:rPr>
        <w:t xml:space="preserve">计算。任何一方逾期履行超过</w:t>
      </w:r>
      <w:r>
        <w:rPr>
          <w:rFonts w:hint="eastAsia" w:hAnsi="宋体"/>
          <w:color w:val="000000"/>
          <w:sz w:val="24"/>
          <w:szCs w:val="24"/>
          <w:u w:val="single"/>
        </w:rPr>
        <w:t xml:space="preserve"> 十  </w:t>
      </w:r>
      <w:r>
        <w:rPr>
          <w:rFonts w:hint="eastAsia" w:hAnsi="宋体"/>
          <w:color w:val="000000"/>
          <w:sz w:val="24"/>
          <w:szCs w:val="24"/>
        </w:rPr>
        <w:t xml:space="preserve">天，应当以逾期部分价款总额5％向对方支付违约金，守约方有权解除合同或要求继续履行合同。</w:t>
      </w:r>
      <w:r>
        <w:rPr>
          <w:rFonts w:hAnsi="宋体"/>
          <w:color w:val="000000"/>
          <w:sz w:val="24"/>
          <w:szCs w:val="24"/>
        </w:rPr>
      </w:r>
      <w:r/>
    </w:p>
    <w:p>
      <w:pPr>
        <w:pStyle w:val="957"/>
        <w:ind w:firstLine="360"/>
        <w:spacing w:line="360" w:lineRule="auto"/>
        <w:rPr>
          <w:rFonts w:hAnsi="宋体"/>
          <w:color w:val="000000"/>
          <w:sz w:val="24"/>
          <w:szCs w:val="24"/>
        </w:rPr>
      </w:pPr>
      <w:r>
        <w:rPr>
          <w:rFonts w:hint="eastAsia" w:hAnsi="宋体"/>
          <w:color w:val="000000"/>
          <w:sz w:val="24"/>
          <w:szCs w:val="24"/>
        </w:rPr>
        <w:t xml:space="preserve">3、提供的部件不符合谈判文件的技术要求，必须按要求进行修复、拆除或重新采购；若乙方拒不按要求更正的，将对乙方处以不低于5倍的罚款（按不合格部件价值计算），且乙方应承担由此发生的一切费用，延误的工期不予顺延。</w:t>
      </w:r>
      <w:r>
        <w:rPr>
          <w:rFonts w:hAnsi="宋体"/>
          <w:color w:val="000000"/>
          <w:sz w:val="24"/>
          <w:szCs w:val="24"/>
        </w:rPr>
      </w:r>
      <w:r/>
    </w:p>
    <w:p>
      <w:pPr>
        <w:pStyle w:val="918"/>
        <w:ind w:firstLine="482"/>
        <w:spacing w:line="360" w:lineRule="auto"/>
        <w:rPr>
          <w:rFonts w:ascii="宋体" w:hAnsi="宋体"/>
          <w:b/>
          <w:color w:val="000000"/>
          <w:sz w:val="24"/>
          <w:szCs w:val="24"/>
        </w:rPr>
      </w:pPr>
      <w:r>
        <w:rPr>
          <w:rFonts w:hint="eastAsia" w:ascii="宋体" w:hAnsi="宋体"/>
          <w:b/>
          <w:color w:val="000000"/>
          <w:sz w:val="24"/>
          <w:szCs w:val="24"/>
        </w:rPr>
        <w:t xml:space="preserve">九、不可抗力</w:t>
      </w:r>
      <w:r>
        <w:rPr>
          <w:rFonts w:ascii="宋体" w:hAnsi="宋体"/>
          <w:b/>
          <w:color w:val="000000"/>
          <w:sz w:val="24"/>
          <w:szCs w:val="24"/>
        </w:rPr>
      </w:r>
      <w:r/>
    </w:p>
    <w:p>
      <w:pPr>
        <w:pStyle w:val="918"/>
        <w:ind w:firstLine="480"/>
        <w:jc w:val="left"/>
        <w:spacing w:line="360" w:lineRule="auto"/>
        <w:rPr>
          <w:rFonts w:ascii="宋体" w:hAnsi="宋体"/>
          <w:color w:val="000000"/>
          <w:sz w:val="24"/>
          <w:szCs w:val="24"/>
        </w:rPr>
      </w:pPr>
      <w:r>
        <w:rPr>
          <w:rFonts w:hint="eastAsia" w:ascii="宋体" w:hAnsi="宋体"/>
          <w:color w:val="000000"/>
          <w:sz w:val="24"/>
          <w:szCs w:val="24"/>
        </w:rPr>
        <w:t xml:space="preserve">1.本合同所称不可抗力，是指不能预见、不能避免并不能克服的客观情况。</w:t>
      </w:r>
      <w:r>
        <w:rPr>
          <w:rFonts w:ascii="宋体" w:hAnsi="宋体"/>
          <w:color w:val="000000"/>
          <w:sz w:val="24"/>
          <w:szCs w:val="24"/>
        </w:rPr>
      </w:r>
      <w:r/>
    </w:p>
    <w:p>
      <w:pPr>
        <w:pStyle w:val="918"/>
        <w:ind w:firstLine="480"/>
        <w:jc w:val="left"/>
        <w:spacing w:line="360" w:lineRule="auto"/>
        <w:rPr>
          <w:rFonts w:ascii="宋体" w:hAnsi="宋体"/>
          <w:color w:val="000000"/>
          <w:sz w:val="24"/>
          <w:szCs w:val="24"/>
        </w:rPr>
      </w:pPr>
      <w:r>
        <w:rPr>
          <w:rFonts w:hint="eastAsia" w:ascii="宋体" w:hAnsi="宋体"/>
          <w:color w:val="000000"/>
          <w:sz w:val="24"/>
          <w:szCs w:val="24"/>
        </w:rPr>
        <w:t xml:space="preserve">2.由于不可抗力事件，致使一方在履行其本合同项下的义务过程中遇到的障碍或延误，不能按规定的条款全部或部分履行其义务的，遇到不可抗力事件的一方（受阻方），不应视为违反本合同。</w:t>
      </w:r>
      <w:r>
        <w:rPr>
          <w:rFonts w:ascii="宋体" w:hAnsi="宋体"/>
          <w:color w:val="000000"/>
          <w:sz w:val="24"/>
          <w:szCs w:val="24"/>
        </w:rPr>
      </w:r>
      <w:r/>
    </w:p>
    <w:p>
      <w:pPr>
        <w:pStyle w:val="918"/>
        <w:ind w:firstLine="480"/>
        <w:jc w:val="left"/>
        <w:spacing w:line="360" w:lineRule="auto"/>
        <w:rPr>
          <w:rFonts w:ascii="宋体" w:hAnsi="宋体"/>
          <w:color w:val="000000"/>
          <w:sz w:val="24"/>
          <w:szCs w:val="24"/>
        </w:rPr>
      </w:pPr>
      <w:r>
        <w:rPr>
          <w:rFonts w:hint="eastAsia" w:ascii="宋体" w:hAnsi="宋体"/>
          <w:color w:val="000000"/>
          <w:sz w:val="24"/>
          <w:szCs w:val="24"/>
        </w:rPr>
        <w:t xml:space="preserve">3.不可抗力事件终止或被排除后，受阻方应继续履行本合同，并应立即通知另一方。受阻方可以延长履行义务的时间，延长期应相当于不可抗力事件实际造成延误的时间。</w:t>
      </w:r>
      <w:r>
        <w:rPr>
          <w:rFonts w:ascii="宋体" w:hAnsi="宋体"/>
          <w:color w:val="000000"/>
          <w:sz w:val="24"/>
          <w:szCs w:val="24"/>
        </w:rPr>
      </w:r>
      <w:r/>
    </w:p>
    <w:p>
      <w:pPr>
        <w:pStyle w:val="949"/>
        <w:ind w:firstLine="482"/>
        <w:spacing w:after="0" w:line="360" w:lineRule="auto"/>
        <w:tabs>
          <w:tab w:val="left" w:pos="567" w:leader="none"/>
        </w:tabs>
        <w:rPr>
          <w:rFonts w:ascii="宋体" w:hAnsi="宋体"/>
          <w:b/>
          <w:bCs/>
          <w:color w:val="000000"/>
          <w:sz w:val="24"/>
          <w:szCs w:val="24"/>
        </w:rPr>
      </w:pPr>
      <w:r>
        <w:rPr>
          <w:rFonts w:hint="eastAsia" w:ascii="宋体" w:hAnsi="宋体"/>
          <w:b/>
          <w:bCs/>
          <w:color w:val="000000"/>
          <w:sz w:val="24"/>
          <w:szCs w:val="24"/>
        </w:rPr>
        <w:t xml:space="preserve">十、</w:t>
      </w:r>
      <w:r>
        <w:rPr>
          <w:rFonts w:hint="eastAsia" w:ascii="宋体" w:hAnsi="宋体"/>
          <w:b/>
          <w:color w:val="000000"/>
          <w:sz w:val="24"/>
          <w:szCs w:val="24"/>
        </w:rPr>
        <w:t xml:space="preserve">合同纠纷处理</w:t>
      </w:r>
      <w:r>
        <w:rPr>
          <w:rFonts w:ascii="宋体" w:hAnsi="宋体"/>
          <w:b/>
          <w:bCs/>
          <w:color w:val="000000"/>
          <w:sz w:val="24"/>
          <w:szCs w:val="24"/>
        </w:rPr>
      </w:r>
      <w:r/>
    </w:p>
    <w:p>
      <w:pPr>
        <w:pStyle w:val="949"/>
        <w:ind w:firstLine="480"/>
        <w:spacing w:after="0" w:line="360" w:lineRule="auto"/>
        <w:tabs>
          <w:tab w:val="left" w:pos="567" w:leader="none"/>
        </w:tabs>
        <w:rPr>
          <w:rFonts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t xml:space="preserve">因履行本合同发生争议，由双方协商解决，解决不成则提交常州仲裁委员会仲裁。</w:t>
      </w:r>
      <w:r>
        <w:rPr>
          <w:rFonts w:ascii="宋体" w:hAnsi="宋体"/>
          <w:color w:val="000000"/>
          <w:sz w:val="24"/>
          <w:szCs w:val="24"/>
        </w:rPr>
      </w:r>
      <w:r/>
    </w:p>
    <w:p>
      <w:pPr>
        <w:pStyle w:val="957"/>
        <w:ind w:firstLine="482"/>
        <w:spacing w:line="360" w:lineRule="auto"/>
        <w:rPr>
          <w:rFonts w:hAnsi="宋体"/>
          <w:b/>
          <w:color w:val="000000"/>
          <w:sz w:val="24"/>
          <w:szCs w:val="24"/>
        </w:rPr>
      </w:pPr>
      <w:r>
        <w:rPr>
          <w:rFonts w:hint="eastAsia" w:hAnsi="宋体"/>
          <w:b/>
          <w:color w:val="000000"/>
          <w:sz w:val="24"/>
          <w:szCs w:val="24"/>
        </w:rPr>
        <w:t xml:space="preserve">十一、生效</w:t>
      </w:r>
      <w:r>
        <w:rPr>
          <w:rFonts w:hAnsi="宋体"/>
          <w:b/>
          <w:color w:val="000000"/>
          <w:sz w:val="24"/>
          <w:szCs w:val="24"/>
        </w:rPr>
      </w:r>
      <w:r/>
    </w:p>
    <w:p>
      <w:pPr>
        <w:pStyle w:val="957"/>
        <w:ind w:firstLine="480"/>
        <w:spacing w:line="360" w:lineRule="auto"/>
        <w:rPr>
          <w:rFonts w:hAnsi="宋体"/>
          <w:color w:val="000000"/>
          <w:sz w:val="24"/>
          <w:szCs w:val="24"/>
        </w:rPr>
      </w:pPr>
      <w:r>
        <w:rPr>
          <w:rFonts w:hint="eastAsia" w:hAnsi="宋体"/>
          <w:color w:val="000000"/>
          <w:sz w:val="24"/>
          <w:szCs w:val="24"/>
        </w:rPr>
        <w:t xml:space="preserve">本合同自双方签字盖章之日起生效。见证方对甲方通过见证方平台采购本合同标的的事实进行见证，本合同的履行与见证方无关。</w:t>
      </w:r>
      <w:r>
        <w:rPr>
          <w:rFonts w:hAnsi="宋体"/>
          <w:color w:val="000000"/>
          <w:sz w:val="24"/>
          <w:szCs w:val="24"/>
        </w:rPr>
      </w:r>
      <w:r/>
    </w:p>
    <w:p>
      <w:pPr>
        <w:pStyle w:val="957"/>
        <w:ind w:firstLine="482"/>
        <w:spacing w:line="360" w:lineRule="auto"/>
        <w:rPr>
          <w:rFonts w:hAnsi="宋体"/>
          <w:b/>
          <w:color w:val="000000"/>
          <w:sz w:val="24"/>
          <w:szCs w:val="24"/>
        </w:rPr>
      </w:pPr>
      <w:r>
        <w:rPr>
          <w:rFonts w:hint="eastAsia" w:hAnsi="宋体"/>
          <w:b/>
          <w:color w:val="000000"/>
          <w:sz w:val="24"/>
          <w:szCs w:val="24"/>
        </w:rPr>
        <w:t xml:space="preserve">十二、合同份数</w:t>
      </w:r>
      <w:r>
        <w:rPr>
          <w:rFonts w:hAnsi="宋体"/>
          <w:b/>
          <w:color w:val="000000"/>
          <w:sz w:val="24"/>
          <w:szCs w:val="24"/>
        </w:rPr>
      </w:r>
      <w:r/>
    </w:p>
    <w:p>
      <w:pPr>
        <w:pStyle w:val="957"/>
        <w:ind w:firstLine="480"/>
        <w:spacing w:line="360" w:lineRule="auto"/>
        <w:rPr>
          <w:rFonts w:hAnsi="宋体"/>
          <w:color w:val="000000"/>
          <w:sz w:val="24"/>
          <w:szCs w:val="24"/>
        </w:rPr>
      </w:pPr>
      <w:r>
        <w:rPr>
          <w:rFonts w:hint="eastAsia" w:hAnsi="宋体"/>
          <w:color w:val="000000"/>
          <w:sz w:val="24"/>
          <w:szCs w:val="24"/>
        </w:rPr>
        <w:t xml:space="preserve">本合同一式伍份。甲方叁份、乙方贰份。</w:t>
      </w:r>
      <w:r>
        <w:rPr>
          <w:rFonts w:hAnsi="宋体"/>
          <w:color w:val="000000"/>
          <w:sz w:val="24"/>
          <w:szCs w:val="24"/>
        </w:rPr>
      </w:r>
      <w:r/>
    </w:p>
    <w:p>
      <w:pPr>
        <w:pStyle w:val="918"/>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甲方：                                      乙方：</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单位名称（章）：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单位名称（章）：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u w:val="single"/>
        </w:rPr>
        <w:t xml:space="preserve">常州市武进区鸣新中路26号</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单位地址：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                                法定代表人：</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委托代理人：                                </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                                委托代理人：</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 农行邱墅支行                     开户银行：                       </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    号： 10-605701040004030               帐号：            </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    号： 123200004660069658               税号：</w:t>
      </w:r>
      <w:r>
        <w:rPr>
          <w:rFonts w:hint="eastAsia" w:ascii="宋体" w:hAnsi="宋体" w:eastAsia="宋体" w:cs="宋体"/>
          <w:color w:val="000000"/>
          <w:sz w:val="24"/>
          <w:szCs w:val="24"/>
          <w:highlight w:val="none"/>
        </w:rPr>
      </w:r>
      <w:r/>
    </w:p>
    <w:p>
      <w:pPr>
        <w:pStyle w:val="918"/>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电    话：                                  电  话：</w:t>
      </w:r>
      <w:r>
        <w:rPr>
          <w:color w:val="000000"/>
          <w:sz w:val="24"/>
          <w:highlight w:val="none"/>
        </w:rPr>
        <w:br w:type="page" w:clear="all"/>
      </w:r>
      <w:r>
        <w:rPr>
          <w:rFonts w:hint="eastAsia" w:ascii="宋体" w:hAnsi="宋体" w:eastAsia="宋体" w:cs="宋体"/>
          <w:b/>
          <w:color w:val="000000"/>
          <w:sz w:val="24"/>
          <w:szCs w:val="24"/>
          <w:highlight w:val="none"/>
        </w:rPr>
        <w:t xml:space="preserve">附：             </w:t>
      </w:r>
      <w:r>
        <w:rPr>
          <w:rFonts w:hint="eastAsia" w:ascii="宋体" w:hAnsi="宋体" w:eastAsia="宋体" w:cs="宋体"/>
          <w:b/>
          <w:color w:val="000000"/>
          <w:sz w:val="24"/>
          <w:szCs w:val="24"/>
          <w:highlight w:val="none"/>
        </w:rPr>
      </w:r>
      <w:r/>
    </w:p>
    <w:p>
      <w:pPr>
        <w:pStyle w:val="920"/>
        <w:keepLines w:val="0"/>
        <w:spacing w:line="360" w:lineRule="auto"/>
        <w:widowControl/>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廉政责任书</w:t>
      </w:r>
      <w:r>
        <w:rPr>
          <w:rFonts w:hint="eastAsia" w:ascii="宋体" w:hAnsi="宋体" w:eastAsia="宋体" w:cs="宋体"/>
          <w:color w:val="000000"/>
          <w:sz w:val="28"/>
          <w:szCs w:val="28"/>
          <w:highlight w:val="none"/>
        </w:rPr>
      </w:r>
      <w:r/>
    </w:p>
    <w:p>
      <w:pPr>
        <w:pStyle w:val="980"/>
        <w:ind w:firstLine="480"/>
        <w:spacing w:after="240" w:afterAutospacing="0" w:line="360" w:lineRule="auto"/>
        <w:rPr>
          <w:rFonts w:hint="eastAsia"/>
          <w:color w:val="000000"/>
          <w:highlight w:val="none"/>
        </w:rPr>
      </w:pPr>
      <w:r>
        <w:rPr>
          <w:rFonts w:hint="eastAsia"/>
          <w:color w:val="000000"/>
          <w:highlight w:val="none"/>
        </w:rPr>
        <w:t xml:space="preserve">招标人（甲方）：                         中标人（乙方）：</w:t>
      </w:r>
      <w:r>
        <w:rPr>
          <w:rFonts w:hint="eastAsia"/>
          <w:color w:val="000000"/>
          <w:highlight w:val="none"/>
        </w:rPr>
      </w:r>
      <w:r/>
    </w:p>
    <w:p>
      <w:pPr>
        <w:pStyle w:val="980"/>
        <w:ind w:firstLine="480"/>
        <w:spacing w:before="0" w:beforeAutospacing="0" w:after="0" w:afterAutospacing="0" w:line="360" w:lineRule="auto"/>
        <w:rPr>
          <w:rFonts w:hint="eastAsia"/>
          <w:color w:val="000000"/>
          <w:highlight w:val="none"/>
        </w:rPr>
      </w:pPr>
      <w:r>
        <w:rPr>
          <w:rFonts w:hint="eastAsia"/>
          <w:color w:val="000000"/>
          <w:highlight w:val="none"/>
        </w:rPr>
        <w:t xml:space="preserve">为规范双方的各项活动，防止发生谋取不正当利益的违法违纪行为，根据有关法律法规和廉政建设责任规定，特订立本廉政责任书：</w:t>
      </w:r>
      <w:r>
        <w:rPr>
          <w:rFonts w:hint="eastAsia"/>
          <w:color w:val="000000"/>
          <w:highlight w:val="none"/>
        </w:rPr>
      </w:r>
      <w:r/>
    </w:p>
    <w:p>
      <w:pPr>
        <w:pStyle w:val="98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本协议所称“关系人”是指近亲属、其他关系密切的亲属、朋友等自然人，有股权等经济联系的法人或其他组织。 </w:t>
      </w:r>
      <w:r>
        <w:rPr>
          <w:rFonts w:hint="eastAsia"/>
          <w:bCs/>
          <w:color w:val="000000"/>
          <w:highlight w:val="none"/>
        </w:rPr>
      </w:r>
      <w:r/>
    </w:p>
    <w:p>
      <w:pPr>
        <w:pStyle w:val="98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1、甲乙双方在业务交往中，不论是单位或业务经办人员，均不得以任何形式（如现钞、有价证券、实物等）向对方人员或其他关系人、指定人行贿索贿或给付其他不正当利益。</w:t>
      </w:r>
      <w:r>
        <w:rPr>
          <w:rFonts w:hint="eastAsia"/>
          <w:bCs/>
          <w:color w:val="000000"/>
          <w:highlight w:val="none"/>
        </w:rPr>
      </w:r>
      <w:r/>
    </w:p>
    <w:p>
      <w:pPr>
        <w:pStyle w:val="98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2、甲乙双方均有责任教育本单位人员，禁止在业务活动中索贿、行贿、受贿，并拒绝对方人员的索贿、行贿行为。</w:t>
      </w:r>
      <w:r>
        <w:rPr>
          <w:rFonts w:hint="eastAsia"/>
          <w:bCs/>
          <w:color w:val="000000"/>
          <w:highlight w:val="none"/>
        </w:rPr>
      </w:r>
      <w:r/>
    </w:p>
    <w:p>
      <w:pPr>
        <w:pStyle w:val="98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3、在经济交往中，甲乙双方任何一方给予对方让利（返利）、回扣（佣金）、奖励等，均应在主合同中清楚列明，或以书面形式通知对方，并通过双方财务部门收付结算。</w:t>
      </w:r>
      <w:r>
        <w:rPr>
          <w:rFonts w:hint="eastAsia"/>
          <w:bCs/>
          <w:color w:val="000000"/>
          <w:highlight w:val="none"/>
        </w:rPr>
      </w:r>
      <w:r/>
    </w:p>
    <w:p>
      <w:pPr>
        <w:pStyle w:val="98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rPr>
          <w:rFonts w:hint="eastAsia"/>
          <w:bCs/>
          <w:color w:val="000000"/>
          <w:highlight w:val="none"/>
        </w:rPr>
      </w:r>
      <w:r/>
    </w:p>
    <w:p>
      <w:pPr>
        <w:pStyle w:val="98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5、任何一方或对另一方人员或亲友进行行贿的，另一方除如数上缴外，还有权向行贿单位通报情况，并按行贿价值金额的 10倍收取廉政建设违约金。违约金可以从主合同价款中直接扣除。 </w:t>
      </w:r>
      <w:r>
        <w:rPr>
          <w:rFonts w:hint="eastAsia"/>
          <w:bCs/>
          <w:color w:val="000000"/>
          <w:highlight w:val="none"/>
        </w:rPr>
      </w:r>
      <w:r/>
    </w:p>
    <w:p>
      <w:pPr>
        <w:pStyle w:val="980"/>
        <w:ind w:firstLine="480"/>
        <w:spacing w:before="0" w:beforeAutospacing="0" w:after="0" w:afterAutospacing="0" w:line="360" w:lineRule="auto"/>
        <w:rPr>
          <w:rFonts w:hint="eastAsia"/>
          <w:bCs/>
          <w:color w:val="000000"/>
          <w:highlight w:val="none"/>
        </w:rPr>
      </w:pPr>
      <w:r>
        <w:rPr>
          <w:rFonts w:hint="eastAsia"/>
          <w:bCs/>
          <w:color w:val="000000"/>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rPr>
          <w:rFonts w:hint="eastAsia"/>
          <w:bCs/>
          <w:color w:val="000000"/>
          <w:highlight w:val="none"/>
        </w:rPr>
      </w:r>
      <w:r/>
    </w:p>
    <w:p>
      <w:pPr>
        <w:pStyle w:val="980"/>
        <w:ind w:firstLine="480"/>
        <w:spacing w:before="0" w:beforeAutospacing="0" w:after="0" w:afterAutospacing="0" w:line="360" w:lineRule="auto"/>
        <w:rPr>
          <w:rFonts w:hint="eastAsia" w:ascii="仿宋" w:hAnsi="仿宋" w:eastAsia="仿宋"/>
          <w:bCs/>
          <w:color w:val="000000"/>
          <w:highlight w:val="none"/>
        </w:rPr>
      </w:pPr>
      <w:r>
        <w:rPr>
          <w:rFonts w:hint="eastAsia"/>
          <w:bCs/>
          <w:color w:val="000000"/>
          <w:highlight w:val="none"/>
        </w:rPr>
        <w:t xml:space="preserve">7、本责任书作为合同的附件，与合同具有同等法律效力。本责任书自双方签署后立即生效。</w:t>
      </w:r>
      <w:r>
        <w:rPr>
          <w:rFonts w:hint="eastAsia" w:ascii="仿宋" w:hAnsi="仿宋" w:eastAsia="仿宋"/>
          <w:bCs/>
          <w:color w:val="000000"/>
          <w:highlight w:val="none"/>
        </w:rPr>
      </w:r>
      <w:r/>
    </w:p>
    <w:p>
      <w:pPr>
        <w:pStyle w:val="980"/>
        <w:ind w:firstLine="720"/>
        <w:spacing w:before="0" w:beforeAutospacing="0" w:after="0" w:afterAutospacing="0"/>
        <w:rPr>
          <w:rFonts w:hint="eastAsia"/>
          <w:bCs/>
          <w:color w:val="000000"/>
          <w:highlight w:val="none"/>
        </w:rPr>
      </w:pPr>
      <w:r>
        <w:rPr>
          <w:rFonts w:hint="eastAsia"/>
          <w:bCs/>
          <w:color w:val="000000"/>
          <w:highlight w:val="none"/>
        </w:rPr>
      </w:r>
      <w:r/>
    </w:p>
    <w:p>
      <w:pPr>
        <w:pStyle w:val="980"/>
        <w:ind w:firstLine="720"/>
        <w:spacing w:before="0" w:beforeAutospacing="0" w:after="0" w:afterAutospacing="0"/>
        <w:rPr>
          <w:rFonts w:hint="eastAsia"/>
          <w:bCs/>
          <w:color w:val="000000"/>
          <w:highlight w:val="none"/>
        </w:rPr>
      </w:pPr>
      <w:r>
        <w:rPr>
          <w:rFonts w:hint="eastAsia"/>
          <w:bCs/>
          <w:color w:val="000000"/>
          <w:highlight w:val="none"/>
        </w:rPr>
        <w:t xml:space="preserve">甲方（盖章）：                          乙方（盖章）：</w:t>
      </w:r>
      <w:r>
        <w:rPr>
          <w:rFonts w:hint="eastAsia"/>
          <w:bCs/>
          <w:color w:val="000000"/>
          <w:highlight w:val="none"/>
        </w:rPr>
      </w:r>
      <w:r/>
    </w:p>
    <w:p>
      <w:pPr>
        <w:pStyle w:val="980"/>
        <w:spacing w:before="0" w:beforeAutospacing="0" w:after="0" w:afterAutospacing="0"/>
        <w:rPr>
          <w:rFonts w:hint="eastAsia"/>
          <w:bCs/>
          <w:color w:val="000000"/>
          <w:highlight w:val="none"/>
        </w:rPr>
      </w:pPr>
      <w:r>
        <w:rPr>
          <w:rFonts w:hint="eastAsia"/>
          <w:bCs/>
          <w:color w:val="000000"/>
          <w:highlight w:val="none"/>
        </w:rPr>
        <w:t xml:space="preserve">  </w:t>
      </w:r>
      <w:r>
        <w:rPr>
          <w:rFonts w:hint="eastAsia"/>
          <w:bCs/>
          <w:color w:val="000000"/>
          <w:highlight w:val="none"/>
        </w:rPr>
      </w:r>
      <w:r/>
    </w:p>
    <w:p>
      <w:pPr>
        <w:pStyle w:val="980"/>
        <w:spacing w:before="0" w:beforeAutospacing="0" w:after="0" w:afterAutospacing="0"/>
        <w:rPr>
          <w:color w:val="000000"/>
          <w:highlight w:val="none"/>
        </w:rPr>
      </w:pPr>
      <w:r>
        <w:rPr>
          <w:rFonts w:hint="eastAsia"/>
          <w:bCs/>
          <w:color w:val="000000"/>
          <w:highlight w:val="none"/>
        </w:rPr>
        <w:t xml:space="preserve">                  年   月   日                            年   月   日</w:t>
      </w:r>
      <w:r>
        <w:rPr>
          <w:color w:val="000000"/>
          <w:highlight w:val="none"/>
        </w:rPr>
      </w:r>
      <w:r/>
    </w:p>
    <w:p>
      <w:pPr>
        <w:pStyle w:val="918"/>
        <w:spacing w:line="360" w:lineRule="auto"/>
        <w:rPr>
          <w:rFonts w:ascii="宋体" w:hAnsi="宋体"/>
          <w:b/>
          <w:color w:val="000000"/>
          <w:sz w:val="36"/>
          <w:szCs w:val="36"/>
          <w:highlight w:val="none"/>
        </w:rPr>
        <w:outlineLvl w:val="0"/>
      </w:pPr>
      <w:r>
        <w:rPr>
          <w:rFonts w:ascii="宋体" w:hAnsi="宋体"/>
          <w:b/>
          <w:color w:val="000000"/>
          <w:sz w:val="36"/>
          <w:szCs w:val="36"/>
          <w:highlight w:val="none"/>
        </w:rPr>
      </w:r>
      <w:r/>
    </w:p>
    <w:p>
      <w:pPr>
        <w:pStyle w:val="918"/>
        <w:jc w:val="center"/>
        <w:spacing w:line="360" w:lineRule="auto"/>
        <w:rPr>
          <w:rFonts w:ascii="宋体" w:hAnsi="宋体"/>
          <w:b/>
          <w:color w:val="000000"/>
          <w:sz w:val="36"/>
          <w:szCs w:val="36"/>
          <w:highlight w:val="none"/>
        </w:rPr>
        <w:outlineLvl w:val="0"/>
      </w:pPr>
      <w:r/>
      <w:bookmarkStart w:id="846" w:name="_Toc9705"/>
      <w:r>
        <w:rPr>
          <w:rFonts w:ascii="宋体" w:hAnsi="宋体"/>
          <w:b/>
          <w:color w:val="000000"/>
          <w:sz w:val="36"/>
          <w:szCs w:val="36"/>
          <w:highlight w:val="none"/>
        </w:rPr>
        <w:t xml:space="preserve">第七章   投标文件格式</w:t>
      </w:r>
      <w:bookmarkEnd w:id="846"/>
      <w:r>
        <w:rPr>
          <w:rFonts w:ascii="宋体" w:hAnsi="宋体"/>
          <w:b/>
          <w:color w:val="000000"/>
          <w:sz w:val="36"/>
          <w:szCs w:val="36"/>
          <w:highlight w:val="none"/>
        </w:rPr>
      </w:r>
      <w:r/>
    </w:p>
    <w:p>
      <w:pPr>
        <w:pStyle w:val="91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918"/>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918"/>
        <w:ind w:left="14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918"/>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918"/>
        <w:ind w:left="142"/>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918"/>
        <w:ind w:left="142"/>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3、全部声明和问题的回答及所附材料必须是真实的、准确的和完整的。</w:t>
      </w:r>
      <w:r>
        <w:rPr>
          <w:rFonts w:hint="eastAsia" w:ascii="宋体" w:hAnsi="宋体"/>
          <w:color w:val="000000"/>
          <w:sz w:val="24"/>
          <w:highlight w:val="none"/>
        </w:rPr>
      </w:r>
      <w:r/>
    </w:p>
    <w:p>
      <w:pPr>
        <w:pStyle w:val="918"/>
        <w:ind w:left="142"/>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18"/>
        <w:jc w:val="left"/>
        <w:widowControl/>
        <w:rPr>
          <w:rFonts w:ascii="宋体" w:hAnsi="宋体"/>
          <w:b/>
          <w:color w:val="000000"/>
          <w:sz w:val="30"/>
          <w:szCs w:val="20"/>
          <w:highlight w:val="none"/>
        </w:rPr>
      </w:pPr>
      <w:r>
        <w:rPr>
          <w:rFonts w:ascii="宋体" w:hAnsi="宋体"/>
          <w:color w:val="000000"/>
          <w:sz w:val="24"/>
          <w:highlight w:val="none"/>
        </w:rPr>
        <w:br w:type="page" w:clear="all"/>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918"/>
        <w:rPr>
          <w:rFonts w:ascii="宋体" w:hAnsi="宋体"/>
          <w:b/>
          <w:color w:val="000000"/>
          <w:spacing w:val="20"/>
          <w:szCs w:val="21"/>
          <w:highlight w:val="none"/>
        </w:rPr>
      </w:pPr>
      <w:r>
        <w:rPr>
          <w:rFonts w:ascii="宋体" w:hAnsi="宋体"/>
          <w:b/>
          <w:color w:val="000000"/>
          <w:spacing w:val="20"/>
          <w:szCs w:val="21"/>
          <w:highlight w:val="none"/>
        </w:rPr>
      </w:r>
      <w:r/>
    </w:p>
    <w:p>
      <w:pPr>
        <w:pStyle w:val="918"/>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918"/>
        <w:jc w:val="center"/>
        <w:rPr>
          <w:rFonts w:ascii="宋体" w:hAnsi="宋体"/>
          <w:color w:val="000000"/>
          <w:szCs w:val="21"/>
          <w:highlight w:val="none"/>
        </w:rPr>
      </w:pPr>
      <w:r>
        <w:rPr>
          <w:rFonts w:ascii="宋体" w:hAnsi="宋体"/>
          <w:color w:val="000000"/>
          <w:szCs w:val="21"/>
          <w:highlight w:val="none"/>
        </w:rPr>
      </w:r>
      <w:r/>
    </w:p>
    <w:p>
      <w:pPr>
        <w:pStyle w:val="918"/>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91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918"/>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91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18"/>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918"/>
        <w:ind w:firstLine="2168"/>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8"/>
        <w:ind w:firstLine="2168"/>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8"/>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18"/>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18"/>
        <w:jc w:val="center"/>
        <w:rPr>
          <w:rFonts w:ascii="宋体" w:hAnsi="宋体"/>
          <w:b/>
          <w:color w:val="000000"/>
          <w:sz w:val="32"/>
          <w:szCs w:val="32"/>
          <w:highlight w:val="none"/>
        </w:rPr>
      </w:pPr>
      <w:r>
        <w:rPr>
          <w:rFonts w:ascii="宋体" w:hAnsi="宋体"/>
          <w:b/>
          <w:color w:val="000000"/>
          <w:sz w:val="32"/>
          <w:szCs w:val="32"/>
          <w:highlight w:val="none"/>
        </w:rPr>
      </w:r>
      <w:r/>
    </w:p>
    <w:p>
      <w:pPr>
        <w:pStyle w:val="918"/>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918"/>
        <w:rPr>
          <w:rFonts w:ascii="宋体" w:hAnsi="宋体"/>
          <w:b/>
          <w:color w:val="000000"/>
          <w:highlight w:val="none"/>
        </w:rPr>
      </w:pPr>
      <w:r>
        <w:rPr>
          <w:rFonts w:ascii="宋体" w:hAnsi="宋体"/>
          <w:b/>
          <w:color w:val="000000"/>
          <w:highlight w:val="none"/>
        </w:rPr>
      </w:r>
      <w:r/>
    </w:p>
    <w:p>
      <w:pPr>
        <w:pStyle w:val="918"/>
        <w:spacing w:line="360" w:lineRule="auto"/>
        <w:rPr>
          <w:rFonts w:ascii="宋体" w:hAnsi="宋体"/>
          <w:color w:val="000000"/>
          <w:sz w:val="24"/>
          <w:szCs w:val="20"/>
          <w:highlight w:val="none"/>
        </w:rPr>
        <w:outlineLvl w:val="2"/>
      </w:pPr>
      <w:r>
        <w:rPr>
          <w:rFonts w:ascii="宋体" w:hAnsi="宋体"/>
          <w:color w:val="000000"/>
          <w:sz w:val="24"/>
          <w:szCs w:val="20"/>
          <w:highlight w:val="none"/>
        </w:rPr>
        <w:t xml:space="preserve">1 </w:t>
      </w:r>
      <w:r>
        <w:rPr>
          <w:rFonts w:ascii="宋体" w:hAnsi="宋体"/>
          <w:color w:val="000000"/>
          <w:sz w:val="24"/>
          <w:highlight w:val="none"/>
        </w:rPr>
        <w:t xml:space="preserve">满足《中华人民共和国政府采购法》第二十二条规定及法律法规的其他规定</w:t>
      </w:r>
      <w:r>
        <w:rPr>
          <w:rFonts w:ascii="宋体" w:hAnsi="宋体"/>
          <w:color w:val="000000"/>
          <w:sz w:val="24"/>
          <w:szCs w:val="20"/>
          <w:highlight w:val="none"/>
        </w:rPr>
      </w:r>
      <w:r/>
    </w:p>
    <w:p>
      <w:pPr>
        <w:pStyle w:val="921"/>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投标人资格声明</w:t>
      </w:r>
      <w:r>
        <w:rPr>
          <w:rFonts w:hint="eastAsia" w:hAnsi="宋体"/>
          <w:b w:val="0"/>
          <w:color w:val="000000"/>
          <w:highlight w:val="none"/>
          <w:u w:val="none"/>
        </w:rPr>
        <w:t xml:space="preserve">函</w:t>
      </w:r>
      <w:r>
        <w:rPr>
          <w:rFonts w:hAnsi="宋体"/>
          <w:b w:val="0"/>
          <w:color w:val="000000"/>
          <w:highlight w:val="none"/>
          <w:u w:val="none"/>
        </w:rPr>
        <w:t xml:space="preserve">（实质性格式）</w:t>
      </w:r>
      <w:r>
        <w:rPr>
          <w:rFonts w:hAnsi="宋体"/>
          <w:b w:val="0"/>
          <w:bCs/>
          <w:color w:val="000000"/>
          <w:highlight w:val="none"/>
          <w:u w:val="none"/>
        </w:rPr>
      </w:r>
      <w:r/>
    </w:p>
    <w:p>
      <w:pPr>
        <w:pStyle w:val="918"/>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18"/>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932"/>
        <w:ind w:firstLine="480"/>
        <w:spacing w:line="460" w:lineRule="exact"/>
        <w:rPr>
          <w:rFonts w:hAnsi="宋体"/>
          <w:color w:val="000000"/>
          <w:highlight w:val="none"/>
        </w:rPr>
      </w:pP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致：常州盈泰招标有限公司</w:t>
      </w:r>
      <w:r>
        <w:rPr>
          <w:rFonts w:hAnsi="宋体"/>
          <w:color w:val="000000"/>
          <w:highlight w:val="none"/>
        </w:rPr>
      </w:r>
      <w:r/>
    </w:p>
    <w:p>
      <w:pPr>
        <w:pStyle w:val="932"/>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932"/>
        <w:ind w:firstLine="480"/>
        <w:spacing w:line="460" w:lineRule="exact"/>
        <w:rPr>
          <w:rFonts w:hAnsi="宋体"/>
          <w:color w:val="000000"/>
          <w:highlight w:val="none"/>
        </w:rPr>
      </w:pP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主要设备有：</w:t>
      </w:r>
      <w:r>
        <w:rPr>
          <w:rFonts w:hint="eastAsia" w:hAnsi="宋体"/>
          <w:color w:val="000000"/>
          <w:highlight w:val="none"/>
          <w:u w:val="single"/>
        </w:rPr>
        <w:t xml:space="preserve">                 </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lang w:eastAsia="zh-CN"/>
        </w:rPr>
        <w:t xml:space="preserve">：</w:t>
      </w:r>
      <w:r>
        <w:rPr>
          <w:rFonts w:hint="eastAsia" w:hAnsi="宋体"/>
          <w:color w:val="000000"/>
          <w:highlight w:val="none"/>
          <w:u w:val="single"/>
        </w:rPr>
        <w:t xml:space="preserve">                 </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932"/>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932"/>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932"/>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932"/>
        <w:ind w:firstLine="480"/>
        <w:spacing w:line="460" w:lineRule="exact"/>
        <w:rPr>
          <w:rFonts w:hAnsi="宋体"/>
          <w:color w:val="000000"/>
          <w:highlight w:val="none"/>
        </w:rPr>
      </w:pP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932"/>
        <w:ind w:firstLine="480"/>
        <w:spacing w:line="460" w:lineRule="exact"/>
        <w:rPr>
          <w:rFonts w:hAnsi="宋体"/>
          <w:color w:val="000000"/>
          <w:highlight w:val="none"/>
        </w:rPr>
      </w:pPr>
      <w:r>
        <w:rPr>
          <w:rFonts w:hAnsi="宋体"/>
          <w:color w:val="000000"/>
          <w:highlight w:val="none"/>
        </w:rPr>
      </w:r>
      <w:r/>
    </w:p>
    <w:p>
      <w:pPr>
        <w:pStyle w:val="932"/>
        <w:ind w:firstLine="480"/>
        <w:spacing w:line="460" w:lineRule="exact"/>
        <w:rPr>
          <w:rFonts w:hAnsi="宋体"/>
          <w:color w:val="000000"/>
          <w:highlight w:val="none"/>
        </w:rPr>
      </w:pP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                      投标人：（加盖公章）</w:t>
      </w:r>
      <w:r>
        <w:rPr>
          <w:rFonts w:hAnsi="宋体"/>
          <w:color w:val="000000"/>
          <w:highlight w:val="none"/>
        </w:rPr>
      </w:r>
      <w:r/>
    </w:p>
    <w:p>
      <w:pPr>
        <w:pStyle w:val="932"/>
        <w:ind w:firstLine="480"/>
        <w:spacing w:line="460" w:lineRule="exact"/>
        <w:rPr>
          <w:rFonts w:hAnsi="宋体"/>
          <w:color w:val="000000"/>
          <w:highlight w:val="none"/>
        </w:rPr>
      </w:pPr>
      <w:r>
        <w:rPr>
          <w:rFonts w:hint="eastAsia" w:hAnsi="宋体"/>
          <w:color w:val="000000"/>
          <w:highlight w:val="none"/>
        </w:rPr>
        <w:t xml:space="preserve">                       法定代表人（或单位负责人）签字或盖章：</w:t>
      </w:r>
      <w:r>
        <w:rPr>
          <w:rFonts w:hAnsi="宋体"/>
          <w:color w:val="000000"/>
          <w:highlight w:val="none"/>
        </w:rPr>
      </w:r>
      <w:r/>
    </w:p>
    <w:p>
      <w:pPr>
        <w:pStyle w:val="932"/>
        <w:ind w:firstLine="480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91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8"/>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18"/>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918"/>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081" w:header="851" w:footer="851" w:gutter="0"/>
          <w:cols w:num="1" w:sep="0" w:space="1701" w:equalWidth="1"/>
          <w:docGrid w:linePitch="360"/>
        </w:sectPr>
      </w:pPr>
      <w:r>
        <w:rPr>
          <w:rFonts w:ascii="宋体" w:hAnsi="宋体"/>
          <w:color w:val="000000"/>
          <w:sz w:val="24"/>
          <w:highlight w:val="none"/>
        </w:rPr>
      </w:r>
      <w:r/>
    </w:p>
    <w:p>
      <w:pPr>
        <w:pStyle w:val="918"/>
        <w:numPr>
          <w:ilvl w:val="0"/>
          <w:numId w:val="22"/>
        </w:numPr>
        <w:spacing w:line="360" w:lineRule="auto"/>
        <w:tabs>
          <w:tab w:val="left" w:pos="312" w:leader="none"/>
        </w:tabs>
        <w:rPr>
          <w:rFonts w:ascii="宋体" w:hAnsi="宋体"/>
          <w:color w:val="000000"/>
          <w:sz w:val="24"/>
          <w:highlight w:val="none"/>
        </w:rPr>
        <w:outlineLvl w:val="2"/>
      </w:pPr>
      <w:r>
        <w:rPr>
          <w:rFonts w:ascii="宋体" w:hAnsi="宋体"/>
          <w:color w:val="000000"/>
          <w:sz w:val="24"/>
          <w:highlight w:val="none"/>
        </w:rPr>
        <w:t xml:space="preserve">落实政府采购政策需满足的资格要求：</w:t>
      </w:r>
      <w:r>
        <w:rPr>
          <w:rFonts w:hint="eastAsia" w:ascii="宋体" w:hAnsi="宋体"/>
          <w:color w:val="000000"/>
          <w:sz w:val="24"/>
          <w:highlight w:val="none"/>
          <w:lang w:val="en-US" w:eastAsia="zh-CN"/>
        </w:rPr>
        <w:t xml:space="preserve">无</w:t>
      </w:r>
      <w:r>
        <w:rPr>
          <w:rFonts w:ascii="宋体" w:hAnsi="宋体"/>
          <w:color w:val="000000"/>
          <w:sz w:val="24"/>
          <w:highlight w:val="none"/>
        </w:rPr>
      </w:r>
      <w:r/>
    </w:p>
    <w:p>
      <w:pPr>
        <w:pStyle w:val="918"/>
        <w:spacing w:line="360" w:lineRule="auto"/>
        <w:rPr>
          <w:rFonts w:ascii="宋体" w:hAnsi="宋体"/>
          <w:color w:val="000000"/>
          <w:sz w:val="24"/>
          <w:szCs w:val="20"/>
          <w:highlight w:val="none"/>
        </w:rPr>
        <w:outlineLvl w:val="2"/>
      </w:pPr>
      <w:r>
        <w:rPr>
          <w:rFonts w:ascii="宋体" w:hAnsi="宋体"/>
          <w:color w:val="000000"/>
          <w:sz w:val="24"/>
          <w:szCs w:val="20"/>
          <w:highlight w:val="none"/>
        </w:rPr>
      </w:r>
      <w:r/>
    </w:p>
    <w:p>
      <w:pPr>
        <w:pStyle w:val="918"/>
        <w:jc w:val="left"/>
        <w:widowControl/>
        <w:rPr>
          <w:rFonts w:ascii="宋体" w:hAnsi="宋体"/>
          <w:color w:val="000000"/>
          <w:sz w:val="24"/>
          <w:szCs w:val="20"/>
          <w:highlight w:val="none"/>
        </w:rPr>
      </w:pPr>
      <w:r>
        <w:rPr>
          <w:rFonts w:ascii="宋体" w:hAnsi="宋体"/>
          <w:color w:val="000000"/>
          <w:sz w:val="24"/>
          <w:szCs w:val="20"/>
          <w:highlight w:val="none"/>
        </w:rPr>
      </w:r>
      <w:r/>
    </w:p>
    <w:p>
      <w:pPr>
        <w:pStyle w:val="918"/>
        <w:jc w:val="left"/>
        <w:widowControl/>
        <w:rPr>
          <w:rFonts w:hint="eastAsia" w:ascii="宋体" w:hAnsi="宋体"/>
          <w:color w:val="000000"/>
          <w:sz w:val="24"/>
          <w:szCs w:val="20"/>
          <w:highlight w:val="none"/>
        </w:rPr>
      </w:pPr>
      <w:r>
        <w:rPr>
          <w:rFonts w:ascii="宋体" w:hAnsi="宋体"/>
          <w:color w:val="000000"/>
          <w:sz w:val="24"/>
          <w:szCs w:val="20"/>
          <w:highlight w:val="none"/>
        </w:rPr>
        <w:t xml:space="preserve">3 </w:t>
      </w:r>
      <w:r>
        <w:rPr>
          <w:rFonts w:ascii="宋体" w:hAnsi="宋体"/>
          <w:color w:val="000000"/>
          <w:sz w:val="24"/>
          <w:highlight w:val="none"/>
        </w:rPr>
        <w:t xml:space="preserve">本项目的特定资格要求</w:t>
      </w:r>
      <w:r>
        <w:rPr>
          <w:rFonts w:hint="eastAsia" w:ascii="宋体" w:hAnsi="宋体"/>
          <w:color w:val="000000"/>
          <w:sz w:val="24"/>
          <w:szCs w:val="20"/>
          <w:highlight w:val="none"/>
        </w:rPr>
        <w:t xml:space="preserve">：</w:t>
      </w:r>
      <w:r>
        <w:rPr>
          <w:rFonts w:hint="eastAsia" w:ascii="宋体" w:hAnsi="宋体" w:eastAsia="宋体" w:cs="Times New Roman"/>
          <w:color w:val="000000"/>
          <w:sz w:val="24"/>
          <w:highlight w:val="none"/>
          <w:lang w:val="en-US" w:eastAsia="zh-CN"/>
        </w:rPr>
        <w:t xml:space="preserve">无</w:t>
      </w:r>
      <w:r>
        <w:rPr>
          <w:rFonts w:hint="eastAsia" w:ascii="宋体" w:hAnsi="宋体"/>
          <w:color w:val="000000"/>
          <w:sz w:val="24"/>
          <w:szCs w:val="20"/>
          <w:highlight w:val="none"/>
        </w:rPr>
      </w:r>
      <w:r/>
    </w:p>
    <w:p>
      <w:pPr>
        <w:pStyle w:val="918"/>
        <w:jc w:val="center"/>
        <w:widowControl/>
        <w:rPr>
          <w:rFonts w:hint="eastAsia" w:ascii="宋体" w:hAnsi="宋体"/>
          <w:b/>
          <w:color w:val="000000"/>
          <w:sz w:val="32"/>
          <w:szCs w:val="32"/>
          <w:highlight w:val="none"/>
        </w:rPr>
      </w:pPr>
      <w:r>
        <w:rPr>
          <w:rFonts w:ascii="宋体" w:hAnsi="宋体"/>
          <w:color w:val="000000"/>
          <w:sz w:val="24"/>
          <w:szCs w:val="20"/>
          <w:highlight w:val="none"/>
        </w:rPr>
        <w:br w:type="page" w:clear="all"/>
      </w:r>
      <w:r>
        <w:rPr>
          <w:rFonts w:ascii="宋体" w:hAnsi="宋体"/>
          <w:b/>
          <w:color w:val="000000"/>
          <w:sz w:val="32"/>
          <w:szCs w:val="32"/>
          <w:highlight w:val="none"/>
        </w:rPr>
        <w:t xml:space="preserve">二、商务技术文件格式</w:t>
      </w:r>
      <w:bookmarkStart w:id="847" w:name="_Toc480942349"/>
      <w:r/>
      <w:bookmarkStart w:id="848" w:name="_Toc226337252"/>
      <w:r/>
      <w:bookmarkStart w:id="849" w:name="_Toc195842921"/>
      <w:r/>
      <w:bookmarkStart w:id="850" w:name="_Toc150774761"/>
      <w:r/>
      <w:bookmarkStart w:id="851" w:name="_Toc226965829"/>
      <w:r/>
      <w:bookmarkStart w:id="852" w:name="_Toc226965746"/>
      <w:r/>
      <w:bookmarkStart w:id="853" w:name="_Ref467988698"/>
      <w:r/>
      <w:bookmarkStart w:id="854" w:name="_Toc520356217"/>
      <w:r/>
      <w:bookmarkStart w:id="855" w:name="_Toc142311058"/>
      <w:r/>
      <w:bookmarkStart w:id="856" w:name="_Toc226309800"/>
      <w:r/>
      <w:bookmarkStart w:id="857" w:name="_Toc150480794"/>
      <w:r/>
      <w:bookmarkStart w:id="858" w:name="_Toc127151556"/>
      <w:r>
        <w:rPr>
          <w:rFonts w:hint="eastAsia" w:ascii="宋体" w:hAnsi="宋体"/>
          <w:b/>
          <w:color w:val="000000"/>
          <w:sz w:val="32"/>
          <w:szCs w:val="32"/>
          <w:highlight w:val="none"/>
        </w:rPr>
      </w:r>
      <w:r/>
    </w:p>
    <w:p>
      <w:pPr>
        <w:pStyle w:val="918"/>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8"/>
        <w:spacing w:line="360" w:lineRule="auto"/>
        <w:rPr>
          <w:rFonts w:ascii="宋体" w:hAnsi="宋体"/>
          <w:color w:val="000000"/>
          <w:sz w:val="24"/>
          <w:szCs w:val="20"/>
          <w:highlight w:val="none"/>
        </w:rPr>
        <w:outlineLvl w:val="2"/>
      </w:pPr>
      <w:r>
        <w:rPr>
          <w:rFonts w:hint="eastAsia" w:ascii="宋体" w:hAnsi="宋体"/>
          <w:color w:val="000000"/>
          <w:sz w:val="24"/>
          <w:highlight w:val="none"/>
        </w:rPr>
        <w:t xml:space="preserve">1</w:t>
      </w:r>
      <w:r>
        <w:rPr>
          <w:rFonts w:ascii="宋体" w:hAnsi="宋体"/>
          <w:color w:val="000000"/>
          <w:sz w:val="24"/>
          <w:szCs w:val="20"/>
          <w:highlight w:val="none"/>
        </w:rPr>
        <w:t xml:space="preserve">  </w:t>
      </w:r>
      <w:r>
        <w:rPr>
          <w:rFonts w:ascii="宋体" w:hAnsi="宋体"/>
          <w:color w:val="000000"/>
          <w:sz w:val="24"/>
          <w:highlight w:val="none"/>
        </w:rPr>
        <w:t xml:space="preserve">投标</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rPr>
          <w:rFonts w:hint="eastAsia" w:ascii="宋体" w:hAnsi="宋体"/>
          <w:color w:val="000000"/>
          <w:sz w:val="24"/>
          <w:highlight w:val="none"/>
        </w:rPr>
        <w:t xml:space="preserve">函</w:t>
      </w:r>
      <w:r>
        <w:rPr>
          <w:rFonts w:ascii="宋体" w:hAnsi="宋体"/>
          <w:color w:val="000000"/>
          <w:sz w:val="24"/>
          <w:szCs w:val="20"/>
          <w:highlight w:val="none"/>
        </w:rPr>
        <w:t xml:space="preserve">（实质性格式）</w:t>
      </w:r>
      <w:r>
        <w:rPr>
          <w:rFonts w:ascii="宋体" w:hAnsi="宋体"/>
          <w:color w:val="000000"/>
          <w:sz w:val="24"/>
          <w:szCs w:val="20"/>
          <w:highlight w:val="none"/>
        </w:rPr>
      </w:r>
      <w:r/>
    </w:p>
    <w:p>
      <w:pPr>
        <w:pStyle w:val="918"/>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918"/>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918"/>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91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918"/>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91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918"/>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918"/>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918"/>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918"/>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918"/>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91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91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91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___________</w:t>
      </w:r>
      <w:r>
        <w:rPr>
          <w:rFonts w:ascii="宋体" w:hAnsi="宋体"/>
          <w:color w:val="000000"/>
          <w:sz w:val="24"/>
          <w:szCs w:val="20"/>
          <w:highlight w:val="none"/>
        </w:rPr>
      </w:r>
      <w:r/>
    </w:p>
    <w:p>
      <w:pPr>
        <w:pStyle w:val="918"/>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日期：___________年______月______日    </w:t>
      </w:r>
      <w:r>
        <w:rPr>
          <w:rFonts w:ascii="宋体" w:hAnsi="宋体"/>
          <w:color w:val="000000"/>
          <w:sz w:val="24"/>
          <w:szCs w:val="20"/>
          <w:highlight w:val="none"/>
        </w:rPr>
      </w:r>
      <w:r/>
    </w:p>
    <w:p>
      <w:pPr>
        <w:pStyle w:val="918"/>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918"/>
        <w:jc w:val="left"/>
        <w:widowControl/>
        <w:rPr>
          <w:rFonts w:hint="eastAsia" w:ascii="宋体" w:hAnsi="宋体"/>
          <w:color w:val="000000"/>
          <w:sz w:val="24"/>
          <w:highlight w:val="none"/>
        </w:rPr>
      </w:pPr>
      <w:r/>
      <w:bookmarkStart w:id="859" w:name="_Hlt520356243"/>
      <w:r/>
      <w:bookmarkEnd w:id="859"/>
      <w:r/>
      <w:bookmarkStart w:id="860" w:name="_Hlt520355938"/>
      <w:r/>
      <w:bookmarkEnd w:id="860"/>
      <w:r>
        <w:rPr>
          <w:rFonts w:ascii="宋体" w:hAnsi="宋体"/>
          <w:color w:val="000000"/>
          <w:sz w:val="24"/>
          <w:highlight w:val="none"/>
        </w:rPr>
        <w:br w:type="page" w:clear="all"/>
      </w: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法定代表人资格证明书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91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8"/>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918"/>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918"/>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918"/>
        <w:spacing w:line="560" w:lineRule="exact"/>
        <w:rPr>
          <w:rFonts w:ascii="宋体" w:hAnsi="宋体"/>
          <w:color w:val="000000"/>
          <w:sz w:val="24"/>
          <w:highlight w:val="none"/>
        </w:rPr>
      </w:pPr>
      <w:r>
        <w:rPr>
          <w:rFonts w:hint="eastAsia" w:ascii="宋体" w:hAnsi="宋体"/>
          <w:color w:val="000000"/>
          <w:sz w:val="24"/>
          <w:highlight w:val="none"/>
        </w:rPr>
        <w:t xml:space="preserve">姓名: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 性别:       年龄:      职务:</w:t>
      </w:r>
      <w:r>
        <w:rPr>
          <w:rFonts w:ascii="宋体" w:hAnsi="宋体"/>
          <w:color w:val="000000"/>
          <w:sz w:val="24"/>
          <w:highlight w:val="none"/>
        </w:rPr>
      </w:r>
      <w:r/>
    </w:p>
    <w:p>
      <w:pPr>
        <w:pStyle w:val="918"/>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918"/>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918"/>
        <w:spacing w:line="560" w:lineRule="exact"/>
        <w:rPr>
          <w:rFonts w:ascii="宋体" w:hAnsi="宋体"/>
          <w:color w:val="000000"/>
          <w:sz w:val="24"/>
          <w:highlight w:val="none"/>
        </w:rPr>
      </w:pPr>
      <w:r>
        <w:rPr>
          <w:rFonts w:ascii="宋体" w:hAnsi="宋体"/>
          <w:color w:val="000000"/>
          <w:sz w:val="24"/>
          <w:highlight w:val="none"/>
        </w:rPr>
      </w:r>
      <w:r/>
    </w:p>
    <w:p>
      <w:pPr>
        <w:pStyle w:val="949"/>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9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9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918"/>
        <w:spacing w:line="56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hint="eastAsia" w:ascii="宋体" w:hAnsi="宋体"/>
          <w:color w:val="000000"/>
          <w:sz w:val="24"/>
          <w:highlight w:val="none"/>
        </w:rPr>
      </w:r>
      <w:r/>
    </w:p>
    <w:p>
      <w:pPr>
        <w:pStyle w:val="918"/>
        <w:ind w:left="4200" w:firstLine="420"/>
        <w:spacing w:line="560" w:lineRule="exact"/>
        <w:rPr>
          <w:rFonts w:ascii="宋体" w:hAnsi="宋体"/>
          <w:color w:val="000000"/>
          <w:sz w:val="24"/>
          <w:highlight w:val="none"/>
        </w:rPr>
      </w:pPr>
      <w:r>
        <w:rPr>
          <w:rFonts w:hint="eastAsia" w:ascii="宋体" w:hAnsi="宋体"/>
          <w:color w:val="000000"/>
          <w:sz w:val="24"/>
          <w:highlight w:val="none"/>
        </w:rPr>
        <w:t xml:space="preserve">投标人：（加盖公章）</w:t>
      </w:r>
      <w:r>
        <w:rPr>
          <w:rFonts w:ascii="宋体" w:hAnsi="宋体"/>
          <w:color w:val="000000"/>
          <w:sz w:val="24"/>
          <w:highlight w:val="none"/>
        </w:rPr>
      </w:r>
      <w:r/>
    </w:p>
    <w:p>
      <w:pPr>
        <w:pStyle w:val="918"/>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918"/>
        <w:ind w:firstLine="456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91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8"/>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918"/>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918"/>
        <w:jc w:val="left"/>
        <w:spacing w:line="360" w:lineRule="auto"/>
        <w:tabs>
          <w:tab w:val="left" w:pos="5580" w:leader="none"/>
        </w:tabs>
        <w:rPr>
          <w:rFonts w:ascii="宋体" w:hAnsi="宋体"/>
          <w:i/>
          <w:color w:val="000000"/>
          <w:sz w:val="24"/>
          <w:szCs w:val="20"/>
          <w:highlight w:val="none"/>
          <w:u w:val="single"/>
        </w:rPr>
      </w:pPr>
      <w:r>
        <w:rPr>
          <w:rFonts w:ascii="宋体" w:hAnsi="宋体"/>
          <w:color w:val="000000"/>
          <w:sz w:val="24"/>
          <w:szCs w:val="20"/>
          <w:highlight w:val="none"/>
        </w:rPr>
        <w:t xml:space="preserve">3.</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授权委托书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91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8"/>
        <w:jc w:val="left"/>
        <w:widowControl/>
        <w:rPr>
          <w:rFonts w:hint="eastAsia" w:ascii="宋体" w:hAnsi="宋体"/>
          <w:color w:val="000000"/>
          <w:sz w:val="24"/>
          <w:highlight w:val="none"/>
        </w:rPr>
      </w:pPr>
      <w:r>
        <w:rPr>
          <w:rFonts w:hint="eastAsia" w:ascii="宋体" w:hAnsi="宋体"/>
          <w:color w:val="000000"/>
          <w:sz w:val="24"/>
          <w:highlight w:val="none"/>
        </w:rPr>
      </w:r>
      <w:r/>
    </w:p>
    <w:p>
      <w:pPr>
        <w:pStyle w:val="918"/>
        <w:jc w:val="left"/>
        <w:widowControl/>
        <w:rPr>
          <w:rFonts w:hint="eastAsia" w:ascii="宋体" w:hAnsi="宋体"/>
          <w:color w:val="000000"/>
          <w:sz w:val="24"/>
          <w:highlight w:val="none"/>
        </w:rPr>
      </w:pPr>
      <w:r>
        <w:rPr>
          <w:rFonts w:hint="eastAsia" w:ascii="宋体" w:hAnsi="宋体"/>
          <w:color w:val="000000"/>
          <w:sz w:val="24"/>
          <w:highlight w:val="none"/>
        </w:rPr>
        <w:br w:type="page" w:clear="all"/>
      </w:r>
      <w:r>
        <w:rPr>
          <w:rFonts w:hint="eastAsia" w:ascii="宋体" w:hAnsi="宋体"/>
          <w:color w:val="000000"/>
          <w:sz w:val="24"/>
          <w:highlight w:val="none"/>
        </w:rPr>
        <w:t xml:space="preserve">3  政府采购供应商信用承诺书</w:t>
      </w:r>
      <w:r>
        <w:rPr>
          <w:rFonts w:ascii="宋体" w:hAnsi="宋体"/>
          <w:color w:val="000000"/>
          <w:sz w:val="24"/>
          <w:szCs w:val="20"/>
          <w:highlight w:val="none"/>
        </w:rPr>
        <w:t xml:space="preserve">（实质性格式）</w:t>
      </w:r>
      <w:r>
        <w:rPr>
          <w:rFonts w:hint="eastAsia" w:ascii="宋体" w:hAnsi="宋体"/>
          <w:color w:val="000000"/>
          <w:sz w:val="24"/>
          <w:highlight w:val="none"/>
        </w:rPr>
      </w:r>
      <w:r/>
    </w:p>
    <w:p>
      <w:pPr>
        <w:pStyle w:val="918"/>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政府采购供应商信用承诺书</w:t>
      </w:r>
      <w:r>
        <w:rPr>
          <w:rFonts w:hint="eastAsia" w:ascii="宋体" w:hAnsi="宋体" w:eastAsia="宋体" w:cs="Times New Roman"/>
          <w:b/>
          <w:color w:val="000000"/>
          <w:sz w:val="32"/>
          <w:szCs w:val="32"/>
          <w:highlight w:val="none"/>
        </w:rPr>
      </w:r>
      <w:r/>
    </w:p>
    <w:p>
      <w:pPr>
        <w:pStyle w:val="918"/>
        <w:ind w:firstLine="640"/>
        <w:rPr>
          <w:rFonts w:ascii="宋体" w:hAnsi="宋体"/>
          <w:color w:val="000000"/>
          <w:highlight w:val="none"/>
        </w:rPr>
      </w:pPr>
      <w:r>
        <w:rPr>
          <w:rFonts w:ascii="宋体" w:hAnsi="宋体"/>
          <w:color w:val="000000"/>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918"/>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167"/>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918"/>
        <w:jc w:val="both"/>
        <w:spacing w:line="520" w:lineRule="exact"/>
        <w:rPr>
          <w:rFonts w:hint="eastAsia" w:ascii="宋体" w:hAnsi="宋体" w:eastAsia="宋体" w:cs="宋体"/>
          <w:b/>
          <w:color w:val="000000"/>
          <w:sz w:val="24"/>
          <w:highlight w:val="none"/>
        </w:rPr>
        <w:outlineLvl w:val="0"/>
      </w:pPr>
      <w:r/>
      <w:bookmarkStart w:id="861" w:name="_Hlt520355504"/>
      <w:r/>
      <w:bookmarkEnd w:id="861"/>
      <w:r/>
      <w:bookmarkStart w:id="862" w:name="_Hlt520274393"/>
      <w:r/>
      <w:bookmarkEnd w:id="862"/>
      <w:r/>
      <w:bookmarkStart w:id="863" w:name="_Hlt520273711"/>
      <w:r/>
      <w:bookmarkEnd w:id="863"/>
      <w:r/>
      <w:bookmarkStart w:id="864" w:name="_Hlt520350918"/>
      <w:r/>
      <w:bookmarkEnd w:id="864"/>
      <w:r/>
      <w:bookmarkStart w:id="865" w:name="_Hlt520271212"/>
      <w:r/>
      <w:bookmarkEnd w:id="865"/>
      <w:r/>
      <w:bookmarkStart w:id="866" w:name="_Hlt520274065"/>
      <w:r/>
      <w:bookmarkEnd w:id="866"/>
      <w:r/>
      <w:bookmarkStart w:id="867" w:name="_Hlt520343392"/>
      <w:r/>
      <w:bookmarkEnd w:id="867"/>
      <w:r/>
      <w:bookmarkStart w:id="868" w:name="_Hlt520274407"/>
      <w:r/>
      <w:bookmarkEnd w:id="868"/>
      <w:r/>
      <w:bookmarkStart w:id="869" w:name="_Hlt520343000"/>
      <w:r/>
      <w:bookmarkEnd w:id="869"/>
      <w:r/>
      <w:bookmarkStart w:id="870" w:name="_Hlt520274121"/>
      <w:r/>
      <w:bookmarkEnd w:id="870"/>
      <w:r/>
      <w:bookmarkStart w:id="871" w:name="_Toc150774762"/>
      <w:r/>
      <w:bookmarkStart w:id="872" w:name="_Toc226337253"/>
      <w:r/>
      <w:bookmarkStart w:id="873" w:name="_Toc195842922"/>
      <w:r/>
      <w:bookmarkStart w:id="874" w:name="_Toc226965830"/>
      <w:r/>
      <w:bookmarkStart w:id="875" w:name="_Toc142311059"/>
      <w:r/>
      <w:bookmarkStart w:id="876" w:name="_Toc226309801"/>
      <w:r/>
      <w:bookmarkStart w:id="877" w:name="_Toc265228395"/>
      <w:r/>
      <w:bookmarkStart w:id="878" w:name="_Toc150480795"/>
      <w:r/>
      <w:bookmarkStart w:id="879" w:name="_Toc305158899"/>
      <w:r/>
      <w:bookmarkStart w:id="880" w:name="_Toc305158825"/>
      <w:r/>
      <w:bookmarkStart w:id="881" w:name="_Ref467988705"/>
      <w:r/>
      <w:bookmarkStart w:id="882" w:name="_Toc127151557"/>
      <w:r/>
      <w:bookmarkStart w:id="883" w:name="_Toc226965747"/>
      <w:r/>
      <w:bookmarkStart w:id="884" w:name="_Toc480942350"/>
      <w:r/>
      <w:bookmarkStart w:id="885" w:name="_Toc264969247"/>
      <w:r/>
      <w:bookmarkStart w:id="886" w:name="_Toc520356218"/>
      <w:r>
        <w:rPr>
          <w:rFonts w:ascii="宋体" w:hAnsi="宋体"/>
          <w:color w:val="000000"/>
          <w:sz w:val="24"/>
          <w:szCs w:val="20"/>
          <w:highlight w:val="none"/>
        </w:rPr>
        <w:br w:type="page" w:clear="all"/>
      </w:r>
      <w:r>
        <w:rPr>
          <w:rFonts w:hint="eastAsia" w:ascii="宋体" w:hAnsi="宋体"/>
          <w:color w:val="000000"/>
          <w:sz w:val="24"/>
          <w:szCs w:val="20"/>
          <w:highlight w:val="none"/>
        </w:rPr>
        <w:t xml:space="preserve">4</w:t>
      </w:r>
      <w:r>
        <w:rPr>
          <w:rFonts w:ascii="宋体" w:hAnsi="宋体"/>
          <w:color w:val="000000"/>
          <w:sz w:val="24"/>
          <w:szCs w:val="20"/>
          <w:highlight w:val="none"/>
        </w:rPr>
        <w:t xml:space="preserve">  </w:t>
      </w:r>
      <w:r>
        <w:rPr>
          <w:rFonts w:hint="eastAsia" w:ascii="宋体" w:hAnsi="宋体" w:eastAsia="宋体" w:cs="宋体"/>
          <w:b w:val="0"/>
          <w:bCs/>
          <w:color w:val="000000"/>
          <w:sz w:val="24"/>
          <w:highlight w:val="none"/>
        </w:rPr>
        <w:t xml:space="preserve">供应商管理关系或控股关系信息情况表</w:t>
      </w:r>
      <w:r>
        <w:rPr>
          <w:rFonts w:hint="eastAsia" w:ascii="宋体" w:hAnsi="宋体" w:eastAsia="宋体" w:cs="宋体"/>
          <w:b/>
          <w:color w:val="000000"/>
          <w:sz w:val="24"/>
          <w:highlight w:val="none"/>
        </w:rPr>
      </w:r>
      <w:r/>
    </w:p>
    <w:p>
      <w:pPr>
        <w:pStyle w:val="918"/>
        <w:ind w:firstLine="560"/>
        <w:jc w:val="center"/>
        <w:spacing w:line="520" w:lineRule="exact"/>
        <w:rPr>
          <w:rFonts w:hint="eastAsia" w:ascii="宋体" w:hAnsi="宋体" w:eastAsia="宋体" w:cs="宋体"/>
          <w:b/>
          <w:bCs w:val="0"/>
          <w:color w:val="000000"/>
          <w:sz w:val="24"/>
          <w:highlight w:val="none"/>
        </w:rPr>
      </w:pPr>
      <w:r>
        <w:rPr>
          <w:rFonts w:hint="eastAsia" w:ascii="宋体" w:hAnsi="宋体" w:eastAsia="宋体" w:cs="宋体"/>
          <w:b/>
          <w:bCs w:val="0"/>
          <w:color w:val="000000"/>
          <w:sz w:val="24"/>
          <w:highlight w:val="none"/>
        </w:rPr>
        <w:t xml:space="preserve">供应商管理关系或控股关系信息情况表</w:t>
      </w:r>
      <w:r>
        <w:rPr>
          <w:rFonts w:hint="eastAsia" w:ascii="宋体" w:hAnsi="宋体" w:eastAsia="宋体" w:cs="宋体"/>
          <w:b/>
          <w:bCs w:val="0"/>
          <w:color w:val="000000"/>
          <w:sz w:val="24"/>
          <w:highlight w:val="none"/>
        </w:rPr>
      </w:r>
      <w:r/>
    </w:p>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tcW w:w="1994" w:type="dxa"/>
            <w:vAlign w:val="center"/>
            <w:textDirection w:val="lrTb"/>
            <w:noWrap w:val="false"/>
          </w:tcPr>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53" w:type="dxa"/>
            <w:vAlign w:val="center"/>
            <w:textDirection w:val="lrTb"/>
            <w:noWrap w:val="false"/>
          </w:tcPr>
          <w:p>
            <w:pPr>
              <w:pStyle w:val="918"/>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成立日期</w:t>
            </w:r>
            <w:r>
              <w:rPr>
                <w:rFonts w:hint="eastAsia" w:ascii="宋体" w:hAnsi="宋体" w:eastAsia="宋体" w:cs="宋体"/>
                <w:color w:val="000000"/>
                <w:sz w:val="24"/>
                <w:highlight w:val="none"/>
              </w:rPr>
            </w:r>
            <w:r/>
          </w:p>
        </w:tc>
        <w:tc>
          <w:tcPr>
            <w:tcW w:w="2808" w:type="dxa"/>
            <w:vAlign w:val="center"/>
            <w:textDirection w:val="lrTb"/>
            <w:noWrap w:val="false"/>
          </w:tcPr>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12"/>
        </w:trPr>
        <w:tc>
          <w:tcPr>
            <w:tcW w:w="2496" w:type="dxa"/>
            <w:vAlign w:val="center"/>
            <w:textDirection w:val="lrTb"/>
            <w:noWrap w:val="false"/>
          </w:tcPr>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企业地址</w:t>
            </w:r>
            <w:r>
              <w:rPr>
                <w:rFonts w:hint="eastAsia" w:ascii="宋体" w:hAnsi="宋体" w:eastAsia="宋体" w:cs="宋体"/>
                <w:color w:val="000000"/>
                <w:sz w:val="24"/>
                <w:highlight w:val="none"/>
              </w:rPr>
            </w:r>
            <w:r/>
          </w:p>
        </w:tc>
        <w:tc>
          <w:tcPr>
            <w:tcW w:w="1994" w:type="dxa"/>
            <w:vAlign w:val="center"/>
            <w:textDirection w:val="lrTb"/>
            <w:noWrap w:val="false"/>
          </w:tcPr>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53" w:type="dxa"/>
            <w:vAlign w:val="center"/>
            <w:textDirection w:val="lrTb"/>
            <w:noWrap w:val="false"/>
          </w:tcPr>
          <w:p>
            <w:pPr>
              <w:pStyle w:val="918"/>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注册资本</w:t>
            </w:r>
            <w:r>
              <w:rPr>
                <w:rFonts w:hint="eastAsia" w:ascii="宋体" w:hAnsi="宋体" w:eastAsia="宋体" w:cs="宋体"/>
                <w:color w:val="000000"/>
                <w:sz w:val="24"/>
                <w:highlight w:val="none"/>
              </w:rPr>
            </w:r>
            <w:r/>
          </w:p>
        </w:tc>
        <w:tc>
          <w:tcPr>
            <w:tcW w:w="2808" w:type="dxa"/>
            <w:vAlign w:val="center"/>
            <w:textDirection w:val="lrTb"/>
            <w:noWrap w:val="false"/>
          </w:tcPr>
          <w:p>
            <w:pPr>
              <w:pStyle w:val="918"/>
              <w:ind w:firstLine="183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r>
      <w:tr>
        <w:trPr>
          <w:cantSplit/>
          <w:trHeight w:val="412"/>
        </w:trPr>
        <w:tc>
          <w:tcPr>
            <w:tcW w:w="2496" w:type="dxa"/>
            <w:vAlign w:val="center"/>
            <w:textDirection w:val="lrTb"/>
            <w:noWrap w:val="false"/>
          </w:tcPr>
          <w:p>
            <w:pPr>
              <w:pStyle w:val="918"/>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2164"/>
        </w:trPr>
        <w:tc>
          <w:tcPr>
            <w:tcW w:w="2496" w:type="dxa"/>
            <w:vAlign w:val="center"/>
            <w:textDirection w:val="lrTb"/>
            <w:noWrap w:val="false"/>
          </w:tcPr>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股东信息</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股东1（姓名或单位名称）：</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股东1持股比例：</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股东2（姓名或单位名称）：</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股东2持股比例：</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（不够的可自行增加）</w:t>
            </w:r>
            <w:r>
              <w:rPr>
                <w:rFonts w:hint="eastAsia" w:ascii="宋体" w:hAnsi="宋体" w:eastAsia="宋体" w:cs="宋体"/>
                <w:color w:val="000000"/>
                <w:sz w:val="24"/>
                <w:highlight w:val="none"/>
              </w:rPr>
            </w:r>
            <w:r/>
          </w:p>
        </w:tc>
      </w:tr>
      <w:tr>
        <w:trPr>
          <w:cantSplit/>
          <w:trHeight w:val="2598"/>
        </w:trPr>
        <w:tc>
          <w:tcPr>
            <w:tcW w:w="2496" w:type="dxa"/>
            <w:vAlign w:val="center"/>
            <w:textDirection w:val="lrTb"/>
            <w:noWrap w:val="false"/>
          </w:tcPr>
          <w:p>
            <w:pPr>
              <w:pStyle w:val="918"/>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 中进行勾选）</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18"/>
              <w:jc w:val="left"/>
              <w:rPr>
                <w:rFonts w:hint="eastAsia" w:ascii="宋体" w:hAnsi="宋体" w:eastAsia="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 无直接控股、管理关系的关联企业</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 有直接控股、管理关系的关联企业，关联信息如下：</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企业1名称：</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企业2名称：</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（直接控股</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 （持股比例：    % ；管理关系</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18"/>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（不够的可自行增加或以附件形式提交）</w:t>
            </w:r>
            <w:r>
              <w:rPr>
                <w:rFonts w:hint="eastAsia" w:ascii="宋体" w:hAnsi="宋体" w:eastAsia="宋体" w:cs="宋体"/>
                <w:color w:val="000000"/>
                <w:sz w:val="24"/>
                <w:highlight w:val="none"/>
              </w:rPr>
            </w:r>
            <w:r/>
          </w:p>
        </w:tc>
      </w:tr>
      <w:tr>
        <w:trPr>
          <w:cantSplit/>
          <w:trHeight w:val="2502"/>
        </w:trPr>
        <w:tc>
          <w:tcPr>
            <w:gridSpan w:val="4"/>
            <w:tcW w:w="8751" w:type="dxa"/>
            <w:vAlign w:val="center"/>
            <w:textDirection w:val="lrTb"/>
            <w:noWrap w:val="false"/>
          </w:tcPr>
          <w:p>
            <w:pPr>
              <w:pStyle w:val="918"/>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本单位承诺：</w:t>
            </w:r>
            <w:r>
              <w:rPr>
                <w:rFonts w:hint="eastAsia" w:ascii="宋体" w:hAnsi="宋体" w:eastAsia="宋体" w:cs="宋体"/>
                <w:color w:val="000000"/>
                <w:sz w:val="24"/>
                <w:highlight w:val="none"/>
              </w:rPr>
            </w:r>
            <w:r/>
          </w:p>
          <w:p>
            <w:pPr>
              <w:pStyle w:val="918"/>
              <w:numPr>
                <w:ilvl w:val="0"/>
                <w:numId w:val="23"/>
              </w:numPr>
              <w:ind w:firstLine="561"/>
              <w:jc w:val="left"/>
              <w:spacing w:line="50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hint="eastAsia" w:ascii="宋体" w:hAnsi="宋体" w:eastAsia="宋体" w:cs="宋体"/>
                <w:color w:val="000000"/>
                <w:sz w:val="24"/>
                <w:highlight w:val="none"/>
              </w:rPr>
            </w:r>
            <w:r/>
          </w:p>
          <w:p>
            <w:pPr>
              <w:pStyle w:val="918"/>
              <w:numPr>
                <w:ilvl w:val="0"/>
                <w:numId w:val="23"/>
              </w:numPr>
              <w:ind w:firstLine="561"/>
              <w:jc w:val="left"/>
              <w:spacing w:line="50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自觉接受行政管理、监督部门、行业组织、社会公众的监督。</w:t>
            </w:r>
            <w:r>
              <w:rPr>
                <w:rFonts w:hint="eastAsia" w:ascii="宋体" w:hAnsi="宋体" w:eastAsia="宋体" w:cs="宋体"/>
                <w:color w:val="000000"/>
                <w:sz w:val="24"/>
                <w:highlight w:val="none"/>
              </w:rPr>
            </w:r>
            <w:r/>
          </w:p>
          <w:p>
            <w:pPr>
              <w:pStyle w:val="918"/>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3.若违背承诺约定，经查实，愿意接受相关部门、采购人的处理，承担违约责任，并依法承担相应的法律责任。</w:t>
            </w:r>
            <w:r>
              <w:rPr>
                <w:rFonts w:hint="eastAsia" w:ascii="宋体" w:hAnsi="宋体" w:eastAsia="宋体" w:cs="宋体"/>
                <w:color w:val="000000"/>
                <w:sz w:val="24"/>
                <w:highlight w:val="none"/>
              </w:rPr>
            </w:r>
            <w:r/>
          </w:p>
          <w:p>
            <w:pPr>
              <w:pStyle w:val="918"/>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18"/>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供应商（盖章）：</w:t>
            </w:r>
            <w:r>
              <w:rPr>
                <w:rFonts w:hint="eastAsia" w:ascii="宋体" w:hAnsi="宋体" w:eastAsia="宋体" w:cs="宋体"/>
                <w:color w:val="000000"/>
                <w:sz w:val="24"/>
                <w:highlight w:val="none"/>
              </w:rPr>
            </w:r>
            <w:r/>
          </w:p>
          <w:p>
            <w:pPr>
              <w:pStyle w:val="918"/>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rPr>
            </w:r>
            <w:r/>
          </w:p>
          <w:p>
            <w:pPr>
              <w:pStyle w:val="918"/>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tc>
      </w:tr>
    </w:tbl>
    <w:p>
      <w:pPr>
        <w:pStyle w:val="918"/>
        <w:jc w:val="left"/>
        <w:widowControl/>
        <w:rPr>
          <w:rFonts w:ascii="宋体" w:hAnsi="宋体"/>
          <w:color w:val="000000"/>
          <w:sz w:val="24"/>
          <w:szCs w:val="20"/>
          <w:highlight w:val="none"/>
        </w:rPr>
      </w:pPr>
      <w:r>
        <w:rPr>
          <w:rFonts w:ascii="宋体" w:hAnsi="宋体"/>
          <w:color w:val="000000"/>
          <w:sz w:val="24"/>
          <w:szCs w:val="20"/>
          <w:highlight w:val="none"/>
        </w:rPr>
      </w:r>
      <w:r/>
    </w:p>
    <w:p>
      <w:pPr>
        <w:pStyle w:val="918"/>
        <w:jc w:val="left"/>
        <w:widowControl/>
        <w:rPr>
          <w:rFonts w:ascii="宋体" w:hAnsi="宋体"/>
          <w:color w:val="000000"/>
          <w:sz w:val="24"/>
          <w:szCs w:val="20"/>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5  </w:t>
      </w:r>
      <w:r>
        <w:rPr>
          <w:rFonts w:ascii="宋体" w:hAnsi="宋体"/>
          <w:color w:val="000000"/>
          <w:sz w:val="24"/>
          <w:szCs w:val="20"/>
          <w:highlight w:val="none"/>
        </w:rPr>
        <w:t xml:space="preserve">开标一览表</w:t>
      </w:r>
      <w:bookmarkEnd w:id="871"/>
      <w:r/>
      <w:bookmarkEnd w:id="872"/>
      <w:r/>
      <w:bookmarkEnd w:id="873"/>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ascii="宋体" w:hAnsi="宋体"/>
          <w:color w:val="000000"/>
          <w:sz w:val="24"/>
          <w:szCs w:val="20"/>
          <w:highlight w:val="none"/>
        </w:rPr>
      </w:r>
      <w:r/>
    </w:p>
    <w:p>
      <w:pPr>
        <w:pStyle w:val="918"/>
        <w:jc w:val="center"/>
        <w:spacing w:line="360" w:lineRule="exact"/>
        <w:rPr>
          <w:rFonts w:hint="eastAsia" w:ascii="宋体" w:hAnsi="宋体"/>
          <w:b/>
          <w:color w:val="000000"/>
          <w:sz w:val="36"/>
          <w:szCs w:val="36"/>
          <w:highlight w:val="none"/>
        </w:rPr>
      </w:pPr>
      <w:r/>
      <w:bookmarkStart w:id="887" w:name="_Toc164608827"/>
      <w:r/>
      <w:bookmarkStart w:id="888" w:name="_Toc305158900"/>
      <w:r/>
      <w:bookmarkStart w:id="889" w:name="_Toc164608672"/>
      <w:r/>
      <w:bookmarkStart w:id="890" w:name="_Toc226337254"/>
      <w:r/>
      <w:bookmarkStart w:id="891" w:name="_Toc226309802"/>
      <w:r/>
      <w:bookmarkStart w:id="892" w:name="_Toc226965748"/>
      <w:r/>
      <w:bookmarkStart w:id="893" w:name="_Toc195842923"/>
      <w:r/>
      <w:bookmarkStart w:id="894" w:name="_Toc226965831"/>
      <w:r/>
      <w:bookmarkStart w:id="895" w:name="_Toc305158826"/>
      <w:r/>
      <w:bookmarkStart w:id="896" w:name="_Toc265228396"/>
      <w:r/>
      <w:bookmarkStart w:id="897" w:name="_Toc264969248"/>
      <w:r>
        <w:rPr>
          <w:rFonts w:hint="eastAsia" w:ascii="宋体" w:hAnsi="宋体"/>
          <w:b/>
          <w:color w:val="000000"/>
          <w:sz w:val="36"/>
          <w:szCs w:val="36"/>
          <w:highlight w:val="none"/>
        </w:rPr>
      </w:r>
      <w:r/>
    </w:p>
    <w:p>
      <w:pPr>
        <w:pStyle w:val="91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开标一览表</w:t>
      </w:r>
      <w:bookmarkEnd w:id="887"/>
      <w:r/>
      <w:bookmarkEnd w:id="888"/>
      <w:r/>
      <w:bookmarkEnd w:id="889"/>
      <w:r/>
      <w:bookmarkEnd w:id="890"/>
      <w:r/>
      <w:bookmarkEnd w:id="891"/>
      <w:r/>
      <w:bookmarkEnd w:id="892"/>
      <w:r/>
      <w:bookmarkEnd w:id="893"/>
      <w:r/>
      <w:bookmarkEnd w:id="894"/>
      <w:r/>
      <w:bookmarkEnd w:id="895"/>
      <w:r/>
      <w:bookmarkEnd w:id="896"/>
      <w:r/>
      <w:bookmarkEnd w:id="897"/>
      <w:r>
        <w:rPr>
          <w:rFonts w:hint="eastAsia" w:ascii="宋体" w:hAnsi="宋体" w:eastAsia="宋体" w:cs="Times New Roman"/>
          <w:b/>
          <w:color w:val="000000"/>
          <w:sz w:val="32"/>
          <w:szCs w:val="32"/>
          <w:highlight w:val="none"/>
        </w:rPr>
      </w:r>
      <w:r/>
    </w:p>
    <w:p>
      <w:pPr>
        <w:pStyle w:val="918"/>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918"/>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rPr>
        <w:t xml:space="preserve">____</w:t>
      </w:r>
      <w:r>
        <w:rPr>
          <w:rFonts w:ascii="宋体" w:hAnsi="宋体"/>
          <w:color w:val="000000"/>
          <w:sz w:val="24"/>
          <w:highlight w:val="none"/>
          <w:u w:val="single"/>
        </w:rPr>
      </w:r>
      <w:r/>
    </w:p>
    <w:tbl>
      <w:tblPr>
        <w:tblW w:w="4499" w:type="pct"/>
        <w:jc w:val="center"/>
        <w:tblInd w:w="4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0"/>
        <w:gridCol w:w="3204"/>
        <w:gridCol w:w="2026"/>
        <w:gridCol w:w="2132"/>
      </w:tblGrid>
      <w:tr>
        <w:trPr>
          <w:trHeight w:val="531"/>
        </w:trPr>
        <w:tc>
          <w:tcPr>
            <w:tcW w:w="496" w:type="dxa"/>
            <w:vAlign w:val="center"/>
            <w:vMerge w:val="restart"/>
            <w:textDirection w:val="lrTb"/>
            <w:noWrap w:val="false"/>
          </w:tcPr>
          <w:p>
            <w:pPr>
              <w:pStyle w:val="918"/>
              <w:jc w:val="center"/>
              <w:tabs>
                <w:tab w:val="left" w:pos="5580" w:leader="none"/>
              </w:tabs>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960" w:type="dxa"/>
            <w:vAlign w:val="center"/>
            <w:vMerge w:val="restart"/>
            <w:textDirection w:val="lrTb"/>
            <w:noWrap w:val="false"/>
          </w:tcPr>
          <w:p>
            <w:pPr>
              <w:pStyle w:val="918"/>
              <w:jc w:val="center"/>
              <w:tabs>
                <w:tab w:val="left" w:pos="5580" w:leader="none"/>
              </w:tabs>
              <w:rPr>
                <w:b/>
                <w:color w:val="000000"/>
                <w:sz w:val="24"/>
                <w:highlight w:val="none"/>
              </w:rPr>
            </w:pPr>
            <w:r>
              <w:rPr>
                <w:rFonts w:ascii="宋体" w:hAnsi="宋体"/>
                <w:b/>
                <w:color w:val="000000"/>
                <w:sz w:val="24"/>
                <w:highlight w:val="none"/>
              </w:rPr>
              <w:t xml:space="preserve">投标人名称</w:t>
            </w:r>
            <w:r>
              <w:rPr>
                <w:b/>
                <w:color w:val="000000"/>
                <w:sz w:val="24"/>
                <w:highlight w:val="none"/>
              </w:rPr>
            </w:r>
            <w:r/>
          </w:p>
        </w:tc>
        <w:tc>
          <w:tcPr>
            <w:gridSpan w:val="2"/>
            <w:tcW w:w="4158" w:type="dxa"/>
            <w:vAlign w:val="center"/>
            <w:textDirection w:val="lrTb"/>
            <w:noWrap w:val="false"/>
          </w:tcPr>
          <w:p>
            <w:pPr>
              <w:pStyle w:val="918"/>
              <w:jc w:val="center"/>
              <w:tabs>
                <w:tab w:val="left" w:pos="5580" w:leader="none"/>
              </w:tabs>
              <w:rPr>
                <w:b/>
                <w:color w:val="000000"/>
                <w:sz w:val="24"/>
                <w:highlight w:val="none"/>
              </w:rPr>
            </w:pPr>
            <w:r>
              <w:rPr>
                <w:rFonts w:hint="eastAsia"/>
                <w:b/>
                <w:color w:val="000000"/>
                <w:sz w:val="24"/>
                <w:highlight w:val="none"/>
              </w:rPr>
              <w:t xml:space="preserve">报价</w:t>
            </w:r>
            <w:r>
              <w:rPr>
                <w:b/>
                <w:color w:val="000000"/>
                <w:sz w:val="24"/>
                <w:highlight w:val="none"/>
              </w:rPr>
            </w:r>
            <w:r/>
          </w:p>
        </w:tc>
      </w:tr>
      <w:tr>
        <w:trPr>
          <w:trHeight w:val="674"/>
        </w:trPr>
        <w:tc>
          <w:tcPr>
            <w:tcW w:w="810" w:type="dxa"/>
            <w:vAlign w:val="center"/>
            <w:vMerge w:val="continue"/>
            <w:textDirection w:val="lrTb"/>
            <w:noWrap w:val="false"/>
          </w:tcPr>
          <w:p>
            <w:pPr>
              <w:pStyle w:val="918"/>
              <w:jc w:val="left"/>
              <w:widowControl/>
              <w:rPr>
                <w:b/>
                <w:color w:val="000000"/>
                <w:sz w:val="24"/>
                <w:highlight w:val="none"/>
              </w:rPr>
            </w:pPr>
            <w:r>
              <w:rPr>
                <w:b/>
                <w:color w:val="000000"/>
                <w:sz w:val="24"/>
                <w:highlight w:val="none"/>
              </w:rPr>
            </w:r>
            <w:r/>
          </w:p>
        </w:tc>
        <w:tc>
          <w:tcPr>
            <w:tcW w:w="3204" w:type="dxa"/>
            <w:vAlign w:val="center"/>
            <w:vMerge w:val="continue"/>
            <w:textDirection w:val="lrTb"/>
            <w:noWrap w:val="false"/>
          </w:tcPr>
          <w:p>
            <w:pPr>
              <w:pStyle w:val="918"/>
              <w:jc w:val="left"/>
              <w:widowControl/>
              <w:rPr>
                <w:b/>
                <w:color w:val="000000"/>
                <w:sz w:val="24"/>
                <w:highlight w:val="none"/>
              </w:rPr>
            </w:pPr>
            <w:r>
              <w:rPr>
                <w:b/>
                <w:color w:val="000000"/>
                <w:sz w:val="24"/>
                <w:highlight w:val="none"/>
              </w:rPr>
            </w:r>
            <w:r/>
          </w:p>
        </w:tc>
        <w:tc>
          <w:tcPr>
            <w:tcW w:w="1239" w:type="dxa"/>
            <w:vAlign w:val="center"/>
            <w:textDirection w:val="lrTb"/>
            <w:noWrap w:val="false"/>
          </w:tcPr>
          <w:p>
            <w:pPr>
              <w:pStyle w:val="918"/>
              <w:jc w:val="center"/>
              <w:tabs>
                <w:tab w:val="left" w:pos="5580" w:leader="none"/>
              </w:tabs>
              <w:rPr>
                <w:b/>
                <w:color w:val="000000"/>
                <w:sz w:val="24"/>
                <w:highlight w:val="none"/>
              </w:rPr>
            </w:pPr>
            <w:r>
              <w:rPr>
                <w:rFonts w:hint="eastAsia"/>
                <w:b/>
                <w:color w:val="000000"/>
                <w:sz w:val="24"/>
                <w:highlight w:val="none"/>
              </w:rPr>
              <w:t xml:space="preserve">大写</w:t>
            </w:r>
            <w:r>
              <w:rPr>
                <w:b/>
                <w:color w:val="000000"/>
                <w:sz w:val="24"/>
                <w:highlight w:val="none"/>
              </w:rPr>
            </w:r>
            <w:r/>
          </w:p>
        </w:tc>
        <w:tc>
          <w:tcPr>
            <w:tcW w:w="1304" w:type="dxa"/>
            <w:vAlign w:val="center"/>
            <w:textDirection w:val="lrTb"/>
            <w:noWrap w:val="false"/>
          </w:tcPr>
          <w:p>
            <w:pPr>
              <w:pStyle w:val="918"/>
              <w:jc w:val="center"/>
              <w:tabs>
                <w:tab w:val="left" w:pos="5580" w:leader="none"/>
              </w:tabs>
              <w:rPr>
                <w:b/>
                <w:color w:val="000000"/>
                <w:sz w:val="24"/>
                <w:highlight w:val="none"/>
              </w:rPr>
            </w:pPr>
            <w:r>
              <w:rPr>
                <w:rFonts w:hint="eastAsia"/>
                <w:b/>
                <w:color w:val="000000"/>
                <w:sz w:val="24"/>
                <w:highlight w:val="none"/>
              </w:rPr>
              <w:t xml:space="preserve">小写</w:t>
            </w:r>
            <w:r>
              <w:rPr>
                <w:b/>
                <w:color w:val="000000"/>
                <w:sz w:val="24"/>
                <w:highlight w:val="none"/>
              </w:rPr>
            </w:r>
            <w:r/>
          </w:p>
        </w:tc>
      </w:tr>
      <w:tr>
        <w:trPr>
          <w:trHeight w:val="976"/>
        </w:trPr>
        <w:tc>
          <w:tcPr>
            <w:tcW w:w="496" w:type="dxa"/>
            <w:vAlign w:val="center"/>
            <w:textDirection w:val="lrTb"/>
            <w:noWrap w:val="false"/>
          </w:tcPr>
          <w:p>
            <w:pPr>
              <w:pStyle w:val="918"/>
              <w:jc w:val="center"/>
              <w:tabs>
                <w:tab w:val="left" w:pos="5580" w:leader="none"/>
              </w:tabs>
              <w:rPr>
                <w:color w:val="000000"/>
                <w:sz w:val="24"/>
                <w:highlight w:val="none"/>
              </w:rPr>
            </w:pPr>
            <w:r>
              <w:rPr>
                <w:color w:val="000000"/>
                <w:sz w:val="24"/>
                <w:highlight w:val="none"/>
              </w:rPr>
            </w:r>
            <w:r/>
          </w:p>
        </w:tc>
        <w:tc>
          <w:tcPr>
            <w:tcW w:w="1960" w:type="dxa"/>
            <w:vAlign w:val="center"/>
            <w:textDirection w:val="lrTb"/>
            <w:noWrap w:val="false"/>
          </w:tcPr>
          <w:p>
            <w:pPr>
              <w:pStyle w:val="918"/>
              <w:jc w:val="center"/>
              <w:tabs>
                <w:tab w:val="left" w:pos="5580" w:leader="none"/>
              </w:tabs>
              <w:rPr>
                <w:color w:val="000000"/>
                <w:sz w:val="24"/>
                <w:highlight w:val="none"/>
              </w:rPr>
            </w:pPr>
            <w:r>
              <w:rPr>
                <w:color w:val="000000"/>
                <w:sz w:val="24"/>
                <w:highlight w:val="none"/>
              </w:rPr>
            </w:r>
            <w:r/>
          </w:p>
        </w:tc>
        <w:tc>
          <w:tcPr>
            <w:tcW w:w="1239" w:type="dxa"/>
            <w:vAlign w:val="center"/>
            <w:textDirection w:val="lrTb"/>
            <w:noWrap w:val="false"/>
          </w:tcPr>
          <w:p>
            <w:pPr>
              <w:pStyle w:val="918"/>
              <w:jc w:val="center"/>
              <w:tabs>
                <w:tab w:val="left" w:pos="5580" w:leader="none"/>
              </w:tabs>
              <w:rPr>
                <w:color w:val="000000"/>
                <w:sz w:val="24"/>
                <w:highlight w:val="none"/>
              </w:rPr>
            </w:pPr>
            <w:r>
              <w:rPr>
                <w:color w:val="000000"/>
                <w:sz w:val="24"/>
                <w:highlight w:val="none"/>
              </w:rPr>
            </w:r>
            <w:r/>
          </w:p>
        </w:tc>
        <w:tc>
          <w:tcPr>
            <w:tcW w:w="1304" w:type="dxa"/>
            <w:vAlign w:val="center"/>
            <w:textDirection w:val="lrTb"/>
            <w:noWrap w:val="false"/>
          </w:tcPr>
          <w:p>
            <w:pPr>
              <w:pStyle w:val="918"/>
              <w:jc w:val="center"/>
              <w:tabs>
                <w:tab w:val="left" w:pos="5580" w:leader="none"/>
              </w:tabs>
              <w:rPr>
                <w:color w:val="000000"/>
                <w:sz w:val="24"/>
                <w:highlight w:val="none"/>
              </w:rPr>
            </w:pPr>
            <w:r>
              <w:rPr>
                <w:color w:val="000000"/>
                <w:sz w:val="24"/>
                <w:highlight w:val="none"/>
              </w:rPr>
            </w:r>
            <w:r/>
          </w:p>
        </w:tc>
      </w:tr>
    </w:tbl>
    <w:p>
      <w:pPr>
        <w:pStyle w:val="918"/>
        <w:jc w:val="left"/>
        <w:rPr>
          <w:rFonts w:ascii="宋体" w:hAnsi="宋体"/>
          <w:color w:val="000000"/>
          <w:sz w:val="24"/>
          <w:highlight w:val="none"/>
        </w:rPr>
      </w:pPr>
      <w:r>
        <w:rPr>
          <w:rFonts w:ascii="宋体" w:hAnsi="宋体"/>
          <w:color w:val="000000"/>
          <w:sz w:val="24"/>
          <w:highlight w:val="none"/>
        </w:rPr>
      </w:r>
      <w:r/>
    </w:p>
    <w:p>
      <w:pPr>
        <w:pStyle w:val="918"/>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918"/>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918"/>
        <w:jc w:val="left"/>
        <w:widowControl/>
        <w:rPr>
          <w:rFonts w:hint="eastAsia" w:ascii="宋体" w:hAnsi="宋体" w:eastAsia="宋体" w:cs="Times New Roman"/>
          <w:color w:val="000000"/>
          <w:sz w:val="24"/>
          <w:szCs w:val="20"/>
          <w:highlight w:val="none"/>
        </w:rPr>
      </w:pPr>
      <w:r/>
      <w:bookmarkStart w:id="898" w:name="_Toc265228397"/>
      <w:r/>
      <w:bookmarkStart w:id="899" w:name="_Toc142311060"/>
      <w:r/>
      <w:bookmarkStart w:id="900" w:name="_Toc195842924"/>
      <w:r/>
      <w:bookmarkStart w:id="901" w:name="_Toc150480796"/>
      <w:r/>
      <w:bookmarkStart w:id="902" w:name="_Toc226965749"/>
      <w:r/>
      <w:bookmarkStart w:id="903" w:name="_Toc150774763"/>
      <w:r/>
      <w:bookmarkStart w:id="904" w:name="_Toc264969249"/>
      <w:r/>
      <w:bookmarkStart w:id="905" w:name="_Toc305158901"/>
      <w:r/>
      <w:bookmarkStart w:id="906" w:name="_Toc226337255"/>
      <w:r/>
      <w:bookmarkStart w:id="907" w:name="_Toc127151558"/>
      <w:r/>
      <w:bookmarkStart w:id="908" w:name="_Toc305158827"/>
      <w:r/>
      <w:bookmarkStart w:id="909" w:name="_Toc226309803"/>
      <w:r/>
      <w:bookmarkStart w:id="910" w:name="_Toc226965832"/>
      <w:r>
        <w:rPr>
          <w:rFonts w:ascii="宋体" w:hAnsi="宋体"/>
          <w:color w:val="000000"/>
          <w:sz w:val="24"/>
          <w:szCs w:val="20"/>
          <w:highlight w:val="none"/>
        </w:rPr>
        <w:br w:type="page" w:clear="all"/>
      </w:r>
      <w:r>
        <w:rPr>
          <w:rFonts w:hint="eastAsia" w:ascii="宋体" w:hAnsi="宋体" w:eastAsia="宋体" w:cs="Times New Roman"/>
          <w:color w:val="000000"/>
          <w:sz w:val="24"/>
          <w:szCs w:val="20"/>
          <w:highlight w:val="none"/>
          <w:lang w:val="en-US" w:eastAsia="zh-CN"/>
        </w:rPr>
        <w:t xml:space="preserve">6</w:t>
      </w:r>
      <w:r>
        <w:rPr>
          <w:rFonts w:hint="eastAsia" w:ascii="宋体" w:hAnsi="宋体" w:eastAsia="宋体" w:cs="Times New Roman"/>
          <w:color w:val="000000"/>
          <w:sz w:val="24"/>
          <w:szCs w:val="20"/>
          <w:highlight w:val="none"/>
        </w:rPr>
        <w:t xml:space="preserve">  </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Start w:id="911" w:name="_Toc305158903"/>
      <w:r/>
      <w:bookmarkStart w:id="912" w:name="_Toc265228399"/>
      <w:r/>
      <w:bookmarkStart w:id="913" w:name="_Toc127151561"/>
      <w:r/>
      <w:bookmarkStart w:id="914" w:name="_Toc226965834"/>
      <w:r/>
      <w:bookmarkStart w:id="915" w:name="_Toc195842927"/>
      <w:r/>
      <w:bookmarkStart w:id="916" w:name="_Toc150480798"/>
      <w:r/>
      <w:bookmarkStart w:id="917" w:name="_Toc226965752"/>
      <w:r/>
      <w:bookmarkStart w:id="918" w:name="_Toc305158830"/>
      <w:r/>
      <w:bookmarkStart w:id="919" w:name="_Toc265228400"/>
      <w:r/>
      <w:bookmarkStart w:id="920" w:name="_Toc226965835"/>
      <w:r/>
      <w:bookmarkStart w:id="921" w:name="_Toc226309806"/>
      <w:r/>
      <w:bookmarkStart w:id="922" w:name="_Toc127151562"/>
      <w:r/>
      <w:bookmarkStart w:id="923" w:name="_Toc264969252"/>
      <w:r/>
      <w:bookmarkStart w:id="924" w:name="_Toc142311062"/>
      <w:r/>
      <w:bookmarkStart w:id="925" w:name="_Toc305158904"/>
      <w:r/>
      <w:bookmarkStart w:id="926" w:name="_Toc150774765"/>
      <w:r/>
      <w:bookmarkStart w:id="927" w:name="_Toc226337258"/>
      <w:r/>
      <w:bookmarkStart w:id="928" w:name="_Toc226309805"/>
      <w:r/>
      <w:bookmarkStart w:id="929" w:name="_Toc195842926"/>
      <w:r/>
      <w:bookmarkStart w:id="930" w:name="_Toc305158829"/>
      <w:r/>
      <w:bookmarkStart w:id="931" w:name="_Toc226337257"/>
      <w:r/>
      <w:bookmarkStart w:id="932" w:name="_Toc150774764"/>
      <w:r/>
      <w:bookmarkStart w:id="933" w:name="_Toc150480797"/>
      <w:r/>
      <w:bookmarkStart w:id="934" w:name="_Toc226965751"/>
      <w:r/>
      <w:bookmarkStart w:id="935" w:name="_Toc264969251"/>
      <w:r/>
      <w:bookmarkStart w:id="936" w:name="_Toc142311061"/>
      <w:r>
        <w:rPr>
          <w:rFonts w:hint="eastAsia" w:ascii="宋体" w:hAnsi="宋体" w:eastAsia="宋体" w:cs="Times New Roman"/>
          <w:color w:val="000000"/>
          <w:sz w:val="24"/>
          <w:szCs w:val="20"/>
          <w:highlight w:val="none"/>
        </w:rPr>
        <w:t xml:space="preserve">投标分项报价表（实质性格式）</w:t>
      </w:r>
      <w:r>
        <w:rPr>
          <w:rFonts w:hint="eastAsia" w:ascii="宋体" w:hAnsi="宋体" w:eastAsia="宋体" w:cs="Times New Roman"/>
          <w:color w:val="000000"/>
          <w:sz w:val="24"/>
          <w:szCs w:val="20"/>
          <w:highlight w:val="none"/>
        </w:rPr>
      </w:r>
      <w:r/>
    </w:p>
    <w:p>
      <w:pPr>
        <w:pStyle w:val="918"/>
        <w:jc w:val="center"/>
        <w:rPr>
          <w:rFonts w:hint="eastAsia"/>
          <w:b/>
          <w:color w:val="000000"/>
          <w:sz w:val="28"/>
          <w:szCs w:val="28"/>
          <w:highlight w:val="none"/>
        </w:rPr>
      </w:pPr>
      <w:r/>
      <w:bookmarkStart w:id="937" w:name="_Toc25130"/>
      <w:r/>
      <w:bookmarkStart w:id="938" w:name="_Toc23177"/>
      <w:r/>
      <w:bookmarkStart w:id="939" w:name="_Toc22479"/>
      <w:r/>
      <w:bookmarkStart w:id="940" w:name="_Toc29062"/>
      <w:r>
        <w:rPr>
          <w:rFonts w:hint="eastAsia"/>
          <w:b/>
          <w:color w:val="000000"/>
          <w:sz w:val="28"/>
          <w:szCs w:val="28"/>
          <w:highlight w:val="none"/>
        </w:rPr>
      </w:r>
      <w:r/>
    </w:p>
    <w:p>
      <w:pPr>
        <w:pStyle w:val="91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分项报价表</w:t>
      </w:r>
      <w:r>
        <w:rPr>
          <w:rFonts w:hint="eastAsia" w:ascii="宋体" w:hAnsi="宋体" w:eastAsia="宋体" w:cs="Times New Roman"/>
          <w:b/>
          <w:color w:val="000000"/>
          <w:sz w:val="32"/>
          <w:szCs w:val="32"/>
          <w:highlight w:val="none"/>
        </w:rPr>
      </w:r>
      <w:r/>
    </w:p>
    <w:p>
      <w:pPr>
        <w:pStyle w:val="918"/>
        <w:tabs>
          <w:tab w:val="left" w:pos="1800" w:leader="none"/>
          <w:tab w:val="left" w:pos="5580" w:leader="none"/>
        </w:tabs>
        <w:rPr>
          <w:color w:val="000000"/>
          <w:sz w:val="24"/>
          <w:highlight w:val="none"/>
        </w:rPr>
      </w:pPr>
      <w:r>
        <w:rPr>
          <w:color w:val="000000"/>
          <w:sz w:val="24"/>
          <w:highlight w:val="none"/>
        </w:rPr>
      </w:r>
      <w:r/>
    </w:p>
    <w:p>
      <w:pPr>
        <w:pStyle w:val="918"/>
        <w:tabs>
          <w:tab w:val="left" w:pos="1800" w:leader="none"/>
          <w:tab w:val="left" w:pos="5580" w:leader="none"/>
        </w:tabs>
        <w:rPr>
          <w:color w:val="000000"/>
          <w:sz w:val="24"/>
          <w:highlight w:val="none"/>
        </w:rPr>
      </w:pPr>
      <w:r>
        <w:rPr>
          <w:color w:val="000000"/>
          <w:sz w:val="24"/>
          <w:highlight w:val="none"/>
        </w:rPr>
        <w:t xml:space="preserve">项目编号/包号：___________ </w:t>
      </w:r>
      <w:r>
        <w:rPr>
          <w:rFonts w:hint="eastAsia"/>
          <w:color w:val="000000"/>
          <w:sz w:val="24"/>
          <w:highlight w:val="none"/>
        </w:rPr>
        <w:t xml:space="preserve">  </w:t>
      </w:r>
      <w:r>
        <w:rPr>
          <w:rFonts w:hint="eastAsia"/>
          <w:color w:val="000000"/>
          <w:sz w:val="24"/>
          <w:highlight w:val="none"/>
          <w:lang w:val="en-US" w:eastAsia="zh-CN"/>
        </w:rPr>
        <w:t xml:space="preserve">  </w:t>
      </w:r>
      <w:r>
        <w:rPr>
          <w:color w:val="000000"/>
          <w:sz w:val="24"/>
          <w:highlight w:val="none"/>
        </w:rPr>
        <w:t xml:space="preserve">项目名称：___________</w:t>
      </w:r>
      <w:r>
        <w:rPr>
          <w:rFonts w:hint="eastAsia"/>
          <w:color w:val="000000"/>
          <w:sz w:val="24"/>
          <w:highlight w:val="none"/>
        </w:rPr>
        <w:t xml:space="preserve">   </w:t>
      </w:r>
      <w:r>
        <w:rPr>
          <w:rFonts w:hint="eastAsia"/>
          <w:color w:val="000000"/>
          <w:sz w:val="24"/>
          <w:highlight w:val="none"/>
          <w:lang w:val="en-US" w:eastAsia="zh-CN"/>
        </w:rPr>
        <w:t xml:space="preserve">  </w:t>
      </w:r>
      <w:r>
        <w:rPr>
          <w:color w:val="000000"/>
          <w:sz w:val="24"/>
          <w:highlight w:val="none"/>
        </w:rPr>
        <w:t xml:space="preserve">报价单位：人民币元</w:t>
      </w:r>
      <w:r>
        <w:rPr>
          <w:color w:val="000000"/>
          <w:sz w:val="24"/>
          <w:highlight w:val="none"/>
        </w:rPr>
      </w:r>
      <w:r/>
    </w:p>
    <w:p>
      <w:pPr>
        <w:pStyle w:val="918"/>
        <w:tabs>
          <w:tab w:val="left" w:pos="1800" w:leader="none"/>
          <w:tab w:val="left" w:pos="5580" w:leader="none"/>
        </w:tabs>
        <w:rPr>
          <w:color w:val="000000"/>
          <w:sz w:val="24"/>
          <w:highlight w:val="none"/>
        </w:rPr>
      </w:pPr>
      <w:r>
        <w:rPr>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918"/>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918"/>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918"/>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918"/>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918"/>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918"/>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918"/>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91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91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91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91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91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918"/>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gridSpan w:val="2"/>
            <w:tcW w:w="1991" w:type="dxa"/>
            <w:vAlign w:val="center"/>
            <w:textDirection w:val="lrTb"/>
            <w:noWrap w:val="false"/>
          </w:tcPr>
          <w:p>
            <w:pPr>
              <w:pStyle w:val="918"/>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918"/>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hint="eastAsia" w:ascii="宋体" w:hAnsi="宋体" w:cs="Arial"/>
                <w:color w:val="000000"/>
                <w:sz w:val="24"/>
                <w:highlight w:val="none"/>
                <w:u w:val="single"/>
              </w:rPr>
              <w:t xml:space="preserve">    </w:t>
            </w:r>
            <w:r>
              <w:rPr>
                <w:rFonts w:hint="eastAsia" w:ascii="宋体" w:hAnsi="宋体" w:cs="Arial"/>
                <w:color w:val="000000"/>
                <w:sz w:val="24"/>
                <w:highlight w:val="none"/>
              </w:rPr>
              <w:t xml:space="preserve">%。</w:t>
            </w:r>
            <w:r>
              <w:rPr>
                <w:rFonts w:ascii="宋体" w:hAnsi="宋体" w:cs="Arial"/>
                <w:color w:val="000000"/>
                <w:sz w:val="24"/>
                <w:highlight w:val="none"/>
              </w:rPr>
            </w:r>
            <w:r/>
          </w:p>
        </w:tc>
      </w:tr>
    </w:tbl>
    <w:p>
      <w:pPr>
        <w:pStyle w:val="918"/>
        <w:jc w:val="left"/>
        <w:tabs>
          <w:tab w:val="left" w:pos="1800" w:leader="none"/>
          <w:tab w:val="left" w:pos="5580" w:leader="none"/>
        </w:tabs>
        <w:rPr>
          <w:color w:val="000000"/>
          <w:sz w:val="24"/>
          <w:highlight w:val="none"/>
        </w:rPr>
      </w:pPr>
      <w:r>
        <w:rPr>
          <w:color w:val="000000"/>
          <w:sz w:val="24"/>
          <w:highlight w:val="none"/>
        </w:rPr>
        <w:t xml:space="preserve">注：1.本表应按包分别填写。</w:t>
      </w:r>
      <w:r>
        <w:rPr>
          <w:color w:val="000000"/>
          <w:sz w:val="24"/>
          <w:highlight w:val="none"/>
        </w:rPr>
      </w:r>
      <w:r/>
    </w:p>
    <w:p>
      <w:pPr>
        <w:pStyle w:val="918"/>
        <w:ind w:firstLine="480"/>
        <w:jc w:val="left"/>
        <w:tabs>
          <w:tab w:val="left" w:pos="1800" w:leader="none"/>
          <w:tab w:val="left" w:pos="5580" w:leader="none"/>
        </w:tabs>
        <w:rPr>
          <w:color w:val="000000"/>
          <w:sz w:val="24"/>
          <w:highlight w:val="none"/>
        </w:rPr>
      </w:pPr>
      <w:r>
        <w:rPr>
          <w:color w:val="000000"/>
          <w:sz w:val="24"/>
          <w:highlight w:val="none"/>
        </w:rPr>
        <w:t xml:space="preserve">2.如果不提供分项报价将视为没有实质性响应</w:t>
      </w:r>
      <w:r>
        <w:rPr>
          <w:rFonts w:hint="eastAsia"/>
          <w:color w:val="000000"/>
          <w:sz w:val="24"/>
          <w:highlight w:val="none"/>
        </w:rPr>
        <w:t xml:space="preserve">招标文件</w:t>
      </w:r>
      <w:r>
        <w:rPr>
          <w:color w:val="000000"/>
          <w:sz w:val="24"/>
          <w:highlight w:val="none"/>
        </w:rPr>
        <w:t xml:space="preserve">。</w:t>
      </w:r>
      <w:r>
        <w:rPr>
          <w:color w:val="000000"/>
          <w:sz w:val="24"/>
          <w:highlight w:val="none"/>
        </w:rPr>
      </w:r>
      <w:r/>
    </w:p>
    <w:p>
      <w:pPr>
        <w:pStyle w:val="918"/>
        <w:ind w:firstLine="480"/>
        <w:jc w:val="left"/>
        <w:tabs>
          <w:tab w:val="left" w:pos="1800" w:leader="none"/>
          <w:tab w:val="left" w:pos="5580" w:leader="none"/>
        </w:tabs>
        <w:rPr>
          <w:rFonts w:hint="eastAsia"/>
          <w:color w:val="000000"/>
          <w:sz w:val="24"/>
          <w:highlight w:val="none"/>
        </w:rPr>
      </w:pPr>
      <w:r>
        <w:rPr>
          <w:color w:val="000000"/>
          <w:sz w:val="24"/>
          <w:highlight w:val="none"/>
        </w:rPr>
        <w:t xml:space="preserve">3.</w:t>
      </w:r>
      <w:r>
        <w:rPr>
          <w:rFonts w:hint="eastAsia"/>
          <w:color w:val="000000"/>
          <w:sz w:val="24"/>
          <w:highlight w:val="none"/>
        </w:rPr>
        <w:t xml:space="preserve">本表行数可以按照项目分项情况增加。</w:t>
      </w:r>
      <w:r>
        <w:rPr>
          <w:rFonts w:hint="eastAsia"/>
          <w:color w:val="000000"/>
          <w:sz w:val="24"/>
          <w:highlight w:val="none"/>
        </w:rPr>
      </w:r>
      <w:r/>
    </w:p>
    <w:p>
      <w:pPr>
        <w:pStyle w:val="918"/>
        <w:ind w:firstLine="480"/>
        <w:jc w:val="left"/>
        <w:tabs>
          <w:tab w:val="left" w:pos="1800" w:leader="none"/>
          <w:tab w:val="left" w:pos="5580" w:leader="none"/>
        </w:tabs>
        <w:rPr>
          <w:color w:val="000000"/>
          <w:sz w:val="24"/>
          <w:highlight w:val="none"/>
        </w:rPr>
      </w:pPr>
      <w:r>
        <w:rPr>
          <w:rFonts w:hint="eastAsia"/>
          <w:color w:val="000000"/>
          <w:sz w:val="24"/>
          <w:highlight w:val="none"/>
        </w:rPr>
        <w:t xml:space="preserve">4.</w:t>
      </w:r>
      <w:r>
        <w:rPr>
          <w:color w:val="000000"/>
          <w:sz w:val="24"/>
          <w:highlight w:val="none"/>
        </w:rPr>
        <w:t xml:space="preserve">上述各项的详细规格</w:t>
      </w:r>
      <w:r>
        <w:rPr>
          <w:rFonts w:hint="eastAsia"/>
          <w:color w:val="000000"/>
          <w:sz w:val="24"/>
          <w:highlight w:val="none"/>
        </w:rPr>
        <w:t xml:space="preserve">、技术参数如表格中填写不下的</w:t>
      </w:r>
      <w:r>
        <w:rPr>
          <w:color w:val="000000"/>
          <w:sz w:val="24"/>
          <w:highlight w:val="none"/>
        </w:rPr>
        <w:t xml:space="preserve">，可</w:t>
      </w:r>
      <w:r>
        <w:rPr>
          <w:rFonts w:hint="eastAsia"/>
          <w:color w:val="000000"/>
          <w:sz w:val="24"/>
          <w:highlight w:val="none"/>
        </w:rPr>
        <w:t xml:space="preserve">以逐项</w:t>
      </w:r>
      <w:r>
        <w:rPr>
          <w:color w:val="000000"/>
          <w:sz w:val="24"/>
          <w:highlight w:val="none"/>
        </w:rPr>
        <w:t xml:space="preserve">另页描述。</w:t>
      </w:r>
      <w:r>
        <w:rPr>
          <w:color w:val="000000"/>
          <w:sz w:val="24"/>
          <w:highlight w:val="none"/>
        </w:rPr>
      </w:r>
      <w:r/>
    </w:p>
    <w:p>
      <w:pPr>
        <w:pStyle w:val="918"/>
        <w:ind w:firstLine="482"/>
        <w:jc w:val="left"/>
        <w:tabs>
          <w:tab w:val="left" w:pos="1800" w:leader="none"/>
          <w:tab w:val="left" w:pos="5580" w:leader="none"/>
        </w:tabs>
        <w:rPr>
          <w:rFonts w:hint="eastAsia"/>
          <w:b/>
          <w:bCs/>
          <w:color w:val="000000"/>
          <w:sz w:val="24"/>
          <w:highlight w:val="none"/>
        </w:rPr>
      </w:pPr>
      <w:r>
        <w:rPr>
          <w:rFonts w:hint="eastAsia"/>
          <w:b/>
          <w:bCs/>
          <w:color w:val="000000"/>
          <w:sz w:val="24"/>
          <w:highlight w:val="none"/>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b/>
          <w:bCs/>
          <w:color w:val="000000"/>
          <w:sz w:val="24"/>
          <w:highlight w:val="none"/>
        </w:rPr>
      </w:r>
      <w:r/>
    </w:p>
    <w:p>
      <w:pPr>
        <w:pStyle w:val="918"/>
        <w:spacing w:before="25" w:after="25"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18"/>
        <w:spacing w:before="25" w:after="25" w:line="360" w:lineRule="auto"/>
        <w:rPr>
          <w:rFonts w:hint="eastAsia" w:ascii="宋体" w:hAnsi="宋体" w:eastAsia="宋体" w:cs="Times New Roman"/>
          <w:color w:val="000000"/>
          <w:sz w:val="24"/>
          <w:szCs w:val="20"/>
          <w:highlight w:val="none"/>
        </w:rPr>
      </w:pPr>
      <w:r>
        <w:rPr>
          <w:rFonts w:ascii="宋体" w:hAnsi="宋体"/>
          <w:color w:val="000000"/>
          <w:sz w:val="24"/>
          <w:szCs w:val="20"/>
          <w:highlight w:val="none"/>
        </w:rPr>
        <w:t xml:space="preserve">日期：___________年______月______日   </w:t>
      </w:r>
      <w:bookmarkEnd w:id="937"/>
      <w:r/>
      <w:bookmarkEnd w:id="938"/>
      <w:r/>
      <w:bookmarkEnd w:id="939"/>
      <w:r/>
      <w:bookmarkEnd w:id="940"/>
      <w:r>
        <w:rPr>
          <w:rFonts w:hint="eastAsia" w:ascii="宋体" w:hAnsi="宋体"/>
          <w:color w:val="000000"/>
          <w:sz w:val="24"/>
          <w:szCs w:val="20"/>
          <w:highlight w:val="none"/>
        </w:rPr>
        <w:br w:type="page" w:clear="all"/>
      </w:r>
      <w:r>
        <w:rPr>
          <w:rFonts w:hint="eastAsia" w:ascii="宋体" w:hAnsi="宋体" w:eastAsia="宋体" w:cs="Times New Roman"/>
          <w:color w:val="000000"/>
          <w:sz w:val="24"/>
          <w:szCs w:val="20"/>
          <w:highlight w:val="none"/>
          <w:lang w:val="en-US" w:eastAsia="zh-CN"/>
        </w:rPr>
        <w:t xml:space="preserve">7</w:t>
      </w:r>
      <w:r>
        <w:rPr>
          <w:rFonts w:hint="eastAsia" w:ascii="宋体" w:hAnsi="宋体" w:eastAsia="宋体" w:cs="Times New Roman"/>
          <w:color w:val="000000"/>
          <w:sz w:val="24"/>
          <w:szCs w:val="20"/>
          <w:highlight w:val="none"/>
        </w:rPr>
        <w:t xml:space="preserve">  合同条款偏离表</w:t>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rPr>
          <w:rFonts w:hint="eastAsia" w:ascii="宋体" w:hAnsi="宋体" w:eastAsia="宋体" w:cs="Times New Roman"/>
          <w:color w:val="000000"/>
          <w:sz w:val="24"/>
          <w:szCs w:val="20"/>
          <w:highlight w:val="none"/>
        </w:rPr>
      </w:r>
      <w:r/>
    </w:p>
    <w:p>
      <w:pPr>
        <w:pStyle w:val="91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1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合同条款偏离表</w:t>
      </w:r>
      <w:r>
        <w:rPr>
          <w:rFonts w:hint="eastAsia" w:ascii="宋体" w:hAnsi="宋体" w:eastAsia="宋体" w:cs="Times New Roman"/>
          <w:b/>
          <w:color w:val="000000"/>
          <w:sz w:val="32"/>
          <w:szCs w:val="32"/>
          <w:highlight w:val="none"/>
        </w:rPr>
      </w:r>
      <w:r/>
    </w:p>
    <w:p>
      <w:pPr>
        <w:pStyle w:val="91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18"/>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18"/>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918"/>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918"/>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bl>
    <w:p>
      <w:pPr>
        <w:pStyle w:val="91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1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1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91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918"/>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918"/>
        <w:jc w:val="left"/>
        <w:widowControl/>
        <w:rPr>
          <w:rFonts w:hint="eastAsia" w:ascii="宋体" w:hAnsi="宋体" w:eastAsia="宋体" w:cs="Times New Roman"/>
          <w:color w:val="000000"/>
          <w:sz w:val="24"/>
          <w:szCs w:val="20"/>
          <w:highlight w:val="none"/>
        </w:rPr>
      </w:pPr>
      <w:r>
        <w:rPr>
          <w:rFonts w:ascii="宋体" w:hAnsi="宋体"/>
          <w:color w:val="000000"/>
          <w:sz w:val="24"/>
          <w:szCs w:val="20"/>
          <w:highlight w:val="none"/>
        </w:rPr>
        <w:br w:type="page" w:clear="all"/>
      </w:r>
      <w:r>
        <w:rPr>
          <w:rFonts w:hint="eastAsia" w:ascii="宋体" w:hAnsi="宋体" w:eastAsia="宋体" w:cs="Times New Roman"/>
          <w:color w:val="000000"/>
          <w:sz w:val="24"/>
          <w:szCs w:val="20"/>
          <w:highlight w:val="none"/>
          <w:lang w:val="en-US" w:eastAsia="zh-CN"/>
        </w:rPr>
        <w:t xml:space="preserve">8</w:t>
      </w:r>
      <w:r>
        <w:rPr>
          <w:rFonts w:hint="eastAsia" w:ascii="宋体" w:hAnsi="宋体" w:eastAsia="宋体" w:cs="Times New Roman"/>
          <w:color w:val="000000"/>
          <w:sz w:val="24"/>
          <w:szCs w:val="20"/>
          <w:highlight w:val="none"/>
        </w:rPr>
        <w:t xml:space="preserve">  </w:t>
      </w:r>
      <w:bookmarkEnd w:id="911"/>
      <w:r/>
      <w:bookmarkEnd w:id="912"/>
      <w:r/>
      <w:bookmarkEnd w:id="913"/>
      <w:r/>
      <w:bookmarkEnd w:id="914"/>
      <w:r/>
      <w:bookmarkEnd w:id="928"/>
      <w:r/>
      <w:bookmarkEnd w:id="929"/>
      <w:r/>
      <w:bookmarkEnd w:id="930"/>
      <w:r/>
      <w:bookmarkEnd w:id="931"/>
      <w:r/>
      <w:bookmarkEnd w:id="932"/>
      <w:r/>
      <w:bookmarkEnd w:id="933"/>
      <w:r/>
      <w:bookmarkEnd w:id="934"/>
      <w:r/>
      <w:bookmarkEnd w:id="935"/>
      <w:r/>
      <w:bookmarkEnd w:id="936"/>
      <w:r>
        <w:rPr>
          <w:rFonts w:hint="eastAsia" w:ascii="宋体" w:hAnsi="宋体" w:eastAsia="宋体" w:cs="Times New Roman"/>
          <w:color w:val="000000"/>
          <w:sz w:val="24"/>
          <w:szCs w:val="20"/>
          <w:highlight w:val="none"/>
        </w:rPr>
        <w:t xml:space="preserve">采购需求偏离表</w:t>
      </w:r>
      <w:r>
        <w:rPr>
          <w:rFonts w:hint="eastAsia" w:ascii="宋体" w:hAnsi="宋体" w:eastAsia="宋体" w:cs="Times New Roman"/>
          <w:color w:val="000000"/>
          <w:sz w:val="24"/>
          <w:szCs w:val="20"/>
          <w:highlight w:val="none"/>
        </w:rPr>
      </w:r>
      <w:r/>
    </w:p>
    <w:p>
      <w:pPr>
        <w:pStyle w:val="91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p>
      <w:pPr>
        <w:pStyle w:val="91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采购需求偏离表</w:t>
      </w:r>
      <w:r>
        <w:rPr>
          <w:rFonts w:hint="eastAsia" w:ascii="宋体" w:hAnsi="宋体" w:eastAsia="宋体" w:cs="Times New Roman"/>
          <w:b/>
          <w:color w:val="000000"/>
          <w:sz w:val="32"/>
          <w:szCs w:val="32"/>
          <w:highlight w:val="none"/>
        </w:rPr>
      </w:r>
      <w:r/>
    </w:p>
    <w:p>
      <w:pPr>
        <w:pStyle w:val="91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w:t>
      </w:r>
      <w:r>
        <w:rPr>
          <w:rFonts w:hint="eastAsia" w:ascii="宋体" w:hAnsi="宋体"/>
          <w:color w:val="000000"/>
          <w:sz w:val="24"/>
          <w:highlight w:val="none"/>
        </w:rPr>
        <w:t xml:space="preserve">   </w:t>
      </w:r>
      <w:r>
        <w:rPr>
          <w:rFonts w:ascii="宋体" w:hAnsi="宋体"/>
          <w:color w:val="000000"/>
          <w:sz w:val="24"/>
          <w:highlight w:val="none"/>
        </w:rPr>
        <w:t xml:space="preserve">项目名称：__________________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918"/>
              <w:jc w:val="center"/>
              <w:rPr>
                <w:rFonts w:ascii="宋体" w:hAnsi="宋体"/>
                <w:color w:val="000000"/>
                <w:sz w:val="24"/>
                <w:highlight w:val="none"/>
              </w:rPr>
            </w:pPr>
            <w:r>
              <w:rPr>
                <w:rFonts w:ascii="宋体" w:hAnsi="宋体"/>
                <w:color w:val="000000"/>
                <w:sz w:val="24"/>
                <w:highlight w:val="none"/>
              </w:rPr>
            </w:r>
            <w:r/>
          </w:p>
        </w:tc>
      </w:tr>
    </w:tbl>
    <w:p>
      <w:pPr>
        <w:pStyle w:val="918"/>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91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91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hint="eastAsia" w:ascii="宋体" w:hAnsi="宋体"/>
          <w:color w:val="000000"/>
          <w:sz w:val="24"/>
          <w:highlight w:val="none"/>
        </w:rPr>
        <w:t xml:space="preserve">此表中若无任何文字说明，内容为空白，</w:t>
      </w:r>
      <w:r>
        <w:rPr>
          <w:rFonts w:hint="eastAsia" w:ascii="宋体" w:hAnsi="宋体"/>
          <w:b/>
          <w:color w:val="000000"/>
          <w:sz w:val="24"/>
          <w:highlight w:val="none"/>
        </w:rPr>
        <w:t xml:space="preserve">投标无效。</w:t>
      </w:r>
      <w:r>
        <w:rPr>
          <w:rFonts w:ascii="宋体" w:hAnsi="宋体"/>
          <w:color w:val="000000"/>
          <w:sz w:val="24"/>
          <w:highlight w:val="none"/>
        </w:rPr>
      </w:r>
      <w:r/>
    </w:p>
    <w:p>
      <w:pPr>
        <w:pStyle w:val="91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ascii="宋体" w:hAnsi="宋体"/>
          <w:color w:val="000000"/>
          <w:sz w:val="24"/>
          <w:highlight w:val="none"/>
        </w:rPr>
      </w:r>
      <w:r/>
    </w:p>
    <w:p>
      <w:pPr>
        <w:pStyle w:val="918"/>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3．如无偏离，请在表格中填“无偏离”。</w:t>
      </w:r>
      <w:r>
        <w:rPr>
          <w:rFonts w:ascii="宋体" w:hAnsi="宋体"/>
          <w:color w:val="000000"/>
          <w:sz w:val="24"/>
          <w:highlight w:val="none"/>
        </w:rPr>
      </w:r>
      <w:r/>
    </w:p>
    <w:p>
      <w:pPr>
        <w:pStyle w:val="918"/>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918"/>
        <w:rPr>
          <w:rFonts w:ascii="宋体" w:hAnsi="宋体"/>
          <w:color w:val="000000"/>
          <w:sz w:val="24"/>
          <w:szCs w:val="20"/>
          <w:highlight w:val="none"/>
        </w:rPr>
      </w:pPr>
      <w:r>
        <w:rPr>
          <w:rFonts w:ascii="宋体" w:hAnsi="宋体"/>
          <w:color w:val="000000"/>
          <w:sz w:val="24"/>
          <w:szCs w:val="20"/>
          <w:highlight w:val="none"/>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918"/>
        <w:jc w:val="left"/>
        <w:widowControl/>
        <w:rPr>
          <w:rFonts w:hint="eastAsia" w:ascii="宋体" w:hAnsi="宋体" w:eastAsia="宋体" w:cs="Times New Roman"/>
          <w:color w:val="000000"/>
          <w:sz w:val="24"/>
          <w:szCs w:val="20"/>
          <w:highlight w:val="none"/>
        </w:rPr>
      </w:pPr>
      <w:r>
        <w:rPr>
          <w:rFonts w:ascii="宋体" w:hAnsi="宋体"/>
          <w:color w:val="000000"/>
          <w:sz w:val="24"/>
          <w:szCs w:val="20"/>
          <w:highlight w:val="none"/>
        </w:rPr>
        <w:br w:type="page" w:clear="all"/>
      </w:r>
      <w:r>
        <w:rPr>
          <w:rFonts w:hint="eastAsia" w:ascii="宋体" w:hAnsi="宋体" w:eastAsia="宋体" w:cs="Times New Roman"/>
          <w:color w:val="000000"/>
          <w:sz w:val="24"/>
          <w:szCs w:val="20"/>
          <w:highlight w:val="none"/>
          <w:lang w:val="en-US" w:eastAsia="zh-CN"/>
        </w:rPr>
        <w:t xml:space="preserve">9</w:t>
      </w:r>
      <w:r>
        <w:rPr>
          <w:rFonts w:hint="eastAsia" w:ascii="宋体" w:hAnsi="宋体" w:eastAsia="宋体" w:cs="Times New Roman"/>
          <w:color w:val="000000"/>
          <w:sz w:val="24"/>
          <w:szCs w:val="20"/>
          <w:highlight w:val="none"/>
        </w:rPr>
        <w:t xml:space="preserve">  中小企业声明函</w:t>
      </w:r>
      <w:r>
        <w:rPr>
          <w:rFonts w:hint="eastAsia" w:ascii="宋体" w:hAnsi="宋体" w:eastAsia="宋体" w:cs="Times New Roman"/>
          <w:color w:val="000000"/>
          <w:sz w:val="24"/>
          <w:szCs w:val="20"/>
          <w:highlight w:val="none"/>
        </w:rPr>
      </w:r>
      <w:r/>
    </w:p>
    <w:p>
      <w:pPr>
        <w:pStyle w:val="91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91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91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91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918"/>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918"/>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995"/>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918"/>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918"/>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918"/>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918"/>
        <w:jc w:val="center"/>
        <w:spacing w:before="240" w:after="240" w:line="360" w:lineRule="auto"/>
        <w:rPr>
          <w:b/>
          <w:color w:val="000000"/>
          <w:sz w:val="36"/>
          <w:szCs w:val="36"/>
          <w:highlight w:val="none"/>
        </w:rPr>
      </w:pPr>
      <w:r>
        <w:rPr>
          <w:b/>
          <w:bCs/>
          <w:color w:val="000000"/>
          <w:sz w:val="36"/>
          <w:szCs w:val="36"/>
          <w:highlight w:val="none"/>
        </w:rPr>
        <w:t xml:space="preserve">中小企业声明函（货物）格式</w:t>
      </w:r>
      <w:r>
        <w:rPr>
          <w:b/>
          <w:color w:val="000000"/>
          <w:sz w:val="36"/>
          <w:szCs w:val="36"/>
          <w:highlight w:val="none"/>
        </w:rPr>
      </w:r>
      <w:r/>
    </w:p>
    <w:p>
      <w:pPr>
        <w:pStyle w:val="918"/>
        <w:ind w:left="220" w:right="415" w:firstLine="640"/>
        <w:jc w:val="left"/>
        <w:spacing w:line="360" w:lineRule="auto"/>
        <w:rPr>
          <w:color w:val="000000"/>
          <w:sz w:val="24"/>
          <w:highlight w:val="none"/>
        </w:rPr>
      </w:pPr>
      <w:r>
        <w:rPr>
          <w:color w:val="000000"/>
          <w:sz w:val="24"/>
          <w:highlight w:val="none"/>
        </w:rPr>
        <w:t xml:space="preserve">本公司（联合体）郑重声明，根据《政府采购促进中小企业发展管理办法》（财库﹝2020﹞46号）的规定，本公司（联合体）参加</w:t>
      </w:r>
      <w:r>
        <w:rPr>
          <w:i/>
          <w:color w:val="000000"/>
          <w:sz w:val="24"/>
          <w:highlight w:val="none"/>
          <w:u w:val="single"/>
        </w:rPr>
        <w:t xml:space="preserve">（单位名称）</w:t>
      </w:r>
      <w:r>
        <w:rPr>
          <w:color w:val="000000"/>
          <w:sz w:val="24"/>
          <w:highlight w:val="none"/>
        </w:rPr>
        <w:t xml:space="preserve">的</w:t>
      </w:r>
      <w:r>
        <w:rPr>
          <w:i/>
          <w:color w:val="000000"/>
          <w:sz w:val="24"/>
          <w:highlight w:val="none"/>
          <w:u w:val="single"/>
        </w:rPr>
        <w:t xml:space="preserve">（项目名称）</w:t>
      </w:r>
      <w:r>
        <w:rPr>
          <w:color w:val="000000"/>
          <w:sz w:val="24"/>
          <w:highlight w:val="none"/>
        </w:rPr>
        <w:t xml:space="preserve">采购活动，提供的货物全部由符合政策要求的中小企业制造。相关企业（含联合体中的中小企业、签订分包意向协议的中小企业）的具体情况如下：</w:t>
      </w:r>
      <w:r>
        <w:rPr>
          <w:color w:val="000000"/>
          <w:sz w:val="24"/>
          <w:highlight w:val="none"/>
        </w:rPr>
      </w:r>
      <w:r/>
    </w:p>
    <w:p>
      <w:pPr>
        <w:pStyle w:val="918"/>
        <w:numPr>
          <w:ilvl w:val="0"/>
          <w:numId w:val="24"/>
        </w:numPr>
        <w:ind w:right="169" w:firstLine="646"/>
        <w:jc w:val="left"/>
        <w:spacing w:line="360" w:lineRule="auto"/>
        <w:tabs>
          <w:tab w:val="left" w:pos="1183" w:leader="none"/>
          <w:tab w:val="left" w:pos="1484" w:leader="none"/>
          <w:tab w:val="left" w:pos="4662" w:leader="none"/>
          <w:tab w:val="left" w:pos="6903"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w:t>
      </w:r>
      <w:r>
        <w:rPr>
          <w:color w:val="000000"/>
          <w:highlight w:val="none"/>
        </w:rPr>
        <w:fldChar w:fldCharType="begin"/>
      </w:r>
      <w:r>
        <w:rPr>
          <w:color w:val="000000"/>
          <w:highlight w:val="none"/>
        </w:rPr>
        <w:instrText xml:space="preserve"> HYPERLINK \l "_bookmark0" </w:instrText>
      </w:r>
      <w:r>
        <w:rPr>
          <w:color w:val="000000"/>
          <w:highlight w:val="none"/>
        </w:rPr>
        <w:fldChar w:fldCharType="separate"/>
      </w:r>
      <w:r>
        <w:rPr>
          <w:color w:val="000000"/>
          <w:position w:val="16"/>
          <w:sz w:val="24"/>
          <w:highlight w:val="none"/>
        </w:rPr>
        <w:t xml:space="preserve">1</w:t>
      </w:r>
      <w:r>
        <w:rPr>
          <w:color w:val="000000"/>
          <w:position w:val="16"/>
          <w:sz w:val="24"/>
          <w:highlight w:val="none"/>
        </w:rPr>
        <w:fldChar w:fldCharType="end"/>
      </w:r>
      <w:r>
        <w:rPr>
          <w:color w:val="000000"/>
          <w:sz w:val="24"/>
          <w:highlight w:val="none"/>
        </w:rPr>
        <w:t xml:space="preserve">，属于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918"/>
        <w:numPr>
          <w:ilvl w:val="0"/>
          <w:numId w:val="24"/>
        </w:numPr>
        <w:ind w:right="169" w:firstLine="646"/>
        <w:jc w:val="left"/>
        <w:spacing w:line="360" w:lineRule="auto"/>
        <w:tabs>
          <w:tab w:val="left" w:pos="1165" w:leader="none"/>
          <w:tab w:val="left" w:pos="1183" w:leader="none"/>
          <w:tab w:val="left" w:pos="4362" w:leader="none"/>
          <w:tab w:val="left" w:pos="6577" w:leader="none"/>
        </w:tabs>
        <w:rPr>
          <w:color w:val="000000"/>
          <w:sz w:val="24"/>
          <w:highlight w:val="none"/>
        </w:rPr>
      </w:pPr>
      <w:r>
        <w:rPr>
          <w:i/>
          <w:color w:val="000000"/>
          <w:sz w:val="24"/>
          <w:highlight w:val="none"/>
          <w:u w:val="single"/>
        </w:rPr>
        <w:t xml:space="preserve">（标的名称）</w:t>
      </w:r>
      <w:r>
        <w:rPr>
          <w:color w:val="000000"/>
          <w:sz w:val="24"/>
          <w:highlight w:val="none"/>
        </w:rPr>
        <w:t xml:space="preserve">，属于</w:t>
      </w:r>
      <w:r>
        <w:rPr>
          <w:i/>
          <w:color w:val="000000"/>
          <w:sz w:val="24"/>
          <w:highlight w:val="none"/>
        </w:rPr>
        <w:t xml:space="preserve">（</w:t>
      </w:r>
      <w:r>
        <w:rPr>
          <w:i/>
          <w:color w:val="000000"/>
          <w:sz w:val="24"/>
          <w:highlight w:val="none"/>
          <w:u w:val="single"/>
        </w:rPr>
        <w:t xml:space="preserve">采购文件中明确的所属行业）行业</w:t>
      </w:r>
      <w:r>
        <w:rPr>
          <w:color w:val="000000"/>
          <w:sz w:val="24"/>
          <w:highlight w:val="none"/>
        </w:rPr>
        <w:t xml:space="preserve">；制造商为</w:t>
      </w:r>
      <w:r>
        <w:rPr>
          <w:i/>
          <w:color w:val="000000"/>
          <w:sz w:val="24"/>
          <w:highlight w:val="none"/>
          <w:u w:val="single"/>
        </w:rPr>
        <w:t xml:space="preserve">（企业名称）</w:t>
      </w:r>
      <w:r>
        <w:rPr>
          <w:color w:val="000000"/>
          <w:sz w:val="24"/>
          <w:highlight w:val="none"/>
        </w:rPr>
        <w:t xml:space="preserve">，从业人员</w:t>
      </w:r>
      <w:r>
        <w:rPr>
          <w:color w:val="000000"/>
          <w:sz w:val="24"/>
          <w:highlight w:val="none"/>
          <w:u w:val="single"/>
        </w:rPr>
        <w:tab/>
      </w:r>
      <w:r>
        <w:rPr>
          <w:color w:val="000000"/>
          <w:sz w:val="24"/>
          <w:highlight w:val="none"/>
        </w:rPr>
        <w:t xml:space="preserve">人，营业收入为</w:t>
      </w:r>
      <w:r>
        <w:rPr>
          <w:color w:val="000000"/>
          <w:sz w:val="24"/>
          <w:highlight w:val="none"/>
          <w:u w:val="single"/>
        </w:rPr>
        <w:tab/>
      </w:r>
      <w:r>
        <w:rPr>
          <w:color w:val="000000"/>
          <w:sz w:val="24"/>
          <w:highlight w:val="none"/>
        </w:rPr>
        <w:t xml:space="preserve">万元，资产总额为</w:t>
      </w:r>
      <w:r>
        <w:rPr>
          <w:color w:val="000000"/>
          <w:sz w:val="24"/>
          <w:highlight w:val="none"/>
          <w:u w:val="single"/>
        </w:rPr>
        <w:tab/>
      </w:r>
      <w:r>
        <w:rPr>
          <w:color w:val="000000"/>
          <w:sz w:val="24"/>
          <w:highlight w:val="none"/>
        </w:rPr>
        <w:t xml:space="preserve">万元，属于</w:t>
      </w:r>
      <w:r>
        <w:rPr>
          <w:i/>
          <w:color w:val="000000"/>
          <w:sz w:val="24"/>
          <w:highlight w:val="none"/>
          <w:u w:val="single"/>
        </w:rPr>
        <w:t xml:space="preserve">（中型企业、小型企业、微型企业）</w:t>
      </w:r>
      <w:r>
        <w:rPr>
          <w:color w:val="000000"/>
          <w:sz w:val="24"/>
          <w:highlight w:val="none"/>
        </w:rPr>
        <w:t xml:space="preserve">；</w:t>
      </w:r>
      <w:r>
        <w:rPr>
          <w:color w:val="000000"/>
          <w:sz w:val="24"/>
          <w:highlight w:val="none"/>
        </w:rPr>
      </w:r>
      <w:r/>
    </w:p>
    <w:p>
      <w:pPr>
        <w:pStyle w:val="918"/>
        <w:ind w:left="860"/>
        <w:jc w:val="left"/>
        <w:spacing w:line="360" w:lineRule="auto"/>
        <w:rPr>
          <w:color w:val="000000"/>
          <w:sz w:val="24"/>
          <w:highlight w:val="none"/>
        </w:rPr>
      </w:pPr>
      <w:r>
        <w:rPr>
          <w:color w:val="000000"/>
          <w:sz w:val="24"/>
          <w:highlight w:val="none"/>
        </w:rPr>
        <w:t xml:space="preserve">……</w:t>
      </w:r>
      <w:r>
        <w:rPr>
          <w:color w:val="000000"/>
          <w:sz w:val="24"/>
          <w:highlight w:val="none"/>
        </w:rPr>
      </w:r>
      <w:r/>
    </w:p>
    <w:p>
      <w:pPr>
        <w:pStyle w:val="918"/>
        <w:ind w:left="220" w:right="417" w:firstLine="645"/>
        <w:spacing w:line="360" w:lineRule="auto"/>
        <w:rPr>
          <w:color w:val="000000"/>
          <w:sz w:val="24"/>
          <w:highlight w:val="none"/>
        </w:rPr>
      </w:pPr>
      <w:r>
        <w:rPr>
          <w:color w:val="000000"/>
          <w:sz w:val="24"/>
          <w:highlight w:val="none"/>
        </w:rPr>
        <w:t xml:space="preserve">以上企业，不属于大企业的分支机构，不存在控股股东为大企业的情形，也不存在与大企业的负责人为同一人的情形。</w:t>
      </w:r>
      <w:r>
        <w:rPr>
          <w:color w:val="000000"/>
          <w:sz w:val="24"/>
          <w:highlight w:val="none"/>
        </w:rPr>
      </w:r>
      <w:r/>
    </w:p>
    <w:p>
      <w:pPr>
        <w:pStyle w:val="918"/>
        <w:ind w:left="220" w:right="372" w:firstLine="645"/>
        <w:jc w:val="left"/>
        <w:spacing w:line="360" w:lineRule="auto"/>
        <w:rPr>
          <w:color w:val="000000"/>
          <w:sz w:val="24"/>
          <w:highlight w:val="none"/>
        </w:rPr>
      </w:pPr>
      <w:r>
        <w:rPr>
          <w:color w:val="000000"/>
          <w:sz w:val="24"/>
          <w:highlight w:val="none"/>
        </w:rPr>
        <w:t xml:space="preserve">本企业对上述声明内容的真实性负责。如有虚假，将依法承担相应责任。</w:t>
      </w:r>
      <w:r>
        <w:rPr>
          <w:color w:val="000000"/>
          <w:sz w:val="24"/>
          <w:highlight w:val="none"/>
        </w:rPr>
      </w:r>
      <w:r/>
    </w:p>
    <w:p>
      <w:pPr>
        <w:pStyle w:val="918"/>
        <w:ind w:firstLine="504"/>
        <w:spacing w:line="360" w:lineRule="auto"/>
        <w:rPr>
          <w:color w:val="000000"/>
          <w:spacing w:val="6"/>
          <w:sz w:val="24"/>
          <w:highlight w:val="none"/>
        </w:rPr>
      </w:pPr>
      <w:r>
        <w:rPr>
          <w:color w:val="000000"/>
          <w:spacing w:val="6"/>
          <w:sz w:val="24"/>
          <w:highlight w:val="none"/>
        </w:rPr>
      </w:r>
      <w:r/>
    </w:p>
    <w:p>
      <w:pPr>
        <w:pStyle w:val="918"/>
        <w:ind w:firstLine="504"/>
        <w:spacing w:line="360" w:lineRule="auto"/>
        <w:rPr>
          <w:color w:val="000000"/>
          <w:spacing w:val="6"/>
          <w:sz w:val="24"/>
          <w:highlight w:val="none"/>
        </w:rPr>
      </w:pPr>
      <w:r>
        <w:rPr>
          <w:color w:val="000000"/>
          <w:spacing w:val="6"/>
          <w:sz w:val="24"/>
          <w:highlight w:val="none"/>
        </w:rPr>
      </w:r>
      <w:r/>
    </w:p>
    <w:p>
      <w:pPr>
        <w:pStyle w:val="918"/>
        <w:ind w:right="360" w:firstLine="480"/>
        <w:jc w:val="right"/>
        <w:spacing w:line="360" w:lineRule="auto"/>
        <w:rPr>
          <w:color w:val="000000"/>
          <w:sz w:val="24"/>
          <w:highlight w:val="none"/>
        </w:rPr>
      </w:pPr>
      <w:r>
        <w:rPr>
          <w:color w:val="000000"/>
          <w:sz w:val="24"/>
          <w:highlight w:val="none"/>
        </w:rPr>
        <w:t xml:space="preserve">企业名称（加盖公章）：________</w:t>
      </w:r>
      <w:r>
        <w:rPr>
          <w:color w:val="000000"/>
          <w:sz w:val="24"/>
          <w:highlight w:val="none"/>
        </w:rPr>
      </w:r>
      <w:r/>
    </w:p>
    <w:p>
      <w:pPr>
        <w:pStyle w:val="918"/>
        <w:ind w:right="360" w:firstLine="480"/>
        <w:jc w:val="right"/>
        <w:spacing w:line="360" w:lineRule="auto"/>
        <w:rPr>
          <w:color w:val="000000"/>
          <w:sz w:val="24"/>
          <w:highlight w:val="none"/>
        </w:rPr>
      </w:pPr>
      <w:r>
        <w:rPr>
          <w:color w:val="000000"/>
          <w:sz w:val="24"/>
          <w:highlight w:val="none"/>
        </w:rPr>
        <w:t xml:space="preserve">日 期：________</w:t>
      </w:r>
      <w:r>
        <w:rPr>
          <w:color w:val="000000"/>
          <w:sz w:val="24"/>
          <w:highlight w:val="none"/>
        </w:rPr>
      </w:r>
      <w:r/>
    </w:p>
    <w:p>
      <w:pPr>
        <w:pStyle w:val="918"/>
        <w:ind w:right="360" w:firstLine="480"/>
        <w:jc w:val="right"/>
        <w:spacing w:line="360" w:lineRule="auto"/>
        <w:rPr>
          <w:color w:val="000000"/>
          <w:sz w:val="24"/>
          <w:highlight w:val="none"/>
        </w:rPr>
      </w:pPr>
      <w:r>
        <w:rPr>
          <w:color w:val="000000"/>
          <w:sz w:val="24"/>
          <w:highlight w:val="none"/>
        </w:rPr>
      </w:r>
      <w:r/>
    </w:p>
    <w:p>
      <w:pPr>
        <w:pStyle w:val="918"/>
        <w:ind w:right="360" w:firstLine="480"/>
        <w:jc w:val="right"/>
        <w:spacing w:line="360" w:lineRule="auto"/>
        <w:rPr>
          <w:color w:val="000000"/>
          <w:sz w:val="24"/>
          <w:highlight w:val="none"/>
        </w:rPr>
      </w:pPr>
      <w:r>
        <w:rPr>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8"/>
              <w:jc w:val="left"/>
              <w:rPr>
                <w:color w:val="000000"/>
                <w:szCs w:val="21"/>
                <w:highlight w:val="none"/>
              </w:rPr>
            </w:pPr>
            <w:r>
              <w:rPr>
                <w:color w:val="000000"/>
                <w:szCs w:val="21"/>
                <w:highlight w:val="none"/>
                <w:vertAlign w:val="superscript"/>
              </w:rPr>
              <w:t xml:space="preserve">1</w:t>
            </w:r>
            <w:r>
              <w:rPr>
                <w:color w:val="000000"/>
                <w:szCs w:val="21"/>
                <w:highlight w:val="none"/>
              </w:rPr>
              <w:t xml:space="preserve">从业人员、营业收入、资产总额填报上一年度数据，无上一年度数据的新成立企业可不填报。</w:t>
            </w:r>
            <w:r>
              <w:rPr>
                <w:color w:val="000000"/>
                <w:szCs w:val="21"/>
                <w:highlight w:val="none"/>
              </w:rPr>
            </w:r>
            <w:r/>
          </w:p>
        </w:tc>
      </w:tr>
    </w:tbl>
    <w:p>
      <w:pPr>
        <w:pStyle w:val="918"/>
        <w:jc w:val="center"/>
        <w:spacing w:before="240" w:after="240" w:line="360" w:lineRule="auto"/>
        <w:rPr>
          <w:color w:val="000000"/>
          <w:sz w:val="36"/>
          <w:szCs w:val="36"/>
          <w:highlight w:val="none"/>
        </w:rPr>
      </w:pPr>
      <w:r>
        <w:rPr>
          <w:b/>
          <w:bCs/>
          <w:color w:val="000000"/>
          <w:sz w:val="36"/>
          <w:szCs w:val="36"/>
          <w:highlight w:val="none"/>
        </w:rPr>
        <w:br w:type="page" w:clear="all"/>
      </w:r>
      <w:r>
        <w:rPr>
          <w:b/>
          <w:bCs/>
          <w:color w:val="000000"/>
          <w:sz w:val="36"/>
          <w:szCs w:val="36"/>
          <w:highlight w:val="none"/>
        </w:rPr>
        <w:t xml:space="preserve">残疾人福利性单位声明函格式</w:t>
      </w:r>
      <w:r>
        <w:rPr>
          <w:color w:val="000000"/>
          <w:sz w:val="36"/>
          <w:szCs w:val="36"/>
          <w:highlight w:val="none"/>
        </w:rPr>
        <w:t xml:space="preserve"> </w:t>
      </w:r>
      <w:r>
        <w:rPr>
          <w:color w:val="000000"/>
          <w:sz w:val="36"/>
          <w:szCs w:val="36"/>
          <w:highlight w:val="none"/>
        </w:rPr>
      </w:r>
      <w:r/>
    </w:p>
    <w:p>
      <w:pPr>
        <w:pStyle w:val="918"/>
        <w:ind w:firstLine="504"/>
        <w:spacing w:line="588" w:lineRule="exact"/>
        <w:rPr>
          <w:color w:val="000000"/>
          <w:spacing w:val="6"/>
          <w:sz w:val="24"/>
          <w:highlight w:val="none"/>
        </w:rPr>
      </w:pPr>
      <w:r>
        <w:rPr>
          <w:color w:val="000000"/>
          <w:spacing w:val="6"/>
          <w:sz w:val="24"/>
          <w:highlight w:val="none"/>
        </w:rPr>
        <w:t xml:space="preserve">本单位郑重声明，根据《财政部 民政部 中国残疾人联合会关于促进残疾人就业政府采购政策的通知》（财库</w:t>
      </w:r>
      <w:r>
        <w:rPr>
          <w:color w:val="000000"/>
          <w:sz w:val="24"/>
          <w:highlight w:val="none"/>
        </w:rPr>
        <w:t xml:space="preserve">〔2017〕141</w:t>
      </w:r>
      <w:r>
        <w:rPr>
          <w:color w:val="000000"/>
          <w:spacing w:val="6"/>
          <w:sz w:val="24"/>
          <w:highlight w:val="none"/>
        </w:rPr>
        <w:t xml:space="preserve">号）的规定，本单位</w:t>
      </w:r>
      <w:r>
        <w:rPr>
          <w:b/>
          <w:color w:val="000000"/>
          <w:sz w:val="24"/>
          <w:highlight w:val="none"/>
        </w:rPr>
        <w:t xml:space="preserve">（请进行勾选）</w:t>
      </w:r>
      <w:r>
        <w:rPr>
          <w:color w:val="000000"/>
          <w:spacing w:val="6"/>
          <w:sz w:val="24"/>
          <w:highlight w:val="none"/>
        </w:rPr>
        <w:t xml:space="preserve">：</w:t>
      </w:r>
      <w:r>
        <w:rPr>
          <w:color w:val="000000"/>
          <w:spacing w:val="6"/>
          <w:sz w:val="24"/>
          <w:highlight w:val="none"/>
        </w:rPr>
      </w:r>
      <w:r/>
    </w:p>
    <w:p>
      <w:pPr>
        <w:pStyle w:val="918"/>
        <w:ind w:firstLine="482"/>
        <w:spacing w:line="588" w:lineRule="exact"/>
        <w:rPr>
          <w:b/>
          <w:color w:val="000000"/>
          <w:spacing w:val="6"/>
          <w:sz w:val="24"/>
          <w:highlight w:val="none"/>
        </w:rPr>
      </w:pPr>
      <w:r>
        <w:rPr>
          <w:rFonts w:hint="eastAsia"/>
          <w:b/>
          <w:color w:val="000000"/>
          <w:sz w:val="24"/>
          <w:highlight w:val="none"/>
        </w:rPr>
        <w:t xml:space="preserve">□</w:t>
      </w:r>
      <w:r>
        <w:rPr>
          <w:b/>
          <w:color w:val="000000"/>
          <w:spacing w:val="6"/>
          <w:sz w:val="24"/>
          <w:highlight w:val="none"/>
        </w:rPr>
        <w:t xml:space="preserve">不属于符合条件的残疾人福利性单位。</w:t>
      </w:r>
      <w:r>
        <w:rPr>
          <w:b/>
          <w:color w:val="000000"/>
          <w:spacing w:val="6"/>
          <w:sz w:val="24"/>
          <w:highlight w:val="none"/>
        </w:rPr>
      </w:r>
      <w:r/>
    </w:p>
    <w:p>
      <w:pPr>
        <w:pStyle w:val="918"/>
        <w:ind w:firstLine="482"/>
        <w:spacing w:line="588" w:lineRule="exact"/>
        <w:rPr>
          <w:color w:val="000000"/>
          <w:spacing w:val="6"/>
          <w:sz w:val="24"/>
          <w:highlight w:val="none"/>
        </w:rPr>
      </w:pPr>
      <w:r>
        <w:rPr>
          <w:rFonts w:hint="eastAsia"/>
          <w:b/>
          <w:color w:val="000000"/>
          <w:sz w:val="24"/>
          <w:highlight w:val="none"/>
        </w:rPr>
        <w:t xml:space="preserve">□</w:t>
      </w:r>
      <w:r>
        <w:rPr>
          <w:b/>
          <w:color w:val="000000"/>
          <w:spacing w:val="6"/>
          <w:sz w:val="24"/>
          <w:highlight w:val="none"/>
        </w:rPr>
        <w:t xml:space="preserve">属于符合条件的残疾人福利性单位，</w:t>
      </w:r>
      <w:r>
        <w:rPr>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spacing w:val="6"/>
          <w:sz w:val="24"/>
          <w:highlight w:val="none"/>
        </w:rPr>
      </w:r>
      <w:r/>
    </w:p>
    <w:p>
      <w:pPr>
        <w:pStyle w:val="918"/>
        <w:ind w:firstLine="506"/>
        <w:spacing w:line="588" w:lineRule="exact"/>
        <w:rPr>
          <w:color w:val="000000"/>
          <w:spacing w:val="6"/>
          <w:sz w:val="24"/>
          <w:highlight w:val="none"/>
        </w:rPr>
      </w:pPr>
      <w:r>
        <w:rPr>
          <w:b/>
          <w:color w:val="000000"/>
          <w:spacing w:val="6"/>
          <w:sz w:val="24"/>
          <w:highlight w:val="none"/>
        </w:rPr>
        <w:t xml:space="preserve">本单位对上述声明的真实性负责。如有虚假，将依法承担相应责任。</w:t>
      </w:r>
      <w:r>
        <w:rPr>
          <w:color w:val="000000"/>
          <w:spacing w:val="6"/>
          <w:sz w:val="24"/>
          <w:highlight w:val="none"/>
        </w:rPr>
      </w:r>
      <w:r/>
    </w:p>
    <w:p>
      <w:pPr>
        <w:pStyle w:val="918"/>
        <w:ind w:firstLine="504"/>
        <w:spacing w:line="588" w:lineRule="exact"/>
        <w:rPr>
          <w:color w:val="000000"/>
          <w:spacing w:val="6"/>
          <w:sz w:val="24"/>
          <w:highlight w:val="none"/>
        </w:rPr>
      </w:pPr>
      <w:r>
        <w:rPr>
          <w:color w:val="000000"/>
          <w:spacing w:val="6"/>
          <w:sz w:val="24"/>
          <w:highlight w:val="none"/>
        </w:rPr>
      </w:r>
      <w:r/>
    </w:p>
    <w:p>
      <w:pPr>
        <w:pStyle w:val="918"/>
        <w:ind w:firstLine="504"/>
        <w:spacing w:line="588" w:lineRule="exact"/>
        <w:rPr>
          <w:color w:val="000000"/>
          <w:spacing w:val="6"/>
          <w:sz w:val="24"/>
          <w:highlight w:val="none"/>
        </w:rPr>
      </w:pPr>
      <w:r>
        <w:rPr>
          <w:color w:val="000000"/>
          <w:spacing w:val="6"/>
          <w:sz w:val="24"/>
          <w:highlight w:val="none"/>
        </w:rPr>
      </w:r>
      <w:r/>
    </w:p>
    <w:p>
      <w:pPr>
        <w:pStyle w:val="918"/>
        <w:ind w:right="1560" w:firstLine="504"/>
        <w:jc w:val="center"/>
        <w:spacing w:line="588" w:lineRule="exact"/>
        <w:tabs>
          <w:tab w:val="left" w:pos="4860" w:leader="none"/>
        </w:tabs>
        <w:rPr>
          <w:color w:val="000000"/>
          <w:spacing w:val="6"/>
          <w:sz w:val="24"/>
          <w:highlight w:val="none"/>
        </w:rPr>
      </w:pPr>
      <w:r>
        <w:rPr>
          <w:color w:val="000000"/>
          <w:spacing w:val="6"/>
          <w:sz w:val="24"/>
          <w:highlight w:val="none"/>
        </w:rPr>
        <w:t xml:space="preserve">               单位名称（加盖公章）：</w:t>
      </w:r>
      <w:r>
        <w:rPr>
          <w:color w:val="000000"/>
          <w:spacing w:val="6"/>
          <w:sz w:val="24"/>
          <w:highlight w:val="none"/>
        </w:rPr>
      </w:r>
      <w:r/>
    </w:p>
    <w:p>
      <w:pPr>
        <w:pStyle w:val="918"/>
        <w:ind w:right="1560" w:firstLine="504"/>
        <w:jc w:val="center"/>
        <w:spacing w:line="588" w:lineRule="exact"/>
        <w:tabs>
          <w:tab w:val="left" w:pos="4860" w:leader="none"/>
        </w:tabs>
        <w:rPr>
          <w:rFonts w:ascii="宋体" w:hAnsi="宋体"/>
          <w:color w:val="000000"/>
          <w:spacing w:val="6"/>
          <w:sz w:val="24"/>
          <w:highlight w:val="none"/>
        </w:rPr>
      </w:pPr>
      <w:r>
        <w:rPr>
          <w:color w:val="000000"/>
          <w:spacing w:val="6"/>
          <w:sz w:val="24"/>
          <w:highlight w:val="none"/>
        </w:rPr>
        <w:t xml:space="preserve">  日  期：</w:t>
      </w:r>
      <w:r>
        <w:rPr>
          <w:rFonts w:ascii="宋体" w:hAnsi="宋体"/>
          <w:color w:val="000000"/>
          <w:spacing w:val="6"/>
          <w:sz w:val="24"/>
          <w:highlight w:val="none"/>
        </w:rPr>
      </w:r>
      <w:r/>
    </w:p>
    <w:p>
      <w:pPr>
        <w:pStyle w:val="918"/>
        <w:spacing w:line="360" w:lineRule="auto"/>
        <w:rPr>
          <w:rFonts w:ascii="宋体" w:hAnsi="宋体"/>
          <w:b/>
          <w:color w:val="000000"/>
          <w:sz w:val="24"/>
          <w:highlight w:val="none"/>
        </w:rPr>
        <w:outlineLvl w:val="2"/>
      </w:pPr>
      <w:r>
        <w:rPr>
          <w:rFonts w:ascii="宋体" w:hAnsi="宋体"/>
          <w:b/>
          <w:color w:val="000000"/>
          <w:sz w:val="24"/>
          <w:highlight w:val="none"/>
        </w:rPr>
      </w:r>
      <w:r/>
    </w:p>
    <w:p>
      <w:pPr>
        <w:pStyle w:val="918"/>
        <w:rPr>
          <w:rFonts w:hint="eastAsia" w:ascii="方正魏碑_GBK" w:hAnsi="方正魏碑_GBK" w:eastAsia="方正魏碑_GBK" w:cs="方正魏碑_GBK"/>
          <w:b/>
          <w:color w:val="000000"/>
          <w:sz w:val="24"/>
          <w:highlight w:val="none"/>
        </w:rPr>
      </w:pPr>
      <w:r>
        <w:rPr>
          <w:rFonts w:ascii="宋体" w:hAnsi="宋体"/>
          <w:color w:val="000000"/>
          <w:sz w:val="24"/>
          <w:szCs w:val="20"/>
          <w:highlight w:val="none"/>
        </w:rPr>
        <w:br w:type="page" w:clear="all"/>
      </w:r>
      <w:r>
        <w:rPr>
          <w:rFonts w:hint="eastAsia" w:ascii="宋体" w:hAnsi="宋体"/>
          <w:color w:val="000000"/>
          <w:sz w:val="24"/>
          <w:szCs w:val="20"/>
          <w:highlight w:val="none"/>
          <w:lang w:val="en-US" w:eastAsia="zh-CN"/>
        </w:rPr>
        <w:t xml:space="preserve">10</w:t>
      </w:r>
      <w:r>
        <w:rPr>
          <w:rFonts w:hint="eastAsia" w:ascii="宋体" w:hAnsi="宋体"/>
          <w:color w:val="000000"/>
          <w:sz w:val="24"/>
          <w:szCs w:val="20"/>
          <w:highlight w:val="none"/>
        </w:rPr>
        <w:t xml:space="preserve"> </w:t>
      </w:r>
      <w:r>
        <w:rPr>
          <w:rFonts w:hint="eastAsia" w:ascii="方正魏碑_GBK" w:hAnsi="方正魏碑_GBK" w:eastAsia="方正魏碑_GBK" w:cs="方正魏碑_GBK"/>
          <w:b/>
          <w:color w:val="000000"/>
          <w:sz w:val="24"/>
          <w:highlight w:val="none"/>
        </w:rPr>
        <w:t xml:space="preserve">关于符合本国产品标准的声明函</w:t>
      </w:r>
      <w:r>
        <w:rPr>
          <w:rFonts w:hint="eastAsia" w:ascii="方正魏碑_GBK" w:hAnsi="方正魏碑_GBK" w:eastAsia="方正魏碑_GBK" w:cs="方正魏碑_GBK"/>
          <w:b/>
          <w:color w:val="000000"/>
          <w:sz w:val="24"/>
          <w:highlight w:val="none"/>
        </w:rPr>
      </w:r>
      <w:r/>
    </w:p>
    <w:p>
      <w:pPr>
        <w:pStyle w:val="918"/>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18"/>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18"/>
        <w:jc w:val="center"/>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b/>
          <w:color w:val="000000"/>
          <w:sz w:val="24"/>
          <w:highlight w:val="none"/>
        </w:rPr>
        <w:t xml:space="preserve">关于符合本国产品标准的声明函</w:t>
      </w:r>
      <w:r>
        <w:rPr>
          <w:rFonts w:hint="eastAsia" w:ascii="方正魏碑_GBK" w:hAnsi="方正魏碑_GBK" w:eastAsia="方正魏碑_GBK" w:cs="方正魏碑_GBK"/>
          <w:color w:val="000000"/>
          <w:sz w:val="24"/>
          <w:highlight w:val="none"/>
        </w:rPr>
      </w:r>
      <w:r/>
    </w:p>
    <w:p>
      <w:pPr>
        <w:pStyle w:val="980"/>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980"/>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980"/>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1037590</wp:posOffset>
                </wp:positionH>
                <wp:positionV relativeFrom="paragraph">
                  <wp:posOffset>675640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81.7pt;mso-position-horizontal:absolute;mso-position-vertical-relative:text;margin-top:53.2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1990090</wp:posOffset>
                </wp:positionH>
                <wp:positionV relativeFrom="paragraph">
                  <wp:posOffset>645795</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156.7pt;mso-position-horizontal:absolute;mso-position-vertical-relative:text;margin-top:50.8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4768215</wp:posOffset>
                </wp:positionH>
                <wp:positionV relativeFrom="paragraph">
                  <wp:posOffset>66675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375.4pt;mso-position-horizontal:absolute;mso-position-vertical-relative:text;margin-top:5.2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4382770</wp:posOffset>
                </wp:positionH>
                <wp:positionV relativeFrom="paragraph">
                  <wp:posOffset>329565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3;o:allowoverlap:true;o:allowincell:true;mso-position-horizontal-relative:text;margin-left:345.1pt;mso-position-horizontal:absolute;mso-position-vertical-relative:text;margin-top:25.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3274695</wp:posOffset>
                </wp:positionH>
                <wp:positionV relativeFrom="paragraph">
                  <wp:posOffset>347345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57.8pt;mso-position-horizontal:absolute;mso-position-vertical-relative:text;margin-top:27.3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994"/>
          <w:rFonts w:hint="eastAsia" w:ascii="方正魏碑_GBK" w:hAnsi="方正魏碑_GBK" w:eastAsia="方正魏碑_GBK" w:cs="方正魏碑_GBK"/>
          <w:color w:val="000000"/>
          <w:highlight w:val="none"/>
          <w:u w:val="single"/>
          <w:shd w:val="clear" w:color="auto" w:fill="ffffff"/>
        </w:rPr>
        <w:t xml:space="preserve">（产品名称1）</w:t>
      </w:r>
      <w:r>
        <w:rPr>
          <w:rStyle w:val="994"/>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994"/>
          <w:rFonts w:hint="eastAsia" w:ascii="方正魏碑_GBK" w:hAnsi="方正魏碑_GBK" w:eastAsia="方正魏碑_GBK" w:cs="方正魏碑_GBK"/>
          <w:color w:val="000000"/>
          <w:highlight w:val="none"/>
          <w:u w:val="single"/>
          <w:shd w:val="clear" w:color="auto" w:fill="ffffff"/>
        </w:rPr>
        <w:t xml:space="preserve">（厂名）</w:t>
      </w:r>
      <w:r>
        <w:rPr>
          <w:rStyle w:val="994"/>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99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994"/>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94"/>
          <w:rFonts w:hint="eastAsia" w:ascii="方正魏碑_GBK" w:hAnsi="方正魏碑_GBK" w:eastAsia="方正魏碑_GBK" w:cs="方正魏碑_GBK"/>
          <w:color w:val="000000"/>
          <w:highlight w:val="none"/>
          <w:u w:val="single"/>
          <w:shd w:val="clear" w:color="auto" w:fill="ffffff"/>
        </w:rPr>
        <w:t xml:space="preserve">（规定</w:t>
      </w:r>
      <w:r>
        <w:rPr>
          <w:rStyle w:val="994"/>
          <w:rFonts w:ascii="方正魏碑_GBK" w:hAnsi="方正魏碑_GBK" w:eastAsia="方正魏碑_GBK" w:cs="方正魏碑_GBK"/>
          <w:color w:val="000000"/>
          <w:highlight w:val="none"/>
          <w:u w:val="single"/>
          <w:shd w:val="clear" w:color="auto" w:fill="ffffff"/>
        </w:rPr>
        <w:t xml:space="preserve">比</w: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2239010</wp:posOffset>
                </wp:positionH>
                <wp:positionV relativeFrom="paragraph">
                  <wp:posOffset>367665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176.3pt;mso-position-horizontal:absolute;mso-position-vertical-relative:text;margin-top:28.9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Style w:val="994"/>
          <w:rFonts w:ascii="方正魏碑_GBK" w:hAnsi="方正魏碑_GBK" w:eastAsia="方正魏碑_GBK" w:cs="方正魏碑_GBK"/>
          <w:color w:val="000000"/>
          <w:highlight w:val="none"/>
          <w:u w:val="single"/>
          <w:shd w:val="clear" w:color="auto" w:fill="ffffff"/>
        </w:rPr>
        <w:t xml:space="preserve">例</w:t>
      </w:r>
      <w:r>
        <w:rPr>
          <w:rStyle w:val="994"/>
          <w:rFonts w:hint="eastAsia" w:ascii="方正魏碑_GBK" w:hAnsi="方正魏碑_GBK" w:eastAsia="方正魏碑_GBK" w:cs="方正魏碑_GBK"/>
          <w:color w:val="000000"/>
          <w:highlight w:val="none"/>
          <w:u w:val="single"/>
          <w:shd w:val="clear" w:color="auto" w:fill="ffffff"/>
        </w:rPr>
        <w:t xml:space="preserve">）</w:t>
      </w:r>
      <w:r>
        <w:rPr>
          <w:rStyle w:val="994"/>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99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94"/>
          <w:rFonts w:hint="eastAsia" w:ascii="方正魏碑_GBK" w:hAnsi="方正魏碑_GBK" w:eastAsia="方正魏碑_GBK" w:cs="方正魏碑_GBK"/>
          <w:color w:val="000000"/>
          <w:highlight w:val="none"/>
          <w:u w:val="single"/>
          <w:shd w:val="clear" w:color="auto" w:fill="ffffff"/>
        </w:rPr>
        <w:t xml:space="preserve">（关键</w:t>
      </w:r>
      <w:r>
        <w:rPr>
          <w:rStyle w:val="994"/>
          <w:rFonts w:ascii="方正魏碑_GBK" w:hAnsi="方正魏碑_GBK" w:eastAsia="方正魏碑_GBK" w:cs="方正魏碑_GBK"/>
          <w:color w:val="000000"/>
          <w:highlight w:val="none"/>
          <w:u w:val="single"/>
          <w:shd w:val="clear" w:color="auto" w:fill="ffffff"/>
        </w:rPr>
        <w:t xml:space="preserve">组件</w:t>
      </w:r>
      <w:r>
        <w:rPr>
          <w:rStyle w:val="994"/>
          <w:rFonts w:hint="eastAsia" w:ascii="方正魏碑_GBK" w:hAnsi="方正魏碑_GBK" w:eastAsia="方正魏碑_GBK" w:cs="方正魏碑_GBK"/>
          <w:color w:val="000000"/>
          <w:highlight w:val="none"/>
          <w:u w:val="single"/>
          <w:shd w:val="clear" w:color="auto" w:fill="ffffff"/>
        </w:rPr>
        <w:t xml:space="preserve">）</w:t>
      </w:r>
      <w:r>
        <w:rPr>
          <w:rStyle w:val="994"/>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994"/>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994"/>
          <w:rFonts w:hint="eastAsia" w:ascii="方正魏碑_GBK" w:hAnsi="方正魏碑_GBK" w:eastAsia="方正魏碑_GBK" w:cs="方正魏碑_GBK"/>
          <w:color w:val="000000"/>
          <w:highlight w:val="none"/>
          <w:u w:val="single"/>
          <w:shd w:val="clear" w:color="auto" w:fill="ffffff"/>
        </w:rPr>
        <w:t xml:space="preserve">（关键工序）</w:t>
      </w:r>
      <w:r>
        <w:rPr>
          <w:rStyle w:val="994"/>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80"/>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532130</wp:posOffset>
                </wp:positionH>
                <wp:positionV relativeFrom="paragraph">
                  <wp:posOffset>735965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noFill/>
                        </a:ln>
                      </wps:spPr>
                      <wps:txbx>
                        <w:txbxContent>
                          <w:p>
                            <w:pPr>
                              <w:pStyle w:val="918"/>
                              <w:jc w:val="center"/>
                            </w:pPr>
                            <w:r/>
                            <w:r/>
                          </w:p>
                          <w:p>
                            <w:pPr>
                              <w:pStyle w:val="918"/>
                            </w:pPr>
                            <w:r/>
                            <w:r/>
                          </w:p>
                        </w:txbxContent>
                      </wps:txbx>
                      <wps:bodyPr wrap="square" upright="1"/>
                    </wps:wsp>
                  </a:graphicData>
                </a:graphic>
              </wp:anchor>
            </w:drawing>
          </mc:Choice>
          <mc:Fallback>
            <w:pict>
              <v:shape id="shape 11" o:spid="_x0000_s11" style="position:absolute;z-index:251658253;o:allowoverlap:true;o:allowincell:true;mso-position-horizontal-relative:text;margin-left:41.9pt;mso-position-horizontal:absolute;mso-position-vertical-relative:text;margin-top:57.9pt;mso-position-vertical:absolute;width:66.5pt;height:9.9pt;mso-wrap-distance-left:9.0pt;mso-wrap-distance-top:0.0pt;mso-wrap-distance-right:9.0pt;mso-wrap-distance-bottom:0.0pt;flip:y;visibility:visible;" path="m0,0l100000,100000ee" coordsize="100000,100000" filled="f" stroked="f">
                <v:path textboxrect="0,0,100000,100000"/>
                <v:textbox inset="0,0,0,0">
                  <w:txbxContent>
                    <w:p>
                      <w:pPr>
                        <w:pStyle w:val="918"/>
                        <w:jc w:val="center"/>
                      </w:pPr>
                      <w:r/>
                      <w:r/>
                    </w:p>
                    <w:p>
                      <w:pPr>
                        <w:pStyle w:val="918"/>
                      </w:pPr>
                      <w:r/>
                      <w:r/>
                    </w:p>
                  </w:txbxContent>
                </v:textbox>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1870075</wp:posOffset>
                </wp:positionH>
                <wp:positionV relativeFrom="paragraph">
                  <wp:posOffset>711200</wp:posOffset>
                </wp:positionV>
                <wp:extent cx="843915" cy="1257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147.2pt;mso-position-horizontal:absolute;mso-position-vertical-relative:text;margin-top:56.0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4255770</wp:posOffset>
                </wp:positionH>
                <wp:positionV relativeFrom="paragraph">
                  <wp:posOffset>370205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35.1pt;mso-position-horizontal:absolute;mso-position-vertical-relative:text;margin-top:29.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3139440</wp:posOffset>
                </wp:positionH>
                <wp:positionV relativeFrom="paragraph">
                  <wp:posOffset>344805</wp:posOffset>
                </wp:positionV>
                <wp:extent cx="843915" cy="12573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247.2pt;mso-position-horizontal:absolute;mso-position-vertical-relative:text;margin-top:27.1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4669790</wp:posOffset>
                </wp:positionH>
                <wp:positionV relativeFrom="paragraph">
                  <wp:posOffset>76835</wp:posOffset>
                </wp:positionV>
                <wp:extent cx="577215" cy="9207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9;o:allowoverlap:true;o:allowincell:true;mso-position-horizontal-relative:text;margin-left:367.7pt;mso-position-horizontal:absolute;mso-position-vertical-relative:text;margin-top:6.0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99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994"/>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994"/>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99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994"/>
          <w:rFonts w:hint="eastAsia" w:ascii="方正魏碑_GBK" w:hAnsi="方正魏碑_GBK" w:eastAsia="方正魏碑_GBK" w:cs="方正魏碑_GBK"/>
          <w:color w:val="000000"/>
          <w:highlight w:val="none"/>
          <w:u w:val="single"/>
          <w:shd w:val="clear" w:color="auto" w:fill="ffffff"/>
        </w:rPr>
        <w:t xml:space="preserve">（规</w: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2042795</wp:posOffset>
                </wp:positionH>
                <wp:positionV relativeFrom="paragraph">
                  <wp:posOffset>347980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0;o:allowoverlap:true;o:allowincell:true;mso-position-horizontal-relative:text;margin-left:160.8pt;mso-position-horizontal:absolute;mso-position-vertical-relative:text;margin-top:27.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Style w:val="994"/>
          <w:rFonts w:hint="eastAsia" w:ascii="方正魏碑_GBK" w:hAnsi="方正魏碑_GBK" w:eastAsia="方正魏碑_GBK" w:cs="方正魏碑_GBK"/>
          <w:color w:val="000000"/>
          <w:highlight w:val="none"/>
          <w:u w:val="single"/>
          <w:shd w:val="clear" w:color="auto" w:fill="ffffff"/>
        </w:rPr>
        <w:t xml:space="preserve">定</w:t>
      </w:r>
      <w:r>
        <w:rPr>
          <w:rStyle w:val="994"/>
          <w:rFonts w:ascii="方正魏碑_GBK" w:hAnsi="方正魏碑_GBK" w:eastAsia="方正魏碑_GBK" w:cs="方正魏碑_GBK"/>
          <w:color w:val="000000"/>
          <w:highlight w:val="none"/>
          <w:u w:val="single"/>
          <w:shd w:val="clear" w:color="auto" w:fill="ffffff"/>
        </w:rPr>
        <w:t xml:space="preserve">比例</w:t>
      </w:r>
      <w:r>
        <w:rPr>
          <w:rStyle w:val="99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99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94"/>
          <w:rFonts w:hint="eastAsia" w:ascii="方正魏碑_GBK" w:hAnsi="方正魏碑_GBK" w:eastAsia="方正魏碑_GBK" w:cs="方正魏碑_GBK"/>
          <w:color w:val="000000"/>
          <w:highlight w:val="none"/>
          <w:u w:val="single"/>
          <w:shd w:val="clear" w:color="auto" w:fill="ffffff"/>
        </w:rPr>
        <w:t xml:space="preserve">（关键</w:t>
      </w:r>
      <w:r>
        <w:rPr>
          <w:rStyle w:val="994"/>
          <w:rFonts w:ascii="方正魏碑_GBK" w:hAnsi="方正魏碑_GBK" w:eastAsia="方正魏碑_GBK" w:cs="方正魏碑_GBK"/>
          <w:color w:val="000000"/>
          <w:highlight w:val="none"/>
          <w:u w:val="single"/>
          <w:shd w:val="clear" w:color="auto" w:fill="ffffff"/>
        </w:rPr>
        <w:t xml:space="preserve">组件</w:t>
      </w:r>
      <w:r>
        <w:rPr>
          <w:rStyle w:val="994"/>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994"/>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994"/>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980"/>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980"/>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98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980"/>
        <w:ind w:right="480" w:firstLine="468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980"/>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98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98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98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98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98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980"/>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918"/>
        <w:jc w:val="left"/>
        <w:widowControl/>
        <w:rPr>
          <w:rFonts w:hint="eastAsia" w:ascii="宋体" w:hAnsi="宋体" w:eastAsia="宋体" w:cs="Times New Roman"/>
          <w:color w:val="000000"/>
          <w:sz w:val="24"/>
          <w:szCs w:val="20"/>
          <w:highlight w:val="none"/>
        </w:rPr>
      </w:pPr>
      <w:r>
        <w:rPr>
          <w:rFonts w:hint="eastAsia" w:ascii="宋体" w:hAnsi="宋体"/>
          <w:color w:val="000000"/>
          <w:sz w:val="24"/>
          <w:szCs w:val="20"/>
          <w:highlight w:val="none"/>
        </w:rPr>
        <w:t xml:space="preserve">6.用斜线划除的地方无需填写。</w:t>
      </w:r>
      <w:r>
        <w:rPr>
          <w:rFonts w:hint="eastAsia" w:ascii="宋体" w:hAnsi="宋体"/>
          <w:color w:val="000000"/>
          <w:sz w:val="24"/>
          <w:szCs w:val="20"/>
          <w:highlight w:val="none"/>
        </w:rPr>
        <w:br w:type="page" w:clear="all"/>
      </w:r>
      <w:r>
        <w:rPr>
          <w:rFonts w:hint="eastAsia" w:ascii="宋体" w:hAnsi="宋体" w:eastAsia="宋体" w:cs="Times New Roman"/>
          <w:color w:val="000000"/>
          <w:sz w:val="24"/>
          <w:szCs w:val="20"/>
          <w:highlight w:val="none"/>
          <w:lang w:val="en-US" w:eastAsia="zh-CN"/>
        </w:rPr>
        <w:t xml:space="preserve">11</w:t>
      </w:r>
      <w:r>
        <w:rPr>
          <w:rFonts w:hint="eastAsia" w:ascii="宋体" w:hAnsi="宋体" w:eastAsia="宋体" w:cs="Times New Roman"/>
          <w:color w:val="000000"/>
          <w:sz w:val="24"/>
          <w:szCs w:val="20"/>
          <w:highlight w:val="none"/>
        </w:rPr>
        <w:t xml:space="preserve">  项目实施方案等，包括但不限于如下主题：</w:t>
      </w:r>
      <w:r>
        <w:rPr>
          <w:rFonts w:hint="eastAsia" w:ascii="宋体" w:hAnsi="宋体" w:eastAsia="宋体" w:cs="Times New Roman"/>
          <w:color w:val="000000"/>
          <w:sz w:val="24"/>
          <w:szCs w:val="20"/>
          <w:highlight w:val="none"/>
        </w:rPr>
      </w:r>
      <w:r/>
    </w:p>
    <w:p>
      <w:pPr>
        <w:pStyle w:val="91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91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91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91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918"/>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918"/>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jc w:val="left"/>
        <w:widowControl/>
        <w:rPr>
          <w:rFonts w:hint="eastAsia" w:ascii="宋体" w:hAnsi="宋体" w:eastAsia="宋体" w:cs="Times New Roman"/>
          <w:color w:val="000000"/>
          <w:sz w:val="24"/>
          <w:szCs w:val="20"/>
          <w:highlight w:val="none"/>
        </w:rPr>
      </w:pPr>
      <w:r>
        <w:rPr>
          <w:rFonts w:hint="eastAsia" w:ascii="宋体" w:hAnsi="宋体"/>
          <w:color w:val="000000"/>
          <w:sz w:val="24"/>
          <w:szCs w:val="20"/>
          <w:highlight w:val="none"/>
        </w:rPr>
        <w:br w:type="page" w:clear="all"/>
      </w:r>
      <w:r>
        <w:rPr>
          <w:rFonts w:hint="eastAsia" w:ascii="宋体" w:hAnsi="宋体" w:eastAsia="宋体" w:cs="Times New Roman"/>
          <w:color w:val="000000"/>
          <w:sz w:val="24"/>
          <w:szCs w:val="20"/>
          <w:highlight w:val="none"/>
        </w:rPr>
        <w:t xml:space="preserve">1</w:t>
      </w:r>
      <w:r>
        <w:rPr>
          <w:rFonts w:hint="eastAsia" w:ascii="宋体" w:hAnsi="宋体" w:eastAsia="宋体" w:cs="Times New Roman"/>
          <w:color w:val="000000"/>
          <w:sz w:val="24"/>
          <w:szCs w:val="20"/>
          <w:highlight w:val="none"/>
          <w:lang w:val="en-US" w:eastAsia="zh-CN"/>
        </w:rPr>
        <w:t xml:space="preserve">2</w:t>
      </w:r>
      <w:r>
        <w:rPr>
          <w:rFonts w:hint="eastAsia" w:ascii="宋体" w:hAnsi="宋体" w:eastAsia="宋体" w:cs="Times New Roman"/>
          <w:color w:val="000000"/>
          <w:sz w:val="24"/>
          <w:szCs w:val="20"/>
          <w:highlight w:val="none"/>
        </w:rPr>
        <w:t xml:space="preserve">  参加本项目人员一览表</w:t>
      </w:r>
      <w:r>
        <w:rPr>
          <w:rFonts w:hint="eastAsia" w:ascii="宋体" w:hAnsi="宋体" w:eastAsia="宋体" w:cs="Times New Roman"/>
          <w:color w:val="000000"/>
          <w:sz w:val="24"/>
          <w:szCs w:val="20"/>
          <w:highlight w:val="none"/>
        </w:rPr>
      </w:r>
      <w:r/>
    </w:p>
    <w:p>
      <w:pPr>
        <w:pStyle w:val="918"/>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1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参加本项目人员一览表</w:t>
      </w:r>
      <w:r>
        <w:rPr>
          <w:rFonts w:hint="eastAsia" w:ascii="宋体" w:hAnsi="宋体" w:eastAsia="宋体" w:cs="Times New Roman"/>
          <w:b/>
          <w:color w:val="000000"/>
          <w:sz w:val="32"/>
          <w:szCs w:val="32"/>
          <w:highlight w:val="none"/>
        </w:rPr>
      </w:r>
      <w:r/>
    </w:p>
    <w:p>
      <w:pPr>
        <w:pStyle w:val="918"/>
        <w:spacing w:line="360" w:lineRule="auto"/>
        <w:rPr>
          <w:rFonts w:ascii="宋体" w:hAnsi="宋体"/>
          <w:color w:val="000000"/>
          <w:sz w:val="22"/>
          <w:highlight w:val="none"/>
        </w:rPr>
      </w:pPr>
      <w:r>
        <w:rPr>
          <w:rFonts w:ascii="宋体" w:hAnsi="宋体"/>
          <w:color w:val="000000"/>
          <w:sz w:val="22"/>
          <w:highlight w:val="none"/>
        </w:rPr>
      </w:r>
      <w:r/>
    </w:p>
    <w:p>
      <w:pPr>
        <w:pStyle w:val="918"/>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18"/>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18"/>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918"/>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918"/>
        <w:spacing w:line="360" w:lineRule="auto"/>
        <w:rPr>
          <w:rFonts w:ascii="宋体" w:hAnsi="宋体"/>
          <w:color w:val="000000"/>
          <w:sz w:val="24"/>
          <w:highlight w:val="none"/>
        </w:rPr>
      </w:pPr>
      <w:r>
        <w:rPr>
          <w:rFonts w:ascii="宋体" w:hAnsi="宋体"/>
          <w:color w:val="000000"/>
          <w:sz w:val="24"/>
          <w:highlight w:val="none"/>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918"/>
        <w:jc w:val="left"/>
        <w:widowControl/>
        <w:rPr>
          <w:rFonts w:hint="eastAsia" w:ascii="宋体" w:hAnsi="宋体" w:eastAsia="宋体" w:cs="Times New Roman"/>
          <w:color w:val="000000"/>
          <w:sz w:val="24"/>
          <w:szCs w:val="20"/>
          <w:highlight w:val="none"/>
        </w:rPr>
      </w:pPr>
      <w:r>
        <w:rPr>
          <w:rFonts w:ascii="宋体" w:hAnsi="宋体"/>
          <w:color w:val="000000"/>
          <w:sz w:val="22"/>
          <w:highlight w:val="none"/>
        </w:rPr>
        <w:br w:type="page" w:clear="all"/>
      </w:r>
      <w:bookmarkStart w:id="941" w:name="_Toc288738397"/>
      <w:r/>
      <w:bookmarkStart w:id="942" w:name="_Toc288738839"/>
      <w:r>
        <w:rPr>
          <w:rFonts w:hint="eastAsia" w:ascii="宋体" w:hAnsi="宋体" w:eastAsia="宋体" w:cs="Times New Roman"/>
          <w:color w:val="000000"/>
          <w:sz w:val="24"/>
          <w:szCs w:val="20"/>
          <w:highlight w:val="none"/>
        </w:rPr>
        <w:t xml:space="preserve">1</w:t>
      </w:r>
      <w:r>
        <w:rPr>
          <w:rFonts w:hint="eastAsia" w:ascii="宋体" w:hAnsi="宋体" w:eastAsia="宋体" w:cs="Times New Roman"/>
          <w:color w:val="000000"/>
          <w:sz w:val="24"/>
          <w:szCs w:val="20"/>
          <w:highlight w:val="none"/>
          <w:lang w:val="en-US" w:eastAsia="zh-CN"/>
        </w:rPr>
        <w:t xml:space="preserve">3</w:t>
      </w:r>
      <w:r>
        <w:rPr>
          <w:rFonts w:hint="eastAsia" w:ascii="宋体" w:hAnsi="宋体" w:eastAsia="宋体" w:cs="Times New Roman"/>
          <w:color w:val="000000"/>
          <w:sz w:val="24"/>
          <w:szCs w:val="20"/>
          <w:highlight w:val="none"/>
        </w:rPr>
        <w:t xml:space="preserve">  相关业绩案例一览表</w:t>
      </w:r>
      <w:r>
        <w:rPr>
          <w:rFonts w:hint="eastAsia" w:ascii="宋体" w:hAnsi="宋体" w:eastAsia="宋体" w:cs="Times New Roman"/>
          <w:color w:val="000000"/>
          <w:sz w:val="24"/>
          <w:szCs w:val="20"/>
          <w:highlight w:val="none"/>
        </w:rPr>
      </w:r>
      <w:r/>
    </w:p>
    <w:p>
      <w:pPr>
        <w:pStyle w:val="918"/>
        <w:rPr>
          <w:rFonts w:ascii="宋体" w:hAnsi="宋体"/>
          <w:color w:val="000000"/>
          <w:sz w:val="24"/>
          <w:szCs w:val="20"/>
          <w:highlight w:val="none"/>
        </w:rPr>
      </w:pPr>
      <w:r>
        <w:rPr>
          <w:rFonts w:ascii="宋体" w:hAnsi="宋体"/>
          <w:color w:val="000000"/>
          <w:sz w:val="24"/>
          <w:szCs w:val="20"/>
          <w:highlight w:val="none"/>
        </w:rPr>
      </w:r>
      <w:r/>
    </w:p>
    <w:p>
      <w:pPr>
        <w:pStyle w:val="918"/>
        <w:jc w:val="center"/>
        <w:spacing w:line="360" w:lineRule="auto"/>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 xml:space="preserve">相关业绩案例一览表</w:t>
      </w:r>
      <w:bookmarkEnd w:id="941"/>
      <w:r/>
      <w:bookmarkEnd w:id="942"/>
      <w:r>
        <w:rPr>
          <w:rFonts w:hint="eastAsia" w:ascii="宋体" w:hAnsi="宋体" w:eastAsia="宋体" w:cs="Times New Roman"/>
          <w:b/>
          <w:color w:val="000000"/>
          <w:sz w:val="32"/>
          <w:szCs w:val="32"/>
          <w:highlight w:val="none"/>
        </w:rPr>
      </w:r>
      <w:r/>
    </w:p>
    <w:p>
      <w:pPr>
        <w:pStyle w:val="918"/>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18"/>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18"/>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1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18"/>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18"/>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18"/>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918"/>
        <w:spacing w:line="360" w:lineRule="auto"/>
        <w:rPr>
          <w:rFonts w:ascii="宋体" w:hAnsi="宋体" w:cs="宋体"/>
          <w:color w:val="000000"/>
          <w:sz w:val="24"/>
          <w:highlight w:val="none"/>
        </w:rPr>
      </w:pPr>
      <w:r>
        <w:rPr>
          <w:rFonts w:ascii="宋体" w:hAnsi="宋体" w:cs="宋体"/>
          <w:color w:val="000000"/>
          <w:sz w:val="24"/>
          <w:highlight w:val="none"/>
        </w:rPr>
      </w:r>
      <w:r/>
    </w:p>
    <w:p>
      <w:pPr>
        <w:pStyle w:val="918"/>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918"/>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日期：___________年______月______日   </w:t>
      </w:r>
      <w:r>
        <w:rPr>
          <w:rFonts w:ascii="宋体" w:hAnsi="宋体"/>
          <w:color w:val="000000"/>
          <w:sz w:val="24"/>
          <w:highlight w:val="none"/>
          <w:lang w:val="zh-CN"/>
        </w:rPr>
      </w:r>
      <w:r/>
    </w:p>
    <w:p>
      <w:pPr>
        <w:pStyle w:val="918"/>
        <w:rPr>
          <w:rFonts w:ascii="宋体" w:hAnsi="宋体"/>
          <w:color w:val="000000"/>
          <w:highlight w:val="none"/>
        </w:rPr>
      </w:pPr>
      <w:r>
        <w:rPr>
          <w:rFonts w:ascii="宋体" w:hAnsi="宋体"/>
          <w:color w:val="000000"/>
          <w:highlight w:val="none"/>
        </w:rPr>
      </w:r>
      <w:r/>
    </w:p>
    <w:p>
      <w:pPr>
        <w:pStyle w:val="918"/>
        <w:rPr>
          <w:rFonts w:ascii="宋体" w:hAnsi="宋体"/>
          <w:color w:val="000000"/>
          <w:highlight w:val="none"/>
        </w:rPr>
      </w:pPr>
      <w:r>
        <w:rPr>
          <w:rFonts w:ascii="宋体" w:hAnsi="宋体"/>
          <w:color w:val="000000"/>
          <w:highlight w:val="none"/>
        </w:rPr>
      </w:r>
      <w:r/>
    </w:p>
    <w:p>
      <w:pPr>
        <w:pStyle w:val="918"/>
        <w:rPr>
          <w:rFonts w:ascii="宋体" w:hAnsi="宋体"/>
          <w:color w:val="000000"/>
          <w:highlight w:val="none"/>
        </w:rPr>
      </w:pPr>
      <w:r>
        <w:rPr>
          <w:rFonts w:ascii="宋体" w:hAnsi="宋体"/>
          <w:color w:val="000000"/>
          <w:highlight w:val="none"/>
        </w:rPr>
      </w:r>
      <w:r/>
    </w:p>
    <w:p>
      <w:pPr>
        <w:pStyle w:val="918"/>
        <w:rPr>
          <w:rFonts w:ascii="宋体" w:hAnsi="宋体"/>
          <w:color w:val="000000"/>
          <w:highlight w:val="none"/>
        </w:rPr>
      </w:pPr>
      <w:r>
        <w:rPr>
          <w:rFonts w:ascii="宋体" w:hAnsi="宋体"/>
          <w:color w:val="000000"/>
          <w:highlight w:val="none"/>
        </w:rPr>
      </w:r>
      <w:r/>
    </w:p>
    <w:p>
      <w:pPr>
        <w:pStyle w:val="918"/>
        <w:rPr>
          <w:rFonts w:ascii="宋体" w:hAnsi="宋体"/>
          <w:color w:val="000000"/>
          <w:highlight w:val="none"/>
        </w:rPr>
      </w:pPr>
      <w:r>
        <w:rPr>
          <w:rFonts w:ascii="宋体" w:hAnsi="宋体"/>
          <w:color w:val="00000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spacing w:line="360" w:lineRule="auto"/>
        <w:rPr>
          <w:rFonts w:hint="eastAsia" w:ascii="宋体" w:hAnsi="宋体"/>
          <w:color w:val="000000"/>
          <w:sz w:val="24"/>
          <w:szCs w:val="20"/>
          <w:highlight w:val="none"/>
        </w:rPr>
        <w:outlineLvl w:val="2"/>
      </w:pPr>
      <w:r>
        <w:rPr>
          <w:rFonts w:hint="eastAsia" w:ascii="宋体" w:hAnsi="宋体"/>
          <w:color w:val="000000"/>
          <w:sz w:val="24"/>
          <w:szCs w:val="20"/>
          <w:highlight w:val="none"/>
        </w:rPr>
      </w:r>
      <w:r/>
    </w:p>
    <w:p>
      <w:pPr>
        <w:pStyle w:val="918"/>
        <w:jc w:val="left"/>
        <w:widowControl/>
        <w:rPr>
          <w:rFonts w:hint="eastAsia"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lang w:val="en-US" w:eastAsia="zh-CN"/>
        </w:rPr>
        <w:t xml:space="preserve">14</w:t>
      </w:r>
      <w:r>
        <w:rPr>
          <w:rFonts w:hint="eastAsia" w:ascii="宋体" w:hAnsi="宋体" w:eastAsia="宋体" w:cs="Times New Roman"/>
          <w:color w:val="000000"/>
          <w:sz w:val="24"/>
          <w:szCs w:val="20"/>
          <w:highlight w:val="none"/>
        </w:rPr>
        <w:t xml:space="preserve">  招标文件要求提供或投标人认为应附的其他材料</w:t>
      </w:r>
      <w:r>
        <w:rPr>
          <w:rFonts w:hint="eastAsia" w:ascii="宋体" w:hAnsi="宋体" w:eastAsia="宋体" w:cs="Times New Roman"/>
          <w:color w:val="000000"/>
          <w:sz w:val="24"/>
          <w:szCs w:val="20"/>
          <w:highlight w:val="none"/>
        </w:rPr>
      </w:r>
      <w:r/>
    </w:p>
    <w:p>
      <w:pPr>
        <w:pStyle w:val="918"/>
        <w:jc w:val="left"/>
        <w:widowControl/>
        <w:rPr>
          <w:rFonts w:ascii="宋体" w:hAnsi="宋体"/>
          <w:b/>
          <w:color w:val="000000"/>
          <w:sz w:val="36"/>
          <w:szCs w:val="36"/>
          <w:highlight w:val="none"/>
        </w:rPr>
      </w:pPr>
      <w:r>
        <w:rPr>
          <w:rFonts w:ascii="宋体" w:hAnsi="宋体"/>
          <w:b/>
          <w:color w:val="000000"/>
          <w:sz w:val="36"/>
          <w:szCs w:val="36"/>
          <w:highlight w:val="none"/>
        </w:rPr>
      </w:r>
      <w:r/>
    </w:p>
    <w:sectPr>
      <w:headerReference w:type="even" r:id="rId14"/>
      <w:headerReference w:type="first" r:id="rId15"/>
      <w:footerReference w:type="even" r:id="rId24"/>
      <w:footerReference w:type="first" r:id="rId25"/>
      <w:footnotePr/>
      <w:endnotePr/>
      <w:type w:val="nextPage"/>
      <w:pgSz w:w="11907" w:h="16840" w:orient="portrait"/>
      <w:pgMar w:top="1418" w:right="1134" w:bottom="1418" w:left="1701" w:header="794"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Segoe UI Symbol">
    <w:panose1 w:val="020B0502040204020203"/>
  </w:font>
  <w:font w:name="CESI黑体-GB2312">
    <w:panose1 w:val="020B0503020202020204"/>
  </w:font>
  <w:font w:name="仿宋">
    <w:panose1 w:val="02010609060101010101"/>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right="360"/>
      <w:tabs>
        <w:tab w:val="center" w:pos="4153" w:leader="none"/>
        <w:tab w:val="right" w:pos="8306" w:leader="none"/>
      </w:tabs>
      <w:rPr>
        <w:rStyle w:val="992"/>
      </w:rPr>
      <w:framePr w:wrap="around" w:vAnchor="text" w:hAnchor="margin" w:y="1"/>
    </w:pPr>
    <w:r>
      <w:rPr>
        <w:rStyle w:val="992"/>
      </w:rPr>
    </w:r>
    <w:r/>
  </w:p>
  <w:p>
    <w:pPr>
      <w:pStyle w:val="966"/>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2"/>
      </w:rPr>
      <w:framePr w:wrap="around" w:vAnchor="text" w:hAnchor="margin" w:xAlign="center" w:y="1"/>
    </w:pPr>
    <w:r>
      <w:fldChar w:fldCharType="begin"/>
    </w:r>
    <w:r>
      <w:rPr>
        <w:rStyle w:val="992"/>
      </w:rPr>
      <w:instrText xml:space="preserve">PAGE  </w:instrText>
    </w:r>
    <w:r>
      <w:fldChar w:fldCharType="end"/>
    </w:r>
    <w:r>
      <w:rPr>
        <w:rStyle w:val="992"/>
      </w:rPr>
    </w:r>
    <w:r/>
  </w:p>
  <w:p>
    <w:pPr>
      <w:pStyle w:val="96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2"/>
      </w:rPr>
      <w:framePr w:wrap="around" w:vAnchor="text" w:hAnchor="margin" w:xAlign="right" w:y="1"/>
    </w:pPr>
    <w:r>
      <w:rPr>
        <w:rStyle w:val="992"/>
      </w:rPr>
    </w:r>
    <w:r/>
  </w:p>
  <w:p>
    <w:pPr>
      <w:pStyle w:val="966"/>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9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91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636" w:leader="none"/>
        <w:tab w:val="right" w:pos="8306" w:leader="none"/>
      </w:tabs>
      <w:rPr>
        <w:rStyle w:val="99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18"/>
                    </w:pPr>
                    <w:r/>
                    <w:r/>
                  </w:p>
                </w:txbxContent>
              </v:textbox>
            </v:shape>
          </w:pict>
        </mc:Fallback>
      </mc:AlternateContent>
    </w:r>
    <w:r>
      <w:rPr>
        <w:rStyle w:val="992"/>
        <w:rFonts w:hint="eastAsia"/>
      </w:rPr>
      <w:tab/>
    </w:r>
    <w:r>
      <w:rPr>
        <w:rStyle w:val="992"/>
      </w:rPr>
    </w:r>
    <w:r/>
  </w:p>
  <w:p>
    <w:pPr>
      <w:pStyle w:val="966"/>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2"/>
      </w:rPr>
      <w:framePr w:wrap="around" w:vAnchor="text" w:hAnchor="margin" w:xAlign="right" w:y="1"/>
    </w:pPr>
    <w:r>
      <w:rPr>
        <w:rStyle w:val="992"/>
      </w:rPr>
      <w:fldChar w:fldCharType="begin"/>
    </w:r>
    <w:r>
      <w:rPr>
        <w:rStyle w:val="992"/>
      </w:rPr>
      <w:instrText xml:space="preserve">PAGE  </w:instrText>
    </w:r>
    <w:r>
      <w:rPr>
        <w:rStyle w:val="992"/>
      </w:rPr>
      <w:fldChar w:fldCharType="end"/>
    </w:r>
    <w:r>
      <w:rPr>
        <w:rStyle w:val="992"/>
      </w:rPr>
    </w:r>
    <w:r/>
  </w:p>
  <w:p>
    <w:pPr>
      <w:pStyle w:val="966"/>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rPr>
        <w:rStyle w:val="992"/>
      </w:rPr>
      <w:framePr w:wrap="around" w:vAnchor="text" w:hAnchor="margin" w:xAlign="right" w:y="1"/>
    </w:pPr>
    <w:r>
      <w:rPr>
        <w:rStyle w:val="992"/>
      </w:rPr>
      <w:fldChar w:fldCharType="begin"/>
    </w:r>
    <w:r>
      <w:rPr>
        <w:rStyle w:val="992"/>
      </w:rPr>
      <w:instrText xml:space="preserve">PAGE  </w:instrText>
    </w:r>
    <w:r>
      <w:rPr>
        <w:rStyle w:val="992"/>
      </w:rPr>
      <w:fldChar w:fldCharType="end"/>
    </w:r>
    <w:r>
      <w:rPr>
        <w:rStyle w:val="992"/>
      </w:rPr>
    </w:r>
    <w:r/>
  </w:p>
  <w:p>
    <w:pPr>
      <w:pStyle w:val="966"/>
      <w:ind w:right="360"/>
      <w:tabs>
        <w:tab w:val="center" w:pos="4153" w:leader="none"/>
        <w:tab w:val="right" w:pos="8306" w:leader="none"/>
      </w:tabs>
    </w:pPr>
    <w:r/>
    <w:r/>
  </w:p>
  <w:p>
    <w:pPr>
      <w:pStyle w:val="91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w:r/>
  </w:p>
  <w:p>
    <w:pPr>
      <w:pStyle w:val="918"/>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space"/>
      <w:lvlText w:val="%1"/>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pStyle w:val="9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918"/>
        <w:ind w:left="4941" w:hanging="1140"/>
        <w:tabs>
          <w:tab w:val="num" w:pos="4941" w:leader="none"/>
        </w:tabs>
      </w:pPr>
      <w:rPr>
        <w:rFonts w:hint="eastAsia"/>
      </w:rPr>
    </w:lvl>
    <w:lvl w:ilvl="1">
      <w:start w:val="1"/>
      <w:numFmt w:val="lowerLetter"/>
      <w:isLgl w:val="false"/>
      <w:suff w:val="tab"/>
      <w:lvlText w:val="%2)"/>
      <w:lvlJc w:val="left"/>
      <w:pPr>
        <w:pStyle w:val="918"/>
        <w:ind w:left="4641" w:hanging="420"/>
        <w:tabs>
          <w:tab w:val="num" w:pos="4641" w:leader="none"/>
        </w:tabs>
      </w:pPr>
    </w:lvl>
    <w:lvl w:ilvl="2">
      <w:start w:val="1"/>
      <w:numFmt w:val="lowerRoman"/>
      <w:isLgl w:val="false"/>
      <w:suff w:val="tab"/>
      <w:lvlText w:val="%3."/>
      <w:lvlJc w:val="right"/>
      <w:pPr>
        <w:pStyle w:val="918"/>
        <w:ind w:left="5061" w:hanging="420"/>
        <w:tabs>
          <w:tab w:val="num" w:pos="5061" w:leader="none"/>
        </w:tabs>
      </w:pPr>
    </w:lvl>
    <w:lvl w:ilvl="3">
      <w:start w:val="1"/>
      <w:numFmt w:val="decimal"/>
      <w:isLgl w:val="false"/>
      <w:suff w:val="tab"/>
      <w:lvlText w:val="%4."/>
      <w:lvlJc w:val="left"/>
      <w:pPr>
        <w:pStyle w:val="918"/>
        <w:ind w:left="5481" w:hanging="420"/>
        <w:tabs>
          <w:tab w:val="num" w:pos="5481" w:leader="none"/>
        </w:tabs>
      </w:pPr>
    </w:lvl>
    <w:lvl w:ilvl="4">
      <w:start w:val="1"/>
      <w:numFmt w:val="lowerLetter"/>
      <w:isLgl w:val="false"/>
      <w:suff w:val="tab"/>
      <w:lvlText w:val="%5)"/>
      <w:lvlJc w:val="left"/>
      <w:pPr>
        <w:pStyle w:val="918"/>
        <w:ind w:left="5901" w:hanging="420"/>
        <w:tabs>
          <w:tab w:val="num" w:pos="5901" w:leader="none"/>
        </w:tabs>
      </w:pPr>
    </w:lvl>
    <w:lvl w:ilvl="5">
      <w:start w:val="1"/>
      <w:numFmt w:val="lowerRoman"/>
      <w:isLgl w:val="false"/>
      <w:suff w:val="tab"/>
      <w:lvlText w:val="%6."/>
      <w:lvlJc w:val="right"/>
      <w:pPr>
        <w:pStyle w:val="918"/>
        <w:ind w:left="6321" w:hanging="420"/>
        <w:tabs>
          <w:tab w:val="num" w:pos="6321" w:leader="none"/>
        </w:tabs>
      </w:pPr>
    </w:lvl>
    <w:lvl w:ilvl="6">
      <w:start w:val="1"/>
      <w:numFmt w:val="decimal"/>
      <w:isLgl w:val="false"/>
      <w:suff w:val="tab"/>
      <w:lvlText w:val="%7."/>
      <w:lvlJc w:val="left"/>
      <w:pPr>
        <w:pStyle w:val="918"/>
        <w:ind w:left="6741" w:hanging="420"/>
        <w:tabs>
          <w:tab w:val="num" w:pos="6741" w:leader="none"/>
        </w:tabs>
      </w:pPr>
    </w:lvl>
    <w:lvl w:ilvl="7">
      <w:start w:val="1"/>
      <w:numFmt w:val="lowerLetter"/>
      <w:isLgl w:val="false"/>
      <w:suff w:val="tab"/>
      <w:lvlText w:val="%8)"/>
      <w:lvlJc w:val="left"/>
      <w:pPr>
        <w:pStyle w:val="918"/>
        <w:ind w:left="7161" w:hanging="420"/>
        <w:tabs>
          <w:tab w:val="num" w:pos="7161" w:leader="none"/>
        </w:tabs>
      </w:pPr>
    </w:lvl>
    <w:lvl w:ilvl="8">
      <w:start w:val="1"/>
      <w:numFmt w:val="lowerRoman"/>
      <w:isLgl w:val="false"/>
      <w:suff w:val="tab"/>
      <w:lvlText w:val="%9."/>
      <w:lvlJc w:val="right"/>
      <w:pPr>
        <w:pStyle w:val="918"/>
        <w:ind w:left="7581" w:hanging="420"/>
        <w:tabs>
          <w:tab w:val="num" w:pos="7581" w:leader="none"/>
        </w:tabs>
      </w:pPr>
    </w:lvl>
  </w:abstractNum>
  <w:abstractNum w:abstractNumId="7">
    <w:multiLevelType w:val="hybridMultilevel"/>
    <w:lvl w:ilvl="0">
      <w:start w:val="1"/>
      <w:numFmt w:val="decimal"/>
      <w:pStyle w:val="1028"/>
      <w:isLgl w:val="false"/>
      <w:suff w:val="tab"/>
      <w:lvlText w:val="%1."/>
      <w:lvlJc w:val="left"/>
      <w:pPr>
        <w:pStyle w:val="918"/>
        <w:ind w:left="420" w:hanging="420"/>
      </w:pPr>
    </w:lvl>
    <w:lvl w:ilvl="1">
      <w:start w:val="1"/>
      <w:numFmt w:val="decimal"/>
      <w:isLgl w:val="false"/>
      <w:suff w:val="tab"/>
      <w:lvlText w:val="（%2）"/>
      <w:lvlJc w:val="left"/>
      <w:pPr>
        <w:pStyle w:val="918"/>
        <w:ind w:left="1140" w:hanging="720"/>
        <w:tabs>
          <w:tab w:val="num" w:pos="1140" w:leader="none"/>
        </w:tabs>
      </w:pPr>
      <w:rPr>
        <w:rFonts w:hint="eastAsia"/>
      </w:r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8">
    <w:multiLevelType w:val="hybridMultilevel"/>
    <w:lvl w:ilvl="0">
      <w:start w:val="1"/>
      <w:numFmt w:val="lowerLetter"/>
      <w:pStyle w:val="1103"/>
      <w:isLgl w:val="false"/>
      <w:suff w:val="tab"/>
      <w:lvlText w:val="%1)"/>
      <w:lvlJc w:val="left"/>
      <w:pPr>
        <w:pStyle w:val="918"/>
        <w:ind w:left="902" w:hanging="420"/>
      </w:pPr>
      <w:rPr>
        <w:color w:val="000000"/>
      </w:rPr>
    </w:lvl>
    <w:lvl w:ilvl="1">
      <w:start w:val="1"/>
      <w:numFmt w:val="lowerLetter"/>
      <w:isLgl w:val="false"/>
      <w:suff w:val="tab"/>
      <w:lvlText w:val="%2)"/>
      <w:lvlJc w:val="left"/>
      <w:pPr>
        <w:pStyle w:val="918"/>
        <w:ind w:left="1322" w:hanging="420"/>
      </w:pPr>
    </w:lvl>
    <w:lvl w:ilvl="2">
      <w:start w:val="1"/>
      <w:numFmt w:val="lowerRoman"/>
      <w:isLgl w:val="false"/>
      <w:suff w:val="tab"/>
      <w:lvlText w:val="%3."/>
      <w:lvlJc w:val="right"/>
      <w:pPr>
        <w:pStyle w:val="918"/>
        <w:ind w:left="1742" w:hanging="420"/>
      </w:pPr>
    </w:lvl>
    <w:lvl w:ilvl="3">
      <w:start w:val="1"/>
      <w:numFmt w:val="decimal"/>
      <w:isLgl w:val="false"/>
      <w:suff w:val="tab"/>
      <w:lvlText w:val="%4."/>
      <w:lvlJc w:val="left"/>
      <w:pPr>
        <w:pStyle w:val="918"/>
        <w:ind w:left="2162" w:hanging="420"/>
      </w:pPr>
    </w:lvl>
    <w:lvl w:ilvl="4">
      <w:start w:val="1"/>
      <w:numFmt w:val="lowerLetter"/>
      <w:isLgl w:val="false"/>
      <w:suff w:val="tab"/>
      <w:lvlText w:val="%5)"/>
      <w:lvlJc w:val="left"/>
      <w:pPr>
        <w:pStyle w:val="918"/>
        <w:ind w:left="2582" w:hanging="420"/>
      </w:pPr>
    </w:lvl>
    <w:lvl w:ilvl="5">
      <w:start w:val="1"/>
      <w:numFmt w:val="lowerRoman"/>
      <w:isLgl w:val="false"/>
      <w:suff w:val="tab"/>
      <w:lvlText w:val="%6."/>
      <w:lvlJc w:val="right"/>
      <w:pPr>
        <w:pStyle w:val="918"/>
        <w:ind w:left="3002" w:hanging="420"/>
      </w:pPr>
    </w:lvl>
    <w:lvl w:ilvl="6">
      <w:start w:val="1"/>
      <w:numFmt w:val="decimal"/>
      <w:isLgl w:val="false"/>
      <w:suff w:val="tab"/>
      <w:lvlText w:val="%7."/>
      <w:lvlJc w:val="left"/>
      <w:pPr>
        <w:pStyle w:val="918"/>
        <w:ind w:left="3422" w:hanging="420"/>
      </w:pPr>
    </w:lvl>
    <w:lvl w:ilvl="7">
      <w:start w:val="1"/>
      <w:numFmt w:val="lowerLetter"/>
      <w:isLgl w:val="false"/>
      <w:suff w:val="tab"/>
      <w:lvlText w:val="%8)"/>
      <w:lvlJc w:val="left"/>
      <w:pPr>
        <w:pStyle w:val="918"/>
        <w:ind w:left="3842" w:hanging="420"/>
      </w:pPr>
    </w:lvl>
    <w:lvl w:ilvl="8">
      <w:start w:val="1"/>
      <w:numFmt w:val="lowerRoman"/>
      <w:isLgl w:val="false"/>
      <w:suff w:val="tab"/>
      <w:lvlText w:val="%9."/>
      <w:lvlJc w:val="right"/>
      <w:pPr>
        <w:pStyle w:val="918"/>
        <w:ind w:left="4262" w:hanging="420"/>
      </w:pPr>
    </w:lvl>
  </w:abstractNum>
  <w:abstractNum w:abstractNumId="9">
    <w:multiLevelType w:val="hybridMultilevel"/>
    <w:lvl w:ilvl="0">
      <w:start w:val="1"/>
      <w:numFmt w:val="decimal"/>
      <w:pStyle w:val="1073"/>
      <w:isLgl w:val="false"/>
      <w:suff w:val="tab"/>
      <w:lvlText w:val="%1."/>
      <w:lvlJc w:val="left"/>
      <w:pPr>
        <w:pStyle w:val="91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22"/>
      <w:isLgl w:val="false"/>
      <w:suff w:val="nothing"/>
      <w:lvlText w:val="%1　"/>
      <w:lvlJc w:val="left"/>
      <w:pPr>
        <w:pStyle w:val="91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8"/>
        <w:ind w:left="-25" w:firstLine="0"/>
      </w:pPr>
      <w:rPr>
        <w:rFonts w:ascii="Times New Roman" w:hAnsi="Times New Roman" w:eastAsia="黑体"/>
        <w:b/>
        <w:i w:val="0"/>
        <w:sz w:val="28"/>
      </w:rPr>
    </w:lvl>
    <w:lvl w:ilvl="3">
      <w:start w:val="1"/>
      <w:numFmt w:val="decimal"/>
      <w:pStyle w:val="1058"/>
      <w:isLgl w:val="false"/>
      <w:suff w:val="nothing"/>
      <w:lvlText w:val="%1.%2.%3.%4　"/>
      <w:lvlJc w:val="left"/>
      <w:pPr>
        <w:pStyle w:val="91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8"/>
        <w:ind w:left="-25" w:firstLine="0"/>
      </w:pPr>
      <w:rPr>
        <w:rFonts w:ascii="Times New Roman" w:hAnsi="Times New Roman" w:eastAsia="宋体"/>
        <w:b/>
        <w:i w:val="0"/>
        <w:sz w:val="28"/>
      </w:rPr>
    </w:lvl>
    <w:lvl w:ilvl="6">
      <w:start w:val="1"/>
      <w:numFmt w:val="lowerLetter"/>
      <w:pStyle w:val="1079"/>
      <w:isLgl w:val="false"/>
      <w:suff w:val="tab"/>
      <w:lvlText w:val="%7) "/>
      <w:lvlJc w:val="left"/>
      <w:pPr>
        <w:pStyle w:val="918"/>
        <w:ind w:left="-125" w:firstLine="400"/>
        <w:tabs>
          <w:tab w:val="num" w:pos="635" w:leader="none"/>
        </w:tabs>
      </w:pPr>
      <w:rPr>
        <w:rFonts w:ascii="Times New Roman" w:hAnsi="Times New Roman" w:eastAsia="宋体"/>
        <w:b/>
        <w:i w:val="0"/>
        <w:color w:val="000000"/>
        <w:sz w:val="28"/>
        <w:u w:val="none"/>
      </w:rPr>
    </w:lvl>
    <w:lvl w:ilvl="7">
      <w:start w:val="1"/>
      <w:numFmt w:val="decimal"/>
      <w:pStyle w:val="1042"/>
      <w:isLgl w:val="false"/>
      <w:suff w:val="tab"/>
      <w:lvlText w:val="%8) "/>
      <w:lvlJc w:val="left"/>
      <w:pPr>
        <w:pStyle w:val="91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18"/>
        <w:ind w:left="500" w:firstLine="0"/>
        <w:tabs>
          <w:tab w:val="num" w:pos="860" w:leader="none"/>
        </w:tabs>
      </w:pPr>
      <w:rPr>
        <w:rFonts w:hint="eastAsia" w:ascii="宋体" w:eastAsia="宋体"/>
        <w:b w:val="0"/>
        <w:i w:val="0"/>
        <w:color w:val="000000"/>
        <w:sz w:val="28"/>
        <w:u w:val="none"/>
      </w:rPr>
    </w:lvl>
  </w:abstractNum>
  <w:abstractNum w:abstractNumId="11">
    <w:multiLevelType w:val="hybridMultilevel"/>
    <w:lvl w:ilvl="0">
      <w:start w:val="1"/>
      <w:numFmt w:val="decimal"/>
      <w:isLgl w:val="false"/>
      <w:suff w:val="tab"/>
      <w:lvlText w:val="%1．"/>
      <w:lvlJc w:val="left"/>
      <w:pPr>
        <w:pStyle w:val="918"/>
        <w:ind w:left="768" w:hanging="360"/>
        <w:tabs>
          <w:tab w:val="num" w:pos="768" w:leader="none"/>
        </w:tabs>
      </w:pPr>
      <w:rPr>
        <w:rFonts w:hint="eastAsia"/>
      </w:rPr>
    </w:lvl>
    <w:lvl w:ilvl="1">
      <w:start w:val="1"/>
      <w:numFmt w:val="decimal"/>
      <w:pStyle w:val="1060"/>
      <w:isLgl w:val="false"/>
      <w:suff w:val="tab"/>
      <w:lvlText w:val="%2、"/>
      <w:lvlJc w:val="left"/>
      <w:pPr>
        <w:pStyle w:val="918"/>
        <w:ind w:left="1188" w:hanging="360"/>
        <w:tabs>
          <w:tab w:val="num" w:pos="1188" w:leader="none"/>
        </w:tabs>
      </w:pPr>
      <w:rPr>
        <w:rFonts w:hint="eastAsia"/>
      </w:rPr>
    </w:lvl>
    <w:lvl w:ilvl="2">
      <w:start w:val="1"/>
      <w:numFmt w:val="decimal"/>
      <w:isLgl w:val="false"/>
      <w:suff w:val="tab"/>
      <w:lvlText w:val="（%3）"/>
      <w:lvlJc w:val="left"/>
      <w:pPr>
        <w:pStyle w:val="918"/>
        <w:ind w:left="1968" w:hanging="720"/>
        <w:tabs>
          <w:tab w:val="num" w:pos="1968" w:leader="none"/>
        </w:tabs>
      </w:pPr>
      <w:rPr>
        <w:rFonts w:hint="eastAsia"/>
        <w:u w:val="none"/>
      </w:rPr>
    </w:lvl>
    <w:lvl w:ilvl="3">
      <w:start w:val="1"/>
      <w:numFmt w:val="decimal"/>
      <w:isLgl w:val="false"/>
      <w:suff w:val="tab"/>
      <w:lvlText w:val="%4."/>
      <w:lvlJc w:val="left"/>
      <w:pPr>
        <w:pStyle w:val="918"/>
        <w:ind w:left="2088" w:hanging="420"/>
        <w:tabs>
          <w:tab w:val="num" w:pos="2088" w:leader="none"/>
        </w:tabs>
      </w:pPr>
    </w:lvl>
    <w:lvl w:ilvl="4">
      <w:start w:val="1"/>
      <w:numFmt w:val="lowerLetter"/>
      <w:isLgl w:val="false"/>
      <w:suff w:val="tab"/>
      <w:lvlText w:val="%5)"/>
      <w:lvlJc w:val="left"/>
      <w:pPr>
        <w:pStyle w:val="918"/>
        <w:ind w:left="2508" w:hanging="420"/>
        <w:tabs>
          <w:tab w:val="num" w:pos="2508" w:leader="none"/>
        </w:tabs>
      </w:pPr>
    </w:lvl>
    <w:lvl w:ilvl="5">
      <w:start w:val="1"/>
      <w:numFmt w:val="lowerRoman"/>
      <w:isLgl w:val="false"/>
      <w:suff w:val="tab"/>
      <w:lvlText w:val="%6."/>
      <w:lvlJc w:val="right"/>
      <w:pPr>
        <w:pStyle w:val="918"/>
        <w:ind w:left="2928" w:hanging="420"/>
        <w:tabs>
          <w:tab w:val="num" w:pos="2928" w:leader="none"/>
        </w:tabs>
      </w:pPr>
    </w:lvl>
    <w:lvl w:ilvl="6">
      <w:start w:val="1"/>
      <w:numFmt w:val="decimal"/>
      <w:isLgl w:val="false"/>
      <w:suff w:val="tab"/>
      <w:lvlText w:val="%7."/>
      <w:lvlJc w:val="left"/>
      <w:pPr>
        <w:pStyle w:val="918"/>
        <w:ind w:left="3348" w:hanging="420"/>
        <w:tabs>
          <w:tab w:val="num" w:pos="3348" w:leader="none"/>
        </w:tabs>
      </w:pPr>
    </w:lvl>
    <w:lvl w:ilvl="7">
      <w:start w:val="1"/>
      <w:numFmt w:val="lowerLetter"/>
      <w:isLgl w:val="false"/>
      <w:suff w:val="tab"/>
      <w:lvlText w:val="%8)"/>
      <w:lvlJc w:val="left"/>
      <w:pPr>
        <w:pStyle w:val="918"/>
        <w:ind w:left="3768" w:hanging="420"/>
        <w:tabs>
          <w:tab w:val="num" w:pos="3768" w:leader="none"/>
        </w:tabs>
      </w:pPr>
    </w:lvl>
    <w:lvl w:ilvl="8">
      <w:start w:val="1"/>
      <w:numFmt w:val="lowerRoman"/>
      <w:isLgl w:val="false"/>
      <w:suff w:val="tab"/>
      <w:lvlText w:val="%9."/>
      <w:lvlJc w:val="right"/>
      <w:pPr>
        <w:pStyle w:val="918"/>
        <w:ind w:left="4188" w:hanging="420"/>
        <w:tabs>
          <w:tab w:val="num" w:pos="4188" w:leader="none"/>
        </w:tabs>
      </w:pPr>
    </w:lvl>
  </w:abstractNum>
  <w:abstractNum w:abstractNumId="12">
    <w:multiLevelType w:val="hybridMultilevel"/>
    <w:lvl w:ilvl="0">
      <w:start w:val="1"/>
      <w:numFmt w:val="decimal"/>
      <w:isLgl w:val="false"/>
      <w:suff w:val="tab"/>
      <w:lvlText w:val="%1"/>
      <w:lvlJc w:val="left"/>
      <w:pPr>
        <w:pStyle w:val="918"/>
        <w:ind w:left="900" w:hanging="900"/>
        <w:tabs>
          <w:tab w:val="num" w:pos="900" w:leader="none"/>
        </w:tabs>
      </w:pPr>
      <w:rPr>
        <w:rFonts w:hint="eastAsia"/>
      </w:rPr>
    </w:lvl>
    <w:lvl w:ilvl="1">
      <w:start w:val="1"/>
      <w:numFmt w:val="decimal"/>
      <w:isLgl w:val="false"/>
      <w:suff w:val="tab"/>
      <w:lvlText w:val="%1.%2"/>
      <w:lvlJc w:val="left"/>
      <w:pPr>
        <w:pStyle w:val="9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8"/>
        <w:ind w:left="1980" w:hanging="900"/>
        <w:tabs>
          <w:tab w:val="num" w:pos="1980" w:leader="none"/>
        </w:tabs>
      </w:pPr>
      <w:rPr>
        <w:rFonts w:hint="eastAsia"/>
      </w:rPr>
    </w:lvl>
    <w:lvl w:ilvl="3">
      <w:start w:val="1"/>
      <w:numFmt w:val="decimal"/>
      <w:isLgl w:val="false"/>
      <w:suff w:val="tab"/>
      <w:lvlText w:val="%1.%2.%3.%4"/>
      <w:lvlJc w:val="left"/>
      <w:pPr>
        <w:pStyle w:val="918"/>
        <w:ind w:left="900" w:hanging="900"/>
        <w:tabs>
          <w:tab w:val="num" w:pos="900" w:leader="none"/>
        </w:tabs>
      </w:pPr>
      <w:rPr>
        <w:rFonts w:hint="eastAsia"/>
      </w:rPr>
    </w:lvl>
    <w:lvl w:ilvl="4">
      <w:start w:val="1"/>
      <w:numFmt w:val="decimal"/>
      <w:isLgl w:val="false"/>
      <w:suff w:val="tab"/>
      <w:lvlText w:val="%1.%2.%3.%4.%5"/>
      <w:lvlJc w:val="left"/>
      <w:pPr>
        <w:pStyle w:val="918"/>
        <w:ind w:left="900" w:hanging="900"/>
        <w:tabs>
          <w:tab w:val="num" w:pos="900" w:leader="none"/>
        </w:tabs>
      </w:pPr>
      <w:rPr>
        <w:rFonts w:hint="eastAsia"/>
      </w:rPr>
    </w:lvl>
    <w:lvl w:ilvl="5">
      <w:start w:val="1"/>
      <w:numFmt w:val="decimal"/>
      <w:isLgl w:val="false"/>
      <w:suff w:val="tab"/>
      <w:lvlText w:val="%1.%2.%3.%4.%5.%6"/>
      <w:lvlJc w:val="left"/>
      <w:pPr>
        <w:pStyle w:val="918"/>
        <w:ind w:left="900" w:hanging="900"/>
        <w:tabs>
          <w:tab w:val="num" w:pos="900" w:leader="none"/>
        </w:tabs>
      </w:pPr>
      <w:rPr>
        <w:rFonts w:hint="eastAsia"/>
      </w:rPr>
    </w:lvl>
    <w:lvl w:ilvl="6">
      <w:start w:val="1"/>
      <w:numFmt w:val="decimal"/>
      <w:isLgl w:val="false"/>
      <w:suff w:val="tab"/>
      <w:lvlText w:val="%1.%2.%3.%4.%5.%6.%7"/>
      <w:lvlJc w:val="left"/>
      <w:pPr>
        <w:pStyle w:val="918"/>
        <w:ind w:left="900" w:hanging="900"/>
        <w:tabs>
          <w:tab w:val="num" w:pos="900" w:leader="none"/>
        </w:tabs>
      </w:pPr>
      <w:rPr>
        <w:rFonts w:hint="eastAsia"/>
      </w:rPr>
    </w:lvl>
    <w:lvl w:ilvl="7">
      <w:start w:val="1"/>
      <w:numFmt w:val="decimal"/>
      <w:isLgl w:val="false"/>
      <w:suff w:val="tab"/>
      <w:lvlText w:val="%1.%2.%3.%4.%5.%6.%7.%8"/>
      <w:lvlJc w:val="left"/>
      <w:pPr>
        <w:pStyle w:val="918"/>
        <w:ind w:left="900" w:hanging="900"/>
        <w:tabs>
          <w:tab w:val="num" w:pos="900" w:leader="none"/>
        </w:tabs>
      </w:pPr>
      <w:rPr>
        <w:rFonts w:hint="eastAsia"/>
      </w:rPr>
    </w:lvl>
    <w:lvl w:ilvl="8">
      <w:start w:val="1"/>
      <w:numFmt w:val="decimal"/>
      <w:isLgl w:val="false"/>
      <w:suff w:val="tab"/>
      <w:lvlText w:val="%1.%2.%3.%4.%5.%6.%7.%8.%9"/>
      <w:lvlJc w:val="left"/>
      <w:pPr>
        <w:pStyle w:val="918"/>
        <w:ind w:left="900" w:hanging="900"/>
        <w:tabs>
          <w:tab w:val="num" w:pos="900" w:leader="none"/>
        </w:tabs>
      </w:pPr>
      <w:rPr>
        <w:rFonts w:hint="eastAsia"/>
      </w:rPr>
    </w:lvl>
  </w:abstractNum>
  <w:abstractNum w:abstractNumId="13">
    <w:multiLevelType w:val="hybridMultilevel"/>
    <w:lvl w:ilvl="0">
      <w:start w:val="1"/>
      <w:numFmt w:val="decimal"/>
      <w:pStyle w:val="1027"/>
      <w:isLgl w:val="false"/>
      <w:suff w:val="tab"/>
      <w:lvlText w:val="%1)"/>
      <w:lvlJc w:val="left"/>
      <w:pPr>
        <w:pStyle w:val="918"/>
        <w:ind w:left="420" w:hanging="420"/>
      </w:p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14">
    <w:multiLevelType w:val="hybridMultilevel"/>
    <w:lvl w:ilvl="0">
      <w:start w:val="1"/>
      <w:numFmt w:val="decimal"/>
      <w:isLgl w:val="false"/>
      <w:suff w:val="tab"/>
      <w:lvlText w:val="%1."/>
      <w:lvlJc w:val="left"/>
      <w:pPr>
        <w:pStyle w:val="918"/>
        <w:ind w:left="420" w:hanging="420"/>
      </w:p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15">
    <w:multiLevelType w:val="hybridMultilevel"/>
    <w:lvl w:ilvl="0">
      <w:start w:val="1"/>
      <w:numFmt w:val="decimal"/>
      <w:pStyle w:val="1128"/>
      <w:isLgl w:val="false"/>
      <w:suff w:val="tab"/>
      <w:lvlText w:val="%1"/>
      <w:lvlJc w:val="left"/>
      <w:pPr>
        <w:pStyle w:val="918"/>
        <w:ind w:left="680" w:hanging="680"/>
      </w:pPr>
      <w:rPr>
        <w:rFonts w:hint="eastAsia" w:ascii="宋体" w:hAnsi="宋体" w:eastAsia="宋体"/>
      </w:rPr>
    </w:lvl>
    <w:lvl w:ilvl="1">
      <w:start w:val="1"/>
      <w:numFmt w:val="decimal"/>
      <w:pStyle w:val="1129"/>
      <w:isLgl w:val="false"/>
      <w:suff w:val="tab"/>
      <w:lvlText w:val="%1.%2"/>
      <w:lvlJc w:val="left"/>
      <w:pPr>
        <w:pStyle w:val="918"/>
        <w:ind w:left="851" w:hanging="851"/>
      </w:pPr>
      <w:rPr>
        <w:rFonts w:hint="eastAsia" w:ascii="宋体" w:hAnsi="宋体" w:eastAsia="宋体"/>
        <w:color w:val="000000"/>
      </w:rPr>
    </w:lvl>
    <w:lvl w:ilvl="2">
      <w:start w:val="1"/>
      <w:numFmt w:val="decimal"/>
      <w:pStyle w:val="1130"/>
      <w:isLgl w:val="false"/>
      <w:suff w:val="tab"/>
      <w:lvlText w:val="%1.%2.%3"/>
      <w:lvlJc w:val="left"/>
      <w:pPr>
        <w:pStyle w:val="918"/>
        <w:ind w:left="851" w:hanging="851"/>
      </w:pPr>
      <w:rPr>
        <w:rFonts w:hint="eastAsia"/>
      </w:rPr>
    </w:lvl>
    <w:lvl w:ilvl="3">
      <w:start w:val="1"/>
      <w:numFmt w:val="decimal"/>
      <w:isLgl w:val="false"/>
      <w:suff w:val="tab"/>
      <w:lvlText w:val="%1.%2.%3.%4"/>
      <w:lvlJc w:val="left"/>
      <w:pPr>
        <w:pStyle w:val="918"/>
        <w:ind w:left="680" w:hanging="680"/>
      </w:pPr>
      <w:rPr>
        <w:rFonts w:hint="eastAsia"/>
      </w:rPr>
    </w:lvl>
    <w:lvl w:ilvl="4">
      <w:start w:val="1"/>
      <w:numFmt w:val="decimal"/>
      <w:isLgl w:val="false"/>
      <w:suff w:val="tab"/>
      <w:lvlText w:val="%1.%2.%3.%4.%5"/>
      <w:lvlJc w:val="left"/>
      <w:pPr>
        <w:pStyle w:val="918"/>
        <w:ind w:left="680" w:hanging="680"/>
      </w:pPr>
      <w:rPr>
        <w:rFonts w:hint="eastAsia"/>
      </w:rPr>
    </w:lvl>
    <w:lvl w:ilvl="5">
      <w:start w:val="1"/>
      <w:numFmt w:val="decimal"/>
      <w:isLgl w:val="false"/>
      <w:suff w:val="tab"/>
      <w:lvlText w:val="%1.%2.%3.%4.%5.%6"/>
      <w:lvlJc w:val="left"/>
      <w:pPr>
        <w:pStyle w:val="918"/>
        <w:ind w:left="680" w:hanging="680"/>
      </w:pPr>
      <w:rPr>
        <w:rFonts w:hint="eastAsia"/>
      </w:rPr>
    </w:lvl>
    <w:lvl w:ilvl="6">
      <w:start w:val="1"/>
      <w:numFmt w:val="decimal"/>
      <w:isLgl w:val="false"/>
      <w:suff w:val="tab"/>
      <w:lvlText w:val="%1.%2.%3.%4.%5.%6.%7"/>
      <w:lvlJc w:val="left"/>
      <w:pPr>
        <w:pStyle w:val="918"/>
        <w:ind w:left="680" w:hanging="680"/>
      </w:pPr>
      <w:rPr>
        <w:rFonts w:hint="eastAsia"/>
      </w:rPr>
    </w:lvl>
    <w:lvl w:ilvl="7">
      <w:start w:val="1"/>
      <w:numFmt w:val="decimal"/>
      <w:isLgl w:val="false"/>
      <w:suff w:val="tab"/>
      <w:lvlText w:val="%1.%2.%3.%4.%5.%6.%7.%8"/>
      <w:lvlJc w:val="left"/>
      <w:pPr>
        <w:pStyle w:val="918"/>
        <w:ind w:left="680" w:hanging="680"/>
      </w:pPr>
      <w:rPr>
        <w:rFonts w:hint="eastAsia"/>
      </w:rPr>
    </w:lvl>
    <w:lvl w:ilvl="8">
      <w:start w:val="1"/>
      <w:numFmt w:val="decimal"/>
      <w:isLgl w:val="false"/>
      <w:suff w:val="tab"/>
      <w:lvlText w:val="%1.%2.%3.%4.%5.%6.%7.%8.%9"/>
      <w:lvlJc w:val="left"/>
      <w:pPr>
        <w:pStyle w:val="918"/>
        <w:ind w:left="680" w:hanging="680"/>
      </w:pPr>
      <w:rPr>
        <w:rFonts w:hint="eastAsia"/>
      </w:rPr>
    </w:lvl>
  </w:abstractNum>
  <w:abstractNum w:abstractNumId="16">
    <w:multiLevelType w:val="hybridMultilevel"/>
    <w:lvl w:ilvl="0">
      <w:start w:val="1"/>
      <w:numFmt w:val="decimal"/>
      <w:isLgl w:val="false"/>
      <w:suff w:val="tab"/>
      <w:lvlText w:val="%1"/>
      <w:lvlJc w:val="left"/>
      <w:pPr>
        <w:pStyle w:val="918"/>
        <w:ind w:left="900" w:hanging="900"/>
        <w:tabs>
          <w:tab w:val="num" w:pos="900" w:leader="none"/>
        </w:tabs>
      </w:pPr>
      <w:rPr>
        <w:rFonts w:hint="eastAsia"/>
      </w:rPr>
    </w:lvl>
    <w:lvl w:ilvl="1">
      <w:start w:val="1"/>
      <w:numFmt w:val="decimal"/>
      <w:isLgl w:val="false"/>
      <w:suff w:val="tab"/>
      <w:lvlText w:val="%1.%2"/>
      <w:lvlJc w:val="left"/>
      <w:pPr>
        <w:pStyle w:val="9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8"/>
        <w:ind w:left="1980" w:hanging="900"/>
        <w:tabs>
          <w:tab w:val="num" w:pos="1980" w:leader="none"/>
        </w:tabs>
      </w:pPr>
      <w:rPr>
        <w:rFonts w:hint="eastAsia"/>
      </w:rPr>
    </w:lvl>
    <w:lvl w:ilvl="3">
      <w:start w:val="1"/>
      <w:numFmt w:val="decimal"/>
      <w:isLgl w:val="false"/>
      <w:suff w:val="tab"/>
      <w:lvlText w:val="%1.%2.%3.%4"/>
      <w:lvlJc w:val="left"/>
      <w:pPr>
        <w:pStyle w:val="918"/>
        <w:ind w:left="900" w:hanging="900"/>
        <w:tabs>
          <w:tab w:val="num" w:pos="900" w:leader="none"/>
        </w:tabs>
      </w:pPr>
      <w:rPr>
        <w:rFonts w:hint="eastAsia"/>
      </w:rPr>
    </w:lvl>
    <w:lvl w:ilvl="4">
      <w:start w:val="1"/>
      <w:numFmt w:val="decimal"/>
      <w:isLgl w:val="false"/>
      <w:suff w:val="tab"/>
      <w:lvlText w:val="%1.%2.%3.%4.%5"/>
      <w:lvlJc w:val="left"/>
      <w:pPr>
        <w:pStyle w:val="918"/>
        <w:ind w:left="900" w:hanging="900"/>
        <w:tabs>
          <w:tab w:val="num" w:pos="900" w:leader="none"/>
        </w:tabs>
      </w:pPr>
      <w:rPr>
        <w:rFonts w:hint="eastAsia"/>
      </w:rPr>
    </w:lvl>
    <w:lvl w:ilvl="5">
      <w:start w:val="1"/>
      <w:numFmt w:val="decimal"/>
      <w:isLgl w:val="false"/>
      <w:suff w:val="tab"/>
      <w:lvlText w:val="%1.%2.%3.%4.%5.%6"/>
      <w:lvlJc w:val="left"/>
      <w:pPr>
        <w:pStyle w:val="918"/>
        <w:ind w:left="900" w:hanging="900"/>
        <w:tabs>
          <w:tab w:val="num" w:pos="900" w:leader="none"/>
        </w:tabs>
      </w:pPr>
      <w:rPr>
        <w:rFonts w:hint="eastAsia"/>
      </w:rPr>
    </w:lvl>
    <w:lvl w:ilvl="6">
      <w:start w:val="1"/>
      <w:numFmt w:val="decimal"/>
      <w:isLgl w:val="false"/>
      <w:suff w:val="tab"/>
      <w:lvlText w:val="%1.%2.%3.%4.%5.%6.%7"/>
      <w:lvlJc w:val="left"/>
      <w:pPr>
        <w:pStyle w:val="918"/>
        <w:ind w:left="900" w:hanging="900"/>
        <w:tabs>
          <w:tab w:val="num" w:pos="900" w:leader="none"/>
        </w:tabs>
      </w:pPr>
      <w:rPr>
        <w:rFonts w:hint="eastAsia"/>
      </w:rPr>
    </w:lvl>
    <w:lvl w:ilvl="7">
      <w:start w:val="1"/>
      <w:numFmt w:val="decimal"/>
      <w:isLgl w:val="false"/>
      <w:suff w:val="tab"/>
      <w:lvlText w:val="%1.%2.%3.%4.%5.%6.%7.%8"/>
      <w:lvlJc w:val="left"/>
      <w:pPr>
        <w:pStyle w:val="918"/>
        <w:ind w:left="900" w:hanging="900"/>
        <w:tabs>
          <w:tab w:val="num" w:pos="900" w:leader="none"/>
        </w:tabs>
      </w:pPr>
      <w:rPr>
        <w:rFonts w:hint="eastAsia"/>
      </w:rPr>
    </w:lvl>
    <w:lvl w:ilvl="8">
      <w:start w:val="1"/>
      <w:numFmt w:val="decimal"/>
      <w:isLgl w:val="false"/>
      <w:suff w:val="tab"/>
      <w:lvlText w:val="%1.%2.%3.%4.%5.%6.%7.%8.%9"/>
      <w:lvlJc w:val="left"/>
      <w:pPr>
        <w:pStyle w:val="918"/>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918"/>
        <w:ind w:left="900" w:hanging="900"/>
        <w:tabs>
          <w:tab w:val="num" w:pos="900" w:leader="none"/>
        </w:tabs>
      </w:pPr>
      <w:rPr>
        <w:rFonts w:hint="eastAsia"/>
      </w:rPr>
    </w:lvl>
    <w:lvl w:ilvl="1">
      <w:start w:val="1"/>
      <w:numFmt w:val="decimal"/>
      <w:isLgl w:val="false"/>
      <w:suff w:val="tab"/>
      <w:lvlText w:val="%1.%2"/>
      <w:lvlJc w:val="left"/>
      <w:pPr>
        <w:pStyle w:val="9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8"/>
        <w:ind w:left="1980" w:hanging="900"/>
        <w:tabs>
          <w:tab w:val="num" w:pos="1980" w:leader="none"/>
        </w:tabs>
      </w:pPr>
      <w:rPr>
        <w:rFonts w:hint="eastAsia"/>
      </w:rPr>
    </w:lvl>
    <w:lvl w:ilvl="3">
      <w:start w:val="1"/>
      <w:numFmt w:val="decimal"/>
      <w:isLgl w:val="false"/>
      <w:suff w:val="tab"/>
      <w:lvlText w:val="%1.%2.%3.%4"/>
      <w:lvlJc w:val="left"/>
      <w:pPr>
        <w:pStyle w:val="918"/>
        <w:ind w:left="900" w:hanging="900"/>
        <w:tabs>
          <w:tab w:val="num" w:pos="900" w:leader="none"/>
        </w:tabs>
      </w:pPr>
      <w:rPr>
        <w:rFonts w:hint="eastAsia"/>
      </w:rPr>
    </w:lvl>
    <w:lvl w:ilvl="4">
      <w:start w:val="1"/>
      <w:numFmt w:val="decimal"/>
      <w:isLgl w:val="false"/>
      <w:suff w:val="tab"/>
      <w:lvlText w:val="%1.%2.%3.%4.%5"/>
      <w:lvlJc w:val="left"/>
      <w:pPr>
        <w:pStyle w:val="918"/>
        <w:ind w:left="900" w:hanging="900"/>
        <w:tabs>
          <w:tab w:val="num" w:pos="900" w:leader="none"/>
        </w:tabs>
      </w:pPr>
      <w:rPr>
        <w:rFonts w:hint="eastAsia"/>
      </w:rPr>
    </w:lvl>
    <w:lvl w:ilvl="5">
      <w:start w:val="1"/>
      <w:numFmt w:val="decimal"/>
      <w:isLgl w:val="false"/>
      <w:suff w:val="tab"/>
      <w:lvlText w:val="%1.%2.%3.%4.%5.%6"/>
      <w:lvlJc w:val="left"/>
      <w:pPr>
        <w:pStyle w:val="918"/>
        <w:ind w:left="900" w:hanging="900"/>
        <w:tabs>
          <w:tab w:val="num" w:pos="900" w:leader="none"/>
        </w:tabs>
      </w:pPr>
      <w:rPr>
        <w:rFonts w:hint="eastAsia"/>
      </w:rPr>
    </w:lvl>
    <w:lvl w:ilvl="6">
      <w:start w:val="1"/>
      <w:numFmt w:val="decimal"/>
      <w:isLgl w:val="false"/>
      <w:suff w:val="tab"/>
      <w:lvlText w:val="%1.%2.%3.%4.%5.%6.%7"/>
      <w:lvlJc w:val="left"/>
      <w:pPr>
        <w:pStyle w:val="918"/>
        <w:ind w:left="900" w:hanging="900"/>
        <w:tabs>
          <w:tab w:val="num" w:pos="900" w:leader="none"/>
        </w:tabs>
      </w:pPr>
      <w:rPr>
        <w:rFonts w:hint="eastAsia"/>
      </w:rPr>
    </w:lvl>
    <w:lvl w:ilvl="7">
      <w:start w:val="1"/>
      <w:numFmt w:val="decimal"/>
      <w:isLgl w:val="false"/>
      <w:suff w:val="tab"/>
      <w:lvlText w:val="%1.%2.%3.%4.%5.%6.%7.%8"/>
      <w:lvlJc w:val="left"/>
      <w:pPr>
        <w:pStyle w:val="918"/>
        <w:ind w:left="900" w:hanging="900"/>
        <w:tabs>
          <w:tab w:val="num" w:pos="900" w:leader="none"/>
        </w:tabs>
      </w:pPr>
      <w:rPr>
        <w:rFonts w:hint="eastAsia"/>
      </w:rPr>
    </w:lvl>
    <w:lvl w:ilvl="8">
      <w:start w:val="1"/>
      <w:numFmt w:val="decimal"/>
      <w:isLgl w:val="false"/>
      <w:suff w:val="tab"/>
      <w:lvlText w:val="%1.%2.%3.%4.%5.%6.%7.%8.%9"/>
      <w:lvlJc w:val="left"/>
      <w:pPr>
        <w:pStyle w:val="918"/>
        <w:ind w:left="900" w:hanging="900"/>
        <w:tabs>
          <w:tab w:val="num" w:pos="900" w:leader="none"/>
        </w:tabs>
      </w:pPr>
      <w:rPr>
        <w:rFonts w:hint="eastAsia"/>
      </w:rPr>
    </w:lvl>
  </w:abstractNum>
  <w:abstractNum w:abstractNumId="18">
    <w:multiLevelType w:val="hybridMultilevel"/>
    <w:lvl w:ilvl="0">
      <w:start w:val="1"/>
      <w:numFmt w:val="decimal"/>
      <w:isLgl w:val="false"/>
      <w:suff w:val="space"/>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space"/>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pStyle w:val="918"/>
        <w:ind w:left="900" w:hanging="900"/>
        <w:tabs>
          <w:tab w:val="num" w:pos="900" w:leader="none"/>
        </w:tabs>
      </w:pPr>
      <w:rPr>
        <w:rFonts w:hint="eastAsia"/>
      </w:rPr>
    </w:lvl>
    <w:lvl w:ilvl="1">
      <w:start w:val="1"/>
      <w:numFmt w:val="decimal"/>
      <w:isLgl w:val="false"/>
      <w:suff w:val="tab"/>
      <w:lvlText w:val="%1.%2"/>
      <w:lvlJc w:val="left"/>
      <w:pPr>
        <w:pStyle w:val="9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8"/>
        <w:ind w:left="1980" w:hanging="900"/>
        <w:tabs>
          <w:tab w:val="num" w:pos="1980" w:leader="none"/>
        </w:tabs>
      </w:pPr>
      <w:rPr>
        <w:rFonts w:hint="eastAsia"/>
      </w:rPr>
    </w:lvl>
    <w:lvl w:ilvl="3">
      <w:start w:val="1"/>
      <w:numFmt w:val="decimal"/>
      <w:isLgl w:val="false"/>
      <w:suff w:val="tab"/>
      <w:lvlText w:val="%1.%2.%3.%4"/>
      <w:lvlJc w:val="left"/>
      <w:pPr>
        <w:pStyle w:val="918"/>
        <w:ind w:left="900" w:hanging="900"/>
        <w:tabs>
          <w:tab w:val="num" w:pos="900" w:leader="none"/>
        </w:tabs>
      </w:pPr>
      <w:rPr>
        <w:rFonts w:hint="eastAsia"/>
      </w:rPr>
    </w:lvl>
    <w:lvl w:ilvl="4">
      <w:start w:val="1"/>
      <w:numFmt w:val="decimal"/>
      <w:isLgl w:val="false"/>
      <w:suff w:val="tab"/>
      <w:lvlText w:val="%1.%2.%3.%4.%5"/>
      <w:lvlJc w:val="left"/>
      <w:pPr>
        <w:pStyle w:val="918"/>
        <w:ind w:left="900" w:hanging="900"/>
        <w:tabs>
          <w:tab w:val="num" w:pos="900" w:leader="none"/>
        </w:tabs>
      </w:pPr>
      <w:rPr>
        <w:rFonts w:hint="eastAsia"/>
      </w:rPr>
    </w:lvl>
    <w:lvl w:ilvl="5">
      <w:start w:val="1"/>
      <w:numFmt w:val="decimal"/>
      <w:isLgl w:val="false"/>
      <w:suff w:val="tab"/>
      <w:lvlText w:val="%1.%2.%3.%4.%5.%6"/>
      <w:lvlJc w:val="left"/>
      <w:pPr>
        <w:pStyle w:val="918"/>
        <w:ind w:left="900" w:hanging="900"/>
        <w:tabs>
          <w:tab w:val="num" w:pos="900" w:leader="none"/>
        </w:tabs>
      </w:pPr>
      <w:rPr>
        <w:rFonts w:hint="eastAsia"/>
      </w:rPr>
    </w:lvl>
    <w:lvl w:ilvl="6">
      <w:start w:val="1"/>
      <w:numFmt w:val="decimal"/>
      <w:isLgl w:val="false"/>
      <w:suff w:val="tab"/>
      <w:lvlText w:val="%1.%2.%3.%4.%5.%6.%7"/>
      <w:lvlJc w:val="left"/>
      <w:pPr>
        <w:pStyle w:val="918"/>
        <w:ind w:left="900" w:hanging="900"/>
        <w:tabs>
          <w:tab w:val="num" w:pos="900" w:leader="none"/>
        </w:tabs>
      </w:pPr>
      <w:rPr>
        <w:rFonts w:hint="eastAsia"/>
      </w:rPr>
    </w:lvl>
    <w:lvl w:ilvl="7">
      <w:start w:val="1"/>
      <w:numFmt w:val="decimal"/>
      <w:isLgl w:val="false"/>
      <w:suff w:val="tab"/>
      <w:lvlText w:val="%1.%2.%3.%4.%5.%6.%7.%8"/>
      <w:lvlJc w:val="left"/>
      <w:pPr>
        <w:pStyle w:val="918"/>
        <w:ind w:left="900" w:hanging="900"/>
        <w:tabs>
          <w:tab w:val="num" w:pos="900" w:leader="none"/>
        </w:tabs>
      </w:pPr>
      <w:rPr>
        <w:rFonts w:hint="eastAsia"/>
      </w:rPr>
    </w:lvl>
    <w:lvl w:ilvl="8">
      <w:start w:val="1"/>
      <w:numFmt w:val="decimal"/>
      <w:isLgl w:val="false"/>
      <w:suff w:val="tab"/>
      <w:lvlText w:val="%1.%2.%3.%4.%5.%6.%7.%8.%9"/>
      <w:lvlJc w:val="left"/>
      <w:pPr>
        <w:pStyle w:val="918"/>
        <w:ind w:left="900" w:hanging="900"/>
        <w:tabs>
          <w:tab w:val="num" w:pos="900" w:leader="none"/>
        </w:tabs>
      </w:pPr>
      <w:rPr>
        <w:rFonts w:hint="eastAsia"/>
      </w:rPr>
    </w:lvl>
  </w:abstractNum>
  <w:abstractNum w:abstractNumId="22">
    <w:multiLevelType w:val="hybridMultilevel"/>
    <w:lvl w:ilvl="0">
      <w:start w:val="1"/>
      <w:numFmt w:val="decimal"/>
      <w:isLgl w:val="false"/>
      <w:suff w:val="tab"/>
      <w:lvlText w:val="%1."/>
      <w:lvlJc w:val="left"/>
      <w:pPr>
        <w:pStyle w:val="918"/>
        <w:ind w:left="205" w:hanging="322"/>
      </w:pPr>
      <w:rPr>
        <w:rFonts w:ascii="仿宋" w:hAnsi="仿宋" w:eastAsia="仿宋" w:cs="仿宋"/>
        <w:spacing w:val="-46"/>
        <w:sz w:val="30"/>
        <w:szCs w:val="30"/>
      </w:rPr>
    </w:lvl>
    <w:lvl w:ilvl="1">
      <w:start w:val="1"/>
      <w:numFmt w:val="lowerLetter"/>
      <w:isLgl w:val="false"/>
      <w:suff w:val="tab"/>
      <w:lvlText w:val="%2)"/>
      <w:lvlJc w:val="left"/>
      <w:pPr>
        <w:pStyle w:val="918"/>
        <w:ind w:left="840" w:hanging="420"/>
      </w:pPr>
    </w:lvl>
    <w:lvl w:ilvl="2">
      <w:start w:val="1"/>
      <w:numFmt w:val="lowerRoman"/>
      <w:isLgl w:val="false"/>
      <w:suff w:val="tab"/>
      <w:lvlText w:val="%3."/>
      <w:lvlJc w:val="right"/>
      <w:pPr>
        <w:pStyle w:val="918"/>
        <w:ind w:left="1260" w:hanging="420"/>
      </w:pPr>
    </w:lvl>
    <w:lvl w:ilvl="3">
      <w:start w:val="1"/>
      <w:numFmt w:val="decimal"/>
      <w:isLgl w:val="false"/>
      <w:suff w:val="tab"/>
      <w:lvlText w:val="%4."/>
      <w:lvlJc w:val="left"/>
      <w:pPr>
        <w:pStyle w:val="918"/>
        <w:ind w:left="1680" w:hanging="420"/>
      </w:pPr>
    </w:lvl>
    <w:lvl w:ilvl="4">
      <w:start w:val="1"/>
      <w:numFmt w:val="lowerLetter"/>
      <w:isLgl w:val="false"/>
      <w:suff w:val="tab"/>
      <w:lvlText w:val="%5)"/>
      <w:lvlJc w:val="left"/>
      <w:pPr>
        <w:pStyle w:val="918"/>
        <w:ind w:left="2100" w:hanging="420"/>
      </w:pPr>
    </w:lvl>
    <w:lvl w:ilvl="5">
      <w:start w:val="1"/>
      <w:numFmt w:val="lowerRoman"/>
      <w:isLgl w:val="false"/>
      <w:suff w:val="tab"/>
      <w:lvlText w:val="%6."/>
      <w:lvlJc w:val="right"/>
      <w:pPr>
        <w:pStyle w:val="918"/>
        <w:ind w:left="2520" w:hanging="420"/>
      </w:pPr>
    </w:lvl>
    <w:lvl w:ilvl="6">
      <w:start w:val="1"/>
      <w:numFmt w:val="decimal"/>
      <w:isLgl w:val="false"/>
      <w:suff w:val="tab"/>
      <w:lvlText w:val="%7."/>
      <w:lvlJc w:val="left"/>
      <w:pPr>
        <w:pStyle w:val="918"/>
        <w:ind w:left="2940" w:hanging="420"/>
      </w:pPr>
    </w:lvl>
    <w:lvl w:ilvl="7">
      <w:start w:val="1"/>
      <w:numFmt w:val="lowerLetter"/>
      <w:isLgl w:val="false"/>
      <w:suff w:val="tab"/>
      <w:lvlText w:val="%8)"/>
      <w:lvlJc w:val="left"/>
      <w:pPr>
        <w:pStyle w:val="918"/>
        <w:ind w:left="3360" w:hanging="420"/>
      </w:pPr>
    </w:lvl>
    <w:lvl w:ilvl="8">
      <w:start w:val="1"/>
      <w:numFmt w:val="lowerRoman"/>
      <w:isLgl w:val="false"/>
      <w:suff w:val="tab"/>
      <w:lvlText w:val="%9."/>
      <w:lvlJc w:val="right"/>
      <w:pPr>
        <w:pStyle w:val="918"/>
        <w:ind w:left="3780" w:hanging="420"/>
      </w:pPr>
    </w:lvl>
  </w:abstractNum>
  <w:abstractNum w:abstractNumId="23">
    <w:multiLevelType w:val="hybridMultilevel"/>
    <w:lvl w:ilvl="0">
      <w:start w:val="1"/>
      <w:numFmt w:val="decimal"/>
      <w:isLgl w:val="false"/>
      <w:suff w:val="tab"/>
      <w:lvlText w:val="%1"/>
      <w:lvlJc w:val="left"/>
      <w:pPr>
        <w:pStyle w:val="918"/>
        <w:ind w:left="900" w:hanging="900"/>
        <w:tabs>
          <w:tab w:val="num" w:pos="900" w:leader="none"/>
        </w:tabs>
      </w:pPr>
      <w:rPr>
        <w:rFonts w:hint="eastAsia"/>
      </w:rPr>
    </w:lvl>
    <w:lvl w:ilvl="1">
      <w:start w:val="1"/>
      <w:numFmt w:val="decimal"/>
      <w:isLgl w:val="false"/>
      <w:suff w:val="tab"/>
      <w:lvlText w:val="%1.%2"/>
      <w:lvlJc w:val="left"/>
      <w:pPr>
        <w:pStyle w:val="9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8"/>
        <w:ind w:left="1980" w:hanging="900"/>
        <w:tabs>
          <w:tab w:val="num" w:pos="1980" w:leader="none"/>
        </w:tabs>
      </w:pPr>
      <w:rPr>
        <w:rFonts w:hint="eastAsia"/>
      </w:rPr>
    </w:lvl>
    <w:lvl w:ilvl="3">
      <w:start w:val="1"/>
      <w:numFmt w:val="decimal"/>
      <w:isLgl w:val="false"/>
      <w:suff w:val="tab"/>
      <w:lvlText w:val="%1.%2.%3.%4"/>
      <w:lvlJc w:val="left"/>
      <w:pPr>
        <w:pStyle w:val="918"/>
        <w:ind w:left="900" w:hanging="900"/>
        <w:tabs>
          <w:tab w:val="num" w:pos="900" w:leader="none"/>
        </w:tabs>
      </w:pPr>
      <w:rPr>
        <w:rFonts w:hint="eastAsia"/>
      </w:rPr>
    </w:lvl>
    <w:lvl w:ilvl="4">
      <w:start w:val="1"/>
      <w:numFmt w:val="decimal"/>
      <w:isLgl w:val="false"/>
      <w:suff w:val="tab"/>
      <w:lvlText w:val="%1.%2.%3.%4.%5"/>
      <w:lvlJc w:val="left"/>
      <w:pPr>
        <w:pStyle w:val="918"/>
        <w:ind w:left="900" w:hanging="900"/>
        <w:tabs>
          <w:tab w:val="num" w:pos="900" w:leader="none"/>
        </w:tabs>
      </w:pPr>
      <w:rPr>
        <w:rFonts w:hint="eastAsia"/>
      </w:rPr>
    </w:lvl>
    <w:lvl w:ilvl="5">
      <w:start w:val="1"/>
      <w:numFmt w:val="decimal"/>
      <w:isLgl w:val="false"/>
      <w:suff w:val="tab"/>
      <w:lvlText w:val="%1.%2.%3.%4.%5.%6"/>
      <w:lvlJc w:val="left"/>
      <w:pPr>
        <w:pStyle w:val="918"/>
        <w:ind w:left="900" w:hanging="900"/>
        <w:tabs>
          <w:tab w:val="num" w:pos="900" w:leader="none"/>
        </w:tabs>
      </w:pPr>
      <w:rPr>
        <w:rFonts w:hint="eastAsia"/>
      </w:rPr>
    </w:lvl>
    <w:lvl w:ilvl="6">
      <w:start w:val="1"/>
      <w:numFmt w:val="decimal"/>
      <w:isLgl w:val="false"/>
      <w:suff w:val="tab"/>
      <w:lvlText w:val="%1.%2.%3.%4.%5.%6.%7"/>
      <w:lvlJc w:val="left"/>
      <w:pPr>
        <w:pStyle w:val="918"/>
        <w:ind w:left="900" w:hanging="900"/>
        <w:tabs>
          <w:tab w:val="num" w:pos="900" w:leader="none"/>
        </w:tabs>
      </w:pPr>
      <w:rPr>
        <w:rFonts w:hint="eastAsia"/>
      </w:rPr>
    </w:lvl>
    <w:lvl w:ilvl="7">
      <w:start w:val="1"/>
      <w:numFmt w:val="decimal"/>
      <w:isLgl w:val="false"/>
      <w:suff w:val="tab"/>
      <w:lvlText w:val="%1.%2.%3.%4.%5.%6.%7.%8"/>
      <w:lvlJc w:val="left"/>
      <w:pPr>
        <w:pStyle w:val="918"/>
        <w:ind w:left="900" w:hanging="900"/>
        <w:tabs>
          <w:tab w:val="num" w:pos="900" w:leader="none"/>
        </w:tabs>
      </w:pPr>
      <w:rPr>
        <w:rFonts w:hint="eastAsia"/>
      </w:rPr>
    </w:lvl>
    <w:lvl w:ilvl="8">
      <w:start w:val="1"/>
      <w:numFmt w:val="decimal"/>
      <w:isLgl w:val="false"/>
      <w:suff w:val="tab"/>
      <w:lvlText w:val="%1.%2.%3.%4.%5.%6.%7.%8.%9"/>
      <w:lvlJc w:val="left"/>
      <w:pPr>
        <w:pStyle w:val="918"/>
        <w:ind w:left="900" w:hanging="900"/>
        <w:tabs>
          <w:tab w:val="num" w:pos="900" w:leader="none"/>
        </w:tabs>
      </w:pPr>
      <w:rPr>
        <w:rFonts w:hint="eastAsia"/>
      </w:rPr>
    </w:lvl>
  </w:abstractNum>
  <w:num w:numId="1">
    <w:abstractNumId w:val="10"/>
  </w:num>
  <w:num w:numId="2">
    <w:abstractNumId w:val="7"/>
  </w:num>
  <w:num w:numId="3">
    <w:abstractNumId w:val="13"/>
  </w:num>
  <w:num w:numId="4">
    <w:abstractNumId w:val="11"/>
  </w:num>
  <w:num w:numId="5">
    <w:abstractNumId w:val="9"/>
  </w:num>
  <w:num w:numId="6">
    <w:abstractNumId w:val="8"/>
  </w:num>
  <w:num w:numId="7">
    <w:abstractNumId w:val="15"/>
  </w:num>
  <w:num w:numId="8">
    <w:abstractNumId w:val="12"/>
  </w:num>
  <w:num w:numId="9">
    <w:abstractNumId w:val="17"/>
  </w:num>
  <w:num w:numId="10">
    <w:abstractNumId w:val="6"/>
  </w:num>
  <w:num w:numId="11">
    <w:abstractNumId w:val="21"/>
  </w:num>
  <w:num w:numId="12">
    <w:abstractNumId w:val="16"/>
  </w:num>
  <w:num w:numId="13">
    <w:abstractNumId w:val="23"/>
  </w:num>
  <w:num w:numId="14">
    <w:abstractNumId w:val="3"/>
  </w:num>
  <w:num w:numId="15">
    <w:abstractNumId w:val="14"/>
  </w:num>
  <w:num w:numId="16">
    <w:abstractNumId w:val="19"/>
  </w:num>
  <w:num w:numId="17">
    <w:abstractNumId w:val="2"/>
  </w:num>
  <w:num w:numId="18">
    <w:abstractNumId w:val="0"/>
  </w:num>
  <w:num w:numId="19">
    <w:abstractNumId w:val="18"/>
  </w:num>
  <w:num w:numId="20">
    <w:abstractNumId w:val="20"/>
  </w:num>
  <w:num w:numId="21">
    <w:abstractNumId w:val="4"/>
  </w:num>
  <w:num w:numId="22">
    <w:abstractNumId w:val="5"/>
  </w:num>
  <w:num w:numId="23">
    <w:abstractNumId w:val="1"/>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18"/>
    <w:next w:val="91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18"/>
    <w:next w:val="91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18"/>
    <w:next w:val="91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18"/>
    <w:next w:val="91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18"/>
    <w:next w:val="91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18"/>
    <w:next w:val="91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18"/>
    <w:next w:val="91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18"/>
    <w:next w:val="91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18"/>
    <w:next w:val="91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1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18"/>
    <w:next w:val="91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18"/>
    <w:next w:val="91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18"/>
    <w:next w:val="918"/>
    <w:link w:val="38"/>
    <w:uiPriority w:val="29"/>
    <w:qFormat/>
    <w:pPr>
      <w:ind w:left="720" w:right="720"/>
    </w:pPr>
    <w:rPr>
      <w:i/>
    </w:rPr>
  </w:style>
  <w:style w:type="character" w:styleId="38">
    <w:name w:val="Quote Char"/>
    <w:link w:val="37"/>
    <w:uiPriority w:val="29"/>
    <w:rPr>
      <w:i/>
    </w:rPr>
  </w:style>
  <w:style w:type="paragraph" w:styleId="39">
    <w:name w:val="Intense Quote"/>
    <w:basedOn w:val="918"/>
    <w:next w:val="91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1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1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18"/>
    <w:next w:val="91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1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1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18"/>
    <w:next w:val="918"/>
    <w:uiPriority w:val="39"/>
    <w:unhideWhenUsed/>
    <w:pPr>
      <w:ind w:left="0" w:right="0" w:firstLine="0"/>
      <w:spacing w:after="57"/>
    </w:pPr>
  </w:style>
  <w:style w:type="paragraph" w:styleId="181">
    <w:name w:val="toc 2"/>
    <w:basedOn w:val="918"/>
    <w:next w:val="918"/>
    <w:uiPriority w:val="39"/>
    <w:unhideWhenUsed/>
    <w:pPr>
      <w:ind w:left="283" w:right="0" w:firstLine="0"/>
      <w:spacing w:after="57"/>
    </w:pPr>
  </w:style>
  <w:style w:type="paragraph" w:styleId="182">
    <w:name w:val="toc 3"/>
    <w:basedOn w:val="918"/>
    <w:next w:val="918"/>
    <w:uiPriority w:val="39"/>
    <w:unhideWhenUsed/>
    <w:pPr>
      <w:ind w:left="567" w:right="0" w:firstLine="0"/>
      <w:spacing w:after="57"/>
    </w:pPr>
  </w:style>
  <w:style w:type="paragraph" w:styleId="183">
    <w:name w:val="toc 4"/>
    <w:basedOn w:val="918"/>
    <w:next w:val="918"/>
    <w:uiPriority w:val="39"/>
    <w:unhideWhenUsed/>
    <w:pPr>
      <w:ind w:left="850" w:right="0" w:firstLine="0"/>
      <w:spacing w:after="57"/>
    </w:pPr>
  </w:style>
  <w:style w:type="paragraph" w:styleId="184">
    <w:name w:val="toc 5"/>
    <w:basedOn w:val="918"/>
    <w:next w:val="918"/>
    <w:uiPriority w:val="39"/>
    <w:unhideWhenUsed/>
    <w:pPr>
      <w:ind w:left="1134" w:right="0" w:firstLine="0"/>
      <w:spacing w:after="57"/>
    </w:pPr>
  </w:style>
  <w:style w:type="paragraph" w:styleId="185">
    <w:name w:val="toc 6"/>
    <w:basedOn w:val="918"/>
    <w:next w:val="918"/>
    <w:uiPriority w:val="39"/>
    <w:unhideWhenUsed/>
    <w:pPr>
      <w:ind w:left="1417" w:right="0" w:firstLine="0"/>
      <w:spacing w:after="57"/>
    </w:pPr>
  </w:style>
  <w:style w:type="paragraph" w:styleId="186">
    <w:name w:val="toc 7"/>
    <w:basedOn w:val="918"/>
    <w:next w:val="918"/>
    <w:uiPriority w:val="39"/>
    <w:unhideWhenUsed/>
    <w:pPr>
      <w:ind w:left="1701" w:right="0" w:firstLine="0"/>
      <w:spacing w:after="57"/>
    </w:pPr>
  </w:style>
  <w:style w:type="paragraph" w:styleId="187">
    <w:name w:val="toc 8"/>
    <w:basedOn w:val="918"/>
    <w:next w:val="918"/>
    <w:uiPriority w:val="39"/>
    <w:unhideWhenUsed/>
    <w:pPr>
      <w:ind w:left="1984" w:right="0" w:firstLine="0"/>
      <w:spacing w:after="57"/>
    </w:pPr>
  </w:style>
  <w:style w:type="paragraph" w:styleId="188">
    <w:name w:val="toc 9"/>
    <w:basedOn w:val="918"/>
    <w:next w:val="918"/>
    <w:uiPriority w:val="39"/>
    <w:unhideWhenUsed/>
    <w:pPr>
      <w:ind w:left="2268" w:right="0" w:firstLine="0"/>
      <w:spacing w:after="57"/>
    </w:pPr>
  </w:style>
  <w:style w:type="paragraph" w:styleId="189">
    <w:name w:val="TOC Heading"/>
    <w:uiPriority w:val="39"/>
    <w:unhideWhenUsed/>
  </w:style>
  <w:style w:type="paragraph" w:styleId="190">
    <w:name w:val="table of figures"/>
    <w:basedOn w:val="918"/>
    <w:next w:val="918"/>
    <w:uiPriority w:val="99"/>
    <w:unhideWhenUsed/>
    <w:pPr>
      <w:spacing w:after="0" w:afterAutospacing="0"/>
    </w:pPr>
  </w:style>
  <w:style w:type="paragraph" w:styleId="918" w:default="1">
    <w:name w:val="Normal"/>
    <w:next w:val="918"/>
    <w:link w:val="918"/>
    <w:qFormat/>
    <w:pPr>
      <w:jc w:val="both"/>
      <w:widowControl w:val="off"/>
    </w:pPr>
    <w:rPr>
      <w:sz w:val="21"/>
      <w:szCs w:val="24"/>
      <w:lang w:val="en-US" w:eastAsia="zh-CN" w:bidi="ar-SA"/>
    </w:rPr>
  </w:style>
  <w:style w:type="paragraph" w:styleId="919">
    <w:name w:val="标题 1"/>
    <w:basedOn w:val="918"/>
    <w:next w:val="918"/>
    <w:link w:val="930"/>
    <w:qFormat/>
    <w:pPr>
      <w:jc w:val="center"/>
      <w:keepLines/>
      <w:keepNext/>
      <w:spacing w:before="240" w:after="120" w:line="300" w:lineRule="auto"/>
      <w:outlineLvl w:val="0"/>
    </w:pPr>
    <w:rPr>
      <w:rFonts w:ascii="宋体"/>
      <w:b/>
      <w:sz w:val="32"/>
      <w:szCs w:val="20"/>
    </w:rPr>
  </w:style>
  <w:style w:type="paragraph" w:styleId="920">
    <w:name w:val="标题 2"/>
    <w:basedOn w:val="918"/>
    <w:next w:val="932"/>
    <w:link w:val="931"/>
    <w:qFormat/>
    <w:pPr>
      <w:jc w:val="center"/>
      <w:keepLines/>
      <w:keepNext/>
      <w:spacing w:before="120" w:line="300" w:lineRule="auto"/>
      <w:outlineLvl w:val="1"/>
    </w:pPr>
    <w:rPr>
      <w:rFonts w:ascii="Arial" w:hAnsi="Arial" w:eastAsia="黑体"/>
      <w:b/>
      <w:sz w:val="30"/>
      <w:szCs w:val="20"/>
    </w:rPr>
  </w:style>
  <w:style w:type="paragraph" w:styleId="921">
    <w:name w:val="标题 3"/>
    <w:basedOn w:val="918"/>
    <w:next w:val="932"/>
    <w:link w:val="934"/>
    <w:qFormat/>
    <w:pPr>
      <w:jc w:val="left"/>
      <w:keepLines/>
      <w:keepNext/>
      <w:spacing w:before="360" w:after="120"/>
      <w:outlineLvl w:val="2"/>
    </w:pPr>
    <w:rPr>
      <w:rFonts w:ascii="宋体"/>
      <w:b/>
      <w:sz w:val="24"/>
      <w:szCs w:val="20"/>
      <w:u w:val="single"/>
    </w:rPr>
  </w:style>
  <w:style w:type="paragraph" w:styleId="922">
    <w:name w:val="标题 4"/>
    <w:basedOn w:val="918"/>
    <w:next w:val="918"/>
    <w:link w:val="935"/>
    <w:qFormat/>
    <w:pPr>
      <w:keepLines/>
      <w:keepNext/>
      <w:spacing w:before="280" w:after="290" w:line="376" w:lineRule="atLeast"/>
      <w:outlineLvl w:val="3"/>
    </w:pPr>
    <w:rPr>
      <w:rFonts w:ascii="Arial" w:hAnsi="Arial" w:eastAsia="黑体"/>
      <w:b/>
      <w:sz w:val="28"/>
      <w:szCs w:val="20"/>
    </w:rPr>
  </w:style>
  <w:style w:type="paragraph" w:styleId="923">
    <w:name w:val="标题 5"/>
    <w:basedOn w:val="918"/>
    <w:next w:val="918"/>
    <w:link w:val="936"/>
    <w:qFormat/>
    <w:pPr>
      <w:keepLines/>
      <w:keepNext/>
      <w:spacing w:before="280" w:after="290" w:line="376" w:lineRule="atLeast"/>
      <w:outlineLvl w:val="4"/>
    </w:pPr>
    <w:rPr>
      <w:b/>
      <w:sz w:val="28"/>
      <w:szCs w:val="20"/>
    </w:rPr>
  </w:style>
  <w:style w:type="paragraph" w:styleId="924">
    <w:name w:val="标题 6"/>
    <w:basedOn w:val="918"/>
    <w:next w:val="918"/>
    <w:link w:val="937"/>
    <w:qFormat/>
    <w:pPr>
      <w:keepLines/>
      <w:keepNext/>
      <w:spacing w:before="240" w:after="64" w:line="320" w:lineRule="atLeast"/>
      <w:outlineLvl w:val="5"/>
    </w:pPr>
    <w:rPr>
      <w:rFonts w:ascii="Arial" w:hAnsi="Arial" w:eastAsia="黑体"/>
      <w:b/>
      <w:sz w:val="24"/>
      <w:szCs w:val="20"/>
    </w:rPr>
  </w:style>
  <w:style w:type="paragraph" w:styleId="925">
    <w:name w:val="标题 7"/>
    <w:basedOn w:val="918"/>
    <w:next w:val="918"/>
    <w:link w:val="938"/>
    <w:qFormat/>
    <w:pPr>
      <w:keepLines/>
      <w:keepNext/>
      <w:spacing w:before="240" w:after="64" w:line="320" w:lineRule="atLeast"/>
      <w:outlineLvl w:val="6"/>
    </w:pPr>
    <w:rPr>
      <w:b/>
      <w:sz w:val="24"/>
      <w:szCs w:val="20"/>
    </w:rPr>
  </w:style>
  <w:style w:type="paragraph" w:styleId="926">
    <w:name w:val="标题 8"/>
    <w:basedOn w:val="918"/>
    <w:next w:val="918"/>
    <w:link w:val="939"/>
    <w:qFormat/>
    <w:pPr>
      <w:keepLines/>
      <w:keepNext/>
      <w:spacing w:before="240" w:after="64" w:line="320" w:lineRule="atLeast"/>
      <w:outlineLvl w:val="7"/>
    </w:pPr>
    <w:rPr>
      <w:rFonts w:ascii="Arial" w:hAnsi="Arial" w:eastAsia="黑体"/>
      <w:sz w:val="24"/>
      <w:szCs w:val="20"/>
    </w:rPr>
  </w:style>
  <w:style w:type="paragraph" w:styleId="927">
    <w:name w:val="标题 9"/>
    <w:basedOn w:val="918"/>
    <w:next w:val="918"/>
    <w:link w:val="940"/>
    <w:qFormat/>
    <w:pPr>
      <w:keepLines/>
      <w:keepNext/>
      <w:spacing w:before="240" w:after="64" w:line="320" w:lineRule="atLeast"/>
      <w:outlineLvl w:val="8"/>
    </w:pPr>
    <w:rPr>
      <w:rFonts w:ascii="Arial" w:hAnsi="Arial" w:eastAsia="黑体"/>
      <w:szCs w:val="20"/>
    </w:rPr>
  </w:style>
  <w:style w:type="character" w:styleId="928">
    <w:name w:val="默认段落字体"/>
    <w:next w:val="928"/>
    <w:link w:val="918"/>
    <w:uiPriority w:val="1"/>
    <w:unhideWhenUsed/>
    <w:qFormat/>
  </w:style>
  <w:style w:type="table" w:styleId="929">
    <w:name w:val="普通表格"/>
    <w:next w:val="929"/>
    <w:link w:val="918"/>
    <w:uiPriority w:val="99"/>
    <w:unhideWhenUsed/>
    <w:qFormat/>
    <w:tblPr/>
  </w:style>
  <w:style w:type="character" w:styleId="930">
    <w:name w:val="标题 1 Char"/>
    <w:next w:val="930"/>
    <w:link w:val="919"/>
    <w:qFormat/>
    <w:rPr>
      <w:rFonts w:ascii="宋体"/>
      <w:b/>
      <w:sz w:val="32"/>
    </w:rPr>
  </w:style>
  <w:style w:type="character" w:styleId="931">
    <w:name w:val="标题 2 Char1"/>
    <w:next w:val="931"/>
    <w:link w:val="920"/>
    <w:qFormat/>
    <w:rPr>
      <w:rFonts w:ascii="Arial" w:hAnsi="Arial" w:eastAsia="黑体"/>
      <w:b/>
      <w:sz w:val="30"/>
      <w:lang w:val="en-US" w:eastAsia="zh-CN" w:bidi="ar-SA"/>
    </w:rPr>
  </w:style>
  <w:style w:type="paragraph" w:styleId="932">
    <w:name w:val="正文缩进"/>
    <w:basedOn w:val="918"/>
    <w:next w:val="932"/>
    <w:link w:val="933"/>
    <w:qFormat/>
    <w:pPr>
      <w:ind w:firstLine="420"/>
      <w:jc w:val="left"/>
    </w:pPr>
    <w:rPr>
      <w:rFonts w:ascii="宋体"/>
      <w:sz w:val="24"/>
    </w:rPr>
  </w:style>
  <w:style w:type="character" w:styleId="933">
    <w:name w:val="正文缩进 Char2"/>
    <w:next w:val="933"/>
    <w:link w:val="932"/>
    <w:qFormat/>
    <w:rPr>
      <w:rFonts w:ascii="宋体" w:eastAsia="宋体"/>
      <w:sz w:val="24"/>
      <w:szCs w:val="24"/>
      <w:lang w:val="en-US" w:eastAsia="zh-CN" w:bidi="ar-SA"/>
    </w:rPr>
  </w:style>
  <w:style w:type="character" w:styleId="934">
    <w:name w:val="标题 3 Char1"/>
    <w:next w:val="934"/>
    <w:link w:val="921"/>
    <w:qFormat/>
    <w:rPr>
      <w:rFonts w:ascii="宋体" w:eastAsia="宋体"/>
      <w:b/>
      <w:sz w:val="24"/>
      <w:u w:val="single"/>
      <w:lang w:val="en-US" w:eastAsia="zh-CN" w:bidi="ar-SA"/>
    </w:rPr>
  </w:style>
  <w:style w:type="character" w:styleId="935">
    <w:name w:val="标题 4 Char"/>
    <w:next w:val="935"/>
    <w:link w:val="922"/>
    <w:qFormat/>
    <w:rPr>
      <w:rFonts w:ascii="Arial" w:hAnsi="Arial" w:eastAsia="黑体"/>
      <w:b/>
      <w:sz w:val="28"/>
    </w:rPr>
  </w:style>
  <w:style w:type="character" w:styleId="936">
    <w:name w:val="标题 5 Char"/>
    <w:next w:val="936"/>
    <w:link w:val="923"/>
    <w:qFormat/>
    <w:rPr>
      <w:b/>
      <w:sz w:val="28"/>
    </w:rPr>
  </w:style>
  <w:style w:type="character" w:styleId="937">
    <w:name w:val="标题 6 Char"/>
    <w:next w:val="937"/>
    <w:link w:val="924"/>
    <w:qFormat/>
    <w:rPr>
      <w:rFonts w:ascii="Arial" w:hAnsi="Arial" w:eastAsia="黑体"/>
      <w:b/>
      <w:sz w:val="24"/>
    </w:rPr>
  </w:style>
  <w:style w:type="character" w:styleId="938">
    <w:name w:val="标题 7 Char"/>
    <w:next w:val="938"/>
    <w:link w:val="925"/>
    <w:qFormat/>
    <w:rPr>
      <w:b/>
      <w:sz w:val="24"/>
    </w:rPr>
  </w:style>
  <w:style w:type="character" w:styleId="939">
    <w:name w:val="标题 8 Char"/>
    <w:next w:val="939"/>
    <w:link w:val="926"/>
    <w:qFormat/>
    <w:rPr>
      <w:rFonts w:ascii="Arial" w:hAnsi="Arial" w:eastAsia="黑体"/>
      <w:sz w:val="24"/>
    </w:rPr>
  </w:style>
  <w:style w:type="character" w:styleId="940">
    <w:name w:val="标题 9 Char"/>
    <w:next w:val="940"/>
    <w:link w:val="927"/>
    <w:qFormat/>
    <w:rPr>
      <w:rFonts w:ascii="Arial" w:hAnsi="Arial" w:eastAsia="黑体"/>
      <w:sz w:val="21"/>
    </w:rPr>
  </w:style>
  <w:style w:type="paragraph" w:styleId="941">
    <w:name w:val="目录 7"/>
    <w:basedOn w:val="918"/>
    <w:next w:val="918"/>
    <w:link w:val="918"/>
    <w:qFormat/>
    <w:pPr>
      <w:ind w:left="2520"/>
    </w:pPr>
  </w:style>
  <w:style w:type="paragraph" w:styleId="942">
    <w:name w:val="题注"/>
    <w:basedOn w:val="918"/>
    <w:next w:val="918"/>
    <w:link w:val="918"/>
    <w:qFormat/>
    <w:pPr>
      <w:spacing w:line="480" w:lineRule="auto"/>
    </w:pPr>
    <w:rPr>
      <w:rFonts w:ascii="华文中宋" w:hAnsi="华文中宋" w:eastAsia="华文中宋"/>
      <w:sz w:val="36"/>
      <w:szCs w:val="20"/>
    </w:rPr>
  </w:style>
  <w:style w:type="paragraph" w:styleId="943">
    <w:name w:val="文档结构图"/>
    <w:basedOn w:val="918"/>
    <w:next w:val="943"/>
    <w:link w:val="944"/>
    <w:qFormat/>
    <w:pPr>
      <w:shd w:val="clear" w:color="auto" w:fill="000080"/>
    </w:pPr>
  </w:style>
  <w:style w:type="character" w:styleId="944">
    <w:name w:val="文档结构图 Char"/>
    <w:next w:val="944"/>
    <w:link w:val="943"/>
    <w:qFormat/>
    <w:rPr>
      <w:sz w:val="21"/>
      <w:szCs w:val="24"/>
      <w:shd w:val="clear" w:color="auto" w:fill="000080"/>
    </w:rPr>
  </w:style>
  <w:style w:type="paragraph" w:styleId="945">
    <w:name w:val="批注文字"/>
    <w:basedOn w:val="918"/>
    <w:next w:val="945"/>
    <w:link w:val="946"/>
    <w:uiPriority w:val="99"/>
    <w:qFormat/>
    <w:pPr>
      <w:jc w:val="left"/>
    </w:pPr>
  </w:style>
  <w:style w:type="character" w:styleId="946">
    <w:name w:val="批注文字 Char1"/>
    <w:next w:val="946"/>
    <w:link w:val="945"/>
    <w:uiPriority w:val="99"/>
    <w:qFormat/>
    <w:rPr>
      <w:sz w:val="21"/>
      <w:szCs w:val="24"/>
    </w:rPr>
  </w:style>
  <w:style w:type="paragraph" w:styleId="947">
    <w:name w:val="正文文本 3"/>
    <w:basedOn w:val="918"/>
    <w:next w:val="947"/>
    <w:link w:val="948"/>
    <w:qFormat/>
    <w:pPr>
      <w:spacing w:after="120"/>
    </w:pPr>
    <w:rPr>
      <w:sz w:val="16"/>
      <w:szCs w:val="16"/>
    </w:rPr>
  </w:style>
  <w:style w:type="character" w:styleId="948">
    <w:name w:val="正文文本 3 Char"/>
    <w:next w:val="948"/>
    <w:link w:val="947"/>
    <w:qFormat/>
    <w:rPr>
      <w:sz w:val="16"/>
      <w:szCs w:val="16"/>
    </w:rPr>
  </w:style>
  <w:style w:type="paragraph" w:styleId="949">
    <w:name w:val="正文文本"/>
    <w:basedOn w:val="918"/>
    <w:next w:val="949"/>
    <w:link w:val="950"/>
    <w:qFormat/>
    <w:pPr>
      <w:spacing w:before="120" w:line="22" w:lineRule="atLeast"/>
      <w:tabs>
        <w:tab w:val="left" w:pos="567" w:leader="none"/>
      </w:tabs>
    </w:pPr>
    <w:rPr>
      <w:rFonts w:ascii="宋体" w:hAnsi="宋体"/>
      <w:sz w:val="24"/>
    </w:rPr>
  </w:style>
  <w:style w:type="character" w:styleId="950">
    <w:name w:val="正文文本 Char"/>
    <w:next w:val="950"/>
    <w:link w:val="949"/>
    <w:qFormat/>
    <w:rPr>
      <w:rFonts w:ascii="宋体" w:hAnsi="宋体"/>
      <w:sz w:val="24"/>
      <w:szCs w:val="24"/>
    </w:rPr>
  </w:style>
  <w:style w:type="paragraph" w:styleId="951">
    <w:name w:val="正文文本缩进"/>
    <w:basedOn w:val="918"/>
    <w:next w:val="918"/>
    <w:link w:val="952"/>
    <w:qFormat/>
    <w:pPr>
      <w:ind w:firstLine="570"/>
      <w:spacing w:line="360" w:lineRule="auto"/>
    </w:pPr>
    <w:rPr>
      <w:sz w:val="24"/>
    </w:rPr>
  </w:style>
  <w:style w:type="character" w:styleId="952">
    <w:name w:val="正文文本缩进 Char2"/>
    <w:next w:val="952"/>
    <w:link w:val="951"/>
    <w:qFormat/>
    <w:rPr>
      <w:rFonts w:eastAsia="宋体"/>
      <w:sz w:val="24"/>
      <w:szCs w:val="24"/>
      <w:lang w:val="en-US" w:eastAsia="zh-CN" w:bidi="ar-SA"/>
    </w:rPr>
  </w:style>
  <w:style w:type="paragraph" w:styleId="953">
    <w:name w:val="列表 2"/>
    <w:basedOn w:val="918"/>
    <w:next w:val="953"/>
    <w:link w:val="918"/>
    <w:qFormat/>
    <w:pPr>
      <w:ind w:left="100" w:hanging="200"/>
    </w:pPr>
  </w:style>
  <w:style w:type="paragraph" w:styleId="954">
    <w:name w:val="文本块"/>
    <w:basedOn w:val="918"/>
    <w:next w:val="954"/>
    <w:link w:val="918"/>
    <w:qFormat/>
    <w:pPr>
      <w:ind w:left="480" w:right="-341" w:firstLine="513"/>
      <w:widowControl/>
    </w:pPr>
    <w:rPr>
      <w:sz w:val="24"/>
      <w:szCs w:val="20"/>
    </w:rPr>
  </w:style>
  <w:style w:type="paragraph" w:styleId="955">
    <w:name w:val="目录 5"/>
    <w:basedOn w:val="918"/>
    <w:next w:val="918"/>
    <w:link w:val="918"/>
    <w:qFormat/>
    <w:pPr>
      <w:ind w:left="1680"/>
    </w:pPr>
  </w:style>
  <w:style w:type="paragraph" w:styleId="956">
    <w:name w:val="目录 3"/>
    <w:basedOn w:val="918"/>
    <w:next w:val="918"/>
    <w:link w:val="918"/>
    <w:uiPriority w:val="39"/>
    <w:qFormat/>
    <w:pPr>
      <w:ind w:left="840"/>
    </w:pPr>
  </w:style>
  <w:style w:type="paragraph" w:styleId="957">
    <w:name w:val="纯文本"/>
    <w:basedOn w:val="918"/>
    <w:next w:val="932"/>
    <w:link w:val="958"/>
    <w:uiPriority w:val="99"/>
    <w:qFormat/>
    <w:rPr>
      <w:rFonts w:hint="eastAsia" w:ascii="宋体" w:hAnsi="Courier New"/>
      <w:szCs w:val="20"/>
    </w:rPr>
  </w:style>
  <w:style w:type="character" w:styleId="958">
    <w:name w:val="纯文本 Char"/>
    <w:next w:val="958"/>
    <w:link w:val="957"/>
    <w:qFormat/>
    <w:rPr>
      <w:rFonts w:hint="eastAsia" w:ascii="宋体" w:hAnsi="Courier New" w:eastAsia="宋体" w:cs="宋体"/>
      <w:sz w:val="21"/>
    </w:rPr>
  </w:style>
  <w:style w:type="paragraph" w:styleId="959">
    <w:name w:val="目录 8"/>
    <w:basedOn w:val="918"/>
    <w:next w:val="918"/>
    <w:link w:val="918"/>
    <w:qFormat/>
    <w:pPr>
      <w:ind w:left="2940"/>
    </w:pPr>
  </w:style>
  <w:style w:type="paragraph" w:styleId="960">
    <w:name w:val="日期"/>
    <w:basedOn w:val="918"/>
    <w:next w:val="918"/>
    <w:link w:val="961"/>
    <w:qFormat/>
    <w:pPr>
      <w:ind w:left="100"/>
    </w:pPr>
    <w:rPr>
      <w:rFonts w:ascii="仿宋_GB2312" w:hAnsi="宋体" w:eastAsia="仿宋_GB2312"/>
      <w:color w:val="000000"/>
      <w:sz w:val="24"/>
    </w:rPr>
  </w:style>
  <w:style w:type="character" w:styleId="961">
    <w:name w:val="日期 Char"/>
    <w:next w:val="961"/>
    <w:link w:val="960"/>
    <w:qFormat/>
    <w:rPr>
      <w:rFonts w:ascii="仿宋_GB2312" w:hAnsi="宋体" w:eastAsia="仿宋_GB2312"/>
      <w:color w:val="000000"/>
      <w:sz w:val="24"/>
      <w:szCs w:val="24"/>
    </w:rPr>
  </w:style>
  <w:style w:type="paragraph" w:styleId="962">
    <w:name w:val="正文文本缩进 2"/>
    <w:basedOn w:val="918"/>
    <w:next w:val="962"/>
    <w:link w:val="963"/>
    <w:qFormat/>
    <w:pPr>
      <w:ind w:firstLine="480"/>
    </w:pPr>
    <w:rPr>
      <w:rFonts w:ascii="仿宋_GB2312" w:eastAsia="仿宋_GB2312"/>
      <w:sz w:val="24"/>
    </w:rPr>
  </w:style>
  <w:style w:type="character" w:styleId="963">
    <w:name w:val="正文文本缩进 2 Char"/>
    <w:next w:val="963"/>
    <w:link w:val="962"/>
    <w:qFormat/>
    <w:rPr>
      <w:rFonts w:ascii="仿宋_GB2312" w:eastAsia="仿宋_GB2312"/>
      <w:sz w:val="24"/>
      <w:szCs w:val="24"/>
    </w:rPr>
  </w:style>
  <w:style w:type="paragraph" w:styleId="964">
    <w:name w:val="批注框文本"/>
    <w:basedOn w:val="918"/>
    <w:next w:val="964"/>
    <w:link w:val="965"/>
    <w:qFormat/>
    <w:rPr>
      <w:sz w:val="18"/>
      <w:szCs w:val="18"/>
    </w:rPr>
  </w:style>
  <w:style w:type="character" w:styleId="965">
    <w:name w:val="批注框文本 Char"/>
    <w:next w:val="965"/>
    <w:link w:val="964"/>
    <w:qFormat/>
    <w:rPr>
      <w:sz w:val="18"/>
      <w:szCs w:val="18"/>
    </w:rPr>
  </w:style>
  <w:style w:type="paragraph" w:styleId="966">
    <w:name w:val="页脚"/>
    <w:basedOn w:val="918"/>
    <w:next w:val="966"/>
    <w:link w:val="967"/>
    <w:uiPriority w:val="99"/>
    <w:qFormat/>
    <w:pPr>
      <w:jc w:val="left"/>
      <w:tabs>
        <w:tab w:val="center" w:pos="4153" w:leader="none"/>
        <w:tab w:val="right" w:pos="8306" w:leader="none"/>
      </w:tabs>
    </w:pPr>
    <w:rPr>
      <w:rFonts w:ascii="宋体"/>
      <w:sz w:val="18"/>
      <w:szCs w:val="20"/>
    </w:rPr>
  </w:style>
  <w:style w:type="character" w:styleId="967">
    <w:name w:val="页脚 Char1"/>
    <w:next w:val="967"/>
    <w:link w:val="966"/>
    <w:uiPriority w:val="99"/>
    <w:qFormat/>
    <w:rPr>
      <w:rFonts w:ascii="宋体" w:eastAsia="宋体"/>
      <w:sz w:val="18"/>
      <w:lang w:val="en-US" w:eastAsia="zh-CN" w:bidi="ar-SA"/>
    </w:rPr>
  </w:style>
  <w:style w:type="paragraph" w:styleId="968">
    <w:name w:val="页眉"/>
    <w:basedOn w:val="918"/>
    <w:next w:val="968"/>
    <w:link w:val="969"/>
    <w:qFormat/>
    <w:pPr>
      <w:jc w:val="center"/>
      <w:tabs>
        <w:tab w:val="center" w:pos="4153" w:leader="none"/>
        <w:tab w:val="right" w:pos="8306" w:leader="none"/>
      </w:tabs>
      <w:pBdr>
        <w:bottom w:val="single" w:color="000000" w:sz="6" w:space="1"/>
      </w:pBdr>
    </w:pPr>
    <w:rPr>
      <w:sz w:val="18"/>
      <w:szCs w:val="18"/>
    </w:rPr>
  </w:style>
  <w:style w:type="character" w:styleId="969">
    <w:name w:val="页眉 Char1"/>
    <w:next w:val="969"/>
    <w:link w:val="968"/>
    <w:qFormat/>
    <w:rPr>
      <w:rFonts w:eastAsia="宋体"/>
      <w:sz w:val="18"/>
      <w:szCs w:val="18"/>
      <w:lang w:val="en-US" w:eastAsia="zh-CN" w:bidi="ar-SA"/>
    </w:rPr>
  </w:style>
  <w:style w:type="paragraph" w:styleId="970">
    <w:name w:val="目录 1"/>
    <w:basedOn w:val="918"/>
    <w:next w:val="918"/>
    <w:link w:val="918"/>
    <w:uiPriority w:val="39"/>
    <w:qFormat/>
    <w:pPr>
      <w:spacing w:line="300" w:lineRule="auto"/>
      <w:tabs>
        <w:tab w:val="left" w:pos="1050" w:leader="none"/>
        <w:tab w:val="right" w:pos="8937" w:leader="dot"/>
      </w:tabs>
    </w:pPr>
    <w:rPr>
      <w:rFonts w:ascii="宋体" w:hAnsi="宋体"/>
      <w:b/>
      <w:sz w:val="24"/>
    </w:rPr>
  </w:style>
  <w:style w:type="paragraph" w:styleId="971">
    <w:name w:val="目录 4"/>
    <w:basedOn w:val="918"/>
    <w:next w:val="918"/>
    <w:link w:val="918"/>
    <w:qFormat/>
    <w:pPr>
      <w:ind w:left="1260"/>
    </w:pPr>
  </w:style>
  <w:style w:type="paragraph" w:styleId="972">
    <w:name w:val="列表"/>
    <w:basedOn w:val="918"/>
    <w:next w:val="972"/>
    <w:link w:val="918"/>
    <w:pPr>
      <w:contextualSpacing/>
      <w:ind w:left="200" w:hanging="200"/>
    </w:pPr>
  </w:style>
  <w:style w:type="paragraph" w:styleId="973">
    <w:name w:val="目录 6"/>
    <w:basedOn w:val="918"/>
    <w:next w:val="918"/>
    <w:link w:val="918"/>
    <w:qFormat/>
    <w:pPr>
      <w:ind w:left="2100"/>
    </w:pPr>
  </w:style>
  <w:style w:type="paragraph" w:styleId="974">
    <w:name w:val="正文文本缩进 3"/>
    <w:basedOn w:val="918"/>
    <w:next w:val="974"/>
    <w:link w:val="975"/>
    <w:qFormat/>
    <w:pPr>
      <w:ind w:left="720" w:firstLine="480"/>
      <w:jc w:val="left"/>
      <w:spacing w:before="120" w:line="22" w:lineRule="atLeast"/>
    </w:pPr>
    <w:rPr>
      <w:rFonts w:ascii="宋体"/>
      <w:sz w:val="24"/>
      <w:szCs w:val="20"/>
    </w:rPr>
  </w:style>
  <w:style w:type="character" w:styleId="975">
    <w:name w:val="正文文本缩进 3 Char"/>
    <w:next w:val="975"/>
    <w:link w:val="974"/>
    <w:qFormat/>
    <w:rPr>
      <w:rFonts w:ascii="宋体"/>
      <w:sz w:val="24"/>
    </w:rPr>
  </w:style>
  <w:style w:type="paragraph" w:styleId="976">
    <w:name w:val="目录 2"/>
    <w:basedOn w:val="918"/>
    <w:next w:val="918"/>
    <w:link w:val="918"/>
    <w:uiPriority w:val="39"/>
    <w:qFormat/>
    <w:pPr>
      <w:ind w:left="420"/>
      <w:spacing w:line="312" w:lineRule="auto"/>
      <w:tabs>
        <w:tab w:val="right" w:pos="8937" w:leader="dot"/>
      </w:tabs>
    </w:pPr>
  </w:style>
  <w:style w:type="paragraph" w:styleId="977">
    <w:name w:val="目录 9"/>
    <w:basedOn w:val="918"/>
    <w:next w:val="918"/>
    <w:link w:val="918"/>
    <w:qFormat/>
    <w:pPr>
      <w:ind w:left="3360"/>
    </w:pPr>
  </w:style>
  <w:style w:type="paragraph" w:styleId="978">
    <w:name w:val="HTML 预设格式"/>
    <w:basedOn w:val="918"/>
    <w:next w:val="978"/>
    <w:link w:val="97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79">
    <w:name w:val="HTML 预设格式 Char"/>
    <w:next w:val="979"/>
    <w:link w:val="978"/>
    <w:qFormat/>
    <w:rPr>
      <w:rFonts w:ascii="宋体" w:hAnsi="宋体" w:cs="宋体"/>
      <w:sz w:val="24"/>
      <w:szCs w:val="24"/>
    </w:rPr>
  </w:style>
  <w:style w:type="paragraph" w:styleId="980">
    <w:name w:val="普通(网站)"/>
    <w:basedOn w:val="918"/>
    <w:next w:val="980"/>
    <w:link w:val="918"/>
    <w:unhideWhenUsed/>
    <w:qFormat/>
    <w:pPr>
      <w:jc w:val="left"/>
      <w:spacing w:before="100" w:beforeAutospacing="1" w:after="100" w:afterAutospacing="1"/>
      <w:widowControl/>
    </w:pPr>
    <w:rPr>
      <w:rFonts w:ascii="宋体" w:hAnsi="宋体" w:cs="宋体"/>
      <w:sz w:val="24"/>
    </w:rPr>
  </w:style>
  <w:style w:type="paragraph" w:styleId="981">
    <w:name w:val="索引 1"/>
    <w:basedOn w:val="918"/>
    <w:next w:val="918"/>
    <w:link w:val="918"/>
    <w:qFormat/>
    <w:rPr>
      <w:szCs w:val="20"/>
    </w:rPr>
  </w:style>
  <w:style w:type="paragraph" w:styleId="982">
    <w:name w:val="标题"/>
    <w:basedOn w:val="918"/>
    <w:next w:val="982"/>
    <w:link w:val="983"/>
    <w:qFormat/>
    <w:pPr>
      <w:jc w:val="center"/>
      <w:outlineLvl w:val="0"/>
    </w:pPr>
    <w:rPr>
      <w:b/>
      <w:sz w:val="32"/>
      <w:szCs w:val="20"/>
    </w:rPr>
  </w:style>
  <w:style w:type="character" w:styleId="983">
    <w:name w:val="标题 Char1"/>
    <w:next w:val="983"/>
    <w:link w:val="982"/>
    <w:qFormat/>
    <w:rPr>
      <w:b/>
      <w:sz w:val="32"/>
    </w:rPr>
  </w:style>
  <w:style w:type="paragraph" w:styleId="984">
    <w:name w:val="批注主题"/>
    <w:basedOn w:val="945"/>
    <w:next w:val="945"/>
    <w:link w:val="985"/>
    <w:qFormat/>
    <w:rPr>
      <w:b/>
      <w:bCs/>
    </w:rPr>
  </w:style>
  <w:style w:type="character" w:styleId="985">
    <w:name w:val="批注主题 Char"/>
    <w:next w:val="985"/>
    <w:link w:val="984"/>
    <w:qFormat/>
    <w:rPr>
      <w:rFonts w:ascii="Times New Roman" w:hAnsi="Times New Roman" w:eastAsia="宋体" w:cs="Times New Roman"/>
      <w:b/>
      <w:bCs/>
      <w:sz w:val="21"/>
      <w:szCs w:val="24"/>
      <w:lang w:val="en-US" w:eastAsia="zh-CN" w:bidi="ar-SA"/>
    </w:rPr>
  </w:style>
  <w:style w:type="paragraph" w:styleId="986">
    <w:name w:val="正文首行缩进"/>
    <w:basedOn w:val="949"/>
    <w:next w:val="986"/>
    <w:link w:val="918"/>
    <w:uiPriority w:val="99"/>
    <w:unhideWhenUsed/>
    <w:qFormat/>
    <w:pPr>
      <w:ind w:firstLine="420"/>
      <w:tabs>
        <w:tab w:val="left" w:pos="567" w:leader="none"/>
      </w:tabs>
    </w:pPr>
  </w:style>
  <w:style w:type="paragraph" w:styleId="987">
    <w:name w:val="正文首行缩进 2"/>
    <w:basedOn w:val="951"/>
    <w:next w:val="987"/>
    <w:link w:val="988"/>
    <w:qFormat/>
    <w:pPr>
      <w:ind w:left="420" w:firstLine="420"/>
      <w:spacing w:after="120" w:line="480" w:lineRule="exact"/>
    </w:pPr>
    <w:rPr>
      <w:szCs w:val="20"/>
    </w:rPr>
  </w:style>
  <w:style w:type="character" w:styleId="988">
    <w:name w:val="正文首行缩进 2 Char"/>
    <w:next w:val="988"/>
    <w:link w:val="987"/>
    <w:qFormat/>
    <w:rPr>
      <w:rFonts w:eastAsia="宋体"/>
      <w:sz w:val="24"/>
      <w:szCs w:val="24"/>
      <w:lang w:val="en-US" w:eastAsia="zh-CN" w:bidi="ar-SA"/>
    </w:rPr>
  </w:style>
  <w:style w:type="table" w:styleId="989">
    <w:name w:val="网格型"/>
    <w:basedOn w:val="929"/>
    <w:next w:val="989"/>
    <w:link w:val="918"/>
    <w:uiPriority w:val="59"/>
    <w:qFormat/>
    <w:tblPr/>
  </w:style>
  <w:style w:type="table" w:styleId="990">
    <w:name w:val="中等深浅网格 1 - 强调文字颜色 2"/>
    <w:basedOn w:val="929"/>
    <w:next w:val="990"/>
    <w:link w:val="918"/>
    <w:qFormat/>
    <w:rPr>
      <w:sz w:val="21"/>
      <w:szCs w:val="24"/>
    </w:rPr>
    <w:tblPr/>
  </w:style>
  <w:style w:type="character" w:styleId="991">
    <w:name w:val="要点"/>
    <w:next w:val="991"/>
    <w:link w:val="918"/>
    <w:uiPriority w:val="22"/>
    <w:qFormat/>
    <w:rPr>
      <w:b/>
      <w:bCs/>
    </w:rPr>
  </w:style>
  <w:style w:type="character" w:styleId="992">
    <w:name w:val="页码"/>
    <w:next w:val="992"/>
    <w:link w:val="918"/>
    <w:qFormat/>
  </w:style>
  <w:style w:type="character" w:styleId="993">
    <w:name w:val="已访问的超链接"/>
    <w:next w:val="993"/>
    <w:link w:val="918"/>
    <w:qFormat/>
    <w:rPr>
      <w:color w:val="800080"/>
      <w:u w:val="single"/>
    </w:rPr>
  </w:style>
  <w:style w:type="character" w:styleId="994">
    <w:name w:val="强调"/>
    <w:next w:val="994"/>
    <w:link w:val="918"/>
    <w:uiPriority w:val="20"/>
    <w:qFormat/>
    <w:rPr>
      <w:color w:val="cc0033"/>
    </w:rPr>
  </w:style>
  <w:style w:type="character" w:styleId="995">
    <w:name w:val="超链接"/>
    <w:next w:val="995"/>
    <w:link w:val="918"/>
    <w:uiPriority w:val="99"/>
    <w:qFormat/>
    <w:rPr>
      <w:color w:val="0000ff"/>
      <w:u w:val="single"/>
    </w:rPr>
  </w:style>
  <w:style w:type="character" w:styleId="996">
    <w:name w:val="批注引用"/>
    <w:next w:val="996"/>
    <w:link w:val="918"/>
    <w:uiPriority w:val="99"/>
    <w:qFormat/>
    <w:rPr>
      <w:sz w:val="21"/>
      <w:szCs w:val="21"/>
    </w:rPr>
  </w:style>
  <w:style w:type="character" w:styleId="997">
    <w:name w:val="HTML 引文"/>
    <w:next w:val="997"/>
    <w:link w:val="918"/>
    <w:qFormat/>
    <w:rPr>
      <w:i/>
      <w:iCs/>
    </w:rPr>
  </w:style>
  <w:style w:type="character" w:styleId="998">
    <w:name w:val="批注文字 字符"/>
    <w:next w:val="998"/>
    <w:link w:val="918"/>
    <w:uiPriority w:val="99"/>
    <w:qFormat/>
    <w:rPr>
      <w:rFonts w:ascii="Times New Roman" w:hAnsi="Times New Roman" w:eastAsia="宋体" w:cs="Times New Roman"/>
      <w:sz w:val="24"/>
      <w:lang w:val="en-US" w:eastAsia="zh-CN" w:bidi="ar-SA"/>
    </w:rPr>
  </w:style>
  <w:style w:type="character" w:styleId="999">
    <w:name w:val="c21"/>
    <w:next w:val="999"/>
    <w:link w:val="918"/>
    <w:qFormat/>
    <w:rPr>
      <w:rFonts w:ascii="ˎ̥" w:hAnsi="ˎ̥"/>
      <w:color w:val="000000"/>
      <w:sz w:val="20"/>
      <w:szCs w:val="20"/>
      <w:u w:val="none"/>
    </w:rPr>
  </w:style>
  <w:style w:type="character" w:styleId="1000">
    <w:name w:val="title4"/>
    <w:next w:val="1000"/>
    <w:link w:val="918"/>
    <w:qFormat/>
    <w:rPr>
      <w:b/>
      <w:bCs/>
      <w:color w:val="1d87b3"/>
      <w:sz w:val="15"/>
      <w:szCs w:val="15"/>
    </w:rPr>
  </w:style>
  <w:style w:type="character" w:styleId="1001">
    <w:name w:val="标题 2 Char Char"/>
    <w:next w:val="1001"/>
    <w:link w:val="918"/>
    <w:qFormat/>
    <w:rPr>
      <w:rFonts w:ascii="Arial" w:hAnsi="Arial" w:eastAsia="黑体"/>
      <w:b/>
      <w:bCs/>
      <w:sz w:val="32"/>
      <w:szCs w:val="32"/>
      <w:lang w:val="en-US" w:eastAsia="zh-CN" w:bidi="ar-SA"/>
    </w:rPr>
  </w:style>
  <w:style w:type="character" w:styleId="1002">
    <w:name w:val="black1"/>
    <w:next w:val="1002"/>
    <w:link w:val="918"/>
    <w:qFormat/>
    <w:rPr>
      <w:color w:val="000000"/>
    </w:rPr>
  </w:style>
  <w:style w:type="character" w:styleId="1003">
    <w:name w:val="street-address"/>
    <w:next w:val="1003"/>
    <w:link w:val="918"/>
    <w:qFormat/>
  </w:style>
  <w:style w:type="character" w:styleId="1004">
    <w:name w:val="locality"/>
    <w:next w:val="1004"/>
    <w:link w:val="918"/>
    <w:qFormat/>
  </w:style>
  <w:style w:type="character" w:styleId="1005">
    <w:name w:val="正文文本缩进 Char1"/>
    <w:next w:val="1005"/>
    <w:link w:val="1006"/>
    <w:qFormat/>
    <w:rPr>
      <w:rFonts w:ascii="宋体" w:hAnsi="宋体" w:eastAsia="宋体"/>
      <w:sz w:val="24"/>
      <w:szCs w:val="24"/>
      <w:lang w:bidi="ar-SA"/>
    </w:rPr>
  </w:style>
  <w:style w:type="paragraph" w:styleId="1006">
    <w:name w:val="正文文本缩进1"/>
    <w:basedOn w:val="918"/>
    <w:next w:val="1006"/>
    <w:link w:val="1005"/>
    <w:qFormat/>
    <w:pPr>
      <w:ind w:firstLine="480"/>
      <w:spacing w:line="480" w:lineRule="exact"/>
    </w:pPr>
    <w:rPr>
      <w:rFonts w:ascii="宋体" w:hAnsi="宋体"/>
      <w:sz w:val="24"/>
    </w:rPr>
  </w:style>
  <w:style w:type="character" w:styleId="1007">
    <w:name w:val="Char Char11"/>
    <w:next w:val="1007"/>
    <w:link w:val="918"/>
    <w:qFormat/>
    <w:rPr>
      <w:rFonts w:ascii="宋体" w:eastAsia="宋体"/>
      <w:b/>
      <w:sz w:val="24"/>
      <w:u w:val="single"/>
      <w:lang w:val="en-US" w:eastAsia="zh-CN" w:bidi="ar-SA"/>
    </w:rPr>
  </w:style>
  <w:style w:type="character" w:styleId="1008">
    <w:name w:val="txt"/>
    <w:next w:val="1008"/>
    <w:link w:val="918"/>
    <w:qFormat/>
  </w:style>
  <w:style w:type="character" w:styleId="1009">
    <w:name w:val="正文缩进 Char Char"/>
    <w:next w:val="1009"/>
    <w:link w:val="1010"/>
    <w:qFormat/>
    <w:rPr>
      <w:rFonts w:ascii="宋体" w:eastAsia="宋体"/>
      <w:color w:val="000000"/>
      <w:sz w:val="28"/>
      <w:lang w:bidi="ar-SA"/>
    </w:rPr>
  </w:style>
  <w:style w:type="paragraph" w:styleId="1010">
    <w:name w:val="正文缩进1"/>
    <w:basedOn w:val="918"/>
    <w:next w:val="1010"/>
    <w:link w:val="1009"/>
    <w:qFormat/>
    <w:pPr>
      <w:ind w:firstLine="567"/>
      <w:spacing w:line="480" w:lineRule="exact"/>
      <w:widowControl/>
    </w:pPr>
    <w:rPr>
      <w:rFonts w:ascii="宋体"/>
      <w:color w:val="000000"/>
      <w:sz w:val="28"/>
      <w:szCs w:val="20"/>
    </w:rPr>
  </w:style>
  <w:style w:type="character" w:styleId="1011">
    <w:name w:val="普通文字1 Char1"/>
    <w:next w:val="1011"/>
    <w:link w:val="918"/>
    <w:qFormat/>
    <w:rPr>
      <w:rFonts w:ascii="宋体" w:hAnsi="Courier New" w:eastAsia="宋体"/>
      <w:sz w:val="21"/>
      <w:lang w:val="en-US" w:eastAsia="zh-CN" w:bidi="ar-SA"/>
    </w:rPr>
  </w:style>
  <w:style w:type="character" w:styleId="1012">
    <w:name w:val="chanpin1"/>
    <w:next w:val="1012"/>
    <w:link w:val="918"/>
    <w:qFormat/>
    <w:rPr>
      <w:rFonts w:ascii="ˎ̥" w:hAnsi="ˎ̥"/>
      <w:color w:val="000000"/>
      <w:sz w:val="20"/>
      <w:szCs w:val="20"/>
      <w:u w:val="none"/>
    </w:rPr>
  </w:style>
  <w:style w:type="character" w:styleId="1013">
    <w:name w:val="列出段落 Char1"/>
    <w:next w:val="1013"/>
    <w:link w:val="1014"/>
    <w:uiPriority w:val="34"/>
    <w:qFormat/>
    <w:rPr>
      <w:rFonts w:ascii="Calibri" w:hAnsi="Calibri" w:eastAsia="宋体"/>
      <w:sz w:val="21"/>
      <w:szCs w:val="22"/>
      <w:lang w:val="en-US" w:eastAsia="zh-CN" w:bidi="ar-SA"/>
    </w:rPr>
  </w:style>
  <w:style w:type="paragraph" w:styleId="1014">
    <w:name w:val="列出段落"/>
    <w:basedOn w:val="918"/>
    <w:next w:val="1014"/>
    <w:link w:val="1013"/>
    <w:uiPriority w:val="34"/>
    <w:qFormat/>
    <w:pPr>
      <w:ind w:firstLine="420"/>
    </w:pPr>
    <w:rPr>
      <w:rFonts w:ascii="Calibri" w:hAnsi="Calibri"/>
      <w:szCs w:val="22"/>
    </w:rPr>
  </w:style>
  <w:style w:type="character" w:styleId="1015">
    <w:name w:val="标题 3 Char Char"/>
    <w:next w:val="1015"/>
    <w:link w:val="918"/>
    <w:qFormat/>
    <w:rPr>
      <w:rFonts w:eastAsia="宋体"/>
      <w:b/>
      <w:bCs/>
      <w:sz w:val="32"/>
      <w:szCs w:val="32"/>
      <w:lang w:val="en-US" w:eastAsia="zh-CN" w:bidi="ar-SA"/>
    </w:rPr>
  </w:style>
  <w:style w:type="character" w:styleId="1016">
    <w:name w:val="段1 Char"/>
    <w:next w:val="1016"/>
    <w:link w:val="918"/>
    <w:qFormat/>
    <w:rPr>
      <w:rFonts w:ascii="宋体" w:eastAsia="宋体"/>
      <w:sz w:val="24"/>
      <w:lang w:val="en-US" w:eastAsia="zh-CN" w:bidi="ar-SA"/>
    </w:rPr>
  </w:style>
  <w:style w:type="character" w:styleId="1017">
    <w:name w:val="chanpin拷贝"/>
    <w:next w:val="1017"/>
    <w:link w:val="918"/>
    <w:qFormat/>
  </w:style>
  <w:style w:type="character" w:styleId="1018">
    <w:name w:val="纯文本 Char1"/>
    <w:next w:val="1018"/>
    <w:link w:val="918"/>
    <w:qFormat/>
    <w:rPr>
      <w:rFonts w:ascii="宋体" w:hAnsi="Courier New" w:eastAsia="宋体"/>
      <w:sz w:val="21"/>
      <w:lang w:val="en-US" w:eastAsia="zh-CN" w:bidi="ar-SA"/>
    </w:rPr>
  </w:style>
  <w:style w:type="character" w:styleId="1019">
    <w:name w:val="apple-style-span"/>
    <w:next w:val="1019"/>
    <w:link w:val="918"/>
    <w:qFormat/>
    <w:rPr>
      <w:rFonts w:cs="Times New Roman"/>
    </w:rPr>
  </w:style>
  <w:style w:type="paragraph" w:styleId="1020">
    <w:name w:val="二级条标题"/>
    <w:basedOn w:val="1021"/>
    <w:next w:val="918"/>
    <w:link w:val="918"/>
    <w:qFormat/>
    <w:pPr>
      <w:numPr>
        <w:ilvl w:val="0"/>
        <w:numId w:val="0"/>
      </w:numPr>
      <w:ind w:hanging="840"/>
      <w:tabs>
        <w:tab w:val="left" w:pos="360" w:leader="none"/>
        <w:tab w:val="left" w:pos="840" w:leader="none"/>
      </w:tabs>
      <w:outlineLvl w:val="2"/>
    </w:pPr>
    <w:rPr>
      <w:rFonts w:ascii="宋体" w:eastAsia="宋体"/>
      <w:b w:val="0"/>
    </w:rPr>
  </w:style>
  <w:style w:type="paragraph" w:styleId="1021">
    <w:name w:val="一级条标题"/>
    <w:basedOn w:val="1022"/>
    <w:next w:val="918"/>
    <w:link w:val="918"/>
    <w:qFormat/>
    <w:pPr>
      <w:numPr>
        <w:ilvl w:val="1"/>
      </w:numPr>
      <w:ind w:left="0" w:hanging="840"/>
      <w:tabs>
        <w:tab w:val="left" w:pos="360" w:leader="none"/>
        <w:tab w:val="left" w:pos="840" w:leader="none"/>
      </w:tabs>
      <w:outlineLvl w:val="1"/>
    </w:pPr>
  </w:style>
  <w:style w:type="paragraph" w:styleId="1022">
    <w:name w:val="章标题"/>
    <w:next w:val="918"/>
    <w:link w:val="91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23">
    <w:name w:val="font7"/>
    <w:basedOn w:val="918"/>
    <w:next w:val="1023"/>
    <w:link w:val="918"/>
    <w:qFormat/>
    <w:pPr>
      <w:jc w:val="left"/>
      <w:spacing w:before="100" w:beforeAutospacing="1" w:after="100" w:afterAutospacing="1"/>
      <w:widowControl/>
    </w:pPr>
    <w:rPr>
      <w:rFonts w:eastAsia="Arial Unicode MS"/>
      <w:b/>
      <w:bCs/>
      <w:color w:val="000000"/>
      <w:sz w:val="20"/>
      <w:szCs w:val="20"/>
    </w:rPr>
  </w:style>
  <w:style w:type="paragraph" w:styleId="1024">
    <w:name w:val="字元 字元"/>
    <w:basedOn w:val="918"/>
    <w:next w:val="1024"/>
    <w:link w:val="918"/>
    <w:qFormat/>
    <w:rPr>
      <w:rFonts w:ascii="Tahoma" w:hAnsi="Tahoma"/>
      <w:sz w:val="24"/>
      <w:szCs w:val="20"/>
    </w:rPr>
  </w:style>
  <w:style w:type="paragraph" w:styleId="1025">
    <w:name w:val="Char3 Char Char Char"/>
    <w:basedOn w:val="918"/>
    <w:next w:val="1025"/>
    <w:link w:val="918"/>
    <w:qFormat/>
    <w:rPr>
      <w:rFonts w:ascii="Tahoma" w:hAnsi="Tahoma"/>
      <w:sz w:val="24"/>
      <w:szCs w:val="20"/>
    </w:rPr>
  </w:style>
  <w:style w:type="paragraph" w:styleId="1026">
    <w:name w:val="font6"/>
    <w:basedOn w:val="918"/>
    <w:next w:val="1026"/>
    <w:link w:val="918"/>
    <w:qFormat/>
    <w:pPr>
      <w:jc w:val="left"/>
      <w:spacing w:before="100" w:beforeAutospacing="1" w:after="100" w:afterAutospacing="1"/>
      <w:widowControl/>
    </w:pPr>
    <w:rPr>
      <w:rFonts w:ascii="宋体" w:hAnsi="宋体" w:cs="宋体"/>
      <w:sz w:val="20"/>
      <w:szCs w:val="20"/>
    </w:rPr>
  </w:style>
  <w:style w:type="paragraph" w:styleId="1027">
    <w:name w:val="项目编号2"/>
    <w:basedOn w:val="1028"/>
    <w:next w:val="1027"/>
    <w:link w:val="918"/>
    <w:qFormat/>
    <w:pPr>
      <w:numPr>
        <w:numId w:val="3"/>
      </w:numPr>
    </w:pPr>
  </w:style>
  <w:style w:type="paragraph" w:styleId="1028">
    <w:name w:val="项目编号1"/>
    <w:basedOn w:val="918"/>
    <w:next w:val="1028"/>
    <w:link w:val="918"/>
    <w:qFormat/>
    <w:pPr>
      <w:numPr>
        <w:ilvl w:val="0"/>
        <w:numId w:val="2"/>
      </w:numPr>
      <w:spacing w:before="100" w:beforeAutospacing="1" w:after="100" w:afterAutospacing="1" w:line="360" w:lineRule="auto"/>
    </w:pPr>
    <w:rPr>
      <w:sz w:val="24"/>
    </w:rPr>
  </w:style>
  <w:style w:type="paragraph" w:styleId="1029">
    <w:name w:val="图中文字"/>
    <w:basedOn w:val="918"/>
    <w:next w:val="1029"/>
    <w:link w:val="918"/>
    <w:qFormat/>
    <w:pPr>
      <w:jc w:val="center"/>
      <w:spacing w:line="0" w:lineRule="atLeast"/>
    </w:pPr>
    <w:rPr>
      <w:sz w:val="24"/>
      <w:szCs w:val="20"/>
    </w:rPr>
  </w:style>
  <w:style w:type="paragraph" w:styleId="1030">
    <w:name w:val="xl46"/>
    <w:basedOn w:val="918"/>
    <w:next w:val="1030"/>
    <w:link w:val="91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31">
    <w:name w:val="xl25"/>
    <w:basedOn w:val="918"/>
    <w:next w:val="1031"/>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2">
    <w:name w:val="Char2"/>
    <w:basedOn w:val="918"/>
    <w:next w:val="1032"/>
    <w:link w:val="918"/>
    <w:qFormat/>
    <w:rPr>
      <w:rFonts w:ascii="Tahoma" w:hAnsi="Tahoma"/>
      <w:sz w:val="24"/>
      <w:szCs w:val="20"/>
    </w:rPr>
  </w:style>
  <w:style w:type="paragraph" w:styleId="1033">
    <w:name w:val="xl35"/>
    <w:basedOn w:val="918"/>
    <w:next w:val="1033"/>
    <w:link w:val="9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34">
    <w:name w:val="xl40"/>
    <w:basedOn w:val="918"/>
    <w:next w:val="1034"/>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35">
    <w:name w:val="xl52"/>
    <w:basedOn w:val="918"/>
    <w:next w:val="1035"/>
    <w:link w:val="9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36">
    <w:name w:val="xl43"/>
    <w:basedOn w:val="918"/>
    <w:next w:val="1036"/>
    <w:link w:val="9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37">
    <w:name w:val="background1"/>
    <w:basedOn w:val="918"/>
    <w:next w:val="1037"/>
    <w:link w:val="918"/>
    <w:qFormat/>
    <w:pPr>
      <w:jc w:val="left"/>
      <w:spacing w:before="100" w:beforeAutospacing="1" w:after="100" w:afterAutospacing="1"/>
      <w:widowControl/>
    </w:pPr>
    <w:rPr>
      <w:rFonts w:ascii="宋体" w:hAnsi="宋体" w:cs="宋体"/>
      <w:sz w:val="24"/>
    </w:rPr>
  </w:style>
  <w:style w:type="paragraph" w:styleId="1038">
    <w:name w:val="Char Char Char Char Char Char Char"/>
    <w:basedOn w:val="918"/>
    <w:next w:val="1038"/>
    <w:link w:val="918"/>
    <w:qFormat/>
    <w:pPr>
      <w:ind w:firstLine="200"/>
      <w:spacing w:line="360" w:lineRule="auto"/>
    </w:pPr>
    <w:rPr>
      <w:rFonts w:eastAsia="仿宋_GB2312"/>
      <w:sz w:val="24"/>
    </w:rPr>
  </w:style>
  <w:style w:type="paragraph" w:styleId="1039">
    <w:name w:val="xl38"/>
    <w:basedOn w:val="918"/>
    <w:next w:val="1039"/>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40">
    <w:name w:val="xl36"/>
    <w:basedOn w:val="918"/>
    <w:next w:val="1040"/>
    <w:link w:val="91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1">
    <w:name w:val="正文 + 宋体"/>
    <w:basedOn w:val="918"/>
    <w:next w:val="1041"/>
    <w:link w:val="918"/>
    <w:qFormat/>
    <w:pPr>
      <w:ind w:left="360" w:hanging="360"/>
      <w:jc w:val="left"/>
      <w:widowControl/>
    </w:pPr>
    <w:rPr>
      <w:rFonts w:ascii="宋体" w:hAnsi="宋体" w:cs="宋体"/>
      <w:b/>
      <w:bCs/>
      <w:color w:val="000000"/>
      <w:sz w:val="18"/>
      <w:szCs w:val="18"/>
    </w:rPr>
  </w:style>
  <w:style w:type="paragraph" w:styleId="1042">
    <w:name w:val="正文列项_数字"/>
    <w:basedOn w:val="918"/>
    <w:next w:val="1042"/>
    <w:link w:val="918"/>
    <w:qFormat/>
    <w:pPr>
      <w:numPr>
        <w:ilvl w:val="7"/>
        <w:numId w:val="1"/>
      </w:numPr>
      <w:ind w:left="680" w:hanging="150"/>
      <w:spacing w:line="460" w:lineRule="exact"/>
      <w:tabs>
        <w:tab w:val="clear" w:pos="860" w:leader="none"/>
      </w:tabs>
      <w:outlineLvl w:val="7"/>
    </w:pPr>
    <w:rPr>
      <w:rFonts w:ascii="宋体"/>
      <w:sz w:val="28"/>
      <w:szCs w:val="20"/>
    </w:rPr>
  </w:style>
  <w:style w:type="paragraph" w:styleId="1043">
    <w:name w:val="xl39"/>
    <w:basedOn w:val="918"/>
    <w:next w:val="1043"/>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4">
    <w:name w:val="xl37"/>
    <w:basedOn w:val="918"/>
    <w:next w:val="1044"/>
    <w:link w:val="9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5">
    <w:name w:val="xl32"/>
    <w:basedOn w:val="918"/>
    <w:next w:val="1045"/>
    <w:link w:val="9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6">
    <w:name w:val="font8"/>
    <w:basedOn w:val="918"/>
    <w:next w:val="1046"/>
    <w:link w:val="918"/>
    <w:qFormat/>
    <w:pPr>
      <w:jc w:val="left"/>
      <w:spacing w:before="100" w:beforeAutospacing="1" w:after="100" w:afterAutospacing="1"/>
      <w:widowControl/>
    </w:pPr>
    <w:rPr>
      <w:sz w:val="36"/>
      <w:szCs w:val="36"/>
    </w:rPr>
  </w:style>
  <w:style w:type="paragraph" w:styleId="1047">
    <w:name w:val="Char"/>
    <w:basedOn w:val="918"/>
    <w:next w:val="1047"/>
    <w:link w:val="918"/>
    <w:qFormat/>
    <w:pPr>
      <w:tabs>
        <w:tab w:val="left" w:pos="360" w:leader="none"/>
      </w:tabs>
    </w:pPr>
    <w:rPr>
      <w:sz w:val="24"/>
    </w:rPr>
  </w:style>
  <w:style w:type="paragraph" w:styleId="1048">
    <w:name w:val="Char Char Char Char Char Char Char Char Char Char Char Char Char Char Char Char"/>
    <w:basedOn w:val="918"/>
    <w:next w:val="1048"/>
    <w:link w:val="918"/>
    <w:qFormat/>
    <w:pPr>
      <w:jc w:val="center"/>
      <w:spacing w:after="160" w:line="240" w:lineRule="exact"/>
      <w:widowControl/>
    </w:pPr>
    <w:rPr>
      <w:rFonts w:ascii="宋体" w:hAnsi="宋体"/>
      <w:b/>
      <w:sz w:val="30"/>
      <w:szCs w:val="30"/>
      <w:lang w:eastAsia="en-US"/>
    </w:rPr>
  </w:style>
  <w:style w:type="paragraph" w:styleId="1049">
    <w:name w:val="xl45"/>
    <w:basedOn w:val="918"/>
    <w:next w:val="1049"/>
    <w:link w:val="9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0">
    <w:name w:val="Char Char1 Char Char Char Char Char Char"/>
    <w:basedOn w:val="918"/>
    <w:next w:val="1050"/>
    <w:link w:val="918"/>
    <w:qFormat/>
    <w:pPr>
      <w:jc w:val="left"/>
      <w:spacing w:after="160" w:line="240" w:lineRule="exact"/>
      <w:widowControl/>
    </w:pPr>
    <w:rPr>
      <w:rFonts w:ascii="Verdana" w:hAnsi="Verdana" w:eastAsia="仿宋_GB2312"/>
      <w:sz w:val="24"/>
      <w:szCs w:val="20"/>
      <w:lang w:eastAsia="en-US"/>
    </w:rPr>
  </w:style>
  <w:style w:type="paragraph" w:styleId="1051">
    <w:name w:val="Char Char1"/>
    <w:basedOn w:val="943"/>
    <w:next w:val="1051"/>
    <w:link w:val="918"/>
    <w:qFormat/>
    <w:rPr>
      <w:rFonts w:ascii="Tahoma" w:hAnsi="Tahoma"/>
      <w:sz w:val="24"/>
    </w:rPr>
  </w:style>
  <w:style w:type="paragraph" w:styleId="1052">
    <w:name w:val="xl26"/>
    <w:basedOn w:val="918"/>
    <w:next w:val="1052"/>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53">
    <w:name w:val="xl30"/>
    <w:basedOn w:val="918"/>
    <w:next w:val="1053"/>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4">
    <w:name w:val="xl41"/>
    <w:basedOn w:val="918"/>
    <w:next w:val="1054"/>
    <w:link w:val="91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5">
    <w:name w:val="样式 宋体 五号 行距: 单倍行距"/>
    <w:basedOn w:val="918"/>
    <w:next w:val="1055"/>
    <w:link w:val="918"/>
    <w:qFormat/>
    <w:pPr>
      <w:jc w:val="left"/>
    </w:pPr>
    <w:rPr>
      <w:rFonts w:ascii="宋体" w:hAnsi="宋体"/>
      <w:szCs w:val="20"/>
    </w:rPr>
  </w:style>
  <w:style w:type="paragraph" w:styleId="1056">
    <w:name w:val="Char1 Char Char Char1"/>
    <w:basedOn w:val="918"/>
    <w:next w:val="1056"/>
    <w:link w:val="918"/>
    <w:qFormat/>
    <w:rPr>
      <w:rFonts w:ascii="Tahoma" w:hAnsi="Tahoma" w:cs="仿宋_GB2312"/>
      <w:sz w:val="24"/>
      <w:szCs w:val="28"/>
    </w:rPr>
  </w:style>
  <w:style w:type="paragraph" w:styleId="1057">
    <w:name w:val="四级条标题"/>
    <w:basedOn w:val="1058"/>
    <w:next w:val="918"/>
    <w:link w:val="918"/>
    <w:qFormat/>
    <w:pPr>
      <w:numPr>
        <w:ilvl w:val="4"/>
      </w:numPr>
      <w:ind w:left="0" w:hanging="840"/>
      <w:tabs>
        <w:tab w:val="left" w:pos="360" w:leader="none"/>
        <w:tab w:val="left" w:pos="840" w:leader="none"/>
      </w:tabs>
      <w:outlineLvl w:val="4"/>
    </w:pPr>
  </w:style>
  <w:style w:type="paragraph" w:styleId="1058">
    <w:name w:val="三级条标题"/>
    <w:basedOn w:val="1020"/>
    <w:next w:val="918"/>
    <w:link w:val="918"/>
    <w:qFormat/>
    <w:pPr>
      <w:numPr>
        <w:ilvl w:val="3"/>
        <w:numId w:val="1"/>
      </w:numPr>
      <w:ind w:left="0" w:hanging="840"/>
      <w:tabs>
        <w:tab w:val="left" w:pos="360" w:leader="none"/>
        <w:tab w:val="left" w:pos="840" w:leader="none"/>
      </w:tabs>
      <w:outlineLvl w:val="3"/>
    </w:pPr>
  </w:style>
  <w:style w:type="paragraph" w:styleId="1059">
    <w:name w:val="??"/>
    <w:next w:val="1059"/>
    <w:link w:val="918"/>
    <w:qFormat/>
    <w:pPr>
      <w:jc w:val="both"/>
      <w:widowControl w:val="off"/>
    </w:pPr>
    <w:rPr>
      <w:sz w:val="21"/>
      <w:lang w:val="en-US" w:eastAsia="en-US" w:bidi="ar-SA"/>
    </w:rPr>
  </w:style>
  <w:style w:type="paragraph" w:styleId="1060">
    <w:name w:val="样式 标题 2 + 宋体 五号 行距: 单倍行距"/>
    <w:basedOn w:val="920"/>
    <w:next w:val="1060"/>
    <w:link w:val="91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61">
    <w:name w:val="List Paragraph1"/>
    <w:basedOn w:val="918"/>
    <w:next w:val="1061"/>
    <w:link w:val="918"/>
    <w:qFormat/>
    <w:pPr>
      <w:ind w:firstLine="420"/>
    </w:pPr>
    <w:rPr>
      <w:rFonts w:ascii="Calibri" w:hAnsi="Calibri"/>
      <w:szCs w:val="22"/>
    </w:rPr>
  </w:style>
  <w:style w:type="paragraph" w:styleId="1062">
    <w:name w:val="项目符号1"/>
    <w:basedOn w:val="1063"/>
    <w:next w:val="1062"/>
    <w:link w:val="918"/>
    <w:qFormat/>
    <w:pPr>
      <w:ind w:left="-25" w:firstLine="0"/>
    </w:pPr>
  </w:style>
  <w:style w:type="paragraph" w:styleId="1063">
    <w:name w:val="正文文本样式"/>
    <w:basedOn w:val="918"/>
    <w:next w:val="1063"/>
    <w:link w:val="918"/>
    <w:qFormat/>
    <w:pPr>
      <w:ind w:firstLine="482"/>
      <w:spacing w:line="360" w:lineRule="auto"/>
    </w:pPr>
    <w:rPr>
      <w:rFonts w:cs="宋体"/>
      <w:sz w:val="24"/>
      <w:szCs w:val="20"/>
    </w:rPr>
  </w:style>
  <w:style w:type="paragraph" w:styleId="1064">
    <w:name w:val="xl27"/>
    <w:basedOn w:val="918"/>
    <w:next w:val="1064"/>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65">
    <w:name w:val="font5"/>
    <w:basedOn w:val="918"/>
    <w:next w:val="1065"/>
    <w:link w:val="918"/>
    <w:qFormat/>
    <w:pPr>
      <w:jc w:val="left"/>
      <w:spacing w:before="100" w:beforeAutospacing="1" w:after="100" w:afterAutospacing="1"/>
      <w:widowControl/>
    </w:pPr>
    <w:rPr>
      <w:rFonts w:ascii="宋体" w:hAnsi="宋体" w:cs="宋体"/>
      <w:sz w:val="18"/>
      <w:szCs w:val="18"/>
    </w:rPr>
  </w:style>
  <w:style w:type="paragraph" w:styleId="1066">
    <w:name w:val="五级条标题"/>
    <w:basedOn w:val="1057"/>
    <w:next w:val="918"/>
    <w:link w:val="918"/>
    <w:qFormat/>
    <w:pPr>
      <w:numPr>
        <w:ilvl w:val="5"/>
      </w:numPr>
      <w:ind w:left="0" w:hanging="840"/>
      <w:tabs>
        <w:tab w:val="left" w:pos="360" w:leader="none"/>
        <w:tab w:val="left" w:pos="840" w:leader="none"/>
      </w:tabs>
      <w:outlineLvl w:val="5"/>
    </w:pPr>
  </w:style>
  <w:style w:type="paragraph" w:styleId="1067">
    <w:name w:val="xl49"/>
    <w:basedOn w:val="918"/>
    <w:next w:val="1067"/>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68">
    <w:name w:val="文档正文"/>
    <w:basedOn w:val="918"/>
    <w:next w:val="1068"/>
    <w:link w:val="918"/>
    <w:qFormat/>
    <w:pPr>
      <w:spacing w:before="120" w:after="120" w:line="180" w:lineRule="auto"/>
    </w:pPr>
    <w:rPr>
      <w:rFonts w:ascii="Arial" w:hAnsi="Arial"/>
      <w:szCs w:val="20"/>
    </w:rPr>
  </w:style>
  <w:style w:type="paragraph" w:styleId="1069">
    <w:name w:val="xl33"/>
    <w:basedOn w:val="918"/>
    <w:next w:val="1069"/>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0">
    <w:name w:val="xl42"/>
    <w:basedOn w:val="918"/>
    <w:next w:val="1070"/>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71">
    <w:name w:val="Char Char Char1 Char"/>
    <w:basedOn w:val="918"/>
    <w:next w:val="1071"/>
    <w:link w:val="918"/>
    <w:qFormat/>
    <w:rPr>
      <w:rFonts w:ascii="Tahoma" w:hAnsi="Tahoma"/>
      <w:sz w:val="24"/>
      <w:szCs w:val="20"/>
    </w:rPr>
  </w:style>
  <w:style w:type="paragraph" w:styleId="1072">
    <w:name w:val="xl44"/>
    <w:basedOn w:val="918"/>
    <w:next w:val="1072"/>
    <w:link w:val="9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73">
    <w:name w:val="1名"/>
    <w:basedOn w:val="918"/>
    <w:next w:val="1073"/>
    <w:link w:val="918"/>
    <w:qFormat/>
    <w:pPr>
      <w:numPr>
        <w:ilvl w:val="0"/>
        <w:numId w:val="5"/>
      </w:numPr>
      <w:spacing w:before="120"/>
      <w:tabs>
        <w:tab w:val="left" w:pos="360" w:leader="none"/>
      </w:tabs>
    </w:pPr>
    <w:rPr>
      <w:rFonts w:ascii="宋体"/>
      <w:sz w:val="28"/>
      <w:szCs w:val="20"/>
    </w:rPr>
  </w:style>
  <w:style w:type="paragraph" w:styleId="1074">
    <w:name w:val="font9"/>
    <w:basedOn w:val="918"/>
    <w:next w:val="1074"/>
    <w:link w:val="918"/>
    <w:qFormat/>
    <w:pPr>
      <w:jc w:val="left"/>
      <w:spacing w:before="100" w:beforeAutospacing="1" w:after="100" w:afterAutospacing="1"/>
      <w:widowControl/>
    </w:pPr>
    <w:rPr>
      <w:rFonts w:hint="eastAsia" w:ascii="宋体" w:hAnsi="宋体" w:cs="Arial Unicode MS"/>
      <w:color w:val="000000"/>
      <w:sz w:val="20"/>
      <w:szCs w:val="20"/>
    </w:rPr>
  </w:style>
  <w:style w:type="paragraph" w:styleId="1075">
    <w:name w:val="Char Char Char1 Char1"/>
    <w:basedOn w:val="918"/>
    <w:next w:val="1075"/>
    <w:link w:val="918"/>
    <w:qFormat/>
    <w:rPr>
      <w:rFonts w:ascii="Tahoma" w:hAnsi="Tahoma"/>
      <w:sz w:val="24"/>
      <w:szCs w:val="20"/>
    </w:rPr>
  </w:style>
  <w:style w:type="paragraph" w:styleId="1076">
    <w:name w:val="Char Char Char Char Char Char Char Char Char Char"/>
    <w:basedOn w:val="918"/>
    <w:next w:val="1076"/>
    <w:link w:val="918"/>
    <w:qFormat/>
  </w:style>
  <w:style w:type="paragraph" w:styleId="1077">
    <w:name w:val="Char Char1 Char Char Char Char Char Char Char Char"/>
    <w:basedOn w:val="918"/>
    <w:next w:val="1077"/>
    <w:link w:val="918"/>
    <w:qFormat/>
    <w:pPr>
      <w:jc w:val="left"/>
      <w:spacing w:after="160" w:line="240" w:lineRule="exact"/>
      <w:widowControl/>
    </w:pPr>
    <w:rPr>
      <w:rFonts w:ascii="Verdana" w:hAnsi="Verdana"/>
      <w:sz w:val="20"/>
      <w:szCs w:val="20"/>
      <w:lang w:eastAsia="en-US"/>
    </w:rPr>
  </w:style>
  <w:style w:type="paragraph" w:styleId="1078">
    <w:name w:val="Char1"/>
    <w:basedOn w:val="918"/>
    <w:next w:val="1078"/>
    <w:link w:val="918"/>
    <w:qFormat/>
    <w:pPr>
      <w:tabs>
        <w:tab w:val="left" w:pos="360" w:leader="none"/>
      </w:tabs>
    </w:pPr>
    <w:rPr>
      <w:sz w:val="24"/>
    </w:rPr>
  </w:style>
  <w:style w:type="paragraph" w:styleId="1079">
    <w:name w:val="正文列项_字母"/>
    <w:basedOn w:val="918"/>
    <w:next w:val="1079"/>
    <w:link w:val="918"/>
    <w:qFormat/>
    <w:pPr>
      <w:numPr>
        <w:ilvl w:val="6"/>
        <w:numId w:val="1"/>
      </w:numPr>
      <w:ind w:left="480" w:hanging="180"/>
      <w:spacing w:line="460" w:lineRule="exact"/>
      <w:tabs>
        <w:tab w:val="clear" w:pos="635" w:leader="none"/>
      </w:tabs>
      <w:outlineLvl w:val="6"/>
    </w:pPr>
    <w:rPr>
      <w:rFonts w:ascii="宋体"/>
      <w:sz w:val="28"/>
      <w:szCs w:val="20"/>
    </w:rPr>
  </w:style>
  <w:style w:type="paragraph" w:styleId="1080">
    <w:name w:val="xl28"/>
    <w:basedOn w:val="918"/>
    <w:next w:val="1080"/>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1">
    <w:name w:val="xl47"/>
    <w:basedOn w:val="918"/>
    <w:next w:val="1081"/>
    <w:link w:val="9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2">
    <w:name w:val="默认段落字体 Para Char Char Char Char"/>
    <w:basedOn w:val="918"/>
    <w:next w:val="1082"/>
    <w:link w:val="918"/>
    <w:qFormat/>
    <w:rPr>
      <w:rFonts w:ascii="Arial" w:hAnsi="Arial" w:cs="Arial"/>
      <w:szCs w:val="21"/>
    </w:rPr>
  </w:style>
  <w:style w:type="paragraph" w:styleId="1083">
    <w:name w:val="xl48"/>
    <w:basedOn w:val="918"/>
    <w:next w:val="1083"/>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84">
    <w:name w:val="xl31"/>
    <w:basedOn w:val="918"/>
    <w:next w:val="1084"/>
    <w:link w:val="9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5">
    <w:name w:val="xl53"/>
    <w:basedOn w:val="918"/>
    <w:next w:val="1085"/>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6">
    <w:name w:val="Char Char Char"/>
    <w:basedOn w:val="918"/>
    <w:next w:val="1086"/>
    <w:link w:val="918"/>
    <w:qFormat/>
    <w:rPr>
      <w:rFonts w:ascii="Tahoma" w:hAnsi="Tahoma"/>
      <w:sz w:val="24"/>
      <w:szCs w:val="20"/>
    </w:rPr>
  </w:style>
  <w:style w:type="paragraph" w:styleId="1087">
    <w:name w:val="xl50"/>
    <w:basedOn w:val="918"/>
    <w:next w:val="1087"/>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88">
    <w:name w:val="缺省文本"/>
    <w:basedOn w:val="918"/>
    <w:next w:val="1088"/>
    <w:link w:val="918"/>
    <w:qFormat/>
    <w:pPr>
      <w:jc w:val="left"/>
    </w:pPr>
    <w:rPr>
      <w:sz w:val="24"/>
    </w:rPr>
  </w:style>
  <w:style w:type="paragraph" w:styleId="1089">
    <w:name w:val="Char Char Char1"/>
    <w:basedOn w:val="918"/>
    <w:next w:val="1089"/>
    <w:link w:val="918"/>
    <w:qFormat/>
    <w:rPr>
      <w:rFonts w:ascii="Tahoma" w:hAnsi="Tahoma"/>
      <w:sz w:val="24"/>
      <w:szCs w:val="20"/>
    </w:rPr>
  </w:style>
  <w:style w:type="paragraph" w:styleId="1090">
    <w:name w:val="Char Char Char Char Char Char Char1"/>
    <w:basedOn w:val="918"/>
    <w:next w:val="1090"/>
    <w:link w:val="918"/>
    <w:qFormat/>
    <w:pPr>
      <w:ind w:firstLine="200"/>
      <w:spacing w:line="360" w:lineRule="auto"/>
    </w:pPr>
    <w:rPr>
      <w:rFonts w:eastAsia="仿宋_GB2312"/>
      <w:sz w:val="24"/>
    </w:rPr>
  </w:style>
  <w:style w:type="paragraph" w:styleId="1091">
    <w:name w:val="xl51"/>
    <w:basedOn w:val="918"/>
    <w:next w:val="1091"/>
    <w:link w:val="9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2">
    <w:name w:val="样式2"/>
    <w:basedOn w:val="981"/>
    <w:next w:val="1092"/>
    <w:link w:val="918"/>
    <w:qFormat/>
    <w:pPr>
      <w:jc w:val="center"/>
      <w:spacing w:line="360" w:lineRule="auto"/>
    </w:pPr>
    <w:rPr>
      <w:sz w:val="24"/>
    </w:rPr>
  </w:style>
  <w:style w:type="paragraph" w:styleId="1093">
    <w:name w:val="xl24"/>
    <w:basedOn w:val="918"/>
    <w:next w:val="1093"/>
    <w:link w:val="9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xl29"/>
    <w:basedOn w:val="918"/>
    <w:next w:val="1094"/>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95">
    <w:name w:val="正文 + 楷体_GB2312"/>
    <w:basedOn w:val="918"/>
    <w:next w:val="1095"/>
    <w:link w:val="918"/>
    <w:qFormat/>
    <w:pPr>
      <w:jc w:val="left"/>
      <w:widowControl/>
    </w:pPr>
    <w:rPr>
      <w:rFonts w:ascii="楷体_GB2312" w:eastAsia="楷体_GB2312" w:cs="Arial"/>
      <w:sz w:val="24"/>
    </w:rPr>
  </w:style>
  <w:style w:type="paragraph" w:styleId="1096">
    <w:name w:val="xl34"/>
    <w:basedOn w:val="918"/>
    <w:next w:val="1096"/>
    <w:link w:val="9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97">
    <w:name w:val="1 Char Char Char Char"/>
    <w:basedOn w:val="918"/>
    <w:next w:val="1097"/>
    <w:link w:val="918"/>
    <w:qFormat/>
    <w:rPr>
      <w:rFonts w:ascii="Tahoma" w:hAnsi="Tahoma"/>
      <w:sz w:val="24"/>
      <w:szCs w:val="20"/>
    </w:rPr>
  </w:style>
  <w:style w:type="paragraph" w:styleId="1098">
    <w:name w:val="Default"/>
    <w:next w:val="1098"/>
    <w:link w:val="918"/>
    <w:qFormat/>
    <w:pPr>
      <w:widowControl w:val="off"/>
    </w:pPr>
    <w:rPr>
      <w:rFonts w:ascii="Symbol" w:hAnsi="Symbol" w:cs="Symbol"/>
      <w:color w:val="000000"/>
      <w:sz w:val="24"/>
      <w:szCs w:val="24"/>
      <w:lang w:val="en-US" w:eastAsia="zh-CN" w:bidi="ar-SA"/>
    </w:rPr>
  </w:style>
  <w:style w:type="paragraph" w:styleId="1099">
    <w:name w:val="列出段落1"/>
    <w:basedOn w:val="918"/>
    <w:next w:val="1099"/>
    <w:link w:val="918"/>
    <w:qFormat/>
    <w:pPr>
      <w:ind w:firstLine="420"/>
    </w:pPr>
    <w:rPr>
      <w:rFonts w:ascii="Calibri" w:hAnsi="Calibri"/>
      <w:szCs w:val="22"/>
    </w:rPr>
  </w:style>
  <w:style w:type="paragraph" w:styleId="1100">
    <w:name w:val="default"/>
    <w:basedOn w:val="918"/>
    <w:next w:val="1100"/>
    <w:link w:val="918"/>
    <w:qFormat/>
    <w:pPr>
      <w:jc w:val="left"/>
      <w:spacing w:before="100" w:beforeAutospacing="1" w:after="100" w:afterAutospacing="1"/>
      <w:widowControl/>
    </w:pPr>
    <w:rPr>
      <w:rFonts w:ascii="宋体" w:hAnsi="宋体" w:cs="宋体"/>
      <w:sz w:val="24"/>
    </w:rPr>
  </w:style>
  <w:style w:type="paragraph" w:styleId="1101">
    <w:name w:val="字元 字元1"/>
    <w:basedOn w:val="918"/>
    <w:next w:val="1101"/>
    <w:link w:val="918"/>
    <w:qFormat/>
    <w:rPr>
      <w:rFonts w:ascii="Tahoma" w:hAnsi="Tahoma"/>
      <w:sz w:val="24"/>
      <w:szCs w:val="20"/>
    </w:rPr>
  </w:style>
  <w:style w:type="paragraph" w:styleId="1102">
    <w:name w:val="_Style 160"/>
    <w:next w:val="1102"/>
    <w:link w:val="918"/>
    <w:qFormat/>
    <w:rPr>
      <w:sz w:val="21"/>
      <w:szCs w:val="24"/>
      <w:lang w:val="en-US" w:eastAsia="zh-CN" w:bidi="ar-SA"/>
    </w:rPr>
  </w:style>
  <w:style w:type="paragraph" w:styleId="1103">
    <w:name w:val="项目编号3"/>
    <w:basedOn w:val="1063"/>
    <w:next w:val="1103"/>
    <w:link w:val="918"/>
    <w:qFormat/>
    <w:pPr>
      <w:numPr>
        <w:ilvl w:val="0"/>
        <w:numId w:val="6"/>
      </w:numPr>
    </w:pPr>
  </w:style>
  <w:style w:type="paragraph" w:styleId="1104">
    <w:name w:val="Char21"/>
    <w:basedOn w:val="918"/>
    <w:next w:val="1104"/>
    <w:link w:val="918"/>
    <w:qFormat/>
    <w:rPr>
      <w:rFonts w:ascii="Tahoma" w:hAnsi="Tahoma"/>
      <w:sz w:val="24"/>
      <w:szCs w:val="20"/>
    </w:rPr>
  </w:style>
  <w:style w:type="paragraph" w:styleId="1105">
    <w:name w:val="表格文字"/>
    <w:basedOn w:val="951"/>
    <w:next w:val="1105"/>
    <w:link w:val="918"/>
    <w:qFormat/>
    <w:pPr>
      <w:ind w:firstLine="0"/>
      <w:spacing w:before="20" w:after="20" w:line="240" w:lineRule="auto"/>
    </w:pPr>
    <w:rPr>
      <w:rFonts w:ascii="Century Gothic" w:hAnsi="Century Gothic"/>
      <w:sz w:val="20"/>
      <w:szCs w:val="20"/>
    </w:rPr>
  </w:style>
  <w:style w:type="paragraph" w:styleId="1106">
    <w:name w:val="Char Char Char Char Char Char Char Char Char Char1"/>
    <w:basedOn w:val="918"/>
    <w:next w:val="1106"/>
    <w:link w:val="918"/>
    <w:qFormat/>
    <w:rPr>
      <w:rFonts w:ascii="宋体" w:hAnsi="宋体" w:cs="Courier New"/>
      <w:sz w:val="32"/>
      <w:szCs w:val="32"/>
    </w:rPr>
  </w:style>
  <w:style w:type="paragraph" w:styleId="1107">
    <w:name w:val="正文文本样式 加粗"/>
    <w:basedOn w:val="1063"/>
    <w:next w:val="1107"/>
    <w:link w:val="918"/>
    <w:qFormat/>
    <w:rPr>
      <w:b/>
    </w:rPr>
  </w:style>
  <w:style w:type="paragraph" w:styleId="1108">
    <w:name w:val="Char2 Char Char Char Char Char Char"/>
    <w:basedOn w:val="918"/>
    <w:next w:val="1108"/>
    <w:link w:val="918"/>
    <w:qFormat/>
    <w:pPr>
      <w:jc w:val="center"/>
      <w:spacing w:line="400" w:lineRule="exact"/>
      <w:widowControl/>
    </w:pPr>
  </w:style>
  <w:style w:type="paragraph" w:styleId="1109">
    <w:name w:val="Char Char4"/>
    <w:basedOn w:val="918"/>
    <w:next w:val="1109"/>
    <w:link w:val="918"/>
    <w:qFormat/>
    <w:pPr>
      <w:jc w:val="center"/>
      <w:spacing w:line="400" w:lineRule="exact"/>
      <w:widowControl/>
    </w:pPr>
  </w:style>
  <w:style w:type="paragraph" w:styleId="1110">
    <w:name w:val="Char3 Char Char Char1"/>
    <w:basedOn w:val="918"/>
    <w:next w:val="1110"/>
    <w:link w:val="918"/>
    <w:qFormat/>
    <w:rPr>
      <w:rFonts w:ascii="Tahoma" w:hAnsi="Tahoma"/>
      <w:sz w:val="24"/>
      <w:szCs w:val="20"/>
    </w:rPr>
  </w:style>
  <w:style w:type="paragraph" w:styleId="1111">
    <w:name w:val="无间隔"/>
    <w:next w:val="1111"/>
    <w:link w:val="918"/>
    <w:qFormat/>
    <w:pPr>
      <w:jc w:val="both"/>
      <w:widowControl w:val="off"/>
    </w:pPr>
    <w:rPr>
      <w:sz w:val="21"/>
      <w:szCs w:val="24"/>
      <w:lang w:val="en-US" w:eastAsia="zh-CN" w:bidi="ar-SA"/>
    </w:rPr>
  </w:style>
  <w:style w:type="paragraph" w:styleId="1112">
    <w:name w:val="22222222222222"/>
    <w:basedOn w:val="918"/>
    <w:next w:val="1112"/>
    <w:link w:val="918"/>
    <w:qFormat/>
    <w:pPr>
      <w:ind w:firstLine="480"/>
      <w:jc w:val="left"/>
      <w:spacing w:line="360" w:lineRule="auto"/>
      <w:widowControl/>
    </w:pPr>
    <w:rPr>
      <w:color w:val="ff0000"/>
      <w:sz w:val="24"/>
      <w:szCs w:val="20"/>
    </w:rPr>
  </w:style>
  <w:style w:type="character" w:styleId="1113">
    <w:name w:val="中等深浅网格 1 - 强调文字颜色 2 Char"/>
    <w:next w:val="1113"/>
    <w:link w:val="1114"/>
    <w:qFormat/>
    <w:rPr>
      <w:sz w:val="21"/>
      <w:szCs w:val="24"/>
      <w:lang w:val="zh-CN" w:eastAsia="zh-CN" w:bidi="ar-SA"/>
    </w:rPr>
  </w:style>
  <w:style w:type="paragraph" w:styleId="1114">
    <w:name w:val="1"/>
    <w:next w:val="1114"/>
    <w:link w:val="1113"/>
    <w:qFormat/>
    <w:rPr>
      <w:sz w:val="21"/>
      <w:szCs w:val="24"/>
      <w:lang w:val="zh-CN" w:eastAsia="zh-CN" w:bidi="ar-SA"/>
    </w:rPr>
  </w:style>
  <w:style w:type="paragraph" w:styleId="1115">
    <w:name w:val="图文"/>
    <w:basedOn w:val="918"/>
    <w:next w:val="1115"/>
    <w:link w:val="918"/>
    <w:qFormat/>
    <w:pPr>
      <w:spacing w:after="50" w:line="360" w:lineRule="auto"/>
    </w:pPr>
    <w:rPr>
      <w:sz w:val="24"/>
    </w:rPr>
  </w:style>
  <w:style w:type="paragraph" w:styleId="1116">
    <w:name w:val="xl23"/>
    <w:basedOn w:val="918"/>
    <w:next w:val="1116"/>
    <w:link w:val="918"/>
    <w:qFormat/>
    <w:pPr>
      <w:spacing w:before="100" w:beforeAutospacing="1" w:after="100" w:afterAutospacing="1" w:line="360" w:lineRule="auto"/>
      <w:widowControl/>
    </w:pPr>
    <w:rPr>
      <w:sz w:val="24"/>
      <w:szCs w:val="20"/>
    </w:rPr>
  </w:style>
  <w:style w:type="paragraph" w:styleId="1117">
    <w:name w:val="正文表格"/>
    <w:basedOn w:val="918"/>
    <w:next w:val="1117"/>
    <w:link w:val="1118"/>
    <w:qFormat/>
    <w:pPr>
      <w:jc w:val="left"/>
    </w:pPr>
    <w:rPr>
      <w:rFonts w:ascii="宋体" w:hAnsi="宋体"/>
      <w:color w:val="000000"/>
      <w:szCs w:val="21"/>
    </w:rPr>
  </w:style>
  <w:style w:type="character" w:styleId="1118">
    <w:name w:val="正文表格 Char"/>
    <w:next w:val="1118"/>
    <w:link w:val="1117"/>
    <w:qFormat/>
    <w:rPr>
      <w:rFonts w:ascii="宋体" w:hAnsi="宋体"/>
      <w:color w:val="000000"/>
      <w:sz w:val="21"/>
      <w:szCs w:val="21"/>
    </w:rPr>
  </w:style>
  <w:style w:type="paragraph" w:styleId="1119">
    <w:name w:val="正文重点"/>
    <w:basedOn w:val="918"/>
    <w:next w:val="1119"/>
    <w:link w:val="1120"/>
    <w:qFormat/>
    <w:pPr>
      <w:ind w:firstLine="482"/>
      <w:jc w:val="left"/>
      <w:spacing w:line="360" w:lineRule="auto"/>
    </w:pPr>
    <w:rPr>
      <w:b/>
      <w:sz w:val="24"/>
      <w:szCs w:val="20"/>
    </w:rPr>
  </w:style>
  <w:style w:type="character" w:styleId="1120">
    <w:name w:val="正文重点 Char"/>
    <w:next w:val="1120"/>
    <w:link w:val="1119"/>
    <w:qFormat/>
    <w:rPr>
      <w:b/>
      <w:sz w:val="24"/>
    </w:rPr>
  </w:style>
  <w:style w:type="paragraph" w:styleId="1121">
    <w:name w:val="标题1-附件"/>
    <w:basedOn w:val="919"/>
    <w:next w:val="1121"/>
    <w:link w:val="918"/>
    <w:qFormat/>
    <w:pPr>
      <w:jc w:val="left"/>
    </w:pPr>
    <w:rPr>
      <w:sz w:val="24"/>
      <w:szCs w:val="24"/>
    </w:rPr>
  </w:style>
  <w:style w:type="paragraph" w:styleId="1122">
    <w:name w:val="正文小标题"/>
    <w:basedOn w:val="918"/>
    <w:next w:val="932"/>
    <w:link w:val="1123"/>
    <w:qFormat/>
    <w:pPr>
      <w:ind w:firstLine="482"/>
      <w:jc w:val="left"/>
      <w:spacing w:before="312" w:after="312"/>
    </w:pPr>
    <w:rPr>
      <w:rFonts w:ascii="宋体" w:hAnsi="宋体"/>
      <w:b/>
      <w:i/>
      <w:color w:val="ff0000"/>
      <w:sz w:val="24"/>
      <w:szCs w:val="20"/>
    </w:rPr>
  </w:style>
  <w:style w:type="character" w:styleId="1123">
    <w:name w:val="正文小标题 Char"/>
    <w:next w:val="1123"/>
    <w:link w:val="1122"/>
    <w:qFormat/>
    <w:rPr>
      <w:rFonts w:ascii="宋体" w:hAnsi="宋体"/>
      <w:b/>
      <w:i/>
      <w:color w:val="ff0000"/>
      <w:sz w:val="24"/>
    </w:rPr>
  </w:style>
  <w:style w:type="paragraph" w:styleId="1124">
    <w:name w:val="正文大标题"/>
    <w:basedOn w:val="1122"/>
    <w:next w:val="932"/>
    <w:link w:val="1125"/>
    <w:qFormat/>
    <w:pPr>
      <w:jc w:val="center"/>
    </w:pPr>
    <w:rPr>
      <w:i w:val="0"/>
      <w:color w:val="000000"/>
      <w:sz w:val="28"/>
      <w:szCs w:val="21"/>
    </w:rPr>
  </w:style>
  <w:style w:type="character" w:styleId="1125">
    <w:name w:val="正文大标题 Char"/>
    <w:next w:val="1125"/>
    <w:link w:val="1124"/>
    <w:qFormat/>
    <w:rPr>
      <w:rFonts w:ascii="宋体" w:hAnsi="宋体"/>
      <w:b/>
      <w:color w:val="000000"/>
      <w:sz w:val="28"/>
      <w:szCs w:val="21"/>
    </w:rPr>
  </w:style>
  <w:style w:type="paragraph" w:styleId="1126">
    <w:name w:val="注释"/>
    <w:basedOn w:val="918"/>
    <w:next w:val="1126"/>
    <w:link w:val="1127"/>
    <w:qFormat/>
    <w:pPr>
      <w:ind w:left="420" w:hanging="420"/>
      <w:jc w:val="left"/>
    </w:pPr>
    <w:rPr>
      <w:rFonts w:ascii="宋体" w:hAnsi="宋体"/>
      <w:szCs w:val="21"/>
    </w:rPr>
  </w:style>
  <w:style w:type="character" w:styleId="1127">
    <w:name w:val="注释 Char"/>
    <w:next w:val="1127"/>
    <w:link w:val="1126"/>
    <w:qFormat/>
    <w:rPr>
      <w:rFonts w:ascii="宋体" w:hAnsi="宋体"/>
      <w:sz w:val="21"/>
      <w:szCs w:val="21"/>
    </w:rPr>
  </w:style>
  <w:style w:type="paragraph" w:styleId="1128">
    <w:name w:val="正文须知-1级"/>
    <w:basedOn w:val="918"/>
    <w:next w:val="918"/>
    <w:link w:val="918"/>
    <w:qFormat/>
    <w:pPr>
      <w:numPr>
        <w:ilvl w:val="0"/>
        <w:numId w:val="7"/>
      </w:numPr>
      <w:spacing w:line="300" w:lineRule="auto"/>
    </w:pPr>
    <w:rPr>
      <w:rFonts w:ascii="宋体" w:hAnsi="Calibri"/>
      <w:sz w:val="24"/>
      <w:szCs w:val="21"/>
    </w:rPr>
  </w:style>
  <w:style w:type="paragraph" w:styleId="1129">
    <w:name w:val="正文须知-2级"/>
    <w:basedOn w:val="918"/>
    <w:next w:val="1129"/>
    <w:link w:val="918"/>
    <w:qFormat/>
    <w:pPr>
      <w:numPr>
        <w:ilvl w:val="1"/>
        <w:numId w:val="7"/>
      </w:numPr>
      <w:spacing w:line="300" w:lineRule="auto"/>
    </w:pPr>
    <w:rPr>
      <w:rFonts w:ascii="宋体" w:hAnsi="Calibri"/>
      <w:sz w:val="24"/>
      <w:szCs w:val="21"/>
    </w:rPr>
  </w:style>
  <w:style w:type="paragraph" w:styleId="1130">
    <w:name w:val="正文须知-3级"/>
    <w:basedOn w:val="918"/>
    <w:next w:val="1130"/>
    <w:link w:val="918"/>
    <w:qFormat/>
    <w:pPr>
      <w:numPr>
        <w:ilvl w:val="2"/>
        <w:numId w:val="7"/>
      </w:numPr>
      <w:ind w:hanging="355"/>
      <w:spacing w:line="300" w:lineRule="auto"/>
    </w:pPr>
    <w:rPr>
      <w:rFonts w:ascii="宋体" w:hAnsi="Calibri"/>
      <w:sz w:val="24"/>
      <w:szCs w:val="21"/>
    </w:rPr>
  </w:style>
  <w:style w:type="character" w:styleId="1131">
    <w:name w:val="纯文本 字符"/>
    <w:next w:val="1131"/>
    <w:link w:val="918"/>
    <w:uiPriority w:val="99"/>
    <w:qFormat/>
    <w:rPr>
      <w:rFonts w:ascii="宋体" w:hAnsi="Courier New" w:eastAsia="宋体" w:cs="Times New Roman"/>
      <w:sz w:val="21"/>
      <w:szCs w:val="21"/>
      <w:lang w:val="en-US" w:eastAsia="zh-CN" w:bidi="ar-SA"/>
    </w:rPr>
  </w:style>
  <w:style w:type="paragraph" w:styleId="1132">
    <w:name w:val="表格1"/>
    <w:basedOn w:val="918"/>
    <w:next w:val="1132"/>
    <w:link w:val="918"/>
    <w:qFormat/>
    <w:pPr>
      <w:ind w:firstLine="480"/>
      <w:jc w:val="center"/>
    </w:pPr>
    <w:rPr>
      <w:sz w:val="24"/>
      <w:szCs w:val="20"/>
    </w:rPr>
  </w:style>
  <w:style w:type="character" w:styleId="1133">
    <w:name w:val="纯文本 字符1"/>
    <w:next w:val="1133"/>
    <w:link w:val="918"/>
    <w:qFormat/>
    <w:rPr>
      <w:rFonts w:ascii="宋体" w:hAnsi="Courier New"/>
    </w:rPr>
  </w:style>
  <w:style w:type="character" w:styleId="1134">
    <w:name w:val="bjh-p"/>
    <w:next w:val="1134"/>
    <w:link w:val="918"/>
    <w:qFormat/>
  </w:style>
  <w:style w:type="paragraph" w:styleId="1135">
    <w:name w:val="无标题条"/>
    <w:next w:val="918"/>
    <w:link w:val="918"/>
    <w:qFormat/>
    <w:pPr>
      <w:jc w:val="both"/>
    </w:pPr>
    <w:rPr>
      <w:sz w:val="21"/>
      <w:lang w:val="en-US" w:eastAsia="zh-CN" w:bidi="ar-SA"/>
    </w:rPr>
  </w:style>
  <w:style w:type="character" w:styleId="1136">
    <w:name w:val="正文格式 Char"/>
    <w:next w:val="1136"/>
    <w:link w:val="1137"/>
    <w:qFormat/>
    <w:rPr>
      <w:rFonts w:ascii="宋体" w:hAnsi="宋体"/>
      <w:sz w:val="24"/>
      <w:szCs w:val="24"/>
      <w:lang w:val="en-GB"/>
    </w:rPr>
  </w:style>
  <w:style w:type="paragraph" w:styleId="1137">
    <w:name w:val="正文格式"/>
    <w:basedOn w:val="918"/>
    <w:next w:val="1137"/>
    <w:link w:val="1136"/>
    <w:qFormat/>
    <w:pPr>
      <w:ind w:firstLine="480"/>
      <w:spacing w:line="360" w:lineRule="auto"/>
    </w:pPr>
    <w:rPr>
      <w:rFonts w:ascii="宋体" w:hAnsi="宋体"/>
      <w:sz w:val="24"/>
      <w:lang w:val="en-GB"/>
    </w:rPr>
  </w:style>
  <w:style w:type="character" w:styleId="1138">
    <w:name w:val="标题 3 Char"/>
    <w:next w:val="1138"/>
    <w:link w:val="918"/>
    <w:qFormat/>
    <w:rPr>
      <w:rFonts w:ascii="宋体" w:eastAsia="宋体"/>
      <w:b/>
      <w:sz w:val="24"/>
      <w:u w:val="single"/>
      <w:lang w:val="en-US" w:eastAsia="zh-CN" w:bidi="ar-SA"/>
    </w:rPr>
  </w:style>
  <w:style w:type="character" w:styleId="1139">
    <w:name w:val="正文缩进 Char"/>
    <w:next w:val="1139"/>
    <w:link w:val="918"/>
    <w:qFormat/>
    <w:rPr>
      <w:rFonts w:ascii="宋体" w:eastAsia="宋体"/>
      <w:sz w:val="24"/>
      <w:szCs w:val="24"/>
      <w:lang w:val="en-US" w:eastAsia="zh-CN" w:bidi="ar-SA"/>
    </w:rPr>
  </w:style>
  <w:style w:type="character" w:styleId="1140">
    <w:name w:val="Char Char111"/>
    <w:next w:val="1140"/>
    <w:link w:val="918"/>
    <w:qFormat/>
    <w:rPr>
      <w:rFonts w:ascii="宋体" w:eastAsia="宋体"/>
      <w:b/>
      <w:sz w:val="24"/>
      <w:u w:val="single"/>
      <w:lang w:val="en-US" w:eastAsia="zh-CN" w:bidi="ar-SA"/>
    </w:rPr>
  </w:style>
  <w:style w:type="character" w:styleId="1141">
    <w:name w:val="正文文本缩进 Char"/>
    <w:next w:val="1141"/>
    <w:link w:val="918"/>
    <w:qFormat/>
    <w:rPr>
      <w:rFonts w:eastAsia="宋体"/>
      <w:sz w:val="24"/>
      <w:szCs w:val="24"/>
      <w:lang w:val="en-US" w:eastAsia="zh-CN" w:bidi="ar-SA"/>
    </w:rPr>
  </w:style>
  <w:style w:type="character" w:styleId="1142">
    <w:name w:val="列出段落 Char"/>
    <w:next w:val="1142"/>
    <w:link w:val="918"/>
    <w:qFormat/>
    <w:rPr>
      <w:rFonts w:ascii="Calibri" w:hAnsi="Calibri" w:eastAsia="宋体"/>
      <w:sz w:val="21"/>
      <w:szCs w:val="22"/>
      <w:lang w:val="en-US" w:eastAsia="zh-CN" w:bidi="ar-SA"/>
    </w:rPr>
  </w:style>
  <w:style w:type="character" w:styleId="1143">
    <w:name w:val="页眉 Char"/>
    <w:next w:val="1143"/>
    <w:link w:val="918"/>
    <w:qFormat/>
    <w:rPr>
      <w:rFonts w:eastAsia="宋体"/>
      <w:sz w:val="18"/>
      <w:szCs w:val="18"/>
      <w:lang w:val="en-US" w:eastAsia="zh-CN" w:bidi="ar-SA"/>
    </w:rPr>
  </w:style>
  <w:style w:type="character" w:styleId="1144">
    <w:name w:val="标题 2 Char"/>
    <w:next w:val="1144"/>
    <w:link w:val="918"/>
    <w:qFormat/>
    <w:rPr>
      <w:rFonts w:ascii="Arial" w:hAnsi="Arial" w:eastAsia="黑体"/>
      <w:b/>
      <w:sz w:val="30"/>
      <w:lang w:val="en-US" w:eastAsia="zh-CN" w:bidi="ar-SA"/>
    </w:rPr>
  </w:style>
  <w:style w:type="paragraph" w:styleId="1145">
    <w:name w:val="字元 字元2"/>
    <w:basedOn w:val="918"/>
    <w:next w:val="1145"/>
    <w:link w:val="918"/>
    <w:qFormat/>
    <w:rPr>
      <w:rFonts w:ascii="Tahoma" w:hAnsi="Tahoma"/>
      <w:sz w:val="24"/>
      <w:szCs w:val="20"/>
    </w:rPr>
  </w:style>
  <w:style w:type="paragraph" w:styleId="1146">
    <w:name w:val="Char3 Char Char Char2"/>
    <w:basedOn w:val="918"/>
    <w:next w:val="1146"/>
    <w:link w:val="918"/>
    <w:qFormat/>
    <w:rPr>
      <w:rFonts w:ascii="Tahoma" w:hAnsi="Tahoma"/>
      <w:sz w:val="24"/>
      <w:szCs w:val="20"/>
    </w:rPr>
  </w:style>
  <w:style w:type="paragraph" w:styleId="1147">
    <w:name w:val="正文文本缩进2"/>
    <w:basedOn w:val="918"/>
    <w:next w:val="1147"/>
    <w:link w:val="918"/>
    <w:qFormat/>
    <w:pPr>
      <w:ind w:firstLine="480"/>
      <w:spacing w:line="480" w:lineRule="exact"/>
    </w:pPr>
    <w:rPr>
      <w:rFonts w:ascii="宋体" w:hAnsi="宋体"/>
      <w:sz w:val="24"/>
      <w:lang w:val="zh-CN" w:eastAsia="zh-CN"/>
    </w:rPr>
  </w:style>
  <w:style w:type="paragraph" w:styleId="1148">
    <w:name w:val="Char3"/>
    <w:basedOn w:val="918"/>
    <w:next w:val="1148"/>
    <w:link w:val="918"/>
    <w:qFormat/>
    <w:pPr>
      <w:tabs>
        <w:tab w:val="left" w:pos="360" w:leader="none"/>
      </w:tabs>
    </w:pPr>
    <w:rPr>
      <w:sz w:val="24"/>
    </w:rPr>
  </w:style>
  <w:style w:type="paragraph" w:styleId="1149">
    <w:name w:val="Char Char Char Char Char Char Char Char Char Char Char Char Char Char Char Char1"/>
    <w:basedOn w:val="918"/>
    <w:next w:val="1149"/>
    <w:link w:val="918"/>
    <w:qFormat/>
    <w:pPr>
      <w:jc w:val="center"/>
      <w:spacing w:after="160" w:line="240" w:lineRule="exact"/>
      <w:widowControl/>
    </w:pPr>
    <w:rPr>
      <w:rFonts w:ascii="宋体" w:hAnsi="宋体"/>
      <w:b/>
      <w:sz w:val="30"/>
      <w:szCs w:val="30"/>
      <w:lang w:eastAsia="en-US"/>
    </w:rPr>
  </w:style>
  <w:style w:type="paragraph" w:styleId="1150">
    <w:name w:val="Char Char1 Char Char Char Char Char Char1"/>
    <w:basedOn w:val="918"/>
    <w:next w:val="1150"/>
    <w:link w:val="918"/>
    <w:qFormat/>
    <w:pPr>
      <w:jc w:val="left"/>
      <w:spacing w:after="160" w:line="240" w:lineRule="exact"/>
      <w:widowControl/>
    </w:pPr>
    <w:rPr>
      <w:rFonts w:ascii="Verdana" w:hAnsi="Verdana" w:eastAsia="仿宋_GB2312"/>
      <w:sz w:val="24"/>
      <w:szCs w:val="20"/>
      <w:lang w:eastAsia="en-US"/>
    </w:rPr>
  </w:style>
  <w:style w:type="paragraph" w:styleId="1151">
    <w:name w:val="列出段落2"/>
    <w:basedOn w:val="918"/>
    <w:next w:val="1151"/>
    <w:link w:val="918"/>
    <w:qFormat/>
    <w:pPr>
      <w:ind w:firstLine="420"/>
    </w:pPr>
    <w:rPr>
      <w:rFonts w:ascii="Calibri" w:hAnsi="Calibri"/>
      <w:szCs w:val="22"/>
    </w:rPr>
  </w:style>
  <w:style w:type="paragraph" w:styleId="1152">
    <w:name w:val="Char Char Char1 Char2"/>
    <w:basedOn w:val="918"/>
    <w:next w:val="1152"/>
    <w:link w:val="918"/>
    <w:qFormat/>
    <w:rPr>
      <w:rFonts w:ascii="Tahoma" w:hAnsi="Tahoma"/>
      <w:sz w:val="24"/>
      <w:szCs w:val="20"/>
    </w:rPr>
  </w:style>
  <w:style w:type="paragraph" w:styleId="1153">
    <w:name w:val="Char Char Char2"/>
    <w:basedOn w:val="918"/>
    <w:next w:val="1153"/>
    <w:link w:val="918"/>
    <w:qFormat/>
    <w:rPr>
      <w:rFonts w:ascii="Tahoma" w:hAnsi="Tahoma"/>
      <w:sz w:val="24"/>
      <w:szCs w:val="20"/>
    </w:rPr>
  </w:style>
  <w:style w:type="paragraph" w:styleId="1154">
    <w:name w:val="Char Char Char Char Char Char Char2"/>
    <w:basedOn w:val="918"/>
    <w:next w:val="1154"/>
    <w:link w:val="918"/>
    <w:qFormat/>
    <w:pPr>
      <w:ind w:firstLine="200"/>
      <w:spacing w:line="360" w:lineRule="auto"/>
    </w:pPr>
    <w:rPr>
      <w:rFonts w:eastAsia="仿宋_GB2312"/>
      <w:sz w:val="24"/>
    </w:rPr>
  </w:style>
  <w:style w:type="paragraph" w:styleId="1155">
    <w:name w:val="正文缩进2"/>
    <w:basedOn w:val="918"/>
    <w:next w:val="1155"/>
    <w:link w:val="918"/>
    <w:qFormat/>
    <w:pPr>
      <w:ind w:firstLine="567"/>
      <w:spacing w:line="480" w:lineRule="exact"/>
      <w:widowControl/>
    </w:pPr>
    <w:rPr>
      <w:rFonts w:ascii="宋体"/>
      <w:color w:val="000000"/>
      <w:sz w:val="28"/>
      <w:szCs w:val="20"/>
      <w:lang w:val="zh-CN" w:eastAsia="zh-CN"/>
    </w:rPr>
  </w:style>
  <w:style w:type="paragraph" w:styleId="1156">
    <w:name w:val="Revision"/>
    <w:next w:val="1156"/>
    <w:link w:val="918"/>
    <w:qFormat/>
    <w:rPr>
      <w:sz w:val="21"/>
      <w:szCs w:val="24"/>
      <w:lang w:val="en-US" w:eastAsia="zh-CN" w:bidi="ar-SA"/>
    </w:rPr>
  </w:style>
  <w:style w:type="paragraph" w:styleId="1157">
    <w:name w:val="Char22"/>
    <w:basedOn w:val="918"/>
    <w:next w:val="1157"/>
    <w:link w:val="918"/>
    <w:qFormat/>
    <w:rPr>
      <w:rFonts w:ascii="Tahoma" w:hAnsi="Tahoma"/>
      <w:sz w:val="24"/>
      <w:szCs w:val="20"/>
    </w:rPr>
  </w:style>
  <w:style w:type="paragraph" w:styleId="1158">
    <w:name w:val="Char Char Char Char Char Char Char Char Char Char2"/>
    <w:basedOn w:val="918"/>
    <w:next w:val="1158"/>
    <w:link w:val="918"/>
    <w:qFormat/>
    <w:rPr>
      <w:rFonts w:ascii="宋体" w:hAnsi="宋体" w:cs="Courier New"/>
      <w:sz w:val="32"/>
      <w:szCs w:val="32"/>
    </w:rPr>
  </w:style>
  <w:style w:type="paragraph" w:styleId="1159">
    <w:name w:val="Char2 Char Char Char Char Char Char1"/>
    <w:basedOn w:val="918"/>
    <w:next w:val="1159"/>
    <w:link w:val="918"/>
    <w:qFormat/>
    <w:pPr>
      <w:jc w:val="center"/>
      <w:spacing w:line="400" w:lineRule="exact"/>
      <w:widowControl/>
    </w:pPr>
  </w:style>
  <w:style w:type="character" w:styleId="1160">
    <w:name w:val="页脚 Char"/>
    <w:next w:val="1160"/>
    <w:link w:val="918"/>
    <w:qFormat/>
    <w:rPr>
      <w:rFonts w:ascii="宋体" w:eastAsia="宋体"/>
      <w:sz w:val="18"/>
      <w:lang w:val="en-US" w:eastAsia="zh-CN" w:bidi="ar-SA"/>
    </w:rPr>
  </w:style>
  <w:style w:type="paragraph" w:styleId="1161">
    <w:name w:val="Char Char41"/>
    <w:basedOn w:val="918"/>
    <w:next w:val="1161"/>
    <w:link w:val="918"/>
    <w:qFormat/>
    <w:pPr>
      <w:jc w:val="center"/>
      <w:spacing w:line="400" w:lineRule="exact"/>
      <w:widowControl/>
    </w:pPr>
  </w:style>
  <w:style w:type="character" w:styleId="1162">
    <w:name w:val="批注文字 Char"/>
    <w:next w:val="1162"/>
    <w:link w:val="918"/>
    <w:uiPriority w:val="99"/>
    <w:qFormat/>
    <w:rPr>
      <w:sz w:val="21"/>
      <w:szCs w:val="24"/>
    </w:rPr>
  </w:style>
  <w:style w:type="character" w:styleId="1163">
    <w:name w:val="标题 Char"/>
    <w:next w:val="1163"/>
    <w:link w:val="918"/>
    <w:qFormat/>
    <w:rPr>
      <w:b/>
      <w:sz w:val="32"/>
    </w:rPr>
  </w:style>
  <w:style w:type="paragraph" w:styleId="1164">
    <w:name w:val="图例"/>
    <w:basedOn w:val="918"/>
    <w:next w:val="1164"/>
    <w:link w:val="918"/>
    <w:qFormat/>
    <w:pPr>
      <w:jc w:val="center"/>
      <w:spacing w:before="120" w:after="120" w:line="360" w:lineRule="auto"/>
    </w:pPr>
    <w:rPr>
      <w:rFonts w:eastAsia="仿宋_GB2312"/>
      <w:b/>
      <w:sz w:val="24"/>
      <w:szCs w:val="20"/>
    </w:rPr>
  </w:style>
  <w:style w:type="table" w:styleId="1165">
    <w:name w:val="Table Normal"/>
    <w:next w:val="1165"/>
    <w:link w:val="918"/>
    <w:uiPriority w:val="2"/>
    <w:unhideWhenUsed/>
    <w:qFormat/>
    <w:pPr>
      <w:widowControl w:val="off"/>
    </w:pPr>
    <w:rPr>
      <w:rFonts w:ascii="Calibri" w:hAnsi="Calibri"/>
      <w:sz w:val="22"/>
      <w:szCs w:val="22"/>
      <w:lang w:val="en-US" w:eastAsia="en-US" w:bidi="ar-SA"/>
    </w:rPr>
    <w:tblPr/>
  </w:style>
  <w:style w:type="paragraph" w:styleId="1166">
    <w:name w:val="Table Paragraph"/>
    <w:basedOn w:val="918"/>
    <w:next w:val="1166"/>
    <w:link w:val="918"/>
    <w:uiPriority w:val="1"/>
    <w:qFormat/>
    <w:pPr>
      <w:jc w:val="left"/>
    </w:pPr>
    <w:rPr>
      <w:rFonts w:ascii="宋体" w:hAnsi="宋体" w:cs="宋体"/>
      <w:sz w:val="22"/>
      <w:szCs w:val="22"/>
      <w:lang w:eastAsia="en-US"/>
    </w:rPr>
  </w:style>
  <w:style w:type="paragraph" w:styleId="1167">
    <w:name w:val="成文日期"/>
    <w:basedOn w:val="918"/>
    <w:next w:val="1167"/>
    <w:link w:val="1168"/>
    <w:qFormat/>
    <w:pPr>
      <w:ind w:right="400" w:firstLine="200"/>
      <w:jc w:val="right"/>
      <w:spacing w:line="570" w:lineRule="exact"/>
    </w:pPr>
    <w:rPr>
      <w:rFonts w:ascii="仿宋_GB2312" w:eastAsia="仿宋_GB2312"/>
      <w:sz w:val="32"/>
      <w:szCs w:val="20"/>
    </w:rPr>
  </w:style>
  <w:style w:type="character" w:styleId="1168">
    <w:name w:val="成文日期 Char"/>
    <w:next w:val="1168"/>
    <w:link w:val="1167"/>
    <w:rPr>
      <w:rFonts w:ascii="仿宋_GB2312" w:eastAsia="仿宋_GB2312"/>
      <w:sz w:val="32"/>
    </w:rPr>
  </w:style>
  <w:style w:type="paragraph" w:styleId="1169">
    <w:name w:val="修订"/>
    <w:next w:val="1169"/>
    <w:link w:val="918"/>
    <w:uiPriority w:val="99"/>
    <w:unhideWhenUsed/>
    <w:rPr>
      <w:sz w:val="21"/>
      <w:szCs w:val="24"/>
      <w:lang w:val="en-US" w:eastAsia="zh-CN" w:bidi="ar-SA"/>
    </w:rPr>
  </w:style>
  <w:style w:type="character" w:styleId="1170">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170"/>
    <w:link w:val="918"/>
    <w:qFormat/>
    <w:rPr>
      <w:rFonts w:ascii="宋体" w:hAnsi="宋体" w:eastAsia="宋体"/>
      <w:sz w:val="24"/>
      <w:szCs w:val="24"/>
    </w:rPr>
  </w:style>
  <w:style w:type="character" w:styleId="1171">
    <w:name w:val="NormalCharacter1"/>
    <w:next w:val="1171"/>
    <w:link w:val="918"/>
    <w:qFormat/>
  </w:style>
  <w:style w:type="character" w:styleId="1172">
    <w:name w:val="正文缩进 Char1"/>
    <w:next w:val="1172"/>
    <w:link w:val="918"/>
    <w:qFormat/>
    <w:rPr>
      <w:rFonts w:ascii="宋体" w:hAnsi="宋体" w:eastAsia="宋体"/>
      <w:sz w:val="24"/>
    </w:rPr>
  </w:style>
  <w:style w:type="paragraph" w:styleId="1173">
    <w:name w:val="索引 11"/>
    <w:basedOn w:val="918"/>
    <w:next w:val="918"/>
    <w:link w:val="918"/>
    <w:pPr>
      <w:spacing w:line="360" w:lineRule="auto"/>
    </w:pPr>
    <w:rPr>
      <w:rFonts w:ascii="仿宋_GB2312" w:eastAsia="仿宋_GB2312"/>
      <w:sz w:val="24"/>
      <w:szCs w:val="20"/>
    </w:rPr>
  </w:style>
  <w:style w:type="paragraph" w:styleId="1174">
    <w:name w:val="Table Text"/>
    <w:basedOn w:val="918"/>
    <w:next w:val="1174"/>
    <w:link w:val="918"/>
    <w:semiHidden/>
    <w:qFormat/>
    <w:rPr>
      <w:rFonts w:ascii="Arial" w:hAnsi="Arial" w:eastAsia="Arial" w:cs="Arial"/>
      <w:sz w:val="21"/>
      <w:szCs w:val="21"/>
      <w:lang w:val="en-US" w:eastAsia="en-US" w:bidi="ar-SA"/>
    </w:rPr>
  </w:style>
  <w:style w:type="character" w:styleId="1175">
    <w:name w:val="fontstyle01"/>
    <w:next w:val="1175"/>
    <w:link w:val="918"/>
    <w:qFormat/>
    <w:rPr>
      <w:rFonts w:ascii="宋体" w:hAnsi="宋体" w:eastAsia="宋体" w:cs="宋体"/>
      <w:color w:val="000000"/>
      <w:sz w:val="22"/>
      <w:szCs w:val="22"/>
    </w:rPr>
  </w:style>
  <w:style w:type="paragraph" w:styleId="1176">
    <w:name w:val="纯文本1"/>
    <w:basedOn w:val="918"/>
    <w:next w:val="1176"/>
    <w:link w:val="918"/>
    <w:qFormat/>
    <w:rPr>
      <w:rFonts w:ascii="宋体" w:hAnsi="Courier New"/>
      <w:sz w:val="20"/>
      <w:szCs w:val="20"/>
    </w:rPr>
  </w:style>
  <w:style w:type="character" w:styleId="23538" w:default="1">
    <w:name w:val="Default Paragraph Font"/>
    <w:uiPriority w:val="1"/>
    <w:semiHidden/>
    <w:unhideWhenUsed/>
  </w:style>
  <w:style w:type="numbering" w:styleId="23539" w:default="1">
    <w:name w:val="No List"/>
    <w:uiPriority w:val="99"/>
    <w:semiHidden/>
    <w:unhideWhenUsed/>
  </w:style>
  <w:style w:type="table" w:styleId="235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7</cp:revision>
  <dcterms:created xsi:type="dcterms:W3CDTF">2025-06-05T08:10:00Z</dcterms:created>
  <dcterms:modified xsi:type="dcterms:W3CDTF">2026-10-21T06:59:05Z</dcterms:modified>
</cp:coreProperties>
</file>