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157"/>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highlight w:val="none"/>
          <w:lang w:eastAsia="zh-CN"/>
        </w:rPr>
        <w:t xml:space="preserve">全区自然资源资产超市搭建及组合供应专项工作</w:t>
      </w:r>
      <w:r/>
    </w:p>
    <w:p>
      <w:pPr>
        <w:jc w:val="center"/>
        <w:spacing w:after="157"/>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竞争性磋商文件</w:t>
      </w:r>
      <w:r/>
    </w:p>
    <w:p>
      <w:pPr>
        <w:jc w:val="center"/>
        <w:spacing w:after="157"/>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p>
      <w:pPr>
        <w:jc w:val="center"/>
        <w:spacing w:after="157"/>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（服务类项目，</w:t>
      </w:r>
      <w:r>
        <w:rPr>
          <w:rFonts w:hint="eastAsia" w:ascii="宋体" w:hAnsi="宋体" w:eastAsia="宋体" w:cs="宋体"/>
          <w:b/>
          <w:color w:val="000000"/>
          <w:sz w:val="44"/>
          <w:highlight w:val="none"/>
        </w:rPr>
        <w:t xml:space="preserve">非</w:t>
      </w:r>
      <w:r>
        <w:rPr>
          <w:rFonts w:ascii="宋体" w:hAnsi="宋体" w:eastAsia="宋体" w:cs="宋体"/>
          <w:b/>
          <w:color w:val="000000"/>
          <w:sz w:val="44"/>
          <w:highlight w:val="none"/>
        </w:rPr>
        <w:t xml:space="preserve">专门面向中小企业）</w:t>
      </w:r>
      <w:r/>
    </w:p>
    <w:p>
      <w:pPr>
        <w:jc w:val="center"/>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项目编号：</w:t>
      </w:r>
      <w:r>
        <w:rPr>
          <w:rFonts w:hint="eastAsia" w:ascii="宋体" w:hAnsi="宋体" w:eastAsia="宋体" w:cs="宋体"/>
          <w:b/>
          <w:color w:val="000000"/>
          <w:sz w:val="44"/>
          <w:highlight w:val="none"/>
          <w:lang w:eastAsia="zh-CN"/>
        </w:rPr>
        <w:t xml:space="preserve">JSZC-320116-NJPX-C2026-0005</w:t>
      </w:r>
      <w:r>
        <w:rPr>
          <w:rFonts w:ascii="宋体" w:hAnsi="宋体" w:eastAsia="宋体" w:cs="宋体"/>
          <w:b/>
          <w:color w:val="000000"/>
          <w:sz w:val="4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96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ind w:firstLine="643"/>
        <w:jc w:val="both"/>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采购单位：</w:t>
      </w:r>
      <w:r>
        <w:rPr>
          <w:rFonts w:hint="eastAsia" w:ascii="宋体" w:hAnsi="宋体" w:eastAsia="宋体" w:cs="宋体"/>
          <w:b/>
          <w:color w:val="000000"/>
          <w:sz w:val="32"/>
          <w:highlight w:val="none"/>
        </w:rPr>
        <w:t xml:space="preserve">南京市规划和自然资源局六合分局</w:t>
      </w:r>
      <w:r/>
    </w:p>
    <w:p>
      <w:pPr>
        <w:ind w:firstLine="643"/>
        <w:jc w:val="both"/>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代理单位：</w:t>
      </w:r>
      <w:r>
        <w:rPr>
          <w:rFonts w:hint="eastAsia" w:ascii="宋体" w:hAnsi="宋体" w:eastAsia="宋体" w:cs="宋体"/>
          <w:b/>
          <w:color w:val="000000"/>
          <w:sz w:val="32"/>
          <w:highlight w:val="none"/>
        </w:rPr>
        <w:t xml:space="preserve">南京平喜工程项目管理咨询有限公司</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二〇二</w:t>
      </w:r>
      <w:r>
        <w:rPr>
          <w:rFonts w:hint="eastAsia" w:ascii="宋体" w:hAnsi="宋体" w:eastAsia="宋体" w:cs="宋体"/>
          <w:b/>
          <w:color w:val="000000"/>
          <w:sz w:val="32"/>
          <w:highlight w:val="none"/>
        </w:rPr>
        <w:t xml:space="preserve">六</w:t>
      </w:r>
      <w:r>
        <w:rPr>
          <w:rFonts w:ascii="宋体" w:hAnsi="宋体" w:eastAsia="宋体" w:cs="宋体"/>
          <w:b/>
          <w:color w:val="000000"/>
          <w:sz w:val="32"/>
          <w:highlight w:val="none"/>
        </w:rPr>
        <w:t xml:space="preserve">年</w:t>
      </w:r>
      <w:r>
        <w:rPr>
          <w:rFonts w:hint="eastAsia" w:ascii="宋体" w:hAnsi="宋体" w:eastAsia="宋体" w:cs="宋体"/>
          <w:b/>
          <w:color w:val="000000"/>
          <w:sz w:val="32"/>
          <w:highlight w:val="none"/>
        </w:rPr>
        <w:t xml:space="preserve">十</w:t>
      </w:r>
      <w:r>
        <w:rPr>
          <w:rFonts w:ascii="宋体" w:hAnsi="宋体" w:eastAsia="宋体" w:cs="宋体"/>
          <w:b/>
          <w:color w:val="000000"/>
          <w:sz w:val="32"/>
          <w:highlight w:val="none"/>
        </w:rPr>
        <w:t xml:space="preserve">月</w:t>
      </w:r>
      <w:r/>
    </w:p>
    <w:p>
      <w:pPr>
        <w:jc w:val="center"/>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目录</w:t>
      </w:r>
      <w:r/>
    </w:p>
    <w:p>
      <w:pPr>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第一章竞争性磋商公告.........................................1</w:t>
      </w:r>
      <w:r/>
    </w:p>
    <w:p>
      <w:pPr>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第二章竞争性磋商须知.........................................5</w:t>
      </w:r>
      <w:r/>
    </w:p>
    <w:p>
      <w:pPr>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第三章评标标准..............................................13</w:t>
      </w:r>
      <w:r/>
    </w:p>
    <w:p>
      <w:pPr>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第四章采购项目需求..........................................14</w:t>
      </w:r>
      <w:r/>
    </w:p>
    <w:p>
      <w:pPr>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第五章合同主要条款及格式....................................17</w:t>
      </w:r>
      <w:r/>
    </w:p>
    <w:p>
      <w:pPr>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第六章附件..................................................49</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75" w:after="75"/>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第一章 竞争性磋商公告</w:t>
      </w:r>
      <w:r/>
    </w:p>
    <w:p>
      <w:pPr>
        <w:spacing w:before="75" w:after="75"/>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项目概况</w:t>
      </w:r>
      <w:r/>
    </w:p>
    <w:p>
      <w:pPr>
        <w:ind w:firstLine="480"/>
        <w:jc w:val="both"/>
        <w:rPr>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highlight w:val="none"/>
          <w:u w:val="single"/>
          <w:lang w:eastAsia="zh-CN"/>
        </w:rPr>
        <w:t xml:space="preserve">全区自然资源资产超市搭建及组合供应专项工作</w:t>
      </w:r>
      <w:r>
        <w:rPr>
          <w:rFonts w:ascii="宋体" w:hAnsi="宋体" w:eastAsia="宋体" w:cs="宋体"/>
          <w:color w:val="000000"/>
          <w:sz w:val="24"/>
          <w:highlight w:val="none"/>
        </w:rPr>
        <w:t xml:space="preserve">的潜在供应商应在</w:t>
      </w:r>
      <w:r>
        <w:rPr>
          <w:rFonts w:ascii="宋体" w:hAnsi="宋体" w:eastAsia="宋体" w:cs="宋体"/>
          <w:color w:val="000000"/>
          <w:sz w:val="24"/>
          <w:highlight w:val="none"/>
          <w:u w:val="single"/>
        </w:rPr>
        <w:t xml:space="preserve">江苏政府采购网自行免费下载</w:t>
      </w:r>
      <w:r>
        <w:rPr>
          <w:rFonts w:ascii="宋体" w:hAnsi="宋体" w:eastAsia="宋体" w:cs="宋体"/>
          <w:color w:val="000000"/>
          <w:sz w:val="24"/>
          <w:highlight w:val="none"/>
        </w:rPr>
        <w:t xml:space="preserve">获取采购文件，并于</w:t>
      </w:r>
      <w:r>
        <w:rPr>
          <w:rFonts w:ascii="宋体" w:hAnsi="宋体" w:eastAsia="宋体" w:cs="宋体"/>
          <w:color w:val="000000"/>
          <w:sz w:val="24"/>
          <w:highlight w:val="none"/>
          <w:u w:val="single"/>
        </w:rPr>
        <w:t xml:space="preserve">2026年</w:t>
      </w:r>
      <w:r>
        <w:rPr>
          <w:rFonts w:hint="eastAsia" w:ascii="宋体" w:hAnsi="宋体" w:eastAsia="宋体" w:cs="宋体"/>
          <w:color w:val="000000"/>
          <w:sz w:val="24"/>
          <w:highlight w:val="none"/>
          <w:u w:val="single"/>
        </w:rPr>
        <w:t xml:space="preserve">1</w:t>
      </w:r>
      <w:r>
        <w:rPr>
          <w:rFonts w:hint="eastAsia" w:ascii="宋体" w:hAnsi="宋体" w:eastAsia="宋体" w:cs="宋体"/>
          <w:color w:val="000000"/>
          <w:sz w:val="24"/>
          <w:highlight w:val="none"/>
          <w:u w:val="single"/>
          <w:lang w:val="en-US" w:eastAsia="zh-CN"/>
        </w:rPr>
        <w:t xml:space="preserve">1</w:t>
      </w:r>
      <w:r>
        <w:rPr>
          <w:rFonts w:ascii="宋体" w:hAnsi="宋体" w:eastAsia="宋体" w:cs="宋体"/>
          <w:color w:val="000000"/>
          <w:sz w:val="24"/>
          <w:highlight w:val="none"/>
          <w:u w:val="single"/>
        </w:rPr>
        <w:t xml:space="preserve">月</w:t>
      </w:r>
      <w:r>
        <w:rPr>
          <w:rFonts w:hint="eastAsia" w:ascii="宋体" w:hAnsi="宋体" w:eastAsia="宋体" w:cs="宋体"/>
          <w:color w:val="000000"/>
          <w:sz w:val="24"/>
          <w:highlight w:val="none"/>
          <w:u w:val="single"/>
          <w:lang w:val="en-US" w:eastAsia="zh-CN"/>
        </w:rPr>
        <w:t xml:space="preserve">09</w:t>
      </w:r>
      <w:r>
        <w:rPr>
          <w:rFonts w:ascii="宋体" w:hAnsi="宋体" w:eastAsia="宋体" w:cs="宋体"/>
          <w:color w:val="000000"/>
          <w:sz w:val="24"/>
          <w:highlight w:val="none"/>
          <w:u w:val="single"/>
        </w:rPr>
        <w:t xml:space="preserve">日09点30分</w:t>
      </w:r>
      <w:r>
        <w:rPr>
          <w:rFonts w:ascii="宋体" w:hAnsi="宋体" w:eastAsia="宋体" w:cs="宋体"/>
          <w:color w:val="000000"/>
          <w:sz w:val="24"/>
          <w:highlight w:val="none"/>
        </w:rPr>
        <w:t xml:space="preserve">（北京时间）前提交投标文件。</w:t>
      </w:r>
      <w:r/>
    </w:p>
    <w:p>
      <w:pPr>
        <w:spacing w:before="75" w:after="75"/>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一、项目基本情况：</w:t>
      </w:r>
      <w:r/>
    </w:p>
    <w:p>
      <w:pPr>
        <w:spacing w:before="75" w:after="75"/>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JSZC-320116-NJPX-C2026-0005</w:t>
      </w:r>
      <w:r>
        <w:rPr>
          <w:rFonts w:ascii="宋体" w:hAnsi="宋体" w:eastAsia="宋体" w:cs="宋体"/>
          <w:color w:val="000000"/>
          <w:sz w:val="24"/>
          <w:highlight w:val="none"/>
        </w:rPr>
        <w:t xml:space="preserve">  </w:t>
      </w:r>
      <w:r/>
    </w:p>
    <w:p>
      <w:pPr>
        <w:jc w:val="both"/>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全区自然资源资产超市搭建及组合供应专项工作</w:t>
      </w:r>
      <w:r/>
    </w:p>
    <w:p>
      <w:pPr>
        <w:spacing w:before="75" w:after="75"/>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采购方式：竞争性磋商</w:t>
      </w:r>
      <w:r/>
    </w:p>
    <w:p>
      <w:pPr>
        <w:spacing w:before="75" w:after="75"/>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w:t>
      </w:r>
      <w:r>
        <w:rPr>
          <w:rFonts w:hint="eastAsia" w:ascii="宋体" w:hAnsi="宋体" w:eastAsia="宋体" w:cs="宋体"/>
          <w:color w:val="000000"/>
          <w:sz w:val="24"/>
          <w:highlight w:val="none"/>
        </w:rPr>
        <w:t xml:space="preserve">24</w:t>
      </w:r>
      <w:r>
        <w:rPr>
          <w:rFonts w:ascii="宋体" w:hAnsi="宋体" w:eastAsia="宋体" w:cs="宋体"/>
          <w:color w:val="000000"/>
          <w:sz w:val="24"/>
          <w:highlight w:val="none"/>
        </w:rPr>
        <w:t xml:space="preserve">5万元</w:t>
      </w:r>
      <w:r/>
    </w:p>
    <w:p>
      <w:pPr>
        <w:spacing w:before="75" w:after="75"/>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rPr>
          <w:rFonts w:hint="eastAsia" w:ascii="宋体" w:hAnsi="宋体" w:eastAsia="宋体" w:cs="宋体"/>
          <w:color w:val="000000"/>
          <w:sz w:val="24"/>
          <w:highlight w:val="none"/>
        </w:rPr>
        <w:t xml:space="preserve">24</w:t>
      </w:r>
      <w:r>
        <w:rPr>
          <w:rFonts w:ascii="宋体" w:hAnsi="宋体" w:eastAsia="宋体" w:cs="宋体"/>
          <w:color w:val="000000"/>
          <w:sz w:val="24"/>
          <w:highlight w:val="none"/>
        </w:rPr>
        <w:t xml:space="preserve">5万元</w:t>
      </w:r>
      <w:r/>
    </w:p>
    <w:p>
      <w:pPr>
        <w:spacing w:before="75" w:after="75"/>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服务期限：</w:t>
      </w:r>
      <w:r>
        <w:rPr>
          <w:rFonts w:hint="eastAsia" w:ascii="宋体" w:hAnsi="宋体" w:eastAsia="宋体" w:cs="宋体"/>
          <w:color w:val="000000"/>
          <w:sz w:val="24"/>
          <w:highlight w:val="none"/>
        </w:rPr>
        <w:t xml:space="preserve">202</w:t>
      </w:r>
      <w:r>
        <w:rPr>
          <w:rFonts w:ascii="宋体" w:hAnsi="宋体" w:eastAsia="宋体" w:cs="宋体"/>
          <w:color w:val="000000"/>
          <w:sz w:val="24"/>
          <w:highlight w:val="none"/>
        </w:rPr>
        <w:t xml:space="preserve">7</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月3</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日前完成全部工作，如因政策调整、市场需求变化等客观因素，导致服务期限变化的，应经项目委托方同意后可适当调整。</w:t>
      </w:r>
      <w:r/>
    </w:p>
    <w:p>
      <w:pPr>
        <w:spacing w:before="75" w:after="75"/>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本项目接受联合体。</w:t>
      </w:r>
      <w:r/>
    </w:p>
    <w:p>
      <w:pPr>
        <w:spacing w:before="75" w:after="75"/>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二、申请人的资格要求：</w:t>
      </w:r>
      <w:r/>
    </w:p>
    <w:p>
      <w:pPr>
        <w:ind w:firstLine="48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1.《中华人民共和国政府采购法》规定的条件: </w:t>
      </w:r>
      <w:r/>
    </w:p>
    <w:p>
      <w:pPr>
        <w:ind w:firstLine="20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（1）具有独立承担民事责任的能力（提供法人或者其他组织的营业执照等证明材料，自然人的身份证明）；</w:t>
      </w:r>
      <w:r/>
    </w:p>
    <w:p>
      <w:pPr>
        <w:ind w:firstLine="20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ind w:firstLine="20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（3）具有履行合同所必需的设备和专业技术能力（根据项目需求提供履行合同所必需的设备和专业技术能力的声明或证明材料或提供南京市政府采购投标人信用记录表暨信用承诺书）；</w:t>
      </w:r>
      <w:r/>
    </w:p>
    <w:p>
      <w:pPr>
        <w:ind w:firstLine="20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（4）有依法缴纳税收和社会保障资金的良好记录（提供参加本次采购活动前一年内至少一个月依法缴纳税收和社会保障资金的证明材料或提供南京市政府采购投标人信用记录表暨信用承诺书）；</w:t>
      </w:r>
      <w:r/>
    </w:p>
    <w:p>
      <w:pPr>
        <w:ind w:firstLine="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ind w:firstLine="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（6）法律、行政法规规定的其他条件。</w:t>
      </w:r>
      <w:r/>
    </w:p>
    <w:p>
      <w:pPr>
        <w:ind w:firstLine="468"/>
        <w:jc w:val="both"/>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采购项目需要落实的政府采购政策：（如属于专门面向中小企业采购的项目，供应商应为中小微企业、监狱企业、残疾人福利单位）</w:t>
      </w:r>
      <w:r/>
    </w:p>
    <w:p>
      <w:pPr>
        <w:ind w:firstLine="468"/>
        <w:jc w:val="both"/>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本项目按照以下第（4）种方式落实政府采购促进中小企业发展的要求：</w:t>
      </w:r>
      <w:r/>
    </w:p>
    <w:p>
      <w:pPr>
        <w:ind w:firstLine="468"/>
        <w:jc w:val="both"/>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（1）本项目整体专门面向中小企业采购服务。</w:t>
      </w:r>
      <w:r/>
    </w:p>
    <w:p>
      <w:pPr>
        <w:ind w:firstLine="468"/>
        <w:jc w:val="both"/>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（2）本项目整体专门面向</w:t>
      </w:r>
      <w:bookmarkStart w:id="4" w:name="_GoBack"/>
      <w:r/>
      <w:bookmarkEnd w:id="4"/>
      <w:r>
        <w:rPr>
          <w:rFonts w:hint="eastAsia" w:ascii="宋体" w:hAnsi="宋体" w:eastAsia="宋体" w:cs="宋体"/>
          <w:color w:val="000000"/>
          <w:sz w:val="24"/>
          <w:highlight w:val="none"/>
        </w:rPr>
        <w:t xml:space="preserve">小微企业采购服务。</w:t>
      </w:r>
      <w:r/>
    </w:p>
    <w:p>
      <w:pPr>
        <w:ind w:firstLine="468"/>
        <w:jc w:val="both"/>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（3）本项目通过以下第（）种方式预留部分采购份额采购中小企业服务：</w:t>
      </w:r>
      <w:r/>
    </w:p>
    <w:p>
      <w:pPr>
        <w:ind w:firstLine="468"/>
        <w:jc w:val="both"/>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①本项目要求供应商以联合体形式参加，中小企业合同金额应当达到的比例为_%。</w:t>
      </w:r>
      <w:r/>
    </w:p>
    <w:p>
      <w:pPr>
        <w:ind w:firstLine="468"/>
        <w:jc w:val="both"/>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②本项目要求供应商进行合同分包，中小企业合同金额应当达到的比例为_%。</w:t>
      </w:r>
      <w:r/>
    </w:p>
    <w:p>
      <w:pPr>
        <w:ind w:firstLine="468"/>
        <w:jc w:val="both"/>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（4）本项目为非预留份额的采购项目或采购包，执行价格扣除优惠政策，具体详见第三章评标办法与标准。</w:t>
      </w:r>
      <w:r/>
    </w:p>
    <w:p>
      <w:pPr>
        <w:ind w:firstLine="468"/>
        <w:jc w:val="both"/>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3.本项目的特定资格要求：</w:t>
      </w:r>
      <w:bookmarkStart w:id="0" w:name="OLE_LINK2"/>
      <w:r>
        <w:rPr>
          <w:rFonts w:hint="eastAsia" w:ascii="宋体" w:hAnsi="宋体" w:eastAsia="宋体" w:cs="宋体"/>
          <w:color w:val="000000"/>
          <w:sz w:val="24"/>
          <w:highlight w:val="none"/>
        </w:rPr>
        <w:t xml:space="preserve">供应商须同时具有</w:t>
      </w:r>
      <w:bookmarkEnd w:id="0"/>
      <w:r>
        <w:rPr>
          <w:rFonts w:hint="eastAsia" w:ascii="宋体" w:hAnsi="宋体" w:eastAsia="宋体" w:cs="宋体"/>
          <w:color w:val="000000"/>
          <w:sz w:val="24"/>
          <w:highlight w:val="none"/>
        </w:rPr>
        <w:t xml:space="preserve">城乡规划（国土空间规划）及测绘的乙级及以上资质证书。</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4.拒绝下述供应商参加本次采购活动：</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（1）单位负责人为同一人或者存在直接控股、管理关系的不同供应商，不得参加同一合同项下的政府采购活动。（提供承诺书）</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（2）为采购项目提供整体设计、规范编制或者项目管理、监理、检测等服务的供应商，不得参加本项目的采购活动。（提供承诺书）</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（3）供应商被“信用中国”网站（www.creditchina.gov.cn）、“中国政府采购网”(www.ccgp.gov.cn)列入失信被执行人、重大税收违法案件当事人名单、政府采购严重违法失信行为记录名单。（提供网站截图） </w:t>
      </w:r>
      <w:r/>
    </w:p>
    <w:p>
      <w:pPr>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三、获取采购文件</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时间：自招标文件公告发布之日起5个工作日</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地点：江苏政府采购网</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方式：网上获取</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售价：0.00元 </w:t>
      </w:r>
      <w:r/>
    </w:p>
    <w:p>
      <w:pPr>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四、提交投标响应文件截止时间、地点</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2026年</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09</w:t>
      </w:r>
      <w:r>
        <w:rPr>
          <w:rFonts w:ascii="宋体" w:hAnsi="宋体" w:eastAsia="宋体" w:cs="宋体"/>
          <w:color w:val="000000"/>
          <w:sz w:val="24"/>
          <w:highlight w:val="none"/>
        </w:rPr>
        <w:t xml:space="preserve">日 09:30 （北京时间）</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地点：“苏采云”政府采购交易系统网上开标大厅</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磋商时间、地点</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2026年</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09</w:t>
      </w:r>
      <w:r>
        <w:rPr>
          <w:rFonts w:ascii="宋体" w:hAnsi="宋体" w:eastAsia="宋体" w:cs="宋体"/>
          <w:color w:val="000000"/>
          <w:sz w:val="24"/>
          <w:highlight w:val="none"/>
        </w:rPr>
        <w:t xml:space="preserve">日 09:30 （北京时间）</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地点：“苏采云”政府采购交易系统网上开标大厅</w:t>
      </w:r>
      <w:r/>
    </w:p>
    <w:p>
      <w:pPr>
        <w:shd w:val="clear" w:color="ffffff" w:fill="ffffff"/>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五、公告期限</w:t>
      </w:r>
      <w:r/>
    </w:p>
    <w:p>
      <w:pPr>
        <w:ind w:firstLine="48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w:t>
      </w: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个工作日。</w:t>
      </w:r>
      <w:r/>
    </w:p>
    <w:p>
      <w:pP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六、其他补充事宜</w:t>
      </w:r>
      <w:r/>
    </w:p>
    <w:p>
      <w:pPr>
        <w:ind w:firstLine="48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1.本项目中标后不允许分包、转包。</w:t>
      </w:r>
      <w:r/>
    </w:p>
    <w:p>
      <w:pPr>
        <w:ind w:firstLine="48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2.现场考察或答疑：不组织。</w:t>
      </w:r>
      <w:r/>
    </w:p>
    <w:p>
      <w:pPr>
        <w:ind w:firstLine="48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3.响应文件份数要求：中标后须提供纸质投标文件正本一份、副本贰份（加盖公章）。</w:t>
      </w:r>
      <w:r/>
    </w:p>
    <w:p>
      <w:pPr>
        <w:ind w:firstLine="48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4.政府采购信用承诺</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在政府采购资格审查环节，供应商只需提供书面《南京市政府采购供应商信用记录表暨信用承诺书》，即可替代以下证明材料： </w:t>
      </w:r>
      <w:r>
        <w:rPr>
          <w:rFonts w:ascii="宋体" w:hAnsi="宋体" w:eastAsia="宋体" w:cs="宋体"/>
          <w:color w:val="000000"/>
          <w:sz w:val="24"/>
          <w:highlight w:val="none"/>
        </w:rPr>
        <w:t xml:space="preserve">（1）符合国家相关规定的财务状况报告；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5.有关本次招标的事项若存在变动或修改，敬请及时关注</w:t>
      </w:r>
      <w:r>
        <w:rPr>
          <w:rFonts w:hint="eastAsia" w:ascii="宋体" w:hAnsi="宋体" w:eastAsia="宋体" w:cs="宋体"/>
          <w:color w:val="000000"/>
          <w:sz w:val="24"/>
          <w:highlight w:val="none"/>
          <w:lang w:eastAsia="zh-CN"/>
        </w:rPr>
        <w:t xml:space="preserve">江苏政府采购网</w:t>
      </w:r>
      <w:r>
        <w:rPr>
          <w:rFonts w:ascii="宋体" w:hAnsi="宋体" w:eastAsia="宋体" w:cs="宋体"/>
          <w:color w:val="000000"/>
          <w:sz w:val="24"/>
          <w:highlight w:val="none"/>
        </w:rPr>
        <w:t xml:space="preserve">发布的信息更正公告。任何因未及时关注</w:t>
      </w:r>
      <w:r>
        <w:rPr>
          <w:rFonts w:hint="eastAsia" w:ascii="宋体" w:hAnsi="宋体" w:eastAsia="宋体" w:cs="宋体"/>
          <w:color w:val="000000"/>
          <w:sz w:val="24"/>
          <w:highlight w:val="none"/>
          <w:lang w:eastAsia="zh-CN"/>
        </w:rPr>
        <w:t xml:space="preserve">江苏政府采购网</w:t>
      </w:r>
      <w:r>
        <w:rPr>
          <w:rFonts w:ascii="宋体" w:hAnsi="宋体" w:eastAsia="宋体" w:cs="宋体"/>
          <w:color w:val="000000"/>
          <w:sz w:val="24"/>
          <w:highlight w:val="none"/>
        </w:rPr>
        <w:t xml:space="preserve">发布的该项目信息导致的任何后果均由供应商自行承担，采购人及代理机构均不承担任何责任。</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七、凡对本次采购提出询问，请按以下方式联系</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1.采购人信息</w:t>
      </w:r>
      <w:r/>
    </w:p>
    <w:p>
      <w:pPr>
        <w:shd w:val="clear" w:color="ffffff" w:fill="ffffff"/>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（1）单位名称：</w:t>
      </w:r>
      <w:r>
        <w:rPr>
          <w:rFonts w:hint="eastAsia" w:ascii="宋体" w:hAnsi="宋体" w:eastAsia="宋体" w:cs="宋体"/>
          <w:color w:val="000000"/>
          <w:sz w:val="24"/>
          <w:highlight w:val="none"/>
        </w:rPr>
        <w:t xml:space="preserve">南京市规划和自然资源局六合分局</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（2）联系人：</w:t>
      </w:r>
      <w:r>
        <w:rPr>
          <w:rFonts w:hint="eastAsia" w:ascii="宋体" w:hAnsi="宋体" w:eastAsia="宋体" w:cs="宋体"/>
          <w:color w:val="000000"/>
          <w:sz w:val="24"/>
          <w:highlight w:val="none"/>
        </w:rPr>
        <w:t xml:space="preserve">葛主任</w:t>
      </w:r>
      <w:r>
        <w:rPr>
          <w:rFonts w:ascii="宋体" w:hAnsi="宋体" w:eastAsia="宋体" w:cs="宋体"/>
          <w:color w:val="000000"/>
          <w:sz w:val="24"/>
          <w:highlight w:val="none"/>
        </w:rPr>
        <w:t xml:space="preserve">  </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（3）联系电话：</w:t>
      </w:r>
      <w:r>
        <w:rPr>
          <w:rFonts w:hint="eastAsia" w:ascii="宋体" w:hAnsi="宋体" w:eastAsia="宋体" w:cs="宋体"/>
          <w:color w:val="000000"/>
          <w:sz w:val="24"/>
          <w:highlight w:val="none"/>
        </w:rPr>
        <w:t xml:space="preserve">18915908111 </w:t>
      </w:r>
      <w:r>
        <w:rPr>
          <w:rFonts w:ascii="宋体" w:hAnsi="宋体" w:eastAsia="宋体" w:cs="宋体"/>
          <w:color w:val="000000"/>
          <w:sz w:val="24"/>
          <w:highlight w:val="none"/>
        </w:rPr>
        <w:t xml:space="preserve"> </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2.采购代理机构信息</w:t>
      </w:r>
      <w:r/>
    </w:p>
    <w:p>
      <w:pPr>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（1）代理机构名称：南京平喜工程项目管理咨询有限公司</w:t>
      </w:r>
      <w:r/>
    </w:p>
    <w:p>
      <w:pPr>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（2）代理机构联系人：马工</w:t>
      </w:r>
      <w:r/>
    </w:p>
    <w:p>
      <w:pPr>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（3）代理机构联系电话：17750858260</w:t>
      </w:r>
      <w:r/>
    </w:p>
    <w:p>
      <w:pPr>
        <w:jc w:val="both"/>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pStyle w:val="656"/>
        <w:rPr>
          <w:rFonts w:ascii="宋体" w:hAnsi="宋体" w:eastAsia="宋体" w:cs="宋体"/>
          <w:color w:val="000000"/>
          <w:sz w:val="21"/>
          <w:highlight w:val="none"/>
        </w:rPr>
      </w:pPr>
      <w:r>
        <w:rPr>
          <w:rFonts w:ascii="宋体" w:hAnsi="宋体" w:eastAsia="宋体" w:cs="宋体"/>
          <w:color w:val="000000"/>
          <w:sz w:val="21"/>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pStyle w:val="656"/>
        <w:rPr>
          <w:rFonts w:ascii="宋体" w:hAnsi="宋体" w:eastAsia="宋体" w:cs="宋体"/>
          <w:color w:val="000000"/>
          <w:sz w:val="21"/>
          <w:highlight w:val="none"/>
        </w:rPr>
      </w:pPr>
      <w:r>
        <w:rPr>
          <w:rFonts w:ascii="宋体" w:hAnsi="宋体" w:eastAsia="宋体" w:cs="宋体"/>
          <w:color w:val="000000"/>
          <w:sz w:val="21"/>
          <w:highlight w:val="none"/>
        </w:rPr>
      </w:r>
      <w:r/>
    </w:p>
    <w:p>
      <w:pPr>
        <w:rPr>
          <w:highlight w:val="none"/>
        </w:rPr>
      </w:pPr>
      <w:r>
        <w:rPr>
          <w:highlight w:val="none"/>
        </w:rPr>
      </w:r>
      <w:r/>
    </w:p>
    <w:p>
      <w:pPr>
        <w:jc w:val="center"/>
        <w:spacing w:before="240" w:after="24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spacing w:before="240" w:after="24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spacing w:before="240" w:after="24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spacing w:before="240" w:after="24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spacing w:before="240" w:after="24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spacing w:before="240" w:after="24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第二章</w:t>
      </w:r>
      <w:r>
        <w:rPr>
          <w:rFonts w:hint="eastAsia" w:ascii="宋体" w:hAnsi="宋体" w:eastAsia="宋体" w:cs="宋体"/>
          <w:b/>
          <w:color w:val="000000"/>
          <w:sz w:val="32"/>
          <w:highlight w:val="none"/>
          <w:lang w:val="en-US" w:eastAsia="zh-CN"/>
        </w:rPr>
        <w:t xml:space="preserve"> </w:t>
      </w:r>
      <w:r>
        <w:rPr>
          <w:rFonts w:ascii="宋体" w:hAnsi="宋体" w:eastAsia="宋体" w:cs="宋体"/>
          <w:b/>
          <w:color w:val="000000"/>
          <w:sz w:val="32"/>
          <w:highlight w:val="none"/>
        </w:rPr>
        <w:t xml:space="preserve">竞争性磋商须知</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一、总则</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1、适用法律</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《中华人民共和国政府采购法》、《中华人民共和国政府采购法实施条例》、《政府采购竞争性磋商采购方式管理暂行办法》等有关法律、规章和规定等。</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2、定义</w:t>
      </w:r>
      <w:r/>
    </w:p>
    <w:p>
      <w:pPr>
        <w:ind w:firstLine="42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 “采购人”是指依法进行政府采购的国家机关、事业单位、团体组织。</w:t>
      </w:r>
      <w:r/>
    </w:p>
    <w:p>
      <w:pPr>
        <w:ind w:firstLine="42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 “供应商”是指参加竞争性磋商，并符合采购文件规定资格条件的法人、其他组织或者自然人。</w:t>
      </w:r>
      <w:r/>
    </w:p>
    <w:p>
      <w:pPr>
        <w:ind w:firstLine="42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 “货物和服务”指本采购文件中所述产品及相关服务。</w:t>
      </w:r>
      <w:r/>
    </w:p>
    <w:p>
      <w:pPr>
        <w:ind w:firstLine="42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 “用户或使用单位”是指使用服务的单位。</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3、政策功能</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 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 政府采购节能产品、环境标志产品</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  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(2)采购产品属于政府强制采购节能产品的，供应商应当选择依据国家能效标准中二级能效(水效)指标认证的节能产品投标(响应),签订合同时提供国家确定的认证机构出具的、处于有效期之内的节能产品认证证书。</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(3)采购产品属于政府优先采购节能产品和环境标志产品的，对供应商提供的国家确定的认证机构出具的、处于有效期之内的节能产品或环境标志产品认证证书，评审时给予加分。</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 绿色采购</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验收报告。</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 含量的涂料、胶黏剂等纳入政府采购合同条款的，供应商必须严格执行。</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 创新产品采购</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(1)优先采购各级政府部门公开发布的有效期内的创新产品、首台套等《目录》内的创新产品。创新产品自进入《目录》起2年内视同具备相应销售业绩。</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3.7 网络产品、市场准入类产品采购</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3.8 数据交易说明(如有)</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(1)数据交易标的包括数据产品、数据服务、数据工具。</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(2)数据产品是指用于交易的数据和数据衍生产品，包括但不限于数据集、数据分析报告、数据可视化产品、数据指数、API 数据、加密数据等。</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(3)数据服务是指提供数据收集、存储、使用、加工、传输等服务，包括但不限于数据采集和预处理服务、数据建模、分析处理服务、数据可视化服务、数据安全服务等。</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(4)数据工具是指可实现数据服务的软硬件工具，包括但不限于数据存储和管理工具、数据采集工具、数据清洗工具、数据分析工具、数据可视化工具、数据安全工具等。</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3.9 进口产品政策</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(1)除招标公告载明接受进口产品参加外，不允许进口产品参加。进口产品认定依照 《财政部关于政府采购进口产品管理有关问题的通知》(财办库〔2008〕248号)的规定。</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(2)允许进口产品参加的，满足需求的国内产品可以参加。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(3)允许进口产品参加的，优先采购向我国企业转让技术、与我国企业签订消化吸收再创新方案的供应商的进口产品。</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3.10 未按要求提供相关材料的，不享受相关政策。</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4、磋商费用</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 供应商应自行承担所有与参加本次磋商有关的费用，无论磋商过程中的做法和结果如何，采购人和采购代理机构在任何情况下均无义务和责任承担这些费用。</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2  本次代理费</w:t>
      </w:r>
      <w:r>
        <w:rPr>
          <w:rFonts w:hint="eastAsia" w:ascii="宋体" w:hAnsi="宋体" w:eastAsia="宋体" w:cs="宋体"/>
          <w:color w:val="000000"/>
          <w:sz w:val="24"/>
          <w:highlight w:val="none"/>
        </w:rPr>
        <w:t xml:space="preserve">按</w:t>
      </w:r>
      <w:r>
        <w:rPr>
          <w:rFonts w:hint="eastAsia" w:ascii="宋体" w:hAnsi="宋体" w:eastAsia="宋体" w:cs="宋体"/>
          <w:color w:val="000000"/>
          <w:sz w:val="24"/>
          <w:highlight w:val="none"/>
        </w:rPr>
        <w:t xml:space="preserve">照</w:t>
      </w:r>
      <w:r>
        <w:rPr>
          <w:highlight w:val="none"/>
        </w:rPr>
      </w:r>
      <w:r>
        <w:rPr>
          <w:rFonts w:hint="eastAsia" w:ascii="宋体" w:hAnsi="宋体" w:eastAsia="宋体" w:cs="宋体"/>
          <w:color w:val="000000"/>
          <w:sz w:val="24"/>
          <w:highlight w:val="none"/>
        </w:rPr>
        <w:t xml:space="preserve">国家发展改革委关于进一步放开建设项目专业服务价格的通知</w:t>
      </w:r>
      <w:r/>
    </w:p>
    <w:p>
      <w:pPr>
        <w:ind w:firstLine="48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(发改价格〔2015〕299号</w:t>
      </w:r>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t xml:space="preserve">计取，由中标供应商在领取中标通知书时支付，此费用已含在投标报价中，结算时不予另计。</w:t>
      </w:r>
      <w:r/>
      <w:r/>
    </w:p>
    <w:p>
      <w:pPr>
        <w:ind w:firstLine="480"/>
        <w:jc w:val="both"/>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5、联合体投标（本项目接受联合体）。</w:t>
      </w:r>
      <w:r/>
    </w:p>
    <w:p>
      <w:pPr>
        <w:ind w:firstLine="480"/>
        <w:jc w:val="both"/>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两个及以上自然人、法人或者其他组织可以组成一个联合体，以一个供应商的身份共同参加政府采购。</w:t>
      </w:r>
      <w:r/>
    </w:p>
    <w:p>
      <w:pPr>
        <w:ind w:firstLine="480"/>
        <w:jc w:val="both"/>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以联合体形式进行政府采购的，参加联合体的供应商均应当具备政府采购法第二十二条规定的条件。采购人根据采购项目的特殊要求规定供应商特定条件的，联合体各方中至少应当有一方符合采购人规定的特定条件并在投标文件中申明。联合体各方应当共同与采购人签订采购合同，就采购合同约定的事项对采购人承担连带责任。联合体中有同类资质的供应商按照联合体分工承担相同工作的，按照资质等级较低的供应商确定资质等级。</w:t>
      </w:r>
      <w:r/>
    </w:p>
    <w:p>
      <w:pPr>
        <w:ind w:firstLine="480"/>
        <w:jc w:val="both"/>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5.3 联合体各方之间应当签订联合体协议，明确约定联合体各方承担的工作和相应的责任，并将联合体协议连同投标文件一同提交。</w:t>
      </w:r>
      <w:r/>
    </w:p>
    <w:p>
      <w:pPr>
        <w:ind w:firstLine="480"/>
        <w:jc w:val="both"/>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5.4 以联合体形式参加政府采购活动的，联合体各方不得再单独参加或者与其他供应商另外组成联合体参加同一合同项下的政府采购活动。</w:t>
      </w:r>
      <w:r/>
    </w:p>
    <w:p>
      <w:pPr>
        <w:ind w:firstLine="480"/>
        <w:jc w:val="both"/>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5.5投标文件由联合体各方共同编制并盖章，对联合体各成员具有约束力，如因响应文件原因造成投标人损失的联合体各方均应承担连带责任；联合体各方的业绩、资质、奖项和技术方案均可作为联合体的评分依据。</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二、磋商文件</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6、磋商文件构成</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 磋商文件由以下部分组成：</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（1）竞争性磋商公告</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（2）竞争性磋商须知</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（3）成交标准</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（4）采购需求</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（5）合同草案条款及格式</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（6）响应文件格式</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（7）附件</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请仔细检查磋商文件是否齐全，如有缺漏请立即与采购代理机构联系解决。</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7、磋商文件的澄清</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 任何要求对磋商文件进行澄清的供应商，应在磋商截止期5日前按磋商公告中的通讯地址，以书面形式通知采购代理机构。</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8、磋商文件的澄清和修改</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w:t>
      </w:r>
      <w:r>
        <w:rPr>
          <w:rFonts w:hint="eastAsia" w:ascii="宋体" w:hAnsi="宋体" w:eastAsia="宋体" w:cs="宋体"/>
          <w:color w:val="000000"/>
          <w:sz w:val="24"/>
          <w:highlight w:val="none"/>
          <w:lang w:eastAsia="zh-CN"/>
        </w:rPr>
        <w:t xml:space="preserve">江苏政府采购网</w:t>
      </w:r>
      <w:r>
        <w:rPr>
          <w:rFonts w:ascii="宋体" w:hAnsi="宋体" w:eastAsia="宋体" w:cs="宋体"/>
          <w:color w:val="000000"/>
          <w:sz w:val="24"/>
          <w:highlight w:val="none"/>
        </w:rPr>
        <w:t xml:space="preserve">”上发布书面更正公告形式通知所有获取磋商文件的供应商,更正公告内容将作为磋商文件的组成部分，并对供应商具有约束力。不足5日的，采购代理机构将顺延提交首次响应文件截止时间。</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8.2 采购代理机构可以视采购项目的具体情况，组织供应商进行现场考察或召开磋商前答疑会，但不单独或分别组织只有一个供应商参加的现场考察和答疑会。</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三、响应文件的编制</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9、响应文件的语言、计量单位、货币和编制</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 供应商所使用的计量单位应为国家法定计量单位。</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9.3 供应商应用人民币报价。报价产品如果是进口产品的，应提供人民币与外币之间的汇率；报价单位为“元”。</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9.4 磋商响应文件应字迹清楚、内容齐全、不得涂改。如有修改，修改处须有供应商公章或投标专用章和法定代表人或其授权磋商代表签字。</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9.5 供应商应在磋商响应文件中写清相应的项目编号、项目名称、供应商全称、地址、电话、传真等。</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10、响应文件构成</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 供应商应当根据竞争性磋商文件要求编制磋商电子响应文件，并根据自己的商务能力、技术水平对竞争性磋商文件提出的要求和条件逐条标明是否响应。</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 磋商响应文件由商务部分、技术部分、价格部分，以及其他部分组成。</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10.3 本次采购的最小单位是包。采购项目的技术要求中未分包的，供应商对要求提供的服务不得部分投标；采购项目的技术要求中已经分包的，可以以包为单位投标。</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10.4 如标书制作工具中格式和内容与“</w:t>
      </w:r>
      <w:r>
        <w:rPr>
          <w:rFonts w:hint="eastAsia" w:ascii="宋体" w:hAnsi="宋体" w:eastAsia="宋体" w:cs="宋体"/>
          <w:color w:val="000000"/>
          <w:sz w:val="24"/>
          <w:highlight w:val="none"/>
          <w:lang w:eastAsia="zh-CN"/>
        </w:rPr>
        <w:t xml:space="preserve">江苏政府采购网</w:t>
      </w:r>
      <w:r>
        <w:rPr>
          <w:rFonts w:ascii="宋体" w:hAnsi="宋体" w:eastAsia="宋体" w:cs="宋体"/>
          <w:color w:val="000000"/>
          <w:sz w:val="24"/>
          <w:highlight w:val="none"/>
        </w:rPr>
        <w:t xml:space="preserve">”发布的磋商文件不一致，请以“</w:t>
      </w:r>
      <w:r>
        <w:rPr>
          <w:rFonts w:hint="eastAsia" w:ascii="宋体" w:hAnsi="宋体" w:eastAsia="宋体" w:cs="宋体"/>
          <w:color w:val="000000"/>
          <w:sz w:val="24"/>
          <w:highlight w:val="none"/>
          <w:lang w:eastAsia="zh-CN"/>
        </w:rPr>
        <w:t xml:space="preserve">江苏政府采购网</w:t>
      </w:r>
      <w:r>
        <w:rPr>
          <w:rFonts w:ascii="宋体" w:hAnsi="宋体" w:eastAsia="宋体" w:cs="宋体"/>
          <w:color w:val="000000"/>
          <w:sz w:val="24"/>
          <w:highlight w:val="none"/>
        </w:rPr>
        <w:t xml:space="preserve">”发布的磋商文件为准。</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10.5 </w:t>
      </w:r>
      <w:r>
        <w:rPr>
          <w:rFonts w:ascii="宋体" w:hAnsi="宋体" w:eastAsia="宋体" w:cs="宋体"/>
          <w:b/>
          <w:color w:val="000000"/>
          <w:sz w:val="24"/>
          <w:highlight w:val="none"/>
        </w:rPr>
        <w:t xml:space="preserve">磋商响应文件的商务部分。</w:t>
      </w:r>
      <w:r>
        <w:rPr>
          <w:rFonts w:ascii="宋体" w:hAnsi="宋体" w:eastAsia="宋体" w:cs="宋体"/>
          <w:color w:val="000000"/>
          <w:sz w:val="24"/>
          <w:highlight w:val="none"/>
        </w:rPr>
        <w:t xml:space="preserve">商务部分是证明供应商有资格参加磋商和成交后有能力履行合同的文件，这些文件应能满足竞争性磋商采购的要求，包括但不限于下列文件，</w:t>
      </w:r>
      <w:r>
        <w:rPr>
          <w:rFonts w:ascii="宋体" w:hAnsi="宋体" w:eastAsia="宋体" w:cs="宋体"/>
          <w:b/>
          <w:color w:val="000000"/>
          <w:sz w:val="24"/>
          <w:highlight w:val="none"/>
        </w:rPr>
        <w:t xml:space="preserve">其中加★项目不得有缺失或无效，否则竞争性磋商小组有权否决供应商的投标</w:t>
      </w:r>
      <w:r>
        <w:rPr>
          <w:rFonts w:ascii="宋体" w:hAnsi="宋体" w:eastAsia="宋体" w:cs="宋体"/>
          <w:color w:val="000000"/>
          <w:sz w:val="24"/>
          <w:highlight w:val="none"/>
        </w:rPr>
        <w:t xml:space="preserve">：</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b/>
          <w:color w:val="000000"/>
          <w:sz w:val="24"/>
          <w:highlight w:val="none"/>
        </w:rPr>
        <w:t xml:space="preserve">★</w:t>
      </w:r>
      <w:r>
        <w:rPr>
          <w:rFonts w:ascii="宋体" w:hAnsi="宋体" w:eastAsia="宋体" w:cs="宋体"/>
          <w:color w:val="000000"/>
          <w:sz w:val="24"/>
          <w:highlight w:val="none"/>
        </w:rPr>
        <w:t xml:space="preserve">竞争性磋商申请及声明（格式见第六章）；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b/>
          <w:color w:val="000000"/>
          <w:sz w:val="24"/>
          <w:highlight w:val="none"/>
        </w:rPr>
        <w:t xml:space="preserve">★</w:t>
      </w:r>
      <w:r>
        <w:rPr>
          <w:rFonts w:ascii="宋体" w:hAnsi="宋体" w:eastAsia="宋体" w:cs="宋体"/>
          <w:color w:val="000000"/>
          <w:sz w:val="24"/>
          <w:highlight w:val="none"/>
        </w:rPr>
        <w:t xml:space="preserve">法定代表人授权委托书及委托代理人的身份证复印件（格式见第六章）；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rFonts w:ascii="宋体" w:hAnsi="宋体" w:eastAsia="宋体" w:cs="宋体"/>
          <w:b/>
          <w:color w:val="000000"/>
          <w:sz w:val="24"/>
          <w:highlight w:val="none"/>
        </w:rPr>
        <w:t xml:space="preserve">★</w:t>
      </w:r>
      <w:r>
        <w:rPr>
          <w:rFonts w:ascii="宋体" w:hAnsi="宋体" w:eastAsia="宋体" w:cs="宋体"/>
          <w:color w:val="000000"/>
          <w:sz w:val="24"/>
          <w:highlight w:val="none"/>
        </w:rPr>
        <w:t xml:space="preserve">第一章竞争性磋商公告中满足《中华人民共和国政府采购法》规定的资格条件证明文件或提供资格承诺函，格式见第六章；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rFonts w:ascii="宋体" w:hAnsi="宋体" w:eastAsia="宋体" w:cs="宋体"/>
          <w:b/>
          <w:color w:val="000000"/>
          <w:sz w:val="24"/>
          <w:highlight w:val="none"/>
        </w:rPr>
        <w:t xml:space="preserve">★</w:t>
      </w:r>
      <w:r>
        <w:rPr>
          <w:rFonts w:ascii="宋体" w:hAnsi="宋体" w:eastAsia="宋体" w:cs="宋体"/>
          <w:color w:val="000000"/>
          <w:sz w:val="24"/>
          <w:highlight w:val="none"/>
        </w:rPr>
        <w:t xml:space="preserve">第一章竞争性磋商公告中采购人根据采购项目的特殊要求规定的特定条件证明文件；</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rFonts w:ascii="宋体" w:hAnsi="宋体" w:eastAsia="宋体" w:cs="宋体"/>
          <w:bCs/>
          <w:color w:val="000000"/>
          <w:sz w:val="24"/>
          <w:highlight w:val="none"/>
        </w:rPr>
        <w:t xml:space="preserve">南京市政府采购供应商信用记录表暨信用承诺书</w:t>
      </w:r>
      <w:r>
        <w:rPr>
          <w:rFonts w:ascii="宋体" w:hAnsi="宋体" w:eastAsia="宋体" w:cs="宋体"/>
          <w:color w:val="000000"/>
          <w:sz w:val="24"/>
          <w:highlight w:val="none"/>
        </w:rPr>
        <w:t xml:space="preserve">；</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rFonts w:ascii="宋体" w:hAnsi="宋体" w:eastAsia="宋体" w:cs="宋体"/>
          <w:b/>
          <w:color w:val="000000"/>
          <w:sz w:val="24"/>
          <w:highlight w:val="none"/>
        </w:rPr>
        <w:t xml:space="preserve">★</w:t>
      </w:r>
      <w:r>
        <w:rPr>
          <w:rFonts w:ascii="宋体" w:hAnsi="宋体" w:eastAsia="宋体" w:cs="宋体"/>
          <w:color w:val="000000"/>
          <w:sz w:val="24"/>
          <w:highlight w:val="none"/>
        </w:rPr>
        <w:t xml:space="preserve">报价表（格式见第六章）；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rFonts w:ascii="宋体" w:hAnsi="宋体" w:eastAsia="宋体" w:cs="宋体"/>
          <w:b/>
          <w:color w:val="000000"/>
          <w:sz w:val="24"/>
          <w:highlight w:val="none"/>
        </w:rPr>
        <w:t xml:space="preserve">★</w:t>
      </w:r>
      <w:r>
        <w:rPr>
          <w:rFonts w:ascii="宋体" w:hAnsi="宋体" w:eastAsia="宋体" w:cs="宋体"/>
          <w:color w:val="000000"/>
          <w:sz w:val="24"/>
          <w:highlight w:val="none"/>
        </w:rPr>
        <w:t xml:space="preserve">分项报价表；</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（8）《商务条款偏离表》；</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（9）供应商认为需要提供的其他资格证明文件和商务资料。</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10.6 </w:t>
      </w:r>
      <w:r>
        <w:rPr>
          <w:rFonts w:ascii="宋体" w:hAnsi="宋体" w:eastAsia="宋体" w:cs="宋体"/>
          <w:b/>
          <w:color w:val="000000"/>
          <w:sz w:val="24"/>
          <w:highlight w:val="none"/>
        </w:rPr>
        <w:t xml:space="preserve">磋商响应文件的技术部分。</w:t>
      </w:r>
      <w:r>
        <w:rPr>
          <w:rFonts w:ascii="宋体" w:hAnsi="宋体" w:eastAsia="宋体" w:cs="宋体"/>
          <w:color w:val="000000"/>
          <w:sz w:val="24"/>
          <w:highlight w:val="none"/>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（1）技术方案；</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（2）工程内容的详细说明；</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（3）服务承诺；</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（4）《技术条款偏离表》；</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（5）供应商认为需要提供的其他技术资料。</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10.7 </w:t>
      </w:r>
      <w:r>
        <w:rPr>
          <w:rFonts w:ascii="宋体" w:hAnsi="宋体" w:eastAsia="宋体" w:cs="宋体"/>
          <w:b/>
          <w:color w:val="000000"/>
          <w:sz w:val="24"/>
          <w:highlight w:val="none"/>
        </w:rPr>
        <w:t xml:space="preserve">磋商响应文件的价格部分</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价格部分是对服务或工程价格构成的说明，竞争性磋商文件如没有特别说明的话，对每一项服务或工程仅接受一个价格。</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（2）报价应包含与磋商项目有关的所用费用，以及技术资料、支付给员工的工资和国家强制缴纳的各种社会保障资金，以及供应商认为需要的其他费用等。</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（3）供应商应以表格形式详细说明服务或工程的价格构成，以及价格构成各项因素的单价和总价。</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（4）供应商应充分考虑到市场价格变动，以及项目实施过程中的不可预见因素，一旦成交，总价格不变。如果有漏项，视同让利。</w:t>
      </w:r>
      <w:r/>
    </w:p>
    <w:p>
      <w:pPr>
        <w:ind w:firstLine="422"/>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（5）响应文件所报的投标价格不得超过磋商文件规定的最高限价，超过磋商文件规定的最高限价的响应文件，按无效投标处理。</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（6）经磋商后，如果成交价低于供应商在磋商响应文件报价的话，除特别注明外，分项报价同比例调整。</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10.8 磋商响应文件的其他部分。其他部分由供应商根据编制磋商响应文件需要提供的其他相关文件组成。</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11、证明磋商响应标的符合磋商文件规定的文件</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 供应商应按照磋商文件要求提交证明文件，证明其及磋商响应标的符合磋商文件规定。</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 磋商文件对证明文件无明确形式要求的，证明文件可以以文字资料、图纸和数据等形式提交。</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12、分项报价表</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 供应商应按照磋商文件规定格式填报分项报价表。</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12.2 磋商货币。响应文件中的单价和总价无特殊规定的采用人民币报价，以元为单位标注。磋商文件中另有规定的按规定执行。</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13、技术要求响应及偏离表、商务要求响应及偏离表</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13.1 供应商需对磋商文件中的技术要求与商务要求逐项作出响应或偏离。</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13.2 供应商可在响应文件中提供认为需要的其他技术文件或说明。</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14、竞争性磋商申请及声明</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14.1 供应商应按照磋商文件中提供的格式完整、正确填写竞争性磋商申请及声明。</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15、磋商有效期</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 磋商有效期为采购代理机构规定的提交响应文件截止之日后</w:t>
      </w:r>
      <w:r>
        <w:rPr>
          <w:rFonts w:ascii="宋体" w:hAnsi="宋体" w:eastAsia="宋体" w:cs="宋体"/>
          <w:b/>
          <w:color w:val="000000"/>
          <w:sz w:val="24"/>
          <w:highlight w:val="none"/>
          <w:u w:val="single"/>
        </w:rPr>
        <w:t xml:space="preserve">60天</w:t>
      </w:r>
      <w:r>
        <w:rPr>
          <w:rFonts w:ascii="宋体" w:hAnsi="宋体" w:eastAsia="宋体" w:cs="宋体"/>
          <w:color w:val="000000"/>
          <w:sz w:val="24"/>
          <w:highlight w:val="none"/>
        </w:rPr>
        <w:t xml:space="preserve">。磋商有效期比规定短的将被视为非实质性响应磋商文件而予以拒绝。</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16、磋商有效期的延长</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四、响应文件的递交</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17、电子磋商响应文件的递交</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 响应文件应加盖投标供应商公章。磋商文件中注明须签字的地方应由供应商的法定代表人或委托代理人签字，如为委托代理人签字的应附“法定代表人授权委托书”。</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17.2 供应商应当按照《操作手册》规定，在提交响应文件截止时间前制作并上传电子响应文件。</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18、提交响应文件截止时间</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18.1 供应商上传电子响应文件的时间不得迟于磋商公告中规定的提交响应文件截止时间。</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18.2 供应商应充分考虑到网络环境、网络带宽等风险因素，如因供应商自身原因造成的电子响应文件上传不成功的按照无效响应处理。</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19、响应文件的拒收</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 采购代理机构拒绝接收在其规定的提交响应文件截止时间后上传的任何电子响应文件。</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20、响应文件的撤回和修改</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20.1响应文件的撤回</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20.1.1 电子响应文件的撤回</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供应商可在提交响应文件截止时间前，撤回其电子响应文件，具体操作方法见《操作手册》。</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20.1.2 供应商撤回电子响应文件，则认为其不再参与本项目磋商活动。</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20.2响应文件的修改</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20.2.1 供应商可在提交响应文件截止时间前，对其电子响应文件进行修改，具体操作方法见《操作手册》。</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20.2.2 在提交响应文件截止时间之后，供应商不得对其电子响应文件作任何修改。</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20.2.3 在提交响应文件截止时间至磋商文件中规定的磋商有效期满之间的这段时间内，供应商不得撤回其响应文件。</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五、响应文件的解密与评审</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21、响应文件解密</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 供应商应当按照《操作手册》规定，在苏采云系统规定的时间内对磋商响应文件进行解密。</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22、磋商小组</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 采购代理机构将组织磋商小组对响应文件进行评审。磋商小组由采购人代表和有关技术、经济等方面的专家组成，且人员构成符合政府采购有关规定。</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 磋商小组独立工作，负责评审所有响应文件并确定成交侯选人。</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23、评审过程的保密与公正</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 磋商小组、采购人和采购代理机构工作人员、相关监督人员等与评审工作有关的人员，对评审情况以及在评审过程中获悉的国家秘密、商业秘密负有保密责任。</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 在评审过程中，供应商不得以任何行为影响磋商评审过程，否则其响应文件将被作为无效响应文件。</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 在项目评审期间，采购代理机构将设专门人员与供应商联系。</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23.4 采购代理机构和磋商小组不向未成交的供应商解释未成交原因，也不公布评审过程中的相关细节。</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24、评审过程中的的澄清</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磋商小组并非对每个供应商都作澄清要求。</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 接到磋商小组澄清、说明和更正要求的供应商如未按规定做出澄清、说明和更正，其风险由供应商自行承担。</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25、对响应文件的审查</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25.1 响应文件审查分为资格审查和符合性审查。</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 资格审查：由磋商小组依据法律法规和磋商文件的规定，对响应文件中的资格证明文件进行审查，以确定供应商是否具备参加磋商的资格。</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磋商小组在进行资格审查的同时，将在“信用中国”网站（www.creditchina.gov.cn）查询供应商的信用记录，以确定供应商是否具备磋商资格。</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25.1.2 符合性审查：依据磋商文件的规定，由磋商小组从响应文件的有效性、完整性和对磋商文件的响应程度进行审查，以确定是否对磋商文件的实质性要求作出响应。</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 在详细评审之前，磋商小组将首先审查每份响应文件是否实质性响应了磋商文件的要求。实质性响应的响应文件应该是与磋商文件要求的条款、条件和规格相符，没有重大偏离或保留。</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25.3 未实质性响应磋商文件的情形</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25.3.1 供应商在苏采云系统规定的时间内未成功解密电子响应文件的。</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25.3.2 供应商未按照磋商文件要求上传电子响应文件的。</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25.3.3 同一供应商提交两个（含两个）以上不同的响应文件或者最后报价的。</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25.3.4 供应商不具备磋商文件中规定资格要求的。</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25.3.5 供应商的投标报价超过了最高投标限价。</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25.3.6 不符合磋商文件中规定的实质性要求和条件的</w:t>
      </w:r>
      <w:r>
        <w:rPr>
          <w:rFonts w:ascii="宋体" w:hAnsi="宋体" w:eastAsia="宋体" w:cs="宋体"/>
          <w:b/>
          <w:color w:val="000000"/>
          <w:sz w:val="24"/>
          <w:highlight w:val="none"/>
        </w:rPr>
        <w:t xml:space="preserve">。</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25.3.8 响应文件含有采购人不能接受的附加条件的。</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25.3.9 响应文件未按照磋商文件要求加盖CA电子公章或签字的。</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25.4  无效响应的情形</w:t>
      </w:r>
      <w:r/>
    </w:p>
    <w:p>
      <w:pPr>
        <w:ind w:firstLine="420"/>
        <w:jc w:val="both"/>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25.4.1</w:t>
      </w:r>
      <w:r>
        <w:rPr>
          <w:rFonts w:ascii="宋体" w:hAnsi="宋体" w:eastAsia="宋体" w:cs="宋体"/>
          <w:b/>
          <w:color w:val="000000"/>
          <w:sz w:val="24"/>
          <w:highlight w:val="none"/>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firstLine="420"/>
        <w:jc w:val="both"/>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评标过程中出现下列情形之一的，评标委员会应当启动异常低价投标审查程序：</w:t>
      </w:r>
      <w:r/>
    </w:p>
    <w:p>
      <w:pPr>
        <w:ind w:firstLine="420"/>
        <w:jc w:val="both"/>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（1）投标报价低于采购项目预算50%的，即投标报价＜采购项目预算×50%；</w:t>
      </w:r>
      <w:r/>
    </w:p>
    <w:p>
      <w:pPr>
        <w:ind w:firstLine="420"/>
        <w:jc w:val="both"/>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（2）投标报价低于采购项目最高限价45%的，即投标报价＜采购项目最高限价×45%；</w:t>
      </w:r>
      <w:r/>
    </w:p>
    <w:p>
      <w:pPr>
        <w:ind w:firstLine="420"/>
        <w:jc w:val="both"/>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（3）评标委员会认定的供应商报价过低、有可能影响产品质量或者不能诚信履约的其他情形。</w:t>
      </w:r>
      <w:r/>
    </w:p>
    <w:p>
      <w:pPr>
        <w:ind w:firstLine="420"/>
        <w:jc w:val="both"/>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25.4.2 未实质性响应磋商文件的响应文件按无效响应处理。</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25.5 如果响应文件实质上没有响应磋商文件的要求，磋商小组将予以拒绝，供应商不得通过修改或撤销不合要求的偏离或保留而使其成为实质性响应的文件。</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25.6 供应商在项目评审全过程中应保持通讯畅通，并安排专人与采购代理机构及磋商小组联系。</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26、磋商程序及评审方法和评审标准</w:t>
      </w:r>
      <w:r/>
    </w:p>
    <w:p>
      <w:pPr>
        <w:ind w:firstLine="422"/>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26.1 磋商程序</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最后报价是供应商响应文件的有效组成部分，提交最后报价的供应商不少于3家，磋商小组将根据供应商最后得分由高到低的顺序推荐成交候选供应商。</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2"/>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26.2  评审方法和评审标准</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26.2.2 评审标准</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见本磋商文件第三章规定。</w:t>
      </w:r>
      <w:r/>
    </w:p>
    <w:p>
      <w:pPr>
        <w:ind w:firstLine="422"/>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26.3 采购活动终止的情况</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出现下列情形之一的，本次竞争性磋商采购活动将被终止：</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26.3.1 因情况变化，不再符合规定的竞争性磋商采购方式适用情形的。</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26.3.2 出现影响采购公正的违法、违规行为的。</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26.3.3 除本磋商文件第二章第26.1.2条第三款规定的情形外，在采购过程中符合要求的供应商或者最后报价未超过采购预算的供应商不足3家的。</w:t>
      </w:r>
      <w:r/>
    </w:p>
    <w:p>
      <w:pPr>
        <w:ind w:firstLine="420"/>
        <w:jc w:val="both"/>
        <w:tabs>
          <w:tab w:val="left" w:pos="90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26.3.4 在苏采云系统规定时间内成功解密电子响应文件的供应商不足3家的。</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六、成交</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27、确定成交单位</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 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 按以下第（1）种方式确定成交供应商；</w:t>
      </w:r>
      <w:r/>
    </w:p>
    <w:p>
      <w:pPr>
        <w:ind w:firstLine="42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（1）磋商小组直接确定排名第一的成交候选人为成交供应商；</w:t>
      </w:r>
      <w:r/>
    </w:p>
    <w:p>
      <w:pPr>
        <w:ind w:firstLine="42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（2）采购人在磋商小组推荐的3名成交候选人中按顺序确定成交供应商。</w:t>
      </w:r>
      <w:r/>
    </w:p>
    <w:p>
      <w:pPr>
        <w:ind w:firstLine="42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 确定成交供应商后，采购代理机构将在“</w:t>
      </w:r>
      <w:r>
        <w:rPr>
          <w:rFonts w:hint="eastAsia" w:ascii="宋体" w:hAnsi="宋体" w:eastAsia="宋体" w:cs="宋体"/>
          <w:color w:val="000000"/>
          <w:sz w:val="24"/>
          <w:highlight w:val="none"/>
          <w:lang w:eastAsia="zh-CN"/>
        </w:rPr>
        <w:t xml:space="preserve">江苏政府采购网</w:t>
      </w:r>
      <w:r>
        <w:rPr>
          <w:rFonts w:ascii="宋体" w:hAnsi="宋体" w:eastAsia="宋体" w:cs="宋体"/>
          <w:color w:val="000000"/>
          <w:sz w:val="24"/>
          <w:highlight w:val="none"/>
        </w:rPr>
        <w:t xml:space="preserve">”发布成交结果公告，公告期限为1个工作日。</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 若有充分证据证明，成交供应商出现下列情况之一的，一经查实，将被取消成交资格：</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27.4.1 提供虚假材料谋取成交的。</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27.4.2 与评审专家、采购人、其他供应商或者采购代理机构工作人员恶意串通的。</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27.4.3 向评审专家、采购人或采购代理机构工作人员行贿或者提供其他不正当利益的。</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27.4.4 恶意竞争，最后报价明显低于其自身合理成本且又无法提供证明的。</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27.4.5 不满足本磋商文件规定的实质性要求，但在评审过程中又未被磋商小组发现的。</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27.4.6 成交后无正当理由拒不与采购人签订政府采购合同或者未按照磋商文件确定的事项签订政府采购合同的。</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27.4.7 将政府采购合同转包的。</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28、询问、质疑、投诉和诚实信用</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 询问</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28.2 质疑</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28.2.1 提出质疑的供应商应当是参与所质疑项目采购活动的供应商。潜在供应商依法获取其可质疑的采购文件的，可以对采购文件提出质疑。</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（1）对磋商文件提出质疑的，为磋商文件公告期限届满之日起计算；</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（2）对采购过程提出质疑的，自采购程序环节结束之日起计算；</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（3）对成交结果提出质疑的，自成交结果公告期限届满之日起计算。</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质疑文件应包括以下主要内容：</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（1）质疑供应商的姓名或者名称、地址、邮编、联系人及联系电话；</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（2）质疑项目的名称、编号、公告发布时间、磋商时间；</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（3）具体、明确的质疑事项和与质疑事项相关的请求；</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（4）事实依据；</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（5）必要的法律依据；</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（6）提出质疑的日期；</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28.2.5 供应商（含潜在供应商）对与本项目有关的所有询问、质疑均请向采购代理机构提出，由采购代理机构负责答复。</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28.2.6 采购代理机构只接收以纸质原件形式送达的质疑。</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28.2.7 以下情形的质疑不予受理：</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（1）内容不符合《政府采购质疑和投诉办法》第十二条规定的质疑。</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（2）超出政府采购法定期限的质疑。</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（3）以传真、电子邮件等方式递交的非原件形式的质疑。</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（4）未参加磋商活动的供应商或在磋商活动中自身权益未受到损害的供应商所提出的质疑。</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（5）供应商组成联合体参加磋商，联合体中任何一方或多方未按要求签字、盖章、加盖公章的质疑。</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28.3、投诉</w:t>
      </w:r>
      <w:r/>
    </w:p>
    <w:p>
      <w:pPr>
        <w:ind w:firstLine="412"/>
        <w:spacing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28.4、诚实信用</w:t>
      </w:r>
      <w:r/>
    </w:p>
    <w:p>
      <w:pPr>
        <w:ind w:firstLine="412"/>
        <w:spacing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28.4.1 供应商之间不得相互串通报价，不得妨碍其他供应商的公平竞争，不得损害采购</w:t>
      </w:r>
      <w:r>
        <w:rPr>
          <w:rFonts w:ascii="宋体" w:hAnsi="宋体" w:eastAsia="宋体" w:cs="宋体"/>
          <w:color w:val="000000"/>
          <w:sz w:val="24"/>
          <w:highlight w:val="none"/>
        </w:rPr>
        <w:t xml:space="preserve">人和其他供应商的合法权益。</w:t>
      </w:r>
      <w:r/>
    </w:p>
    <w:p>
      <w:pPr>
        <w:ind w:firstLine="412"/>
        <w:jc w:val="both"/>
        <w:spacing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28.4.2 供应商不得以向采购代理机构工作人员、磋商小组行贿或者采取其他不正当手段谋取成交。经查实供应商有此行为的，政府采购监督管理部门将供应商列入不良行为记</w:t>
      </w:r>
      <w:r>
        <w:rPr>
          <w:rFonts w:ascii="宋体" w:hAnsi="宋体" w:eastAsia="宋体" w:cs="宋体"/>
          <w:color w:val="000000"/>
          <w:spacing w:val="-95"/>
          <w:sz w:val="24"/>
          <w:highlight w:val="none"/>
        </w:rPr>
        <w:t xml:space="preserve"> </w:t>
      </w:r>
      <w:r>
        <w:rPr>
          <w:rFonts w:ascii="宋体" w:hAnsi="宋体" w:eastAsia="宋体" w:cs="宋体"/>
          <w:color w:val="000000"/>
          <w:sz w:val="24"/>
          <w:highlight w:val="none"/>
        </w:rPr>
        <w:t xml:space="preserve">录名单，按照政府采购法有关规定处理。</w:t>
      </w:r>
      <w:r/>
    </w:p>
    <w:p>
      <w:pPr>
        <w:ind w:firstLine="420"/>
        <w:spacing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28.4.3</w:t>
      </w:r>
      <w:r>
        <w:rPr>
          <w:rFonts w:ascii="宋体" w:hAnsi="宋体" w:eastAsia="宋体" w:cs="宋体"/>
          <w:color w:val="000000"/>
          <w:spacing w:val="-60"/>
          <w:sz w:val="24"/>
          <w:highlight w:val="none"/>
        </w:rPr>
        <w:t xml:space="preserve"> </w:t>
      </w:r>
      <w:r>
        <w:rPr>
          <w:rFonts w:ascii="宋体" w:hAnsi="宋体" w:eastAsia="宋体" w:cs="宋体"/>
          <w:color w:val="000000"/>
          <w:sz w:val="24"/>
          <w:highlight w:val="none"/>
        </w:rPr>
        <w:t xml:space="preserve">供应商不得虚假承诺，否则，按照提供虚假材料谋取成交处理。</w:t>
      </w:r>
      <w:r/>
    </w:p>
    <w:p>
      <w:pPr>
        <w:ind w:firstLine="420"/>
        <w:spacing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28.4.4</w:t>
      </w:r>
      <w:r>
        <w:rPr>
          <w:rFonts w:ascii="宋体" w:hAnsi="宋体" w:eastAsia="宋体" w:cs="宋体"/>
          <w:color w:val="000000"/>
          <w:spacing w:val="-41"/>
          <w:sz w:val="24"/>
          <w:highlight w:val="none"/>
        </w:rPr>
        <w:t xml:space="preserve"> </w:t>
      </w:r>
      <w:r>
        <w:rPr>
          <w:rFonts w:ascii="宋体" w:hAnsi="宋体" w:eastAsia="宋体" w:cs="宋体"/>
          <w:color w:val="000000"/>
          <w:spacing w:val="-7"/>
          <w:sz w:val="24"/>
          <w:highlight w:val="none"/>
        </w:rPr>
        <w:t xml:space="preserve">供应商应自觉遵守磋商、评审纪律，扰乱磋商、评审现场秩序的，属于失信行为</w:t>
      </w:r>
      <w:r>
        <w:rPr>
          <w:rFonts w:ascii="宋体" w:hAnsi="宋体" w:eastAsia="宋体" w:cs="宋体"/>
          <w:color w:val="000000"/>
          <w:sz w:val="24"/>
          <w:highlight w:val="none"/>
        </w:rPr>
        <w:t xml:space="preserve">。</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29、成交通知书</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七、授予合同</w:t>
      </w:r>
      <w:r/>
    </w:p>
    <w:p>
      <w:pPr>
        <w:ind w:firstLine="42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30. 签订合同</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30.l成交供应商应当在成交通知书发出之日起三十日内，按照磋商文件确定的事项与采购人签订政府采购合同。</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30.2 磋商文件、成交供应商的响应文件及磋商过程中有关澄清、承诺文件均应作为合同附件。</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30.3 签订合同后，</w:t>
      </w:r>
      <w:r>
        <w:rPr>
          <w:rFonts w:ascii="宋体" w:hAnsi="宋体" w:eastAsia="宋体" w:cs="宋体"/>
          <w:i/>
          <w:color w:val="000000"/>
          <w:sz w:val="24"/>
          <w:highlight w:val="none"/>
          <w:u w:val="single"/>
        </w:rPr>
        <w:t xml:space="preserve">成交供应商不得将合同标的进行转包</w:t>
      </w:r>
      <w:r>
        <w:rPr>
          <w:rFonts w:ascii="宋体" w:hAnsi="宋体" w:eastAsia="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2570"/>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第三章评 分 标 准</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评分方法和标准：</w:t>
      </w:r>
      <w:r>
        <w:rPr>
          <w:rFonts w:ascii="宋体" w:hAnsi="宋体" w:eastAsia="宋体" w:cs="宋体"/>
          <w:color w:val="000000"/>
          <w:highlight w:val="none"/>
        </w:rPr>
        <w:t xml:space="preserve">本项目采用综合评分法，评分统计方法采用百分制（满分100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p>
    <w:tbl>
      <w:tblPr>
        <w:tblStyle w:val="663"/>
        <w:tblW w:w="9670"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68"/>
        <w:gridCol w:w="1701"/>
        <w:gridCol w:w="5670"/>
        <w:gridCol w:w="1031"/>
      </w:tblGrid>
      <w:tr>
        <w:trPr>
          <w:jc w:val="center"/>
          <w:trHeight w:val="315"/>
        </w:trPr>
        <w:tc>
          <w:tcPr>
            <w:gridSpan w:val="2"/>
            <w:tcBorders>
              <w:top w:val="single" w:color="auto" w:sz="6" w:space="0"/>
              <w:left w:val="single" w:color="auto" w:sz="6" w:space="0"/>
              <w:bottom w:val="single" w:color="auto" w:sz="4" w:space="0"/>
              <w:right w:val="single" w:color="auto" w:sz="6" w:space="0"/>
            </w:tcBorders>
            <w:tcW w:w="296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评审因素</w:t>
            </w:r>
            <w:r/>
          </w:p>
        </w:tc>
        <w:tc>
          <w:tcPr>
            <w:tcBorders>
              <w:top w:val="single" w:color="auto" w:sz="6" w:space="0"/>
              <w:left w:val="single" w:color="auto" w:sz="6" w:space="0"/>
              <w:bottom w:val="single" w:color="auto" w:sz="4" w:space="0"/>
              <w:right w:val="single" w:color="auto" w:sz="6" w:space="0"/>
            </w:tcBorders>
            <w:tcW w:w="567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评审标准</w:t>
            </w:r>
            <w:r/>
          </w:p>
        </w:tc>
        <w:tc>
          <w:tcPr>
            <w:tcBorders>
              <w:top w:val="single" w:color="auto" w:sz="6" w:space="0"/>
              <w:left w:val="single" w:color="auto" w:sz="6" w:space="0"/>
              <w:bottom w:val="single" w:color="auto" w:sz="4" w:space="0"/>
              <w:right w:val="single" w:color="auto" w:sz="6" w:space="0"/>
            </w:tcBorders>
            <w:tcW w:w="1031"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满分</w:t>
            </w:r>
            <w:r/>
          </w:p>
        </w:tc>
      </w:tr>
      <w:tr>
        <w:trPr>
          <w:jc w:val="center"/>
          <w:trHeight w:val="20"/>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报价分</w:t>
            </w:r>
            <w:r/>
          </w:p>
          <w:p>
            <w:pPr>
              <w:pStyle w:val="692"/>
              <w:jc w:val="center"/>
              <w:rPr>
                <w:rFonts w:ascii="宋体" w:hAnsi="宋体"/>
                <w:color w:val="auto"/>
                <w:sz w:val="21"/>
                <w:szCs w:val="21"/>
                <w:highlight w:val="none"/>
              </w:rPr>
            </w:pPr>
            <w:r>
              <w:rPr>
                <w:rFonts w:hint="eastAsia" w:ascii="宋体" w:hAnsi="宋体"/>
                <w:color w:val="auto"/>
                <w:sz w:val="21"/>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其他投标人投标报价得分＝（评标基准价/投标报价）*10。（保留两位小数，按小数点后第三位四舍五入）。</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注：有效投标报价为未被评标委员会判定为无效标的响应文件。</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590"/>
        </w:trPr>
        <w:tc>
          <w:tcPr>
            <w:tcBorders>
              <w:top w:val="single" w:color="auto" w:sz="4" w:space="0"/>
              <w:left w:val="single" w:color="auto" w:sz="4" w:space="0"/>
              <w:right w:val="single" w:color="auto" w:sz="4" w:space="0"/>
            </w:tcBorders>
            <w:tcW w:w="1268" w:type="dxa"/>
            <w:vAlign w:val="center"/>
            <w:vMerge w:val="restart"/>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企业综合实力</w:t>
            </w:r>
            <w:r/>
          </w:p>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（45分）</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企业资质</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供应商具有土地评估等级证书的，得5分。</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r>
      <w:tr>
        <w:trPr>
          <w:jc w:val="center"/>
          <w:trHeight w:val="4015"/>
        </w:trPr>
        <w:tc>
          <w:tcPr>
            <w:tcBorders>
              <w:left w:val="single" w:color="auto" w:sz="4" w:space="0"/>
              <w:right w:val="single" w:color="auto" w:sz="4" w:space="0"/>
            </w:tcBorders>
            <w:tcW w:w="1268" w:type="dxa"/>
            <w:vAlign w:val="center"/>
            <w:vMerge w:val="continue"/>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企业业绩</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44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供应商自2023年1月1日（含）以来承接的国有资产、自然资源资产、集体资产统筹管理相关技术服务类似业绩：</w:t>
            </w:r>
            <w:r/>
          </w:p>
          <w:p>
            <w:pPr>
              <w:spacing w:line="44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1.若承担过资产组合供应、资产组合配置方案编制</w:t>
            </w:r>
            <w:r>
              <w:rPr>
                <w:rFonts w:hint="eastAsia" w:ascii="宋体" w:hAnsi="宋体" w:cs="宋体"/>
                <w:b w:val="0"/>
                <w:bCs w:val="0"/>
                <w:color w:val="auto"/>
                <w:szCs w:val="21"/>
                <w:highlight w:val="none"/>
                <w:lang w:val="en-US" w:eastAsia="zh-CN"/>
              </w:rPr>
              <w:t xml:space="preserve">等类似</w:t>
            </w:r>
            <w:r>
              <w:rPr>
                <w:rFonts w:hint="eastAsia" w:ascii="宋体" w:hAnsi="宋体" w:cs="宋体"/>
                <w:b w:val="0"/>
                <w:bCs w:val="0"/>
                <w:color w:val="auto"/>
                <w:szCs w:val="21"/>
                <w:highlight w:val="none"/>
              </w:rPr>
              <w:t xml:space="preserve">技术服务项目，每提供1项有效业绩得3分，本项最高得9分；</w:t>
            </w:r>
            <w:r/>
          </w:p>
          <w:p>
            <w:pPr>
              <w:spacing w:line="44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2.若承担过资产保护利用规划、资产课题研究、资产清查归集、资产信息化管理等</w:t>
            </w:r>
            <w:r>
              <w:rPr>
                <w:rFonts w:hint="eastAsia" w:ascii="宋体" w:hAnsi="宋体" w:cs="宋体"/>
                <w:b w:val="0"/>
                <w:bCs w:val="0"/>
                <w:color w:val="auto"/>
                <w:szCs w:val="21"/>
                <w:highlight w:val="none"/>
                <w:lang w:val="en-US" w:eastAsia="zh-CN"/>
              </w:rPr>
              <w:t xml:space="preserve">类似</w:t>
            </w:r>
            <w:r>
              <w:rPr>
                <w:rFonts w:hint="eastAsia" w:ascii="宋体" w:hAnsi="宋体" w:cs="宋体"/>
                <w:b w:val="0"/>
                <w:bCs w:val="0"/>
                <w:color w:val="auto"/>
                <w:szCs w:val="21"/>
                <w:highlight w:val="none"/>
              </w:rPr>
              <w:t xml:space="preserve">技术服务项目，每提供1项有效业绩得1分，本项最高得5分。 </w:t>
            </w:r>
            <w:r/>
          </w:p>
          <w:p>
            <w:pPr>
              <w:spacing w:line="44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注：</w:t>
            </w:r>
            <w:r>
              <w:rPr>
                <w:rFonts w:hint="eastAsia" w:ascii="宋体" w:hAnsi="宋体" w:cs="宋体"/>
                <w:b w:val="0"/>
                <w:bCs w:val="0"/>
                <w:color w:val="auto"/>
                <w:szCs w:val="21"/>
                <w:highlight w:val="none"/>
              </w:rPr>
              <w:t xml:space="preserve">1.业绩认定时间：以合同签订时间为准；</w:t>
            </w:r>
            <w:r/>
          </w:p>
          <w:p>
            <w:pPr>
              <w:spacing w:line="44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2.证明材料要求：须提供合同关键页扫描件（含项目名称、服务内容、签订时间、甲乙双方盖章页），材料不全或无法体现对应服务内容的不予计分；</w:t>
            </w:r>
            <w:r/>
          </w:p>
          <w:p>
            <w:pPr>
              <w:spacing w:line="44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3.无效业绩界定：纯测绘、纯外业、纯监理、施工类项目不予计分；</w:t>
            </w:r>
            <w:r/>
          </w:p>
          <w:p>
            <w:pPr>
              <w:spacing w:line="440" w:lineRule="exact"/>
              <w:rPr>
                <w:rFonts w:ascii="宋体" w:hAnsi="宋体" w:cs="宋体"/>
                <w:b/>
                <w:bCs/>
                <w:color w:val="auto"/>
                <w:szCs w:val="21"/>
                <w:highlight w:val="none"/>
              </w:rPr>
            </w:pPr>
            <w:r>
              <w:rPr>
                <w:rFonts w:hint="eastAsia" w:ascii="宋体" w:hAnsi="宋体" w:cs="宋体"/>
                <w:b w:val="0"/>
                <w:bCs w:val="0"/>
                <w:color w:val="auto"/>
                <w:szCs w:val="21"/>
                <w:highlight w:val="none"/>
              </w:rPr>
              <w:t xml:space="preserve">4.计分规则：同一合同项目仅可计分一次，不得重复累计计分。</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r>
      <w:tr>
        <w:trPr>
          <w:jc w:val="center"/>
          <w:trHeight w:val="20"/>
        </w:trPr>
        <w:tc>
          <w:tcPr>
            <w:tcBorders>
              <w:left w:val="single" w:color="auto" w:sz="4" w:space="0"/>
              <w:bottom w:val="single" w:color="auto" w:sz="4" w:space="0"/>
              <w:right w:val="single" w:color="auto" w:sz="4" w:space="0"/>
            </w:tcBorders>
            <w:tcW w:w="1268" w:type="dxa"/>
            <w:vAlign w:val="center"/>
            <w:vMerge w:val="continue"/>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bCs/>
                <w:color w:val="auto"/>
                <w:szCs w:val="21"/>
                <w:highlight w:val="none"/>
              </w:rPr>
              <w:t xml:space="preserve">项目团队</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1、拟派项目负责人：具有土地或测绘类正高级工程师职称的得5分；具有土地或测绘类高级工程师职称的得3分；具有土地或测绘类中级工程师职称的得1分，本项最高得5分。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2、拟派技术负责人：具有土地或测绘类正高级工程师职称的得5分；具有土地或测绘类高级工程师职称的得3分；具有土地或测绘类中级工程师职称的得1分，本项最高得5分。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拟派项目组其他成员：（1）具有土地或测绘类高级工程师（及以上）职称的每一人得2分；具有土地或测绘类中级工程师职称的每一人得1分（中级职称最多得8分）；具有土地或测绘类工程师初级职称的每一人得0.5分（初级职称最多得2分），本项最高得10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（2）具有资产评估师资格证书的每一人得2分，本项最高得6分。</w:t>
            </w:r>
            <w:r/>
          </w:p>
          <w:p>
            <w:pPr>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注：1、以上拟派人员不重复计分且需提供职称证书原件的扫描件；2、拟派人员必须为供应商单位正式职工并提供</w:t>
            </w:r>
            <w:r>
              <w:rPr>
                <w:rFonts w:hint="eastAsia" w:ascii="宋体" w:hAnsi="宋体" w:cs="宋体"/>
                <w:b/>
                <w:bCs/>
                <w:color w:val="auto"/>
                <w:szCs w:val="21"/>
                <w:highlight w:val="none"/>
                <w:lang w:val="en-US" w:eastAsia="zh-CN"/>
              </w:rPr>
              <w:t xml:space="preserve">近一年</w:t>
            </w:r>
            <w:r>
              <w:rPr>
                <w:rFonts w:hint="eastAsia" w:ascii="宋体" w:hAnsi="宋体" w:cs="宋体"/>
                <w:b/>
                <w:bCs/>
                <w:color w:val="auto"/>
                <w:szCs w:val="21"/>
                <w:highlight w:val="none"/>
              </w:rPr>
              <w:t xml:space="preserve">供应商为其缴纳的任意一个月的社保证明材料扫描件。未提供或提供不全不得分。</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26</w:t>
            </w:r>
            <w:r/>
          </w:p>
        </w:tc>
      </w:tr>
      <w:tr>
        <w:trPr>
          <w:jc w:val="center"/>
          <w:trHeight w:val="20"/>
        </w:trPr>
        <w:tc>
          <w:tcPr>
            <w:tcBorders>
              <w:top w:val="single" w:color="auto" w:sz="4" w:space="0"/>
              <w:left w:val="single" w:color="auto" w:sz="4" w:space="0"/>
              <w:right w:val="single" w:color="auto" w:sz="4" w:space="0"/>
            </w:tcBorders>
            <w:tcW w:w="1268" w:type="dxa"/>
            <w:vAlign w:val="center"/>
            <w:vMerge w:val="restart"/>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技术部分</w:t>
            </w:r>
            <w:r/>
          </w:p>
          <w:p>
            <w:pPr>
              <w:pStyle w:val="692"/>
              <w:jc w:val="center"/>
              <w:rPr>
                <w:rFonts w:ascii="宋体" w:hAnsi="宋体"/>
                <w:color w:val="auto"/>
                <w:sz w:val="21"/>
                <w:szCs w:val="21"/>
                <w:highlight w:val="none"/>
              </w:rPr>
            </w:pPr>
            <w:r>
              <w:rPr>
                <w:rFonts w:hint="eastAsia" w:ascii="宋体" w:hAnsi="宋体"/>
                <w:color w:val="auto"/>
                <w:sz w:val="21"/>
                <w:szCs w:val="21"/>
                <w:highlight w:val="none"/>
              </w:rPr>
              <w:t xml:space="preserve">（45分）</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项目需求理解</w:t>
            </w:r>
            <w:r/>
          </w:p>
        </w:tc>
        <w:tc>
          <w:tcPr>
            <w:tcBorders>
              <w:top w:val="single" w:color="auto" w:sz="4" w:space="0"/>
              <w:left w:val="single" w:color="auto" w:sz="4" w:space="0"/>
              <w:right w:val="single" w:color="auto" w:sz="4" w:space="0"/>
            </w:tcBorders>
            <w:tcW w:w="5670" w:type="dxa"/>
            <w:vAlign w:val="center"/>
            <w:textDirection w:val="lrTb"/>
            <w:noWrap w:val="false"/>
          </w:tcPr>
          <w:p>
            <w:pPr>
              <w:spacing w:line="440" w:lineRule="exact"/>
              <w:rPr>
                <w:rFonts w:hint="default" w:ascii="宋体" w:hAnsi="宋体" w:cs="黑体" w:eastAsiaTheme="minorEastAsia"/>
                <w:color w:val="auto"/>
                <w:szCs w:val="21"/>
                <w:highlight w:val="none"/>
                <w:lang w:val="en-US" w:eastAsia="zh-CN"/>
              </w:rPr>
            </w:pPr>
            <w:r>
              <w:rPr>
                <w:rFonts w:hint="eastAsia" w:ascii="宋体" w:hAnsi="宋体" w:cs="宋体"/>
                <w:color w:val="auto"/>
                <w:szCs w:val="21"/>
                <w:highlight w:val="none"/>
              </w:rPr>
              <w:t xml:space="preserve">对项目任务、相关政策理解透彻，可精准识别项目全部重难点；方案内容详实，贴合项目实际，针对性极强，可直接支撑项目实施，得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分；对项目任务、政策理解较到位，能够识别主要重难点；方案内容较完善，具备一定针对性，少量内容需优化，得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分；对项目任务、政策理解一般，重难点识别不全；方案内容完整性一般，针对性不足，多处需要补充调整，得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未提供不得分。</w:t>
            </w:r>
            <w:r/>
          </w:p>
        </w:tc>
        <w:tc>
          <w:tcPr>
            <w:tcBorders>
              <w:top w:val="single" w:color="auto" w:sz="4" w:space="0"/>
              <w:left w:val="single" w:color="auto" w:sz="4" w:space="0"/>
              <w:right w:val="single" w:color="auto" w:sz="4" w:space="0"/>
            </w:tcBorders>
            <w:tcW w:w="1031" w:type="dxa"/>
            <w:vAlign w:val="center"/>
            <w:textDirection w:val="lrTb"/>
            <w:noWrap w:val="false"/>
          </w:tcPr>
          <w:p>
            <w:pPr>
              <w:jc w:val="center"/>
              <w:spacing w:line="360" w:lineRule="exact"/>
              <w:rPr>
                <w:rFonts w:hint="default" w:ascii="宋体" w:hAnsi="宋体" w:cs="宋体" w:eastAsiaTheme="minorEastAsia"/>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jc w:val="center"/>
          <w:trHeight w:val="836"/>
        </w:trPr>
        <w:tc>
          <w:tcPr>
            <w:tcBorders>
              <w:left w:val="single" w:color="auto" w:sz="4" w:space="0"/>
              <w:right w:val="single" w:color="auto" w:sz="4" w:space="0"/>
            </w:tcBorders>
            <w:tcW w:w="1268" w:type="dxa"/>
            <w:vAlign w:val="center"/>
            <w:vMerge w:val="continue"/>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项目技术方案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整体技术路线完整规范，多源数据处理、适宜性评价指标体系构建、配置方案编制、资产超市建设、试点组合供应等各核心环节技术路径清晰、逻辑严谨、内容详实完备，落地性极强，得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分；整体技术路线较为完整，各核心工作环节技术路径基本明确，内容较为完善，整体具备落地实施条件，局部细节有待细化优化，得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分；技术路线存在一定缺失，各环节技术路径描述模糊、内容粗略，落地性不足，需要大规模补充、修改与完善，得4分。</w:t>
            </w:r>
            <w:r>
              <w:rPr>
                <w:rFonts w:hint="eastAsia" w:ascii="宋体" w:hAnsi="宋体" w:cs="宋体"/>
                <w:color w:val="auto"/>
                <w:szCs w:val="21"/>
                <w:highlight w:val="none"/>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20" w:lineRule="exact"/>
              <w:rPr>
                <w:rFonts w:hint="default" w:ascii="宋体" w:hAnsi="宋体" w:cs="宋体" w:eastAsiaTheme="minorEastAsia"/>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jc w:val="center"/>
          <w:trHeight w:val="836"/>
        </w:trPr>
        <w:tc>
          <w:tcPr>
            <w:tcBorders>
              <w:left w:val="single" w:color="auto" w:sz="4" w:space="0"/>
              <w:right w:val="single" w:color="auto" w:sz="4" w:space="0"/>
            </w:tcBorders>
            <w:tcW w:w="1268" w:type="dxa"/>
            <w:vAlign w:val="center"/>
            <w:vMerge w:val="continue"/>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工作组织架构设置科学合理，内外协作机制健全顺畅，外业踏勘、内业分析、专家评审等全流程工作安排详实完备、分工明确、保障措施充分到位，得8分；组织架构、内外协作机制、外业与内业工作、专家评审安排较为完善，核心工作环节全覆盖，仅个别细节内容需补充优化，得5分；组织架构及各项工作流程表述一般，部分工作环节安排简略，配套保障措施不足，需较多调整完善，得2分。</w:t>
            </w:r>
            <w:r>
              <w:rPr>
                <w:rFonts w:hint="eastAsia" w:ascii="宋体" w:hAnsi="宋体" w:cs="宋体"/>
                <w:color w:val="auto"/>
                <w:szCs w:val="21"/>
                <w:highlight w:val="none"/>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r>
      <w:tr>
        <w:trPr>
          <w:jc w:val="center"/>
          <w:trHeight w:val="836"/>
        </w:trPr>
        <w:tc>
          <w:tcPr>
            <w:tcBorders>
              <w:left w:val="single" w:color="auto" w:sz="4" w:space="0"/>
              <w:right w:val="single" w:color="auto" w:sz="4" w:space="0"/>
            </w:tcBorders>
            <w:tcW w:w="1268" w:type="dxa"/>
            <w:vAlign w:val="center"/>
            <w:vMerge w:val="continue"/>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工期、质量、保密保障措施</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工期节点管控、成果质量管控、自然资源数据保密管理、项目风险应对方案详实完备，管控措施具体、可操作性强，可全面保障项目进度、质量、保密及风险可控，得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分；工期、质量、数据保密、风险应对等管控方案较为完善，核心管控内容全覆盖，整体可控，少量细节有待细化优化，得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分；各项管控方案内容单薄、表述笼统，管控措施简单粗放，针对性与落地性较弱，需大幅补充完善，得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r>
      <w:tr>
        <w:trPr>
          <w:jc w:val="center"/>
          <w:trHeight w:val="836"/>
        </w:trPr>
        <w:tc>
          <w:tcPr>
            <w:tcBorders>
              <w:left w:val="single" w:color="auto" w:sz="4" w:space="0"/>
              <w:right w:val="single" w:color="auto" w:sz="4" w:space="0"/>
            </w:tcBorders>
            <w:tcW w:w="1268" w:type="dxa"/>
            <w:vAlign w:val="center"/>
            <w:vMerge w:val="continue"/>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项目流程管理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内部审核、多级校审、汇报对接、成果修改全流程体系完整、制度详实完备，各岗位职责清晰、流程闭环完善，可有效保障成果输出质量，得4分；成果校审、汇报对接、成果修改流程较为完善，核心工作流程全覆盖，整体管控有效，仅少数流程细节可优化完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分；相关工作流程表述一般，环节交代简略，质量管控闭环不完整，约束性不足，需要大量补充完善，得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jc w:val="center"/>
          <w:trHeight w:val="836"/>
        </w:trPr>
        <w:tc>
          <w:tcPr>
            <w:tcBorders>
              <w:left w:val="single" w:color="auto" w:sz="4" w:space="0"/>
              <w:right w:val="single" w:color="auto" w:sz="4" w:space="0"/>
            </w:tcBorders>
            <w:tcW w:w="1268" w:type="dxa"/>
            <w:vAlign w:val="center"/>
            <w:vMerge w:val="continue"/>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合理化建议</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针对六合区产权归集、收益分配、资产超市系统对接、组合配置试点落地工作，提出贴合区域实际、详实完备、可直接落地的合理化建议，针对性与实操性极强，得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分；针对本区域项目各项重点工作提出的建议较为完善，核心内容覆盖全面、具备可行性，仅部分落地细节需优化，得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分；所提建议内容常规笼统，贴合六合区项目实际不足，针对性、实操性一般，需要大量细化完善，得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jc w:val="center"/>
          <w:trHeight w:val="836"/>
        </w:trPr>
        <w:tc>
          <w:tcPr>
            <w:tcBorders>
              <w:left w:val="single" w:color="auto" w:sz="4" w:space="0"/>
              <w:bottom w:val="single" w:color="auto" w:sz="4" w:space="0"/>
              <w:right w:val="single" w:color="auto" w:sz="4" w:space="0"/>
            </w:tcBorders>
            <w:tcW w:w="1268" w:type="dxa"/>
            <w:vAlign w:val="center"/>
            <w:vMerge w:val="continue"/>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验收方案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分阶段成果输出、中期汇报、专家评审、最终成果验收、全套交付清单内容完整详实，各阶段节点清晰、交付闭环完善，完全满足履约验收标准，得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分；阶段成果、汇报评审、验收交付体系较为完善，核心交付环节全覆盖，仅个别清单与流程细节需补充优化，得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分；交付与验收方案内容一般，部分阶段成果、验收流程、交付清单表述简略、完整性不足，需进一步完善，得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20" w:lineRule="exact"/>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lang w:val="en-US" w:eastAsia="zh-CN"/>
              </w:rPr>
              <w:t xml:space="preserve">4</w:t>
            </w:r>
            <w:r/>
          </w:p>
        </w:tc>
      </w:tr>
      <w:tr>
        <w:trPr>
          <w:jc w:val="center"/>
          <w:trHeight w:val="836"/>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总分</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100分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r>
    </w:tbl>
    <w:p>
      <w:pPr>
        <w:ind w:firstLine="420"/>
        <w:jc w:val="both"/>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highlight w:val="none"/>
        </w:rPr>
        <w:t xml:space="preserve"> </w:t>
      </w:r>
      <w:r/>
    </w:p>
    <w:p>
      <w:pPr>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说明：1、</w:t>
      </w:r>
      <w:r>
        <w:rPr>
          <w:rFonts w:ascii="宋体" w:hAnsi="宋体" w:eastAsia="宋体" w:cs="宋体"/>
          <w:color w:val="000000"/>
          <w:sz w:val="24"/>
          <w:highlight w:val="none"/>
        </w:rPr>
        <w:t xml:space="preserve">本项目采用综合评分法，评委会将对确定为实质性响应磋商文件要求的响应文件进行评价和比较。评标结果按评审后得分由高到低顺序排列。得分相同的，按报价由低到高顺序排列。得分且报价相同的并列，响应文件满足磋商文件全部实质性要求，且按照评审因素的量化指标评审得分最高的供应商为排名第一的磋商候选人。</w:t>
      </w:r>
      <w:r/>
    </w:p>
    <w:p>
      <w:pPr>
        <w:ind w:firstLine="48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成交供应商因不可抗力或者自身原因不能履行合同的，采购人可以视情与排位在成交供应商之后第一位的成交候选供应商签订合同，以此类推。招标人也可视情重新组织磋商。</w:t>
      </w:r>
      <w:r/>
    </w:p>
    <w:p>
      <w:pPr>
        <w:ind w:firstLine="48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2、所有认证、证明和业绩均需提供有效的复印件（扫描件）。</w:t>
      </w:r>
      <w:r/>
    </w:p>
    <w:p>
      <w:pPr>
        <w:ind w:firstLine="480"/>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t xml:space="preserve">、凡弄虚作假，提供假证明、假文件、假材料的，一经查实，由招标人取消其投标资格，并按有关规定予以处罚；对已经宣布中标的投标人则由招标人取消其中标资格，并按有关规定予以处罚。</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jc w:val="center"/>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pStyle w:val="692"/>
        <w:rPr>
          <w:rFonts w:ascii="宋体" w:hAnsi="宋体" w:cs="宋体"/>
          <w:b/>
          <w:sz w:val="32"/>
          <w:highlight w:val="none"/>
        </w:rPr>
      </w:pPr>
      <w:r>
        <w:rPr>
          <w:rFonts w:ascii="宋体" w:hAnsi="宋体" w:cs="宋体"/>
          <w:b/>
          <w:sz w:val="32"/>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第四章  采购需求</w:t>
      </w:r>
      <w:r/>
    </w:p>
    <w:p>
      <w:pPr>
        <w:spacing w:line="0" w:lineRule="atLeast"/>
        <w:rPr>
          <w:rFonts w:ascii="宋体" w:hAnsi="宋体"/>
          <w:sz w:val="24"/>
          <w:szCs w:val="24"/>
          <w:highlight w:val="none"/>
        </w:rPr>
      </w:pPr>
      <w:r>
        <w:rPr>
          <w:rFonts w:hint="eastAsia" w:ascii="宋体" w:hAnsi="宋体"/>
          <w:sz w:val="24"/>
          <w:szCs w:val="24"/>
          <w:highlight w:val="none"/>
        </w:rPr>
        <w:t xml:space="preserve">（一）项目概况</w:t>
      </w:r>
      <w:r/>
    </w:p>
    <w:p>
      <w:pPr>
        <w:spacing w:line="0" w:lineRule="atLeast"/>
        <w:rPr>
          <w:rFonts w:ascii="宋体" w:hAnsi="宋体"/>
          <w:sz w:val="24"/>
          <w:szCs w:val="24"/>
          <w:highlight w:val="none"/>
        </w:rPr>
      </w:pPr>
      <w:r>
        <w:rPr>
          <w:rFonts w:hint="eastAsia" w:ascii="宋体" w:hAnsi="宋体"/>
          <w:sz w:val="24"/>
          <w:szCs w:val="24"/>
          <w:highlight w:val="none"/>
        </w:rPr>
        <w:t xml:space="preserve">根据中共中央办公厅、国务院办公厅《关于完善自然资源资产管理制度体系的意见》、《自然资源部关于进一步做好用地用海要素保障的通知》等文件要求，结合六合区自然资源管理实际，积极探索开展自然资源资产配置和组合供应。现开展六合区自然资源资产配置方案编制、自然资源超市建立及组合配置工作指引服务项目，完成自然资源资产家底分析、资产超市数据库及展示模块建设和配置方案编制，并选取1个</w:t>
      </w:r>
      <w:bookmarkStart w:id="1" w:name="OLE_LINK47"/>
      <w:r/>
      <w:bookmarkStart w:id="2" w:name="OLE_LINK48"/>
      <w:r/>
      <w:bookmarkStart w:id="3" w:name="OLE_LINK49"/>
      <w:r>
        <w:rPr>
          <w:rFonts w:hint="eastAsia" w:ascii="宋体" w:hAnsi="宋体"/>
          <w:sz w:val="24"/>
          <w:szCs w:val="24"/>
          <w:highlight w:val="none"/>
        </w:rPr>
        <w:t xml:space="preserve">试点组合配置项目</w:t>
      </w:r>
      <w:bookmarkEnd w:id="1"/>
      <w:r/>
      <w:bookmarkEnd w:id="2"/>
      <w:r/>
      <w:bookmarkEnd w:id="3"/>
      <w:r>
        <w:rPr>
          <w:rFonts w:hint="eastAsia" w:ascii="宋体" w:hAnsi="宋体"/>
          <w:sz w:val="24"/>
          <w:szCs w:val="24"/>
          <w:highlight w:val="none"/>
        </w:rPr>
        <w:t xml:space="preserve">开展全过程技术服务。</w:t>
      </w:r>
      <w:r/>
    </w:p>
    <w:p>
      <w:pPr>
        <w:spacing w:line="0" w:lineRule="atLeast"/>
        <w:rPr>
          <w:rFonts w:ascii="宋体" w:hAnsi="宋体"/>
          <w:sz w:val="24"/>
          <w:szCs w:val="24"/>
          <w:highlight w:val="none"/>
        </w:rPr>
      </w:pPr>
      <w:r>
        <w:rPr>
          <w:rFonts w:hint="eastAsia" w:ascii="宋体" w:hAnsi="宋体"/>
          <w:sz w:val="24"/>
          <w:szCs w:val="24"/>
          <w:highlight w:val="none"/>
        </w:rPr>
        <w:t xml:space="preserve">（二）工作依据</w:t>
      </w:r>
      <w:r/>
    </w:p>
    <w:p>
      <w:pPr>
        <w:spacing w:line="0" w:lineRule="atLeast"/>
        <w:rPr>
          <w:rFonts w:ascii="宋体" w:hAnsi="宋体"/>
          <w:sz w:val="24"/>
          <w:szCs w:val="24"/>
          <w:highlight w:val="none"/>
        </w:rPr>
      </w:pPr>
      <w:r>
        <w:rPr>
          <w:rFonts w:hint="eastAsia" w:ascii="宋体" w:hAnsi="宋体"/>
          <w:sz w:val="24"/>
          <w:szCs w:val="24"/>
          <w:highlight w:val="none"/>
        </w:rPr>
        <w:t xml:space="preserve">1、《中共中央办公厅国务院办公厅关于完善自然资源资产管理制度体系的意见》；</w:t>
      </w:r>
      <w:r/>
    </w:p>
    <w:p>
      <w:pPr>
        <w:spacing w:line="0" w:lineRule="atLeast"/>
        <w:rPr>
          <w:rFonts w:ascii="宋体" w:hAnsi="宋体"/>
          <w:sz w:val="24"/>
          <w:szCs w:val="24"/>
          <w:highlight w:val="none"/>
        </w:rPr>
      </w:pPr>
      <w:r>
        <w:rPr>
          <w:rFonts w:hint="eastAsia" w:ascii="宋体" w:hAnsi="宋体"/>
          <w:sz w:val="24"/>
          <w:szCs w:val="24"/>
          <w:highlight w:val="none"/>
        </w:rPr>
        <w:t xml:space="preserve">2、《自然资源部关于进一步做好用地用海要素保障的通知》；</w:t>
      </w:r>
      <w:r/>
    </w:p>
    <w:p>
      <w:pPr>
        <w:spacing w:line="0" w:lineRule="atLeast"/>
        <w:rPr>
          <w:rFonts w:ascii="宋体" w:hAnsi="宋体"/>
          <w:sz w:val="24"/>
          <w:szCs w:val="24"/>
          <w:highlight w:val="none"/>
        </w:rPr>
      </w:pPr>
      <w:r>
        <w:rPr>
          <w:rFonts w:hint="eastAsia" w:ascii="宋体" w:hAnsi="宋体"/>
          <w:sz w:val="24"/>
          <w:szCs w:val="24"/>
          <w:highlight w:val="none"/>
        </w:rPr>
        <w:t xml:space="preserve">3、《全民所有自然资源资产清查技术指南（试行）》。</w:t>
      </w:r>
      <w:r/>
    </w:p>
    <w:p>
      <w:pPr>
        <w:spacing w:line="0" w:lineRule="atLeast"/>
        <w:rPr>
          <w:rFonts w:ascii="宋体" w:hAnsi="宋体"/>
          <w:sz w:val="24"/>
          <w:szCs w:val="24"/>
          <w:highlight w:val="none"/>
        </w:rPr>
      </w:pPr>
      <w:r>
        <w:rPr>
          <w:rFonts w:hint="eastAsia" w:ascii="宋体" w:hAnsi="宋体"/>
          <w:sz w:val="24"/>
          <w:szCs w:val="24"/>
          <w:highlight w:val="none"/>
        </w:rPr>
        <w:t xml:space="preserve">（三）工作范围</w:t>
      </w:r>
      <w:r/>
    </w:p>
    <w:p>
      <w:pPr>
        <w:spacing w:line="0" w:lineRule="atLeast"/>
        <w:rPr>
          <w:rFonts w:ascii="宋体" w:hAnsi="宋体"/>
          <w:sz w:val="24"/>
          <w:szCs w:val="24"/>
          <w:highlight w:val="none"/>
        </w:rPr>
      </w:pPr>
      <w:r>
        <w:rPr>
          <w:rFonts w:hint="eastAsia" w:ascii="宋体" w:hAnsi="宋体"/>
          <w:sz w:val="24"/>
          <w:szCs w:val="24"/>
          <w:highlight w:val="none"/>
        </w:rPr>
        <w:t xml:space="preserve">六合区全域范围和其中1个试点组合配置项目区范围。</w:t>
      </w:r>
      <w:r/>
    </w:p>
    <w:p>
      <w:pPr>
        <w:spacing w:line="0" w:lineRule="atLeast"/>
        <w:rPr>
          <w:rFonts w:ascii="宋体" w:hAnsi="宋体"/>
          <w:sz w:val="24"/>
          <w:szCs w:val="24"/>
          <w:highlight w:val="none"/>
        </w:rPr>
      </w:pPr>
      <w:r>
        <w:rPr>
          <w:rFonts w:hint="eastAsia" w:ascii="宋体" w:hAnsi="宋体"/>
          <w:sz w:val="24"/>
          <w:szCs w:val="24"/>
          <w:highlight w:val="none"/>
        </w:rPr>
        <w:t xml:space="preserve">（四）工作内容</w:t>
      </w:r>
      <w:r/>
    </w:p>
    <w:p>
      <w:pPr>
        <w:spacing w:line="0" w:lineRule="atLeast"/>
        <w:rPr>
          <w:rFonts w:ascii="宋体" w:hAnsi="宋体"/>
          <w:sz w:val="24"/>
          <w:szCs w:val="24"/>
          <w:highlight w:val="none"/>
        </w:rPr>
      </w:pPr>
      <w:r>
        <w:rPr>
          <w:rFonts w:hint="eastAsia" w:ascii="宋体" w:hAnsi="宋体"/>
          <w:sz w:val="24"/>
          <w:szCs w:val="24"/>
          <w:highlight w:val="none"/>
        </w:rPr>
        <w:t xml:space="preserve">1、全区自然资源资产配置方案编制</w:t>
      </w:r>
      <w:r/>
    </w:p>
    <w:p>
      <w:pPr>
        <w:spacing w:line="0" w:lineRule="atLeast"/>
        <w:rPr>
          <w:rFonts w:ascii="宋体" w:hAnsi="宋体"/>
          <w:sz w:val="24"/>
          <w:szCs w:val="24"/>
          <w:highlight w:val="none"/>
        </w:rPr>
      </w:pPr>
      <w:r>
        <w:rPr>
          <w:rFonts w:hint="eastAsia" w:ascii="宋体" w:hAnsi="宋体"/>
          <w:sz w:val="24"/>
          <w:szCs w:val="24"/>
          <w:highlight w:val="none"/>
        </w:rPr>
        <w:t xml:space="preserve">通过外业调查与资料收集，全面摸清区域内各类自然资源的数量、质量、权属及空间分布。开展生态价值试算，建立适宜性评价体系，确定重点潜力片区。科学划定资产配置单元，明确各单元资产储备和配置的方式、规模、时序安排、权能设置方向及引导要求，开展成本收益初步测算，明确实施时序。编制形成全区配置方案文本、附表、专题图件及数据库。</w:t>
      </w:r>
      <w:r/>
    </w:p>
    <w:p>
      <w:pPr>
        <w:spacing w:line="0" w:lineRule="atLeast"/>
        <w:rPr>
          <w:rFonts w:ascii="宋体" w:hAnsi="宋体"/>
          <w:sz w:val="24"/>
          <w:szCs w:val="24"/>
          <w:highlight w:val="none"/>
        </w:rPr>
      </w:pPr>
      <w:r>
        <w:rPr>
          <w:rFonts w:hint="eastAsia" w:ascii="宋体" w:hAnsi="宋体"/>
          <w:sz w:val="24"/>
          <w:szCs w:val="24"/>
          <w:highlight w:val="none"/>
        </w:rPr>
        <w:t xml:space="preserve">2、全区自然资源资产超市建设</w:t>
      </w:r>
      <w:r/>
    </w:p>
    <w:p>
      <w:pPr>
        <w:spacing w:line="0" w:lineRule="atLeast"/>
        <w:rPr>
          <w:rFonts w:ascii="宋体" w:hAnsi="宋体"/>
          <w:sz w:val="24"/>
          <w:szCs w:val="24"/>
          <w:highlight w:val="none"/>
        </w:rPr>
      </w:pPr>
      <w:r>
        <w:rPr>
          <w:rFonts w:hint="eastAsia" w:ascii="宋体" w:hAnsi="宋体"/>
          <w:sz w:val="24"/>
          <w:szCs w:val="24"/>
          <w:highlight w:val="none"/>
        </w:rPr>
        <w:t xml:space="preserve">搭建全区自然资源资产超市产品数据库，完成全区资产信息入库，涵盖片区范围、资源类型、权属、权能设置、租赁现状、规划管控条件等，区分近期实施、中期储备、远期谋划；依托国土空间“一张图”平台，开发资产超市展示查询模块，实现资产筛选、查询、图属联动等。</w:t>
      </w:r>
      <w:r/>
    </w:p>
    <w:p>
      <w:pPr>
        <w:spacing w:line="0" w:lineRule="atLeast"/>
        <w:rPr>
          <w:rFonts w:ascii="宋体" w:hAnsi="宋体"/>
          <w:sz w:val="24"/>
          <w:szCs w:val="24"/>
          <w:highlight w:val="none"/>
        </w:rPr>
      </w:pPr>
      <w:r>
        <w:rPr>
          <w:rFonts w:hint="eastAsia" w:ascii="宋体" w:hAnsi="宋体"/>
          <w:sz w:val="24"/>
          <w:szCs w:val="24"/>
          <w:highlight w:val="none"/>
        </w:rPr>
        <w:t xml:space="preserve">3、试点组合配置项目全过程技术服务</w:t>
      </w:r>
      <w:r/>
    </w:p>
    <w:p>
      <w:pPr>
        <w:spacing w:line="0" w:lineRule="atLeast"/>
        <w:rPr>
          <w:rFonts w:ascii="宋体" w:hAnsi="宋体"/>
          <w:sz w:val="24"/>
          <w:szCs w:val="24"/>
          <w:highlight w:val="none"/>
        </w:rPr>
      </w:pPr>
      <w:r>
        <w:rPr>
          <w:rFonts w:hint="eastAsia" w:ascii="宋体" w:hAnsi="宋体"/>
          <w:sz w:val="24"/>
          <w:szCs w:val="24"/>
          <w:highlight w:val="none"/>
        </w:rPr>
        <w:t xml:space="preserve">选取1个条件成熟的组合配置项目作为试点，开展全过程技术支撑：工作内容包括勘测定界、产权梳理、权能设置、产权归集、价格评估、组合供应建议方案编制，为后续公开交易提供技术支撑。</w:t>
      </w:r>
      <w:r/>
    </w:p>
    <w:p>
      <w:pPr>
        <w:spacing w:line="0" w:lineRule="atLeast"/>
        <w:rPr>
          <w:rFonts w:ascii="宋体" w:hAnsi="宋体"/>
          <w:sz w:val="24"/>
          <w:szCs w:val="24"/>
          <w:highlight w:val="none"/>
        </w:rPr>
      </w:pPr>
      <w:r>
        <w:rPr>
          <w:rFonts w:hint="eastAsia" w:ascii="宋体" w:hAnsi="宋体"/>
          <w:sz w:val="24"/>
          <w:szCs w:val="24"/>
          <w:highlight w:val="none"/>
        </w:rPr>
        <w:t xml:space="preserve">（五）服务期限</w:t>
      </w:r>
      <w:r/>
    </w:p>
    <w:p>
      <w:pPr>
        <w:spacing w:line="0" w:lineRule="atLeast"/>
        <w:rPr>
          <w:rFonts w:ascii="宋体" w:hAnsi="宋体"/>
          <w:sz w:val="24"/>
          <w:szCs w:val="24"/>
          <w:highlight w:val="none"/>
        </w:rPr>
      </w:pPr>
      <w:r>
        <w:rPr>
          <w:rFonts w:hint="eastAsia" w:ascii="宋体" w:hAnsi="宋体"/>
          <w:sz w:val="24"/>
          <w:szCs w:val="24"/>
          <w:highlight w:val="none"/>
        </w:rPr>
        <w:t xml:space="preserve">服务期限：2027年</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月3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日前完成全部工作，如因政策调整、市场需求变化等客观因素，导致服务期限变化的，应经项目</w:t>
      </w:r>
      <w:r>
        <w:rPr>
          <w:rFonts w:hint="eastAsia" w:ascii="宋体" w:hAnsi="宋体"/>
          <w:sz w:val="24"/>
          <w:szCs w:val="24"/>
          <w:highlight w:val="none"/>
        </w:rPr>
        <w:t xml:space="preserve">委托方同意后可</w:t>
      </w:r>
      <w:r>
        <w:rPr>
          <w:rFonts w:hint="eastAsia" w:ascii="宋体" w:hAnsi="宋体"/>
          <w:sz w:val="24"/>
          <w:szCs w:val="24"/>
          <w:highlight w:val="none"/>
        </w:rPr>
        <w:t xml:space="preserve">适当调整。</w:t>
      </w:r>
      <w:r/>
    </w:p>
    <w:p>
      <w:pPr>
        <w:spacing w:line="0" w:lineRule="atLeast"/>
        <w:rPr>
          <w:rFonts w:ascii="宋体" w:hAnsi="宋体"/>
          <w:sz w:val="24"/>
          <w:szCs w:val="24"/>
          <w:highlight w:val="none"/>
        </w:rPr>
      </w:pPr>
      <w:r>
        <w:rPr>
          <w:rFonts w:hint="eastAsia" w:ascii="宋体" w:hAnsi="宋体"/>
          <w:sz w:val="24"/>
          <w:szCs w:val="24"/>
          <w:highlight w:val="none"/>
        </w:rPr>
        <w:t xml:space="preserve">（六）项目验收要求</w:t>
      </w:r>
      <w:r/>
    </w:p>
    <w:p>
      <w:pPr>
        <w:spacing w:line="0" w:lineRule="atLeast"/>
        <w:rPr>
          <w:rFonts w:ascii="宋体" w:hAnsi="宋体"/>
          <w:sz w:val="24"/>
          <w:szCs w:val="24"/>
          <w:highlight w:val="none"/>
        </w:rPr>
      </w:pPr>
      <w:r>
        <w:rPr>
          <w:rFonts w:hint="eastAsia" w:ascii="宋体" w:hAnsi="宋体"/>
          <w:sz w:val="24"/>
          <w:szCs w:val="24"/>
          <w:highlight w:val="none"/>
        </w:rPr>
        <w:t xml:space="preserve">本项目所有成果均应按程序通过由项目委托方组织的审查或专家论证。</w:t>
      </w:r>
      <w:r/>
    </w:p>
    <w:p>
      <w:pPr>
        <w:spacing w:line="0" w:lineRule="atLeast"/>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bCs/>
          <w:color w:val="000000"/>
          <w:sz w:val="24"/>
          <w:highlight w:val="none"/>
        </w:rPr>
      </w:pPr>
      <w:r>
        <w:rPr>
          <w:rFonts w:ascii="宋体"/>
          <w:bCs/>
          <w:color w:val="000000"/>
          <w:sz w:val="24"/>
          <w:highlight w:val="none"/>
        </w:rPr>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before="240" w:after="240"/>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 </w:t>
      </w:r>
      <w:r/>
    </w:p>
    <w:p>
      <w:pPr>
        <w:jc w:val="center"/>
        <w:spacing w:before="240" w:after="240"/>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 </w:t>
      </w:r>
      <w:r/>
    </w:p>
    <w:p>
      <w:pPr>
        <w:jc w:val="center"/>
        <w:spacing w:before="240" w:after="240"/>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第五章 合同主要条款及格式</w:t>
      </w:r>
      <w:r/>
    </w:p>
    <w:p>
      <w:pPr>
        <w:spacing w:line="360" w:lineRule="auto"/>
        <w:shd w:val="clear" w:color="auto" w:fill="ffffff"/>
        <w:rPr>
          <w:rFonts w:ascii="宋体" w:hAnsi="宋体"/>
          <w:szCs w:val="21"/>
          <w:highlight w:val="none"/>
        </w:rPr>
      </w:pPr>
      <w:r>
        <w:rPr>
          <w:rFonts w:hint="eastAsia" w:ascii="宋体" w:hAnsi="宋体"/>
          <w:szCs w:val="21"/>
          <w:highlight w:val="none"/>
        </w:rPr>
        <w:t xml:space="preserve">合同编号：</w:t>
      </w:r>
      <w:r/>
    </w:p>
    <w:tbl>
      <w:tblPr>
        <w:tblStyle w:val="663"/>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tcPr>
          <w:p>
            <w:pPr>
              <w:spacing w:line="360" w:lineRule="auto"/>
              <w:rPr>
                <w:rFonts w:ascii="宋体" w:hAnsi="宋体"/>
                <w:szCs w:val="21"/>
                <w:highlight w:val="none"/>
              </w:rPr>
            </w:pPr>
            <w:r>
              <w:rPr>
                <w:rFonts w:hint="eastAsia" w:ascii="宋体" w:hAnsi="宋体"/>
                <w:szCs w:val="21"/>
                <w:highlight w:val="none"/>
              </w:rPr>
              <w:t xml:space="preserve">甲方：</w:t>
            </w:r>
            <w:r>
              <w:rPr>
                <w:rFonts w:ascii="宋体" w:hAnsi="宋体"/>
                <w:szCs w:val="21"/>
                <w:highlight w:val="none"/>
              </w:rPr>
              <w:t xml:space="preserve">南京市规划和自然资源局六合分局</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tcPr>
          <w:p>
            <w:pPr>
              <w:spacing w:line="360" w:lineRule="auto"/>
              <w:rPr>
                <w:rFonts w:ascii="宋体" w:hAnsi="宋体"/>
                <w:szCs w:val="21"/>
                <w:highlight w:val="none"/>
              </w:rPr>
            </w:pPr>
            <w:r>
              <w:rPr>
                <w:rFonts w:hint="eastAsia" w:ascii="宋体" w:hAnsi="宋体"/>
                <w:szCs w:val="21"/>
                <w:highlight w:val="none"/>
              </w:rPr>
              <w:t xml:space="preserve">供应商：</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tcPr>
          <w:p>
            <w:pPr>
              <w:spacing w:line="360" w:lineRule="auto"/>
              <w:rPr>
                <w:rFonts w:ascii="宋体" w:hAnsi="宋体"/>
                <w:szCs w:val="21"/>
                <w:highlight w:val="none"/>
              </w:rPr>
            </w:pPr>
            <w:r>
              <w:rPr>
                <w:rFonts w:hint="eastAsia" w:ascii="宋体" w:hAnsi="宋体"/>
                <w:szCs w:val="21"/>
                <w:highlight w:val="none"/>
              </w:rPr>
              <w:t xml:space="preserve">住所地：</w:t>
            </w:r>
            <w:r>
              <w:rPr>
                <w:rFonts w:ascii="宋体" w:hAnsi="宋体"/>
                <w:szCs w:val="21"/>
                <w:highlight w:val="none"/>
              </w:rPr>
              <w:t xml:space="preserve">南京市六合区雄州南路1号</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tcPr>
          <w:p>
            <w:pPr>
              <w:spacing w:line="360" w:lineRule="auto"/>
              <w:rPr>
                <w:rFonts w:ascii="宋体" w:hAnsi="宋体"/>
                <w:szCs w:val="21"/>
                <w:highlight w:val="none"/>
              </w:rPr>
            </w:pPr>
            <w:r>
              <w:rPr>
                <w:rFonts w:hint="eastAsia" w:ascii="宋体" w:hAnsi="宋体"/>
                <w:szCs w:val="21"/>
                <w:highlight w:val="none"/>
              </w:rPr>
              <w:t xml:space="preserve">住所地：</w:t>
            </w:r>
            <w:r/>
          </w:p>
        </w:tc>
      </w:tr>
    </w:tbl>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根据《中华人民共和国政府采购法》、《中华人民共和国民法典》等法律法规的规定，甲乙双方按照招标结果签订本合同。</w:t>
      </w:r>
      <w:r/>
    </w:p>
    <w:p>
      <w:pPr>
        <w:ind w:firstLine="422"/>
        <w:spacing w:line="360" w:lineRule="auto"/>
        <w:shd w:val="clear" w:color="auto" w:fill="ffffff"/>
        <w:rPr>
          <w:rFonts w:ascii="宋体" w:hAnsi="宋体"/>
          <w:szCs w:val="21"/>
          <w:highlight w:val="none"/>
        </w:rPr>
      </w:pPr>
      <w:r>
        <w:rPr>
          <w:rFonts w:hint="eastAsia" w:ascii="宋体" w:hAnsi="宋体"/>
          <w:b/>
          <w:bCs/>
          <w:szCs w:val="21"/>
          <w:highlight w:val="none"/>
        </w:rPr>
        <w:t xml:space="preserve">第一条合同标的</w:t>
      </w:r>
      <w:r>
        <w:rPr>
          <w:rFonts w:hint="eastAsia" w:ascii="宋体" w:hAnsi="宋体"/>
          <w:szCs w:val="21"/>
          <w:highlight w:val="none"/>
        </w:rPr>
        <w:t xml:space="preserve"> </w:t>
      </w:r>
      <w:r/>
    </w:p>
    <w:p>
      <w:pPr>
        <w:ind w:firstLine="422"/>
        <w:spacing w:line="360" w:lineRule="auto"/>
        <w:shd w:val="clear" w:color="auto" w:fill="ffffff"/>
        <w:rPr>
          <w:rFonts w:ascii="宋体" w:hAnsi="宋体"/>
          <w:szCs w:val="21"/>
          <w:highlight w:val="none"/>
        </w:rPr>
      </w:pPr>
      <w:r>
        <w:rPr>
          <w:rFonts w:hint="eastAsia" w:ascii="宋体" w:hAnsi="宋体"/>
          <w:szCs w:val="21"/>
          <w:highlight w:val="none"/>
        </w:rPr>
        <w:t xml:space="preserve">乙方根据甲方要求提供下列服务：，服务内容详见竞争性磋商文件和乙方响应性文件等。</w:t>
      </w:r>
      <w:r/>
    </w:p>
    <w:p>
      <w:pPr>
        <w:ind w:firstLine="420"/>
        <w:spacing w:line="360" w:lineRule="auto"/>
        <w:shd w:val="clear" w:color="auto" w:fill="ffffff"/>
        <w:rPr>
          <w:rFonts w:ascii="宋体" w:hAnsi="宋体"/>
          <w:szCs w:val="21"/>
          <w:highlight w:val="none"/>
        </w:rPr>
      </w:pPr>
      <w:r>
        <w:rPr>
          <w:rFonts w:hint="eastAsia" w:ascii="宋体" w:hAnsi="宋体"/>
          <w:b/>
          <w:bCs/>
          <w:szCs w:val="21"/>
          <w:highlight w:val="none"/>
        </w:rPr>
        <w:t xml:space="preserve">第二条合同总价款</w:t>
      </w:r>
      <w:r>
        <w:rPr>
          <w:rFonts w:hint="eastAsia" w:ascii="宋体" w:hAnsi="宋体"/>
          <w:szCs w:val="21"/>
          <w:highlight w:val="none"/>
        </w:rPr>
        <w:t xml:space="preserve"> </w:t>
      </w:r>
      <w:r/>
    </w:p>
    <w:p>
      <w:pPr>
        <w:ind w:firstLine="420"/>
        <w:spacing w:line="360" w:lineRule="auto"/>
        <w:shd w:val="clear" w:color="auto" w:fill="ffffff"/>
        <w:rPr>
          <w:rFonts w:ascii="宋体" w:hAnsi="宋体"/>
          <w:szCs w:val="21"/>
          <w:highlight w:val="none"/>
        </w:rPr>
      </w:pPr>
      <w:r>
        <w:rPr>
          <w:rFonts w:ascii="宋体" w:hAnsi="宋体"/>
          <w:szCs w:val="21"/>
          <w:highlight w:val="none"/>
        </w:rPr>
        <w:t xml:space="preserve">合同</w:t>
      </w:r>
      <w:r>
        <w:rPr>
          <w:rFonts w:hint="eastAsia" w:ascii="宋体" w:hAnsi="宋体"/>
          <w:szCs w:val="21"/>
          <w:highlight w:val="none"/>
        </w:rPr>
        <w:t xml:space="preserve">总</w:t>
      </w:r>
      <w:r>
        <w:rPr>
          <w:rFonts w:ascii="宋体" w:hAnsi="宋体"/>
          <w:szCs w:val="21"/>
          <w:highlight w:val="none"/>
        </w:rPr>
        <w:t xml:space="preserve">价为元，大写：元。</w:t>
      </w:r>
      <w:r/>
    </w:p>
    <w:p>
      <w:pPr>
        <w:ind w:firstLine="422"/>
        <w:spacing w:line="360" w:lineRule="auto"/>
        <w:shd w:val="clear" w:color="auto" w:fill="ffffff"/>
        <w:rPr>
          <w:rFonts w:ascii="宋体" w:hAnsi="宋体"/>
          <w:szCs w:val="21"/>
          <w:highlight w:val="none"/>
        </w:rPr>
      </w:pPr>
      <w:r>
        <w:rPr>
          <w:rFonts w:hint="eastAsia" w:ascii="宋体" w:hAnsi="宋体"/>
          <w:b/>
          <w:bCs/>
          <w:szCs w:val="21"/>
          <w:highlight w:val="none"/>
        </w:rPr>
        <w:t xml:space="preserve">第三条 组成本合同的有关文件</w:t>
      </w:r>
      <w:r>
        <w:rPr>
          <w:rFonts w:hint="eastAsia" w:ascii="宋体" w:hAnsi="宋体"/>
          <w:szCs w:val="21"/>
          <w:highlight w:val="none"/>
        </w:rPr>
        <w:t xml:space="preserve">  </w:t>
      </w:r>
      <w:r/>
    </w:p>
    <w:p>
      <w:pPr>
        <w:ind w:firstLine="411"/>
        <w:spacing w:line="360" w:lineRule="auto"/>
        <w:shd w:val="clear" w:color="auto" w:fill="ffffff"/>
        <w:rPr>
          <w:rFonts w:ascii="宋体" w:hAnsi="宋体"/>
          <w:szCs w:val="21"/>
          <w:highlight w:val="none"/>
        </w:rPr>
      </w:pPr>
      <w:r>
        <w:rPr>
          <w:rFonts w:hint="eastAsia" w:ascii="宋体" w:hAnsi="宋体"/>
          <w:szCs w:val="21"/>
          <w:highlight w:val="none"/>
        </w:rPr>
        <w:t xml:space="preserve">招标文件和有关附件是本合同不可分割的组成部分，与本合同具有同等法律效力。</w:t>
      </w:r>
      <w:r/>
    </w:p>
    <w:p>
      <w:pPr>
        <w:ind w:firstLine="420"/>
        <w:spacing w:line="360" w:lineRule="auto"/>
        <w:shd w:val="clear" w:color="auto" w:fill="ffffff"/>
        <w:rPr>
          <w:rFonts w:ascii="宋体" w:hAnsi="宋体"/>
          <w:szCs w:val="21"/>
          <w:highlight w:val="none"/>
        </w:rPr>
      </w:pPr>
      <w:r>
        <w:rPr>
          <w:rFonts w:hint="eastAsia" w:ascii="宋体" w:hAnsi="宋体"/>
          <w:b/>
          <w:bCs/>
          <w:szCs w:val="21"/>
          <w:highlight w:val="none"/>
        </w:rPr>
        <w:t xml:space="preserve">第四条 权利保证</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乙方应保证为甲方提供货物和服务任何一部分时不受第三方提出侵犯其专利权、版权、商标权或其他权利的起诉。一旦出现侵权，乙方应承担全部责任。</w:t>
      </w:r>
      <w:r/>
    </w:p>
    <w:p>
      <w:pPr>
        <w:ind w:firstLine="420"/>
        <w:spacing w:line="360" w:lineRule="auto"/>
        <w:shd w:val="clear" w:color="auto" w:fill="ffffff"/>
        <w:rPr>
          <w:rFonts w:ascii="宋体" w:hAnsi="宋体"/>
          <w:szCs w:val="21"/>
          <w:highlight w:val="none"/>
        </w:rPr>
      </w:pPr>
      <w:r>
        <w:rPr>
          <w:rFonts w:hint="eastAsia" w:ascii="宋体" w:hAnsi="宋体"/>
          <w:b/>
          <w:bCs/>
          <w:szCs w:val="21"/>
          <w:highlight w:val="none"/>
        </w:rPr>
        <w:t xml:space="preserve">第五条 质量保证</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乙方提供的服务必须全部达到采购文件各项要求，国家或行业有规定的，还要符合相应规定。</w:t>
      </w:r>
      <w:r/>
    </w:p>
    <w:p>
      <w:pPr>
        <w:ind w:firstLine="420"/>
        <w:spacing w:line="360" w:lineRule="auto"/>
        <w:shd w:val="clear" w:color="auto" w:fill="ffffff"/>
        <w:rPr>
          <w:rFonts w:ascii="宋体" w:hAnsi="宋体"/>
          <w:szCs w:val="21"/>
          <w:highlight w:val="none"/>
        </w:rPr>
      </w:pPr>
      <w:r>
        <w:rPr>
          <w:rFonts w:hint="eastAsia" w:ascii="宋体" w:hAnsi="宋体"/>
          <w:b/>
          <w:bCs/>
          <w:szCs w:val="21"/>
          <w:highlight w:val="none"/>
        </w:rPr>
        <w:t xml:space="preserve">第六条 交付使用和验收</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1、乙方应当在合同签订后按照甲方</w:t>
      </w:r>
      <w:r>
        <w:rPr>
          <w:rFonts w:ascii="宋体" w:hAnsi="宋体"/>
          <w:szCs w:val="21"/>
          <w:highlight w:val="none"/>
        </w:rPr>
        <w:t xml:space="preserve">要求的期限内</w:t>
      </w:r>
      <w:r>
        <w:rPr>
          <w:rFonts w:hint="eastAsia" w:ascii="宋体" w:hAnsi="宋体"/>
          <w:szCs w:val="21"/>
          <w:highlight w:val="none"/>
        </w:rPr>
        <w:t xml:space="preserve">完成采购文件规定的项目并交付甲方使用。采购文件有约定的，从其约定。</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2、乙方提供</w:t>
      </w:r>
      <w:r>
        <w:rPr>
          <w:rFonts w:ascii="宋体" w:hAnsi="宋体"/>
          <w:szCs w:val="21"/>
          <w:highlight w:val="none"/>
        </w:rPr>
        <w:t xml:space="preserve">服务质量</w:t>
      </w:r>
      <w:r>
        <w:rPr>
          <w:rFonts w:hint="eastAsia" w:ascii="宋体" w:hAnsi="宋体"/>
          <w:szCs w:val="21"/>
          <w:highlight w:val="none"/>
        </w:rPr>
        <w:t xml:space="preserve">须</w:t>
      </w:r>
      <w:r>
        <w:rPr>
          <w:rFonts w:ascii="宋体" w:hAnsi="宋体"/>
          <w:szCs w:val="21"/>
          <w:highlight w:val="none"/>
        </w:rPr>
        <w:t xml:space="preserve">满足</w:t>
      </w:r>
      <w:r>
        <w:rPr>
          <w:rFonts w:hint="eastAsia" w:ascii="宋体" w:hAnsi="宋体"/>
          <w:szCs w:val="21"/>
          <w:highlight w:val="none"/>
        </w:rPr>
        <w:t xml:space="preserve">采购文件</w:t>
      </w:r>
      <w:r>
        <w:rPr>
          <w:rFonts w:ascii="宋体" w:hAnsi="宋体"/>
          <w:szCs w:val="21"/>
          <w:highlight w:val="none"/>
        </w:rPr>
        <w:t xml:space="preserve">及相关规范</w:t>
      </w:r>
      <w:r>
        <w:rPr>
          <w:rFonts w:hint="eastAsia" w:ascii="宋体" w:hAnsi="宋体"/>
          <w:szCs w:val="21"/>
          <w:highlight w:val="none"/>
        </w:rPr>
        <w:t xml:space="preserve">，对于提供服务不符合采购文件及使用标准的，甲方有权拒收，相关费用由</w:t>
      </w:r>
      <w:r>
        <w:rPr>
          <w:rFonts w:ascii="宋体" w:hAnsi="宋体"/>
          <w:szCs w:val="21"/>
          <w:highlight w:val="none"/>
        </w:rPr>
        <w:t xml:space="preserve">乙方自行承担</w:t>
      </w:r>
      <w:r>
        <w:rPr>
          <w:rFonts w:hint="eastAsia" w:ascii="宋体" w:hAnsi="宋体"/>
          <w:szCs w:val="21"/>
          <w:highlight w:val="none"/>
        </w:rPr>
        <w:t xml:space="preserve">。</w:t>
      </w:r>
      <w:r/>
    </w:p>
    <w:p>
      <w:pPr>
        <w:ind w:firstLine="420"/>
        <w:spacing w:line="360" w:lineRule="auto"/>
        <w:shd w:val="clear" w:color="auto" w:fill="ffffff"/>
        <w:rPr>
          <w:rFonts w:ascii="宋体" w:hAnsi="宋体"/>
          <w:szCs w:val="21"/>
          <w:highlight w:val="none"/>
        </w:rPr>
      </w:pPr>
      <w:r>
        <w:rPr>
          <w:rFonts w:hint="eastAsia" w:ascii="宋体" w:hAnsi="宋体"/>
          <w:b/>
          <w:bCs/>
          <w:szCs w:val="21"/>
          <w:highlight w:val="none"/>
        </w:rPr>
        <w:t xml:space="preserve">第七条 履约保证金（本项目不适用）</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1、履约保证金的有效期为该项目免费维护期满时止。</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2、如乙方未能履行合同规定的义务，甲方有权从履约保证金中取得补偿。</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3、履约保证金扣除甲方应得的补偿后的余额在有效期满后七工作日内无息退还给乙方。</w:t>
      </w:r>
      <w:r/>
    </w:p>
    <w:p>
      <w:pPr>
        <w:ind w:firstLine="420"/>
        <w:spacing w:line="360" w:lineRule="auto"/>
        <w:shd w:val="clear" w:color="auto" w:fill="ffffff"/>
        <w:rPr>
          <w:rFonts w:ascii="宋体" w:hAnsi="宋体"/>
          <w:szCs w:val="21"/>
          <w:highlight w:val="none"/>
        </w:rPr>
      </w:pPr>
      <w:r>
        <w:rPr>
          <w:rFonts w:hint="eastAsia" w:ascii="宋体" w:hAnsi="宋体"/>
          <w:b/>
          <w:bCs/>
          <w:szCs w:val="21"/>
          <w:highlight w:val="none"/>
        </w:rPr>
        <w:t xml:space="preserve">第八条 合同款支付</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1、本合同项下所有款项均以人民币支付。</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2、本合同项下的采购资金由甲方自行支付，乙方向甲方开具发票。</w:t>
      </w:r>
      <w:r/>
    </w:p>
    <w:p>
      <w:pPr>
        <w:ind w:firstLine="420"/>
        <w:spacing w:line="360" w:lineRule="auto"/>
        <w:rPr>
          <w:rFonts w:ascii="宋体" w:hAnsi="宋体"/>
          <w:szCs w:val="21"/>
          <w:highlight w:val="none"/>
        </w:rPr>
      </w:pPr>
      <w:r>
        <w:rPr>
          <w:rFonts w:hint="eastAsia" w:ascii="宋体" w:hAnsi="宋体"/>
          <w:szCs w:val="21"/>
          <w:highlight w:val="none"/>
        </w:rPr>
        <w:t xml:space="preserve">3、付款方式：</w:t>
      </w:r>
      <w:r>
        <w:rPr>
          <w:rFonts w:hint="eastAsia" w:ascii="宋体" w:hAnsi="宋体"/>
          <w:szCs w:val="21"/>
          <w:highlight w:val="none"/>
        </w:rPr>
        <w:t xml:space="preserve">本项目不设置预付款，根据项目实施进度分阶段支付，所有付款均需供应商提交履约成果文件材料，经采购人审核无误后按规定支付。</w:t>
      </w:r>
      <w:r/>
    </w:p>
    <w:p>
      <w:pPr>
        <w:ind w:firstLine="420"/>
        <w:spacing w:line="360" w:lineRule="auto"/>
        <w:rPr>
          <w:rFonts w:ascii="宋体" w:hAnsi="宋体"/>
          <w:szCs w:val="21"/>
          <w:highlight w:val="none"/>
        </w:rPr>
      </w:pPr>
      <w:r>
        <w:rPr>
          <w:rFonts w:hint="eastAsia" w:ascii="宋体" w:hAnsi="宋体"/>
          <w:szCs w:val="21"/>
          <w:highlight w:val="none"/>
        </w:rPr>
        <w:t xml:space="preserve">（1）阶段性进度款（60%）</w:t>
      </w:r>
      <w:r/>
    </w:p>
    <w:p>
      <w:pPr>
        <w:ind w:firstLine="420"/>
        <w:spacing w:line="360" w:lineRule="auto"/>
        <w:rPr>
          <w:rFonts w:ascii="宋体" w:hAnsi="宋体"/>
          <w:szCs w:val="21"/>
          <w:highlight w:val="none"/>
        </w:rPr>
      </w:pPr>
      <w:r>
        <w:rPr>
          <w:rFonts w:hint="eastAsia" w:ascii="宋体" w:hAnsi="宋体"/>
          <w:szCs w:val="21"/>
          <w:highlight w:val="none"/>
        </w:rPr>
        <w:t xml:space="preserve">供应商完成全区自然资源资产家底分析、适宜性评价、资产配置单元划定、自然资源资产超市数据库搭建、图属联动查询模块开发、自然资源资产配置方案编制等主体工作内容，提交成果文本、图件、数据库、系统模块等完整阶段性成果资料，经采购人审核、内部论证通过后，支付至合同总价的60%。</w:t>
      </w:r>
      <w:r/>
    </w:p>
    <w:p>
      <w:pPr>
        <w:ind w:firstLine="420"/>
        <w:spacing w:line="360" w:lineRule="auto"/>
        <w:rPr>
          <w:rFonts w:ascii="宋体" w:hAnsi="宋体"/>
          <w:szCs w:val="21"/>
          <w:highlight w:val="none"/>
        </w:rPr>
      </w:pPr>
      <w:r>
        <w:rPr>
          <w:rFonts w:hint="eastAsia" w:ascii="宋体" w:hAnsi="宋体"/>
          <w:szCs w:val="21"/>
          <w:highlight w:val="none"/>
        </w:rPr>
        <w:t xml:space="preserve">（2）项目尾款（100%）</w:t>
      </w:r>
      <w:r/>
    </w:p>
    <w:p>
      <w:pPr>
        <w:ind w:firstLine="420"/>
        <w:spacing w:line="360" w:lineRule="auto"/>
        <w:rPr>
          <w:rFonts w:ascii="宋体" w:hAnsi="宋体"/>
          <w:szCs w:val="21"/>
          <w:highlight w:val="none"/>
        </w:rPr>
      </w:pPr>
      <w:r>
        <w:rPr>
          <w:rFonts w:hint="eastAsia" w:ascii="宋体" w:hAnsi="宋体"/>
          <w:szCs w:val="21"/>
          <w:highlight w:val="none"/>
        </w:rPr>
        <w:t xml:space="preserve">供应商完成全区自然资源资产组合配制工作指引编制、1个试点组合配置项目全过程技术服务，并协助甲方完成1个试点项目公开交易后，支付至合同总价的100%。</w:t>
      </w:r>
      <w:r/>
    </w:p>
    <w:p>
      <w:pPr>
        <w:ind w:firstLine="422"/>
        <w:spacing w:line="480" w:lineRule="exact"/>
        <w:rPr>
          <w:rFonts w:ascii="宋体" w:hAnsi="宋体"/>
          <w:szCs w:val="21"/>
          <w:highlight w:val="none"/>
        </w:rPr>
      </w:pPr>
      <w:r>
        <w:rPr>
          <w:rFonts w:hint="eastAsia" w:ascii="宋体" w:hAnsi="宋体"/>
          <w:b/>
          <w:bCs/>
          <w:szCs w:val="21"/>
          <w:highlight w:val="none"/>
        </w:rPr>
        <w:t xml:space="preserve">第九条 违约责任  </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１、甲方无正当理由拒绝验收或拒付款的，甲方向乙方偿付合同总价的5%违约金。</w:t>
      </w:r>
      <w:r/>
    </w:p>
    <w:p>
      <w:pPr>
        <w:ind w:firstLine="420"/>
        <w:spacing w:line="360" w:lineRule="auto"/>
        <w:shd w:val="clear" w:color="auto" w:fill="ffffff"/>
        <w:rPr>
          <w:rFonts w:hint="eastAsia" w:ascii="宋体" w:hAnsi="宋体"/>
          <w:szCs w:val="21"/>
          <w:highlight w:val="none"/>
        </w:rPr>
      </w:pPr>
      <w:r>
        <w:rPr>
          <w:rFonts w:hint="eastAsia" w:ascii="宋体" w:hAnsi="宋体"/>
          <w:szCs w:val="21"/>
          <w:highlight w:val="none"/>
        </w:rPr>
        <w:t xml:space="preserve">2、如乙方不能按期交付服务的，乙方应向甲方支付合同总价5%的违约金。</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spacing w:line="360" w:lineRule="auto"/>
        <w:shd w:val="clear" w:color="auto" w:fill="ffffff"/>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shd w:val="clear" w:color="auto" w:fill="ffffff"/>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、乙方虚假承诺，或经权威部门检测提供的货物和服务不能满足采购文件要求，或是由于乙方的过错造成合同无法继续履行的，乙方履约保证金不予退还外，还应向甲方支付不少于合同总价30%赔偿金。</w:t>
      </w:r>
      <w:r/>
    </w:p>
    <w:p>
      <w:pPr>
        <w:ind w:firstLine="420"/>
        <w:spacing w:line="360" w:lineRule="auto"/>
        <w:shd w:val="clear" w:color="auto" w:fill="ffffff"/>
        <w:rPr>
          <w:rFonts w:ascii="宋体" w:hAnsi="宋体"/>
          <w:szCs w:val="21"/>
          <w:highlight w:val="none"/>
        </w:rPr>
      </w:pPr>
      <w:r>
        <w:rPr>
          <w:rFonts w:hint="eastAsia" w:ascii="宋体" w:hAnsi="宋体"/>
          <w:b/>
          <w:bCs/>
          <w:szCs w:val="21"/>
          <w:highlight w:val="none"/>
        </w:rPr>
        <w:t xml:space="preserve">第十条 合同的变更和终止</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1、除《政府采购法》第50条第二款规定的情形外，本合同一经签订，甲乙双方不得擅自变更、中止或终止合同。</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2、除发生法律规定的不能预见、不能避免并不能克服的客观情况外，甲乙双方不得放弃或拒绝履行合同。乙方放弃或拒绝履行合同，在三年内不得参加和甲方</w:t>
      </w:r>
      <w:r>
        <w:rPr>
          <w:rFonts w:ascii="宋体" w:hAnsi="宋体"/>
          <w:szCs w:val="21"/>
          <w:highlight w:val="none"/>
        </w:rPr>
        <w:t xml:space="preserve">相关的</w:t>
      </w:r>
      <w:r>
        <w:rPr>
          <w:rFonts w:hint="eastAsia" w:ascii="宋体" w:hAnsi="宋体"/>
          <w:szCs w:val="21"/>
          <w:highlight w:val="none"/>
        </w:rPr>
        <w:t xml:space="preserve">政府采购活动。</w:t>
      </w:r>
      <w:r/>
    </w:p>
    <w:p>
      <w:pPr>
        <w:ind w:firstLine="420"/>
        <w:spacing w:line="360" w:lineRule="auto"/>
        <w:shd w:val="clear" w:color="auto" w:fill="ffffff"/>
        <w:rPr>
          <w:rFonts w:ascii="宋体" w:hAnsi="宋体"/>
          <w:szCs w:val="21"/>
          <w:highlight w:val="none"/>
        </w:rPr>
      </w:pPr>
      <w:r>
        <w:rPr>
          <w:rFonts w:hint="eastAsia" w:ascii="宋体" w:hAnsi="宋体"/>
          <w:b/>
          <w:bCs/>
          <w:szCs w:val="21"/>
          <w:highlight w:val="none"/>
        </w:rPr>
        <w:t xml:space="preserve">第十一条 合同的转让</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乙方不得擅自部分或全部转让其应履行的合同义务。</w:t>
      </w:r>
      <w:r/>
    </w:p>
    <w:p>
      <w:pPr>
        <w:ind w:firstLine="420"/>
        <w:spacing w:line="360" w:lineRule="auto"/>
        <w:shd w:val="clear" w:color="auto" w:fill="ffffff"/>
        <w:rPr>
          <w:rFonts w:ascii="宋体" w:hAnsi="宋体"/>
          <w:b/>
          <w:bCs/>
          <w:szCs w:val="21"/>
          <w:highlight w:val="none"/>
        </w:rPr>
      </w:pPr>
      <w:r>
        <w:rPr>
          <w:rFonts w:hint="eastAsia" w:ascii="宋体" w:hAnsi="宋体"/>
          <w:b/>
          <w:bCs/>
          <w:szCs w:val="21"/>
          <w:highlight w:val="none"/>
        </w:rPr>
        <w:t xml:space="preserve">第</w:t>
      </w:r>
      <w:r>
        <w:rPr>
          <w:rFonts w:ascii="宋体" w:hAnsi="宋体"/>
          <w:b/>
          <w:bCs/>
          <w:szCs w:val="21"/>
          <w:highlight w:val="none"/>
        </w:rPr>
        <w:t xml:space="preserve">十二条</w:t>
      </w:r>
      <w:r>
        <w:rPr>
          <w:rFonts w:hint="eastAsia" w:ascii="宋体" w:hAnsi="宋体"/>
          <w:b/>
          <w:bCs/>
          <w:szCs w:val="21"/>
          <w:highlight w:val="none"/>
        </w:rPr>
        <w:t xml:space="preserve"> 成果</w:t>
      </w:r>
      <w:r>
        <w:rPr>
          <w:rFonts w:ascii="宋体" w:hAnsi="宋体"/>
          <w:b/>
          <w:bCs/>
          <w:szCs w:val="21"/>
          <w:highlight w:val="none"/>
        </w:rPr>
        <w:t xml:space="preserve">维护期</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乙方</w:t>
      </w:r>
      <w:r>
        <w:rPr>
          <w:rFonts w:ascii="宋体" w:hAnsi="宋体"/>
          <w:szCs w:val="21"/>
          <w:highlight w:val="none"/>
        </w:rPr>
        <w:t xml:space="preserve">应积极配合甲方做好后续工作，提交</w:t>
      </w:r>
      <w:r>
        <w:rPr>
          <w:rFonts w:hint="eastAsia" w:ascii="宋体" w:hAnsi="宋体"/>
          <w:szCs w:val="21"/>
          <w:highlight w:val="none"/>
        </w:rPr>
        <w:t xml:space="preserve">成果</w:t>
      </w:r>
      <w:r>
        <w:rPr>
          <w:rFonts w:ascii="宋体" w:hAnsi="宋体"/>
          <w:szCs w:val="21"/>
          <w:highlight w:val="none"/>
        </w:rPr>
        <w:t xml:space="preserve">质量存在问题等情况时，乙方</w:t>
      </w:r>
      <w:r>
        <w:rPr>
          <w:rFonts w:hint="eastAsia" w:ascii="宋体" w:hAnsi="宋体"/>
          <w:szCs w:val="21"/>
          <w:highlight w:val="none"/>
        </w:rPr>
        <w:t xml:space="preserve">须</w:t>
      </w:r>
      <w:r>
        <w:rPr>
          <w:rFonts w:ascii="宋体" w:hAnsi="宋体"/>
          <w:szCs w:val="21"/>
          <w:highlight w:val="none"/>
        </w:rPr>
        <w:t xml:space="preserve">免费成果验证，并承担相应责任。</w:t>
      </w:r>
      <w:r/>
    </w:p>
    <w:p>
      <w:pPr>
        <w:ind w:firstLine="420"/>
        <w:spacing w:line="360" w:lineRule="auto"/>
        <w:shd w:val="clear" w:color="auto" w:fill="ffffff"/>
        <w:rPr>
          <w:rFonts w:ascii="宋体" w:hAnsi="宋体"/>
          <w:b/>
          <w:bCs/>
          <w:szCs w:val="21"/>
          <w:highlight w:val="none"/>
        </w:rPr>
      </w:pPr>
      <w:r>
        <w:rPr>
          <w:rFonts w:hint="eastAsia" w:ascii="宋体" w:hAnsi="宋体"/>
          <w:b/>
          <w:bCs/>
          <w:szCs w:val="21"/>
          <w:highlight w:val="none"/>
        </w:rPr>
        <w:t xml:space="preserve">第</w:t>
      </w:r>
      <w:r>
        <w:rPr>
          <w:rFonts w:ascii="宋体" w:hAnsi="宋体"/>
          <w:b/>
          <w:bCs/>
          <w:szCs w:val="21"/>
          <w:highlight w:val="none"/>
        </w:rPr>
        <w:t xml:space="preserve">十三条</w:t>
      </w:r>
      <w:r>
        <w:rPr>
          <w:rFonts w:hint="eastAsia" w:ascii="宋体" w:hAnsi="宋体"/>
          <w:b/>
          <w:bCs/>
          <w:szCs w:val="21"/>
          <w:highlight w:val="none"/>
        </w:rPr>
        <w:t xml:space="preserve"> 成果</w:t>
      </w:r>
      <w:r>
        <w:rPr>
          <w:rFonts w:ascii="宋体" w:hAnsi="宋体"/>
          <w:b/>
          <w:bCs/>
          <w:szCs w:val="21"/>
          <w:highlight w:val="none"/>
        </w:rPr>
        <w:t xml:space="preserve">所有权转让</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本合同</w:t>
      </w:r>
      <w:r>
        <w:rPr>
          <w:rFonts w:ascii="宋体" w:hAnsi="宋体"/>
          <w:szCs w:val="21"/>
          <w:highlight w:val="none"/>
        </w:rPr>
        <w:t xml:space="preserve">涉及的项目成果的所有权、使用权和著作权归甲方所</w:t>
      </w:r>
      <w:r>
        <w:rPr>
          <w:rFonts w:hint="eastAsia" w:ascii="宋体" w:hAnsi="宋体"/>
          <w:szCs w:val="21"/>
          <w:highlight w:val="none"/>
        </w:rPr>
        <w:t xml:space="preserve">有，</w:t>
      </w:r>
      <w:r>
        <w:rPr>
          <w:rFonts w:ascii="宋体" w:hAnsi="宋体"/>
          <w:szCs w:val="21"/>
          <w:highlight w:val="none"/>
        </w:rPr>
        <w:t xml:space="preserve">乙方不得擅自部分或全部</w:t>
      </w:r>
      <w:r>
        <w:rPr>
          <w:rFonts w:hint="eastAsia" w:ascii="宋体" w:hAnsi="宋体"/>
          <w:szCs w:val="21"/>
          <w:highlight w:val="none"/>
        </w:rPr>
        <w:t xml:space="preserve">转让</w:t>
      </w:r>
      <w:r>
        <w:rPr>
          <w:rFonts w:ascii="宋体" w:hAnsi="宋体"/>
          <w:szCs w:val="21"/>
          <w:highlight w:val="none"/>
        </w:rPr>
        <w:t xml:space="preserve">。</w:t>
      </w:r>
      <w:r/>
    </w:p>
    <w:p>
      <w:pPr>
        <w:ind w:firstLine="420"/>
        <w:spacing w:line="360" w:lineRule="auto"/>
        <w:shd w:val="clear" w:color="auto" w:fill="ffffff"/>
        <w:rPr>
          <w:rFonts w:ascii="宋体" w:hAnsi="宋体"/>
          <w:szCs w:val="21"/>
          <w:highlight w:val="none"/>
        </w:rPr>
      </w:pPr>
      <w:r>
        <w:rPr>
          <w:rFonts w:hint="eastAsia" w:ascii="宋体" w:hAnsi="宋体"/>
          <w:b/>
          <w:bCs/>
          <w:szCs w:val="21"/>
          <w:highlight w:val="none"/>
        </w:rPr>
        <w:t xml:space="preserve">第十四条 争议的解决</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1、因履行本合同引起的或与本合同有关的争议，甲、乙双方应首先通过友好协商解决，如果协商不能解决争议，则采取以下第（2）种方式解决争议：</w:t>
      </w:r>
      <w:r/>
    </w:p>
    <w:p>
      <w:pPr>
        <w:ind w:firstLine="560"/>
        <w:spacing w:line="360" w:lineRule="auto"/>
        <w:shd w:val="clear" w:color="auto" w:fill="ffffff"/>
        <w:rPr>
          <w:rFonts w:ascii="宋体" w:hAnsi="宋体"/>
          <w:szCs w:val="21"/>
          <w:highlight w:val="none"/>
        </w:rPr>
      </w:pPr>
      <w:r>
        <w:rPr>
          <w:rFonts w:hint="eastAsia" w:ascii="宋体" w:hAnsi="宋体"/>
          <w:szCs w:val="21"/>
          <w:highlight w:val="none"/>
        </w:rPr>
        <w:t xml:space="preserve">（1）向甲方所在地有管辖权的人民法院提起诉讼；</w:t>
      </w:r>
      <w:r/>
    </w:p>
    <w:p>
      <w:pPr>
        <w:ind w:firstLine="560"/>
        <w:spacing w:line="360" w:lineRule="auto"/>
        <w:shd w:val="clear" w:color="auto" w:fill="ffffff"/>
        <w:rPr>
          <w:rFonts w:ascii="宋体" w:hAnsi="宋体"/>
          <w:szCs w:val="21"/>
          <w:highlight w:val="none"/>
        </w:rPr>
      </w:pPr>
      <w:r>
        <w:rPr>
          <w:rFonts w:hint="eastAsia" w:ascii="宋体" w:hAnsi="宋体"/>
          <w:szCs w:val="21"/>
          <w:highlight w:val="none"/>
        </w:rPr>
        <w:t xml:space="preserve">（2）向南京仲裁委员会按其仲裁规则申请仲裁。</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3、在仲裁期间，本合同应继续履行。</w:t>
      </w:r>
      <w:r/>
    </w:p>
    <w:p>
      <w:pPr>
        <w:ind w:firstLine="420"/>
        <w:spacing w:line="360" w:lineRule="auto"/>
        <w:shd w:val="clear" w:color="auto" w:fill="ffffff"/>
        <w:rPr>
          <w:rFonts w:ascii="宋体" w:hAnsi="宋体"/>
          <w:szCs w:val="21"/>
          <w:highlight w:val="none"/>
        </w:rPr>
      </w:pPr>
      <w:r>
        <w:rPr>
          <w:rFonts w:hint="eastAsia" w:ascii="宋体" w:hAnsi="宋体"/>
          <w:b/>
          <w:bCs/>
          <w:szCs w:val="21"/>
          <w:highlight w:val="none"/>
        </w:rPr>
        <w:t xml:space="preserve">第十五条 诚实信用</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乙方应诚实信用，严格按照采购文件要求和承诺履行合同，不向甲方进行商业贿赂或者提供不正当利益。</w:t>
      </w:r>
      <w:r/>
    </w:p>
    <w:p>
      <w:pPr>
        <w:ind w:firstLine="420"/>
        <w:spacing w:line="360" w:lineRule="auto"/>
        <w:shd w:val="clear" w:color="auto" w:fill="ffffff"/>
        <w:rPr>
          <w:rFonts w:ascii="宋体" w:hAnsi="宋体"/>
          <w:szCs w:val="21"/>
          <w:highlight w:val="none"/>
        </w:rPr>
      </w:pPr>
      <w:r>
        <w:rPr>
          <w:rFonts w:hint="eastAsia" w:ascii="宋体" w:hAnsi="宋体"/>
          <w:b/>
          <w:bCs/>
          <w:szCs w:val="21"/>
          <w:highlight w:val="none"/>
        </w:rPr>
        <w:t xml:space="preserve">第十六条 合同生效及其他</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1、本合同自签订之日起生效。</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2、本合同一式四份，甲乙双方各执两份。</w:t>
      </w:r>
      <w:r/>
    </w:p>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3、本合同应按照中华人民共和国的现行法律进行解释。</w:t>
      </w:r>
      <w:r/>
    </w:p>
    <w:p>
      <w:pPr>
        <w:ind w:firstLine="420"/>
        <w:spacing w:line="360" w:lineRule="auto"/>
        <w:shd w:val="clear" w:color="auto" w:fill="ffffff"/>
        <w:rPr>
          <w:rFonts w:ascii="宋体" w:hAnsi="宋体"/>
          <w:szCs w:val="21"/>
          <w:highlight w:val="none"/>
        </w:rPr>
      </w:pPr>
      <w:r>
        <w:rPr>
          <w:rFonts w:ascii="宋体" w:hAnsi="宋体"/>
          <w:szCs w:val="21"/>
          <w:highlight w:val="none"/>
        </w:rPr>
      </w:r>
      <w:r/>
    </w:p>
    <w:tbl>
      <w:tblPr>
        <w:tblStyle w:val="663"/>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日期：</w:t>
            </w:r>
            <w:r>
              <w:rPr>
                <w:rFonts w:ascii="宋体" w:hAnsi="宋体"/>
                <w:szCs w:val="21"/>
                <w:highlight w:val="none"/>
              </w:rPr>
              <w:t xml:space="preserve">202</w:t>
            </w:r>
            <w:r>
              <w:rPr>
                <w:rFonts w:hint="eastAsia" w:ascii="宋体" w:hAnsi="宋体"/>
                <w:szCs w:val="21"/>
                <w:highlight w:val="none"/>
              </w:rPr>
              <w:t xml:space="preserve">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ascii="宋体" w:hAnsi="宋体"/>
                <w:szCs w:val="21"/>
                <w:highlight w:val="none"/>
              </w:rPr>
            </w:pPr>
            <w:r>
              <w:rPr>
                <w:rFonts w:hint="eastAsia" w:ascii="宋体" w:hAnsi="宋体"/>
                <w:szCs w:val="21"/>
                <w:highlight w:val="none"/>
              </w:rPr>
              <w:t xml:space="preserve">日期：2</w:t>
            </w:r>
            <w:r>
              <w:rPr>
                <w:rFonts w:ascii="宋体" w:hAnsi="宋体"/>
                <w:szCs w:val="21"/>
                <w:highlight w:val="none"/>
              </w:rPr>
              <w:t xml:space="preserve">02</w:t>
            </w:r>
            <w:r>
              <w:rPr>
                <w:rFonts w:hint="eastAsia" w:ascii="宋体" w:hAnsi="宋体"/>
                <w:szCs w:val="21"/>
                <w:highlight w:val="none"/>
              </w:rPr>
              <w:t xml:space="preserve">年月  日</w:t>
            </w:r>
            <w:r/>
          </w:p>
        </w:tc>
      </w:tr>
    </w:tbl>
    <w:p>
      <w:pPr>
        <w:pStyle w:val="852"/>
        <w:ind w:firstLine="4800"/>
        <w:spacing w:before="120" w:after="120" w:line="288" w:lineRule="auto"/>
        <w:rPr>
          <w:rFonts w:hAnsi="宋体"/>
          <w:sz w:val="24"/>
          <w:szCs w:val="24"/>
          <w:highlight w:val="none"/>
        </w:rPr>
      </w:pPr>
      <w:r>
        <w:rPr>
          <w:rFonts w:hAnsi="宋体"/>
          <w:sz w:val="24"/>
          <w:szCs w:val="24"/>
          <w:highlight w:val="none"/>
        </w:rPr>
      </w:r>
      <w:r/>
    </w:p>
    <w:p>
      <w:pPr>
        <w:pStyle w:val="852"/>
        <w:ind w:firstLine="4800"/>
        <w:spacing w:before="120" w:after="120" w:line="288" w:lineRule="auto"/>
        <w:rPr>
          <w:rFonts w:hAnsi="宋体"/>
          <w:sz w:val="24"/>
          <w:szCs w:val="24"/>
          <w:highlight w:val="none"/>
        </w:rPr>
      </w:pPr>
      <w:r>
        <w:rPr>
          <w:rFonts w:hAnsi="宋体"/>
          <w:sz w:val="24"/>
          <w:szCs w:val="24"/>
          <w:highlight w:val="none"/>
        </w:rPr>
      </w:r>
      <w:r/>
    </w:p>
    <w:p>
      <w:pPr>
        <w:pStyle w:val="852"/>
        <w:spacing w:before="120" w:after="120" w:line="288" w:lineRule="auto"/>
        <w:rPr>
          <w:rFonts w:hAnsi="宋体"/>
          <w:sz w:val="24"/>
          <w:szCs w:val="24"/>
          <w:highlight w:val="none"/>
        </w:rPr>
      </w:pPr>
      <w:r>
        <w:rPr>
          <w:rFonts w:hAnsi="宋体"/>
          <w:sz w:val="24"/>
          <w:szCs w:val="24"/>
          <w:highlight w:val="none"/>
        </w:rPr>
      </w:r>
      <w:r/>
    </w:p>
    <w:p>
      <w:pPr>
        <w:jc w:val="center"/>
        <w:spacing w:before="120" w:after="120" w:line="288" w:lineRule="auto"/>
        <w:rPr>
          <w:rFonts w:ascii="宋体" w:hAnsi="宋体"/>
          <w:b/>
          <w:sz w:val="30"/>
          <w:highlight w:val="none"/>
        </w:rPr>
        <w:outlineLvl w:val="0"/>
      </w:pPr>
      <w:r>
        <w:rPr>
          <w:rFonts w:hint="eastAsia" w:ascii="宋体" w:hAnsi="宋体"/>
          <w:b/>
          <w:sz w:val="30"/>
          <w:highlight w:val="none"/>
        </w:rPr>
        <w:t xml:space="preserve">《*******合同》补充协议（合同附件）</w:t>
      </w:r>
      <w:r/>
    </w:p>
    <w:p>
      <w:pPr>
        <w:jc w:val="both"/>
        <w:rPr>
          <w:highlight w:val="none"/>
        </w:rPr>
        <w:pBdr>
          <w:top w:val="none" w:color="000000" w:sz="0" w:space="0"/>
          <w:left w:val="none" w:color="000000" w:sz="0" w:space="0"/>
          <w:bottom w:val="none" w:color="000000" w:sz="0" w:space="0"/>
          <w:right w:val="none" w:color="000000" w:sz="0" w:space="0"/>
        </w:pBdr>
      </w:pPr>
      <w:r>
        <w:rPr>
          <w:rFonts w:hint="eastAsia" w:hAnsi="宋体"/>
          <w:color w:val="000000"/>
          <w:sz w:val="24"/>
          <w:szCs w:val="24"/>
          <w:highlight w:val="none"/>
        </w:rPr>
        <w:t xml:space="preserve">   如遇招标文件及合同未约定事项，双方可友好协商签订补充协议</w:t>
      </w:r>
      <w:r>
        <w:rPr>
          <w:rFonts w:ascii="Times New Roman" w:hAnsi="Times New Roman" w:eastAsia="Times New Roman" w:cs="Times New Roman"/>
          <w:color w:val="000000"/>
          <w:sz w:val="36"/>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6"/>
          <w:highlight w:val="none"/>
        </w:rPr>
        <w:t xml:space="preserve"> </w:t>
      </w:r>
      <w:r/>
    </w:p>
    <w:p>
      <w:pPr>
        <w:jc w:val="center"/>
        <w:spacing w:before="240" w:after="240"/>
        <w:tabs>
          <w:tab w:val="left" w:pos="1440" w:leader="none"/>
          <w:tab w:val="left" w:pos="1663" w:leader="none"/>
          <w:tab w:val="left" w:pos="5670" w:leader="none"/>
        </w:tabs>
        <w:rPr>
          <w:rFonts w:ascii="黑体" w:hAnsi="黑体" w:eastAsia="黑体" w:cs="黑体"/>
          <w:b/>
          <w:color w:val="000000"/>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r>
      <w:r/>
    </w:p>
    <w:p>
      <w:pPr>
        <w:jc w:val="center"/>
        <w:spacing w:before="240" w:after="240"/>
        <w:tabs>
          <w:tab w:val="left" w:pos="1440" w:leader="none"/>
          <w:tab w:val="left" w:pos="1663" w:leader="none"/>
          <w:tab w:val="left" w:pos="5670" w:leader="none"/>
        </w:tabs>
        <w:rPr>
          <w:rFonts w:ascii="黑体" w:hAnsi="黑体" w:eastAsia="黑体" w:cs="黑体"/>
          <w:b/>
          <w:color w:val="000000"/>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r>
      <w:r/>
    </w:p>
    <w:p>
      <w:pPr>
        <w:jc w:val="center"/>
        <w:spacing w:before="240" w:after="240"/>
        <w:tabs>
          <w:tab w:val="left" w:pos="1440" w:leader="none"/>
          <w:tab w:val="left" w:pos="1663" w:leader="none"/>
          <w:tab w:val="left" w:pos="5670" w:leader="none"/>
        </w:tabs>
        <w:rPr>
          <w:rFonts w:ascii="黑体" w:hAnsi="黑体" w:eastAsia="黑体" w:cs="黑体"/>
          <w:b/>
          <w:color w:val="000000"/>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r>
      <w:r/>
    </w:p>
    <w:p>
      <w:pPr>
        <w:jc w:val="center"/>
        <w:spacing w:before="240" w:after="240"/>
        <w:tabs>
          <w:tab w:val="left" w:pos="1440" w:leader="none"/>
          <w:tab w:val="left" w:pos="1663" w:leader="none"/>
          <w:tab w:val="left" w:pos="5670" w:leader="none"/>
        </w:tabs>
        <w:rPr>
          <w:rFonts w:ascii="黑体" w:hAnsi="黑体" w:eastAsia="黑体" w:cs="黑体"/>
          <w:b/>
          <w:color w:val="000000"/>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r>
      <w:r/>
    </w:p>
    <w:p>
      <w:pPr>
        <w:jc w:val="center"/>
        <w:spacing w:before="240" w:after="240"/>
        <w:tabs>
          <w:tab w:val="left" w:pos="1440" w:leader="none"/>
          <w:tab w:val="left" w:pos="1663" w:leader="none"/>
          <w:tab w:val="left" w:pos="5670" w:leader="none"/>
        </w:tabs>
        <w:rPr>
          <w:rFonts w:ascii="黑体" w:hAnsi="黑体" w:eastAsia="黑体" w:cs="黑体"/>
          <w:b/>
          <w:color w:val="000000"/>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r>
      <w:r/>
    </w:p>
    <w:p>
      <w:pPr>
        <w:jc w:val="center"/>
        <w:spacing w:before="240" w:after="240"/>
        <w:tabs>
          <w:tab w:val="left" w:pos="1440" w:leader="none"/>
          <w:tab w:val="left" w:pos="1663" w:leader="none"/>
          <w:tab w:val="left" w:pos="5670" w:leader="none"/>
        </w:tabs>
        <w:rPr>
          <w:rFonts w:ascii="黑体" w:hAnsi="黑体" w:eastAsia="黑体" w:cs="黑体"/>
          <w:b/>
          <w:color w:val="000000"/>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r>
      <w:r/>
    </w:p>
    <w:p>
      <w:pPr>
        <w:jc w:val="center"/>
        <w:spacing w:before="240" w:after="240"/>
        <w:tabs>
          <w:tab w:val="left" w:pos="1440" w:leader="none"/>
          <w:tab w:val="left" w:pos="1663" w:leader="none"/>
          <w:tab w:val="left" w:pos="5670" w:leader="none"/>
        </w:tabs>
        <w:rPr>
          <w:rFonts w:ascii="黑体" w:hAnsi="黑体" w:eastAsia="黑体" w:cs="黑体"/>
          <w:b/>
          <w:color w:val="000000"/>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r>
      <w:r/>
    </w:p>
    <w:p>
      <w:pPr>
        <w:jc w:val="center"/>
        <w:spacing w:before="240" w:after="240"/>
        <w:tabs>
          <w:tab w:val="left" w:pos="1440" w:leader="none"/>
          <w:tab w:val="left" w:pos="1663" w:leader="none"/>
          <w:tab w:val="left" w:pos="5670" w:leader="none"/>
        </w:tabs>
        <w:rPr>
          <w:rFonts w:ascii="黑体" w:hAnsi="黑体" w:eastAsia="黑体" w:cs="黑体"/>
          <w:b/>
          <w:color w:val="000000"/>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r>
      <w:r/>
    </w:p>
    <w:p>
      <w:pPr>
        <w:jc w:val="center"/>
        <w:spacing w:before="240" w:after="240"/>
        <w:tabs>
          <w:tab w:val="left" w:pos="1440" w:leader="none"/>
          <w:tab w:val="left" w:pos="1663"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第六章   响应文件的组成和格式</w:t>
      </w:r>
      <w:r/>
    </w:p>
    <w:p>
      <w:pPr>
        <w:ind w:left="781"/>
        <w:jc w:val="center"/>
        <w:spacing w:before="25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p>
    <w:p>
      <w:pPr>
        <w:ind w:left="781"/>
        <w:jc w:val="center"/>
        <w:spacing w:before="250"/>
        <w:rPr>
          <w:rFonts w:ascii="宋体" w:hAnsi="宋体" w:eastAsia="宋体" w:cs="宋体"/>
          <w:b/>
          <w:color w:val="000000"/>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r>
      <w:r/>
    </w:p>
    <w:p>
      <w:pPr>
        <w:ind w:left="781"/>
        <w:jc w:val="center"/>
        <w:spacing w:before="25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p>
    <w:p>
      <w:pPr>
        <w:ind w:left="61" w:right="15"/>
        <w:jc w:val="center"/>
        <w:spacing w:before="12"/>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72"/>
          <w:highlight w:val="none"/>
        </w:rPr>
        <w:t xml:space="preserve">竞争性磋商响应文件</w:t>
      </w:r>
      <w:r/>
    </w:p>
    <w:p>
      <w:pPr>
        <w:spacing w:before="9"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67"/>
          <w:highlight w:val="none"/>
        </w:rPr>
        <w:t xml:space="preserve"> </w:t>
      </w:r>
      <w:r/>
    </w:p>
    <w:p>
      <w:pPr>
        <w:spacing w:before="9"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67"/>
          <w:highlight w:val="none"/>
        </w:rPr>
        <w:t xml:space="preserve"> </w:t>
      </w:r>
      <w:r/>
    </w:p>
    <w:p>
      <w:pPr>
        <w:ind w:left="2126" w:right="1918"/>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w:t>
      </w:r>
      <w:r/>
    </w:p>
    <w:p>
      <w:pPr>
        <w:spacing w:before="12"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w:t>
      </w:r>
      <w:r/>
    </w:p>
    <w:p>
      <w:pPr>
        <w:spacing w:before="12"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w:t>
      </w:r>
      <w:r/>
    </w:p>
    <w:p>
      <w:pPr>
        <w:spacing w:before="12"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w:t>
      </w:r>
      <w:r/>
    </w:p>
    <w:p>
      <w:pPr>
        <w:spacing w:before="12"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w:t>
      </w:r>
      <w:r/>
    </w:p>
    <w:p>
      <w:pPr>
        <w:spacing w:before="12"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w:t>
      </w:r>
      <w:r/>
    </w:p>
    <w:p>
      <w:pPr>
        <w:ind w:right="541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目</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名</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称：</w:t>
      </w:r>
      <w:r/>
    </w:p>
    <w:p>
      <w:pPr>
        <w:jc w:val="both"/>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highlight w:val="none"/>
        </w:rPr>
        <w:t xml:space="preserve">项</w:t>
      </w:r>
      <w:r>
        <w:rPr>
          <w:rFonts w:ascii="Times New Roman" w:hAnsi="Times New Roman" w:eastAsia="Times New Roman" w:cs="Times New Roman"/>
          <w:b/>
          <w:color w:val="000000"/>
          <w:spacing w:val="-1"/>
          <w:sz w:val="36"/>
          <w:highlight w:val="none"/>
        </w:rPr>
        <w:t xml:space="preserve"> </w:t>
      </w:r>
      <w:r>
        <w:rPr>
          <w:rFonts w:ascii="宋体" w:hAnsi="宋体" w:eastAsia="宋体" w:cs="宋体"/>
          <w:b/>
          <w:color w:val="000000"/>
          <w:spacing w:val="-1"/>
          <w:sz w:val="36"/>
          <w:highlight w:val="none"/>
        </w:rPr>
        <w:t xml:space="preserve">目</w:t>
      </w:r>
      <w:r>
        <w:rPr>
          <w:rFonts w:ascii="Times New Roman" w:hAnsi="Times New Roman" w:eastAsia="Times New Roman" w:cs="Times New Roman"/>
          <w:b/>
          <w:color w:val="000000"/>
          <w:spacing w:val="-1"/>
          <w:sz w:val="36"/>
          <w:highlight w:val="none"/>
        </w:rPr>
        <w:t xml:space="preserve"> </w:t>
      </w:r>
      <w:r>
        <w:rPr>
          <w:rFonts w:ascii="宋体" w:hAnsi="宋体" w:eastAsia="宋体" w:cs="宋体"/>
          <w:b/>
          <w:color w:val="000000"/>
          <w:spacing w:val="-1"/>
          <w:sz w:val="36"/>
          <w:highlight w:val="none"/>
        </w:rPr>
        <w:t xml:space="preserve">编</w:t>
      </w:r>
      <w:r>
        <w:rPr>
          <w:rFonts w:ascii="Times New Roman" w:hAnsi="Times New Roman" w:eastAsia="Times New Roman" w:cs="Times New Roman"/>
          <w:b/>
          <w:color w:val="000000"/>
          <w:spacing w:val="-1"/>
          <w:sz w:val="36"/>
          <w:highlight w:val="none"/>
        </w:rPr>
        <w:t xml:space="preserve"> </w:t>
      </w:r>
      <w:r>
        <w:rPr>
          <w:rFonts w:ascii="宋体" w:hAnsi="宋体" w:eastAsia="宋体" w:cs="宋体"/>
          <w:b/>
          <w:color w:val="000000"/>
          <w:spacing w:val="-1"/>
          <w:sz w:val="36"/>
          <w:highlight w:val="none"/>
        </w:rPr>
        <w:t xml:space="preserve">号：</w:t>
      </w:r>
      <w:r/>
    </w:p>
    <w:p>
      <w:pPr>
        <w:jc w:val="both"/>
        <w:spacing w:line="46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1"/>
          <w:sz w:val="36"/>
          <w:highlight w:val="none"/>
        </w:rPr>
        <w:t xml:space="preserve"> </w:t>
      </w:r>
      <w:r/>
    </w:p>
    <w:p>
      <w:pPr>
        <w:jc w:val="both"/>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highlight w:val="none"/>
        </w:rPr>
        <w:t xml:space="preserve">供应商（单位名称）：加盖</w:t>
      </w:r>
      <w:r>
        <w:rPr>
          <w:rFonts w:ascii="Times New Roman" w:hAnsi="Times New Roman" w:eastAsia="Times New Roman" w:cs="Times New Roman"/>
          <w:b/>
          <w:color w:val="000000"/>
          <w:spacing w:val="-1"/>
          <w:sz w:val="36"/>
          <w:highlight w:val="none"/>
        </w:rPr>
        <w:t xml:space="preserve">CA</w:t>
      </w:r>
      <w:r>
        <w:rPr>
          <w:rFonts w:ascii="宋体" w:hAnsi="宋体" w:eastAsia="宋体" w:cs="宋体"/>
          <w:b/>
          <w:color w:val="000000"/>
          <w:spacing w:val="-1"/>
          <w:sz w:val="36"/>
          <w:highlight w:val="none"/>
        </w:rPr>
        <w:t xml:space="preserve">电子公章</w:t>
      </w:r>
      <w:r/>
    </w:p>
    <w:p>
      <w:pPr>
        <w:jc w:val="both"/>
        <w:spacing w:before="7"/>
        <w:tabs>
          <w:tab w:val="left" w:pos="3448" w:leader="none"/>
        </w:tabs>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6"/>
          <w:highlight w:val="none"/>
        </w:rPr>
        <w:t xml:space="preserve"> </w:t>
      </w:r>
      <w:r/>
    </w:p>
    <w:p>
      <w:pPr>
        <w:jc w:val="both"/>
        <w:spacing w:before="7"/>
        <w:tabs>
          <w:tab w:val="left" w:pos="344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日     期：</w:t>
      </w:r>
      <w:r/>
    </w:p>
    <w:p>
      <w:pPr>
        <w:spacing w:before="240" w:after="240" w:line="600"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spacing w:before="240" w:after="240" w:line="6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附件一、磋商申请及声明</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磋商申请及声明</w:t>
      </w:r>
      <w:r/>
    </w:p>
    <w:p>
      <w:pPr>
        <w:jc w:val="both"/>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致：</w:t>
      </w:r>
      <w:r>
        <w:rPr>
          <w:rFonts w:hint="eastAsia" w:ascii="宋体" w:hAnsi="宋体" w:eastAsia="宋体" w:cs="宋体"/>
          <w:color w:val="000000"/>
          <w:sz w:val="24"/>
          <w:highlight w:val="none"/>
        </w:rPr>
        <w:t xml:space="preserve">南京市规划和自然资源局六合分局</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根据贵方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（项目名称）</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（项目编号）磋商邀请，正式授权下述签字人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(姓名和职务)代表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（供应商名称），提交响应性文件并参加磋商。</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据此函，签字人兹宣布同意如下：</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1、我们的资格条件完全符合政府采购法和本次采购要求，我们同意并向贵方提供了与本次采购活动有关的所有证据和资料。</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2、我们已详细审核全部磋商文件及其有效补充文件，我们放弃对磋商文件任何误解的权利，提交响应文件后，不对磋商文件本身提出质疑。</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3、一旦我方成交，我方将根据磋商文件的规定，严格履行合同，保证于承诺的时间内完成货物的启动、调试等服务，并交付采购人验收、使用。</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5、我方正式通讯方式为：</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传真：</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6、我方正式开户银行和帐号为：</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开户银行：</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帐号：</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供应商授权代表姓名（签字）：</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附件二、法定代表人授权书格式</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法定代表人授权书</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南京市规划和自然资源局六合分局</w:t>
      </w:r>
      <w:r>
        <w:rPr>
          <w:rFonts w:ascii="宋体" w:hAnsi="宋体" w:eastAsia="宋体" w:cs="宋体"/>
          <w:color w:val="000000"/>
          <w:sz w:val="24"/>
          <w:highlight w:val="none"/>
        </w:rPr>
        <w:t xml:space="preserve">：</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本授权书声明：注册于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（供应商住址）的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供应商名称）法定代表人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（法定代表人姓名、职务）代表本公司授权在下面签字的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（供应商代表姓名、职务）</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为本公司的合法代理人，就贵方组织的项目名称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，项目编号：</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磋商，以本公司名义处理一切与之有关的事务。</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本授权书于年月日签字生效，特此声明。</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法定代表人签字：</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被授权人签字：</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单位盖章（加盖CA电子公章）：</w:t>
      </w:r>
      <w:r/>
    </w:p>
    <w:p>
      <w:pPr>
        <w:ind w:firstLine="420"/>
        <w:jc w:val="both"/>
        <w:tabs>
          <w:tab w:val="left" w:pos="14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日期：年月日</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法定代表人身份证明文件的复印件：</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被授权人的身份证明文件的复印件：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三、报价表</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报价表</w:t>
      </w:r>
      <w:r/>
    </w:p>
    <w:p>
      <w:pPr>
        <w:ind w:firstLine="540"/>
        <w:spacing w:before="240" w:after="24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p>
    <w:p>
      <w:pPr>
        <w:ind w:firstLine="540"/>
        <w:spacing w:before="240" w:after="24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bl>
      <w:tblPr>
        <w:tblStyle w:val="688"/>
        <w:tblW w:w="95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8376"/>
      </w:tblGrid>
      <w:tr>
        <w:trPr>
          <w:trHeight w:val="1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spacing w:before="200" w:after="20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6" w:type="dxa"/>
            <w:vAlign w:val="center"/>
            <w:textDirection w:val="lrTb"/>
            <w:noWrap/>
          </w:tcPr>
          <w:p>
            <w:pPr>
              <w:spacing w:before="200" w:after="20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w:t>
            </w:r>
            <w:r/>
          </w:p>
          <w:p>
            <w:pPr>
              <w:spacing w:before="200" w:after="20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 </w:t>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spacing w:before="200" w:after="20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 务 时 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6" w:type="dxa"/>
            <w:vAlign w:val="center"/>
            <w:textDirection w:val="lrTb"/>
            <w:noWrap/>
          </w:tcPr>
          <w:p>
            <w:pPr>
              <w:ind w:firstLine="960"/>
              <w:spacing w:before="200" w:after="200" w:line="438"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jc w:val="center"/>
              <w:spacing w:before="200" w:after="200" w:line="438"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w:t>
            </w:r>
            <w:r>
              <w:rPr>
                <w:rFonts w:hint="eastAsia" w:ascii="宋体" w:hAnsi="宋体" w:eastAsia="宋体" w:cs="宋体"/>
                <w:color w:val="000000"/>
                <w:sz w:val="24"/>
                <w:highlight w:val="none"/>
                <w:lang w:val="en-US" w:eastAsia="zh-CN"/>
              </w:rPr>
              <w:t xml:space="preserve">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6" w:type="dxa"/>
            <w:vAlign w:val="center"/>
            <w:textDirection w:val="lrTb"/>
            <w:noWrap/>
          </w:tcPr>
          <w:p>
            <w:pPr>
              <w:ind w:firstLine="540"/>
              <w:spacing w:before="200" w:after="200" w:line="438"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highlight w:val="none"/>
              </w:rPr>
              <w:t xml:space="preserve"> </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spacing w:before="200" w:after="20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投标人是否属于小、微型企业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6" w:type="dxa"/>
            <w:vAlign w:val="center"/>
            <w:textDirection w:val="lrTb"/>
            <w:noWrap/>
          </w:tcPr>
          <w:p>
            <w:pPr>
              <w:ind w:firstLine="540"/>
              <w:spacing w:before="200" w:after="20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（填写“是”或“否）</w:t>
            </w:r>
            <w:r/>
          </w:p>
        </w:tc>
      </w:tr>
    </w:tbl>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投标单位（加盖CA电子公章）:</w:t>
      </w:r>
      <w:r>
        <w:rPr>
          <w:rFonts w:ascii="宋体" w:hAnsi="宋体" w:eastAsia="宋体" w:cs="宋体"/>
          <w:color w:val="000000"/>
          <w:sz w:val="24"/>
          <w:highlight w:val="none"/>
          <w:u w:val="single"/>
        </w:rPr>
        <w:t xml:space="preserve">                      </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授权代表（签字）：</w:t>
      </w:r>
      <w:r>
        <w:rPr>
          <w:rFonts w:ascii="宋体" w:hAnsi="宋体" w:eastAsia="宋体" w:cs="宋体"/>
          <w:color w:val="000000"/>
          <w:sz w:val="24"/>
          <w:highlight w:val="none"/>
          <w:u w:val="single"/>
        </w:rPr>
        <w:t xml:space="preserve">                      </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p>
    <w:p>
      <w:pPr>
        <w:ind w:firstLine="482"/>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1、本服务仅接受一个价格，不得填报有选择性报价方案。若有优惠条款须注明，但不得影响报价，影响产品整体功能。</w:t>
      </w:r>
      <w:r/>
    </w:p>
    <w:p>
      <w:pPr>
        <w:ind w:firstLine="482"/>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w:t>
      </w:r>
      <w:r>
        <w:rPr>
          <w:rFonts w:ascii="宋体" w:hAnsi="宋体" w:eastAsia="宋体" w:cs="宋体"/>
          <w:b/>
          <w:color w:val="000000"/>
          <w:sz w:val="24"/>
          <w:highlight w:val="none"/>
        </w:rPr>
        <w:t xml:space="preserve">.本项目有二次报价，请供应商另行做好准备。</w:t>
      </w:r>
      <w:r/>
    </w:p>
    <w:p>
      <w:pPr>
        <w:ind w:firstLine="474"/>
        <w:spacing w:before="240" w:after="24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ind w:firstLine="474"/>
        <w:spacing w:before="240" w:after="24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ind w:firstLine="474"/>
        <w:spacing w:before="240" w:after="24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ind w:firstLine="474"/>
        <w:spacing w:before="240" w:after="24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jc w:val="both"/>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分项报价表</w:t>
      </w:r>
      <w:r>
        <w:rPr>
          <w:rFonts w:hint="eastAsia" w:ascii="宋体" w:hAnsi="宋体" w:eastAsia="宋体" w:cs="宋体"/>
          <w:b/>
          <w:color w:val="000000"/>
          <w:sz w:val="24"/>
          <w:highlight w:val="none"/>
        </w:rPr>
        <w:t xml:space="preserve">（格式自拟）</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rPr>
          <w:rFonts w:ascii="宋体" w:hAnsi="宋体"/>
          <w:sz w:val="24"/>
          <w:szCs w:val="24"/>
          <w:highlight w:val="none"/>
        </w:rPr>
      </w:pPr>
      <w:r>
        <w:rPr>
          <w:rFonts w:ascii="宋体" w:hAnsi="宋体"/>
          <w:sz w:val="24"/>
          <w:szCs w:val="24"/>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四、商务条款偏离表格式</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商务条款偏离表</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tbl>
      <w:tblPr>
        <w:tblStyle w:val="688"/>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600"/>
        <w:gridCol w:w="2666"/>
        <w:gridCol w:w="1691"/>
        <w:gridCol w:w="1491"/>
        <w:gridCol w:w="1264"/>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00"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755"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0"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6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采购文件要求的商务条款</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182"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64"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0"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2"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4"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0"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2"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4"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0"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2"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4"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0"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2"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4"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0"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2"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4"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说明：如果行数不够，请自行增加。</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spacing w:before="240" w:after="240"/>
        <w:rPr>
          <w:rFonts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pStyle w:val="687"/>
        <w:rPr>
          <w:rFonts w:cs="宋体"/>
          <w:b/>
          <w:color w:val="000000"/>
          <w:highlight w:val="none"/>
        </w:rPr>
      </w:pPr>
      <w:r>
        <w:rPr>
          <w:rFonts w:cs="宋体"/>
          <w:b/>
          <w:color w:val="000000"/>
          <w:highlight w:val="none"/>
        </w:rPr>
      </w:r>
      <w:r/>
    </w:p>
    <w:p>
      <w:pPr>
        <w:rPr>
          <w:rFonts w:ascii="宋体" w:hAnsi="宋体" w:eastAsia="宋体" w:cs="宋体"/>
          <w:b/>
          <w:color w:val="000000"/>
          <w:highlight w:val="none"/>
        </w:rPr>
      </w:pPr>
      <w:r>
        <w:rPr>
          <w:rFonts w:ascii="宋体" w:hAnsi="宋体" w:eastAsia="宋体" w:cs="宋体"/>
          <w:b/>
          <w:color w:val="000000"/>
          <w:highlight w:val="none"/>
        </w:rPr>
      </w:r>
      <w:r/>
    </w:p>
    <w:p>
      <w:pPr>
        <w:pStyle w:val="687"/>
        <w:rPr>
          <w:rFonts w:cs="宋体"/>
          <w:b/>
          <w:color w:val="000000"/>
          <w:highlight w:val="none"/>
        </w:rPr>
      </w:pPr>
      <w:r>
        <w:rPr>
          <w:rFonts w:cs="宋体"/>
          <w:b/>
          <w:color w:val="000000"/>
          <w:highlight w:val="none"/>
        </w:rPr>
      </w:r>
      <w:r/>
    </w:p>
    <w:p>
      <w:pPr>
        <w:rPr>
          <w:rFonts w:ascii="宋体" w:hAnsi="宋体" w:eastAsia="宋体" w:cs="宋体"/>
          <w:b/>
          <w:color w:val="000000"/>
          <w:highlight w:val="none"/>
        </w:rPr>
      </w:pPr>
      <w:r>
        <w:rPr>
          <w:rFonts w:ascii="宋体" w:hAnsi="宋体" w:eastAsia="宋体" w:cs="宋体"/>
          <w:b/>
          <w:color w:val="000000"/>
          <w:highlight w:val="none"/>
        </w:rPr>
      </w:r>
      <w:r/>
    </w:p>
    <w:p>
      <w:pPr>
        <w:pStyle w:val="687"/>
        <w:rPr>
          <w:rFonts w:cs="宋体"/>
          <w:b/>
          <w:color w:val="000000"/>
          <w:highlight w:val="none"/>
        </w:rPr>
      </w:pPr>
      <w:r>
        <w:rPr>
          <w:rFonts w:cs="宋体"/>
          <w:b/>
          <w:color w:val="000000"/>
          <w:highlight w:val="none"/>
        </w:rPr>
      </w:r>
      <w:r/>
    </w:p>
    <w:p>
      <w:pPr>
        <w:rPr>
          <w:rFonts w:ascii="宋体" w:hAnsi="宋体" w:eastAsia="宋体" w:cs="宋体"/>
          <w:b/>
          <w:color w:val="000000"/>
          <w:highlight w:val="none"/>
        </w:rPr>
      </w:pPr>
      <w:r>
        <w:rPr>
          <w:rFonts w:ascii="宋体" w:hAnsi="宋体" w:eastAsia="宋体" w:cs="宋体"/>
          <w:b/>
          <w:color w:val="000000"/>
          <w:highlight w:val="none"/>
        </w:rPr>
      </w:r>
      <w:r/>
    </w:p>
    <w:p>
      <w:pPr>
        <w:pStyle w:val="687"/>
        <w:rPr>
          <w:highlight w:val="none"/>
        </w:rPr>
      </w:pPr>
      <w:r>
        <w:rPr>
          <w:highlight w:val="none"/>
        </w:rPr>
      </w:r>
      <w:r/>
    </w:p>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五、技术条款偏离表格式</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技术条款偏离表</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tbl>
      <w:tblPr>
        <w:tblStyle w:val="688"/>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563"/>
        <w:gridCol w:w="2606"/>
        <w:gridCol w:w="1663"/>
        <w:gridCol w:w="1463"/>
        <w:gridCol w:w="132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563"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791"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采购要求</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说明：如果行数不够，请自行增加。</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六、拟参与本项目人员一览表</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拟参与本项目人员一览表</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项目名称：项目编号：</w:t>
      </w:r>
      <w:r/>
    </w:p>
    <w:tbl>
      <w:tblPr>
        <w:tblStyle w:val="688"/>
        <w:tblW w:w="845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588"/>
        <w:gridCol w:w="851"/>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学历及</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执业</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资格或上岗证书号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技术</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textDirection w:val="lrTb"/>
            <w:noWrap/>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hd w:val="clear" w:color="ffffff" w:fill="ffffff"/>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七、项目实施方案</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八、投标单位根据本单位情况认为其他必要的材料</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jc w:val="both"/>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十</w:t>
      </w:r>
      <w:r>
        <w:rPr>
          <w:rFonts w:ascii="宋体" w:hAnsi="宋体" w:eastAsia="宋体" w:cs="宋体"/>
          <w:b/>
          <w:color w:val="000000"/>
          <w:sz w:val="24"/>
          <w:highlight w:val="none"/>
        </w:rPr>
        <w:t xml:space="preserve">、附件</w:t>
      </w:r>
      <w:r/>
    </w:p>
    <w:p>
      <w:pPr>
        <w:ind w:firstLine="3213"/>
        <w:jc w:val="both"/>
        <w:spacing w:before="151" w:after="151" w:line="6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一、 </w:t>
      </w:r>
      <w:r>
        <w:rPr>
          <w:rFonts w:ascii="宋体" w:hAnsi="宋体" w:eastAsia="宋体" w:cs="宋体"/>
          <w:b/>
          <w:color w:val="000000"/>
          <w:sz w:val="28"/>
          <w:highlight w:val="none"/>
        </w:rPr>
        <w:t xml:space="preserve">中小企业声明函</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财库〔2020〕46号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服务全部由符合政策的中小企业承接。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的规定，相关企业（含联合体中的小微企业、签订分包意向协议的中小企业）的具体情况如下：</w:t>
      </w:r>
      <w:r/>
    </w:p>
    <w:p>
      <w:pPr>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lang w:val="en-US" w:eastAsia="zh-CN"/>
        </w:rPr>
        <w:t xml:space="preserve">其他未列明行业</w:t>
      </w:r>
      <w:r>
        <w:rPr>
          <w:rFonts w:hint="eastAsia" w:ascii="宋体" w:hAnsi="宋体"/>
          <w:color w:val="000000"/>
          <w:sz w:val="24"/>
          <w:szCs w:val="24"/>
          <w:highlight w:val="none"/>
        </w:rPr>
        <w:t xml:space="preserve">；承接企业为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pStyle w:val="8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color w:val="000000"/>
          <w:highlight w:val="none"/>
        </w:rPr>
      </w:pPr>
      <w:r>
        <w:rPr>
          <w:rFonts w:hint="eastAsia"/>
          <w:color w:val="000000"/>
          <w:highlight w:val="none"/>
        </w:rPr>
      </w:r>
      <w:r/>
    </w:p>
    <w:p>
      <w:pPr>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60" w:lineRule="auto"/>
        <w:widowControl/>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p>
    <w:p>
      <w:pPr>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w:t>
      </w:r>
      <w:r/>
    </w:p>
    <w:p>
      <w:pPr>
        <w:ind w:left="2126" w:right="1651"/>
        <w:jc w:val="center"/>
        <w:spacing w:before="5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cente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二、残疾人福利性单位声明函</w:t>
      </w:r>
      <w:r/>
    </w:p>
    <w:p>
      <w:pPr>
        <w:ind w:firstLine="44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本单位郑重声明，根据《财政部民政部中国残疾人联合会关于促进残疾人就业政府采购政策的通知》（财库〔2017〕141 号）的规定，本单位为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（符合/不符合） 条件的残疾人福利性单位，且本单位参加</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单位的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4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供应商（加盖CA电子公章）：</w:t>
      </w:r>
      <w:r/>
    </w:p>
    <w:p>
      <w:pPr>
        <w:ind w:firstLine="484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ind w:firstLine="48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三、属于监狱企业的证明文件</w:t>
      </w:r>
      <w:r/>
    </w:p>
    <w:p>
      <w:pPr>
        <w:jc w:val="cente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提供由省级以上监狱管理局、戒毒管理局(含新疆生产建设兵团)出具的属于监狱企业的证明文件。</w:t>
      </w:r>
      <w:r/>
    </w:p>
    <w:p>
      <w:pPr>
        <w:ind w:firstLine="241"/>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firstLine="241"/>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cente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四、没有重大违法记录的书面声明</w:t>
      </w:r>
      <w:r/>
    </w:p>
    <w:p>
      <w:pPr>
        <w:jc w:val="cente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致：</w:t>
      </w:r>
      <w:r>
        <w:rPr>
          <w:rFonts w:ascii="宋体" w:hAnsi="宋体" w:eastAsia="宋体" w:cs="宋体"/>
          <w:color w:val="000000"/>
          <w:sz w:val="24"/>
          <w:highlight w:val="none"/>
          <w:u w:val="single"/>
        </w:rPr>
        <w:t xml:space="preserve">      采购单位名称</w:t>
      </w:r>
      <w:r>
        <w:rPr>
          <w:rFonts w:ascii="宋体" w:hAnsi="宋体" w:eastAsia="宋体" w:cs="宋体"/>
          <w:color w:val="000000"/>
          <w:sz w:val="24"/>
          <w:highlight w:val="none"/>
        </w:rPr>
        <w:t xml:space="preserve">：</w:t>
      </w:r>
      <w:r/>
    </w:p>
    <w:p>
      <w:pPr>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关于</w:t>
      </w:r>
      <w:r>
        <w:rPr>
          <w:rFonts w:ascii="宋体" w:hAnsi="宋体" w:eastAsia="宋体" w:cs="宋体"/>
          <w:color w:val="000000"/>
          <w:sz w:val="24"/>
          <w:highlight w:val="none"/>
          <w:u w:val="single"/>
        </w:rPr>
        <w:t xml:space="preserve">     项目名称</w:t>
      </w:r>
      <w:r>
        <w:rPr>
          <w:rFonts w:ascii="宋体" w:hAnsi="宋体" w:eastAsia="宋体" w:cs="宋体"/>
          <w:color w:val="000000"/>
          <w:sz w:val="24"/>
          <w:highlight w:val="none"/>
        </w:rPr>
        <w:t xml:space="preserve">（项目编号：）我方郑重声明如下：</w:t>
      </w:r>
      <w:r/>
    </w:p>
    <w:p>
      <w:pPr>
        <w:ind w:firstLine="48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我方在参加本次招标采购活动前三年内，在经营活动中没有重大违法记录。</w:t>
      </w:r>
      <w:r/>
    </w:p>
    <w:p>
      <w:pPr>
        <w:ind w:firstLine="48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如与本声明内容不符，采购人与代理机构有权取消我方中标资格，已签订合同的，采购人有权中止（终止）；我方愿承担给采购人与代理机构带来的一切损失。</w:t>
      </w:r>
      <w:r/>
    </w:p>
    <w:p>
      <w:pPr>
        <w:ind w:firstLine="48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投标人名称(加盖CA电子公章)：</w:t>
      </w:r>
      <w:r/>
    </w:p>
    <w:p>
      <w:pPr>
        <w:ind w:firstLine="480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法定代表人或授权委托人(签字)：</w:t>
      </w:r>
      <w:r/>
    </w:p>
    <w:p>
      <w:pPr>
        <w:ind w:firstLine="480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年月日</w:t>
      </w:r>
      <w:r/>
    </w:p>
    <w:p>
      <w:pPr>
        <w:ind w:firstLine="1325"/>
        <w:jc w:val="both"/>
        <w:spacing w:before="5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firstLine="1325"/>
        <w:jc w:val="both"/>
        <w:spacing w:before="5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firstLine="1325"/>
        <w:jc w:val="both"/>
        <w:spacing w:before="5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五、具备履行合同所必需的设备和专业技术能力的书面声明</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before="7"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highlight w:val="none"/>
        </w:rPr>
        <w:t xml:space="preserve"> </w:t>
      </w:r>
      <w:r/>
    </w:p>
    <w:p>
      <w:pPr>
        <w:ind w:right="610" w:firstLine="49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我公司郑重声明：我公司具备履行本项采购合同所必需的设备和专业技术能力。</w:t>
      </w:r>
      <w:r/>
    </w:p>
    <w:p>
      <w:pPr>
        <w:spacing w:before="11"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right="480" w:firstLine="44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投标人名称(加盖CA电子公章)：</w:t>
      </w:r>
      <w:r/>
    </w:p>
    <w:p>
      <w:pPr>
        <w:ind w:firstLine="444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法定代表人或授权委托人(签字)：</w:t>
      </w:r>
      <w:r/>
    </w:p>
    <w:p>
      <w:pPr>
        <w:ind w:firstLine="4440"/>
        <w:jc w:val="both"/>
        <w:spacing w:before="5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年月日</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jc w:val="center"/>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center"/>
        <w:spacing w:line="51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ascii="宋体" w:hAnsi="宋体" w:eastAsia="宋体" w:cs="宋体"/>
          <w:b/>
          <w:color w:val="000000"/>
          <w:sz w:val="24"/>
          <w:highlight w:val="none"/>
        </w:rPr>
        <w:t xml:space="preserve">、安全生产责任承诺书</w:t>
      </w:r>
      <w:r/>
    </w:p>
    <w:p>
      <w:pPr>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w:t>
      </w:r>
      <w:r/>
    </w:p>
    <w:p>
      <w:pPr>
        <w:ind w:firstLine="480"/>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我公司现向贵单位承诺，我公司在(项目名称）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（项目编号：</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服务</w:t>
      </w:r>
      <w:r>
        <w:rPr>
          <w:rFonts w:ascii="宋体" w:hAnsi="宋体" w:eastAsia="宋体" w:cs="宋体"/>
          <w:color w:val="000000"/>
          <w:sz w:val="24"/>
          <w:highlight w:val="none"/>
        </w:rPr>
        <w:t xml:space="preserve">过程中，保证不发生重大人员伤亡事故，在此</w:t>
      </w:r>
      <w:r>
        <w:rPr>
          <w:rFonts w:hint="eastAsia" w:ascii="宋体" w:hAnsi="宋体" w:eastAsia="宋体" w:cs="宋体"/>
          <w:color w:val="000000"/>
          <w:sz w:val="24"/>
          <w:highlight w:val="none"/>
        </w:rPr>
        <w:t xml:space="preserve">服务</w:t>
      </w:r>
      <w:r>
        <w:rPr>
          <w:rFonts w:ascii="宋体" w:hAnsi="宋体" w:eastAsia="宋体" w:cs="宋体"/>
          <w:color w:val="000000"/>
          <w:sz w:val="24"/>
          <w:highlight w:val="none"/>
        </w:rPr>
        <w:t xml:space="preserve">过程中所发生的一切工伤事故，或安全事故，均由我公司承担一切责任。</w:t>
      </w:r>
      <w:r/>
    </w:p>
    <w:p>
      <w:pPr>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5040"/>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承诺单位（加盖CA电子公章）</w:t>
      </w:r>
      <w:r/>
    </w:p>
    <w:p>
      <w:pPr>
        <w:ind w:firstLine="5040"/>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法定代表人（签字或盖章）</w:t>
      </w:r>
      <w:r/>
    </w:p>
    <w:p>
      <w:pPr>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96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96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96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96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96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96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96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96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96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96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96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1205"/>
        <w:jc w:val="both"/>
        <w:rPr>
          <w:rFonts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1205"/>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val="en-US" w:eastAsia="zh-CN"/>
        </w:rPr>
        <w:t xml:space="preserve">七</w:t>
      </w:r>
      <w:r>
        <w:rPr>
          <w:rFonts w:ascii="宋体" w:hAnsi="宋体" w:eastAsia="宋体" w:cs="宋体"/>
          <w:b/>
          <w:color w:val="000000"/>
          <w:sz w:val="30"/>
          <w:highlight w:val="none"/>
        </w:rPr>
        <w:t xml:space="preserve">、南京市政府采购供应商信用记录表暨信用承诺书</w:t>
      </w:r>
      <w:r/>
    </w:p>
    <w:p>
      <w:pPr>
        <w:ind w:firstLine="210"/>
        <w:jc w:val="right"/>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highlight w:val="none"/>
        </w:rPr>
        <w:t xml:space="preserve">202</w:t>
      </w:r>
      <w:r>
        <w:rPr>
          <w:rFonts w:hint="eastAsia" w:ascii="Times New Roman" w:hAnsi="Times New Roman" w:eastAsia="宋体" w:cs="Times New Roman"/>
          <w:color w:val="000000"/>
          <w:highlight w:val="none"/>
        </w:rPr>
        <w:t xml:space="preserve">6</w:t>
      </w:r>
      <w:r>
        <w:rPr>
          <w:rFonts w:ascii="宋体" w:hAnsi="宋体" w:eastAsia="宋体" w:cs="宋体"/>
          <w:color w:val="000000"/>
          <w:highlight w:val="none"/>
        </w:rPr>
        <w:t xml:space="preserve">年月日</w:t>
      </w:r>
      <w:r/>
    </w:p>
    <w:tbl>
      <w:tblPr>
        <w:tblStyle w:val="688"/>
        <w:tblW w:w="95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887"/>
        <w:gridCol w:w="2888"/>
        <w:gridCol w:w="2889"/>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tcPr>
          <w:p>
            <w:pPr>
              <w:ind w:firstLine="48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9" w:type="dxa"/>
            <w:textDirection w:val="lrTb"/>
            <w:noWrap/>
          </w:tcPr>
          <w:p>
            <w:pPr>
              <w:ind w:firstLine="482"/>
              <w:jc w:val="both"/>
              <w:spacing w:line="32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tcPr>
          <w:p>
            <w:pPr>
              <w:ind w:firstLine="48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9" w:type="dxa"/>
            <w:textDirection w:val="lrTb"/>
            <w:noWrap/>
          </w:tcPr>
          <w:p>
            <w:pPr>
              <w:ind w:firstLine="482"/>
              <w:jc w:val="both"/>
              <w:spacing w:line="32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tcPr>
          <w:p>
            <w:pPr>
              <w:ind w:firstLine="48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9" w:type="dxa"/>
            <w:textDirection w:val="lrTb"/>
            <w:noWrap/>
          </w:tcPr>
          <w:p>
            <w:pPr>
              <w:ind w:firstLine="482"/>
              <w:jc w:val="both"/>
              <w:spacing w:line="32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信用得分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tcPr>
          <w:p>
            <w:pPr>
              <w:ind w:firstLine="48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8" w:type="dxa"/>
            <w:vAlign w:val="center"/>
            <w:textDirection w:val="lrTb"/>
            <w:noWrap/>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星级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9" w:type="dxa"/>
            <w:textDirection w:val="lrTb"/>
            <w:noWrap/>
          </w:tcPr>
          <w:p>
            <w:pPr>
              <w:ind w:firstLine="482"/>
              <w:jc w:val="both"/>
              <w:spacing w:line="32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c>
      </w:tr>
      <w:tr>
        <w:trPr>
          <w:trHeight w:val="18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4" w:type="dxa"/>
            <w:textDirection w:val="lrTb"/>
            <w:noWrap/>
          </w:tcPr>
          <w:p>
            <w:pPr>
              <w:ind w:firstLine="48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c>
      </w:tr>
      <w:tr>
        <w:trPr>
          <w:trHeight w:val="6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tcPr>
          <w:p>
            <w:pPr>
              <w:ind w:firstLine="482"/>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4" w:type="dxa"/>
            <w:textDirection w:val="lrTb"/>
            <w:noWrap/>
          </w:tcPr>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我公司自愿参加贵中心(公司)组织的本次采购活动，严格遵守《中华人民共和国政府采购法》及相关</w:t>
            </w:r>
            <w:r>
              <w:rPr>
                <w:rFonts w:ascii="宋体" w:hAnsi="宋体" w:eastAsia="宋体" w:cs="宋体"/>
                <w:color w:val="000000"/>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right="1080" w:firstLine="480"/>
              <w:jc w:val="righ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供应商名称（盖章）：</w:t>
            </w:r>
            <w:r/>
          </w:p>
          <w:p>
            <w:pPr>
              <w:ind w:right="480" w:firstLine="480"/>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法定代表人（签字）:</w:t>
            </w:r>
            <w:r/>
          </w:p>
          <w:p>
            <w:pPr>
              <w:ind w:right="480" w:firstLine="480"/>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年   月    日</w:t>
            </w:r>
            <w:r/>
          </w:p>
        </w:tc>
      </w:tr>
    </w:tbl>
    <w:p>
      <w:pPr>
        <w:jc w:val="both"/>
        <w:spacing w:before="75" w:after="75"/>
        <w:shd w:val="clear" w:color="ffffff" w:fill="ffffff"/>
        <w:rPr>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color w:val="000000"/>
          <w:highlight w:val="none"/>
        </w:rPr>
        <w:t xml:space="preserve"> </w:t>
      </w:r>
      <w:r/>
    </w:p>
    <w:p>
      <w:pPr>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val="en-US" w:eastAsia="zh-CN"/>
        </w:rPr>
        <w:t xml:space="preserve">八</w:t>
      </w:r>
      <w:r>
        <w:rPr>
          <w:rFonts w:hint="eastAsia" w:ascii="黑体" w:hAnsi="黑体" w:eastAsia="黑体"/>
          <w:iCs/>
          <w:color w:val="000000"/>
          <w:sz w:val="32"/>
          <w:szCs w:val="32"/>
          <w:highlight w:val="none"/>
        </w:rPr>
        <w:t xml:space="preserve">、联合体协议</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p>
    <w:p>
      <w:pPr>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p>
    <w:p>
      <w:pPr>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名称）为牵头单位。</w:t>
      </w:r>
      <w:r/>
    </w:p>
    <w:p>
      <w:pPr>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p>
    <w:p>
      <w:pPr>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p>
    <w:p>
      <w:pPr>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p>
      <w:pPr>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p>
    <w:p>
      <w:pPr>
        <w:ind w:firstLine="52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p>
    <w:p>
      <w:pPr>
        <w:rPr>
          <w:highlight w:val="none"/>
        </w:rPr>
      </w:pPr>
      <w:r>
        <w:rPr>
          <w:rFonts w:hint="eastAsia" w:ascii="宋体" w:hAnsi="宋体"/>
          <w:b/>
          <w:bCs/>
          <w:color w:val="000000"/>
          <w:sz w:val="24"/>
          <w:szCs w:val="24"/>
          <w:highlight w:val="none"/>
        </w:rPr>
        <w:t xml:space="preserve">2.</w:t>
      </w:r>
      <w:r>
        <w:rPr>
          <w:rFonts w:hint="eastAsia" w:ascii="宋体" w:hAnsi="宋体"/>
          <w:b/>
          <w:bCs/>
          <w:color w:val="000000"/>
          <w:sz w:val="24"/>
          <w:highlight w:val="none"/>
        </w:rPr>
        <w:t xml:space="preserve">除另有说明外，本招标文件要求加盖电子公章之处，加盖牵头单位的电子公章即可。</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黑体">
    <w:panose1 w:val="02010609060101010101"/>
  </w:font>
  <w:font w:name="Calibri">
    <w:panose1 w:val="020F0502020204030204"/>
  </w:font>
  <w:font w:name="方正小标宋简体">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4">
    <w:name w:val="Heading 1 Char"/>
    <w:basedOn w:val="662"/>
    <w:link w:val="653"/>
    <w:uiPriority w:val="9"/>
    <w:rPr>
      <w:rFonts w:ascii="Arial" w:hAnsi="Arial" w:eastAsia="Arial" w:cs="Arial"/>
      <w:sz w:val="40"/>
      <w:szCs w:val="40"/>
    </w:rPr>
  </w:style>
  <w:style w:type="character" w:styleId="635">
    <w:name w:val="Heading 2 Char"/>
    <w:basedOn w:val="662"/>
    <w:link w:val="654"/>
    <w:uiPriority w:val="9"/>
    <w:rPr>
      <w:rFonts w:ascii="Arial" w:hAnsi="Arial" w:eastAsia="Arial" w:cs="Arial"/>
      <w:sz w:val="34"/>
    </w:rPr>
  </w:style>
  <w:style w:type="character" w:styleId="636">
    <w:name w:val="Heading 3 Char"/>
    <w:basedOn w:val="662"/>
    <w:link w:val="655"/>
    <w:uiPriority w:val="9"/>
    <w:rPr>
      <w:rFonts w:ascii="Arial" w:hAnsi="Arial" w:eastAsia="Arial" w:cs="Arial"/>
      <w:sz w:val="30"/>
      <w:szCs w:val="30"/>
    </w:rPr>
  </w:style>
  <w:style w:type="character" w:styleId="637">
    <w:name w:val="Heading 4 Char"/>
    <w:basedOn w:val="662"/>
    <w:link w:val="656"/>
    <w:uiPriority w:val="9"/>
    <w:rPr>
      <w:rFonts w:ascii="Arial" w:hAnsi="Arial" w:eastAsia="Arial" w:cs="Arial"/>
      <w:b/>
      <w:bCs/>
      <w:sz w:val="26"/>
      <w:szCs w:val="26"/>
    </w:rPr>
  </w:style>
  <w:style w:type="character" w:styleId="638">
    <w:name w:val="Heading 5 Char"/>
    <w:basedOn w:val="662"/>
    <w:link w:val="657"/>
    <w:uiPriority w:val="9"/>
    <w:rPr>
      <w:rFonts w:ascii="Arial" w:hAnsi="Arial" w:eastAsia="Arial" w:cs="Arial"/>
      <w:b/>
      <w:bCs/>
      <w:sz w:val="24"/>
      <w:szCs w:val="24"/>
    </w:rPr>
  </w:style>
  <w:style w:type="character" w:styleId="639">
    <w:name w:val="Heading 6 Char"/>
    <w:basedOn w:val="662"/>
    <w:link w:val="658"/>
    <w:uiPriority w:val="9"/>
    <w:rPr>
      <w:rFonts w:ascii="Arial" w:hAnsi="Arial" w:eastAsia="Arial" w:cs="Arial"/>
      <w:b/>
      <w:bCs/>
      <w:sz w:val="22"/>
      <w:szCs w:val="22"/>
    </w:rPr>
  </w:style>
  <w:style w:type="character" w:styleId="640">
    <w:name w:val="Heading 7 Char"/>
    <w:basedOn w:val="662"/>
    <w:link w:val="659"/>
    <w:uiPriority w:val="9"/>
    <w:rPr>
      <w:rFonts w:ascii="Arial" w:hAnsi="Arial" w:eastAsia="Arial" w:cs="Arial"/>
      <w:b/>
      <w:bCs/>
      <w:i/>
      <w:iCs/>
      <w:sz w:val="22"/>
      <w:szCs w:val="22"/>
    </w:rPr>
  </w:style>
  <w:style w:type="character" w:styleId="641">
    <w:name w:val="Heading 8 Char"/>
    <w:basedOn w:val="662"/>
    <w:link w:val="660"/>
    <w:uiPriority w:val="9"/>
    <w:rPr>
      <w:rFonts w:ascii="Arial" w:hAnsi="Arial" w:eastAsia="Arial" w:cs="Arial"/>
      <w:i/>
      <w:iCs/>
      <w:sz w:val="22"/>
      <w:szCs w:val="22"/>
    </w:rPr>
  </w:style>
  <w:style w:type="character" w:styleId="642">
    <w:name w:val="Heading 9 Char"/>
    <w:basedOn w:val="662"/>
    <w:link w:val="661"/>
    <w:uiPriority w:val="9"/>
    <w:rPr>
      <w:rFonts w:ascii="Arial" w:hAnsi="Arial" w:eastAsia="Arial" w:cs="Arial"/>
      <w:i/>
      <w:iCs/>
      <w:sz w:val="21"/>
      <w:szCs w:val="21"/>
    </w:rPr>
  </w:style>
  <w:style w:type="character" w:styleId="643">
    <w:name w:val="Title Char"/>
    <w:basedOn w:val="662"/>
    <w:link w:val="686"/>
    <w:uiPriority w:val="10"/>
    <w:rPr>
      <w:sz w:val="48"/>
      <w:szCs w:val="48"/>
    </w:rPr>
  </w:style>
  <w:style w:type="character" w:styleId="644">
    <w:name w:val="Subtitle Char"/>
    <w:basedOn w:val="662"/>
    <w:link w:val="680"/>
    <w:uiPriority w:val="11"/>
    <w:rPr>
      <w:sz w:val="24"/>
      <w:szCs w:val="24"/>
    </w:rPr>
  </w:style>
  <w:style w:type="character" w:styleId="645">
    <w:name w:val="Quote Char"/>
    <w:link w:val="706"/>
    <w:uiPriority w:val="29"/>
    <w:rPr>
      <w:i/>
    </w:rPr>
  </w:style>
  <w:style w:type="character" w:styleId="646">
    <w:name w:val="Intense Quote Char"/>
    <w:link w:val="708"/>
    <w:uiPriority w:val="30"/>
    <w:rPr>
      <w:i/>
    </w:rPr>
  </w:style>
  <w:style w:type="character" w:styleId="647">
    <w:name w:val="Header Char"/>
    <w:basedOn w:val="662"/>
    <w:link w:val="677"/>
    <w:uiPriority w:val="99"/>
  </w:style>
  <w:style w:type="character" w:styleId="648">
    <w:name w:val="Caption Char"/>
    <w:basedOn w:val="668"/>
    <w:link w:val="676"/>
    <w:uiPriority w:val="99"/>
  </w:style>
  <w:style w:type="character" w:styleId="649">
    <w:name w:val="Footnote Text Char"/>
    <w:link w:val="681"/>
    <w:uiPriority w:val="99"/>
    <w:rPr>
      <w:sz w:val="18"/>
    </w:rPr>
  </w:style>
  <w:style w:type="character" w:styleId="650">
    <w:name w:val="Endnote Text Char"/>
    <w:link w:val="675"/>
    <w:uiPriority w:val="99"/>
    <w:rPr>
      <w:sz w:val="20"/>
    </w:rPr>
  </w:style>
  <w:style w:type="paragraph" w:styleId="651">
    <w:name w:val="TOC Heading"/>
    <w:uiPriority w:val="39"/>
    <w:unhideWhenUsed/>
  </w:style>
  <w:style w:type="paragraph" w:styleId="652" w:default="1">
    <w:name w:val="Normal"/>
    <w:next w:val="664"/>
    <w:uiPriority w:val="0"/>
    <w:qFormat/>
    <w:rPr>
      <w:rFonts w:asciiTheme="minorHAnsi" w:hAnsiTheme="minorHAnsi" w:eastAsiaTheme="minorEastAsia" w:cstheme="minorBidi"/>
      <w:sz w:val="21"/>
      <w:szCs w:val="22"/>
      <w:lang w:val="en-US" w:eastAsia="zh-CN" w:bidi="ar-SA"/>
    </w:rPr>
  </w:style>
  <w:style w:type="paragraph" w:styleId="653">
    <w:name w:val="Heading 1"/>
    <w:next w:val="652"/>
    <w:link w:val="693"/>
    <w:uiPriority w:val="9"/>
    <w:qFormat/>
    <w:pPr>
      <w:keepLines/>
      <w:keepNext/>
      <w:spacing w:before="480" w:after="200"/>
      <w:outlineLvl w:val="0"/>
    </w:pPr>
    <w:rPr>
      <w:rFonts w:ascii="Arial" w:hAnsi="Arial" w:eastAsia="Arial" w:cs="Arial"/>
      <w:sz w:val="40"/>
      <w:szCs w:val="40"/>
      <w:lang w:val="en-US" w:eastAsia="zh-CN" w:bidi="ar-SA"/>
    </w:rPr>
  </w:style>
  <w:style w:type="paragraph" w:styleId="654">
    <w:name w:val="Heading 2"/>
    <w:next w:val="652"/>
    <w:link w:val="694"/>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55">
    <w:name w:val="Heading 3"/>
    <w:next w:val="652"/>
    <w:link w:val="695"/>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56">
    <w:name w:val="Heading 4"/>
    <w:basedOn w:val="652"/>
    <w:next w:val="652"/>
    <w:link w:val="696"/>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next w:val="652"/>
    <w:link w:val="697"/>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58">
    <w:name w:val="Heading 6"/>
    <w:next w:val="652"/>
    <w:link w:val="698"/>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59">
    <w:name w:val="Heading 7"/>
    <w:next w:val="652"/>
    <w:link w:val="699"/>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60">
    <w:name w:val="Heading 8"/>
    <w:next w:val="652"/>
    <w:link w:val="700"/>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61">
    <w:name w:val="Heading 9"/>
    <w:next w:val="652"/>
    <w:link w:val="701"/>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正文首行缩进 211"/>
    <w:basedOn w:val="665"/>
    <w:next w:val="652"/>
    <w:uiPriority w:val="0"/>
    <w:qFormat/>
    <w:pPr>
      <w:ind w:firstLine="420"/>
      <w:spacing w:line="360" w:lineRule="auto"/>
    </w:pPr>
    <w:rPr>
      <w:rFonts w:ascii="宋体" w:hAnsi="宋体" w:eastAsia="宋体"/>
      <w:sz w:val="21"/>
      <w:szCs w:val="20"/>
    </w:rPr>
  </w:style>
  <w:style w:type="paragraph" w:styleId="665" w:customStyle="1">
    <w:name w:val="正文文本缩进11"/>
    <w:basedOn w:val="652"/>
    <w:next w:val="666"/>
    <w:uiPriority w:val="0"/>
    <w:pPr>
      <w:ind w:firstLine="645"/>
    </w:pPr>
    <w:rPr>
      <w:rFonts w:ascii="楷体_GB2312" w:eastAsia="楷体_GB2312"/>
      <w:sz w:val="32"/>
      <w:szCs w:val="32"/>
    </w:rPr>
  </w:style>
  <w:style w:type="paragraph" w:styleId="666" w:customStyle="1">
    <w:name w:val="寄信人地址1"/>
    <w:basedOn w:val="652"/>
    <w:uiPriority w:val="0"/>
    <w:qFormat/>
    <w:rPr>
      <w:rFonts w:ascii="Arial" w:hAnsi="Arial" w:eastAsia="宋体" w:cs="宋体"/>
    </w:rPr>
  </w:style>
  <w:style w:type="paragraph" w:styleId="667">
    <w:name w:val="toc 7"/>
    <w:next w:val="652"/>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68">
    <w:name w:val="Caption"/>
    <w:next w:val="652"/>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styleId="669">
    <w:name w:val="Body Text Indent"/>
    <w:basedOn w:val="652"/>
    <w:next w:val="670"/>
    <w:uiPriority w:val="0"/>
    <w:qFormat/>
    <w:pPr>
      <w:ind w:firstLine="645"/>
    </w:pPr>
    <w:rPr>
      <w:rFonts w:ascii="楷体_GB2312" w:eastAsia="楷体_GB2312"/>
      <w:sz w:val="32"/>
      <w:szCs w:val="32"/>
    </w:rPr>
  </w:style>
  <w:style w:type="paragraph" w:styleId="670">
    <w:name w:val="envelope return"/>
    <w:basedOn w:val="652"/>
    <w:uiPriority w:val="0"/>
    <w:qFormat/>
    <w:rPr>
      <w:rFonts w:ascii="Arial" w:hAnsi="Arial" w:eastAsia="宋体" w:cs="宋体"/>
    </w:rPr>
  </w:style>
  <w:style w:type="paragraph" w:styleId="671">
    <w:name w:val="toc 5"/>
    <w:next w:val="652"/>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72">
    <w:name w:val="toc 3"/>
    <w:next w:val="652"/>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73">
    <w:name w:val="Plain Text"/>
    <w:basedOn w:val="652"/>
    <w:uiPriority w:val="0"/>
    <w:qFormat/>
    <w:rPr>
      <w:rFonts w:ascii="宋体" w:hAnsi="Courier New" w:cs="Courier New"/>
    </w:rPr>
  </w:style>
  <w:style w:type="paragraph" w:styleId="674">
    <w:name w:val="toc 8"/>
    <w:next w:val="652"/>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75">
    <w:name w:val="endnote text"/>
    <w:link w:val="839"/>
    <w:uiPriority w:val="99"/>
    <w:semiHidden/>
    <w:unhideWhenUsed/>
    <w:qFormat/>
    <w:rPr>
      <w:rFonts w:asciiTheme="minorHAnsi" w:hAnsiTheme="minorHAnsi" w:eastAsiaTheme="minorEastAsia" w:cstheme="minorBidi"/>
      <w:szCs w:val="22"/>
      <w:lang w:val="en-US" w:eastAsia="zh-CN" w:bidi="ar-SA"/>
    </w:rPr>
  </w:style>
  <w:style w:type="paragraph" w:styleId="676">
    <w:name w:val="Footer"/>
    <w:link w:val="712"/>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77">
    <w:name w:val="Header"/>
    <w:link w:val="710"/>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78">
    <w:name w:val="toc 1"/>
    <w:next w:val="652"/>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79">
    <w:name w:val="toc 4"/>
    <w:next w:val="652"/>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80">
    <w:name w:val="Subtitle"/>
    <w:link w:val="705"/>
    <w:uiPriority w:val="11"/>
    <w:qFormat/>
    <w:pPr>
      <w:spacing w:before="200" w:after="200"/>
    </w:pPr>
    <w:rPr>
      <w:rFonts w:asciiTheme="minorHAnsi" w:hAnsiTheme="minorHAnsi" w:eastAsiaTheme="minorEastAsia" w:cstheme="minorBidi"/>
      <w:sz w:val="24"/>
      <w:szCs w:val="24"/>
      <w:lang w:val="en-US" w:eastAsia="zh-CN" w:bidi="ar-SA"/>
    </w:rPr>
  </w:style>
  <w:style w:type="paragraph" w:styleId="681">
    <w:name w:val="footnote text"/>
    <w:link w:val="838"/>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682">
    <w:name w:val="toc 6"/>
    <w:next w:val="652"/>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683">
    <w:name w:val="table of figures"/>
    <w:next w:val="652"/>
    <w:uiPriority w:val="99"/>
    <w:unhideWhenUsed/>
    <w:qFormat/>
    <w:rPr>
      <w:rFonts w:asciiTheme="minorHAnsi" w:hAnsiTheme="minorHAnsi" w:eastAsiaTheme="minorEastAsia" w:cstheme="minorBidi"/>
      <w:sz w:val="21"/>
      <w:szCs w:val="22"/>
      <w:lang w:val="en-US" w:eastAsia="zh-CN" w:bidi="ar-SA"/>
    </w:rPr>
  </w:style>
  <w:style w:type="paragraph" w:styleId="684">
    <w:name w:val="toc 2"/>
    <w:next w:val="65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685">
    <w:name w:val="toc 9"/>
    <w:next w:val="652"/>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686">
    <w:name w:val="Title"/>
    <w:link w:val="704"/>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687">
    <w:name w:val="Body Text First Indent 2"/>
    <w:basedOn w:val="669"/>
    <w:next w:val="652"/>
    <w:uiPriority w:val="0"/>
    <w:qFormat/>
    <w:pPr>
      <w:ind w:firstLine="420"/>
      <w:spacing w:line="360" w:lineRule="auto"/>
    </w:pPr>
    <w:rPr>
      <w:rFonts w:ascii="宋体" w:hAnsi="宋体" w:eastAsia="宋体"/>
      <w:sz w:val="21"/>
      <w:szCs w:val="20"/>
    </w:rPr>
  </w:style>
  <w:style w:type="table" w:styleId="6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uiPriority w:val="99"/>
    <w:semiHidden/>
    <w:unhideWhenUsed/>
    <w:qFormat/>
    <w:rPr>
      <w:vertAlign w:val="superscript"/>
    </w:rPr>
  </w:style>
  <w:style w:type="character" w:styleId="690">
    <w:name w:val="Hyperlink"/>
    <w:uiPriority w:val="99"/>
    <w:unhideWhenUsed/>
    <w:qFormat/>
    <w:rPr>
      <w:color w:val="0000ff" w:themeColor="hyperlink"/>
      <w:u w:val="single"/>
    </w:rPr>
  </w:style>
  <w:style w:type="character" w:styleId="691">
    <w:name w:val="footnote reference"/>
    <w:uiPriority w:val="99"/>
    <w:unhideWhenUsed/>
    <w:qFormat/>
    <w:rPr>
      <w:vertAlign w:val="superscript"/>
    </w:rPr>
  </w:style>
  <w:style w:type="paragraph" w:styleId="692" w:customStyle="1">
    <w:name w:val="Default"/>
    <w:uiPriority w:val="99"/>
    <w:qFormat/>
    <w:pPr>
      <w:widowControl w:val="off"/>
    </w:pPr>
    <w:rPr>
      <w:rFonts w:ascii="Calibri" w:hAnsi="Calibri" w:eastAsia="宋体" w:cs="Times New Roman"/>
      <w:color w:val="000000"/>
      <w:sz w:val="24"/>
      <w:szCs w:val="24"/>
      <w:lang w:val="en-US" w:eastAsia="zh-CN" w:bidi="ar-SA"/>
    </w:rPr>
  </w:style>
  <w:style w:type="character" w:styleId="693" w:customStyle="1">
    <w:name w:val="标题 1 Char"/>
    <w:link w:val="653"/>
    <w:uiPriority w:val="9"/>
    <w:qFormat/>
    <w:rPr>
      <w:rFonts w:ascii="Arial" w:hAnsi="Arial" w:eastAsia="Arial" w:cs="Arial"/>
      <w:sz w:val="40"/>
      <w:szCs w:val="40"/>
    </w:rPr>
  </w:style>
  <w:style w:type="character" w:styleId="694" w:customStyle="1">
    <w:name w:val="标题 2 Char"/>
    <w:link w:val="654"/>
    <w:uiPriority w:val="9"/>
    <w:qFormat/>
    <w:rPr>
      <w:rFonts w:ascii="Arial" w:hAnsi="Arial" w:eastAsia="Arial" w:cs="Arial"/>
      <w:sz w:val="34"/>
    </w:rPr>
  </w:style>
  <w:style w:type="character" w:styleId="695" w:customStyle="1">
    <w:name w:val="标题 3 Char"/>
    <w:link w:val="655"/>
    <w:uiPriority w:val="9"/>
    <w:qFormat/>
    <w:rPr>
      <w:rFonts w:ascii="Arial" w:hAnsi="Arial" w:eastAsia="Arial" w:cs="Arial"/>
      <w:sz w:val="30"/>
      <w:szCs w:val="30"/>
    </w:rPr>
  </w:style>
  <w:style w:type="character" w:styleId="696" w:customStyle="1">
    <w:name w:val="标题 4 Char"/>
    <w:link w:val="656"/>
    <w:uiPriority w:val="9"/>
    <w:qFormat/>
    <w:rPr>
      <w:rFonts w:ascii="Arial" w:hAnsi="Arial" w:eastAsia="Arial" w:cs="Arial"/>
      <w:b/>
      <w:bCs/>
      <w:sz w:val="26"/>
      <w:szCs w:val="26"/>
    </w:rPr>
  </w:style>
  <w:style w:type="character" w:styleId="697" w:customStyle="1">
    <w:name w:val="标题 5 Char"/>
    <w:link w:val="657"/>
    <w:uiPriority w:val="9"/>
    <w:qFormat/>
    <w:rPr>
      <w:rFonts w:ascii="Arial" w:hAnsi="Arial" w:eastAsia="Arial" w:cs="Arial"/>
      <w:b/>
      <w:bCs/>
      <w:sz w:val="24"/>
      <w:szCs w:val="24"/>
    </w:rPr>
  </w:style>
  <w:style w:type="character" w:styleId="698" w:customStyle="1">
    <w:name w:val="标题 6 Char"/>
    <w:link w:val="658"/>
    <w:uiPriority w:val="9"/>
    <w:qFormat/>
    <w:rPr>
      <w:rFonts w:ascii="Arial" w:hAnsi="Arial" w:eastAsia="Arial" w:cs="Arial"/>
      <w:b/>
      <w:bCs/>
      <w:sz w:val="22"/>
      <w:szCs w:val="22"/>
    </w:rPr>
  </w:style>
  <w:style w:type="character" w:styleId="699" w:customStyle="1">
    <w:name w:val="标题 7 Char"/>
    <w:link w:val="659"/>
    <w:uiPriority w:val="9"/>
    <w:qFormat/>
    <w:rPr>
      <w:rFonts w:ascii="Arial" w:hAnsi="Arial" w:eastAsia="Arial" w:cs="Arial"/>
      <w:b/>
      <w:bCs/>
      <w:i/>
      <w:iCs/>
      <w:sz w:val="22"/>
      <w:szCs w:val="22"/>
    </w:rPr>
  </w:style>
  <w:style w:type="character" w:styleId="700" w:customStyle="1">
    <w:name w:val="标题 8 Char"/>
    <w:link w:val="660"/>
    <w:uiPriority w:val="9"/>
    <w:qFormat/>
    <w:rPr>
      <w:rFonts w:ascii="Arial" w:hAnsi="Arial" w:eastAsia="Arial" w:cs="Arial"/>
      <w:i/>
      <w:iCs/>
      <w:sz w:val="22"/>
      <w:szCs w:val="22"/>
    </w:rPr>
  </w:style>
  <w:style w:type="character" w:styleId="701" w:customStyle="1">
    <w:name w:val="标题 9 Char"/>
    <w:link w:val="661"/>
    <w:uiPriority w:val="9"/>
    <w:qFormat/>
    <w:rPr>
      <w:rFonts w:ascii="Arial" w:hAnsi="Arial" w:eastAsia="Arial" w:cs="Arial"/>
      <w:i/>
      <w:iCs/>
      <w:sz w:val="21"/>
      <w:szCs w:val="21"/>
    </w:rPr>
  </w:style>
  <w:style w:type="paragraph" w:styleId="702">
    <w:name w:val="List Paragraph"/>
    <w:basedOn w:val="652"/>
    <w:uiPriority w:val="34"/>
    <w:qFormat/>
    <w:pPr>
      <w:contextualSpacing/>
      <w:ind w:left="720"/>
    </w:pPr>
  </w:style>
  <w:style w:type="paragraph" w:styleId="703">
    <w:name w:val="No Spacing"/>
    <w:uiPriority w:val="1"/>
    <w:qFormat/>
    <w:rPr>
      <w:rFonts w:asciiTheme="minorHAnsi" w:hAnsiTheme="minorHAnsi" w:eastAsiaTheme="minorEastAsia" w:cstheme="minorBidi"/>
      <w:sz w:val="21"/>
      <w:szCs w:val="22"/>
      <w:lang w:val="en-US" w:eastAsia="zh-CN" w:bidi="ar-SA"/>
    </w:rPr>
  </w:style>
  <w:style w:type="character" w:styleId="704" w:customStyle="1">
    <w:name w:val="标题 Char"/>
    <w:link w:val="686"/>
    <w:uiPriority w:val="10"/>
    <w:qFormat/>
    <w:rPr>
      <w:sz w:val="48"/>
      <w:szCs w:val="48"/>
    </w:rPr>
  </w:style>
  <w:style w:type="character" w:styleId="705" w:customStyle="1">
    <w:name w:val="副标题 Char"/>
    <w:link w:val="680"/>
    <w:uiPriority w:val="11"/>
    <w:qFormat/>
    <w:rPr>
      <w:sz w:val="24"/>
      <w:szCs w:val="24"/>
    </w:rPr>
  </w:style>
  <w:style w:type="paragraph" w:styleId="706">
    <w:name w:val="Quote"/>
    <w:link w:val="707"/>
    <w:uiPriority w:val="29"/>
    <w:qFormat/>
    <w:pPr>
      <w:ind w:left="720" w:right="720"/>
    </w:pPr>
    <w:rPr>
      <w:rFonts w:asciiTheme="minorHAnsi" w:hAnsiTheme="minorHAnsi" w:eastAsiaTheme="minorEastAsia" w:cstheme="minorBidi"/>
      <w:i/>
      <w:sz w:val="21"/>
      <w:szCs w:val="22"/>
      <w:lang w:val="en-US" w:eastAsia="zh-CN" w:bidi="ar-SA"/>
    </w:rPr>
  </w:style>
  <w:style w:type="character" w:styleId="707" w:customStyle="1">
    <w:name w:val="引用 Char"/>
    <w:link w:val="706"/>
    <w:uiPriority w:val="29"/>
    <w:qFormat/>
    <w:rPr>
      <w:i/>
    </w:rPr>
  </w:style>
  <w:style w:type="paragraph" w:styleId="708">
    <w:name w:val="Intense Quote"/>
    <w:link w:val="7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09" w:customStyle="1">
    <w:name w:val="明显引用 Char"/>
    <w:link w:val="708"/>
    <w:uiPriority w:val="30"/>
    <w:qFormat/>
    <w:rPr>
      <w:i/>
    </w:rPr>
  </w:style>
  <w:style w:type="character" w:styleId="710" w:customStyle="1">
    <w:name w:val="页眉 Char"/>
    <w:link w:val="677"/>
    <w:uiPriority w:val="99"/>
    <w:qFormat/>
  </w:style>
  <w:style w:type="character" w:styleId="711" w:customStyle="1">
    <w:name w:val="Footer Char"/>
    <w:link w:val="676"/>
    <w:uiPriority w:val="99"/>
    <w:qFormat/>
  </w:style>
  <w:style w:type="character" w:styleId="712" w:customStyle="1">
    <w:name w:val="页脚 Char"/>
    <w:link w:val="676"/>
    <w:uiPriority w:val="99"/>
    <w:qFormat/>
  </w:style>
  <w:style w:type="table" w:styleId="7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1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8" w:customStyle="1">
    <w:name w:val="脚注文本 Char"/>
    <w:link w:val="681"/>
    <w:uiPriority w:val="99"/>
    <w:qFormat/>
    <w:rPr>
      <w:sz w:val="18"/>
    </w:rPr>
  </w:style>
  <w:style w:type="character" w:styleId="839" w:customStyle="1">
    <w:name w:val="尾注文本 Char"/>
    <w:link w:val="675"/>
    <w:uiPriority w:val="99"/>
    <w:qFormat/>
    <w:rPr>
      <w:sz w:val="20"/>
    </w:rPr>
  </w:style>
  <w:style w:type="paragraph" w:styleId="840"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41" w:customStyle="1">
    <w:name w:val="首行缩进"/>
    <w:basedOn w:val="652"/>
    <w:uiPriority w:val="0"/>
    <w:qFormat/>
    <w:pPr>
      <w:ind w:firstLine="480"/>
    </w:pPr>
    <w:rPr>
      <w:szCs w:val="20"/>
      <w:lang w:val="zh-CN"/>
    </w:rPr>
  </w:style>
  <w:style w:type="paragraph" w:styleId="842" w:customStyle="1">
    <w:name w:val="Table Paragraph"/>
    <w:basedOn w:val="652"/>
    <w:uiPriority w:val="1"/>
    <w:qFormat/>
    <w:rPr>
      <w:sz w:val="24"/>
    </w:rPr>
  </w:style>
  <w:style w:type="character" w:styleId="843" w:customStyle="1">
    <w:name w:val="font112"/>
    <w:basedOn w:val="662"/>
    <w:uiPriority w:val="0"/>
    <w:qFormat/>
    <w:rPr>
      <w:rFonts w:hint="default" w:ascii="Times New Roman" w:hAnsi="Times New Roman" w:cs="Times New Roman"/>
      <w:color w:val="000000"/>
      <w:sz w:val="20"/>
      <w:szCs w:val="20"/>
      <w:u w:val="none"/>
      <w:vertAlign w:val="superscript"/>
    </w:rPr>
  </w:style>
  <w:style w:type="paragraph" w:styleId="844" w:customStyle="1">
    <w:name w:val="Table Text"/>
    <w:basedOn w:val="652"/>
    <w:uiPriority w:val="0"/>
    <w:semiHidden/>
    <w:qFormat/>
    <w:rPr>
      <w:rFonts w:ascii="Arial" w:hAnsi="Arial" w:eastAsia="Arial" w:cs="Arial"/>
      <w:color w:val="000000"/>
      <w:lang w:eastAsia="en-US"/>
    </w:rPr>
  </w:style>
  <w:style w:type="paragraph" w:styleId="845" w:customStyle="1">
    <w:name w:val="索引 411"/>
    <w:basedOn w:val="652"/>
    <w:next w:val="652"/>
    <w:uiPriority w:val="0"/>
    <w:qFormat/>
    <w:pPr>
      <w:ind w:left="600"/>
    </w:pPr>
    <w:rPr>
      <w:szCs w:val="24"/>
    </w:rPr>
  </w:style>
  <w:style w:type="paragraph" w:styleId="846" w:customStyle="1">
    <w:name w:val="正文文本13"/>
    <w:basedOn w:val="652"/>
    <w:uiPriority w:val="0"/>
    <w:semiHidden/>
    <w:qFormat/>
    <w:rPr>
      <w:rFonts w:ascii="宋体" w:hAnsi="宋体" w:eastAsia="宋体" w:cs="宋体"/>
      <w:sz w:val="17"/>
      <w:szCs w:val="17"/>
      <w:lang w:eastAsia="en-US"/>
    </w:rPr>
  </w:style>
  <w:style w:type="paragraph" w:styleId="847" w:customStyle="1">
    <w:name w:val="标题 311"/>
    <w:basedOn w:val="652"/>
    <w:next w:val="652"/>
    <w:uiPriority w:val="0"/>
    <w:qFormat/>
    <w:pPr>
      <w:keepLines/>
      <w:keepNext/>
      <w:spacing w:before="260" w:after="260" w:line="413" w:lineRule="auto"/>
      <w:outlineLvl w:val="2"/>
    </w:pPr>
    <w:rPr>
      <w:rFonts w:ascii="Times New Roman" w:hAnsi="Times New Roman" w:eastAsia="宋体" w:cs="Times New Roman"/>
      <w:b/>
      <w:bCs/>
      <w:sz w:val="32"/>
      <w:szCs w:val="32"/>
    </w:rPr>
  </w:style>
  <w:style w:type="paragraph" w:styleId="848" w:customStyle="1">
    <w:name w:val="页眉1"/>
    <w:basedOn w:val="652"/>
    <w:uiPriority w:val="99"/>
    <w:qFormat/>
    <w:pPr>
      <w:jc w:val="center"/>
      <w:tabs>
        <w:tab w:val="center" w:pos="4153" w:leader="none"/>
        <w:tab w:val="right" w:pos="8306" w:leader="none"/>
      </w:tabs>
      <w:pBdr>
        <w:bottom w:val="single" w:color="000000" w:sz="6" w:space="1"/>
      </w:pBdr>
    </w:pPr>
    <w:rPr>
      <w:sz w:val="18"/>
      <w:szCs w:val="18"/>
    </w:rPr>
  </w:style>
  <w:style w:type="paragraph" w:styleId="849" w:customStyle="1">
    <w:name w:val="页脚1"/>
    <w:basedOn w:val="652"/>
    <w:uiPriority w:val="99"/>
    <w:qFormat/>
    <w:pPr>
      <w:tabs>
        <w:tab w:val="center" w:pos="4153" w:leader="none"/>
        <w:tab w:val="right" w:pos="8306" w:leader="none"/>
      </w:tabs>
    </w:pPr>
    <w:rPr>
      <w:sz w:val="18"/>
      <w:szCs w:val="18"/>
    </w:rPr>
  </w:style>
  <w:style w:type="character" w:styleId="850" w:customStyle="1">
    <w:name w:val="页码1"/>
    <w:uiPriority w:val="0"/>
    <w:qFormat/>
    <w:rPr>
      <w:rFonts w:hint="default" w:asciiTheme="minorHAnsi" w:hAnsiTheme="minorHAnsi" w:eastAsiaTheme="minorEastAsia" w:cstheme="minorBidi"/>
      <w:sz w:val="21"/>
      <w:szCs w:val="22"/>
    </w:rPr>
  </w:style>
  <w:style w:type="table" w:styleId="851" w:customStyle="1">
    <w:name w:val="Table Normal"/>
    <w:uiPriority w:val="0"/>
    <w:qFormat/>
    <w:tblPr>
      <w:tblCellMar>
        <w:left w:w="0" w:type="dxa"/>
        <w:top w:w="0" w:type="dxa"/>
        <w:right w:w="0" w:type="dxa"/>
        <w:bottom w:w="0" w:type="dxa"/>
      </w:tblCellMar>
    </w:tblPr>
  </w:style>
  <w:style w:type="paragraph" w:styleId="852" w:customStyle="1">
    <w:name w:val="纯文本1"/>
    <w:basedOn w:val="652"/>
    <w:uiPriority w:val="0"/>
    <w:qFormat/>
    <w:rPr>
      <w:rFonts w:ascii="宋体" w:hAnsi="Courier New" w:cs="Courier New"/>
    </w:rPr>
  </w:style>
  <w:style w:type="paragraph" w:styleId="853" w:customStyle="1">
    <w:name w:val="纯文本11"/>
    <w:basedOn w:val="652"/>
    <w:uiPriority w:val="0"/>
    <w:qFormat/>
    <w:rPr>
      <w:rFonts w:ascii="宋体" w:hAnsi="Courier New"/>
      <w:sz w:val="20"/>
    </w:rPr>
  </w:style>
  <w:style w:type="paragraph" w:styleId="854" w:customStyle="1">
    <w:name w:val="索引 41"/>
    <w:basedOn w:val="652"/>
    <w:next w:val="652"/>
    <w:uiPriority w:val="0"/>
    <w:semiHidden/>
    <w:qFormat/>
    <w:pPr>
      <w:ind w:left="1260"/>
    </w:pPr>
    <w:rPr>
      <w:rFonts w:ascii="Calibri" w:hAnsi="Calibri" w:eastAsia="Calibri" w:cs="宋体"/>
      <w:sz w:val="20"/>
      <w:lang w:val="zh-CN"/>
    </w:rPr>
  </w:style>
  <w:style w:type="numbering" w:styleId="8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马荣维</cp:lastModifiedBy>
  <cp:revision>12</cp:revision>
  <dcterms:created xsi:type="dcterms:W3CDTF">2026-10-23T02:59:00Z</dcterms:created>
  <dcterms:modified xsi:type="dcterms:W3CDTF">2026-10-28T02:52:33Z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eyJoZGlkIjoiZTQ0NzdjMmFhNWNmMzcxNjBhYzAwOWJmNzhkZTY1ZjUiLCJ1c2VySWQiOiI2NzY4NjQyNjAifQ==</vt:lpwstr>
  </property>
  <property fmtid="{D5CDD505-2E9C-101B-9397-08002B2CF9AE}" pid="3" name="KSOProductBuildVer">
    <vt:lpwstr>2052-12.1.0.28505</vt:lpwstr>
  </property>
  <property fmtid="{D5CDD505-2E9C-101B-9397-08002B2CF9AE}" pid="4" name="ICV">
    <vt:lpwstr>9BEF0C14B8054B339BD2A6162A82A9EE_13</vt:lpwstr>
  </property>
</Properties>
</file>