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5BFD4">
      <w:pPr>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江苏食品药品职业技术学院采购合同</w:t>
      </w:r>
    </w:p>
    <w:p w14:paraId="2B466681">
      <w:pPr>
        <w:shd w:val="clear" w:color="auto" w:fill="FFFFFF"/>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合同编号：</w:t>
      </w:r>
    </w:p>
    <w:p w14:paraId="4B262861">
      <w:pPr>
        <w:shd w:val="clear" w:color="auto" w:fill="FFFFFF"/>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项目编号： JSZC-320800-JZCG-G2026-0044</w:t>
      </w:r>
    </w:p>
    <w:tbl>
      <w:tblPr>
        <w:tblStyle w:val="7"/>
        <w:tblW w:w="4999" w:type="pct"/>
        <w:tblInd w:w="0" w:type="dxa"/>
        <w:shd w:val="clear" w:color="auto" w:fill="FFFFFF"/>
        <w:tblLayout w:type="autofit"/>
        <w:tblCellMar>
          <w:top w:w="0" w:type="dxa"/>
          <w:left w:w="108" w:type="dxa"/>
          <w:bottom w:w="0" w:type="dxa"/>
          <w:right w:w="108" w:type="dxa"/>
        </w:tblCellMar>
      </w:tblPr>
      <w:tblGrid>
        <w:gridCol w:w="4269"/>
        <w:gridCol w:w="4251"/>
      </w:tblGrid>
      <w:tr w14:paraId="6F95AC5D">
        <w:tblPrEx>
          <w:shd w:val="clear" w:color="auto" w:fill="FFFFFF"/>
          <w:tblCellMar>
            <w:top w:w="0" w:type="dxa"/>
            <w:left w:w="108" w:type="dxa"/>
            <w:bottom w:w="0" w:type="dxa"/>
            <w:right w:w="108" w:type="dxa"/>
          </w:tblCellMar>
        </w:tblPrEx>
        <w:trPr>
          <w:trHeight w:val="1242" w:hRule="atLeast"/>
        </w:trPr>
        <w:tc>
          <w:tcPr>
            <w:tcW w:w="2505" w:type="pct"/>
            <w:tcBorders>
              <w:top w:val="nil"/>
              <w:left w:val="nil"/>
              <w:bottom w:val="nil"/>
              <w:right w:val="nil"/>
            </w:tcBorders>
            <w:shd w:val="clear" w:color="auto" w:fill="FFFFFF"/>
            <w:noWrap w:val="0"/>
            <w:tcMar>
              <w:top w:w="0" w:type="dxa"/>
              <w:left w:w="108" w:type="dxa"/>
              <w:bottom w:w="0" w:type="dxa"/>
              <w:right w:w="108" w:type="dxa"/>
            </w:tcMar>
            <w:vAlign w:val="top"/>
          </w:tcPr>
          <w:p w14:paraId="0DE658D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采购人（以下称甲方）：江苏食品药品职业技术学院</w:t>
            </w:r>
          </w:p>
        </w:tc>
        <w:tc>
          <w:tcPr>
            <w:tcW w:w="2494" w:type="pct"/>
            <w:tcBorders>
              <w:top w:val="nil"/>
              <w:left w:val="nil"/>
              <w:bottom w:val="nil"/>
              <w:right w:val="nil"/>
            </w:tcBorders>
            <w:shd w:val="clear" w:color="auto" w:fill="FFFFFF"/>
            <w:noWrap w:val="0"/>
            <w:tcMar>
              <w:top w:w="0" w:type="dxa"/>
              <w:left w:w="108" w:type="dxa"/>
              <w:bottom w:w="0" w:type="dxa"/>
              <w:right w:w="108" w:type="dxa"/>
            </w:tcMar>
            <w:vAlign w:val="top"/>
          </w:tcPr>
          <w:p w14:paraId="1FF95559">
            <w:pPr>
              <w:spacing w:line="360" w:lineRule="auto"/>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供应商：（以下称乙方）</w:t>
            </w:r>
            <w:r>
              <w:rPr>
                <w:rFonts w:hint="eastAsia" w:ascii="仿宋" w:hAnsi="仿宋" w:eastAsia="仿宋" w:cs="仿宋"/>
                <w:color w:val="auto"/>
                <w:sz w:val="24"/>
                <w:szCs w:val="24"/>
                <w:highlight w:val="none"/>
                <w:lang w:val="en-US" w:eastAsia="zh-CN"/>
              </w:rPr>
              <w:t>:山东满天星信息科技有限公司</w:t>
            </w:r>
          </w:p>
        </w:tc>
      </w:tr>
      <w:tr w14:paraId="70F3BF48">
        <w:tblPrEx>
          <w:tblCellMar>
            <w:top w:w="0" w:type="dxa"/>
            <w:left w:w="108" w:type="dxa"/>
            <w:bottom w:w="0" w:type="dxa"/>
            <w:right w:w="108" w:type="dxa"/>
          </w:tblCellMar>
        </w:tblPrEx>
        <w:trPr>
          <w:trHeight w:val="993" w:hRule="atLeast"/>
        </w:trPr>
        <w:tc>
          <w:tcPr>
            <w:tcW w:w="2505" w:type="pct"/>
            <w:tcBorders>
              <w:top w:val="nil"/>
              <w:left w:val="nil"/>
              <w:bottom w:val="nil"/>
              <w:right w:val="nil"/>
            </w:tcBorders>
            <w:shd w:val="clear" w:color="auto" w:fill="FFFFFF"/>
            <w:noWrap w:val="0"/>
            <w:tcMar>
              <w:top w:w="0" w:type="dxa"/>
              <w:left w:w="108" w:type="dxa"/>
              <w:bottom w:w="0" w:type="dxa"/>
              <w:right w:w="108" w:type="dxa"/>
            </w:tcMar>
            <w:vAlign w:val="top"/>
          </w:tcPr>
          <w:p w14:paraId="4F604D28">
            <w:pPr>
              <w:spacing w:line="360" w:lineRule="auto"/>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住所地：</w:t>
            </w:r>
            <w:r>
              <w:rPr>
                <w:rFonts w:hint="eastAsia" w:ascii="仿宋" w:hAnsi="仿宋" w:eastAsia="仿宋" w:cs="仿宋"/>
                <w:color w:val="auto"/>
                <w:sz w:val="24"/>
                <w:szCs w:val="24"/>
                <w:highlight w:val="none"/>
                <w:lang w:val="en-US" w:eastAsia="zh-CN"/>
              </w:rPr>
              <w:t>江苏省淮安市清江浦区高教园区枚乘路4号</w:t>
            </w:r>
          </w:p>
        </w:tc>
        <w:tc>
          <w:tcPr>
            <w:tcW w:w="2494" w:type="pct"/>
            <w:tcBorders>
              <w:top w:val="nil"/>
              <w:left w:val="nil"/>
              <w:bottom w:val="nil"/>
              <w:right w:val="nil"/>
            </w:tcBorders>
            <w:shd w:val="clear" w:color="auto" w:fill="FFFFFF"/>
            <w:noWrap w:val="0"/>
            <w:tcMar>
              <w:top w:w="0" w:type="dxa"/>
              <w:left w:w="108" w:type="dxa"/>
              <w:bottom w:w="0" w:type="dxa"/>
              <w:right w:w="108" w:type="dxa"/>
            </w:tcMar>
            <w:vAlign w:val="top"/>
          </w:tcPr>
          <w:p w14:paraId="4E9AFD74">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住所地：山东省济南市历下区经十路13777号中润世纪城13号楼901</w:t>
            </w:r>
          </w:p>
        </w:tc>
      </w:tr>
    </w:tbl>
    <w:p w14:paraId="5DA906EF">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根据《中华人民共和国政府采购法》《中华人民共和国民法典》等法律法规的规定，甲乙双方按照采购方的采购结果签订本合同。</w:t>
      </w:r>
    </w:p>
    <w:p w14:paraId="7DF7B25A">
      <w:pPr>
        <w:shd w:val="clear" w:color="auto" w:fill="FFFFFF"/>
        <w:spacing w:line="360" w:lineRule="auto"/>
        <w:ind w:firstLine="422"/>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第一条</w:t>
      </w:r>
      <w:r>
        <w:rPr>
          <w:rFonts w:hint="eastAsia" w:ascii="仿宋" w:hAnsi="仿宋" w:eastAsia="仿宋" w:cs="仿宋"/>
          <w:b/>
          <w:bCs/>
          <w:color w:val="auto"/>
          <w:sz w:val="28"/>
          <w:szCs w:val="28"/>
          <w:highlight w:val="none"/>
          <w:lang w:eastAsia="zh-CN"/>
        </w:rPr>
        <w:t xml:space="preserve"> </w:t>
      </w:r>
      <w:r>
        <w:rPr>
          <w:rFonts w:hint="eastAsia" w:ascii="仿宋" w:hAnsi="仿宋" w:eastAsia="仿宋" w:cs="仿宋"/>
          <w:b/>
          <w:bCs/>
          <w:color w:val="auto"/>
          <w:sz w:val="28"/>
          <w:szCs w:val="28"/>
          <w:highlight w:val="none"/>
        </w:rPr>
        <w:t>合同标的</w:t>
      </w:r>
    </w:p>
    <w:p w14:paraId="0714B62F">
      <w:pPr>
        <w:shd w:val="clear" w:color="auto" w:fill="FFFFFF"/>
        <w:spacing w:line="360" w:lineRule="auto"/>
        <w:ind w:firstLine="422"/>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乙方根据甲方要求提供下列货物：</w:t>
      </w:r>
    </w:p>
    <w:tbl>
      <w:tblPr>
        <w:tblStyle w:val="7"/>
        <w:tblW w:w="8695" w:type="dxa"/>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05"/>
        <w:gridCol w:w="1380"/>
        <w:gridCol w:w="825"/>
        <w:gridCol w:w="1005"/>
        <w:gridCol w:w="1470"/>
        <w:gridCol w:w="565"/>
        <w:gridCol w:w="830"/>
        <w:gridCol w:w="1011"/>
        <w:gridCol w:w="1104"/>
      </w:tblGrid>
      <w:tr w14:paraId="7936EF4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44" w:hRule="atLeast"/>
          <w:jc w:val="center"/>
        </w:trPr>
        <w:tc>
          <w:tcPr>
            <w:tcW w:w="5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DEB82D">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38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A22AC65">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产品名称</w:t>
            </w:r>
          </w:p>
        </w:tc>
        <w:tc>
          <w:tcPr>
            <w:tcW w:w="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CFAE2D">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品牌</w:t>
            </w:r>
          </w:p>
        </w:tc>
        <w:tc>
          <w:tcPr>
            <w:tcW w:w="10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3C5903">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规格型号</w:t>
            </w:r>
          </w:p>
        </w:tc>
        <w:tc>
          <w:tcPr>
            <w:tcW w:w="1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E098B8">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制造商名称</w:t>
            </w:r>
          </w:p>
        </w:tc>
        <w:tc>
          <w:tcPr>
            <w:tcW w:w="56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E2CB712">
            <w:pPr>
              <w:pStyle w:val="11"/>
              <w:keepNext w:val="0"/>
              <w:keepLines w:val="0"/>
              <w:pageBreakBefore w:val="0"/>
              <w:pBdr>
                <w:top w:val="none" w:color="000000" w:sz="0" w:space="0"/>
                <w:left w:val="none" w:color="000000" w:sz="0" w:space="0"/>
                <w:bottom w:val="none" w:color="000000" w:sz="0" w:space="0"/>
                <w:right w:val="none" w:color="000000" w:sz="0" w:space="0"/>
              </w:pBdr>
              <w:tabs>
                <w:tab w:val="left" w:pos="319"/>
              </w:tabs>
              <w:spacing w:line="340" w:lineRule="exact"/>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产地</w:t>
            </w:r>
          </w:p>
        </w:tc>
        <w:tc>
          <w:tcPr>
            <w:tcW w:w="83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D1427B2">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01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87BBB1">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单价</w:t>
            </w:r>
          </w:p>
        </w:tc>
        <w:tc>
          <w:tcPr>
            <w:tcW w:w="11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318E919">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r>
      <w:tr w14:paraId="1DF0A74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184" w:hRule="atLeast"/>
          <w:jc w:val="center"/>
        </w:trPr>
        <w:tc>
          <w:tcPr>
            <w:tcW w:w="5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DE2B11">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B4C7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制药设备虚拟仿真系统</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9939D39">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满天星</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EA5D7A7">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mtx-xnfz1.0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AB48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山东满天星信息科技有限公司</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58FAABC">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山东</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EADEFBF">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rPr>
              <w:t>1</w:t>
            </w:r>
            <w:r>
              <w:rPr>
                <w:rFonts w:hint="eastAsia" w:ascii="仿宋" w:hAnsi="仿宋" w:eastAsia="仿宋" w:cs="仿宋"/>
                <w:bCs/>
                <w:color w:val="auto"/>
                <w:sz w:val="24"/>
                <w:szCs w:val="24"/>
                <w:highlight w:val="none"/>
                <w:lang w:val="en-US" w:eastAsia="zh-CN"/>
              </w:rPr>
              <w:t>项</w:t>
            </w:r>
          </w:p>
        </w:tc>
        <w:tc>
          <w:tcPr>
            <w:tcW w:w="101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C489DB3">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478000</w:t>
            </w:r>
          </w:p>
        </w:tc>
        <w:tc>
          <w:tcPr>
            <w:tcW w:w="11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94A008">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478000</w:t>
            </w:r>
          </w:p>
        </w:tc>
      </w:tr>
      <w:tr w14:paraId="15E0A86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96" w:hRule="atLeast"/>
          <w:jc w:val="center"/>
        </w:trPr>
        <w:tc>
          <w:tcPr>
            <w:tcW w:w="5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669FC59">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C9E5D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制药SCADA平台</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3444E8F">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UTIONS</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E99671B">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UTIONS-SCADA</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1AF6B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江苏中有信科技有限公司</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BFB9223">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江苏</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A9D4E6E">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rPr>
              <w:t>1项</w:t>
            </w:r>
          </w:p>
        </w:tc>
        <w:tc>
          <w:tcPr>
            <w:tcW w:w="101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95509EB">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50000</w:t>
            </w:r>
          </w:p>
        </w:tc>
        <w:tc>
          <w:tcPr>
            <w:tcW w:w="11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1055ED">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50000</w:t>
            </w:r>
          </w:p>
        </w:tc>
      </w:tr>
      <w:tr w14:paraId="2DFE492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724" w:hRule="atLeast"/>
          <w:jc w:val="center"/>
        </w:trPr>
        <w:tc>
          <w:tcPr>
            <w:tcW w:w="5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95E289">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81E92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VR眼镜系统</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E73B76F">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PICO</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5ABE77FE">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PICO_4_Ultra_Enterprise</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22496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青岛创见未来科技有限公司</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0EEA15F">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山东</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37D64EE2">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rPr>
              <w:t>15套</w:t>
            </w:r>
          </w:p>
        </w:tc>
        <w:tc>
          <w:tcPr>
            <w:tcW w:w="101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617492">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7500</w:t>
            </w:r>
          </w:p>
        </w:tc>
        <w:tc>
          <w:tcPr>
            <w:tcW w:w="11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8E5ECE4">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112500</w:t>
            </w:r>
          </w:p>
        </w:tc>
      </w:tr>
      <w:tr w14:paraId="7220A5E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jc w:val="center"/>
        </w:trPr>
        <w:tc>
          <w:tcPr>
            <w:tcW w:w="5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AF0F44E">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89FB3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桌面三维交互设备</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A879C7E">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VVOXEL</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7440E6D3">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rPr>
              <w:t>X5-T4</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A652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深圳市智来教育科技有限公司</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530DE6A">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广东</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45004265">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rPr>
              <w:t>2套</w:t>
            </w:r>
          </w:p>
        </w:tc>
        <w:tc>
          <w:tcPr>
            <w:tcW w:w="101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2CB17B">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42000</w:t>
            </w:r>
          </w:p>
        </w:tc>
        <w:tc>
          <w:tcPr>
            <w:tcW w:w="11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3631EE">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84000</w:t>
            </w:r>
          </w:p>
        </w:tc>
      </w:tr>
      <w:tr w14:paraId="4252892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jc w:val="center"/>
        </w:trPr>
        <w:tc>
          <w:tcPr>
            <w:tcW w:w="50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173EFE9">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58BC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制药设备实体模型</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FFF2C68">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满天星</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2E081970">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定制</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10FF3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山东满天星信息科技有限公司</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0A9B1AB4">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rPr>
              <w:t>山东</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0" w:type="dxa"/>
              <w:left w:w="108" w:type="dxa"/>
              <w:bottom w:w="0" w:type="dxa"/>
              <w:right w:w="108" w:type="dxa"/>
            </w:tcMar>
            <w:vAlign w:val="center"/>
          </w:tcPr>
          <w:p w14:paraId="61D2146E">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rPr>
              <w:t>7套</w:t>
            </w:r>
          </w:p>
        </w:tc>
        <w:tc>
          <w:tcPr>
            <w:tcW w:w="101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FCC75DE">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3500</w:t>
            </w:r>
          </w:p>
        </w:tc>
        <w:tc>
          <w:tcPr>
            <w:tcW w:w="11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1DEFED2">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24500</w:t>
            </w:r>
          </w:p>
        </w:tc>
      </w:tr>
      <w:tr w14:paraId="0536085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40" w:hRule="atLeast"/>
          <w:jc w:val="center"/>
        </w:trPr>
        <w:tc>
          <w:tcPr>
            <w:tcW w:w="6580" w:type="dxa"/>
            <w:gridSpan w:val="7"/>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7FC47E">
            <w:pPr>
              <w:keepNext w:val="0"/>
              <w:keepLines w:val="0"/>
              <w:suppressLineNumbers w:val="0"/>
              <w:spacing w:before="0" w:beforeAutospacing="0" w:after="0" w:afterAutospacing="0" w:line="360" w:lineRule="auto"/>
              <w:ind w:left="0" w:leftChars="0" w:right="0" w:rightChars="0"/>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合计</w:t>
            </w:r>
          </w:p>
        </w:tc>
        <w:tc>
          <w:tcPr>
            <w:tcW w:w="2115"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78BF71D">
            <w:pPr>
              <w:pStyle w:val="11"/>
              <w:keepNext w:val="0"/>
              <w:keepLines w:val="0"/>
              <w:pageBreakBefore w:val="0"/>
              <w:pBdr>
                <w:top w:val="none" w:color="000000" w:sz="0" w:space="0"/>
                <w:left w:val="none" w:color="000000" w:sz="0" w:space="0"/>
                <w:bottom w:val="none" w:color="000000" w:sz="0" w:space="0"/>
                <w:right w:val="none" w:color="000000" w:sz="0" w:space="0"/>
              </w:pBdr>
              <w:spacing w:line="340" w:lineRule="exact"/>
              <w:jc w:val="center"/>
              <w:outlineLvl w:val="9"/>
              <w:rPr>
                <w:rFonts w:hint="default" w:ascii="仿宋" w:hAnsi="仿宋" w:eastAsia="仿宋" w:cs="仿宋"/>
                <w:color w:val="auto"/>
                <w:sz w:val="24"/>
                <w:szCs w:val="24"/>
                <w:highlight w:val="none"/>
                <w:lang w:val="en-US" w:eastAsia="zh-CN"/>
              </w:rPr>
            </w:pPr>
            <w:r>
              <w:rPr>
                <w:rFonts w:hint="default" w:ascii="Arial" w:hAnsi="Arial" w:eastAsia="仿宋" w:cs="Arial"/>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749000.00</w:t>
            </w:r>
          </w:p>
        </w:tc>
      </w:tr>
    </w:tbl>
    <w:p w14:paraId="34F306AB">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第二条</w:t>
      </w:r>
      <w:r>
        <w:rPr>
          <w:rFonts w:hint="eastAsia" w:ascii="仿宋" w:hAnsi="仿宋" w:eastAsia="仿宋" w:cs="仿宋"/>
          <w:b/>
          <w:bCs/>
          <w:color w:val="auto"/>
          <w:sz w:val="28"/>
          <w:szCs w:val="28"/>
          <w:highlight w:val="none"/>
          <w:lang w:eastAsia="zh-CN"/>
        </w:rPr>
        <w:t xml:space="preserve"> </w:t>
      </w:r>
      <w:r>
        <w:rPr>
          <w:rFonts w:hint="eastAsia" w:ascii="仿宋" w:hAnsi="仿宋" w:eastAsia="仿宋" w:cs="仿宋"/>
          <w:b/>
          <w:bCs/>
          <w:color w:val="auto"/>
          <w:sz w:val="28"/>
          <w:szCs w:val="28"/>
          <w:highlight w:val="none"/>
        </w:rPr>
        <w:t>合同总价款</w:t>
      </w:r>
    </w:p>
    <w:p w14:paraId="206A717A">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本合同项下货物总价款为</w:t>
      </w:r>
      <w:r>
        <w:rPr>
          <w:rFonts w:hint="eastAsia" w:ascii="仿宋" w:hAnsi="仿宋" w:eastAsia="仿宋" w:cs="仿宋"/>
          <w:color w:val="auto"/>
          <w:sz w:val="28"/>
          <w:szCs w:val="28"/>
          <w:highlight w:val="none"/>
          <w:u w:val="single"/>
          <w:lang w:val="en-US" w:eastAsia="zh-CN"/>
        </w:rPr>
        <w:t>人民币柒拾肆万玖仟元整</w:t>
      </w:r>
      <w:r>
        <w:rPr>
          <w:rFonts w:hint="eastAsia" w:ascii="仿宋" w:hAnsi="仿宋" w:eastAsia="仿宋" w:cs="仿宋"/>
          <w:color w:val="auto"/>
          <w:sz w:val="28"/>
          <w:szCs w:val="28"/>
          <w:highlight w:val="none"/>
        </w:rPr>
        <w:t>（大写），分项价款在</w:t>
      </w:r>
      <w:r>
        <w:rPr>
          <w:rFonts w:hint="eastAsia" w:ascii="仿宋" w:hAnsi="仿宋" w:eastAsia="仿宋" w:cs="仿宋"/>
          <w:color w:val="auto"/>
          <w:sz w:val="28"/>
          <w:szCs w:val="28"/>
          <w:highlight w:val="none"/>
          <w:lang w:val="en-US" w:eastAsia="zh-CN"/>
        </w:rPr>
        <w:t>本合同第一条</w:t>
      </w:r>
      <w:r>
        <w:rPr>
          <w:rFonts w:hint="eastAsia" w:ascii="仿宋" w:hAnsi="仿宋" w:eastAsia="仿宋" w:cs="仿宋"/>
          <w:color w:val="auto"/>
          <w:sz w:val="28"/>
          <w:szCs w:val="28"/>
          <w:highlight w:val="none"/>
        </w:rPr>
        <w:t>中有明确规定。</w:t>
      </w:r>
    </w:p>
    <w:p w14:paraId="1562CE79">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甲方就本合同不再向乙方支付任何其他款项。</w:t>
      </w:r>
    </w:p>
    <w:p w14:paraId="0CE4A2E5">
      <w:pPr>
        <w:shd w:val="clear" w:color="auto" w:fill="FFFFFF"/>
        <w:spacing w:line="360" w:lineRule="auto"/>
        <w:ind w:firstLine="551"/>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第三条 组成本合同的有关文件</w:t>
      </w:r>
      <w:r>
        <w:rPr>
          <w:rFonts w:hint="eastAsia" w:ascii="仿宋" w:hAnsi="仿宋" w:eastAsia="仿宋" w:cs="仿宋"/>
          <w:color w:val="auto"/>
          <w:sz w:val="28"/>
          <w:szCs w:val="28"/>
          <w:highlight w:val="none"/>
        </w:rPr>
        <w:t>  </w:t>
      </w:r>
    </w:p>
    <w:p w14:paraId="2EA95E64">
      <w:pPr>
        <w:shd w:val="clear" w:color="auto" w:fill="FFFFFF"/>
        <w:spacing w:line="360" w:lineRule="auto"/>
        <w:ind w:firstLine="548"/>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采购文件和有关附件是本合同不可分割的组成部分，与本合同具有同等法律效力。</w:t>
      </w:r>
    </w:p>
    <w:p w14:paraId="4C03203F">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第四条 权利保证</w:t>
      </w:r>
    </w:p>
    <w:p w14:paraId="469D2033">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乙方应保证为甲方提供货物和服务任何一部分时不受第三方提出侵犯其专利权、版权、商标权或其他权利的起诉。一旦出现侵权，乙方应承担全部责任。</w:t>
      </w:r>
    </w:p>
    <w:p w14:paraId="54280525">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第五条 质量保证</w:t>
      </w:r>
    </w:p>
    <w:p w14:paraId="1799CBD3">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乙方提供的货物、软件系统、改造施工、配套服务必须全部达到采购文件各项要求，国家或行业有规定的，还要符合相应规定。</w:t>
      </w:r>
    </w:p>
    <w:p w14:paraId="2E76D3AA">
      <w:pPr>
        <w:shd w:val="clear" w:color="auto" w:fill="FFFFFF"/>
        <w:spacing w:line="360" w:lineRule="auto"/>
        <w:ind w:firstLine="42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质保约定</w:t>
      </w:r>
      <w:r>
        <w:rPr>
          <w:rFonts w:hint="eastAsia" w:ascii="仿宋" w:hAnsi="仿宋" w:eastAsia="仿宋" w:cs="仿宋"/>
          <w:color w:val="auto"/>
          <w:sz w:val="28"/>
          <w:szCs w:val="28"/>
          <w:highlight w:val="none"/>
          <w:lang w:eastAsia="zh-CN"/>
        </w:rPr>
        <w:t>：</w:t>
      </w:r>
    </w:p>
    <w:p w14:paraId="3F715364">
      <w:pPr>
        <w:numPr>
          <w:ilvl w:val="0"/>
          <w:numId w:val="1"/>
        </w:numPr>
        <w:shd w:val="clear" w:color="auto" w:fill="FFFFFF"/>
        <w:spacing w:line="360" w:lineRule="auto"/>
        <w:ind w:left="560" w:leftChars="0" w:firstLine="0" w:firstLineChars="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设备</w:t>
      </w:r>
      <w:r>
        <w:rPr>
          <w:rFonts w:hint="eastAsia" w:ascii="仿宋" w:hAnsi="仿宋" w:eastAsia="仿宋" w:cs="仿宋"/>
          <w:color w:val="auto"/>
          <w:sz w:val="28"/>
          <w:szCs w:val="28"/>
          <w:highlight w:val="none"/>
        </w:rPr>
        <w:t>质保</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 xml:space="preserve">年；质保期内免费提供正常使用的易损件和备件，售后服务8小时内响应；智能设备质保期内出现质量问题免费调换。 </w:t>
      </w:r>
    </w:p>
    <w:p w14:paraId="110FA472">
      <w:pPr>
        <w:numPr>
          <w:ilvl w:val="0"/>
          <w:numId w:val="1"/>
        </w:numPr>
        <w:shd w:val="clear" w:color="auto" w:fill="FFFFFF"/>
        <w:spacing w:line="360" w:lineRule="auto"/>
        <w:ind w:left="560" w:leftChars="0" w:firstLine="0" w:firstLineChars="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软件系统提供终身免费升级服务。 </w:t>
      </w:r>
    </w:p>
    <w:p w14:paraId="2F90BD9A">
      <w:pPr>
        <w:numPr>
          <w:ilvl w:val="0"/>
          <w:numId w:val="1"/>
        </w:numPr>
        <w:shd w:val="clear" w:color="auto" w:fill="FFFFFF"/>
        <w:spacing w:line="360" w:lineRule="auto"/>
        <w:ind w:left="560" w:leftChars="0" w:firstLine="0" w:firstLineChars="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质保期满后，设备发生故障，乙方提供终身维修服务，上门维修不收取任何上门维修费、人工费，仅据实收取设备维修所需的材料成本费用</w:t>
      </w:r>
      <w:r>
        <w:rPr>
          <w:rFonts w:hint="eastAsia" w:ascii="仿宋" w:hAnsi="仿宋" w:eastAsia="仿宋" w:cs="仿宋"/>
          <w:color w:val="auto"/>
          <w:sz w:val="28"/>
          <w:szCs w:val="28"/>
          <w:highlight w:val="none"/>
          <w:lang w:eastAsia="zh-CN"/>
        </w:rPr>
        <w:t>。</w:t>
      </w:r>
    </w:p>
    <w:p w14:paraId="04EE819C">
      <w:pPr>
        <w:shd w:val="clear" w:color="auto" w:fill="FFFFFF"/>
        <w:spacing w:line="360" w:lineRule="auto"/>
        <w:ind w:firstLine="420"/>
        <w:jc w:val="left"/>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第六条 交付使用和验收</w:t>
      </w:r>
    </w:p>
    <w:p w14:paraId="42C94ED3">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合同履行期限：合同签订后60天内完成本项目全部采购内容，完成施工改造、供货、安装调试、培训，交付甲方使用。</w:t>
      </w:r>
    </w:p>
    <w:p w14:paraId="2785EE82">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交付地点：江苏食品药品职业技术学院制药工程虚实一体化实践教学教室现场。</w:t>
      </w:r>
    </w:p>
    <w:p w14:paraId="057A114F">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甲方自行组织或视情邀请相关专家或国家认可的质量检测机构参加验收，乙方提供的服务不符合采购文件和合同规定的，甲方有权拒收，</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并承担验收费用等。</w:t>
      </w:r>
    </w:p>
    <w:p w14:paraId="42211934">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七</w:t>
      </w:r>
      <w:r>
        <w:rPr>
          <w:rFonts w:hint="eastAsia" w:ascii="仿宋" w:hAnsi="仿宋" w:eastAsia="仿宋" w:cs="仿宋"/>
          <w:b/>
          <w:bCs/>
          <w:color w:val="auto"/>
          <w:sz w:val="28"/>
          <w:szCs w:val="28"/>
          <w:highlight w:val="none"/>
        </w:rPr>
        <w:t>条 合同款支付</w:t>
      </w:r>
    </w:p>
    <w:p w14:paraId="67EF773E">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1、本合同项下所有款项均以人民币支付。</w:t>
      </w:r>
    </w:p>
    <w:p w14:paraId="6EB9E2C2">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2、本合同项下的采购资金由甲方自行支付，乙方应当在项目验收合格后向甲方开具合法合规全额发票。</w:t>
      </w:r>
    </w:p>
    <w:p w14:paraId="3DACE26C">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3、付款方式：经甲方验收合格，甲方收到乙方合规发票后</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个工作日内支付合同全款</w:t>
      </w:r>
      <w:r>
        <w:rPr>
          <w:rFonts w:hint="eastAsia" w:ascii="仿宋" w:hAnsi="仿宋" w:eastAsia="仿宋" w:cs="仿宋"/>
          <w:color w:val="auto"/>
          <w:sz w:val="28"/>
          <w:szCs w:val="28"/>
          <w:highlight w:val="none"/>
          <w:lang w:val="en-US" w:eastAsia="zh-CN"/>
        </w:rPr>
        <w:t>人民币柒拾肆万玖仟元整（小写：</w:t>
      </w:r>
      <w:r>
        <w:rPr>
          <w:rFonts w:hint="default" w:ascii="Arial" w:hAnsi="Arial" w:eastAsia="仿宋" w:cs="Arial"/>
          <w:color w:val="auto"/>
          <w:sz w:val="28"/>
          <w:szCs w:val="28"/>
          <w:highlight w:val="none"/>
          <w:lang w:val="en-US" w:eastAsia="zh-CN"/>
        </w:rPr>
        <w:t>¥</w:t>
      </w:r>
      <w:r>
        <w:rPr>
          <w:rFonts w:hint="eastAsia" w:ascii="仿宋" w:hAnsi="仿宋" w:eastAsia="仿宋" w:cs="仿宋"/>
          <w:color w:val="auto"/>
          <w:sz w:val="28"/>
          <w:szCs w:val="28"/>
          <w:highlight w:val="none"/>
        </w:rPr>
        <w:t>74</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000</w:t>
      </w:r>
      <w:r>
        <w:rPr>
          <w:rFonts w:hint="eastAsia" w:ascii="仿宋" w:hAnsi="仿宋" w:eastAsia="仿宋" w:cs="仿宋"/>
          <w:color w:val="auto"/>
          <w:sz w:val="28"/>
          <w:szCs w:val="28"/>
          <w:highlight w:val="none"/>
          <w:lang w:val="en-US" w:eastAsia="zh-CN"/>
        </w:rPr>
        <w:t>.00）</w:t>
      </w:r>
      <w:r>
        <w:rPr>
          <w:rFonts w:hint="eastAsia" w:ascii="仿宋" w:hAnsi="仿宋" w:eastAsia="仿宋" w:cs="仿宋"/>
          <w:color w:val="auto"/>
          <w:sz w:val="28"/>
          <w:szCs w:val="28"/>
          <w:highlight w:val="none"/>
        </w:rPr>
        <w:t>。</w:t>
      </w:r>
    </w:p>
    <w:p w14:paraId="43857B83">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八</w:t>
      </w:r>
      <w:r>
        <w:rPr>
          <w:rFonts w:hint="eastAsia" w:ascii="仿宋" w:hAnsi="仿宋" w:eastAsia="仿宋" w:cs="仿宋"/>
          <w:b/>
          <w:bCs/>
          <w:color w:val="auto"/>
          <w:sz w:val="28"/>
          <w:szCs w:val="28"/>
          <w:highlight w:val="none"/>
        </w:rPr>
        <w:t>条 违约责任  </w:t>
      </w:r>
    </w:p>
    <w:p w14:paraId="50E7C6AC">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１、甲方无正当理由拒绝验收或拒付款的，甲方向乙方偿付合同总价的5%违约金。</w:t>
      </w:r>
    </w:p>
    <w:p w14:paraId="711903B4">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２、甲方未按合同规定的期限向乙方支付合同款的，每逾期1天甲方向乙方偿付欠款总额的5‰滞纳金，但累计滞纳金总额不超过欠款总额的5% 。</w:t>
      </w:r>
    </w:p>
    <w:p w14:paraId="4A37ABF7">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３、如乙方不能按期交付服务的，甲方有权扣留全部履约保证金；同时乙方应向甲方支付合同总价5%的违约金。</w:t>
      </w:r>
    </w:p>
    <w:p w14:paraId="17D70640">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４、乙方逾期交付的，每逾期1天，乙方向甲方偿付合同总额的5‰的滞纳金。如乙方逾期交付达10天，甲方有权解除合同，解除合同的通知自到达乙方时生效。乙方逾期交付的，今后参加政府采购信誉将受到影响。</w:t>
      </w:r>
    </w:p>
    <w:p w14:paraId="71E85E5E">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5、乙方在承担违约责任后，仍应继续履行合同规定的义务（甲方解除合同的除外）。甲方未能及时追究乙方的任何一项违约责任并不表明甲方放弃追究乙方该项或其他违约责任。</w:t>
      </w:r>
    </w:p>
    <w:p w14:paraId="38915FCF">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6、乙方虚假承诺，或经权威部门检测提供的货物和服务不能满足采购文件要求，或是由于乙方的过错造成合同无法继续履行的，乙方履约保证金不予退还外，还应向甲方支付不少于合同总价30%赔偿金。</w:t>
      </w:r>
    </w:p>
    <w:p w14:paraId="492C22A4">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第十条 合同的变更和终止</w:t>
      </w:r>
    </w:p>
    <w:p w14:paraId="445FCB3D">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1、除《政府采购法》第50条第二款规定的情形外，本合同一经签订，甲乙双方不得擅自变更、中止或终止合同。</w:t>
      </w:r>
    </w:p>
    <w:p w14:paraId="0BDE559E">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2、除发生法律规定的不能预见、不能避免并不能克服的客观情况外，甲乙双方不得放弃或拒绝履行合同。乙方放弃或拒绝履行合同，保证金不予退还，在三年内不得参加</w:t>
      </w:r>
      <w:r>
        <w:rPr>
          <w:rFonts w:hint="eastAsia" w:ascii="仿宋" w:hAnsi="仿宋" w:eastAsia="仿宋" w:cs="仿宋"/>
          <w:color w:val="auto"/>
          <w:sz w:val="28"/>
          <w:szCs w:val="28"/>
          <w:highlight w:val="none"/>
          <w:lang w:val="en-US" w:eastAsia="zh-CN"/>
        </w:rPr>
        <w:t>江苏食品药品职业技术学院</w:t>
      </w:r>
      <w:r>
        <w:rPr>
          <w:rFonts w:hint="eastAsia" w:ascii="仿宋" w:hAnsi="仿宋" w:eastAsia="仿宋" w:cs="仿宋"/>
          <w:color w:val="auto"/>
          <w:sz w:val="28"/>
          <w:szCs w:val="28"/>
          <w:highlight w:val="none"/>
        </w:rPr>
        <w:t>组织的政府采购活动。</w:t>
      </w:r>
    </w:p>
    <w:p w14:paraId="5FF184FF">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第十一条 合同的转让</w:t>
      </w:r>
    </w:p>
    <w:p w14:paraId="6BC9DDD4">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乙方不得擅自部分或全部转让其应履行的合同义务。</w:t>
      </w:r>
    </w:p>
    <w:p w14:paraId="3CF5DC0E">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第十二条 争议的解决</w:t>
      </w:r>
    </w:p>
    <w:p w14:paraId="13F5E988">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1、因履行本合同引起的或与本合同有关的争议，甲、乙双方应首先通过友好协商解决，如果协商不能解决争议，则采取以下第（</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）种方式解决争议：</w:t>
      </w:r>
    </w:p>
    <w:p w14:paraId="05132F3D">
      <w:pPr>
        <w:shd w:val="clear" w:color="auto" w:fill="FFFFFF"/>
        <w:spacing w:line="360" w:lineRule="auto"/>
        <w:ind w:left="0" w:leftChars="0" w:firstLine="420" w:firstLineChars="15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（1）向甲方所在地有管辖权的人民法院提起诉讼；</w:t>
      </w:r>
    </w:p>
    <w:p w14:paraId="2CED3C7D">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（2）向江苏省仲裁委员会按其仲裁规则申请仲裁。</w:t>
      </w:r>
    </w:p>
    <w:p w14:paraId="3496E6A9">
      <w:pPr>
        <w:shd w:val="clear" w:color="auto" w:fill="FFFFFF"/>
        <w:spacing w:line="360" w:lineRule="auto"/>
        <w:ind w:firstLine="420"/>
        <w:jc w:val="left"/>
        <w:rPr>
          <w:rFonts w:hint="eastAsia" w:ascii="仿宋" w:hAnsi="仿宋" w:eastAsia="仿宋" w:cs="仿宋"/>
          <w:color w:val="auto"/>
          <w:sz w:val="28"/>
          <w:szCs w:val="28"/>
          <w:highlight w:val="none"/>
        </w:rPr>
      </w:pPr>
      <w:bookmarkStart w:id="0" w:name="OLE_LINK1"/>
      <w:r>
        <w:rPr>
          <w:rFonts w:hint="eastAsia" w:ascii="仿宋" w:hAnsi="仿宋" w:eastAsia="仿宋" w:cs="仿宋"/>
          <w:color w:val="auto"/>
          <w:sz w:val="28"/>
          <w:szCs w:val="28"/>
          <w:highlight w:val="none"/>
        </w:rPr>
        <w:t>败诉方应承担胜诉方为实现债权而发生的全部费用，包括但不限于诉讼费、保全费、差旅费、律师费等。</w:t>
      </w:r>
      <w:bookmarkEnd w:id="0"/>
    </w:p>
    <w:p w14:paraId="064C43FC">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第十三条 诚实信用</w:t>
      </w:r>
    </w:p>
    <w:p w14:paraId="27FECF55">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乙方应诚实信用，严格按照采购文件要求和承诺履行合同，不向甲方进行商业贿赂或者提供不正当利益。</w:t>
      </w:r>
    </w:p>
    <w:p w14:paraId="600556B2">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第十四条 合同生效及其他</w:t>
      </w:r>
    </w:p>
    <w:p w14:paraId="033BB6B5">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1、本合同自签订盖章之日起生效。</w:t>
      </w:r>
    </w:p>
    <w:p w14:paraId="1AB87201">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2、本合同一式伍份，甲方执肆份，</w:t>
      </w:r>
      <w:r>
        <w:rPr>
          <w:rFonts w:hint="eastAsia" w:ascii="仿宋" w:hAnsi="仿宋" w:eastAsia="仿宋" w:cs="仿宋"/>
          <w:color w:val="auto"/>
          <w:sz w:val="28"/>
          <w:szCs w:val="28"/>
          <w:highlight w:val="none"/>
          <w:lang w:eastAsia="zh-CN"/>
        </w:rPr>
        <w:t>乙方</w:t>
      </w:r>
      <w:r>
        <w:rPr>
          <w:rFonts w:hint="eastAsia" w:ascii="仿宋" w:hAnsi="仿宋" w:eastAsia="仿宋" w:cs="仿宋"/>
          <w:color w:val="auto"/>
          <w:sz w:val="28"/>
          <w:szCs w:val="28"/>
          <w:highlight w:val="none"/>
        </w:rPr>
        <w:t>执</w:t>
      </w:r>
      <w:r>
        <w:rPr>
          <w:rFonts w:hint="eastAsia" w:ascii="仿宋" w:hAnsi="仿宋" w:eastAsia="仿宋" w:cs="仿宋"/>
          <w:color w:val="auto"/>
          <w:sz w:val="28"/>
          <w:szCs w:val="28"/>
          <w:highlight w:val="none"/>
          <w:lang w:val="en-US" w:eastAsia="zh-CN"/>
        </w:rPr>
        <w:t>壹</w:t>
      </w:r>
      <w:r>
        <w:rPr>
          <w:rFonts w:hint="eastAsia" w:ascii="仿宋" w:hAnsi="仿宋" w:eastAsia="仿宋" w:cs="仿宋"/>
          <w:color w:val="auto"/>
          <w:sz w:val="28"/>
          <w:szCs w:val="28"/>
          <w:highlight w:val="none"/>
        </w:rPr>
        <w:t>份，具有同等法律效力。</w:t>
      </w:r>
    </w:p>
    <w:p w14:paraId="3B5C6F12">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3、本合同应按照中华人民共和国的现行法律进行解释。</w:t>
      </w:r>
    </w:p>
    <w:p w14:paraId="27F8047D">
      <w:pPr>
        <w:shd w:val="clear" w:color="auto" w:fill="FFFFFF"/>
        <w:spacing w:line="360" w:lineRule="auto"/>
        <w:ind w:firstLine="420"/>
        <w:jc w:val="left"/>
        <w:rPr>
          <w:rFonts w:hint="eastAsia" w:ascii="仿宋" w:hAnsi="仿宋" w:eastAsia="仿宋" w:cs="仿宋"/>
          <w:color w:val="auto"/>
          <w:sz w:val="28"/>
          <w:szCs w:val="28"/>
          <w:highlight w:val="none"/>
        </w:rPr>
      </w:pPr>
    </w:p>
    <w:tbl>
      <w:tblPr>
        <w:tblStyle w:val="7"/>
        <w:tblW w:w="5000" w:type="pct"/>
        <w:tblInd w:w="0" w:type="dxa"/>
        <w:tblLayout w:type="autofit"/>
        <w:tblCellMar>
          <w:top w:w="0" w:type="dxa"/>
          <w:left w:w="108" w:type="dxa"/>
          <w:bottom w:w="0" w:type="dxa"/>
          <w:right w:w="108" w:type="dxa"/>
        </w:tblCellMar>
      </w:tblPr>
      <w:tblGrid>
        <w:gridCol w:w="4261"/>
        <w:gridCol w:w="4261"/>
      </w:tblGrid>
      <w:tr w14:paraId="60591C92">
        <w:tblPrEx>
          <w:tblCellMar>
            <w:top w:w="0" w:type="dxa"/>
            <w:left w:w="108" w:type="dxa"/>
            <w:bottom w:w="0" w:type="dxa"/>
            <w:right w:w="108" w:type="dxa"/>
          </w:tblCellMar>
        </w:tblPrEx>
        <w:trPr>
          <w:trHeight w:val="257" w:hRule="atLeast"/>
        </w:trPr>
        <w:tc>
          <w:tcPr>
            <w:tcW w:w="2500" w:type="pct"/>
            <w:tcBorders>
              <w:top w:val="nil"/>
              <w:left w:val="nil"/>
              <w:bottom w:val="nil"/>
              <w:right w:val="nil"/>
            </w:tcBorders>
            <w:noWrap w:val="0"/>
            <w:vAlign w:val="center"/>
          </w:tcPr>
          <w:p w14:paraId="24E5D9F0">
            <w:pPr>
              <w:shd w:val="clear" w:color="auto" w:fill="FFFFFF"/>
              <w:spacing w:line="360" w:lineRule="auto"/>
              <w:ind w:firstLine="420"/>
              <w:jc w:val="left"/>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zh-CN"/>
              </w:rPr>
              <w:t>甲方（委托方）：（盖章）</w:t>
            </w:r>
            <w:r>
              <w:rPr>
                <w:rFonts w:hint="eastAsia" w:ascii="仿宋" w:hAnsi="仿宋" w:eastAsia="仿宋" w:cs="仿宋"/>
                <w:color w:val="auto"/>
                <w:sz w:val="28"/>
                <w:szCs w:val="28"/>
                <w:highlight w:val="none"/>
                <w:lang w:val="en-US" w:eastAsia="zh-CN"/>
              </w:rPr>
              <w:t>江苏食品药品职业技术学院</w:t>
            </w:r>
          </w:p>
        </w:tc>
        <w:tc>
          <w:tcPr>
            <w:tcW w:w="2500" w:type="pct"/>
            <w:tcBorders>
              <w:top w:val="nil"/>
              <w:left w:val="nil"/>
              <w:bottom w:val="nil"/>
              <w:right w:val="nil"/>
            </w:tcBorders>
            <w:noWrap w:val="0"/>
            <w:vAlign w:val="center"/>
          </w:tcPr>
          <w:p w14:paraId="1B9C3B06">
            <w:pPr>
              <w:shd w:val="clear" w:color="auto" w:fill="FFFFFF"/>
              <w:spacing w:line="360" w:lineRule="auto"/>
              <w:ind w:firstLine="420"/>
              <w:jc w:val="lef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乙方：（盖章）山东满天星信息科技有限公司</w:t>
            </w:r>
          </w:p>
        </w:tc>
      </w:tr>
      <w:tr w14:paraId="75C3B880">
        <w:tblPrEx>
          <w:tblCellMar>
            <w:top w:w="0" w:type="dxa"/>
            <w:left w:w="108" w:type="dxa"/>
            <w:bottom w:w="0" w:type="dxa"/>
            <w:right w:w="108" w:type="dxa"/>
          </w:tblCellMar>
        </w:tblPrEx>
        <w:trPr>
          <w:trHeight w:val="362" w:hRule="atLeast"/>
        </w:trPr>
        <w:tc>
          <w:tcPr>
            <w:tcW w:w="2500" w:type="pct"/>
            <w:tcBorders>
              <w:top w:val="nil"/>
              <w:left w:val="nil"/>
              <w:bottom w:val="nil"/>
              <w:right w:val="nil"/>
            </w:tcBorders>
            <w:noWrap w:val="0"/>
            <w:vAlign w:val="center"/>
          </w:tcPr>
          <w:p w14:paraId="3D59D18E">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法定代表人：</w:t>
            </w:r>
          </w:p>
        </w:tc>
        <w:tc>
          <w:tcPr>
            <w:tcW w:w="2500" w:type="pct"/>
            <w:tcBorders>
              <w:top w:val="nil"/>
              <w:left w:val="nil"/>
              <w:bottom w:val="nil"/>
              <w:right w:val="nil"/>
            </w:tcBorders>
            <w:noWrap w:val="0"/>
            <w:vAlign w:val="center"/>
          </w:tcPr>
          <w:p w14:paraId="1448F01A">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法定或委托代表人</w:t>
            </w:r>
            <w:r>
              <w:rPr>
                <w:rFonts w:hint="eastAsia" w:ascii="仿宋" w:hAnsi="仿宋" w:eastAsia="仿宋" w:cs="仿宋"/>
                <w:color w:val="auto"/>
                <w:sz w:val="28"/>
                <w:szCs w:val="28"/>
                <w:highlight w:val="none"/>
              </w:rPr>
              <w:t>：</w:t>
            </w:r>
          </w:p>
        </w:tc>
      </w:tr>
      <w:tr w14:paraId="7E62C696">
        <w:tblPrEx>
          <w:tblCellMar>
            <w:top w:w="0" w:type="dxa"/>
            <w:left w:w="108" w:type="dxa"/>
            <w:bottom w:w="0" w:type="dxa"/>
            <w:right w:w="108" w:type="dxa"/>
          </w:tblCellMar>
        </w:tblPrEx>
        <w:trPr>
          <w:trHeight w:val="251" w:hRule="atLeast"/>
        </w:trPr>
        <w:tc>
          <w:tcPr>
            <w:tcW w:w="2500" w:type="pct"/>
            <w:tcBorders>
              <w:top w:val="nil"/>
              <w:left w:val="nil"/>
              <w:bottom w:val="nil"/>
              <w:right w:val="nil"/>
            </w:tcBorders>
            <w:noWrap w:val="0"/>
            <w:vAlign w:val="center"/>
          </w:tcPr>
          <w:p w14:paraId="2957EFA0">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电话：</w:t>
            </w:r>
          </w:p>
        </w:tc>
        <w:tc>
          <w:tcPr>
            <w:tcW w:w="2500" w:type="pct"/>
            <w:tcBorders>
              <w:top w:val="nil"/>
              <w:left w:val="nil"/>
              <w:bottom w:val="nil"/>
              <w:right w:val="nil"/>
            </w:tcBorders>
            <w:noWrap w:val="0"/>
            <w:vAlign w:val="center"/>
          </w:tcPr>
          <w:p w14:paraId="035ADD14">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电话：</w:t>
            </w:r>
          </w:p>
        </w:tc>
      </w:tr>
      <w:tr w14:paraId="709D3006">
        <w:tblPrEx>
          <w:tblCellMar>
            <w:top w:w="0" w:type="dxa"/>
            <w:left w:w="108" w:type="dxa"/>
            <w:bottom w:w="0" w:type="dxa"/>
            <w:right w:w="108" w:type="dxa"/>
          </w:tblCellMar>
        </w:tblPrEx>
        <w:trPr>
          <w:trHeight w:val="283" w:hRule="atLeast"/>
        </w:trPr>
        <w:tc>
          <w:tcPr>
            <w:tcW w:w="2500" w:type="pct"/>
            <w:tcBorders>
              <w:top w:val="nil"/>
              <w:left w:val="nil"/>
              <w:bottom w:val="nil"/>
              <w:right w:val="nil"/>
            </w:tcBorders>
            <w:noWrap w:val="0"/>
            <w:vAlign w:val="center"/>
          </w:tcPr>
          <w:p w14:paraId="628E2AD8">
            <w:pPr>
              <w:shd w:val="clear" w:color="auto" w:fill="FFFFFF"/>
              <w:spacing w:line="360" w:lineRule="auto"/>
              <w:ind w:firstLine="420"/>
              <w:jc w:val="left"/>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zh-CN"/>
              </w:rPr>
              <w:t>开户银行：</w:t>
            </w:r>
            <w:r>
              <w:rPr>
                <w:rFonts w:hint="eastAsia" w:ascii="仿宋" w:hAnsi="仿宋" w:eastAsia="仿宋" w:cs="仿宋"/>
                <w:color w:val="auto"/>
                <w:sz w:val="28"/>
                <w:szCs w:val="28"/>
                <w:highlight w:val="none"/>
                <w:lang w:val="en-US" w:eastAsia="zh-CN"/>
              </w:rPr>
              <w:t>中国农业银行股份有限公司淮安大学城支行</w:t>
            </w:r>
          </w:p>
        </w:tc>
        <w:tc>
          <w:tcPr>
            <w:tcW w:w="2500" w:type="pct"/>
            <w:tcBorders>
              <w:top w:val="nil"/>
              <w:left w:val="nil"/>
              <w:bottom w:val="nil"/>
              <w:right w:val="nil"/>
            </w:tcBorders>
            <w:noWrap w:val="0"/>
            <w:vAlign w:val="center"/>
          </w:tcPr>
          <w:p w14:paraId="52A849AD">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开户银行：工行济南高新支行</w:t>
            </w:r>
          </w:p>
        </w:tc>
      </w:tr>
      <w:tr w14:paraId="106A7896">
        <w:tblPrEx>
          <w:tblCellMar>
            <w:top w:w="0" w:type="dxa"/>
            <w:left w:w="108" w:type="dxa"/>
            <w:bottom w:w="0" w:type="dxa"/>
            <w:right w:w="108" w:type="dxa"/>
          </w:tblCellMar>
        </w:tblPrEx>
        <w:trPr>
          <w:trHeight w:val="315" w:hRule="atLeast"/>
        </w:trPr>
        <w:tc>
          <w:tcPr>
            <w:tcW w:w="2500" w:type="pct"/>
            <w:tcBorders>
              <w:top w:val="nil"/>
              <w:left w:val="nil"/>
              <w:bottom w:val="nil"/>
              <w:right w:val="nil"/>
            </w:tcBorders>
            <w:noWrap w:val="0"/>
            <w:vAlign w:val="center"/>
          </w:tcPr>
          <w:p w14:paraId="5B258668">
            <w:pPr>
              <w:shd w:val="clear" w:color="auto" w:fill="FFFFFF"/>
              <w:spacing w:line="360" w:lineRule="auto"/>
              <w:ind w:firstLine="420"/>
              <w:jc w:val="left"/>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账</w:t>
            </w:r>
            <w:r>
              <w:rPr>
                <w:rFonts w:hint="eastAsia" w:ascii="仿宋" w:hAnsi="仿宋" w:eastAsia="仿宋" w:cs="仿宋"/>
                <w:color w:val="auto"/>
                <w:sz w:val="28"/>
                <w:szCs w:val="28"/>
                <w:highlight w:val="none"/>
                <w:lang w:val="zh-CN"/>
              </w:rPr>
              <w:t>号：</w:t>
            </w:r>
            <w:r>
              <w:rPr>
                <w:rFonts w:hint="eastAsia" w:ascii="仿宋" w:hAnsi="仿宋" w:eastAsia="仿宋" w:cs="仿宋"/>
                <w:color w:val="auto"/>
                <w:sz w:val="28"/>
                <w:szCs w:val="28"/>
                <w:highlight w:val="none"/>
                <w:lang w:val="en-US" w:eastAsia="zh-CN"/>
              </w:rPr>
              <w:t>10350601040004880</w:t>
            </w:r>
          </w:p>
        </w:tc>
        <w:tc>
          <w:tcPr>
            <w:tcW w:w="2500" w:type="pct"/>
            <w:tcBorders>
              <w:top w:val="nil"/>
              <w:left w:val="nil"/>
              <w:bottom w:val="nil"/>
              <w:right w:val="nil"/>
            </w:tcBorders>
            <w:noWrap w:val="0"/>
            <w:vAlign w:val="center"/>
          </w:tcPr>
          <w:p w14:paraId="4C740932">
            <w:pPr>
              <w:shd w:val="clear" w:color="auto" w:fill="FFFFFF"/>
              <w:spacing w:line="360" w:lineRule="auto"/>
              <w:ind w:firstLine="42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账</w:t>
            </w:r>
            <w:r>
              <w:rPr>
                <w:rFonts w:hint="eastAsia" w:ascii="仿宋" w:hAnsi="仿宋" w:eastAsia="仿宋" w:cs="仿宋"/>
                <w:color w:val="auto"/>
                <w:sz w:val="28"/>
                <w:szCs w:val="28"/>
                <w:highlight w:val="none"/>
                <w:lang w:val="zh-CN"/>
              </w:rPr>
              <w:t>号：1602023609200640832</w:t>
            </w:r>
          </w:p>
        </w:tc>
      </w:tr>
      <w:tr w14:paraId="069D0846">
        <w:tblPrEx>
          <w:tblCellMar>
            <w:top w:w="0" w:type="dxa"/>
            <w:left w:w="108" w:type="dxa"/>
            <w:bottom w:w="0" w:type="dxa"/>
            <w:right w:w="108" w:type="dxa"/>
          </w:tblCellMar>
        </w:tblPrEx>
        <w:trPr>
          <w:trHeight w:val="572" w:hRule="atLeast"/>
        </w:trPr>
        <w:tc>
          <w:tcPr>
            <w:tcW w:w="2500" w:type="pct"/>
            <w:tcBorders>
              <w:top w:val="nil"/>
              <w:left w:val="nil"/>
              <w:bottom w:val="nil"/>
              <w:right w:val="nil"/>
            </w:tcBorders>
            <w:noWrap w:val="0"/>
            <w:vAlign w:val="center"/>
          </w:tcPr>
          <w:p w14:paraId="082EBCF3">
            <w:pPr>
              <w:shd w:val="clear" w:color="auto" w:fill="FFFFFF"/>
              <w:spacing w:line="360" w:lineRule="auto"/>
              <w:ind w:firstLine="420"/>
              <w:jc w:val="lef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日期：年</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zh-CN"/>
              </w:rPr>
              <w:t>月</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zh-CN"/>
              </w:rPr>
              <w:t>日</w:t>
            </w:r>
          </w:p>
        </w:tc>
        <w:tc>
          <w:tcPr>
            <w:tcW w:w="2500" w:type="pct"/>
            <w:tcBorders>
              <w:top w:val="nil"/>
              <w:left w:val="nil"/>
              <w:bottom w:val="nil"/>
              <w:right w:val="nil"/>
            </w:tcBorders>
            <w:noWrap w:val="0"/>
            <w:vAlign w:val="center"/>
          </w:tcPr>
          <w:p w14:paraId="2B803358">
            <w:pPr>
              <w:shd w:val="clear" w:color="auto" w:fill="FFFFFF"/>
              <w:spacing w:line="360" w:lineRule="auto"/>
              <w:ind w:firstLine="420"/>
              <w:jc w:val="lef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日期：年</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zh-CN"/>
              </w:rPr>
              <w:t>月</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zh-CN"/>
              </w:rPr>
              <w:t>日</w:t>
            </w:r>
          </w:p>
        </w:tc>
      </w:tr>
    </w:tbl>
    <w:p w14:paraId="4170AC4A">
      <w:pPr>
        <w:rPr>
          <w:color w:val="auto"/>
          <w:highlight w:val="none"/>
        </w:rPr>
      </w:pPr>
      <w:r>
        <w:rPr>
          <w:color w:val="auto"/>
          <w:highlight w:val="none"/>
        </w:rPr>
        <w:br w:type="page"/>
      </w:r>
    </w:p>
    <w:p w14:paraId="1CCAEB7A">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三、技术要求</w:t>
      </w:r>
    </w:p>
    <w:p w14:paraId="4D26972A">
      <w:pPr>
        <w:spacing w:line="360" w:lineRule="auto"/>
        <w:jc w:val="center"/>
        <w:rPr>
          <w:rFonts w:hint="eastAsia"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制药工程学院虚实一体化实践教学教室改造</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816"/>
        <w:gridCol w:w="6335"/>
        <w:gridCol w:w="470"/>
        <w:gridCol w:w="456"/>
      </w:tblGrid>
      <w:tr w14:paraId="48E4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 w:type="pct"/>
            <w:noWrap w:val="0"/>
            <w:vAlign w:val="center"/>
          </w:tcPr>
          <w:p w14:paraId="44917BEF">
            <w:pPr>
              <w:adjustRightInd w:val="0"/>
              <w:snapToGrid w:val="0"/>
              <w:spacing w:line="360" w:lineRule="auto"/>
              <w:jc w:val="center"/>
              <w:rPr>
                <w:rFonts w:hint="eastAsia" w:ascii="仿宋" w:hAnsi="仿宋" w:eastAsia="仿宋" w:cs="Times New Roman"/>
                <w:bCs/>
                <w:sz w:val="24"/>
                <w:szCs w:val="24"/>
                <w:highlight w:val="none"/>
              </w:rPr>
            </w:pPr>
            <w:r>
              <w:rPr>
                <w:rFonts w:ascii="Times New Roman" w:hAnsi="Times New Roman" w:eastAsia="宋体" w:cs="Times New Roman"/>
                <w:kern w:val="0"/>
                <w:szCs w:val="21"/>
                <w:highlight w:val="none"/>
              </w:rPr>
              <w:t>序号</w:t>
            </w:r>
          </w:p>
        </w:tc>
        <w:tc>
          <w:tcPr>
            <w:tcW w:w="457" w:type="pct"/>
            <w:noWrap w:val="0"/>
            <w:vAlign w:val="center"/>
          </w:tcPr>
          <w:p w14:paraId="1FE41E2B">
            <w:pPr>
              <w:adjustRightInd w:val="0"/>
              <w:snapToGrid w:val="0"/>
              <w:spacing w:line="360" w:lineRule="auto"/>
              <w:jc w:val="center"/>
              <w:rPr>
                <w:rFonts w:hint="eastAsia" w:ascii="仿宋" w:hAnsi="仿宋" w:eastAsia="仿宋" w:cs="Times New Roman"/>
                <w:bCs/>
                <w:sz w:val="24"/>
                <w:szCs w:val="24"/>
                <w:highlight w:val="none"/>
              </w:rPr>
            </w:pPr>
            <w:r>
              <w:rPr>
                <w:rFonts w:ascii="Times New Roman" w:hAnsi="Times New Roman" w:eastAsia="宋体" w:cs="Times New Roman"/>
                <w:kern w:val="0"/>
                <w:szCs w:val="21"/>
                <w:highlight w:val="none"/>
              </w:rPr>
              <w:t>名称</w:t>
            </w:r>
          </w:p>
        </w:tc>
        <w:tc>
          <w:tcPr>
            <w:tcW w:w="3723" w:type="pct"/>
            <w:noWrap w:val="0"/>
            <w:vAlign w:val="center"/>
          </w:tcPr>
          <w:p w14:paraId="3CF022FC">
            <w:pPr>
              <w:adjustRightInd w:val="0"/>
              <w:snapToGrid w:val="0"/>
              <w:spacing w:line="360" w:lineRule="auto"/>
              <w:jc w:val="center"/>
              <w:rPr>
                <w:rFonts w:hint="eastAsia" w:ascii="仿宋" w:hAnsi="仿宋" w:eastAsia="仿宋" w:cs="Times New Roman"/>
                <w:bCs/>
                <w:sz w:val="24"/>
                <w:szCs w:val="24"/>
                <w:highlight w:val="none"/>
              </w:rPr>
            </w:pPr>
            <w:r>
              <w:rPr>
                <w:rFonts w:ascii="Times New Roman" w:hAnsi="Times New Roman" w:eastAsia="宋体" w:cs="Times New Roman"/>
                <w:kern w:val="0"/>
                <w:szCs w:val="21"/>
                <w:highlight w:val="none"/>
              </w:rPr>
              <w:t>技术参数</w:t>
            </w:r>
          </w:p>
        </w:tc>
        <w:tc>
          <w:tcPr>
            <w:tcW w:w="283" w:type="pct"/>
            <w:noWrap w:val="0"/>
            <w:vAlign w:val="center"/>
          </w:tcPr>
          <w:p w14:paraId="1A5D4CFD">
            <w:pPr>
              <w:adjustRightInd w:val="0"/>
              <w:snapToGrid w:val="0"/>
              <w:spacing w:line="360" w:lineRule="auto"/>
              <w:jc w:val="center"/>
              <w:rPr>
                <w:rFonts w:hint="eastAsia" w:ascii="仿宋" w:hAnsi="仿宋" w:eastAsia="仿宋" w:cs="Times New Roman"/>
                <w:bCs/>
                <w:sz w:val="24"/>
                <w:szCs w:val="24"/>
                <w:highlight w:val="none"/>
              </w:rPr>
            </w:pPr>
            <w:r>
              <w:rPr>
                <w:rFonts w:ascii="Times New Roman" w:hAnsi="Times New Roman" w:eastAsia="宋体" w:cs="Times New Roman"/>
                <w:kern w:val="0"/>
                <w:szCs w:val="21"/>
                <w:highlight w:val="none"/>
                <w:lang w:bidi="ar"/>
              </w:rPr>
              <w:t>单位</w:t>
            </w:r>
          </w:p>
        </w:tc>
        <w:tc>
          <w:tcPr>
            <w:tcW w:w="268" w:type="pct"/>
            <w:noWrap w:val="0"/>
            <w:vAlign w:val="center"/>
          </w:tcPr>
          <w:p w14:paraId="48F7898F">
            <w:pPr>
              <w:adjustRightInd w:val="0"/>
              <w:snapToGrid w:val="0"/>
              <w:spacing w:line="360" w:lineRule="auto"/>
              <w:jc w:val="center"/>
              <w:rPr>
                <w:rFonts w:hint="eastAsia" w:ascii="仿宋" w:hAnsi="仿宋" w:eastAsia="仿宋" w:cs="Times New Roman"/>
                <w:bCs/>
                <w:sz w:val="24"/>
                <w:szCs w:val="24"/>
                <w:highlight w:val="none"/>
              </w:rPr>
            </w:pPr>
            <w:r>
              <w:rPr>
                <w:rFonts w:ascii="Times New Roman" w:hAnsi="Times New Roman" w:eastAsia="宋体" w:cs="Times New Roman"/>
                <w:kern w:val="0"/>
                <w:szCs w:val="21"/>
                <w:highlight w:val="none"/>
                <w:lang w:bidi="ar"/>
              </w:rPr>
              <w:t>数量</w:t>
            </w:r>
          </w:p>
        </w:tc>
      </w:tr>
      <w:tr w14:paraId="0221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68" w:type="pct"/>
            <w:noWrap w:val="0"/>
            <w:vAlign w:val="top"/>
          </w:tcPr>
          <w:p w14:paraId="1E32EA33">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w:t>
            </w:r>
          </w:p>
        </w:tc>
        <w:tc>
          <w:tcPr>
            <w:tcW w:w="457" w:type="pct"/>
            <w:noWrap w:val="0"/>
            <w:vAlign w:val="top"/>
          </w:tcPr>
          <w:p w14:paraId="5D091E2D">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sz w:val="24"/>
                <w:szCs w:val="24"/>
                <w:highlight w:val="none"/>
                <w:vertAlign w:val="baseline"/>
              </w:rPr>
              <w:t>制药设备虚拟仿真</w:t>
            </w:r>
            <w:r>
              <w:rPr>
                <w:rFonts w:hint="eastAsia" w:ascii="仿宋" w:hAnsi="仿宋" w:eastAsia="仿宋" w:cs="仿宋"/>
                <w:sz w:val="24"/>
                <w:szCs w:val="24"/>
                <w:highlight w:val="none"/>
                <w:vertAlign w:val="baseline"/>
                <w:lang w:val="en-US" w:eastAsia="zh-CN"/>
              </w:rPr>
              <w:t>系统</w:t>
            </w:r>
          </w:p>
        </w:tc>
        <w:tc>
          <w:tcPr>
            <w:tcW w:w="6335" w:type="dxa"/>
            <w:noWrap w:val="0"/>
            <w:vAlign w:val="top"/>
          </w:tcPr>
          <w:p w14:paraId="1EFA642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一、软件技术要求</w:t>
            </w:r>
          </w:p>
          <w:p w14:paraId="0533FA83">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w:t>
            </w:r>
            <w:r>
              <w:rPr>
                <w:rFonts w:hint="eastAsia" w:ascii="仿宋" w:hAnsi="仿宋" w:eastAsia="仿宋" w:cs="仿宋"/>
                <w:sz w:val="24"/>
                <w:szCs w:val="24"/>
                <w:highlight w:val="none"/>
                <w:vertAlign w:val="baseline"/>
                <w:lang w:val="en-US" w:eastAsia="zh-CN"/>
              </w:rPr>
              <w:t>需</w:t>
            </w:r>
            <w:r>
              <w:rPr>
                <w:rFonts w:hint="eastAsia" w:ascii="仿宋" w:hAnsi="仿宋" w:eastAsia="仿宋" w:cs="仿宋"/>
                <w:sz w:val="24"/>
                <w:szCs w:val="24"/>
                <w:highlight w:val="none"/>
                <w:vertAlign w:val="baseline"/>
              </w:rPr>
              <w:t>支持云平台部署架构，内置制药工艺 AI 问答助手，可实时解答设备操作、工艺规范类问题；</w:t>
            </w:r>
          </w:p>
          <w:p w14:paraId="6949AC9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w:t>
            </w:r>
            <w:r>
              <w:rPr>
                <w:rFonts w:hint="eastAsia" w:ascii="仿宋" w:hAnsi="仿宋" w:eastAsia="仿宋" w:cs="仿宋"/>
                <w:sz w:val="24"/>
                <w:szCs w:val="24"/>
                <w:highlight w:val="none"/>
                <w:vertAlign w:val="baseline"/>
                <w:lang w:val="en-US" w:eastAsia="zh-CN"/>
              </w:rPr>
              <w:t>需</w:t>
            </w:r>
            <w:r>
              <w:rPr>
                <w:rFonts w:hint="eastAsia" w:ascii="仿宋" w:hAnsi="仿宋" w:eastAsia="仿宋" w:cs="仿宋"/>
                <w:sz w:val="24"/>
                <w:szCs w:val="24"/>
                <w:highlight w:val="none"/>
                <w:vertAlign w:val="baseline"/>
              </w:rPr>
              <w:t xml:space="preserve">兼容Windows </w:t>
            </w:r>
            <w:r>
              <w:rPr>
                <w:rFonts w:hint="eastAsia" w:ascii="仿宋" w:hAnsi="仿宋" w:eastAsia="仿宋" w:cs="仿宋"/>
                <w:sz w:val="24"/>
                <w:szCs w:val="24"/>
                <w:highlight w:val="none"/>
                <w:vertAlign w:val="baseline"/>
                <w:lang w:val="en-US" w:eastAsia="zh-CN"/>
              </w:rPr>
              <w:t>10</w:t>
            </w:r>
            <w:r>
              <w:rPr>
                <w:rFonts w:hint="eastAsia" w:ascii="仿宋" w:hAnsi="仿宋" w:eastAsia="仿宋" w:cs="仿宋"/>
                <w:sz w:val="24"/>
                <w:szCs w:val="24"/>
                <w:highlight w:val="none"/>
                <w:vertAlign w:val="baseline"/>
              </w:rPr>
              <w:t xml:space="preserve"> 64位及以上操作系统； </w:t>
            </w:r>
          </w:p>
          <w:p w14:paraId="77BBC6CD">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3.</w:t>
            </w:r>
            <w:r>
              <w:rPr>
                <w:rFonts w:hint="eastAsia" w:ascii="仿宋" w:hAnsi="仿宋" w:eastAsia="仿宋" w:cs="仿宋"/>
                <w:sz w:val="24"/>
                <w:szCs w:val="24"/>
                <w:highlight w:val="none"/>
                <w:vertAlign w:val="baseline"/>
                <w:lang w:val="en-US" w:eastAsia="zh-CN"/>
              </w:rPr>
              <w:t>需</w:t>
            </w:r>
            <w:r>
              <w:rPr>
                <w:rFonts w:hint="eastAsia" w:ascii="仿宋" w:hAnsi="仿宋" w:eastAsia="仿宋" w:cs="仿宋"/>
                <w:b w:val="0"/>
                <w:bCs w:val="0"/>
                <w:kern w:val="2"/>
                <w:sz w:val="24"/>
                <w:szCs w:val="24"/>
                <w:highlight w:val="none"/>
                <w:vertAlign w:val="baseline"/>
                <w:lang w:val="en-US" w:eastAsia="zh-CN" w:bidi="ar-SA"/>
              </w:rPr>
              <w:t>支持多终端跨平台数据同源传输与同步；</w:t>
            </w:r>
            <w:r>
              <w:rPr>
                <w:rFonts w:hint="eastAsia" w:ascii="仿宋" w:hAnsi="仿宋" w:eastAsia="仿宋" w:cs="仿宋"/>
                <w:sz w:val="24"/>
                <w:szCs w:val="24"/>
                <w:highlight w:val="none"/>
                <w:vertAlign w:val="baseline"/>
              </w:rPr>
              <w:t xml:space="preserve"> </w:t>
            </w:r>
          </w:p>
          <w:p w14:paraId="71D3FF2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4.</w:t>
            </w:r>
            <w:r>
              <w:rPr>
                <w:rFonts w:hint="eastAsia" w:ascii="仿宋" w:hAnsi="仿宋" w:eastAsia="仿宋" w:cs="仿宋"/>
                <w:sz w:val="24"/>
                <w:szCs w:val="24"/>
                <w:highlight w:val="none"/>
                <w:vertAlign w:val="baseline"/>
                <w:lang w:val="en-US" w:eastAsia="zh-CN"/>
              </w:rPr>
              <w:t>需</w:t>
            </w:r>
            <w:r>
              <w:rPr>
                <w:rFonts w:hint="eastAsia" w:ascii="仿宋" w:hAnsi="仿宋" w:eastAsia="仿宋" w:cs="仿宋"/>
                <w:b w:val="0"/>
                <w:bCs w:val="0"/>
                <w:kern w:val="2"/>
                <w:sz w:val="24"/>
                <w:szCs w:val="24"/>
                <w:highlight w:val="none"/>
                <w:vertAlign w:val="baseline"/>
                <w:lang w:val="en-US" w:eastAsia="zh-CN" w:bidi="ar-SA"/>
              </w:rPr>
              <w:t>具备操作数据全量采集与上传能力，内置智能评分系统，可对操作过程实时自动评分；评分结果、操作时长、错误节点等数据统一上传至云平台集中管理与可视化展示；</w:t>
            </w:r>
          </w:p>
          <w:p w14:paraId="78AA1691">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5.</w:t>
            </w:r>
            <w:r>
              <w:rPr>
                <w:rFonts w:hint="eastAsia" w:ascii="仿宋" w:hAnsi="仿宋" w:eastAsia="仿宋" w:cs="仿宋"/>
                <w:b w:val="0"/>
                <w:bCs w:val="0"/>
                <w:kern w:val="2"/>
                <w:sz w:val="24"/>
                <w:szCs w:val="24"/>
                <w:highlight w:val="none"/>
                <w:vertAlign w:val="baseline"/>
                <w:lang w:val="en-US" w:eastAsia="zh-CN" w:bidi="ar-SA"/>
              </w:rPr>
              <w:t>软件需提供不少于 5 个适配版本，涵盖：PC 电脑版、Web 网页版、移动端版、VR 沉浸式版、桌面 VR 交互版。</w:t>
            </w:r>
            <w:r>
              <w:rPr>
                <w:rFonts w:hint="eastAsia" w:ascii="仿宋" w:hAnsi="仿宋" w:eastAsia="仿宋" w:cs="仿宋"/>
                <w:sz w:val="24"/>
                <w:szCs w:val="24"/>
                <w:highlight w:val="none"/>
                <w:vertAlign w:val="baseline"/>
              </w:rPr>
              <w:t xml:space="preserve"> </w:t>
            </w:r>
          </w:p>
          <w:p w14:paraId="2F89F6B2">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二、软件基础功能 </w:t>
            </w:r>
          </w:p>
          <w:p w14:paraId="7FC972EC">
            <w:pPr>
              <w:adjustRightInd w:val="0"/>
              <w:snapToGrid w:val="0"/>
              <w:spacing w:line="360" w:lineRule="auto"/>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sz w:val="24"/>
                <w:szCs w:val="24"/>
                <w:highlight w:val="none"/>
                <w:vertAlign w:val="baseline"/>
              </w:rPr>
              <w:t>6.</w:t>
            </w:r>
            <w:r>
              <w:rPr>
                <w:rFonts w:hint="eastAsia" w:ascii="仿宋" w:hAnsi="仿宋" w:eastAsia="仿宋" w:cs="仿宋"/>
                <w:sz w:val="24"/>
                <w:szCs w:val="24"/>
                <w:highlight w:val="none"/>
                <w:vertAlign w:val="baseline"/>
                <w:lang w:val="en-US" w:eastAsia="zh-CN"/>
              </w:rPr>
              <w:t>应</w:t>
            </w:r>
            <w:r>
              <w:rPr>
                <w:rFonts w:hint="eastAsia" w:ascii="仿宋" w:hAnsi="仿宋" w:eastAsia="仿宋" w:cs="仿宋"/>
                <w:b w:val="0"/>
                <w:bCs w:val="0"/>
                <w:kern w:val="2"/>
                <w:sz w:val="24"/>
                <w:szCs w:val="24"/>
                <w:highlight w:val="none"/>
                <w:vertAlign w:val="baseline"/>
                <w:lang w:val="en-US" w:eastAsia="zh-CN" w:bidi="ar-SA"/>
              </w:rPr>
              <w:t>基于工业级真实制药设备 1:1 三维建模，严格遵循标准拆装与检修工艺流程设计，支持全流程实操模拟训练；</w:t>
            </w:r>
          </w:p>
          <w:p w14:paraId="23BC29CD">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b w:val="0"/>
                <w:bCs w:val="0"/>
                <w:kern w:val="2"/>
                <w:sz w:val="24"/>
                <w:szCs w:val="24"/>
                <w:highlight w:val="none"/>
                <w:vertAlign w:val="baseline"/>
                <w:lang w:val="en-US" w:eastAsia="zh-CN" w:bidi="ar-SA"/>
              </w:rPr>
              <w:t>7.</w:t>
            </w:r>
            <w:r>
              <w:rPr>
                <w:rFonts w:hint="eastAsia" w:ascii="仿宋" w:hAnsi="仿宋" w:eastAsia="仿宋" w:cs="仿宋"/>
                <w:sz w:val="24"/>
                <w:szCs w:val="24"/>
                <w:highlight w:val="none"/>
                <w:vertAlign w:val="baseline"/>
              </w:rPr>
              <w:t>练习模式：</w:t>
            </w:r>
            <w:r>
              <w:rPr>
                <w:rFonts w:hint="eastAsia" w:ascii="仿宋" w:hAnsi="仿宋" w:eastAsia="仿宋" w:cs="仿宋"/>
                <w:sz w:val="24"/>
                <w:szCs w:val="24"/>
                <w:highlight w:val="none"/>
                <w:vertAlign w:val="baseline"/>
                <w:lang w:val="en-US" w:eastAsia="zh-CN"/>
              </w:rPr>
              <w:t>需包含</w:t>
            </w:r>
            <w:r>
              <w:rPr>
                <w:rFonts w:hint="eastAsia" w:ascii="仿宋" w:hAnsi="仿宋" w:eastAsia="仿宋" w:cs="仿宋"/>
                <w:b w:val="0"/>
                <w:bCs w:val="0"/>
                <w:kern w:val="2"/>
                <w:sz w:val="24"/>
                <w:szCs w:val="24"/>
                <w:highlight w:val="none"/>
                <w:vertAlign w:val="baseline"/>
                <w:lang w:val="en-US" w:eastAsia="zh-CN" w:bidi="ar-SA"/>
              </w:rPr>
              <w:t>分步操作指引、关键部件高亮提示等辅助功能，可引导并规范完成操作；</w:t>
            </w:r>
          </w:p>
          <w:p w14:paraId="54DF9428">
            <w:pPr>
              <w:adjustRightInd w:val="0"/>
              <w:snapToGrid w:val="0"/>
              <w:spacing w:line="360" w:lineRule="auto"/>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sz w:val="24"/>
                <w:szCs w:val="24"/>
                <w:highlight w:val="none"/>
                <w:vertAlign w:val="baseline"/>
              </w:rPr>
              <w:t>8.考核模式：</w:t>
            </w:r>
            <w:r>
              <w:rPr>
                <w:rFonts w:hint="eastAsia" w:ascii="仿宋" w:hAnsi="仿宋" w:eastAsia="仿宋" w:cs="仿宋"/>
                <w:b w:val="0"/>
                <w:bCs w:val="0"/>
                <w:kern w:val="2"/>
                <w:sz w:val="24"/>
                <w:szCs w:val="24"/>
                <w:highlight w:val="none"/>
                <w:vertAlign w:val="baseline"/>
                <w:lang w:val="en-US" w:eastAsia="zh-CN" w:bidi="ar-SA"/>
              </w:rPr>
              <w:t>拆装考核环节需在交互弹窗内填写对应部件名称，操作完成后系统自动提交考核结果；后台可查询考核成绩，按操作准确性、流程规范性、完成时长多维度综合评定</w:t>
            </w:r>
          </w:p>
          <w:p w14:paraId="78801447">
            <w:pPr>
              <w:adjustRightInd w:val="0"/>
              <w:snapToGrid w:val="0"/>
              <w:spacing w:line="360" w:lineRule="auto"/>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sz w:val="24"/>
                <w:szCs w:val="24"/>
                <w:highlight w:val="none"/>
                <w:vertAlign w:val="baseline"/>
              </w:rPr>
              <w:t>9.智能标注：</w:t>
            </w:r>
            <w:r>
              <w:rPr>
                <w:rFonts w:hint="eastAsia" w:ascii="仿宋" w:hAnsi="仿宋" w:eastAsia="仿宋" w:cs="仿宋"/>
                <w:b w:val="0"/>
                <w:bCs w:val="0"/>
                <w:kern w:val="2"/>
                <w:sz w:val="24"/>
                <w:szCs w:val="24"/>
                <w:highlight w:val="none"/>
                <w:vertAlign w:val="baseline"/>
                <w:lang w:val="en-US" w:eastAsia="zh-CN" w:bidi="ar-SA"/>
              </w:rPr>
              <w:t>鼠标悬停或点击设备组件时,应能即时弹出部件名称、工作原理、功能作用等详细说明；</w:t>
            </w:r>
          </w:p>
          <w:p w14:paraId="5B34FCCE">
            <w:pPr>
              <w:adjustRightInd w:val="0"/>
              <w:snapToGrid w:val="0"/>
              <w:spacing w:line="360" w:lineRule="auto"/>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sz w:val="24"/>
                <w:szCs w:val="24"/>
                <w:highlight w:val="none"/>
                <w:vertAlign w:val="baseline"/>
              </w:rPr>
              <w:t>10.容错机制：</w:t>
            </w:r>
            <w:r>
              <w:rPr>
                <w:rFonts w:hint="eastAsia" w:ascii="仿宋" w:hAnsi="仿宋" w:eastAsia="仿宋" w:cs="仿宋"/>
                <w:b w:val="0"/>
                <w:bCs w:val="0"/>
                <w:kern w:val="2"/>
                <w:sz w:val="24"/>
                <w:szCs w:val="24"/>
                <w:highlight w:val="none"/>
                <w:vertAlign w:val="baseline"/>
                <w:lang w:val="en-US" w:eastAsia="zh-CN" w:bidi="ar-SA"/>
              </w:rPr>
              <w:t>针对违规操作，系统应触发安全警示并执行操作拦截，应能模拟真实设备的物理限制与安全联锁逻辑。</w:t>
            </w:r>
          </w:p>
          <w:p w14:paraId="4BC07607">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三、软件工艺功能 </w:t>
            </w:r>
          </w:p>
          <w:p w14:paraId="03D3FCF9">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Times New Roman"/>
                <w:bCs/>
                <w:sz w:val="24"/>
                <w:szCs w:val="24"/>
                <w:highlight w:val="none"/>
              </w:rPr>
              <w:t>▲</w:t>
            </w:r>
            <w:r>
              <w:rPr>
                <w:rFonts w:hint="eastAsia" w:ascii="仿宋" w:hAnsi="仿宋" w:eastAsia="仿宋" w:cs="仿宋"/>
                <w:sz w:val="24"/>
                <w:szCs w:val="24"/>
                <w:highlight w:val="none"/>
                <w:vertAlign w:val="baseline"/>
              </w:rPr>
              <w:t>11.粉碎机</w:t>
            </w:r>
            <w:r>
              <w:rPr>
                <w:rFonts w:hint="eastAsia" w:ascii="仿宋" w:hAnsi="仿宋" w:eastAsia="仿宋" w:cs="仿宋"/>
                <w:sz w:val="24"/>
                <w:szCs w:val="24"/>
                <w:highlight w:val="none"/>
                <w:vertAlign w:val="baseline"/>
                <w:lang w:val="en-US" w:eastAsia="zh-CN"/>
              </w:rPr>
              <w:t>工艺仿真</w:t>
            </w:r>
            <w:r>
              <w:rPr>
                <w:rFonts w:hint="eastAsia" w:ascii="仿宋" w:hAnsi="仿宋" w:eastAsia="仿宋" w:cs="仿宋"/>
                <w:sz w:val="24"/>
                <w:szCs w:val="24"/>
                <w:highlight w:val="none"/>
                <w:vertAlign w:val="baseline"/>
              </w:rPr>
              <w:t>：</w:t>
            </w:r>
            <w:r>
              <w:rPr>
                <w:rFonts w:hint="eastAsia" w:ascii="仿宋" w:hAnsi="仿宋" w:eastAsia="仿宋" w:cs="仿宋"/>
                <w:sz w:val="24"/>
                <w:szCs w:val="24"/>
                <w:highlight w:val="none"/>
                <w:vertAlign w:val="baseline"/>
                <w:lang w:val="en-US" w:eastAsia="zh-CN"/>
              </w:rPr>
              <w:t>至少包含</w:t>
            </w:r>
            <w:r>
              <w:rPr>
                <w:rFonts w:hint="eastAsia" w:ascii="仿宋" w:hAnsi="仿宋" w:eastAsia="仿宋" w:cs="仿宋"/>
                <w:sz w:val="24"/>
                <w:szCs w:val="24"/>
                <w:highlight w:val="none"/>
                <w:vertAlign w:val="baseline"/>
              </w:rPr>
              <w:t>演示进料、粉碎、筛网分级、出料集料</w:t>
            </w:r>
            <w:r>
              <w:rPr>
                <w:rFonts w:hint="eastAsia" w:ascii="仿宋" w:hAnsi="仿宋" w:eastAsia="仿宋" w:cs="仿宋"/>
                <w:sz w:val="24"/>
                <w:szCs w:val="24"/>
                <w:highlight w:val="none"/>
                <w:vertAlign w:val="baseline"/>
                <w:lang w:val="en-US" w:eastAsia="zh-CN"/>
              </w:rPr>
              <w:t>等</w:t>
            </w:r>
            <w:r>
              <w:rPr>
                <w:rFonts w:hint="eastAsia" w:ascii="仿宋" w:hAnsi="仿宋" w:eastAsia="仿宋" w:cs="仿宋"/>
                <w:sz w:val="24"/>
                <w:szCs w:val="24"/>
                <w:highlight w:val="none"/>
                <w:vertAlign w:val="baseline"/>
              </w:rPr>
              <w:t>流程</w:t>
            </w:r>
            <w:r>
              <w:rPr>
                <w:rFonts w:hint="eastAsia" w:ascii="仿宋" w:hAnsi="仿宋" w:eastAsia="仿宋" w:cs="仿宋"/>
                <w:sz w:val="24"/>
                <w:szCs w:val="24"/>
                <w:highlight w:val="none"/>
                <w:vertAlign w:val="baseline"/>
                <w:lang w:val="en-US" w:eastAsia="zh-CN"/>
              </w:rPr>
              <w:t>;软件内置不少于 5 类智能体单元；</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p>
          <w:p w14:paraId="14953BAE">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物料特性参数智能推荐：基于离散元（DEM）粉碎仿真与深度学习算法，输入物料硬度、脆性等物性参数，通过仿真模拟颗粒破碎规律，自动匹配最优粉碎参数，支持虚拟试料验证，适配不少于 50 种制药常用物料。</w:t>
            </w:r>
          </w:p>
          <w:p w14:paraId="7639D524">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粒度分布预测与闭环控制：以 DEM 颗粒破碎仿真与粉碎动力学模型为核心，在线仿真粒径演化过程，结合运行数据预测出料粒度分布，自动调参实现目标粒度闭环控制。</w:t>
            </w:r>
          </w:p>
          <w:p w14:paraId="2373FF22">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刀具磨损预测与寿命管理：基于刀具冲击应力疲劳仿真模型，融合运行时长、物料特性、振动信号等多源数据，仿真复现磨损演化过程，评估磨损状态、预测剩余寿命，结果可追溯。</w:t>
            </w:r>
          </w:p>
          <w:p w14:paraId="627CBC49">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能耗</w:t>
            </w:r>
            <w:r>
              <w:rPr>
                <w:rFonts w:hint="eastAsia" w:ascii="仿宋" w:hAnsi="仿宋" w:eastAsia="仿宋" w:cs="仿宋"/>
                <w:sz w:val="24"/>
                <w:szCs w:val="24"/>
                <w:highlight w:val="none"/>
                <w:vertAlign w:val="baseline"/>
                <w:lang w:val="en-US" w:eastAsia="zh-CN"/>
              </w:rPr>
              <w:t>-</w:t>
            </w:r>
            <w:r>
              <w:rPr>
                <w:rFonts w:hint="eastAsia" w:ascii="仿宋" w:hAnsi="仿宋" w:eastAsia="仿宋" w:cs="仿宋"/>
                <w:sz w:val="24"/>
                <w:szCs w:val="24"/>
                <w:highlight w:val="none"/>
                <w:vertAlign w:val="baseline"/>
              </w:rPr>
              <w:t>产量多目标优化：内置虚拟粉碎仿真引擎，结合强化学习算法开展批量虚拟工艺实验，在质量约束下智能平衡能耗与产量，寻优过程可追溯仿真依据。</w:t>
            </w:r>
          </w:p>
          <w:p w14:paraId="3765CBDE">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异常工况诊断与溯源：支持故障注入式仿真，生成不少于 20 类故障特征数据集用于模型验证；结合实时数据智能诊断故障、定位根因并输出处置方案，支持仿真复现故障过程。</w:t>
            </w:r>
          </w:p>
          <w:p w14:paraId="05A35CD0">
            <w:pPr>
              <w:adjustRightInd w:val="0"/>
              <w:snapToGrid w:val="0"/>
              <w:spacing w:line="360" w:lineRule="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rPr>
              <w:t>▲12.压片机</w:t>
            </w:r>
            <w:r>
              <w:rPr>
                <w:rFonts w:hint="eastAsia" w:ascii="仿宋" w:hAnsi="仿宋" w:eastAsia="仿宋" w:cs="仿宋"/>
                <w:sz w:val="24"/>
                <w:szCs w:val="24"/>
                <w:highlight w:val="none"/>
                <w:vertAlign w:val="baseline"/>
                <w:lang w:val="en-US" w:eastAsia="zh-CN"/>
              </w:rPr>
              <w:t>工艺仿真</w:t>
            </w:r>
            <w:r>
              <w:rPr>
                <w:rFonts w:hint="eastAsia" w:ascii="仿宋" w:hAnsi="仿宋" w:eastAsia="仿宋" w:cs="仿宋"/>
                <w:sz w:val="24"/>
                <w:szCs w:val="24"/>
                <w:highlight w:val="none"/>
                <w:vertAlign w:val="baseline"/>
              </w:rPr>
              <w:t>：</w:t>
            </w:r>
            <w:r>
              <w:rPr>
                <w:rFonts w:hint="eastAsia" w:ascii="仿宋" w:hAnsi="仿宋" w:eastAsia="仿宋" w:cs="仿宋"/>
                <w:sz w:val="24"/>
                <w:szCs w:val="24"/>
                <w:highlight w:val="none"/>
                <w:vertAlign w:val="baseline"/>
                <w:lang w:val="en-US" w:eastAsia="zh-CN"/>
              </w:rPr>
              <w:t>至少包含</w:t>
            </w:r>
            <w:r>
              <w:rPr>
                <w:rFonts w:hint="eastAsia" w:ascii="仿宋" w:hAnsi="仿宋" w:eastAsia="仿宋" w:cs="仿宋"/>
                <w:sz w:val="24"/>
                <w:szCs w:val="24"/>
                <w:highlight w:val="none"/>
                <w:vertAlign w:val="baseline"/>
              </w:rPr>
              <w:t>粉末喂料、模具填料、预压、主压成型、脱模顶出、出料导流</w:t>
            </w:r>
            <w:r>
              <w:rPr>
                <w:rFonts w:hint="eastAsia" w:ascii="仿宋" w:hAnsi="仿宋" w:eastAsia="仿宋" w:cs="仿宋"/>
                <w:sz w:val="24"/>
                <w:szCs w:val="24"/>
                <w:highlight w:val="none"/>
                <w:vertAlign w:val="baseline"/>
                <w:lang w:val="en-US" w:eastAsia="zh-CN"/>
              </w:rPr>
              <w:t>等</w:t>
            </w:r>
            <w:r>
              <w:rPr>
                <w:rFonts w:hint="eastAsia" w:ascii="仿宋" w:hAnsi="仿宋" w:eastAsia="仿宋" w:cs="仿宋"/>
                <w:sz w:val="24"/>
                <w:szCs w:val="24"/>
                <w:highlight w:val="none"/>
                <w:vertAlign w:val="baseline"/>
              </w:rPr>
              <w:t>流程；动态动态</w:t>
            </w:r>
            <w:r>
              <w:rPr>
                <w:rFonts w:hint="eastAsia" w:ascii="仿宋" w:hAnsi="仿宋" w:eastAsia="仿宋" w:cs="仿宋"/>
                <w:sz w:val="24"/>
                <w:szCs w:val="24"/>
                <w:highlight w:val="none"/>
                <w:vertAlign w:val="baseline"/>
                <w:lang w:val="en-US" w:eastAsia="zh-CN"/>
              </w:rPr>
              <w:t>仿真需</w:t>
            </w:r>
            <w:r>
              <w:rPr>
                <w:rFonts w:hint="eastAsia" w:ascii="仿宋" w:hAnsi="仿宋" w:eastAsia="仿宋" w:cs="仿宋"/>
                <w:sz w:val="24"/>
                <w:szCs w:val="24"/>
                <w:highlight w:val="none"/>
                <w:vertAlign w:val="baseline"/>
              </w:rPr>
              <w:t>呈现</w:t>
            </w:r>
            <w:r>
              <w:rPr>
                <w:rFonts w:hint="eastAsia" w:ascii="仿宋" w:hAnsi="仿宋" w:eastAsia="仿宋" w:cs="仿宋"/>
                <w:sz w:val="24"/>
                <w:szCs w:val="24"/>
                <w:highlight w:val="none"/>
                <w:vertAlign w:val="baseline"/>
                <w:lang w:val="en-US" w:eastAsia="zh-CN"/>
              </w:rPr>
              <w:t>包含</w:t>
            </w:r>
            <w:r>
              <w:rPr>
                <w:rFonts w:hint="eastAsia" w:ascii="仿宋" w:hAnsi="仿宋" w:eastAsia="仿宋" w:cs="仿宋"/>
                <w:sz w:val="24"/>
                <w:szCs w:val="24"/>
                <w:highlight w:val="none"/>
                <w:vertAlign w:val="baseline"/>
              </w:rPr>
              <w:t>转盘旋转、上下冲模压合、粉末压实、脱模卸料</w:t>
            </w:r>
            <w:r>
              <w:rPr>
                <w:rFonts w:hint="eastAsia" w:ascii="仿宋" w:hAnsi="仿宋" w:eastAsia="仿宋" w:cs="仿宋"/>
                <w:sz w:val="24"/>
                <w:szCs w:val="24"/>
                <w:highlight w:val="none"/>
                <w:vertAlign w:val="baseline"/>
                <w:lang w:val="en-US" w:eastAsia="zh-CN"/>
              </w:rPr>
              <w:t>等至少5种动态设备展示。软件内置不少于 5 类智能功能单元；</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p>
          <w:p w14:paraId="0C38FC3C">
            <w:pPr>
              <w:adjustRightInd w:val="0"/>
              <w:snapToGrid w:val="0"/>
              <w:spacing w:line="360" w:lineRule="auto"/>
              <w:ind w:firstLine="480" w:firstLineChars="200"/>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 xml:space="preserve">片剂质量多参数智能预测：基于离散元（DEM）粉末压实仿真与深度神经网络，结合粉末物性与工艺参数，仿真模拟颗粒受压致密化过程，实时预测片剂硬度、脆碎度、重量差异等关键质量指标。 </w:t>
            </w:r>
          </w:p>
          <w:p w14:paraId="7B9A53A5">
            <w:pPr>
              <w:adjustRightInd w:val="0"/>
              <w:snapToGrid w:val="0"/>
              <w:spacing w:line="360" w:lineRule="auto"/>
              <w:ind w:firstLine="480" w:firstLineChars="200"/>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 xml:space="preserve">冲模磨损检测与寿命预测：基于冲模热 - 力耦合疲劳仿真模型，结合压片力曲线特征与视觉分析，仿真复现冲模交变载荷磨损演化过程，智能检测磨损程度、预测剩余使用寿命。 </w:t>
            </w:r>
          </w:p>
          <w:p w14:paraId="1CF26CA4">
            <w:pPr>
              <w:adjustRightInd w:val="0"/>
              <w:snapToGrid w:val="0"/>
              <w:spacing w:line="360" w:lineRule="auto"/>
              <w:ind w:firstLine="480" w:firstLineChars="200"/>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lang w:val="en-US" w:eastAsia="zh-CN"/>
              </w:rPr>
              <w:t>粉末流动性评估与填充优化：基于 DEM 填充过程仿真，结合物料特性与温湿度环境参数，仿真模拟粉末填料流动状态，智能评估流动性，自动优化填充参数以降低片重差异。 压片曲线分析与故障预警：支持故障注入式仿真，生成分层、粘冲、裂片等异常压片曲线样本用于模型验证；实时采集分析压片曲线并提前预警。</w:t>
            </w:r>
          </w:p>
          <w:p w14:paraId="30301CCD">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lang w:val="en-US" w:eastAsia="zh-CN"/>
              </w:rPr>
              <w:t>多因素耦合工艺参数寻优：内置虚拟压片仿真引擎，结合贝叶斯优化与响应面法，在质量约束下开展批量虚拟工艺实验，智能优化核心参数，模拟产能与质量稳定性综合最优。</w:t>
            </w:r>
          </w:p>
          <w:p w14:paraId="1D95F7C2">
            <w:pPr>
              <w:adjustRightInd w:val="0"/>
              <w:snapToGrid w:val="0"/>
              <w:spacing w:line="360" w:lineRule="auto"/>
              <w:rPr>
                <w:rFonts w:hint="eastAsia" w:ascii="仿宋" w:hAnsi="仿宋" w:eastAsia="仿宋" w:cs="仿宋"/>
                <w:sz w:val="24"/>
                <w:szCs w:val="24"/>
                <w:highlight w:val="none"/>
                <w:vertAlign w:val="baseline"/>
                <w:lang w:eastAsia="zh-CN"/>
              </w:rPr>
            </w:pPr>
            <w:r>
              <w:rPr>
                <w:rFonts w:hint="eastAsia" w:ascii="仿宋" w:hAnsi="仿宋" w:eastAsia="仿宋" w:cs="仿宋"/>
                <w:sz w:val="24"/>
                <w:szCs w:val="24"/>
                <w:highlight w:val="none"/>
                <w:vertAlign w:val="baseline"/>
              </w:rPr>
              <w:t>▲13.包衣机</w:t>
            </w:r>
            <w:r>
              <w:rPr>
                <w:rFonts w:hint="eastAsia" w:ascii="仿宋" w:hAnsi="仿宋" w:eastAsia="仿宋" w:cs="仿宋"/>
                <w:sz w:val="24"/>
                <w:szCs w:val="24"/>
                <w:highlight w:val="none"/>
                <w:vertAlign w:val="baseline"/>
                <w:lang w:val="en-US" w:eastAsia="zh-CN"/>
              </w:rPr>
              <w:t>工艺仿真</w:t>
            </w:r>
            <w:r>
              <w:rPr>
                <w:rFonts w:hint="eastAsia" w:ascii="仿宋" w:hAnsi="仿宋" w:eastAsia="仿宋" w:cs="仿宋"/>
                <w:sz w:val="24"/>
                <w:szCs w:val="24"/>
                <w:highlight w:val="none"/>
                <w:vertAlign w:val="baseline"/>
              </w:rPr>
              <w:t>：</w:t>
            </w:r>
            <w:r>
              <w:rPr>
                <w:rFonts w:hint="eastAsia" w:ascii="仿宋" w:hAnsi="仿宋" w:eastAsia="仿宋" w:cs="仿宋"/>
                <w:sz w:val="24"/>
                <w:szCs w:val="24"/>
                <w:highlight w:val="none"/>
                <w:vertAlign w:val="baseline"/>
                <w:lang w:val="en-US" w:eastAsia="zh-CN"/>
              </w:rPr>
              <w:t>至少包含</w:t>
            </w:r>
            <w:r>
              <w:rPr>
                <w:rFonts w:hint="eastAsia" w:ascii="仿宋" w:hAnsi="仿宋" w:eastAsia="仿宋" w:cs="仿宋"/>
                <w:sz w:val="24"/>
                <w:szCs w:val="24"/>
                <w:highlight w:val="none"/>
                <w:vertAlign w:val="baseline"/>
              </w:rPr>
              <w:t>片剂翻滚、包衣液喷雾、热风干燥、薄膜成膜固化</w:t>
            </w:r>
            <w:r>
              <w:rPr>
                <w:rFonts w:hint="eastAsia" w:ascii="仿宋" w:hAnsi="仿宋" w:eastAsia="仿宋" w:cs="仿宋"/>
                <w:sz w:val="24"/>
                <w:szCs w:val="24"/>
                <w:highlight w:val="none"/>
                <w:vertAlign w:val="baseline"/>
                <w:lang w:val="en-US" w:eastAsia="zh-CN"/>
              </w:rPr>
              <w:t>等</w:t>
            </w:r>
            <w:r>
              <w:rPr>
                <w:rFonts w:hint="eastAsia" w:ascii="仿宋" w:hAnsi="仿宋" w:eastAsia="仿宋" w:cs="仿宋"/>
                <w:sz w:val="24"/>
                <w:szCs w:val="24"/>
                <w:highlight w:val="none"/>
                <w:vertAlign w:val="baseline"/>
              </w:rPr>
              <w:t>流程；动态</w:t>
            </w:r>
            <w:r>
              <w:rPr>
                <w:rFonts w:hint="eastAsia" w:ascii="仿宋" w:hAnsi="仿宋" w:eastAsia="仿宋" w:cs="仿宋"/>
                <w:sz w:val="24"/>
                <w:szCs w:val="24"/>
                <w:highlight w:val="none"/>
                <w:vertAlign w:val="baseline"/>
                <w:lang w:val="en-US" w:eastAsia="zh-CN"/>
              </w:rPr>
              <w:t>仿真需</w:t>
            </w:r>
            <w:r>
              <w:rPr>
                <w:rFonts w:hint="eastAsia" w:ascii="仿宋" w:hAnsi="仿宋" w:eastAsia="仿宋" w:cs="仿宋"/>
                <w:sz w:val="24"/>
                <w:szCs w:val="24"/>
                <w:highlight w:val="none"/>
                <w:vertAlign w:val="baseline"/>
              </w:rPr>
              <w:t>呈现</w:t>
            </w:r>
            <w:r>
              <w:rPr>
                <w:rFonts w:hint="eastAsia" w:ascii="仿宋" w:hAnsi="仿宋" w:eastAsia="仿宋" w:cs="仿宋"/>
                <w:sz w:val="24"/>
                <w:szCs w:val="24"/>
                <w:highlight w:val="none"/>
                <w:vertAlign w:val="baseline"/>
                <w:lang w:val="en-US" w:eastAsia="zh-CN"/>
              </w:rPr>
              <w:t>包含</w:t>
            </w:r>
            <w:r>
              <w:rPr>
                <w:rFonts w:hint="eastAsia" w:ascii="仿宋" w:hAnsi="仿宋" w:eastAsia="仿宋" w:cs="仿宋"/>
                <w:sz w:val="24"/>
                <w:szCs w:val="24"/>
                <w:highlight w:val="none"/>
                <w:vertAlign w:val="baseline"/>
              </w:rPr>
              <w:t>锅体旋转、喷枪雾化、热风循环干燥</w:t>
            </w:r>
            <w:r>
              <w:rPr>
                <w:rFonts w:hint="eastAsia" w:ascii="仿宋" w:hAnsi="仿宋" w:eastAsia="仿宋" w:cs="仿宋"/>
                <w:sz w:val="24"/>
                <w:szCs w:val="24"/>
                <w:highlight w:val="none"/>
                <w:vertAlign w:val="baseline"/>
                <w:lang w:val="en-US" w:eastAsia="zh-CN"/>
              </w:rPr>
              <w:t>等至少3种动态设备展示，软件</w:t>
            </w:r>
            <w:r>
              <w:rPr>
                <w:rFonts w:hint="eastAsia" w:ascii="仿宋" w:hAnsi="仿宋" w:eastAsia="仿宋" w:cs="仿宋"/>
                <w:sz w:val="24"/>
                <w:szCs w:val="24"/>
                <w:highlight w:val="none"/>
                <w:vertAlign w:val="baseline"/>
              </w:rPr>
              <w:t>内置不少于 5 类</w:t>
            </w:r>
            <w:r>
              <w:rPr>
                <w:rFonts w:hint="eastAsia" w:ascii="仿宋" w:hAnsi="仿宋" w:eastAsia="仿宋" w:cs="仿宋"/>
                <w:sz w:val="24"/>
                <w:szCs w:val="24"/>
                <w:highlight w:val="none"/>
                <w:vertAlign w:val="baseline"/>
                <w:lang w:val="en-US" w:eastAsia="zh-CN"/>
              </w:rPr>
              <w:t>智能体</w:t>
            </w:r>
            <w:r>
              <w:rPr>
                <w:rFonts w:hint="eastAsia" w:ascii="仿宋" w:hAnsi="仿宋" w:eastAsia="仿宋" w:cs="仿宋"/>
                <w:sz w:val="24"/>
                <w:szCs w:val="24"/>
                <w:highlight w:val="none"/>
                <w:vertAlign w:val="baseline"/>
              </w:rPr>
              <w:t>单元</w:t>
            </w:r>
            <w:r>
              <w:rPr>
                <w:rFonts w:hint="eastAsia" w:ascii="仿宋" w:hAnsi="仿宋" w:eastAsia="仿宋" w:cs="仿宋"/>
                <w:sz w:val="24"/>
                <w:szCs w:val="24"/>
                <w:highlight w:val="none"/>
                <w:vertAlign w:val="baseline"/>
                <w:lang w:eastAsia="zh-CN"/>
              </w:rPr>
              <w:t>；</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p>
          <w:p w14:paraId="5B06C16C">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包衣膜厚度均匀性预测：</w:t>
            </w:r>
            <w:r>
              <w:rPr>
                <w:rFonts w:hint="eastAsia" w:ascii="仿宋" w:hAnsi="仿宋" w:eastAsia="仿宋" w:cs="仿宋"/>
                <w:sz w:val="24"/>
                <w:szCs w:val="24"/>
                <w:highlight w:val="none"/>
                <w:vertAlign w:val="baseline"/>
                <w:lang w:val="en-US" w:eastAsia="zh-CN"/>
              </w:rPr>
              <w:t>应能</w:t>
            </w:r>
            <w:r>
              <w:rPr>
                <w:rFonts w:hint="eastAsia" w:ascii="仿宋" w:hAnsi="仿宋" w:eastAsia="仿宋" w:cs="仿宋"/>
                <w:sz w:val="24"/>
                <w:szCs w:val="24"/>
                <w:highlight w:val="none"/>
                <w:vertAlign w:val="baseline"/>
              </w:rPr>
              <w:t xml:space="preserve">仿真模拟片剂表面液滴沉积成膜过程，实时预测膜厚分布，输出喷雾参数与锅体转速优化建议。 </w:t>
            </w:r>
          </w:p>
          <w:p w14:paraId="0081C330">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喷雾雾化效果评估优化：结合喷雾动力学仿真与图像识别技术，仿真模拟雾化粒径、锥角与形态分布，智能评估雾化效果，输出喷枪参数优化方案。 </w:t>
            </w:r>
          </w:p>
          <w:p w14:paraId="484D7CE7">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干燥温湿度协同控制：基于片床温湿度场仿真与多变量预测控制算法，仿真模拟热风循环与水分蒸发过程，协同调控进风参数，稳定片床温度。 </w:t>
            </w:r>
          </w:p>
          <w:p w14:paraId="219EBE44">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包衣液配方智能推荐：内置包衣配方工艺仿真引擎，结合目标释放特性与片芯参数，智能匹配推荐包衣液配方及对应工艺参数，适配多种释药场景。 </w:t>
            </w:r>
          </w:p>
          <w:p w14:paraId="32F3C440">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包衣缺陷诊断与解决：支持缺陷注入式仿真，生成不少于 15 类常见包衣缺陷特征样本用于模型验证；结合实时数据智能诊断成因，输出参数调整方案。</w:t>
            </w:r>
          </w:p>
          <w:p w14:paraId="1D6A9881">
            <w:pPr>
              <w:adjustRightInd w:val="0"/>
              <w:snapToGrid w:val="0"/>
              <w:spacing w:line="360" w:lineRule="auto"/>
              <w:rPr>
                <w:rFonts w:hint="eastAsia" w:ascii="仿宋" w:hAnsi="仿宋" w:eastAsia="仿宋" w:cs="仿宋"/>
                <w:sz w:val="24"/>
                <w:szCs w:val="24"/>
                <w:highlight w:val="none"/>
                <w:vertAlign w:val="baseline"/>
                <w:lang w:eastAsia="zh-CN"/>
              </w:rPr>
            </w:pPr>
            <w:r>
              <w:rPr>
                <w:rFonts w:hint="eastAsia" w:ascii="仿宋" w:hAnsi="仿宋" w:eastAsia="仿宋" w:cs="仿宋"/>
                <w:sz w:val="24"/>
                <w:szCs w:val="24"/>
                <w:highlight w:val="none"/>
                <w:vertAlign w:val="baseline"/>
              </w:rPr>
              <w:t>▲14.流化床制粒机</w:t>
            </w:r>
            <w:r>
              <w:rPr>
                <w:rFonts w:hint="eastAsia" w:ascii="仿宋" w:hAnsi="仿宋" w:eastAsia="仿宋" w:cs="仿宋"/>
                <w:sz w:val="24"/>
                <w:szCs w:val="24"/>
                <w:highlight w:val="none"/>
                <w:vertAlign w:val="baseline"/>
                <w:lang w:val="en-US" w:eastAsia="zh-CN"/>
              </w:rPr>
              <w:t>工艺仿真</w:t>
            </w:r>
            <w:r>
              <w:rPr>
                <w:rFonts w:hint="eastAsia" w:ascii="仿宋" w:hAnsi="仿宋" w:eastAsia="仿宋" w:cs="仿宋"/>
                <w:sz w:val="24"/>
                <w:szCs w:val="24"/>
                <w:highlight w:val="none"/>
                <w:vertAlign w:val="baseline"/>
              </w:rPr>
              <w:t>：</w:t>
            </w:r>
            <w:r>
              <w:rPr>
                <w:rFonts w:hint="eastAsia" w:ascii="仿宋" w:hAnsi="仿宋" w:eastAsia="仿宋" w:cs="仿宋"/>
                <w:sz w:val="24"/>
                <w:szCs w:val="24"/>
                <w:highlight w:val="none"/>
                <w:vertAlign w:val="baseline"/>
                <w:lang w:val="en-US" w:eastAsia="zh-CN"/>
              </w:rPr>
              <w:t>至少包含</w:t>
            </w:r>
            <w:r>
              <w:rPr>
                <w:rFonts w:hint="eastAsia" w:ascii="仿宋" w:hAnsi="仿宋" w:eastAsia="仿宋" w:cs="仿宋"/>
                <w:sz w:val="24"/>
                <w:szCs w:val="24"/>
                <w:highlight w:val="none"/>
                <w:vertAlign w:val="baseline"/>
              </w:rPr>
              <w:t>粉体流化、双流体喷枪雾化黏合剂喷涂、粉体聚结成粒、热风沸腾干燥、脉冲除尘滤袋清灰</w:t>
            </w:r>
            <w:r>
              <w:rPr>
                <w:rFonts w:hint="eastAsia" w:ascii="仿宋" w:hAnsi="仿宋" w:eastAsia="仿宋" w:cs="仿宋"/>
                <w:sz w:val="24"/>
                <w:szCs w:val="24"/>
                <w:highlight w:val="none"/>
                <w:vertAlign w:val="baseline"/>
                <w:lang w:val="en-US" w:eastAsia="zh-CN"/>
              </w:rPr>
              <w:t>等</w:t>
            </w:r>
            <w:r>
              <w:rPr>
                <w:rFonts w:hint="eastAsia" w:ascii="仿宋" w:hAnsi="仿宋" w:eastAsia="仿宋" w:cs="仿宋"/>
                <w:sz w:val="24"/>
                <w:szCs w:val="24"/>
                <w:highlight w:val="none"/>
                <w:vertAlign w:val="baseline"/>
              </w:rPr>
              <w:t>流程；动态呈现</w:t>
            </w:r>
            <w:r>
              <w:rPr>
                <w:rFonts w:hint="eastAsia" w:ascii="仿宋" w:hAnsi="仿宋" w:eastAsia="仿宋" w:cs="仿宋"/>
                <w:sz w:val="24"/>
                <w:szCs w:val="24"/>
                <w:highlight w:val="none"/>
                <w:vertAlign w:val="baseline"/>
                <w:lang w:val="en-US" w:eastAsia="zh-CN"/>
              </w:rPr>
              <w:t>至少包含</w:t>
            </w:r>
            <w:r>
              <w:rPr>
                <w:rFonts w:hint="eastAsia" w:ascii="仿宋" w:hAnsi="仿宋" w:eastAsia="仿宋" w:cs="仿宋"/>
                <w:sz w:val="24"/>
                <w:szCs w:val="24"/>
                <w:highlight w:val="none"/>
                <w:vertAlign w:val="baseline"/>
              </w:rPr>
              <w:t>流态化循环、雾化喷液团聚、热风循环干燥、滤袋往复除尘</w:t>
            </w:r>
            <w:r>
              <w:rPr>
                <w:rFonts w:hint="eastAsia" w:ascii="仿宋" w:hAnsi="仿宋" w:eastAsia="仿宋" w:cs="仿宋"/>
                <w:sz w:val="24"/>
                <w:szCs w:val="24"/>
                <w:highlight w:val="none"/>
                <w:vertAlign w:val="baseline"/>
                <w:lang w:val="en-US" w:eastAsia="zh-CN"/>
              </w:rPr>
              <w:t>等至少4种动态设备展示</w:t>
            </w:r>
            <w:r>
              <w:rPr>
                <w:rFonts w:hint="eastAsia" w:ascii="仿宋" w:hAnsi="仿宋" w:eastAsia="仿宋" w:cs="仿宋"/>
                <w:sz w:val="24"/>
                <w:szCs w:val="24"/>
                <w:highlight w:val="none"/>
                <w:vertAlign w:val="baseline"/>
              </w:rPr>
              <w:t>；</w:t>
            </w:r>
            <w:r>
              <w:rPr>
                <w:rFonts w:hint="eastAsia" w:ascii="仿宋" w:hAnsi="仿宋" w:eastAsia="仿宋" w:cs="仿宋"/>
                <w:sz w:val="24"/>
                <w:szCs w:val="24"/>
                <w:highlight w:val="none"/>
                <w:vertAlign w:val="baseline"/>
                <w:lang w:val="en-US" w:eastAsia="zh-CN"/>
              </w:rPr>
              <w:t>软件</w:t>
            </w:r>
            <w:r>
              <w:rPr>
                <w:rFonts w:hint="eastAsia" w:ascii="仿宋" w:hAnsi="仿宋" w:eastAsia="仿宋" w:cs="仿宋"/>
                <w:sz w:val="24"/>
                <w:szCs w:val="24"/>
                <w:highlight w:val="none"/>
                <w:vertAlign w:val="baseline"/>
              </w:rPr>
              <w:t>内置不少于 5 类</w:t>
            </w:r>
            <w:r>
              <w:rPr>
                <w:rFonts w:hint="eastAsia" w:ascii="仿宋" w:hAnsi="仿宋" w:eastAsia="仿宋" w:cs="仿宋"/>
                <w:sz w:val="24"/>
                <w:szCs w:val="24"/>
                <w:highlight w:val="none"/>
                <w:vertAlign w:val="baseline"/>
                <w:lang w:val="en-US" w:eastAsia="zh-CN"/>
              </w:rPr>
              <w:t>智能体</w:t>
            </w:r>
            <w:r>
              <w:rPr>
                <w:rFonts w:hint="eastAsia" w:ascii="仿宋" w:hAnsi="仿宋" w:eastAsia="仿宋" w:cs="仿宋"/>
                <w:sz w:val="24"/>
                <w:szCs w:val="24"/>
                <w:highlight w:val="none"/>
                <w:vertAlign w:val="baseline"/>
              </w:rPr>
              <w:t>单元</w:t>
            </w:r>
            <w:r>
              <w:rPr>
                <w:rFonts w:hint="eastAsia" w:ascii="仿宋" w:hAnsi="仿宋" w:eastAsia="仿宋" w:cs="仿宋"/>
                <w:sz w:val="24"/>
                <w:szCs w:val="24"/>
                <w:highlight w:val="none"/>
                <w:vertAlign w:val="baseline"/>
                <w:lang w:eastAsia="zh-CN"/>
              </w:rPr>
              <w:t>；</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p>
          <w:p w14:paraId="4EC8E951">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颗粒成长趋势实时预测：基于群体平衡模型（PBM）颗粒生长仿真，融合实时运行数据，在线仿真颗粒粒度演化过程，预测粒度分布与成长趋势。  </w:t>
            </w:r>
          </w:p>
          <w:p w14:paraId="051DA067">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黏合剂喷雾策略优化：基于颗粒生长动力学仿真模型，仿真模拟喷雾团聚过程，智能优化喷雾速率、时长与间隔策略，精准控制目标粒度分布。 </w:t>
            </w:r>
          </w:p>
          <w:p w14:paraId="563C402D">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制粒终点多维度判断：内置多场耦合制粒仿真引擎，结合颗粒粒度、温湿度、能耗等数据，通过集成学习模型智能判定制粒终点，提升批次一致性。 </w:t>
            </w:r>
          </w:p>
          <w:p w14:paraId="26625032">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制粒问题智能诊断溯源：支持故障注入式仿真，生成不少于 12 类常见制粒异常特征数据集用于模型验证；结合实时数据智能诊断异常、输出调整方案。</w:t>
            </w:r>
          </w:p>
          <w:p w14:paraId="002F1F42">
            <w:pPr>
              <w:adjustRightInd w:val="0"/>
              <w:snapToGrid w:val="0"/>
              <w:spacing w:line="360" w:lineRule="auto"/>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kern w:val="2"/>
                <w:sz w:val="24"/>
                <w:szCs w:val="24"/>
                <w:highlight w:val="none"/>
                <w:vertAlign w:val="baseline"/>
                <w:lang w:val="en-US" w:eastAsia="zh-CN" w:bidi="ar-SA"/>
              </w:rPr>
              <w:t>▲15.铝塑包装机工艺仿真：至少包含PVC 放卷、加热拉伸泡罩成型、物料充填、铝箔覆膜压合、热封密封、压痕冲切裁断等工艺流程；动态仿真需呈现泡罩热成型、铝箔 PVC 压合密封、模具冲切分离等至少4种运行过程。软件内置不少于 5 类智能体单元；</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p>
          <w:p w14:paraId="1F1102C7">
            <w:pPr>
              <w:adjustRightInd w:val="0"/>
              <w:snapToGrid w:val="0"/>
              <w:spacing w:line="360" w:lineRule="auto"/>
              <w:ind w:firstLine="480" w:firstLineChars="200"/>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kern w:val="2"/>
                <w:sz w:val="24"/>
                <w:szCs w:val="24"/>
                <w:highlight w:val="none"/>
                <w:vertAlign w:val="baseline"/>
                <w:lang w:val="en-US" w:eastAsia="zh-CN" w:bidi="ar-SA"/>
              </w:rPr>
              <w:t>泡罩成型质量检测优化：基于泡罩热成型力学仿真与机器视觉技术，仿真模拟材料拉伸成型过程，实时检测成型缺陷，自动优化加热、成型参数。</w:t>
            </w:r>
          </w:p>
          <w:p w14:paraId="74AB68D9">
            <w:pPr>
              <w:adjustRightInd w:val="0"/>
              <w:snapToGrid w:val="0"/>
              <w:spacing w:line="360" w:lineRule="auto"/>
              <w:ind w:firstLine="480" w:firstLineChars="200"/>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kern w:val="2"/>
                <w:sz w:val="24"/>
                <w:szCs w:val="24"/>
                <w:highlight w:val="none"/>
                <w:vertAlign w:val="baseline"/>
                <w:lang w:val="en-US" w:eastAsia="zh-CN" w:bidi="ar-SA"/>
              </w:rPr>
              <w:t>热封强度预测与控制：基于热封多物理场耦合仿真与深度学习模型，结合工艺参数与材料特性仿真密封成型过程，预测热封强度。</w:t>
            </w:r>
          </w:p>
          <w:p w14:paraId="1D2BF9F5">
            <w:pPr>
              <w:adjustRightInd w:val="0"/>
              <w:snapToGrid w:val="0"/>
              <w:spacing w:line="360" w:lineRule="auto"/>
              <w:ind w:firstLine="480" w:firstLineChars="200"/>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kern w:val="2"/>
                <w:sz w:val="24"/>
                <w:szCs w:val="24"/>
                <w:highlight w:val="none"/>
                <w:vertAlign w:val="baseline"/>
                <w:lang w:val="en-US" w:eastAsia="zh-CN" w:bidi="ar-SA"/>
              </w:rPr>
              <w:t>药片充填质量视觉检测：结合高速视觉仿真检测模型，实时识别缺粒、破损、错装、多装等异常，支持不合格品剔除模拟。</w:t>
            </w:r>
          </w:p>
          <w:p w14:paraId="6A9331FD">
            <w:pPr>
              <w:adjustRightInd w:val="0"/>
              <w:snapToGrid w:val="0"/>
              <w:spacing w:line="360" w:lineRule="auto"/>
              <w:ind w:firstLine="480" w:firstLineChars="200"/>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kern w:val="2"/>
                <w:sz w:val="24"/>
                <w:szCs w:val="24"/>
                <w:highlight w:val="none"/>
                <w:vertAlign w:val="baseline"/>
                <w:lang w:val="en-US" w:eastAsia="zh-CN" w:bidi="ar-SA"/>
              </w:rPr>
              <w:t>包装材料张力智能控制：基于材料张力动力学仿真与伺服闭环模型，仿真模拟走料过程张力变化，智能调控材料张力，避免变形跑偏。</w:t>
            </w:r>
          </w:p>
          <w:p w14:paraId="26D0061B">
            <w:pPr>
              <w:adjustRightInd w:val="0"/>
              <w:snapToGrid w:val="0"/>
              <w:spacing w:line="360" w:lineRule="auto"/>
              <w:ind w:firstLine="480" w:firstLineChars="200"/>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kern w:val="2"/>
                <w:sz w:val="24"/>
                <w:szCs w:val="24"/>
                <w:highlight w:val="none"/>
                <w:vertAlign w:val="baseline"/>
                <w:lang w:val="en-US" w:eastAsia="zh-CN" w:bidi="ar-SA"/>
              </w:rPr>
              <w:t>冲切精度监测与模具预警：基于模具磨损疲劳仿真与视觉检测技术，仿真复现模具磨损演化过程，实时监测冲切精度，预测模具剩余寿命。</w:t>
            </w:r>
          </w:p>
          <w:p w14:paraId="50B35C80">
            <w:pPr>
              <w:adjustRightInd w:val="0"/>
              <w:snapToGrid w:val="0"/>
              <w:spacing w:line="360" w:lineRule="auto"/>
              <w:rPr>
                <w:rFonts w:hint="eastAsia"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kern w:val="2"/>
                <w:sz w:val="24"/>
                <w:szCs w:val="24"/>
                <w:highlight w:val="none"/>
                <w:vertAlign w:val="baseline"/>
                <w:lang w:val="en-US" w:eastAsia="zh-CN" w:bidi="ar-SA"/>
              </w:rPr>
              <w:t xml:space="preserve">四、PC电脑版 </w:t>
            </w:r>
          </w:p>
          <w:p w14:paraId="6F8EF9A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06" w:lineRule="atLeast"/>
              <w:ind w:left="-360" w:leftChars="0" w:right="0" w:rightChars="0" w:firstLine="960" w:firstLineChars="400"/>
              <w:jc w:val="left"/>
              <w:rPr>
                <w:rFonts w:hint="eastAsia" w:ascii="仿宋" w:hAnsi="仿宋" w:eastAsia="仿宋" w:cs="仿宋"/>
                <w:sz w:val="24"/>
                <w:szCs w:val="24"/>
                <w:highlight w:val="none"/>
                <w:vertAlign w:val="baseline"/>
              </w:rPr>
            </w:pPr>
            <w:r>
              <w:rPr>
                <w:rFonts w:hint="eastAsia" w:ascii="仿宋" w:hAnsi="仿宋" w:eastAsia="仿宋" w:cs="仿宋"/>
                <w:b w:val="0"/>
                <w:bCs w:val="0"/>
                <w:kern w:val="2"/>
                <w:sz w:val="24"/>
                <w:szCs w:val="24"/>
                <w:highlight w:val="none"/>
                <w:vertAlign w:val="baseline"/>
                <w:lang w:val="en-US" w:eastAsia="zh-CN" w:bidi="ar-SA"/>
              </w:rPr>
              <w:t>16.适配 Windows 10 及以上操作系统，兼容台式机、图形工作站及大屏教学设备，支持 4K 高清渲染，运行流畅无卡顿；</w:t>
            </w:r>
            <w:r>
              <w:rPr>
                <w:rFonts w:hint="eastAsia" w:ascii="仿宋" w:hAnsi="仿宋" w:eastAsia="仿宋" w:cs="仿宋"/>
                <w:sz w:val="24"/>
                <w:szCs w:val="24"/>
                <w:highlight w:val="none"/>
                <w:vertAlign w:val="baseline"/>
              </w:rPr>
              <w:t xml:space="preserve"> </w:t>
            </w:r>
          </w:p>
          <w:p w14:paraId="0BDBD70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06" w:lineRule="atLeast"/>
              <w:ind w:left="-360" w:leftChars="0" w:right="0" w:rightChars="0" w:firstLine="960" w:firstLineChars="400"/>
              <w:jc w:val="left"/>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17.</w:t>
            </w:r>
            <w:r>
              <w:rPr>
                <w:rFonts w:hint="eastAsia" w:ascii="仿宋" w:hAnsi="仿宋" w:eastAsia="仿宋" w:cs="仿宋"/>
                <w:b w:val="0"/>
                <w:bCs w:val="0"/>
                <w:kern w:val="2"/>
                <w:sz w:val="24"/>
                <w:szCs w:val="24"/>
                <w:highlight w:val="none"/>
                <w:vertAlign w:val="baseline"/>
                <w:lang w:val="en-US" w:eastAsia="zh-CN" w:bidi="ar-SA"/>
              </w:rPr>
              <w:t>设备简介模块：采用文字说明 + 高清设备实拍图 + 三维缩略图的形式展示设备基础信息；</w:t>
            </w:r>
          </w:p>
          <w:p w14:paraId="3B0A11F0">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18.</w:t>
            </w:r>
            <w:r>
              <w:rPr>
                <w:rFonts w:hint="eastAsia" w:ascii="仿宋" w:hAnsi="仿宋" w:eastAsia="仿宋" w:cs="仿宋"/>
                <w:b w:val="0"/>
                <w:bCs w:val="0"/>
                <w:kern w:val="2"/>
                <w:sz w:val="24"/>
                <w:szCs w:val="24"/>
                <w:highlight w:val="none"/>
                <w:vertAlign w:val="baseline"/>
                <w:lang w:val="en-US" w:eastAsia="zh-CN" w:bidi="ar-SA"/>
              </w:rPr>
              <w:t>自动拆解功能：按照真实设备拆解逻辑进行爆炸式动态演示，同步标注对应部件名称</w:t>
            </w:r>
            <w:r>
              <w:rPr>
                <w:rFonts w:hint="eastAsia" w:ascii="仿宋" w:hAnsi="仿宋" w:eastAsia="仿宋" w:cs="仿宋"/>
                <w:sz w:val="24"/>
                <w:szCs w:val="24"/>
                <w:highlight w:val="none"/>
                <w:vertAlign w:val="baseline"/>
              </w:rPr>
              <w:t xml:space="preserve"> </w:t>
            </w:r>
          </w:p>
          <w:p w14:paraId="1ECED2E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06" w:lineRule="atLeast"/>
              <w:ind w:left="-360" w:leftChars="0" w:right="0" w:rightChars="0" w:firstLine="960" w:firstLineChars="400"/>
              <w:jc w:val="left"/>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19.</w:t>
            </w:r>
            <w:r>
              <w:rPr>
                <w:rFonts w:hint="eastAsia" w:ascii="仿宋" w:hAnsi="仿宋" w:eastAsia="仿宋" w:cs="仿宋"/>
                <w:b w:val="0"/>
                <w:bCs w:val="0"/>
                <w:kern w:val="2"/>
                <w:sz w:val="24"/>
                <w:szCs w:val="24"/>
                <w:highlight w:val="none"/>
                <w:vertAlign w:val="baseline"/>
                <w:lang w:val="en-US" w:eastAsia="zh-CN" w:bidi="ar-SA"/>
              </w:rPr>
              <w:t>手动拆解功能：支持鼠标交互操作，搭配高亮引导，通过点击、拖动高亮部件模拟设备拆卸过程；</w:t>
            </w:r>
          </w:p>
          <w:p w14:paraId="542B56E8">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20.</w:t>
            </w:r>
            <w:r>
              <w:rPr>
                <w:rFonts w:hint="eastAsia" w:ascii="仿宋" w:hAnsi="仿宋" w:eastAsia="仿宋" w:cs="仿宋"/>
                <w:b w:val="0"/>
                <w:bCs w:val="0"/>
                <w:kern w:val="2"/>
                <w:sz w:val="24"/>
                <w:szCs w:val="24"/>
                <w:highlight w:val="none"/>
                <w:vertAlign w:val="baseline"/>
                <w:lang w:val="en-US" w:eastAsia="zh-CN" w:bidi="ar-SA"/>
              </w:rPr>
              <w:t>手动组装功能：按照真实设备组装逻辑分步提示，使用者从部件库中选择部件拖动至对应安装位置即可完成组装</w:t>
            </w:r>
            <w:r>
              <w:rPr>
                <w:rFonts w:hint="eastAsia" w:ascii="仿宋" w:hAnsi="仿宋" w:eastAsia="仿宋" w:cs="仿宋"/>
                <w:sz w:val="24"/>
                <w:szCs w:val="24"/>
                <w:highlight w:val="none"/>
                <w:vertAlign w:val="baseline"/>
              </w:rPr>
              <w:t xml:space="preserve">； </w:t>
            </w:r>
          </w:p>
          <w:p w14:paraId="5245C6EB">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21.</w:t>
            </w:r>
            <w:r>
              <w:rPr>
                <w:rFonts w:hint="eastAsia" w:ascii="仿宋" w:hAnsi="仿宋" w:eastAsia="仿宋" w:cs="仿宋"/>
                <w:b w:val="0"/>
                <w:bCs w:val="0"/>
                <w:kern w:val="2"/>
                <w:sz w:val="24"/>
                <w:szCs w:val="24"/>
                <w:highlight w:val="none"/>
                <w:vertAlign w:val="baseline"/>
                <w:lang w:val="en-US" w:eastAsia="zh-CN" w:bidi="ar-SA"/>
              </w:rPr>
              <w:t>工作原理演示：采用动态仿真动画 + 图文同步注解 + 语音讲解的形式，直观展示设备工作原理</w:t>
            </w:r>
            <w:r>
              <w:rPr>
                <w:rFonts w:hint="eastAsia" w:ascii="仿宋" w:hAnsi="仿宋" w:eastAsia="仿宋" w:cs="仿宋"/>
                <w:sz w:val="24"/>
                <w:szCs w:val="24"/>
                <w:highlight w:val="none"/>
                <w:vertAlign w:val="baseline"/>
              </w:rPr>
              <w:t xml:space="preserve">； </w:t>
            </w:r>
          </w:p>
          <w:p w14:paraId="774ACCC1">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22. </w:t>
            </w:r>
            <w:r>
              <w:rPr>
                <w:rFonts w:hint="eastAsia" w:ascii="仿宋" w:hAnsi="仿宋" w:eastAsia="仿宋" w:cs="仿宋"/>
                <w:b w:val="0"/>
                <w:bCs w:val="0"/>
                <w:kern w:val="2"/>
                <w:sz w:val="24"/>
                <w:szCs w:val="24"/>
                <w:highlight w:val="none"/>
                <w:vertAlign w:val="baseline"/>
                <w:lang w:val="en-US" w:eastAsia="zh-CN" w:bidi="ar-SA"/>
              </w:rPr>
              <w:t>设备部件认知模块：点击零部件即可弹出详情面板，内容包含部件核心功能、安装位置、常见故障排除、装配关联关系、拆装注意事项</w:t>
            </w:r>
            <w:r>
              <w:rPr>
                <w:rFonts w:hint="eastAsia" w:ascii="仿宋" w:hAnsi="仿宋" w:eastAsia="仿宋" w:cs="仿宋"/>
                <w:sz w:val="24"/>
                <w:szCs w:val="24"/>
                <w:highlight w:val="none"/>
                <w:vertAlign w:val="baseline"/>
              </w:rPr>
              <w:t xml:space="preserve">。 </w:t>
            </w:r>
          </w:p>
          <w:p w14:paraId="343F5859">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五、Web网页版</w:t>
            </w:r>
          </w:p>
          <w:p w14:paraId="4E8228AE">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23.无需下载安装，兼容Chrome、Edge、Firefox等主流浏览器； </w:t>
            </w:r>
          </w:p>
          <w:p w14:paraId="096DC050">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24.</w:t>
            </w:r>
            <w:r>
              <w:rPr>
                <w:rFonts w:hint="eastAsia" w:ascii="仿宋" w:hAnsi="仿宋" w:eastAsia="仿宋" w:cs="仿宋"/>
                <w:b w:val="0"/>
                <w:bCs w:val="0"/>
                <w:kern w:val="2"/>
                <w:sz w:val="24"/>
                <w:szCs w:val="24"/>
                <w:highlight w:val="none"/>
                <w:vertAlign w:val="baseline"/>
                <w:lang w:val="en-US" w:eastAsia="zh-CN" w:bidi="ar-SA"/>
              </w:rPr>
              <w:t>核心实训功能与 PC 版保持一致，自适应不同分辨率的电脑、平板设备，通过浏览器访问即可开展实训</w:t>
            </w:r>
            <w:r>
              <w:rPr>
                <w:rFonts w:hint="eastAsia" w:ascii="仿宋" w:hAnsi="仿宋" w:eastAsia="仿宋" w:cs="仿宋"/>
                <w:sz w:val="24"/>
                <w:szCs w:val="24"/>
                <w:highlight w:val="none"/>
                <w:vertAlign w:val="baseline"/>
              </w:rPr>
              <w:t>。</w:t>
            </w:r>
          </w:p>
          <w:p w14:paraId="67919CEF">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六、手机移动版 </w:t>
            </w:r>
          </w:p>
          <w:p w14:paraId="4DBB5E70">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25.</w:t>
            </w:r>
            <w:r>
              <w:rPr>
                <w:rFonts w:hint="eastAsia" w:ascii="仿宋" w:hAnsi="仿宋" w:eastAsia="仿宋" w:cs="仿宋"/>
                <w:b w:val="0"/>
                <w:bCs w:val="0"/>
                <w:kern w:val="2"/>
                <w:sz w:val="24"/>
                <w:szCs w:val="24"/>
                <w:highlight w:val="none"/>
                <w:vertAlign w:val="baseline"/>
                <w:lang w:val="en-US" w:eastAsia="zh-CN" w:bidi="ar-SA"/>
              </w:rPr>
              <w:t>适配安卓 6.0 及以上系统的手机与平板设备，界面屏幕自适应，核心实训功能与 PC 版同步</w:t>
            </w:r>
            <w:r>
              <w:rPr>
                <w:rFonts w:hint="eastAsia" w:ascii="仿宋" w:hAnsi="仿宋" w:eastAsia="仿宋" w:cs="仿宋"/>
                <w:sz w:val="24"/>
                <w:szCs w:val="24"/>
                <w:highlight w:val="none"/>
                <w:vertAlign w:val="baseline"/>
              </w:rPr>
              <w:t xml:space="preserve">。 </w:t>
            </w:r>
          </w:p>
          <w:p w14:paraId="3B93FA64">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七、VR版 </w:t>
            </w:r>
          </w:p>
          <w:p w14:paraId="3FD54809">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26.</w:t>
            </w:r>
            <w:r>
              <w:rPr>
                <w:rFonts w:hint="eastAsia" w:ascii="仿宋" w:hAnsi="仿宋" w:eastAsia="仿宋" w:cs="仿宋"/>
                <w:b w:val="0"/>
                <w:bCs w:val="0"/>
                <w:kern w:val="2"/>
                <w:sz w:val="24"/>
                <w:szCs w:val="24"/>
                <w:highlight w:val="none"/>
                <w:vertAlign w:val="baseline"/>
                <w:lang w:val="en-US" w:eastAsia="zh-CN" w:bidi="ar-SA"/>
              </w:rPr>
              <w:t>适配主流 VR 头显设备，优化空间定位精度、手势交互灵敏度与双目全景显示效果，还原沉浸式实训操作体验</w:t>
            </w:r>
            <w:r>
              <w:rPr>
                <w:rFonts w:hint="eastAsia" w:ascii="仿宋" w:hAnsi="仿宋" w:eastAsia="仿宋" w:cs="仿宋"/>
                <w:sz w:val="24"/>
                <w:szCs w:val="24"/>
                <w:highlight w:val="none"/>
                <w:vertAlign w:val="baseline"/>
              </w:rPr>
              <w:t xml:space="preserve">。 </w:t>
            </w:r>
          </w:p>
          <w:p w14:paraId="5B696C38">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八、桌面VR设备版 </w:t>
            </w:r>
          </w:p>
          <w:p w14:paraId="05CA2D5C">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27.</w:t>
            </w:r>
            <w:r>
              <w:rPr>
                <w:rFonts w:hint="eastAsia" w:ascii="仿宋" w:hAnsi="仿宋" w:eastAsia="仿宋" w:cs="仿宋"/>
                <w:b w:val="0"/>
                <w:bCs w:val="0"/>
                <w:kern w:val="2"/>
                <w:sz w:val="24"/>
                <w:szCs w:val="24"/>
                <w:highlight w:val="none"/>
                <w:vertAlign w:val="baseline"/>
                <w:lang w:val="en-US" w:eastAsia="zh-CN" w:bidi="ar-SA"/>
              </w:rPr>
              <w:t>适配桌面级 VR 交互设备，兼容裸眼 3D 显示、追踪笔等交互外设，适配桌面教学场景</w:t>
            </w:r>
            <w:r>
              <w:rPr>
                <w:rFonts w:hint="eastAsia" w:ascii="仿宋" w:hAnsi="仿宋" w:eastAsia="仿宋" w:cs="仿宋"/>
                <w:sz w:val="24"/>
                <w:szCs w:val="24"/>
                <w:highlight w:val="none"/>
                <w:vertAlign w:val="baseline"/>
              </w:rPr>
              <w:t>。</w:t>
            </w:r>
          </w:p>
          <w:p w14:paraId="20468939">
            <w:pPr>
              <w:pStyle w:val="4"/>
              <w:numPr>
                <w:ilvl w:val="0"/>
                <w:numId w:val="0"/>
              </w:numPr>
              <w:snapToGrid w:val="0"/>
              <w:ind w:left="0" w:leftChars="0" w:right="0" w:rightChars="0" w:firstLine="0" w:firstLineChars="0"/>
              <w:jc w:val="left"/>
              <w:rPr>
                <w:rFonts w:hint="eastAsia" w:ascii="仿宋" w:hAnsi="仿宋" w:eastAsia="仿宋" w:cs="仿宋"/>
                <w:sz w:val="24"/>
                <w:szCs w:val="24"/>
                <w:highlight w:val="none"/>
                <w:vertAlign w:val="baseline"/>
                <w:lang w:eastAsia="zh-CN"/>
              </w:rPr>
            </w:pPr>
            <w:r>
              <w:rPr>
                <w:rFonts w:hint="eastAsia" w:ascii="仿宋" w:hAnsi="仿宋" w:eastAsia="仿宋"/>
                <w:sz w:val="28"/>
                <w:szCs w:val="28"/>
                <w:highlight w:val="none"/>
              </w:rPr>
              <w:t>★</w:t>
            </w:r>
            <w:r>
              <w:rPr>
                <w:rFonts w:hint="eastAsia" w:ascii="仿宋" w:hAnsi="仿宋" w:eastAsia="仿宋" w:cs="仿宋"/>
                <w:b/>
                <w:bCs/>
                <w:sz w:val="24"/>
                <w:szCs w:val="24"/>
                <w:highlight w:val="none"/>
                <w:vertAlign w:val="baseline"/>
              </w:rPr>
              <w:t>九、智能设备辅助条件改造</w:t>
            </w:r>
            <w:r>
              <w:rPr>
                <w:rFonts w:hint="eastAsia" w:ascii="仿宋" w:hAnsi="仿宋" w:eastAsia="仿宋" w:cs="仿宋"/>
                <w:b/>
                <w:bCs/>
                <w:sz w:val="24"/>
                <w:szCs w:val="24"/>
                <w:highlight w:val="none"/>
                <w:vertAlign w:val="baseline"/>
                <w:lang w:eastAsia="zh-CN"/>
              </w:rPr>
              <w:t>（</w:t>
            </w:r>
            <w:r>
              <w:rPr>
                <w:rFonts w:hint="eastAsia" w:ascii="仿宋" w:hAnsi="仿宋" w:eastAsia="仿宋" w:cs="仿宋"/>
                <w:b/>
                <w:bCs/>
                <w:sz w:val="24"/>
                <w:szCs w:val="24"/>
                <w:highlight w:val="none"/>
                <w:vertAlign w:val="baseline"/>
              </w:rPr>
              <w:t>整体</w:t>
            </w:r>
            <w:r>
              <w:rPr>
                <w:rFonts w:hint="eastAsia" w:ascii="仿宋" w:hAnsi="仿宋" w:eastAsia="仿宋" w:cs="仿宋"/>
                <w:b/>
                <w:bCs/>
                <w:sz w:val="24"/>
                <w:szCs w:val="24"/>
                <w:highlight w:val="none"/>
                <w:vertAlign w:val="baseline"/>
                <w:lang w:eastAsia="zh-CN"/>
              </w:rPr>
              <w:t>改造</w:t>
            </w:r>
            <w:r>
              <w:rPr>
                <w:rFonts w:hint="eastAsia" w:ascii="仿宋" w:hAnsi="仿宋" w:eastAsia="仿宋" w:cs="仿宋"/>
                <w:b/>
                <w:bCs/>
                <w:sz w:val="24"/>
                <w:szCs w:val="24"/>
                <w:highlight w:val="none"/>
                <w:vertAlign w:val="baseline"/>
                <w:lang w:val="en-US" w:eastAsia="zh-CN"/>
              </w:rPr>
              <w:t>需完全</w:t>
            </w:r>
            <w:r>
              <w:rPr>
                <w:rFonts w:hint="eastAsia" w:ascii="仿宋" w:hAnsi="仿宋" w:eastAsia="仿宋" w:cs="仿宋"/>
                <w:b/>
                <w:bCs/>
                <w:sz w:val="24"/>
                <w:szCs w:val="24"/>
                <w:highlight w:val="none"/>
                <w:vertAlign w:val="baseline"/>
              </w:rPr>
              <w:t>符合现场实际情况（详见附件设计方案图或参与现场考察 ），在投标文件中提供</w:t>
            </w:r>
            <w:r>
              <w:rPr>
                <w:rFonts w:hint="eastAsia" w:ascii="仿宋" w:hAnsi="仿宋" w:eastAsia="仿宋" w:cs="仿宋"/>
                <w:b/>
                <w:bCs/>
                <w:sz w:val="24"/>
                <w:szCs w:val="24"/>
                <w:highlight w:val="none"/>
                <w:vertAlign w:val="baseline"/>
                <w:lang w:eastAsia="zh-CN"/>
              </w:rPr>
              <w:t>完整的对应的</w:t>
            </w:r>
            <w:r>
              <w:rPr>
                <w:rFonts w:hint="eastAsia" w:ascii="仿宋" w:hAnsi="仿宋" w:eastAsia="仿宋" w:cs="仿宋"/>
                <w:b/>
                <w:bCs/>
                <w:sz w:val="24"/>
                <w:szCs w:val="24"/>
                <w:highlight w:val="none"/>
                <w:vertAlign w:val="baseline"/>
              </w:rPr>
              <w:t>效果图</w:t>
            </w:r>
            <w:r>
              <w:rPr>
                <w:rFonts w:hint="eastAsia" w:ascii="仿宋" w:hAnsi="仿宋" w:eastAsia="仿宋" w:cs="仿宋"/>
                <w:b/>
                <w:bCs/>
                <w:sz w:val="24"/>
                <w:szCs w:val="24"/>
                <w:highlight w:val="none"/>
                <w:vertAlign w:val="baseline"/>
                <w:lang w:eastAsia="zh-CN"/>
              </w:rPr>
              <w:t>和施工图纸，</w:t>
            </w:r>
            <w:r>
              <w:rPr>
                <w:rFonts w:hint="eastAsia" w:ascii="仿宋" w:hAnsi="仿宋" w:eastAsia="仿宋" w:cs="仿宋"/>
                <w:b/>
                <w:bCs/>
                <w:sz w:val="24"/>
                <w:szCs w:val="24"/>
                <w:highlight w:val="none"/>
                <w:vertAlign w:val="baseline"/>
                <w:lang w:val="en-US" w:eastAsia="zh-CN"/>
              </w:rPr>
              <w:t>未提供作无效投标处理</w:t>
            </w:r>
            <w:r>
              <w:rPr>
                <w:rFonts w:hint="eastAsia" w:ascii="仿宋" w:hAnsi="仿宋" w:eastAsia="仿宋" w:cs="仿宋"/>
                <w:b/>
                <w:bCs/>
                <w:sz w:val="24"/>
                <w:szCs w:val="24"/>
                <w:highlight w:val="none"/>
                <w:vertAlign w:val="baseline"/>
                <w:lang w:eastAsia="zh-CN"/>
              </w:rPr>
              <w:t>）</w:t>
            </w:r>
          </w:p>
          <w:p w14:paraId="3CE18B34">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28. </w:t>
            </w:r>
            <w:r>
              <w:rPr>
                <w:rFonts w:hint="eastAsia" w:ascii="仿宋" w:hAnsi="仿宋" w:eastAsia="仿宋" w:cs="仿宋"/>
                <w:b w:val="0"/>
                <w:bCs w:val="0"/>
                <w:kern w:val="2"/>
                <w:sz w:val="24"/>
                <w:szCs w:val="24"/>
                <w:highlight w:val="none"/>
                <w:vertAlign w:val="baseline"/>
                <w:lang w:val="en-US" w:eastAsia="zh-CN" w:bidi="ar-SA"/>
              </w:rPr>
              <w:t>结合现有设备布局与场地实际情况，完成教室内开关、插座、强弱电线材、配电箱、网络布线等配套设施改造，规格满足设备运行与教学需求</w:t>
            </w:r>
            <w:r>
              <w:rPr>
                <w:rFonts w:hint="eastAsia" w:ascii="仿宋" w:hAnsi="仿宋" w:eastAsia="仿宋" w:cs="仿宋"/>
                <w:sz w:val="24"/>
                <w:szCs w:val="24"/>
                <w:highlight w:val="none"/>
                <w:vertAlign w:val="baseline"/>
              </w:rPr>
              <w:t>；</w:t>
            </w:r>
          </w:p>
          <w:p w14:paraId="36276214">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29. </w:t>
            </w:r>
            <w:r>
              <w:rPr>
                <w:rFonts w:hint="eastAsia" w:ascii="仿宋" w:hAnsi="仿宋" w:eastAsia="仿宋" w:cs="仿宋"/>
                <w:b w:val="0"/>
                <w:bCs w:val="0"/>
                <w:kern w:val="2"/>
                <w:sz w:val="24"/>
                <w:szCs w:val="24"/>
                <w:highlight w:val="none"/>
                <w:vertAlign w:val="baseline"/>
                <w:lang w:val="en-US" w:eastAsia="zh-CN" w:bidi="ar-SA"/>
              </w:rPr>
              <w:t>室内防潮通风与环境改造：拆除原有吊顶、墙面踢脚线、涂料层、地面地坪漆；顶面安装纸面石膏板吊顶并涂刷白色涂料、配套 24V 低压低压软膜天花与铝合金轨道灯；墙面采用金属板造型 + ENF 级异型家具 + 白色涂料装饰；地面铺设 B1 级隔热保温板 + 复合地板 + 铝合金踢脚线</w:t>
            </w:r>
            <w:r>
              <w:rPr>
                <w:rFonts w:hint="eastAsia" w:ascii="仿宋" w:hAnsi="仿宋" w:eastAsia="仿宋" w:cs="仿宋"/>
                <w:sz w:val="24"/>
                <w:szCs w:val="24"/>
                <w:highlight w:val="none"/>
                <w:vertAlign w:val="baseline"/>
              </w:rPr>
              <w:t xml:space="preserve">； </w:t>
            </w:r>
          </w:p>
          <w:p w14:paraId="6E65D8DC">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30. </w:t>
            </w:r>
            <w:r>
              <w:rPr>
                <w:rFonts w:hint="eastAsia" w:ascii="仿宋" w:hAnsi="仿宋" w:eastAsia="仿宋" w:cs="仿宋"/>
                <w:b w:val="0"/>
                <w:bCs w:val="0"/>
                <w:kern w:val="2"/>
                <w:sz w:val="24"/>
                <w:szCs w:val="24"/>
                <w:highlight w:val="none"/>
                <w:vertAlign w:val="baseline"/>
                <w:lang w:val="en-US" w:eastAsia="zh-CN" w:bidi="ar-SA"/>
              </w:rPr>
              <w:t>教室外过道改造：拆除原有顶面、墙面、地面涂料层，重新批刮腻子并涂刷白色涂料，地面新做原色环氧地坪漆</w:t>
            </w:r>
            <w:r>
              <w:rPr>
                <w:rFonts w:hint="eastAsia" w:ascii="仿宋" w:hAnsi="仿宋" w:eastAsia="仿宋" w:cs="仿宋"/>
                <w:sz w:val="24"/>
                <w:szCs w:val="24"/>
                <w:highlight w:val="none"/>
                <w:vertAlign w:val="baseline"/>
              </w:rPr>
              <w:t xml:space="preserve">。 </w:t>
            </w:r>
          </w:p>
          <w:p w14:paraId="6C169A12">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十、智能评分系统 </w:t>
            </w:r>
          </w:p>
          <w:p w14:paraId="494F692E">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31.</w:t>
            </w:r>
            <w:r>
              <w:rPr>
                <w:rFonts w:hint="eastAsia" w:ascii="仿宋" w:hAnsi="仿宋" w:eastAsia="仿宋" w:cs="仿宋"/>
                <w:b w:val="0"/>
                <w:bCs w:val="0"/>
                <w:kern w:val="2"/>
                <w:sz w:val="24"/>
                <w:szCs w:val="24"/>
                <w:highlight w:val="none"/>
                <w:vertAlign w:val="baseline"/>
                <w:lang w:val="en-US" w:eastAsia="zh-CN" w:bidi="ar-SA"/>
              </w:rPr>
              <w:t>严格依据标准操作规程设计操作步骤、评分标准与扣分规则，实现操作过程的实时自动化评定</w:t>
            </w:r>
            <w:r>
              <w:rPr>
                <w:rFonts w:hint="eastAsia" w:ascii="仿宋" w:hAnsi="仿宋" w:eastAsia="仿宋" w:cs="仿宋"/>
                <w:sz w:val="24"/>
                <w:szCs w:val="24"/>
                <w:highlight w:val="none"/>
                <w:vertAlign w:val="baseline"/>
              </w:rPr>
              <w:t xml:space="preserve">； </w:t>
            </w:r>
          </w:p>
          <w:p w14:paraId="33394F14">
            <w:pPr>
              <w:adjustRightInd w:val="0"/>
              <w:snapToGrid w:val="0"/>
              <w:spacing w:line="360" w:lineRule="auto"/>
              <w:ind w:firstLine="480" w:firstLineChars="200"/>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32.</w:t>
            </w:r>
            <w:r>
              <w:rPr>
                <w:rFonts w:hint="eastAsia" w:ascii="仿宋" w:hAnsi="仿宋" w:eastAsia="仿宋" w:cs="仿宋"/>
                <w:b w:val="0"/>
                <w:bCs w:val="0"/>
                <w:kern w:val="2"/>
                <w:sz w:val="24"/>
                <w:szCs w:val="24"/>
                <w:highlight w:val="none"/>
                <w:vertAlign w:val="baseline"/>
                <w:lang w:val="en-US" w:eastAsia="zh-CN" w:bidi="ar-SA"/>
              </w:rPr>
              <w:t>针对关键指标严重超标、操作严重违规等情形，设置惩罚性扣分机制</w:t>
            </w:r>
            <w:r>
              <w:rPr>
                <w:rFonts w:hint="eastAsia" w:ascii="仿宋" w:hAnsi="仿宋" w:eastAsia="仿宋" w:cs="仿宋"/>
                <w:sz w:val="24"/>
                <w:szCs w:val="24"/>
                <w:highlight w:val="none"/>
                <w:vertAlign w:val="baseline"/>
              </w:rPr>
              <w:t xml:space="preserve">。 </w:t>
            </w:r>
          </w:p>
          <w:p w14:paraId="4D54DC8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十一、配套AI智能体系统</w:t>
            </w:r>
          </w:p>
          <w:p w14:paraId="52011B32">
            <w:pPr>
              <w:adjustRightInd w:val="0"/>
              <w:snapToGrid w:val="0"/>
              <w:spacing w:line="360" w:lineRule="auto"/>
              <w:ind w:firstLine="240" w:firstLineChars="100"/>
              <w:rPr>
                <w:rFonts w:hint="eastAsia" w:ascii="仿宋" w:hAnsi="仿宋" w:eastAsia="仿宋" w:cs="仿宋"/>
                <w:sz w:val="24"/>
                <w:szCs w:val="24"/>
                <w:highlight w:val="none"/>
                <w:vertAlign w:val="baseline"/>
              </w:rPr>
            </w:pPr>
            <w:r>
              <w:rPr>
                <w:rFonts w:hint="eastAsia" w:ascii="仿宋" w:hAnsi="仿宋" w:eastAsia="仿宋" w:cs="Times New Roman"/>
                <w:bCs/>
                <w:sz w:val="24"/>
                <w:szCs w:val="24"/>
                <w:highlight w:val="none"/>
              </w:rPr>
              <w:t>▲</w:t>
            </w:r>
            <w:r>
              <w:rPr>
                <w:rFonts w:hint="eastAsia" w:ascii="仿宋" w:hAnsi="仿宋" w:eastAsia="仿宋" w:cs="Times New Roman"/>
                <w:bCs/>
                <w:sz w:val="24"/>
                <w:szCs w:val="24"/>
                <w:highlight w:val="none"/>
                <w:lang w:val="en-US" w:eastAsia="zh-CN"/>
              </w:rPr>
              <w:t>33.</w:t>
            </w:r>
            <w:r>
              <w:rPr>
                <w:rFonts w:hint="eastAsia" w:ascii="仿宋" w:hAnsi="仿宋" w:eastAsia="仿宋" w:cs="仿宋"/>
                <w:sz w:val="24"/>
                <w:szCs w:val="24"/>
                <w:highlight w:val="none"/>
                <w:vertAlign w:val="baseline"/>
              </w:rPr>
              <w:t>制药工艺智能推理导师</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p>
          <w:p w14:paraId="716CB4D7">
            <w:pPr>
              <w:adjustRightInd w:val="0"/>
              <w:snapToGrid w:val="0"/>
              <w:spacing w:line="360" w:lineRule="auto"/>
              <w:ind w:firstLine="480" w:firstLineChars="200"/>
              <w:rPr>
                <w:rFonts w:hint="eastAsia" w:ascii="仿宋" w:hAnsi="仿宋" w:eastAsia="仿宋" w:cs="仿宋"/>
                <w:sz w:val="24"/>
                <w:szCs w:val="24"/>
                <w:highlight w:val="none"/>
                <w:vertAlign w:val="baseline"/>
                <w:lang w:eastAsia="zh-CN"/>
              </w:rPr>
            </w:pPr>
            <w:r>
              <w:rPr>
                <w:rFonts w:hint="eastAsia" w:ascii="仿宋" w:hAnsi="仿宋" w:eastAsia="仿宋" w:cs="仿宋"/>
                <w:sz w:val="24"/>
                <w:szCs w:val="24"/>
                <w:highlight w:val="none"/>
                <w:vertAlign w:val="baseline"/>
                <w:lang w:val="en-US" w:eastAsia="zh-CN"/>
              </w:rPr>
              <w:t>需包含</w:t>
            </w:r>
            <w:r>
              <w:rPr>
                <w:rFonts w:hint="eastAsia" w:ascii="仿宋" w:hAnsi="仿宋" w:eastAsia="仿宋" w:cs="仿宋"/>
                <w:sz w:val="24"/>
                <w:szCs w:val="24"/>
                <w:highlight w:val="none"/>
                <w:vertAlign w:val="baseline"/>
              </w:rPr>
              <w:t>多模态深度语义理解：支持文本、语音、三维操作手势等多模态输入，基于大语言模型实现制药工艺知识深度语义理解与推理，解析复杂工艺问题并给出结构化解答</w:t>
            </w:r>
            <w:r>
              <w:rPr>
                <w:rFonts w:hint="eastAsia" w:ascii="仿宋" w:hAnsi="仿宋" w:eastAsia="仿宋" w:cs="仿宋"/>
                <w:sz w:val="24"/>
                <w:szCs w:val="24"/>
                <w:highlight w:val="none"/>
                <w:vertAlign w:val="baseline"/>
                <w:lang w:eastAsia="zh-CN"/>
              </w:rPr>
              <w:t>；</w:t>
            </w:r>
          </w:p>
          <w:p w14:paraId="17B0C8CA">
            <w:pPr>
              <w:adjustRightInd w:val="0"/>
              <w:snapToGrid w:val="0"/>
              <w:spacing w:line="360" w:lineRule="auto"/>
              <w:ind w:firstLine="480" w:firstLineChars="200"/>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rPr>
              <w:t>故障诊断与根因推理：基于知识图谱与因果推理引擎，根据仿真操作异常自动诊断故障类型，追溯根因并给出排障方案，支持不少于200种制药设备常见故障智能诊断</w:t>
            </w:r>
            <w:r>
              <w:rPr>
                <w:rFonts w:hint="eastAsia" w:ascii="仿宋" w:hAnsi="仿宋" w:eastAsia="仿宋" w:cs="仿宋"/>
                <w:sz w:val="24"/>
                <w:szCs w:val="24"/>
                <w:highlight w:val="none"/>
                <w:vertAlign w:val="baseline"/>
                <w:lang w:eastAsia="zh-CN"/>
              </w:rPr>
              <w:t>；</w:t>
            </w:r>
            <w:r>
              <w:rPr>
                <w:rFonts w:hint="eastAsia" w:ascii="仿宋" w:hAnsi="仿宋" w:eastAsia="仿宋" w:cs="仿宋"/>
                <w:sz w:val="24"/>
                <w:szCs w:val="24"/>
                <w:highlight w:val="none"/>
                <w:vertAlign w:val="baseline"/>
                <w:lang w:val="en-US" w:eastAsia="zh-CN"/>
              </w:rPr>
              <w:t xml:space="preserve">  </w:t>
            </w:r>
          </w:p>
          <w:p w14:paraId="10C869F0">
            <w:pPr>
              <w:adjustRightInd w:val="0"/>
              <w:snapToGrid w:val="0"/>
              <w:spacing w:line="360" w:lineRule="auto"/>
              <w:ind w:firstLine="480" w:firstLineChars="200"/>
              <w:rPr>
                <w:rFonts w:hint="eastAsia" w:ascii="仿宋" w:hAnsi="仿宋" w:eastAsia="仿宋" w:cs="仿宋"/>
                <w:sz w:val="24"/>
                <w:szCs w:val="24"/>
                <w:highlight w:val="none"/>
                <w:vertAlign w:val="baseline"/>
                <w:lang w:eastAsia="zh-CN"/>
              </w:rPr>
            </w:pPr>
            <w:r>
              <w:rPr>
                <w:rFonts w:hint="eastAsia" w:ascii="仿宋" w:hAnsi="仿宋" w:eastAsia="仿宋" w:cs="仿宋"/>
                <w:sz w:val="24"/>
                <w:szCs w:val="24"/>
                <w:highlight w:val="none"/>
                <w:vertAlign w:val="baseline"/>
              </w:rPr>
              <w:t>个性化学习路径规划：基于强化学习的自适应学习系统，实时分析学习者操作行为、知识掌握程度与认知负荷，动态生成个性化学习路径，智能调整难度曲线与训练重点</w:t>
            </w:r>
            <w:r>
              <w:rPr>
                <w:rFonts w:hint="eastAsia" w:ascii="仿宋" w:hAnsi="仿宋" w:eastAsia="仿宋" w:cs="仿宋"/>
                <w:sz w:val="24"/>
                <w:szCs w:val="24"/>
                <w:highlight w:val="none"/>
                <w:vertAlign w:val="baseline"/>
                <w:lang w:eastAsia="zh-CN"/>
              </w:rPr>
              <w:t>；</w:t>
            </w:r>
          </w:p>
          <w:p w14:paraId="27A9E654">
            <w:pPr>
              <w:adjustRightInd w:val="0"/>
              <w:snapToGrid w:val="0"/>
              <w:spacing w:line="360" w:lineRule="auto"/>
              <w:ind w:firstLine="480" w:firstLineChars="200"/>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rPr>
              <w:t>知识图谱自动构建：从操作数据、教材文档、工艺标准中自动抽取实体与关系，动态构建制药工艺知识图谱，支持知识推理、关联查询与智能问答</w:t>
            </w:r>
          </w:p>
        </w:tc>
        <w:tc>
          <w:tcPr>
            <w:tcW w:w="283" w:type="pct"/>
            <w:noWrap w:val="0"/>
            <w:vAlign w:val="top"/>
          </w:tcPr>
          <w:p w14:paraId="2D65318F">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项</w:t>
            </w:r>
          </w:p>
        </w:tc>
        <w:tc>
          <w:tcPr>
            <w:tcW w:w="268" w:type="pct"/>
            <w:noWrap w:val="0"/>
            <w:vAlign w:val="top"/>
          </w:tcPr>
          <w:p w14:paraId="1B62AF7E">
            <w:pPr>
              <w:adjustRightInd w:val="0"/>
              <w:snapToGrid w:val="0"/>
              <w:spacing w:line="360" w:lineRule="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1</w:t>
            </w:r>
          </w:p>
        </w:tc>
      </w:tr>
      <w:tr w14:paraId="6D74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 w:type="pct"/>
            <w:noWrap w:val="0"/>
            <w:vAlign w:val="top"/>
          </w:tcPr>
          <w:p w14:paraId="1185EB28">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w:t>
            </w:r>
          </w:p>
        </w:tc>
        <w:tc>
          <w:tcPr>
            <w:tcW w:w="457" w:type="pct"/>
            <w:noWrap w:val="0"/>
            <w:vAlign w:val="top"/>
          </w:tcPr>
          <w:p w14:paraId="326B2C9B">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sz w:val="24"/>
                <w:szCs w:val="24"/>
                <w:highlight w:val="none"/>
              </w:rPr>
              <w:t>制药SCADA平台</w:t>
            </w:r>
          </w:p>
        </w:tc>
        <w:tc>
          <w:tcPr>
            <w:tcW w:w="6335" w:type="dxa"/>
            <w:noWrap w:val="0"/>
            <w:vAlign w:val="top"/>
          </w:tcPr>
          <w:p w14:paraId="7DDABB89">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一、系统功能</w:t>
            </w:r>
          </w:p>
          <w:p w14:paraId="50A0A72B">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 画面组态：按实训中心设备建模组态，包括设备外形、工艺流程、点位数据、仪表阀门、电机监控； </w:t>
            </w:r>
          </w:p>
          <w:p w14:paraId="7D283565">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 设备监控：虚拟监控设备运行状态、工艺数据；</w:t>
            </w:r>
          </w:p>
          <w:p w14:paraId="5039A753">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3. 报警管理：参数越限自动报警，推送报警信息，支持查看处理； </w:t>
            </w:r>
          </w:p>
          <w:p w14:paraId="38E76FF3">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4. 报表管理：自动生成自动化报表，支持自定义报表； </w:t>
            </w:r>
          </w:p>
          <w:p w14:paraId="4B122059">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5. 历史数据可回看； </w:t>
            </w:r>
          </w:p>
          <w:p w14:paraId="5E65B0F6">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6. 与实训中心关键设备对接集成；</w:t>
            </w:r>
          </w:p>
          <w:p w14:paraId="16F05332">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7. 联动虚拟仿真系统，将虚拟仿真设备与SCADA联动展示； </w:t>
            </w:r>
          </w:p>
          <w:p w14:paraId="0D41A529">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Times New Roman"/>
                <w:bCs/>
                <w:sz w:val="24"/>
                <w:szCs w:val="24"/>
                <w:highlight w:val="none"/>
              </w:rPr>
              <w:t>▲</w:t>
            </w:r>
            <w:r>
              <w:rPr>
                <w:rFonts w:hint="eastAsia" w:ascii="仿宋" w:hAnsi="仿宋" w:eastAsia="仿宋" w:cs="仿宋"/>
                <w:sz w:val="24"/>
                <w:szCs w:val="24"/>
                <w:highlight w:val="none"/>
                <w:vertAlign w:val="baseline"/>
              </w:rPr>
              <w:t xml:space="preserve">8. </w:t>
            </w:r>
            <w:r>
              <w:rPr>
                <w:rFonts w:hint="eastAsia" w:ascii="仿宋" w:hAnsi="仿宋" w:eastAsia="仿宋" w:cs="仿宋"/>
                <w:sz w:val="24"/>
                <w:szCs w:val="24"/>
                <w:highlight w:val="none"/>
                <w:vertAlign w:val="baseline"/>
                <w:lang w:val="en-US" w:eastAsia="zh-CN"/>
              </w:rPr>
              <w:t>要求</w:t>
            </w:r>
            <w:r>
              <w:rPr>
                <w:rFonts w:hint="eastAsia" w:ascii="仿宋" w:hAnsi="仿宋" w:eastAsia="仿宋" w:cs="仿宋"/>
                <w:sz w:val="24"/>
                <w:szCs w:val="24"/>
                <w:highlight w:val="none"/>
                <w:vertAlign w:val="baseline"/>
              </w:rPr>
              <w:t>支持三维模型导入，方便实时查看和教学；集成MES系统，可跳转进入MES平台；MES包含计划管理、生产管理、物料管理、设备管理、质量管理、报表管理、看板管理模块前端展示</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r>
              <w:rPr>
                <w:rFonts w:hint="eastAsia" w:ascii="仿宋" w:hAnsi="仿宋" w:eastAsia="仿宋" w:cs="仿宋"/>
                <w:sz w:val="24"/>
                <w:szCs w:val="24"/>
                <w:highlight w:val="none"/>
                <w:vertAlign w:val="baseline"/>
              </w:rPr>
              <w:t xml:space="preserve">。 </w:t>
            </w:r>
          </w:p>
          <w:p w14:paraId="14682096">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二、系统支持 </w:t>
            </w:r>
          </w:p>
          <w:p w14:paraId="1501619A">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9. 多协议适配：支持Modbus、OPC UA、SNMP、DLT645等工业协议，MQTT等物联网协议；支持自定义数据模型与系统变量配置； </w:t>
            </w:r>
          </w:p>
          <w:p w14:paraId="020B2A25">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10. 仿真组态培训：依托工业物联网组态应用系统与数字孪生系统，实现虚拟操作与动态模型训练、流程模拟与仪表选型、控制设计与参数整定、性能评价与安全联锁、跨学科协同训练；</w:t>
            </w:r>
          </w:p>
          <w:p w14:paraId="2770BD35">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11. 数据采集：时间间隔自定义；设备通信超时时间默认不少于1000毫秒，支持100-3000毫秒配置；设备通信失败超过阈值自动标记离线；OPC UA模型单次采集数据点数可配置；数据格式按需选择，支持整数型、浮点型、字符串型等； </w:t>
            </w:r>
          </w:p>
          <w:p w14:paraId="3D391D5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12. 设备管理：支持灵活规划设备归属；支持反应器、泵、储罐、传感器等多种工业设备类型；实时识别在线或离线状态，支持按状态筛选； </w:t>
            </w:r>
          </w:p>
          <w:p w14:paraId="25637A23">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13. 告警系统：按异常严重程度设置；告警保持时间自定义；支持语音播报、邮件、短信、钉钉、微信等通知方式；支持自定义告警屏蔽时间；告警记录永久存储，可导出Excel； </w:t>
            </w:r>
          </w:p>
          <w:p w14:paraId="4F44CD23">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14. 可视化应用设计：页面分辨率支持自定义宽高及自动适应；组件支持设备类、图形类、基础类、HVAC类；事件触发支持单击、双击等，关联显示/隐藏元素、打开网页、执行脚本等；适配PC端和手机端； </w:t>
            </w:r>
          </w:p>
          <w:p w14:paraId="3EAB464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15. 任务计划：执行模式支持每天、每周、每月、自定义间隔；任务类型涵盖备份数据、设置数据、删除历史数据、导出报表、执行脚本等；</w:t>
            </w:r>
          </w:p>
          <w:p w14:paraId="1A16E5F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16. 报表统计参数：报表类型包括告警报表、历史数据报表、自定义报表、报表模板等；统计周期支持日报、周报、月报、自定义时间范围。 </w:t>
            </w:r>
          </w:p>
          <w:p w14:paraId="4F1E998A">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三、性能与安全 </w:t>
            </w:r>
          </w:p>
          <w:p w14:paraId="2B143E72">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17.满足多人协作需求；支持设备数量无上限扩展；数据点数支持无上限扩展。 </w:t>
            </w:r>
          </w:p>
          <w:p w14:paraId="313F232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四、工业过程智能优化与预测性维护引擎</w:t>
            </w:r>
          </w:p>
          <w:p w14:paraId="7F02457B">
            <w:pPr>
              <w:adjustRightInd w:val="0"/>
              <w:snapToGrid w:val="0"/>
              <w:spacing w:line="360" w:lineRule="auto"/>
              <w:rPr>
                <w:rFonts w:hint="eastAsia" w:ascii="仿宋" w:hAnsi="仿宋" w:eastAsia="仿宋" w:cs="仿宋"/>
                <w:sz w:val="24"/>
                <w:szCs w:val="24"/>
                <w:highlight w:val="none"/>
                <w:vertAlign w:val="baseline"/>
                <w:lang w:eastAsia="zh-CN"/>
              </w:rPr>
            </w:pPr>
            <w:r>
              <w:rPr>
                <w:rFonts w:hint="eastAsia" w:ascii="仿宋" w:hAnsi="仿宋" w:eastAsia="仿宋" w:cs="仿宋"/>
                <w:sz w:val="24"/>
                <w:szCs w:val="24"/>
                <w:highlight w:val="none"/>
                <w:vertAlign w:val="baseline"/>
              </w:rPr>
              <w:t>18.多变量时序预测与异常检测：基于Transformer架构的深度时序预测模型，对不少于1000个工艺参数联合建模，提前预测工艺趋势，实时检测异常模式</w:t>
            </w:r>
            <w:r>
              <w:rPr>
                <w:rFonts w:hint="eastAsia" w:ascii="仿宋" w:hAnsi="仿宋" w:eastAsia="仿宋" w:cs="仿宋"/>
                <w:sz w:val="24"/>
                <w:szCs w:val="24"/>
                <w:highlight w:val="none"/>
                <w:vertAlign w:val="baseline"/>
                <w:lang w:eastAsia="zh-CN"/>
              </w:rPr>
              <w:t>。</w:t>
            </w:r>
          </w:p>
          <w:p w14:paraId="0176F42C">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19.工艺参数自动优化：基于贝叶斯优化与深度强化学习的工艺参数寻优系统，在约束条件下自动优化生产参数，提升产品合格率与生产效率，支持多目标权衡优化</w:t>
            </w:r>
          </w:p>
          <w:p w14:paraId="326774C6">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20.预测性维护与剩余寿命预测：基于设备运行数据的剩余使用寿命（RUL）预测模型，预测关键部件故障发生时间，提前生成维护建议，减少非计划停机时间</w:t>
            </w:r>
          </w:p>
          <w:p w14:paraId="5468CB96">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21.数字孪生仿真推演：基于数字孪生的生产过程仿真推演引擎，支持"what-if"场景分析，模拟不同参数调整、设备故障对生产过程的影响，辅助决策</w:t>
            </w:r>
          </w:p>
          <w:p w14:paraId="4031051F">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22.自然语言数据分析助手：支持自然语言查询生产数据、生成分析报表、解读异常原因，自动生成可视化图表与分析报告</w:t>
            </w:r>
          </w:p>
          <w:p w14:paraId="2920543B">
            <w:pPr>
              <w:adjustRightInd w:val="0"/>
              <w:snapToGrid w:val="0"/>
              <w:spacing w:line="360" w:lineRule="auto"/>
              <w:rPr>
                <w:rFonts w:hint="default" w:ascii="仿宋" w:hAnsi="仿宋" w:eastAsia="仿宋" w:cs="仿宋"/>
                <w:sz w:val="24"/>
                <w:szCs w:val="24"/>
                <w:highlight w:val="none"/>
                <w:vertAlign w:val="baseline"/>
                <w:lang w:val="en-US" w:eastAsia="zh-CN"/>
              </w:rPr>
            </w:pPr>
            <w:r>
              <w:rPr>
                <w:rFonts w:hint="eastAsia" w:ascii="仿宋" w:hAnsi="仿宋" w:eastAsia="仿宋" w:cs="Times New Roman"/>
                <w:bCs/>
                <w:sz w:val="24"/>
                <w:szCs w:val="24"/>
                <w:highlight w:val="none"/>
              </w:rPr>
              <w:t>▲</w:t>
            </w:r>
            <w:r>
              <w:rPr>
                <w:rFonts w:hint="eastAsia" w:ascii="仿宋" w:hAnsi="仿宋" w:eastAsia="仿宋" w:cs="仿宋"/>
                <w:sz w:val="24"/>
                <w:szCs w:val="24"/>
                <w:highlight w:val="none"/>
                <w:vertAlign w:val="baseline"/>
                <w:lang w:val="en-US" w:eastAsia="zh-CN"/>
              </w:rPr>
              <w:t>23.</w:t>
            </w:r>
            <w:r>
              <w:rPr>
                <w:rFonts w:hint="eastAsia" w:ascii="仿宋" w:hAnsi="仿宋" w:eastAsia="仿宋" w:cs="仿宋"/>
                <w:sz w:val="24"/>
                <w:szCs w:val="24"/>
                <w:highlight w:val="none"/>
                <w:vertAlign w:val="baseline"/>
              </w:rPr>
              <w:t>设备</w:t>
            </w:r>
            <w:r>
              <w:rPr>
                <w:rFonts w:hint="eastAsia" w:ascii="仿宋" w:hAnsi="仿宋" w:eastAsia="仿宋" w:cs="仿宋"/>
                <w:sz w:val="24"/>
                <w:szCs w:val="24"/>
                <w:highlight w:val="none"/>
                <w:vertAlign w:val="baseline"/>
                <w:lang w:val="en-US" w:eastAsia="zh-CN"/>
              </w:rPr>
              <w:t>要求</w:t>
            </w:r>
            <w:r>
              <w:rPr>
                <w:rFonts w:hint="eastAsia" w:ascii="仿宋" w:hAnsi="仿宋" w:eastAsia="仿宋" w:cs="仿宋"/>
                <w:sz w:val="24"/>
                <w:szCs w:val="24"/>
                <w:highlight w:val="none"/>
                <w:vertAlign w:val="baseline"/>
              </w:rPr>
              <w:t>配套语音分离系统，</w:t>
            </w:r>
            <w:r>
              <w:rPr>
                <w:rFonts w:hint="eastAsia" w:ascii="仿宋" w:hAnsi="仿宋" w:eastAsia="仿宋" w:cs="仿宋"/>
                <w:sz w:val="24"/>
                <w:szCs w:val="24"/>
                <w:highlight w:val="none"/>
                <w:vertAlign w:val="baseline"/>
                <w:lang w:val="en-US" w:eastAsia="zh-CN"/>
              </w:rPr>
              <w:t>需</w:t>
            </w:r>
            <w:r>
              <w:rPr>
                <w:rFonts w:hint="eastAsia" w:ascii="仿宋" w:hAnsi="仿宋" w:eastAsia="仿宋" w:cs="仿宋"/>
                <w:sz w:val="24"/>
                <w:szCs w:val="24"/>
                <w:highlight w:val="none"/>
                <w:vertAlign w:val="baseline"/>
              </w:rPr>
              <w:t>在整体框架上，优化的CT网络</w:t>
            </w:r>
            <w:r>
              <w:rPr>
                <w:rFonts w:hint="eastAsia" w:ascii="仿宋" w:hAnsi="仿宋" w:eastAsia="仿宋" w:cs="仿宋"/>
                <w:sz w:val="24"/>
                <w:szCs w:val="24"/>
                <w:highlight w:val="none"/>
                <w:vertAlign w:val="baseline"/>
                <w:lang w:val="en-US" w:eastAsia="zh-CN"/>
              </w:rPr>
              <w:t>应</w:t>
            </w:r>
            <w:r>
              <w:rPr>
                <w:rFonts w:hint="eastAsia" w:ascii="仿宋" w:hAnsi="仿宋" w:eastAsia="仿宋" w:cs="仿宋"/>
                <w:sz w:val="24"/>
                <w:szCs w:val="24"/>
                <w:highlight w:val="none"/>
                <w:vertAlign w:val="baseline"/>
              </w:rPr>
              <w:t>包括输入语音子程序、模型选项子程序、分离子程序、显示子程序及评价子程序</w:t>
            </w:r>
            <w:r>
              <w:rPr>
                <w:rFonts w:hint="eastAsia" w:ascii="仿宋" w:hAnsi="仿宋" w:eastAsia="仿宋" w:cs="仿宋"/>
                <w:sz w:val="24"/>
                <w:szCs w:val="24"/>
                <w:highlight w:val="none"/>
                <w:vertAlign w:val="baseline"/>
                <w:lang w:val="en-US" w:eastAsia="zh-CN"/>
              </w:rPr>
              <w:t>等</w:t>
            </w:r>
            <w:r>
              <w:rPr>
                <w:rFonts w:hint="eastAsia" w:ascii="仿宋" w:hAnsi="仿宋" w:eastAsia="仿宋" w:cs="仿宋"/>
                <w:sz w:val="24"/>
                <w:szCs w:val="24"/>
                <w:highlight w:val="none"/>
                <w:vertAlign w:val="baseline"/>
              </w:rPr>
              <w:t>5个部分</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r>
              <w:rPr>
                <w:rFonts w:hint="eastAsia" w:ascii="仿宋" w:hAnsi="仿宋" w:eastAsia="仿宋" w:cs="仿宋"/>
                <w:sz w:val="24"/>
                <w:szCs w:val="24"/>
                <w:highlight w:val="none"/>
                <w:vertAlign w:val="baseline"/>
              </w:rPr>
              <w:t>。</w:t>
            </w:r>
          </w:p>
        </w:tc>
        <w:tc>
          <w:tcPr>
            <w:tcW w:w="283" w:type="pct"/>
            <w:noWrap w:val="0"/>
            <w:vAlign w:val="top"/>
          </w:tcPr>
          <w:p w14:paraId="78A20CE5">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项</w:t>
            </w:r>
          </w:p>
        </w:tc>
        <w:tc>
          <w:tcPr>
            <w:tcW w:w="268" w:type="pct"/>
            <w:noWrap w:val="0"/>
            <w:vAlign w:val="top"/>
          </w:tcPr>
          <w:p w14:paraId="7E329BCD">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w:t>
            </w:r>
          </w:p>
        </w:tc>
      </w:tr>
      <w:tr w14:paraId="61D4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 w:type="pct"/>
            <w:noWrap w:val="0"/>
            <w:vAlign w:val="top"/>
          </w:tcPr>
          <w:p w14:paraId="3A359213">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w:t>
            </w:r>
          </w:p>
        </w:tc>
        <w:tc>
          <w:tcPr>
            <w:tcW w:w="457" w:type="pct"/>
            <w:noWrap w:val="0"/>
            <w:vAlign w:val="top"/>
          </w:tcPr>
          <w:p w14:paraId="13AD9B7B">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sz w:val="24"/>
                <w:szCs w:val="24"/>
                <w:highlight w:val="none"/>
                <w:vertAlign w:val="baseline"/>
                <w:lang w:val="en-US" w:eastAsia="zh-CN"/>
              </w:rPr>
              <w:t>VR</w:t>
            </w:r>
            <w:r>
              <w:rPr>
                <w:rFonts w:hint="eastAsia" w:ascii="仿宋" w:hAnsi="仿宋" w:eastAsia="仿宋" w:cs="仿宋"/>
                <w:sz w:val="24"/>
                <w:szCs w:val="24"/>
                <w:highlight w:val="none"/>
                <w:vertAlign w:val="baseline"/>
              </w:rPr>
              <w:t>眼镜</w:t>
            </w:r>
            <w:r>
              <w:rPr>
                <w:rFonts w:hint="eastAsia" w:ascii="仿宋" w:hAnsi="仿宋" w:eastAsia="仿宋" w:cs="仿宋"/>
                <w:sz w:val="24"/>
                <w:szCs w:val="24"/>
                <w:highlight w:val="none"/>
                <w:vertAlign w:val="baseline"/>
                <w:lang w:val="en-US" w:eastAsia="zh-CN"/>
              </w:rPr>
              <w:t>系统</w:t>
            </w:r>
          </w:p>
        </w:tc>
        <w:tc>
          <w:tcPr>
            <w:tcW w:w="6335" w:type="dxa"/>
            <w:noWrap w:val="0"/>
            <w:vAlign w:val="top"/>
          </w:tcPr>
          <w:p w14:paraId="041351B5">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一、外观尺寸 </w:t>
            </w:r>
          </w:p>
          <w:p w14:paraId="2F2F43E2">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 主机横向宽度不少于165mm，厚度不超过62mm，高度不超过84mm；头带调节范围256-312mm。 </w:t>
            </w:r>
          </w:p>
          <w:p w14:paraId="09FD38E8">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二、处理器与存储 </w:t>
            </w:r>
          </w:p>
          <w:p w14:paraId="23D0A09B">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 处理器平台不少于高通骁龙XR2 Gen 2；内存不少于12GB LPDDR5；存储不少于256GB UFS 3.1。 </w:t>
            </w:r>
          </w:p>
          <w:p w14:paraId="301B40E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三、连接能力 </w:t>
            </w:r>
          </w:p>
          <w:p w14:paraId="2907BA5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3. Wi-Fi不少于Wi-Fi 7（802.11 a/b/g/n/ac/ax/be）；蓝牙不低于5.3。 </w:t>
            </w:r>
          </w:p>
          <w:p w14:paraId="68B8AE43">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四、MR混合现实传感器 </w:t>
            </w:r>
          </w:p>
          <w:p w14:paraId="30578C44">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4. 彩色透视摄像头2个，不少于3200万像素；深度感知摄像头不低于iToF深度摄像头；环境追踪摄像头4个，支持空间定位。 </w:t>
            </w:r>
          </w:p>
          <w:p w14:paraId="48D4D532">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五、显示与光学 </w:t>
            </w:r>
          </w:p>
          <w:p w14:paraId="2C6B2F5D">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5. 屏幕规格不少于2.56英寸；单眼分辨率不少于2160×2160；渲染分辨率单眼不少于1920×1920；刷新率不少于90Hz；视场角不少于105°；每度像素数不少于20.6；无级电动瞳距调节。 </w:t>
            </w:r>
          </w:p>
          <w:p w14:paraId="3FE57B0D">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六、音频系统 </w:t>
            </w:r>
          </w:p>
          <w:p w14:paraId="09D1C75D">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6. 双立体声扬声器；四麦克风阵列，支持空间音频录制。 七、电池与充电 </w:t>
            </w:r>
          </w:p>
          <w:p w14:paraId="09E415AA">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7. 主机电池不少于5700mAh；支持QC4.0/PD3.0快充。 </w:t>
            </w:r>
          </w:p>
          <w:p w14:paraId="5A07C645">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八、AI智能体系统</w:t>
            </w:r>
          </w:p>
          <w:p w14:paraId="7A899854">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8. 集成VR场景AI智能体，支持语音/手势自然语言交互，实现沉浸式操作指导与实时答疑； </w:t>
            </w:r>
          </w:p>
          <w:p w14:paraId="6D2372AF">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9. 具备空间认知与场景理解能力，可基于MR透视环境进行智能标注与危险区域提示； </w:t>
            </w:r>
          </w:p>
          <w:p w14:paraId="4C1FCF1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10. 支持注视点追踪与注意力分析，智能体可评估学员专注度并动态调整教学节奏；</w:t>
            </w:r>
          </w:p>
          <w:p w14:paraId="533121F3">
            <w:pPr>
              <w:adjustRightInd w:val="0"/>
              <w:snapToGrid w:val="0"/>
              <w:spacing w:line="360" w:lineRule="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rPr>
              <w:t>11. 具备多用户协同AI调度能力，支持多人VR场景中的角色分配、语音翻译与操作同步。</w:t>
            </w:r>
          </w:p>
        </w:tc>
        <w:tc>
          <w:tcPr>
            <w:tcW w:w="283" w:type="pct"/>
            <w:noWrap w:val="0"/>
            <w:vAlign w:val="top"/>
          </w:tcPr>
          <w:p w14:paraId="00CEC578">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套</w:t>
            </w:r>
          </w:p>
        </w:tc>
        <w:tc>
          <w:tcPr>
            <w:tcW w:w="268" w:type="pct"/>
            <w:noWrap w:val="0"/>
            <w:vAlign w:val="top"/>
          </w:tcPr>
          <w:p w14:paraId="36B9BF20">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15</w:t>
            </w:r>
          </w:p>
        </w:tc>
      </w:tr>
      <w:tr w14:paraId="278E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 w:type="pct"/>
            <w:noWrap w:val="0"/>
            <w:vAlign w:val="top"/>
          </w:tcPr>
          <w:p w14:paraId="26604758">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4</w:t>
            </w:r>
          </w:p>
        </w:tc>
        <w:tc>
          <w:tcPr>
            <w:tcW w:w="457" w:type="pct"/>
            <w:noWrap w:val="0"/>
            <w:vAlign w:val="top"/>
          </w:tcPr>
          <w:p w14:paraId="18C354B8">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sz w:val="24"/>
                <w:szCs w:val="24"/>
                <w:highlight w:val="none"/>
                <w:vertAlign w:val="baseline"/>
              </w:rPr>
              <w:t>桌面三维交互</w:t>
            </w:r>
            <w:r>
              <w:rPr>
                <w:rFonts w:hint="eastAsia" w:ascii="仿宋" w:hAnsi="仿宋" w:eastAsia="仿宋" w:cs="仿宋"/>
                <w:sz w:val="24"/>
                <w:szCs w:val="24"/>
                <w:highlight w:val="none"/>
                <w:vertAlign w:val="baseline"/>
                <w:lang w:val="en-US" w:eastAsia="zh-CN"/>
              </w:rPr>
              <w:t>设备</w:t>
            </w:r>
          </w:p>
        </w:tc>
        <w:tc>
          <w:tcPr>
            <w:tcW w:w="6335" w:type="dxa"/>
            <w:noWrap w:val="0"/>
            <w:vAlign w:val="top"/>
          </w:tcPr>
          <w:p w14:paraId="0F62EE59">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一、桌面三维交互设备 </w:t>
            </w:r>
          </w:p>
          <w:p w14:paraId="3DC08874">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 一体式设计，内置不少于四组红外相机组成光学追踪系统，至少具备四个红外光源； </w:t>
            </w:r>
          </w:p>
          <w:p w14:paraId="213E2662">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 支架一体式内置，支持整机倾斜放置，免标定，吸合式图像信号融合接口；</w:t>
            </w:r>
          </w:p>
          <w:p w14:paraId="10A28C0B">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3. 提供不少于Unity3d、OpenGL、Ue4、WebGL等开发平台SDK，支持至少两支六自由度空间交互笔；</w:t>
            </w:r>
          </w:p>
          <w:p w14:paraId="179554C7">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4. 支持2D/3D显示动态或手动切换；3D跟踪眼镜不少于5个反光点配合显示器跟踪器实现头部跟踪；</w:t>
            </w:r>
          </w:p>
          <w:p w14:paraId="3B4AC63B">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5. 显示尺寸不少于24英寸，全高清3D偏振立体效果，可视角度不低于170/160°，亮度不低于400cd/m²，对比度不低于1000:1，动态响应时间不高于1ms，支持窗口/全屏3D，至少两个内置喇叭；</w:t>
            </w:r>
          </w:p>
          <w:p w14:paraId="2699272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6. 支持不少于三种交互方式：键鼠交互、六自由度空间交互笔交互、手势交互； </w:t>
            </w:r>
          </w:p>
          <w:p w14:paraId="465A12C5">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7. 六自由度空间交互笔：追踪精度不少于1mm，角度精度不少于0.1度，数据刷新率不少于120Hz，无需电池，内置振动器；</w:t>
            </w:r>
          </w:p>
          <w:p w14:paraId="5BF376F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8. 配套偏振式3D跟踪眼镜一副，不少于5个光学反光标志物；3D观看眼镜一副，无需配对及充电，透光率不少于40%； </w:t>
            </w:r>
          </w:p>
          <w:p w14:paraId="6153F6D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9. 同一台设备一个应用场景中，两支交互笔可通过虚拟射线同时对模型进行移动旋转等操作并实时观看3D效果，支持启动AR增强现实效果并录制操作过程； </w:t>
            </w:r>
          </w:p>
          <w:p w14:paraId="6304299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10. 局域网内支持不少于2台设备在同一个应用场景中协同操作； </w:t>
            </w:r>
          </w:p>
          <w:p w14:paraId="670B8B0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11. 整机接口：USB3.0、Type C数据通讯口、120Hz 3D信号DP输出口、HDMI输出口、120Hz 3D信号输入口、3D同步信号输出口； </w:t>
            </w:r>
          </w:p>
          <w:p w14:paraId="5918C73D">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12. 整机性能：CPU不低于Intel I5 12代，内存不少于8GB DDR5，硬盘不少于256GB SSD，独立显卡不少于4GB，芯片组不低于H670； </w:t>
            </w:r>
          </w:p>
          <w:p w14:paraId="45EF3FD8">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13. 主板：支持多路USB接口、温控降频、定时开机、远程开机、上电开机、内存超频、PCI快速存储技术，内置散热风扇； </w:t>
            </w:r>
          </w:p>
          <w:p w14:paraId="29A9C977">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14. 整机具备不少于四个功能键的电容触控OSD显示菜单； </w:t>
            </w:r>
          </w:p>
          <w:p w14:paraId="3871F2C3">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15. 整机具备2D/3D电容触控式按键，支持左右/上下3D显示切换、2D/3D自由切换，支持播放上下、左右及帧顺序格式3D视频； </w:t>
            </w:r>
          </w:p>
          <w:p w14:paraId="6CBEDD73">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16. 支持手势识别功能，可通过手势控制三维模型左右上下旋转及缩放。 </w:t>
            </w:r>
          </w:p>
          <w:p w14:paraId="0A7299E6">
            <w:pPr>
              <w:adjustRightInd w:val="0"/>
              <w:snapToGrid w:val="0"/>
              <w:spacing w:line="360" w:lineRule="auto"/>
              <w:rPr>
                <w:rFonts w:hint="eastAsia" w:ascii="仿宋" w:hAnsi="仿宋" w:eastAsia="仿宋" w:cs="仿宋"/>
                <w:b/>
                <w:bCs/>
                <w:sz w:val="24"/>
                <w:szCs w:val="24"/>
                <w:highlight w:val="none"/>
                <w:vertAlign w:val="baseline"/>
              </w:rPr>
            </w:pPr>
            <w:r>
              <w:rPr>
                <w:rFonts w:hint="eastAsia" w:ascii="仿宋" w:hAnsi="仿宋" w:eastAsia="仿宋" w:cs="仿宋"/>
                <w:sz w:val="24"/>
                <w:szCs w:val="24"/>
                <w:highlight w:val="none"/>
                <w:vertAlign w:val="baseline"/>
              </w:rPr>
              <w:t>★</w:t>
            </w:r>
            <w:r>
              <w:rPr>
                <w:rFonts w:hint="eastAsia" w:ascii="仿宋" w:hAnsi="仿宋" w:eastAsia="仿宋" w:cs="仿宋"/>
                <w:b/>
                <w:bCs/>
                <w:sz w:val="24"/>
                <w:szCs w:val="24"/>
                <w:highlight w:val="none"/>
                <w:vertAlign w:val="baseline"/>
              </w:rPr>
              <w:t>设备电控系统潮流预测模块要求：</w:t>
            </w:r>
          </w:p>
          <w:p w14:paraId="51D496C3">
            <w:pPr>
              <w:adjustRightInd w:val="0"/>
              <w:snapToGrid w:val="0"/>
              <w:spacing w:line="360" w:lineRule="auto"/>
              <w:rPr>
                <w:rFonts w:hint="eastAsia" w:ascii="仿宋" w:hAnsi="仿宋" w:eastAsia="仿宋" w:cs="仿宋"/>
                <w:b/>
                <w:bCs/>
                <w:sz w:val="24"/>
                <w:szCs w:val="24"/>
                <w:highlight w:val="none"/>
                <w:vertAlign w:val="baseline"/>
              </w:rPr>
            </w:pPr>
            <w:r>
              <w:rPr>
                <w:rFonts w:hint="eastAsia" w:ascii="仿宋" w:hAnsi="仿宋" w:eastAsia="仿宋" w:cs="仿宋"/>
                <w:b/>
                <w:bCs/>
                <w:sz w:val="24"/>
                <w:szCs w:val="24"/>
                <w:highlight w:val="none"/>
                <w:vertAlign w:val="baseline"/>
              </w:rPr>
              <w:t>系统潮流计算模型需满足电力系统物理约束，可实现节点电压幅值、相角高精度预测；支持 IEEE30 节点、IEEE33 节点、IEEE118 节点算例仿真验证。须提供截图证明</w:t>
            </w:r>
            <w:r>
              <w:rPr>
                <w:rFonts w:hint="eastAsia" w:ascii="仿宋" w:hAnsi="仿宋" w:eastAsia="仿宋" w:cs="仿宋"/>
                <w:b/>
                <w:bCs/>
                <w:sz w:val="24"/>
                <w:szCs w:val="24"/>
                <w:highlight w:val="none"/>
                <w:vertAlign w:val="baseline"/>
                <w:lang w:val="en-US" w:eastAsia="zh-CN"/>
              </w:rPr>
              <w:t>或</w:t>
            </w:r>
            <w:r>
              <w:rPr>
                <w:rFonts w:hint="eastAsia" w:ascii="仿宋" w:hAnsi="仿宋" w:eastAsia="仿宋" w:cs="仿宋"/>
                <w:b/>
                <w:bCs/>
                <w:sz w:val="24"/>
                <w:szCs w:val="24"/>
                <w:highlight w:val="none"/>
                <w:vertAlign w:val="baseline"/>
              </w:rPr>
              <w:t>数据报告，证明模型在 IEEE118 节点测试条件下，电压幅值、电压相角预测满足如下精度要求：</w:t>
            </w:r>
          </w:p>
          <w:p w14:paraId="324F4E88">
            <w:pPr>
              <w:adjustRightInd w:val="0"/>
              <w:snapToGrid w:val="0"/>
              <w:spacing w:line="360" w:lineRule="auto"/>
              <w:rPr>
                <w:rFonts w:hint="eastAsia" w:ascii="仿宋" w:hAnsi="仿宋" w:eastAsia="仿宋" w:cs="仿宋"/>
                <w:b/>
                <w:bCs/>
                <w:sz w:val="24"/>
                <w:szCs w:val="24"/>
                <w:highlight w:val="none"/>
                <w:vertAlign w:val="baseline"/>
              </w:rPr>
            </w:pPr>
            <w:r>
              <w:rPr>
                <w:rFonts w:hint="eastAsia" w:ascii="仿宋" w:hAnsi="仿宋" w:eastAsia="仿宋" w:cs="仿宋"/>
                <w:b/>
                <w:bCs/>
                <w:sz w:val="24"/>
                <w:szCs w:val="24"/>
                <w:highlight w:val="none"/>
                <w:vertAlign w:val="baseline"/>
              </w:rPr>
              <w:t>1）电压幅值平均预测误差≤</w:t>
            </w:r>
            <w:r>
              <w:rPr>
                <w:rFonts w:hint="eastAsia" w:ascii="仿宋" w:hAnsi="仿宋" w:eastAsia="仿宋" w:cs="仿宋"/>
                <w:b/>
                <w:bCs/>
                <w:sz w:val="24"/>
                <w:szCs w:val="24"/>
                <w:highlight w:val="none"/>
                <w:u w:val="single"/>
                <w:vertAlign w:val="baseline"/>
                <w:lang w:val="en-US" w:eastAsia="zh-CN"/>
              </w:rPr>
              <w:t>1.0</w:t>
            </w:r>
            <w:r>
              <w:rPr>
                <w:rFonts w:hint="eastAsia" w:ascii="仿宋" w:hAnsi="仿宋" w:eastAsia="仿宋" w:cs="仿宋"/>
                <w:b/>
                <w:bCs/>
                <w:sz w:val="24"/>
                <w:szCs w:val="24"/>
                <w:highlight w:val="none"/>
                <w:vertAlign w:val="baseline"/>
              </w:rPr>
              <w:t xml:space="preserve"> %；</w:t>
            </w:r>
          </w:p>
          <w:p w14:paraId="7C4F5739">
            <w:pPr>
              <w:adjustRightInd w:val="0"/>
              <w:snapToGrid w:val="0"/>
              <w:spacing w:line="360" w:lineRule="auto"/>
              <w:rPr>
                <w:rFonts w:hint="eastAsia" w:ascii="仿宋" w:hAnsi="仿宋" w:eastAsia="仿宋" w:cs="仿宋"/>
                <w:b/>
                <w:bCs/>
                <w:sz w:val="24"/>
                <w:szCs w:val="24"/>
                <w:highlight w:val="none"/>
                <w:vertAlign w:val="baseline"/>
              </w:rPr>
            </w:pPr>
            <w:r>
              <w:rPr>
                <w:rFonts w:hint="eastAsia" w:ascii="仿宋" w:hAnsi="仿宋" w:eastAsia="仿宋" w:cs="仿宋"/>
                <w:b/>
                <w:bCs/>
                <w:sz w:val="24"/>
                <w:szCs w:val="24"/>
                <w:highlight w:val="none"/>
                <w:vertAlign w:val="baseline"/>
              </w:rPr>
              <w:t>2）电压相角平均预测误差≤</w:t>
            </w:r>
            <w:r>
              <w:rPr>
                <w:rFonts w:hint="eastAsia" w:ascii="仿宋" w:hAnsi="仿宋" w:eastAsia="仿宋" w:cs="仿宋"/>
                <w:b/>
                <w:bCs/>
                <w:sz w:val="24"/>
                <w:szCs w:val="24"/>
                <w:highlight w:val="none"/>
                <w:u w:val="single"/>
                <w:vertAlign w:val="baseline"/>
                <w:lang w:val="en-US" w:eastAsia="zh-CN"/>
              </w:rPr>
              <w:t>0.5</w:t>
            </w:r>
            <w:r>
              <w:rPr>
                <w:rFonts w:hint="eastAsia" w:ascii="仿宋" w:hAnsi="仿宋" w:eastAsia="仿宋" w:cs="仿宋"/>
                <w:b/>
                <w:bCs/>
                <w:sz w:val="24"/>
                <w:szCs w:val="24"/>
                <w:highlight w:val="none"/>
                <w:vertAlign w:val="baseline"/>
              </w:rPr>
              <w:t xml:space="preserve"> °；</w:t>
            </w:r>
          </w:p>
          <w:p w14:paraId="2DA548B5">
            <w:pPr>
              <w:adjustRightInd w:val="0"/>
              <w:snapToGrid w:val="0"/>
              <w:spacing w:line="360" w:lineRule="auto"/>
              <w:rPr>
                <w:rFonts w:hint="eastAsia" w:ascii="仿宋" w:hAnsi="仿宋" w:eastAsia="仿宋" w:cs="仿宋"/>
                <w:b/>
                <w:bCs/>
                <w:sz w:val="24"/>
                <w:szCs w:val="24"/>
                <w:highlight w:val="none"/>
                <w:vertAlign w:val="baseline"/>
              </w:rPr>
            </w:pPr>
            <w:r>
              <w:rPr>
                <w:rFonts w:hint="eastAsia" w:ascii="仿宋" w:hAnsi="仿宋" w:eastAsia="仿宋" w:cs="仿宋"/>
                <w:b/>
                <w:bCs/>
                <w:sz w:val="24"/>
                <w:szCs w:val="24"/>
                <w:highlight w:val="none"/>
                <w:vertAlign w:val="baseline"/>
                <w:lang w:val="en-US" w:eastAsia="zh-CN"/>
              </w:rPr>
              <w:t>（未按照要求提供</w:t>
            </w:r>
            <w:r>
              <w:rPr>
                <w:rFonts w:hint="eastAsia" w:ascii="仿宋" w:hAnsi="仿宋" w:eastAsia="仿宋" w:cs="仿宋"/>
                <w:b/>
                <w:bCs/>
                <w:sz w:val="24"/>
                <w:szCs w:val="24"/>
                <w:highlight w:val="none"/>
                <w:vertAlign w:val="baseline"/>
              </w:rPr>
              <w:t>须提供截图证明</w:t>
            </w:r>
            <w:r>
              <w:rPr>
                <w:rFonts w:hint="eastAsia" w:ascii="仿宋" w:hAnsi="仿宋" w:eastAsia="仿宋" w:cs="仿宋"/>
                <w:b/>
                <w:bCs/>
                <w:sz w:val="24"/>
                <w:szCs w:val="24"/>
                <w:highlight w:val="none"/>
                <w:vertAlign w:val="baseline"/>
                <w:lang w:val="en-US" w:eastAsia="zh-CN"/>
              </w:rPr>
              <w:t>或</w:t>
            </w:r>
            <w:r>
              <w:rPr>
                <w:rFonts w:hint="eastAsia" w:ascii="仿宋" w:hAnsi="仿宋" w:eastAsia="仿宋" w:cs="仿宋"/>
                <w:b/>
                <w:bCs/>
                <w:sz w:val="24"/>
                <w:szCs w:val="24"/>
                <w:highlight w:val="none"/>
                <w:vertAlign w:val="baseline"/>
              </w:rPr>
              <w:t>数据报告</w:t>
            </w:r>
            <w:r>
              <w:rPr>
                <w:rFonts w:hint="eastAsia" w:ascii="仿宋" w:hAnsi="仿宋" w:eastAsia="仿宋" w:cs="仿宋"/>
                <w:b/>
                <w:bCs/>
                <w:sz w:val="24"/>
                <w:szCs w:val="24"/>
                <w:highlight w:val="none"/>
                <w:vertAlign w:val="baseline"/>
                <w:lang w:val="en-US" w:eastAsia="zh-CN"/>
              </w:rPr>
              <w:t>的，作无效投标处理。）</w:t>
            </w:r>
          </w:p>
          <w:p w14:paraId="0A1326CC">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二、智能管理平台 </w:t>
            </w:r>
          </w:p>
          <w:p w14:paraId="5D1395DA">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17. 支持web端、PC端； </w:t>
            </w:r>
          </w:p>
          <w:p w14:paraId="6A1814CD">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18. 客户端支持从云平台下载VR内容到本地，进行体验、浏览、管理； </w:t>
            </w:r>
          </w:p>
          <w:p w14:paraId="34E03868">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19. 提供在线更新功能；</w:t>
            </w:r>
          </w:p>
          <w:p w14:paraId="620A5726">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20. 登陆账户后可收藏资源，个人收藏页面快速查找； </w:t>
            </w:r>
          </w:p>
          <w:p w14:paraId="62BCC5D4">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21. 具备网络应急处理功能，网络中断恢复后支持断点续传；</w:t>
            </w:r>
          </w:p>
          <w:p w14:paraId="2DACC778">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22. 支持硬件检测功能，一键体检，快速定位问题； </w:t>
            </w:r>
          </w:p>
          <w:p w14:paraId="1BF2BD91">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23. 包含支持与服务模块，提供常见问题解决方案及用户反馈入口。 </w:t>
            </w:r>
          </w:p>
          <w:p w14:paraId="7BE14DE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三、VR资源库 </w:t>
            </w:r>
          </w:p>
          <w:p w14:paraId="355E51EC">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24. GMP其他制剂等生产场景通过语音和三维模型动画讲解，介绍生产工艺环节和功能、清洁流程更换衣操作、相关生产分析、常见产品生产方案； </w:t>
            </w:r>
          </w:p>
          <w:p w14:paraId="01064B7E">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25. 生物制剂生产场景介绍生物制剂、抗体类药物、ADC类药物等；抗体类药物包含生产流程和设备结构讲解、动画演示原理、治疗病因过程讲解。 </w:t>
            </w:r>
          </w:p>
          <w:p w14:paraId="187F467F">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四、配套设施 </w:t>
            </w:r>
          </w:p>
          <w:p w14:paraId="7D0AD3B8">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26. 配套座位，面料优质耐磨、弹力绒布座饰面；配置固定背匡、固定扶手，4脚椅架厚度不少于1.2cm；椅架配备铝合金连接件活动写字板。 </w:t>
            </w:r>
          </w:p>
          <w:p w14:paraId="05B4E9F8">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五、三维智能设计与协作助手</w:t>
            </w:r>
          </w:p>
          <w:p w14:paraId="78B55299">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27.三维模型语义理解与检索：基于三维深度学习的模型语义理解引擎，自动识别三维模型的部件、功能、装配关系，支持自然语言检索模型</w:t>
            </w:r>
          </w:p>
          <w:p w14:paraId="7F406D8D">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28.自然语言驱动的三维建模：支持通过自然语言指令直接进行三维建模操作，理解复杂建模意图并自动执行，支持参数化设计与方案生成，建模效率提升不低于50%</w:t>
            </w:r>
          </w:p>
          <w:p w14:paraId="36C36876">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29.设计意图推理与自动优化：基于设计知识图谱的意图推理系统，从用户操作中推断设计意图，主动提供优化建议，自动检测设计缺陷并给出改进方案</w:t>
            </w:r>
          </w:p>
          <w:p w14:paraId="77D1D8A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30.多人协同智能协调：支持多人协同设计中的智能冲突检测、版本管理与任务分配，自动协调多人操作冲突，智能合并设计变更，生成协作记录与变更说明</w:t>
            </w:r>
          </w:p>
          <w:p w14:paraId="738FDEC7">
            <w:pPr>
              <w:adjustRightInd w:val="0"/>
              <w:snapToGrid w:val="0"/>
              <w:spacing w:line="360" w:lineRule="auto"/>
              <w:rPr>
                <w:rFonts w:hint="eastAsia" w:ascii="仿宋" w:hAnsi="仿宋" w:eastAsia="仿宋" w:cs="仿宋"/>
                <w:sz w:val="24"/>
                <w:szCs w:val="24"/>
                <w:highlight w:val="none"/>
                <w:vertAlign w:val="baseline"/>
                <w:lang w:val="en-US" w:eastAsia="zh-CN"/>
              </w:rPr>
            </w:pPr>
            <w:r>
              <w:rPr>
                <w:rFonts w:hint="eastAsia" w:ascii="仿宋" w:hAnsi="仿宋" w:eastAsia="仿宋" w:cs="仿宋"/>
                <w:sz w:val="24"/>
                <w:szCs w:val="24"/>
                <w:highlight w:val="none"/>
                <w:vertAlign w:val="baseline"/>
              </w:rPr>
              <w:t>31.三维场景智能讲解与标注：自动识别三维场景内容，生成智能化讲解脚本，支持语音同步讲解；支持用户提问并实时在三维空间中标注答案位置</w:t>
            </w:r>
          </w:p>
        </w:tc>
        <w:tc>
          <w:tcPr>
            <w:tcW w:w="283" w:type="pct"/>
            <w:noWrap w:val="0"/>
            <w:vAlign w:val="top"/>
          </w:tcPr>
          <w:p w14:paraId="5405550F">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套</w:t>
            </w:r>
          </w:p>
        </w:tc>
        <w:tc>
          <w:tcPr>
            <w:tcW w:w="268" w:type="pct"/>
            <w:noWrap w:val="0"/>
            <w:vAlign w:val="top"/>
          </w:tcPr>
          <w:p w14:paraId="6C886808">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w:t>
            </w:r>
          </w:p>
        </w:tc>
      </w:tr>
      <w:tr w14:paraId="264A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 w:type="pct"/>
            <w:noWrap w:val="0"/>
            <w:vAlign w:val="top"/>
          </w:tcPr>
          <w:p w14:paraId="46B8A463">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5</w:t>
            </w:r>
          </w:p>
        </w:tc>
        <w:tc>
          <w:tcPr>
            <w:tcW w:w="457" w:type="pct"/>
            <w:noWrap w:val="0"/>
            <w:vAlign w:val="top"/>
          </w:tcPr>
          <w:p w14:paraId="32BC9C8C">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sz w:val="24"/>
                <w:szCs w:val="24"/>
                <w:highlight w:val="none"/>
                <w:vertAlign w:val="baseline"/>
              </w:rPr>
              <w:t>制药设备实体模型</w:t>
            </w:r>
          </w:p>
        </w:tc>
        <w:tc>
          <w:tcPr>
            <w:tcW w:w="6335" w:type="dxa"/>
            <w:noWrap w:val="0"/>
            <w:vAlign w:val="top"/>
          </w:tcPr>
          <w:p w14:paraId="3642C1AB">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一、实体模型 </w:t>
            </w:r>
          </w:p>
          <w:p w14:paraId="7914EC7A">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1. 设备明细：高速粉碎机、干法制粒机、液体预灌封一体机、旋转式压片机、薄膜包衣机、流化床制粒机、铝塑包装机（7套）； </w:t>
            </w:r>
          </w:p>
          <w:p w14:paraId="0C86799F">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2. 基于3D打印工艺实现设备结构和细节还原； </w:t>
            </w:r>
          </w:p>
          <w:p w14:paraId="6E29C5D9">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3. 比例还原：按真实设备1:2或1:3比例制作，外观尺寸、颜色、标识与真实设备一致； </w:t>
            </w:r>
          </w:p>
          <w:p w14:paraId="176AA9F0">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4. 材质工艺：主体采用高强度材料，兼顾教学耐用性和安全性； </w:t>
            </w:r>
          </w:p>
          <w:p w14:paraId="55D55F01">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5. 安全设计：所有边角圆润处理，无锋利边缘；避免教学过程中部件遗失； </w:t>
            </w:r>
          </w:p>
          <w:p w14:paraId="52B22D6A">
            <w:pPr>
              <w:adjustRightInd w:val="0"/>
              <w:snapToGrid w:val="0"/>
              <w:spacing w:line="360" w:lineRule="auto"/>
              <w:rPr>
                <w:rFonts w:hint="eastAsia" w:ascii="仿宋" w:hAnsi="仿宋" w:eastAsia="仿宋" w:cs="仿宋"/>
                <w:sz w:val="24"/>
                <w:szCs w:val="24"/>
                <w:highlight w:val="none"/>
                <w:vertAlign w:val="baseline"/>
              </w:rPr>
            </w:pPr>
            <w:r>
              <w:rPr>
                <w:rFonts w:hint="eastAsia" w:ascii="仿宋" w:hAnsi="仿宋" w:eastAsia="仿宋" w:cs="仿宋"/>
                <w:sz w:val="24"/>
                <w:szCs w:val="24"/>
                <w:highlight w:val="none"/>
                <w:vertAlign w:val="baseline"/>
              </w:rPr>
              <w:t xml:space="preserve">6. 配套资料：每台模型配备设备说明书、结构图册、拆装指导手册。 </w:t>
            </w:r>
          </w:p>
          <w:p w14:paraId="76E00FC2">
            <w:pPr>
              <w:adjustRightInd w:val="0"/>
              <w:snapToGrid w:val="0"/>
              <w:spacing w:line="360" w:lineRule="auto"/>
              <w:rPr>
                <w:rFonts w:hint="eastAsia" w:ascii="仿宋" w:hAnsi="仿宋" w:eastAsia="仿宋" w:cs="仿宋"/>
                <w:sz w:val="24"/>
                <w:szCs w:val="24"/>
                <w:highlight w:val="none"/>
                <w:vertAlign w:val="baseline"/>
                <w:lang w:val="en-US" w:eastAsia="zh-CN"/>
              </w:rPr>
            </w:pPr>
            <w:r>
              <w:rPr>
                <w:rFonts w:hint="eastAsia" w:ascii="仿宋" w:hAnsi="仿宋" w:eastAsia="仿宋" w:cs="Times New Roman"/>
                <w:bCs/>
                <w:sz w:val="24"/>
                <w:szCs w:val="24"/>
                <w:highlight w:val="none"/>
              </w:rPr>
              <w:t>▲</w:t>
            </w:r>
            <w:r>
              <w:rPr>
                <w:rFonts w:hint="eastAsia" w:ascii="仿宋" w:hAnsi="仿宋" w:eastAsia="仿宋" w:cs="Times New Roman"/>
                <w:bCs/>
                <w:sz w:val="24"/>
                <w:szCs w:val="24"/>
                <w:highlight w:val="none"/>
                <w:lang w:val="en-US" w:eastAsia="zh-CN"/>
              </w:rPr>
              <w:t>7.</w:t>
            </w:r>
            <w:r>
              <w:rPr>
                <w:rFonts w:hint="eastAsia" w:ascii="仿宋" w:hAnsi="仿宋" w:eastAsia="仿宋" w:cs="仿宋"/>
                <w:sz w:val="24"/>
                <w:szCs w:val="24"/>
                <w:highlight w:val="none"/>
                <w:vertAlign w:val="baseline"/>
              </w:rPr>
              <w:t>桌面端语音输入助手，</w:t>
            </w:r>
            <w:r>
              <w:rPr>
                <w:rFonts w:hint="eastAsia" w:ascii="仿宋" w:hAnsi="仿宋" w:eastAsia="仿宋" w:cs="仿宋"/>
                <w:sz w:val="24"/>
                <w:szCs w:val="24"/>
                <w:highlight w:val="none"/>
                <w:vertAlign w:val="baseline"/>
                <w:lang w:val="en-US" w:eastAsia="zh-CN"/>
              </w:rPr>
              <w:t>要求</w:t>
            </w:r>
            <w:r>
              <w:rPr>
                <w:rFonts w:hint="eastAsia" w:ascii="仿宋" w:hAnsi="仿宋" w:eastAsia="仿宋" w:cs="仿宋"/>
                <w:sz w:val="24"/>
                <w:szCs w:val="24"/>
                <w:highlight w:val="none"/>
                <w:vertAlign w:val="baseline"/>
              </w:rPr>
              <w:t>支持普通录音识别与实时语音输入，完成从麦克风采集、ASR识别、文本处理、AI润色到Word等目标窗口上屏的完整闭环。实现普通识别与实时识别双模式，支持录音转写、流式识别、实时预览与实时上屏。基于Threading+Queue解耦GUI主线程与ASR后台任务，避免语音识别、AI润色和粘贴操作阻塞界面，提升程序稳定性。支持热词管理、输入模式和上屏模式管理，AI润色等</w:t>
            </w:r>
            <w:r>
              <w:rPr>
                <w:rFonts w:hint="eastAsia" w:ascii="仿宋" w:hAnsi="仿宋" w:eastAsia="仿宋" w:cs="仿宋"/>
                <w:b/>
                <w:bCs/>
                <w:sz w:val="24"/>
                <w:szCs w:val="24"/>
                <w:highlight w:val="none"/>
                <w:vertAlign w:val="baseline"/>
              </w:rPr>
              <w:t>（</w:t>
            </w:r>
            <w:r>
              <w:rPr>
                <w:rFonts w:hint="eastAsia" w:ascii="仿宋" w:hAnsi="仿宋" w:eastAsia="仿宋" w:cs="仿宋"/>
                <w:b/>
                <w:bCs/>
                <w:sz w:val="24"/>
                <w:szCs w:val="24"/>
                <w:highlight w:val="none"/>
                <w:vertAlign w:val="baseline"/>
                <w:lang w:val="en-US" w:eastAsia="zh-CN"/>
              </w:rPr>
              <w:t>需提供项目真实应用的截图</w:t>
            </w:r>
            <w:r>
              <w:rPr>
                <w:rFonts w:hint="eastAsia" w:ascii="仿宋" w:hAnsi="仿宋" w:eastAsia="仿宋" w:cs="仿宋"/>
                <w:b/>
                <w:bCs/>
                <w:sz w:val="24"/>
                <w:szCs w:val="24"/>
                <w:highlight w:val="none"/>
                <w:vertAlign w:val="baseline"/>
              </w:rPr>
              <w:t>证明</w:t>
            </w:r>
            <w:r>
              <w:rPr>
                <w:rFonts w:hint="eastAsia" w:ascii="仿宋" w:hAnsi="仿宋" w:eastAsia="仿宋" w:cs="仿宋"/>
                <w:b/>
                <w:bCs/>
                <w:sz w:val="24"/>
                <w:szCs w:val="24"/>
                <w:highlight w:val="none"/>
                <w:vertAlign w:val="baseline"/>
                <w:lang w:val="en-US" w:eastAsia="zh-CN"/>
              </w:rPr>
              <w:t>佐证材料</w:t>
            </w:r>
            <w:r>
              <w:rPr>
                <w:rFonts w:hint="eastAsia" w:ascii="仿宋" w:hAnsi="仿宋" w:eastAsia="仿宋" w:cs="仿宋"/>
                <w:b/>
                <w:bCs/>
                <w:sz w:val="24"/>
                <w:szCs w:val="24"/>
                <w:highlight w:val="none"/>
                <w:vertAlign w:val="baseline"/>
              </w:rPr>
              <w:t>）</w:t>
            </w:r>
            <w:r>
              <w:rPr>
                <w:rFonts w:hint="eastAsia" w:ascii="仿宋" w:hAnsi="仿宋" w:eastAsia="仿宋" w:cs="仿宋"/>
                <w:sz w:val="24"/>
                <w:szCs w:val="24"/>
                <w:highlight w:val="none"/>
                <w:vertAlign w:val="baseline"/>
              </w:rPr>
              <w:t>。</w:t>
            </w:r>
          </w:p>
        </w:tc>
        <w:tc>
          <w:tcPr>
            <w:tcW w:w="283" w:type="pct"/>
            <w:noWrap w:val="0"/>
            <w:vAlign w:val="top"/>
          </w:tcPr>
          <w:p w14:paraId="7D917CB6">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套</w:t>
            </w:r>
          </w:p>
        </w:tc>
        <w:tc>
          <w:tcPr>
            <w:tcW w:w="268" w:type="pct"/>
            <w:noWrap w:val="0"/>
            <w:vAlign w:val="top"/>
          </w:tcPr>
          <w:p w14:paraId="43B57A82">
            <w:pPr>
              <w:adjustRightInd w:val="0"/>
              <w:snapToGrid w:val="0"/>
              <w:spacing w:line="360" w:lineRule="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7</w:t>
            </w:r>
          </w:p>
        </w:tc>
      </w:tr>
    </w:tbl>
    <w:p w14:paraId="71A417B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left"/>
        <w:textAlignment w:val="auto"/>
        <w:outlineLvl w:val="9"/>
        <w:rPr>
          <w:rFonts w:hint="default" w:ascii="仿宋" w:hAnsi="仿宋" w:eastAsia="仿宋" w:cs="Times New Roman"/>
          <w:b/>
          <w:bCs/>
          <w:sz w:val="28"/>
          <w:szCs w:val="28"/>
          <w:highlight w:val="none"/>
          <w:lang w:val="en-US" w:eastAsia="zh-CN"/>
        </w:rPr>
      </w:pPr>
      <w:r>
        <w:rPr>
          <w:rFonts w:hint="eastAsia" w:ascii="仿宋" w:hAnsi="仿宋" w:eastAsia="仿宋" w:cs="Times New Roman"/>
          <w:b/>
          <w:bCs/>
          <w:sz w:val="28"/>
          <w:szCs w:val="28"/>
          <w:highlight w:val="none"/>
          <w:lang w:val="en-US" w:eastAsia="zh-CN"/>
        </w:rPr>
        <w:t>注：</w:t>
      </w:r>
      <w:r>
        <w:rPr>
          <w:rFonts w:hint="eastAsia" w:ascii="仿宋" w:hAnsi="仿宋" w:eastAsia="仿宋" w:cs="Times New Roman"/>
          <w:b w:val="0"/>
          <w:bCs w:val="0"/>
          <w:sz w:val="28"/>
          <w:szCs w:val="28"/>
          <w:highlight w:val="none"/>
          <w:lang w:val="en-US" w:eastAsia="zh-CN"/>
        </w:rPr>
        <w:t>1、已为投标人提供现场平面图及实体拍摄图作为参考，详见附件设计方案图。</w:t>
      </w:r>
    </w:p>
    <w:p w14:paraId="1ECFA484">
      <w:pPr>
        <w:pStyle w:val="2"/>
        <w:keepNext w:val="0"/>
        <w:keepLines w:val="0"/>
        <w:pageBreakBefore w:val="0"/>
        <w:kinsoku/>
        <w:wordWrap/>
        <w:overflowPunct/>
        <w:topLinePunct w:val="0"/>
        <w:bidi w:val="0"/>
        <w:spacing w:line="640" w:lineRule="exact"/>
        <w:ind w:left="0" w:leftChars="0" w:firstLine="0" w:firstLineChars="0"/>
        <w:outlineLvl w:val="9"/>
        <w:rPr>
          <w:rFonts w:hint="eastAsia" w:ascii="仿宋" w:hAnsi="仿宋" w:eastAsia="仿宋" w:cs="Times New Roman"/>
          <w:bCs/>
          <w:color w:val="000000"/>
          <w:sz w:val="28"/>
          <w:szCs w:val="28"/>
          <w:highlight w:val="none"/>
        </w:rPr>
      </w:pPr>
    </w:p>
    <w:p w14:paraId="71D0DD5B">
      <w:pPr>
        <w:rPr>
          <w:color w:val="auto"/>
          <w:highlight w:val="none"/>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67F710"/>
    <w:multiLevelType w:val="singleLevel"/>
    <w:tmpl w:val="C567F710"/>
    <w:lvl w:ilvl="0" w:tentative="0">
      <w:start w:val="1"/>
      <w:numFmt w:val="decimal"/>
      <w:suff w:val="nothing"/>
      <w:lvlText w:val="（%1）"/>
      <w:lvlJc w:val="left"/>
      <w:pPr>
        <w:ind w:left="56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847ECC"/>
    <w:rsid w:val="0F3E4474"/>
    <w:rsid w:val="135319FD"/>
    <w:rsid w:val="17887D76"/>
    <w:rsid w:val="2AA34A34"/>
    <w:rsid w:val="2BD7455D"/>
    <w:rsid w:val="2BF8705A"/>
    <w:rsid w:val="4CF6214C"/>
    <w:rsid w:val="4D795113"/>
    <w:rsid w:val="61492654"/>
    <w:rsid w:val="6AB13CBA"/>
    <w:rsid w:val="6E9713D1"/>
    <w:rsid w:val="75AF5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annotation text"/>
    <w:basedOn w:val="1"/>
    <w:uiPriority w:val="0"/>
    <w:pPr>
      <w:jc w:val="left"/>
    </w:pPr>
  </w:style>
  <w:style w:type="paragraph" w:styleId="4">
    <w:name w:val="Plain Text"/>
    <w:basedOn w:val="1"/>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0">
    <w:name w:val="Strong"/>
    <w:basedOn w:val="9"/>
    <w:qFormat/>
    <w:uiPriority w:val="0"/>
    <w:rPr>
      <w:b/>
    </w:rPr>
  </w:style>
  <w:style w:type="paragraph" w:customStyle="1" w:styleId="11">
    <w:name w:val="纯文本1"/>
    <w:basedOn w:val="1"/>
    <w:qFormat/>
    <w:uiPriority w:val="0"/>
    <w:rPr>
      <w:rFonts w:ascii="宋体" w:hAnsi="Courier New"/>
      <w:szCs w:val="20"/>
    </w:rPr>
  </w:style>
  <w:style w:type="table" w:customStyle="1" w:styleId="12">
    <w:name w:val="网格型1"/>
    <w:basedOn w:val="13"/>
    <w:qFormat/>
    <w:uiPriority w:val="0"/>
    <w:pPr>
      <w:keepNext w:val="0"/>
      <w:keepLines w:val="0"/>
      <w:widowControl/>
      <w:suppressLineNumbers w:val="0"/>
      <w:spacing w:before="0" w:beforeAutospacing="0" w:after="0" w:afterAutospacing="0"/>
      <w:ind w:left="0" w:right="0"/>
    </w:pPr>
    <w:rPr>
      <w:rFonts w:ascii="Calibri" w:hAnsi="Calibri" w:cs="Calibri"/>
      <w:sz w:val="21"/>
      <w:szCs w:val="22"/>
    </w:rPr>
  </w:style>
  <w:style w:type="table" w:customStyle="1" w:styleId="13">
    <w:name w:val="普通表格1"/>
    <w:semiHidden/>
    <w:qFormat/>
    <w:uiPriority w:val="0"/>
    <w:pPr>
      <w:keepNext w:val="0"/>
      <w:keepLines w:val="0"/>
      <w:widowControl/>
      <w:suppressLineNumbers w:val="0"/>
      <w:spacing w:before="0" w:beforeAutospacing="0" w:after="0" w:afterAutospacing="0"/>
      <w:ind w:left="0" w:right="0"/>
    </w:pPr>
    <w:rPr>
      <w:rFonts w:ascii="Calibri" w:hAnsi="Calibri" w:cs="Calibri"/>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2111</Words>
  <Characters>2311</Characters>
  <Lines>0</Lines>
  <Paragraphs>0</Paragraphs>
  <TotalTime>0</TotalTime>
  <ScaleCrop>false</ScaleCrop>
  <LinksUpToDate>false</LinksUpToDate>
  <CharactersWithSpaces>2340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2026-09-09T07:22:00Z</dcterms:created>
  <dc:creator>云南能源1</dc:creator>
  <cp:lastModifiedBy>黄巧燕</cp:lastModifiedBy>
  <dcterms:modified xsi:type="dcterms:W3CDTF">2026-09-23T08:31:30Z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eyJoZGlkIjoiYWJiMDg4NGFlZmQ5MzcwNWUwOTQyNmRmMGM2ZGQyMTEiLCJ1c2VySWQiOiIxNjY3ODUyODczIn0=</vt:lpwstr>
  </property>
  <property fmtid="{D5CDD505-2E9C-101B-9397-08002B2CF9AE}" pid="4" name="ICV">
    <vt:lpwstr>DA46A6B9568E40C7A5A924DBCFBF74E0_13</vt:lpwstr>
  </property>
</Properties>
</file>