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4"/>
        <w:rPr>
          <w:rFonts w:hint="eastAsia"/>
          <w:highlight w:val="none"/>
        </w:rPr>
      </w:pPr>
      <w:r>
        <w:rPr>
          <w:rFonts w:hint="eastAsia"/>
          <w:highlight w:val="none"/>
        </w:rPr>
      </w:r>
      <w:r/>
    </w:p>
    <w:p>
      <w:pPr>
        <w:pStyle w:val="965"/>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5"/>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栖霞区多校周界安防提升</w:t>
      </w:r>
      <w:r>
        <w:rPr>
          <w:rFonts w:eastAsia="宋体" w:cs="Times New Roman"/>
          <w:b/>
          <w:color w:val="000000"/>
          <w:sz w:val="30"/>
          <w:szCs w:val="30"/>
          <w:highlight w:val="none"/>
          <w:u w:val="single"/>
          <w:lang w:val="en-US" w:eastAsia="zh-CN"/>
        </w:rPr>
      </w:r>
      <w:r/>
    </w:p>
    <w:p>
      <w:pPr>
        <w:pStyle w:val="875"/>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JSZC-320100-JZCG-G2026-0351</w:t>
      </w:r>
      <w:r>
        <w:rPr>
          <w:rFonts w:hint="eastAsia" w:eastAsia="宋体" w:cs="Times New Roman"/>
          <w:b/>
          <w:color w:val="000000"/>
          <w:sz w:val="30"/>
          <w:szCs w:val="30"/>
          <w:highlight w:val="none"/>
          <w:lang w:eastAsia="zh-CN"/>
        </w:rPr>
      </w:r>
      <w:r/>
    </w:p>
    <w:p>
      <w:pPr>
        <w:pStyle w:val="875"/>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7"/>
        <w:rPr>
          <w:rFonts w:hint="eastAsia"/>
        </w:rPr>
      </w:pPr>
      <w:r>
        <w:rPr>
          <w:rFonts w:hint="eastAsia"/>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5"/>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75"/>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87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5"/>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87"/>
        <w:rPr>
          <w:rFonts w:hint="eastAsia"/>
          <w:lang w:eastAsia="zh-CN"/>
        </w:rPr>
      </w:pPr>
      <w:r>
        <w:rPr>
          <w:rFonts w:hint="eastAsia"/>
          <w:lang w:eastAsia="zh-CN"/>
        </w:rPr>
      </w:r>
      <w:r/>
    </w:p>
    <w:p>
      <w:pPr>
        <w:pStyle w:val="875"/>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875"/>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479757206"/>
      <w:r/>
      <w:bookmarkStart w:id="3" w:name="_Toc20823272"/>
      <w:r/>
      <w:bookmarkStart w:id="4" w:name="_Toc523127445"/>
      <w:r/>
      <w:bookmarkStart w:id="5" w:name="_Toc513029200"/>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33</w:t>
      </w:r>
      <w:r>
        <w:rPr>
          <w:rFonts w:hint="eastAsia" w:ascii="黑体" w:hAnsi="宋体" w:eastAsia="黑体" w:cs="Times New Roman"/>
          <w:color w:val="000000"/>
          <w:sz w:val="36"/>
          <w:szCs w:val="21"/>
          <w:highlight w:val="none"/>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36</w:t>
      </w:r>
      <w:r>
        <w:rPr>
          <w:rFonts w:hint="eastAsia" w:ascii="黑体" w:hAnsi="宋体" w:eastAsia="黑体" w:cs="Times New Roman"/>
          <w:color w:val="000000"/>
          <w:sz w:val="36"/>
          <w:szCs w:val="21"/>
          <w:highlight w:val="none"/>
        </w:rPr>
      </w:r>
      <w:r/>
    </w:p>
    <w:p>
      <w:pPr>
        <w:pStyle w:val="875"/>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75"/>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5"/>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52" w:lineRule="auto"/>
        <w:widowControl w:val="off"/>
        <w:rPr>
          <w:rFonts w:ascii="宋体" w:hAnsi="宋体"/>
          <w:color w:val="000000"/>
          <w:sz w:val="24"/>
          <w:szCs w:val="24"/>
          <w:highlight w:val="none"/>
        </w:rPr>
      </w:pPr>
      <w:r/>
      <w:bookmarkEnd w:id="11"/>
      <w:r/>
      <w:bookmarkStart w:id="12" w:name="_Toc38985264"/>
      <w:r/>
      <w:bookmarkStart w:id="13" w:name="_Toc35393791"/>
      <w:r/>
      <w:bookmarkStart w:id="14" w:name="_Toc28359080"/>
      <w:r/>
      <w:bookmarkStart w:id="15" w:name="_Toc35393622"/>
      <w:r/>
      <w:bookmarkStart w:id="16" w:name="_Toc28359003"/>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JSZC-320100-JZCG-G2026-0351 </w:t>
      </w:r>
      <w:r>
        <w:rPr>
          <w:rFonts w:ascii="宋体" w:hAnsi="宋体"/>
          <w:color w:val="000000"/>
          <w:sz w:val="24"/>
          <w:szCs w:val="24"/>
          <w:highlight w:val="none"/>
        </w:rPr>
      </w:r>
      <w:r/>
    </w:p>
    <w:p>
      <w:pPr>
        <w:pStyle w:val="875"/>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栖霞区多校周界安防提升</w:t>
      </w:r>
      <w:r>
        <w:rPr>
          <w:rFonts w:hint="eastAsia" w:ascii="宋体" w:hAnsi="宋体" w:eastAsia="宋体"/>
          <w:color w:val="000000"/>
          <w:sz w:val="24"/>
          <w:szCs w:val="24"/>
          <w:highlight w:val="none"/>
          <w:lang w:eastAsia="zh-CN"/>
        </w:rPr>
      </w:r>
      <w:r/>
    </w:p>
    <w:p>
      <w:pPr>
        <w:pStyle w:val="87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186.5 万元</w:t>
      </w:r>
      <w:r>
        <w:rPr>
          <w:rFonts w:ascii="宋体" w:hAnsi="宋体"/>
          <w:color w:val="000000"/>
          <w:sz w:val="24"/>
          <w:szCs w:val="24"/>
          <w:highlight w:val="none"/>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182.888万元</w:t>
      </w:r>
      <w:r>
        <w:rPr>
          <w:rFonts w:hint="eastAsia" w:ascii="宋体" w:hAnsi="宋体" w:eastAsia="宋体" w:cs="宋体"/>
          <w:color w:val="000000"/>
          <w:sz w:val="24"/>
          <w:szCs w:val="24"/>
          <w:highlight w:val="none"/>
          <w:lang w:eastAsia="zh-CN"/>
        </w:rPr>
      </w:r>
      <w:r/>
    </w:p>
    <w:p>
      <w:pPr>
        <w:pStyle w:val="875"/>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本项目涉及栖霞区17所学校的周界安防提升，包含学校门口的升降柱及道闸、围墙上的防爬刺、校园“互联网+校园安全”视频巡查分中心等建设。项目包含设备安装、调试并培训使用，需确保11月份正常能交付给学校。</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75"/>
        <w:ind w:firstLine="480"/>
        <w:pageBreakBefore w:val="0"/>
        <w:spacing w:line="252"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30天</w:t>
      </w:r>
      <w:r>
        <w:rPr>
          <w:rFonts w:ascii="宋体" w:hAnsi="宋体" w:eastAsia="宋体"/>
          <w:color w:val="000000"/>
          <w:sz w:val="24"/>
          <w:szCs w:val="24"/>
          <w:highlight w:val="none"/>
          <w:lang w:val="en-US"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5"/>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75"/>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52" w:lineRule="auto"/>
        <w:widowControl w:val="off"/>
        <w:rPr>
          <w:rFonts w:hint="eastAsia" w:ascii="宋体" w:hAnsi="宋体"/>
          <w:color w:val="000000"/>
          <w:sz w:val="24"/>
          <w:szCs w:val="24"/>
          <w:highlight w:val="none"/>
        </w:rPr>
      </w:pPr>
      <w:r/>
      <w:bookmarkStart w:id="17" w:name="_Toc38985265"/>
      <w:r/>
      <w:bookmarkStart w:id="18" w:name="_Toc35393623"/>
      <w:r/>
      <w:bookmarkStart w:id="19" w:name="_Toc28359081"/>
      <w:r/>
      <w:bookmarkStart w:id="20" w:name="_Toc35393792"/>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5"/>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5"/>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5"/>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5"/>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28359084"/>
      <w:r/>
      <w:bookmarkStart w:id="28" w:name="_Toc35393794"/>
      <w:r/>
      <w:bookmarkStart w:id="29" w:name="_Toc28359007"/>
      <w:r/>
      <w:bookmarkStart w:id="30" w:name="_Toc38985267"/>
      <w:r/>
      <w:bookmarkStart w:id="31"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10</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15</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5"/>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52" w:lineRule="auto"/>
        <w:widowControl w:val="off"/>
        <w:rPr>
          <w:rFonts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公告期限为自本公告发布之日起5个工作日。</w:t>
      </w:r>
      <w:r>
        <w:rPr>
          <w:rFonts w:ascii="宋体" w:hAnsi="宋体" w:cs="宋体"/>
          <w:sz w:val="24"/>
          <w:szCs w:val="24"/>
          <w:highlight w:val="non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796"/>
      <w:r/>
      <w:bookmarkStart w:id="36" w:name="_Toc35393627"/>
      <w:r/>
      <w:bookmarkStart w:id="37" w:name="_Toc28359085"/>
      <w:r/>
      <w:bookmarkStart w:id="38" w:name="_Toc38985269"/>
      <w:r/>
      <w:bookmarkStart w:id="39" w:name="_Toc28359008"/>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5"/>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5"/>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5"/>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5"/>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采购人《质疑函》收件人：杨老师，收件地址：</w:t>
      </w:r>
      <w:r>
        <w:rPr>
          <w:rFonts w:hint="eastAsia" w:ascii="宋体" w:hAnsi="宋体" w:eastAsia="宋体" w:cs="Times New Roman"/>
          <w:color w:val="000000"/>
          <w:sz w:val="24"/>
          <w:szCs w:val="21"/>
          <w:highlight w:val="none"/>
          <w:u w:val="none"/>
          <w:lang w:val="en-US" w:eastAsia="zh-CN"/>
        </w:rPr>
        <w:t xml:space="preserve">南京市栖霞区文苑路118号，</w:t>
      </w:r>
      <w:r>
        <w:rPr>
          <w:rFonts w:hint="eastAsia" w:ascii="宋体" w:hAnsi="宋体" w:eastAsia="宋体" w:cs="Times New Roman"/>
          <w:b w:val="0"/>
          <w:bCs w:val="0"/>
          <w:color w:val="000000"/>
          <w:sz w:val="24"/>
          <w:highlight w:val="none"/>
          <w:lang w:val="en-US" w:eastAsia="zh-CN"/>
        </w:rPr>
        <w:t xml:space="preserve">联系电话：025-85413456。</w:t>
      </w:r>
      <w:r>
        <w:rPr>
          <w:rFonts w:hint="eastAsia" w:ascii="宋体" w:hAnsi="宋体" w:eastAsia="宋体" w:cs="Times New Roman"/>
          <w:b w:val="0"/>
          <w:bCs w:val="0"/>
          <w:color w:val="000000"/>
          <w:sz w:val="24"/>
          <w:highlight w:val="none"/>
          <w:lang w:val="en-US" w:eastAsia="zh-CN"/>
        </w:rPr>
      </w:r>
      <w:r/>
    </w:p>
    <w:p>
      <w:pPr>
        <w:pStyle w:val="875"/>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称：025-85413456          </w:t>
      </w:r>
      <w:r>
        <w:rPr>
          <w:rFonts w:hint="eastAsia" w:ascii="宋体" w:hAnsi="宋体" w:eastAsia="宋体" w:cs="Times New Roman"/>
          <w:color w:val="000000"/>
          <w:sz w:val="24"/>
          <w:szCs w:val="24"/>
          <w:highlight w:val="none"/>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南京市栖霞区文苑路118号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杨老师</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联系电话：025-85413456 </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王女士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5"/>
        <w:ind w:right="0" w:firstLine="480"/>
        <w:jc w:val="left"/>
        <w:spacing w:line="252" w:lineRule="auto"/>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联系电话：025-68505967 </w:t>
      </w:r>
      <w:r>
        <w:rPr>
          <w:rFonts w:hint="eastAsia" w:ascii="宋体" w:hAnsi="宋体" w:eastAsia="宋体" w:cs="Times New Roman"/>
          <w:color w:val="000000"/>
          <w:sz w:val="24"/>
          <w:szCs w:val="24"/>
          <w:highlight w:val="none"/>
          <w:u w:val="none"/>
          <w:lang w:val="en-US" w:eastAsia="zh-CN"/>
        </w:rPr>
      </w:r>
      <w:r/>
    </w:p>
    <w:p>
      <w:pPr>
        <w:pStyle w:val="95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5"/>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9"/>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5"/>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5"/>
        <w:ind w:firstLine="492"/>
        <w:keepLines w:val="0"/>
        <w:keepNext w:val="0"/>
        <w:rPr>
          <w:rFonts w:hint="eastAsia" w:ascii="方正楷体_GBK" w:hAnsi="方正楷体_GBK" w:eastAsia="方正楷体_GBK" w:cs="方正楷体_GBK"/>
          <w:b/>
          <w:bCs/>
          <w:sz w:val="28"/>
          <w:szCs w:val="28"/>
          <w:highlight w:val="none"/>
          <w:lang w:val="zh-CN" w:eastAsia="zh-CN" w:bidi="ar-SA"/>
        </w:rPr>
      </w:pPr>
      <w:r>
        <w:rPr>
          <w:rFonts w:hint="eastAsia" w:ascii="方正楷体_GBK" w:hAnsi="方正楷体_GBK" w:eastAsia="方正楷体_GBK" w:cs="方正楷体_GBK"/>
          <w:b/>
          <w:bCs/>
          <w:sz w:val="28"/>
          <w:szCs w:val="28"/>
          <w:highlight w:val="none"/>
          <w:lang w:val="zh-CN" w:eastAsia="zh-CN" w:bidi="ar-SA"/>
        </w:rPr>
        <w:t xml:space="preserve">18.评标</w:t>
      </w:r>
      <w:r>
        <w:rPr>
          <w:rFonts w:hint="eastAsia" w:ascii="方正楷体_GBK" w:hAnsi="方正楷体_GBK" w:eastAsia="方正楷体_GBK" w:cs="方正楷体_GBK"/>
          <w:b/>
          <w:bCs/>
          <w:sz w:val="28"/>
          <w:szCs w:val="28"/>
          <w:highlight w:val="none"/>
          <w:lang w:val="zh-CN" w:eastAsia="zh-CN" w:bidi="ar-SA"/>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5"/>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w:t>
      </w:r>
      <w:r>
        <w:rPr>
          <w:rFonts w:hint="eastAsia" w:ascii="宋体" w:hAnsi="宋体" w:eastAsia="宋体" w:cs="Times New Roman"/>
          <w:color w:val="000000"/>
          <w:sz w:val="24"/>
          <w:szCs w:val="22"/>
          <w:highlight w:val="none"/>
          <w:lang w:val="zh-CN"/>
        </w:rPr>
        <w:t xml:space="preserve">的其他情形。</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5"/>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5"/>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5"/>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5"/>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5"/>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5"/>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5"/>
        <w:spacing w:line="24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themeColor="text1"/>
          <w:spacing w:val="0"/>
          <w:sz w:val="24"/>
          <w:szCs w:val="21"/>
          <w:highlight w:val="none"/>
          <w:shd w:val="clear" w:color="auto" w:fill="auto"/>
          <w:lang w:eastAsia="zh-CN"/>
        </w:rPr>
        <w:t xml:space="preserve">南京市</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栖霞区财政局</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提起投诉。</w:t>
      </w:r>
      <w:r>
        <w:rPr>
          <w:color w:val="000000" w:themeColor="text1"/>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9"/>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5"/>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5"/>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75"/>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5"/>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5"/>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9"/>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9"/>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5"/>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5"/>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5"/>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5"/>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9"/>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5"/>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9"/>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5"/>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9"/>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5"/>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5"/>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5"/>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5"/>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5"/>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5"/>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5"/>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20823314"/>
      <w:r/>
      <w:bookmarkStart w:id="44" w:name="_Toc16938558"/>
      <w:r/>
      <w:bookmarkStart w:id="45" w:name="_Toc479757207"/>
      <w:r/>
      <w:bookmarkStart w:id="46" w:name="_Toc513029242"/>
      <w:r/>
      <w:bookmarkStart w:id="47" w:name="_Toc120614221"/>
      <w:r>
        <w:rPr>
          <w:rFonts w:hint="eastAsia" w:ascii="宋体" w:hAnsi="宋体" w:eastAsia="宋体" w:cs="Times New Roman"/>
          <w:color w:val="000000"/>
          <w:sz w:val="24"/>
          <w:highlight w:val="none"/>
          <w:lang w:val="zh-CN" w:eastAsia="zh-CN"/>
        </w:rPr>
      </w:r>
      <w:r/>
    </w:p>
    <w:p>
      <w:pPr>
        <w:pStyle w:val="954"/>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4"/>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5"/>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513029243"/>
      <w:r/>
      <w:bookmarkStart w:id="49" w:name="_Toc16938559"/>
      <w:r/>
      <w:bookmarkStart w:id="50" w:name="_Toc20823315"/>
      <w:r/>
      <w:bookmarkStart w:id="51" w:name="_Hlt16619350"/>
      <w:r/>
      <w:bookmarkStart w:id="52" w:name="_Toc16938590"/>
      <w:r/>
      <w:bookmarkStart w:id="53" w:name="_Toc20823346"/>
      <w:r/>
      <w:bookmarkStart w:id="54" w:name="_Toc120614244"/>
      <w:r/>
      <w:bookmarkStart w:id="55" w:name="_Toc479757211"/>
      <w:r/>
      <w:bookmarkStart w:id="56"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5"/>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5"/>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5"/>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w:t>
      </w:r>
      <w:r>
        <w:rPr>
          <w:rFonts w:ascii="宋体" w:hAnsi="宋体" w:cs="Courier New"/>
          <w:color w:val="000000"/>
          <w:sz w:val="24"/>
          <w:szCs w:val="24"/>
          <w:highlight w:val="none"/>
        </w:rPr>
        <w:t xml:space="preserve">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5"/>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6"/>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5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5"/>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5"/>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5"/>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16"/>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5"/>
        <w:spacing w:line="264" w:lineRule="auto"/>
        <w:rPr>
          <w:rFonts w:eastAsia="宋体"/>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highlight w:val="none"/>
          <w:lang w:val="en-US" w:eastAsia="zh-CN"/>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5‰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5</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5‰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6"/>
        <w:keepLines w:val="0"/>
        <w:keepNext w:val="0"/>
        <w:pageBreakBefore w:val="0"/>
        <w:spacing w:before="120" w:after="120" w:line="264" w:lineRule="auto"/>
        <w:widowControl w:val="off"/>
        <w:rPr>
          <w:rFonts w:hint="eastAsia" w:hAnsi="宋体" w:eastAsia="宋体" w:cs="Courier New"/>
          <w:sz w:val="24"/>
          <w:szCs w:val="24"/>
          <w:highlight w:val="none"/>
        </w:rPr>
      </w:pPr>
      <w:r/>
      <w:bookmarkEnd w:id="48"/>
      <w:r/>
      <w:bookmarkEnd w:id="49"/>
      <w:r/>
      <w:bookmarkEnd w:id="50"/>
      <w:r/>
      <w:bookmarkStart w:id="57" w:name="_Hlt16619369"/>
      <w:r/>
      <w:bookmarkEnd w:id="57"/>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6"/>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6"/>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16"/>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6"/>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6"/>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6"/>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875"/>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5"/>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6"/>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5"/>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26554093"/>
      <w:r/>
      <w:bookmarkStart w:id="59"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（一）项目背景</w:t>
      </w:r>
      <w:r>
        <w:rPr>
          <w:rFonts w:hint="eastAsia" w:ascii="宋体" w:hAnsi="宋体" w:eastAsia="宋体" w:cs="宋体"/>
          <w:bCs/>
          <w:sz w:val="24"/>
          <w:szCs w:val="24"/>
          <w:highlight w:val="none"/>
          <w:lang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为建设平安校园，加强技防能力，本次采购将提升栖霞区多校周界安防系统。</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（三）资产配置标准</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符合《关于印发南京市中小学通用资产配置标准的通知》（2023年）。</w:t>
      </w:r>
      <w:r>
        <w:rPr>
          <w:rFonts w:hint="eastAsia" w:ascii="宋体" w:hAnsi="宋体" w:eastAsia="宋体" w:cs="宋体"/>
          <w:bCs/>
          <w:color w:val="000000"/>
          <w:sz w:val="24"/>
          <w:szCs w:val="24"/>
          <w:highlight w:val="none"/>
          <w:lang w:val="en-US" w:eastAsia="zh-CN"/>
        </w:rPr>
      </w:r>
      <w:r/>
    </w:p>
    <w:p>
      <w:pPr>
        <w:pStyle w:val="875"/>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tbl>
      <w:tblPr>
        <w:tblW w:w="997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23"/>
        <w:gridCol w:w="855"/>
        <w:gridCol w:w="687"/>
        <w:gridCol w:w="1035"/>
        <w:gridCol w:w="1245"/>
        <w:gridCol w:w="1521"/>
        <w:gridCol w:w="940"/>
        <w:gridCol w:w="1187"/>
      </w:tblGrid>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序号</w:t>
            </w:r>
            <w:r>
              <w:rPr>
                <w:rFonts w:hint="eastAsia" w:ascii="宋体" w:hAnsi="宋体" w:eastAsia="宋体" w:cs="宋体"/>
                <w:bCs/>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分项名称</w:t>
            </w:r>
            <w:r>
              <w:rPr>
                <w:rFonts w:hint="eastAsia" w:ascii="宋体" w:hAnsi="宋体" w:eastAsia="宋体" w:cs="宋体"/>
                <w:bCs/>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数量</w:t>
            </w:r>
            <w:r>
              <w:rPr>
                <w:rFonts w:hint="eastAsia" w:ascii="宋体" w:hAnsi="宋体" w:eastAsia="宋体" w:cs="宋体"/>
                <w:bCs/>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单位</w:t>
            </w:r>
            <w:r>
              <w:rPr>
                <w:rFonts w:hint="eastAsia" w:ascii="宋体" w:hAnsi="宋体" w:eastAsia="宋体" w:cs="宋体"/>
                <w:bCs/>
                <w:color w:val="000000"/>
                <w:sz w:val="24"/>
                <w:szCs w:val="24"/>
                <w:highlight w:val="none"/>
                <w:lang w:eastAsia="zh-CN"/>
              </w:rPr>
            </w:r>
            <w:r/>
          </w:p>
        </w:tc>
        <w:tc>
          <w:tcPr>
            <w:tcW w:w="1035" w:type="dxa"/>
            <w:vAlign w:val="center"/>
            <w:textDirection w:val="lrTb"/>
            <w:noWrap/>
          </w:tcPr>
          <w:p>
            <w:pPr>
              <w:pStyle w:val="875"/>
              <w:jc w:val="both"/>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单价上限(元)</w:t>
            </w:r>
            <w:r>
              <w:rPr>
                <w:rFonts w:hint="eastAsia" w:ascii="宋体" w:hAnsi="宋体" w:eastAsia="宋体" w:cs="宋体"/>
                <w:bCs/>
                <w:color w:val="000000"/>
                <w:sz w:val="24"/>
                <w:szCs w:val="24"/>
                <w:highlight w:val="none"/>
                <w:lang w:eastAsia="zh-CN"/>
              </w:rPr>
            </w:r>
            <w:r/>
          </w:p>
        </w:tc>
        <w:tc>
          <w:tcPr>
            <w:tcW w:w="1245" w:type="dxa"/>
            <w:vAlign w:val="center"/>
            <w:textDirection w:val="lrTb"/>
            <w:noWrap/>
          </w:tcPr>
          <w:p>
            <w:pPr>
              <w:pStyle w:val="875"/>
              <w:jc w:val="both"/>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产品类型</w:t>
            </w:r>
            <w:r>
              <w:rPr>
                <w:rFonts w:hint="eastAsia" w:ascii="宋体" w:hAnsi="宋体" w:eastAsia="宋体" w:cs="宋体"/>
                <w:bCs/>
                <w:color w:val="000000"/>
                <w:sz w:val="24"/>
                <w:szCs w:val="24"/>
                <w:highlight w:val="none"/>
                <w:lang w:eastAsia="zh-CN"/>
              </w:rPr>
            </w:r>
            <w:r/>
          </w:p>
        </w:tc>
        <w:tc>
          <w:tcPr>
            <w:tcW w:w="1521" w:type="dxa"/>
            <w:vAlign w:val="center"/>
            <w:textDirection w:val="lrTb"/>
            <w:noWrap/>
          </w:tcPr>
          <w:p>
            <w:pPr>
              <w:pStyle w:val="875"/>
              <w:jc w:val="both"/>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lang w:eastAsia="zh-CN"/>
              </w:rPr>
              <w:t xml:space="preserve">所属行业</w:t>
            </w:r>
            <w:r>
              <w:rPr>
                <w:rFonts w:hint="eastAsia" w:ascii="宋体" w:hAnsi="宋体" w:eastAsia="宋体" w:cs="宋体"/>
                <w:bCs/>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宋体"/>
                <w:bCs/>
                <w:color w:val="000000"/>
                <w:sz w:val="24"/>
                <w:szCs w:val="24"/>
                <w:highlight w:val="none"/>
                <w:lang w:eastAsia="zh-CN"/>
              </w:rPr>
            </w:r>
            <w:r/>
          </w:p>
        </w:tc>
        <w:tc>
          <w:tcPr>
            <w:tcW w:w="1187" w:type="dxa"/>
            <w:vAlign w:val="center"/>
            <w:textDirection w:val="lrTb"/>
            <w:noWrap/>
          </w:tcPr>
          <w:p>
            <w:pPr>
              <w:pStyle w:val="875"/>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政府强制采购节能产品（如有）</w:t>
            </w:r>
            <w:r>
              <w:rPr>
                <w:rFonts w:hint="eastAsia" w:ascii="宋体" w:hAnsi="宋体" w:eastAsia="宋体" w:cs="宋体"/>
                <w:bCs/>
                <w:color w:val="000000"/>
                <w:sz w:val="24"/>
                <w:szCs w:val="24"/>
                <w:highlight w:val="none"/>
                <w:lang w:eastAsia="zh-CN"/>
              </w:rPr>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全自动升降柱</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58</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12000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eastAsia="zh-CN"/>
              </w:rPr>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控制系统</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辅材1</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辅材2</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辅材3</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辅材4</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12000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辅材5</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辅材6</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主动红外入侵控测器</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3500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控制主机</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防爬刺</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10590</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固定立柱</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3612</w:t>
            </w:r>
            <w:r>
              <w:rPr>
                <w:rFonts w:ascii="宋体" w:hAnsi="宋体" w:eastAsia="宋体" w:cs="宋体"/>
                <w:color w:val="000000"/>
                <w:sz w:val="24"/>
                <w:szCs w:val="24"/>
                <w:highlight w:val="none"/>
                <w:lang w:val="en-US"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根</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车牌识别</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19000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栅栏重型道闸</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13500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r>
            <w:r/>
          </w:p>
        </w:tc>
        <w:tc>
          <w:tcPr>
            <w:tcW w:w="1823"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车牌识别系统主机</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8500</w:t>
            </w:r>
            <w:r>
              <w:rPr>
                <w:rFonts w:ascii="宋体" w:hAnsi="宋体" w:eastAsia="宋体" w:cs="宋体"/>
                <w:color w:val="000000"/>
                <w:sz w:val="24"/>
                <w:szCs w:val="24"/>
                <w:highlight w:val="none"/>
                <w:lang w:val="en-US"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显示器</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pPr>
              <w:jc w:val="center"/>
            </w:pPr>
            <w:r>
              <w:t xml:space="preserve">是</w:t>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实心花岗岩挡车石球</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750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移动式防冲撞拒马</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6500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LED屏体</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18.3</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7560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屏体备用模组</w:t>
            </w:r>
            <w:r>
              <w:rPr>
                <w:rFonts w:hint="eastAsia" w:ascii="宋体" w:hAnsi="宋体" w:eastAsia="宋体" w:cs="宋体"/>
                <w:color w:val="000000"/>
                <w:sz w:val="24"/>
                <w:szCs w:val="24"/>
                <w:highlight w:val="none"/>
                <w:lang w:eastAsia="zh-CN"/>
              </w:rPr>
            </w:r>
            <w:r/>
          </w:p>
        </w:tc>
        <w:tc>
          <w:tcPr>
            <w:tcW w:w="85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245</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LED视频控制器</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7257</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接收卡</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140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控制软件</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2440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软件和信息技术服务</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网线</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箱</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设备机柜</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2270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安装调试1</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8320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软件和信息技术服务</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专业音箱</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只</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3760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86"/>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功率放大器1（2通道）</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4970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辅助音箱</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只</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2830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922"/>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功率放大器2（2通道）</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调音台</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2320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数字音频处理器</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4400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1拖4无线传声器（手持）</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4650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1拖4无线传声器（鹅颈）</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4650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电源时序器</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音箱线</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辅材7</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批</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1200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安装调试2</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2400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软件和信息技术服务</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1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39</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视频监控平台接入终端</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12600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314"/>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同屏传输器</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1980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r>
        <w:trPr>
          <w:trHeight w:val="628"/>
        </w:trPr>
        <w:tc>
          <w:tcPr>
            <w:tcW w:w="68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lang w:eastAsia="zh-CN"/>
              </w:rPr>
            </w:r>
            <w:r/>
          </w:p>
        </w:tc>
        <w:tc>
          <w:tcPr>
            <w:tcW w:w="182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安装调试3</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7"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r>
            <w:r/>
          </w:p>
        </w:tc>
        <w:tc>
          <w:tcPr>
            <w:tcW w:w="1035"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1000</w:t>
            </w:r>
            <w:r>
              <w:rPr>
                <w:rFonts w:hint="eastAsia" w:ascii="宋体" w:hAnsi="宋体" w:eastAsia="宋体" w:cs="宋体"/>
                <w:color w:val="000000"/>
                <w:sz w:val="24"/>
                <w:szCs w:val="24"/>
                <w:highlight w:val="none"/>
                <w:lang w:eastAsia="zh-CN"/>
              </w:rPr>
            </w:r>
            <w:r/>
          </w:p>
        </w:tc>
        <w:tc>
          <w:tcPr>
            <w:tcW w:w="1245" w:type="dxa"/>
            <w:vAlign w:val="center"/>
            <w:textDirection w:val="lrTb"/>
            <w:noWrap/>
          </w:tcPr>
          <w:p>
            <w:r/>
            <w:r/>
          </w:p>
        </w:tc>
        <w:tc>
          <w:tcPr>
            <w:tcW w:w="1521"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软件和信息技术服务</w:t>
            </w:r>
            <w:r>
              <w:rPr>
                <w:rFonts w:hint="eastAsia" w:ascii="宋体" w:hAnsi="宋体" w:eastAsia="宋体" w:cs="宋体"/>
                <w:color w:val="000000"/>
                <w:sz w:val="24"/>
                <w:szCs w:val="24"/>
                <w:highlight w:val="none"/>
                <w:lang w:eastAsia="zh-CN"/>
              </w:rPr>
            </w:r>
            <w:r/>
          </w:p>
        </w:tc>
        <w:tc>
          <w:tcPr>
            <w:tcW w:w="940" w:type="dxa"/>
            <w:vAlign w:val="center"/>
            <w:textDirection w:val="lrTb"/>
            <w:noWrap/>
          </w:tcPr>
          <w:p>
            <w:pPr>
              <w:pStyle w:val="875"/>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eastAsia="zh-CN"/>
              </w:rPr>
            </w:r>
            <w:r/>
          </w:p>
        </w:tc>
        <w:tc>
          <w:tcPr>
            <w:tcW w:w="1187" w:type="dxa"/>
            <w:vAlign w:val="center"/>
            <w:textDirection w:val="lrTb"/>
            <w:noWrap/>
          </w:tcPr>
          <w:p>
            <w:r/>
            <w:r/>
          </w:p>
        </w:tc>
      </w:tr>
    </w:tbl>
    <w:p>
      <w:pPr>
        <w:pStyle w:val="87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5"/>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color w:val="000000"/>
          <w:highlight w:val="none"/>
          <w:lang w:val="en-US" w:eastAsia="zh-CN"/>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rPr>
                <w:rFonts w:hint="eastAsia" w:ascii="宋体" w:hAnsi="宋体" w:eastAsia="宋体" w:cs="宋体"/>
                <w:b/>
                <w:bCs w:val="0"/>
                <w:sz w:val="24"/>
                <w:szCs w:val="24"/>
                <w:highlight w:val="none"/>
              </w:rPr>
            </w:r>
            <w:r/>
          </w:p>
        </w:tc>
        <w:tc>
          <w:tcPr>
            <w:tcW w:w="1354"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产品</w:t>
            </w:r>
            <w:r>
              <w:rPr>
                <w:rFonts w:hint="eastAsia" w:ascii="宋体" w:hAnsi="宋体" w:eastAsia="宋体" w:cs="宋体"/>
                <w:b/>
                <w:bCs w:val="0"/>
                <w:sz w:val="24"/>
                <w:szCs w:val="24"/>
                <w:highlight w:val="none"/>
                <w:lang w:eastAsia="zh-CN"/>
              </w:rPr>
              <w:t xml:space="preserve">名称</w:t>
            </w:r>
            <w:r>
              <w:rPr>
                <w:rFonts w:hint="eastAsia" w:ascii="宋体" w:hAnsi="宋体" w:eastAsia="宋体" w:cs="宋体"/>
                <w:b/>
                <w:bCs w:val="0"/>
                <w:sz w:val="24"/>
                <w:szCs w:val="24"/>
                <w:highlight w:val="none"/>
                <w:lang w:eastAsia="zh-CN"/>
              </w:rPr>
            </w:r>
            <w:r/>
          </w:p>
        </w:tc>
        <w:tc>
          <w:tcPr>
            <w:tcW w:w="779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功</w:t>
            </w:r>
            <w:r>
              <w:rPr>
                <w:rFonts w:hint="eastAsia" w:ascii="宋体" w:hAnsi="宋体" w:eastAsia="宋体" w:cs="宋体"/>
                <w:b/>
                <w:bCs w:val="0"/>
                <w:sz w:val="24"/>
                <w:szCs w:val="24"/>
                <w:highlight w:val="none"/>
              </w:rPr>
              <w:t xml:space="preserve">能、性能、配置要求</w:t>
            </w:r>
            <w:r>
              <w:rPr>
                <w:rFonts w:hint="eastAsia" w:ascii="宋体" w:hAnsi="宋体" w:eastAsia="宋体" w:cs="宋体"/>
                <w:b/>
                <w:bCs w:val="0"/>
                <w:sz w:val="24"/>
                <w:szCs w:val="24"/>
                <w:highlight w:val="none"/>
                <w:lang w:val="en-US" w:eastAsia="zh-CN"/>
              </w:rPr>
              <w:t xml:space="preserve">不低于以下要求</w:t>
            </w:r>
            <w:r>
              <w:rPr>
                <w:rFonts w:hint="eastAsia" w:ascii="宋体" w:hAnsi="宋体" w:eastAsia="宋体" w:cs="宋体"/>
                <w:b/>
                <w:bCs w:val="0"/>
                <w:sz w:val="24"/>
                <w:szCs w:val="24"/>
                <w:highlight w:val="none"/>
              </w:rPr>
            </w:r>
            <w:r/>
          </w:p>
        </w:tc>
      </w:tr>
      <w:tr>
        <w:trPr>
          <w:cantSplit/>
          <w:trHeight w:val="6910"/>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全自动升降柱</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1.柱体采用304不锈钢，柱体直径219mm±2mm；柱体厚度≥6mm；柱体升起后高度≥600mm；预埋桶采用Q235钢管直径≥273mm  壁厚≥2mm 高度≥800mm</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▲2.需达到GA/T 1343-2016《防暴升降式阻车路障》升降柱完全伸出后，应能承受≥6800kg质重的汽车，碰撞速度≥80km/h，碰撞能量≥1679kj的动能撞击1次，侵入距离：≤7米</w:t>
            </w:r>
            <w:r>
              <w:rPr>
                <w:rFonts w:hint="eastAsia" w:ascii="Times New Roman" w:hAnsi="Times New Roman" w:eastAsia="宋体" w:cs="Times New Roman"/>
                <w:b w:val="0"/>
                <w:bCs w:val="0"/>
                <w:lang w:val="en-US" w:eastAsia="zh-CN"/>
              </w:rPr>
              <w:t xml:space="preserve">；</w:t>
            </w:r>
            <w:r>
              <w:rPr>
                <w:rFonts w:hint="eastAsia" w:ascii="Times New Roman" w:hAnsi="Times New Roman" w:eastAsia="宋体" w:cs="Times New Roman"/>
                <w:b/>
                <w:bCs/>
                <w:lang w:val="en-US" w:eastAsia="zh-CN"/>
              </w:rPr>
              <w:t xml:space="preserve">（签订合同时提供具有CMA标识的检测报告）</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3.警示功能：运动柱体表面有反光警示条，宽度≤50mm,颜色为柠檬黄(可定制)。柱体顶部采用 LED警示灯珠，可根据时间及升降状态来设定，支持夜间自动亮起，白天自动关闭，支持上升亮起，下降关闭。灯带与控制系统之间所连接线缆电压不得大于24V且为直流电，功率≤6W；</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4.缓冲装置： 机芯底座于驱动组件的周边设有下缓冲件，升降筒的下端设有贴紧其外壁的上缓冲件，升降筒由驱动组件带动进行升降，以分别使上缓冲件抵在挡圈上、升降筒底部抵在下缓冲件上；</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▲5.柱体防腐：GB/T 10125-2021《人造气氛腐蚀试验盐雾试验》 中性盐雾试验方法进行连续48h盐雾试验，升降柱体试验后样品表面应无明显锈蚀，外观评级(R1)≥9级；</w:t>
            </w:r>
            <w:r>
              <w:rPr>
                <w:rFonts w:hint="eastAsia" w:ascii="Times New Roman" w:hAnsi="Times New Roman" w:eastAsia="宋体" w:cs="Times New Roman"/>
                <w:b/>
                <w:bCs/>
                <w:lang w:val="en-US" w:eastAsia="zh-CN"/>
              </w:rPr>
              <w:t xml:space="preserve">（签订合同时提供具有CMA标识的检测报告）</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6.限位块及水位检测装置：液压动力装置设有多个下限位块，上限位板与下限位块之间安装有导向杆；安装块侧壁上安装有水位检测装置，外筒体底部设有排水口；</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7.液压一体机芯：包括电机、油泵、液压阀块、油箱筒和液压油缸；液压机芯以液压阀块为底座，油箱筒和液压油缸垂直向上地连接在液压阀块的上平面上；</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8.升降柱导轨和导向套：采用≥3根不锈钢导轨，导轨Ø13~20mm。与导向杆滑动连接的导向套采用非金属PA66材质；</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9.悬挂装置：驱动单元与升降柱主体之间采用柔性悬浮连接；</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10.机芯底板及紧固件：电机底板采用不锈钢材质，紧固螺钉采用不锈钢螺钉；</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11.柱体内部结构：柱体底部应采用满焊工艺焊接防撞圈或三块弧形防撞块；机芯连接板可调中心点；伸缩柱和外桶重叠高度≥200mm；柱体底部应设两个及以上缓冲螺钉，采用PU缓冲头厚度应≥25mm；</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控制系统</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1.智能遥控器：采用无线 315MHz FSK方式控制，采用调频调制，抗干扰，内置(AES)加密器，符合遥控器上设置误操作的保险开关，瞬间点动无效，保护车辆免于因误操作导致事故发生；</w:t>
            </w:r>
            <w:r>
              <w:rPr>
                <w:rFonts w:ascii="Times New Roman" w:hAnsi="Times New Roman" w:eastAsia="宋体" w:cs="Times New Roman"/>
                <w:lang w:val="en-US" w:eastAsia="zh-CN"/>
              </w:rPr>
              <w:br w:type="textWrapping" w:clear="all"/>
            </w:r>
            <w:r>
              <w:rPr>
                <w:rFonts w:ascii="Times New Roman" w:hAnsi="Times New Roman" w:eastAsia="宋体" w:cs="Times New Roman"/>
                <w:lang w:val="en-US" w:eastAsia="zh-CN"/>
              </w:rPr>
              <w:t xml:space="preserve">2.过载保护：当升降柱电机线路短路或发生堵转现象导致电流增大过载时应有自动保护功能且响应时间 5 秒；</w:t>
            </w:r>
            <w:r>
              <w:rPr>
                <w:rFonts w:ascii="Times New Roman" w:hAnsi="Times New Roman" w:eastAsia="宋体" w:cs="Times New Roman"/>
                <w:lang w:val="en-US" w:eastAsia="zh-CN"/>
              </w:rPr>
              <w:br w:type="textWrapping" w:clear="all"/>
            </w:r>
            <w:r>
              <w:rPr>
                <w:rFonts w:ascii="Times New Roman" w:hAnsi="Times New Roman" w:eastAsia="宋体" w:cs="Times New Roman"/>
                <w:lang w:val="en-US" w:eastAsia="zh-CN"/>
              </w:rPr>
              <w:t xml:space="preserve">3.绝缘电阻应符合GB16796-2022中5.2.3的要求，设备经湿热预处理试验后,设备的基本绝缘或附加绝缘部件之间的绝缘电阻≥2MΩ,设备加强绝缘或双重绝缘的零部件之间的绝缘电阻≥5MΩ；</w:t>
            </w:r>
            <w:r>
              <w:rPr>
                <w:rFonts w:ascii="Times New Roman" w:hAnsi="Times New Roman" w:eastAsia="宋体" w:cs="Times New Roman"/>
                <w:lang w:val="en-US" w:eastAsia="zh-CN"/>
              </w:rPr>
              <w:br w:type="textWrapping" w:clear="all"/>
            </w:r>
            <w:r>
              <w:rPr>
                <w:rFonts w:ascii="Times New Roman" w:hAnsi="Times New Roman" w:eastAsia="宋体" w:cs="Times New Roman"/>
                <w:lang w:val="en-US" w:eastAsia="zh-CN"/>
              </w:rPr>
              <w:t xml:space="preserve">4.接电连续性应符合GB16796-2022中5.4的要求；设备的保护接地端子和与其连接的导电零部件之间的电阻值应小于或等于0.1Ω。</w:t>
            </w:r>
            <w:r>
              <w:rPr>
                <w:rFonts w:ascii="Times New Roman" w:hAnsi="Times New Roman" w:eastAsia="宋体" w:cs="Times New Roman"/>
                <w:lang w:val="en-US" w:eastAsia="zh-CN"/>
              </w:rPr>
            </w:r>
            <w:r/>
          </w:p>
        </w:tc>
      </w:tr>
      <w:tr>
        <w:trPr>
          <w:cantSplit/>
          <w:trHeight w:val="41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辅材1</w:t>
            </w:r>
            <w:r>
              <w:rPr>
                <w:rFonts w:hint="eastAsia" w:ascii="Times New Roman" w:hAnsi="Times New Roman" w:eastAsia="宋体" w:cs="Times New Roman"/>
                <w:lang w:val="en-US" w:eastAsia="zh-CN"/>
              </w:rPr>
            </w:r>
            <w:r/>
          </w:p>
        </w:tc>
        <w:tc>
          <w:tcP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宋体" w:cs="Times New Roman"/>
                <w:lang w:val="en-US" w:eastAsia="zh-CN"/>
              </w:rPr>
              <w:t xml:space="preserve">线管、电力电缆、控制电缆、混凝土、沥青、排水系统等材料（</w:t>
            </w:r>
            <w:r>
              <w:rPr>
                <w:rFonts w:ascii="SimSun" w:hAnsi="SimSun" w:eastAsia="SimSun" w:cs="SimSun"/>
                <w:color w:val="000000"/>
                <w:sz w:val="21"/>
              </w:rPr>
              <w:t xml:space="preserve">分别对应本章附件中分校清单的辅材编号</w:t>
            </w:r>
            <w:r>
              <w:rPr>
                <w:rFonts w:ascii="Times New Roman" w:hAnsi="Times New Roman" w:eastAsia="宋体" w:cs="Times New Roman"/>
                <w:lang w:val="en-US" w:eastAsia="zh-CN"/>
              </w:rPr>
              <w:t xml:space="preserve">）</w:t>
            </w:r>
            <w:r>
              <w:rPr>
                <w:sz w:val="21"/>
              </w:rPr>
            </w:r>
            <w:r/>
          </w:p>
        </w:tc>
      </w:tr>
      <w:tr>
        <w:trPr>
          <w:cantSplit/>
          <w:trHeight w:val="54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辅材2</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线管、电力电缆、控制电缆、混凝土、沥青、排水系统等材料</w:t>
            </w:r>
            <w:r>
              <w:rPr>
                <w:rFonts w:ascii="Times New Roman" w:hAnsi="Times New Roman" w:eastAsia="宋体" w:cs="Times New Roman"/>
                <w:lang w:val="en-US" w:eastAsia="zh-CN"/>
              </w:rPr>
              <w:t xml:space="preserve">（</w:t>
            </w:r>
            <w:r>
              <w:rPr>
                <w:rFonts w:ascii="SimSun" w:hAnsi="SimSun" w:eastAsia="SimSun" w:cs="SimSun"/>
                <w:color w:val="000000"/>
                <w:sz w:val="21"/>
              </w:rPr>
              <w:t xml:space="preserve">分别对应本章附件中分校清单的辅材编号</w:t>
            </w:r>
            <w:r>
              <w:rPr>
                <w:rFonts w:ascii="Times New Roman" w:hAnsi="Times New Roman" w:eastAsia="宋体" w:cs="Times New Roman"/>
                <w:lang w:val="en-US" w:eastAsia="zh-CN"/>
              </w:rPr>
              <w:t xml:space="preserve">）</w:t>
            </w:r>
            <w:r>
              <w:rPr>
                <w:rFonts w:ascii="Times New Roman" w:hAnsi="Times New Roman" w:eastAsia="宋体" w:cs="Times New Roman"/>
                <w:lang w:val="en-US" w:eastAsia="zh-CN"/>
              </w:rPr>
            </w:r>
            <w:r/>
          </w:p>
        </w:tc>
      </w:tr>
      <w:tr>
        <w:trPr>
          <w:cantSplit/>
          <w:trHeight w:val="55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5</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辅材3</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线管、电力电缆、控制电缆、混凝土、沥青、排水系统等材料</w:t>
            </w:r>
            <w:r>
              <w:rPr>
                <w:rFonts w:ascii="Times New Roman" w:hAnsi="Times New Roman" w:eastAsia="宋体" w:cs="Times New Roman"/>
                <w:lang w:val="en-US" w:eastAsia="zh-CN"/>
              </w:rPr>
              <w:t xml:space="preserve">（</w:t>
            </w:r>
            <w:r>
              <w:rPr>
                <w:rFonts w:ascii="SimSun" w:hAnsi="SimSun" w:eastAsia="SimSun" w:cs="SimSun"/>
                <w:color w:val="000000"/>
                <w:sz w:val="21"/>
              </w:rPr>
              <w:t xml:space="preserve">分别对应本章附件中分校清单的辅材编号</w:t>
            </w:r>
            <w:r>
              <w:rPr>
                <w:rFonts w:ascii="Times New Roman" w:hAnsi="Times New Roman" w:eastAsia="宋体" w:cs="Times New Roman"/>
                <w:lang w:val="en-US" w:eastAsia="zh-CN"/>
              </w:rPr>
              <w:t xml:space="preserve">）</w:t>
            </w:r>
            <w:r>
              <w:rPr>
                <w:rFonts w:ascii="Times New Roman" w:hAnsi="Times New Roman" w:eastAsia="宋体" w:cs="Times New Roman"/>
                <w:lang w:val="en-US" w:eastAsia="zh-CN"/>
              </w:rPr>
            </w:r>
            <w:r/>
          </w:p>
        </w:tc>
      </w:tr>
      <w:tr>
        <w:trPr>
          <w:cantSplit/>
          <w:trHeight w:val="540"/>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6</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辅材4</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线管、电力电缆、控制电缆、混凝土、沥青、排水系统等材料</w:t>
            </w:r>
            <w:r>
              <w:rPr>
                <w:rFonts w:ascii="Times New Roman" w:hAnsi="Times New Roman" w:eastAsia="宋体" w:cs="Times New Roman"/>
                <w:lang w:val="en-US" w:eastAsia="zh-CN"/>
              </w:rPr>
              <w:t xml:space="preserve">（</w:t>
            </w:r>
            <w:r>
              <w:rPr>
                <w:rFonts w:ascii="SimSun" w:hAnsi="SimSun" w:eastAsia="SimSun" w:cs="SimSun"/>
                <w:color w:val="000000"/>
                <w:sz w:val="21"/>
              </w:rPr>
              <w:t xml:space="preserve">分别对应本章附件中分校清单的辅材编号</w:t>
            </w:r>
            <w:r>
              <w:rPr>
                <w:rFonts w:ascii="Times New Roman" w:hAnsi="Times New Roman" w:eastAsia="宋体" w:cs="Times New Roman"/>
                <w:lang w:val="en-US" w:eastAsia="zh-CN"/>
              </w:rPr>
              <w:t xml:space="preserve">）</w:t>
            </w:r>
            <w:r>
              <w:rPr>
                <w:rFonts w:ascii="Times New Roman" w:hAnsi="Times New Roman" w:eastAsia="宋体" w:cs="Times New Roman"/>
                <w:lang w:val="en-US" w:eastAsia="zh-CN"/>
              </w:rPr>
            </w:r>
            <w:r/>
          </w:p>
        </w:tc>
      </w:tr>
      <w:tr>
        <w:trPr>
          <w:cantSplit/>
          <w:trHeight w:val="49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7</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辅材5</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线管、电力电缆、控制电缆、混凝土、沥青、排水系统等材料</w:t>
            </w:r>
            <w:r>
              <w:rPr>
                <w:rFonts w:ascii="Times New Roman" w:hAnsi="Times New Roman" w:eastAsia="宋体" w:cs="Times New Roman"/>
                <w:lang w:val="en-US" w:eastAsia="zh-CN"/>
              </w:rPr>
              <w:t xml:space="preserve">（</w:t>
            </w:r>
            <w:r>
              <w:rPr>
                <w:rFonts w:ascii="SimSun" w:hAnsi="SimSun" w:eastAsia="SimSun" w:cs="SimSun"/>
                <w:color w:val="000000"/>
                <w:sz w:val="21"/>
              </w:rPr>
              <w:t xml:space="preserve">分别对应本章附件中分校清单的辅材编号</w:t>
            </w:r>
            <w:r>
              <w:rPr>
                <w:rFonts w:ascii="Times New Roman" w:hAnsi="Times New Roman" w:eastAsia="宋体" w:cs="Times New Roman"/>
                <w:lang w:val="en-US" w:eastAsia="zh-CN"/>
              </w:rPr>
              <w:t xml:space="preserve">）</w:t>
            </w:r>
            <w:r>
              <w:rPr>
                <w:rFonts w:ascii="Times New Roman" w:hAnsi="Times New Roman" w:eastAsia="宋体" w:cs="Times New Roman"/>
                <w:lang w:val="en-US" w:eastAsia="zh-CN"/>
              </w:rPr>
            </w:r>
            <w:r/>
          </w:p>
        </w:tc>
      </w:tr>
      <w:tr>
        <w:trPr>
          <w:cantSplit/>
          <w:trHeight w:val="51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8</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辅材6</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线管、电力电缆、控制电缆、混凝土、沥青、排水系统等材料</w:t>
            </w:r>
            <w:r>
              <w:rPr>
                <w:rFonts w:ascii="Times New Roman" w:hAnsi="Times New Roman" w:eastAsia="宋体" w:cs="Times New Roman"/>
                <w:lang w:val="en-US" w:eastAsia="zh-CN"/>
              </w:rPr>
              <w:t xml:space="preserve">（</w:t>
            </w:r>
            <w:r>
              <w:rPr>
                <w:rFonts w:ascii="SimSun" w:hAnsi="SimSun" w:eastAsia="SimSun" w:cs="SimSun"/>
                <w:color w:val="000000"/>
                <w:sz w:val="21"/>
              </w:rPr>
              <w:t xml:space="preserve">分别对应本章附件中分校清单的辅材编号</w:t>
            </w:r>
            <w:r>
              <w:rPr>
                <w:rFonts w:ascii="Times New Roman" w:hAnsi="Times New Roman" w:eastAsia="宋体" w:cs="Times New Roman"/>
                <w:lang w:val="en-US" w:eastAsia="zh-CN"/>
              </w:rPr>
              <w:t xml:space="preserve">）</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9</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主动红外入侵控测器</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1.触发时间可调（50ms、100ms、300ms及700ms），可根据不同环境调整报警触发时间；红外信号二次处理功能(可媲美AGC功能)，确保功率余度达90%以上，支持开关量（常开／常闭）输出；支持防拆报警功能（常闭，当外壳被打开时报警）；</w:t>
            </w:r>
            <w:r>
              <w:rPr>
                <w:rFonts w:ascii="Times New Roman" w:hAnsi="Times New Roman" w:eastAsia="宋体" w:cs="Times New Roman"/>
                <w:lang w:val="en-US" w:eastAsia="zh-CN"/>
              </w:rPr>
              <w:br w:type="textWrapping" w:clear="all"/>
            </w:r>
            <w:r>
              <w:rPr>
                <w:rFonts w:ascii="Times New Roman" w:hAnsi="Times New Roman" w:eastAsia="宋体" w:cs="Times New Roman"/>
                <w:lang w:val="en-US" w:eastAsia="zh-CN"/>
              </w:rPr>
              <w:t xml:space="preserve">技术参数：</w:t>
            </w:r>
            <w:r>
              <w:rPr>
                <w:rFonts w:ascii="Times New Roman" w:hAnsi="Times New Roman" w:eastAsia="宋体" w:cs="Times New Roman"/>
                <w:lang w:val="en-US" w:eastAsia="zh-CN"/>
              </w:rPr>
              <w:br w:type="textWrapping" w:clear="all"/>
            </w:r>
            <w:r>
              <w:rPr>
                <w:rFonts w:ascii="Times New Roman" w:hAnsi="Times New Roman" w:eastAsia="宋体" w:cs="Times New Roman"/>
                <w:lang w:val="en-US" w:eastAsia="zh-CN"/>
              </w:rPr>
              <w:t xml:space="preserve">2.距离：60m、100m可选电源电压：DC9～30V/AC9～20V工作电流：≤70mA max,报警方式：红外光束被完全遮挡；</w:t>
            </w:r>
            <w:r>
              <w:rPr>
                <w:rFonts w:ascii="Times New Roman" w:hAnsi="Times New Roman" w:eastAsia="宋体" w:cs="Times New Roman"/>
                <w:lang w:val="en-US" w:eastAsia="zh-CN"/>
              </w:rPr>
              <w:br w:type="textWrapping" w:clear="all"/>
            </w:r>
            <w:r>
              <w:rPr>
                <w:rFonts w:ascii="Times New Roman" w:hAnsi="Times New Roman" w:eastAsia="宋体" w:cs="Times New Roman"/>
                <w:lang w:val="en-US" w:eastAsia="zh-CN"/>
              </w:rPr>
              <w:t xml:space="preserve">3.遮断时间：50ms/100ms/300ms/700ms可调（通过接收器的拨码开关选择）,报警周期：≥1.5s报警输出：常闭常开可选；</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10</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控制主机</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1.主机具有全独立4路总线输入，具有防雷抗干扰设计,大屏幕中文蓝屏显示，8个完全独立分区，可带8个分体键盘；</w:t>
            </w:r>
            <w:r>
              <w:rPr>
                <w:rFonts w:ascii="Times New Roman" w:hAnsi="Times New Roman" w:eastAsia="宋体" w:cs="Times New Roman"/>
                <w:lang w:val="en-US" w:eastAsia="zh-CN"/>
              </w:rPr>
              <w:br w:type="textWrapping" w:clear="all"/>
            </w:r>
            <w:r>
              <w:rPr>
                <w:rFonts w:ascii="Times New Roman" w:hAnsi="Times New Roman" w:eastAsia="宋体" w:cs="Times New Roman"/>
                <w:lang w:val="en-US" w:eastAsia="zh-CN"/>
              </w:rPr>
              <w:t xml:space="preserve">2.具有250路总线防区，各个防区属性可设置（延时、及时、24小时防区）,不用任何中继或放大器，用线RVV2*1.0可达到8公里两边布线可达到18公里；</w:t>
            </w:r>
            <w:r>
              <w:rPr>
                <w:rFonts w:ascii="Times New Roman" w:hAnsi="Times New Roman" w:eastAsia="宋体" w:cs="Times New Roman"/>
                <w:lang w:val="en-US" w:eastAsia="zh-CN"/>
              </w:rPr>
              <w:br w:type="textWrapping" w:clear="all"/>
            </w:r>
            <w:r>
              <w:rPr>
                <w:rFonts w:ascii="Times New Roman" w:hAnsi="Times New Roman" w:eastAsia="宋体" w:cs="Times New Roman"/>
                <w:lang w:val="en-US" w:eastAsia="zh-CN"/>
              </w:rPr>
              <w:t xml:space="preserve">3.全事情记忆（黑匣子）：布撤防、报警、故障等全记录不可删除。</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11</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防爬刺</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1.防护主材：直线型刀片刺条，整条拉直,层数：校园标配3至4层水平排布，</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2.材质选择：304不锈钢，防锈耐腐蚀；</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3.安装要求：竖向间距150mm且最上层刺条距围墙外地面不小于2米。</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12</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固定立柱</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1.材质：304不锈钢方管，常用规格50×50mm，壁厚2.0mm,底座：一体焊接法兰底盘，预留长条孔，</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2.安装要求：标准3m一根，围墙转角、大门两侧加密至1.5m。用膨胀螺栓固定在围墙压顶混凝土上。</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13</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车牌识别</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1.异常车牌识别功能检查：支持对部分污损车牌、部分遮挡车牌进行识别；</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▲2.大角度车牌识别功能检查：支持相机法线与行车方向角度小于70度以内的大角度畸变成像的车牌识别功能；</w:t>
            </w:r>
            <w:r>
              <w:rPr>
                <w:rFonts w:hint="eastAsia" w:ascii="Times New Roman" w:hAnsi="Times New Roman" w:eastAsia="宋体" w:cs="Times New Roman"/>
                <w:b/>
                <w:bCs/>
                <w:lang w:val="en-US" w:eastAsia="zh-CN"/>
              </w:rPr>
              <w:t xml:space="preserve">（签订合同时提供第三方的检测报告）</w:t>
            </w:r>
            <w:r>
              <w:rPr>
                <w:rFonts w:hint="eastAsia" w:ascii="Times New Roman" w:hAnsi="Times New Roman" w:eastAsia="宋体" w:cs="Times New Roman"/>
                <w:b/>
                <w:bCs/>
                <w:lang w:val="en-US" w:eastAsia="zh-CN"/>
              </w:rPr>
              <w:br w:type="textWrapping" w:clear="all"/>
            </w:r>
            <w:r>
              <w:rPr>
                <w:rFonts w:hint="eastAsia" w:ascii="Times New Roman" w:hAnsi="Times New Roman" w:eastAsia="宋体" w:cs="Times New Roman"/>
                <w:lang w:val="en-US" w:eastAsia="zh-CN"/>
              </w:rPr>
              <w:t xml:space="preserve">3.防跟车功能检查：支持视频防跟车、雷达/线圈防跟车两种模式，对于连续过车的场景，可以实现跟车不落杆；</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4.放行计数控制功能检查:具有放行计数功能，当收到的开闸指令计数，与过车计数不一致时，控制道闸处于放行状态，当计数相等且防砸线圈无车时，控制道闸落杆；</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5.应急放行功能检查：断电后，可通过工具手动操作使道闸处于开闸状态；支持通过增加电容小板配件，可实现断电自动抬杆；</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6.车牌识别试验：具有车牌识别功能，在天气晴朗无雾，号牌无遮挡，无污损的条件下进行测试，白天测试时的环境光照度不低于200晚上不高于30lx，白天车牌识别准确率≥99.9%；夜间车牌识别准确率≥99.9%；</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14</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栅栏重型道闸</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1.电机规格直流24VDC±5%，功率200-250W，转速1500转直流机芯,静态功耗≤5W待机低功耗；</w:t>
            </w:r>
            <w:r>
              <w:rPr>
                <w:rFonts w:ascii="Times New Roman" w:hAnsi="Times New Roman" w:eastAsia="宋体" w:cs="Times New Roman"/>
                <w:lang w:val="en-US" w:eastAsia="zh-CN"/>
              </w:rPr>
              <w:br w:type="textWrapping" w:clear="all"/>
            </w:r>
            <w:r>
              <w:rPr>
                <w:rFonts w:ascii="Times New Roman" w:hAnsi="Times New Roman" w:eastAsia="宋体" w:cs="Times New Roman"/>
                <w:lang w:val="en-US" w:eastAsia="zh-CN"/>
              </w:rPr>
              <w:t xml:space="preserve">2.机箱材质：1.5mm 镀锌钢板，静电喷涂防锈，自重：主机 180-240kg；</w:t>
            </w:r>
            <w:r>
              <w:rPr>
                <w:rFonts w:ascii="Times New Roman" w:hAnsi="Times New Roman" w:eastAsia="宋体" w:cs="Times New Roman"/>
                <w:lang w:val="en-US" w:eastAsia="zh-CN"/>
              </w:rPr>
              <w:br w:type="textWrapping" w:clear="all"/>
            </w:r>
            <w:r>
              <w:rPr>
                <w:rFonts w:ascii="Times New Roman" w:hAnsi="Times New Roman" w:eastAsia="宋体" w:cs="Times New Roman"/>
                <w:lang w:val="en-US" w:eastAsia="zh-CN"/>
              </w:rPr>
              <w:t xml:space="preserve">3.栅栏材质：铝合金格栅，带加强筋，杆长：2-6m，杆高：1200-1380mm，底部带可调节支撑脚，落杆时支撑闸杆，减少主机倾覆力矩。</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15</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车牌识别系统主机</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1.WiFi 功能检查：设备自带 WIFI 模块，自带WIFI AP功能，能够通过 WIFI访问设备、控制设备、配置停车场相关功能，远程访问运维功能：设备上电后，无需连接外部网络，可依靠设备自带无线通讯模块，进行远程运维、远程配置、远程操作、远程控制停车场；</w:t>
            </w:r>
            <w:r>
              <w:rPr>
                <w:rFonts w:ascii="Times New Roman" w:hAnsi="Times New Roman" w:eastAsia="宋体" w:cs="Times New Roman"/>
                <w:lang w:val="en-US" w:eastAsia="zh-CN"/>
              </w:rPr>
              <w:br w:type="textWrapping" w:clear="all"/>
            </w:r>
            <w:r>
              <w:rPr>
                <w:rFonts w:ascii="Times New Roman" w:hAnsi="Times New Roman" w:eastAsia="宋体" w:cs="Times New Roman"/>
                <w:lang w:val="en-US" w:eastAsia="zh-CN"/>
              </w:rPr>
              <w:t xml:space="preserve">2.网口与车道自动关联功能检查：指定网口与车道进行绑定，当其他设备接入相应网口后，可直接绑定设备与车道，免除重新配置车道等步骤；</w:t>
            </w:r>
            <w:r>
              <w:rPr>
                <w:rFonts w:ascii="Times New Roman" w:hAnsi="Times New Roman" w:eastAsia="宋体" w:cs="Times New Roman"/>
                <w:lang w:val="en-US" w:eastAsia="zh-CN"/>
              </w:rPr>
              <w:br w:type="textWrapping" w:clear="all"/>
            </w:r>
            <w:r>
              <w:rPr>
                <w:rFonts w:ascii="Times New Roman" w:hAnsi="Times New Roman" w:eastAsia="宋体" w:cs="Times New Roman"/>
                <w:lang w:val="en-US" w:eastAsia="zh-CN"/>
              </w:rPr>
              <w:t xml:space="preserve">3.BS/CS 客户端功能检查：设备支持BS架构，可通过浏览器登录BS客户端，支持功能包括：登录设备、控制出入口管控、录入名单、查询过车记录；设备支持 CS架构，可通过鼠标、键盘、显示器登录设备CS客户端，支特功能包括：登录设备，控制出入口管控、录入名单、查询过车记录,车道上车辆滞留提示功能检查：支持车道上车辆滞留超过设置时间的文字显示与语音提示功能。</w:t>
            </w:r>
            <w:r>
              <w:rPr>
                <w:rFonts w:ascii="Times New Roman" w:hAnsi="Times New Roman" w:eastAsia="宋体" w:cs="Times New Roman"/>
                <w:lang w:val="en-US" w:eastAsia="zh-CN"/>
              </w:rPr>
            </w:r>
            <w:r/>
          </w:p>
        </w:tc>
      </w:tr>
      <w:tr>
        <w:trPr>
          <w:cantSplit/>
          <w:trHeight w:val="15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16</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显示器</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尺寸：27寸，接口:HDMI/DP/IPS,分辨率：2K。</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17</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实心花岗岩挡车石球</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球体公称直径：500mm（±2mm圆度公差），配套圆形底座高度：550mm，整体落地总高约55cm，净重：200～215kg/个</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18</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移动式防冲撞拒马</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1.外形尺寸：长度：3000mm，总高度：1200mm，底座宽度：800mm；</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管材材质：主材：Q235碳素钢，热镀锌防腐，表面黄黑（红白）高温喷塑，主管：Φ89mm圆管，壁厚≥2.0mm，副管：Φ60mm圆管，壁厚≥1.8mm，整体三角桁架焊接结构，警示防腐：粘贴国标反光膜，宽度≥50mm，夜间警示，热镀锌+静电喷塑双层防腐。</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19</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LED屏体</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1.分辨率≥3612×1462=5280744点；</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2.像素点间距：≤1.86mm，封装方式:SMD铜线封装；</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3.亮度（nit） ≥800cd/m²；亮度均匀性(校正后)≥99%；发光点中心距偏 ≤0.7%；</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4.对比度：≥8000:1；可视角度：水平视角≥170°/垂直视角≥170°；</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5.刷新率：3840HZ；</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6.可正面拆卸、安装灯板、接收卡、电源；</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7.有摩尔纹抑制功能，有效去除摩尔纹现象；</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8.运行时平均功耗≤300W/㎡；</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9.模块的PCB 板、线材、电源、连接件、面罩的阻燃等级均达到V0级；</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10.支持任意非标准分辨率信号输入自适应，输出范围可进行缩放，实现最佳分辨率匹配，避免屏幕比例异常及黑边现象,具有防眩目功能；</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11.可对单点或整屏的亮度、色度进行校正；</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12.包含内部系统运行所需的所有系统硬件和配套设备；</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13.钢结构尺寸：6820mm×2820mm=19.23㎡，上下左右包边各4~5cm，显示屏为壁挂式安装，国标方钢40*40mm焊接，壁厚2.0mm,以确保系统的安全可靠性，钢结构表面须作除锈处理，表面处理严格按国家标准进行施工；</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14.配套电箱：20KW，网口+串口，PLC+中控控制，高温+故障警示；</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15.供电线缆：纯铜RVV5*6mm²；通讯线缆：室内超五类网线14根。</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20</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屏体备用模组</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1.模组尺寸:320x160mm，像素点间距：≤1.86mm，封装方式：SMD铜线封装，模组与接收卡采用排线连接；</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2.亮度（nit） ≥800cd/m²；亮度均匀性(校正后)≥99%；发光点中心距偏 ≤0.7%；</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3.对比度：≥8000:1；可视角度：水平视角≥170°/垂直视角≥170°；</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4.刷新率：3840HZ；</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5.可正面拆卸、安装灯板、接收卡、电源；</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6.有摩尔纹抑制功能，有效去除摩尔纹现象；</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7.运行时平均功耗≤300W/㎡；</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8.模块的PCB 板、线材、电源、连接件、面罩的阻燃等级均达到V0级；</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9.支持任意非标准分辨率信号输入自适应，输出范围可进行缩放，实现最佳分辨率匹配，避免屏幕比例异常及黑边现象,具有防眩目功能；</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10.可对单点或整屏的亮度、色度进行校正；</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21</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LED视频控制器</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1.单机具有12个网口，单网口带载65万像素，整机最大带载780万像素，宽度可达到12000点，高度可达到4000点；</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2.支持多种数字信号接口,包括1路DP1.1，1路HDMI1.4，2路HDMI1.3和2路DVI-D输入源，支持4K点对点显示；</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3.支持3画面显示，画面位置任意布局；</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4.支持信号源热备份。EDID配置管理：支持EDID的读取、修改、自定义。</w:t>
            </w:r>
            <w:r>
              <w:rPr>
                <w:rFonts w:ascii="Times New Roman" w:hAnsi="Times New Roman" w:eastAsia="宋体" w:cs="Times New Roman"/>
                <w:lang w:val="en-US" w:eastAsia="zh-CN"/>
              </w:rPr>
            </w:r>
            <w:r/>
          </w:p>
        </w:tc>
      </w:tr>
      <w:tr>
        <w:trPr>
          <w:cantSplit/>
          <w:trHeight w:val="57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22</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接收卡</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12个75E标准接口，输出32组RGB数据。</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23</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控制软件</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1.支持定时任务，可实现无人值守；</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2.支持预案保存，一键调用；</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3.最少可支持100个图层窗口的添加，窗口的分辨率在范围内支持任意调节；</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4.窗口功能：每个窗口可添加网页、图片或视频，添加的网页均可以在桌面进行二次编辑（例：百度搜索、登录网页账号密码）；</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5.场景功能：可添加场景预案，进行预案调用和编辑；</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6.图层调度：单图层可通过鼠标双击快速缩小或全屏展示。</w:t>
            </w:r>
            <w:r>
              <w:rPr>
                <w:rFonts w:ascii="Times New Roman" w:hAnsi="Times New Roman" w:eastAsia="宋体" w:cs="Times New Roman"/>
                <w:lang w:val="en-US" w:eastAsia="zh-CN"/>
              </w:rPr>
            </w:r>
            <w:r/>
          </w:p>
        </w:tc>
      </w:tr>
      <w:tr>
        <w:trPr>
          <w:cantSplit/>
          <w:trHeight w:val="47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24</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网线</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六类，非屏蔽。</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25</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设备机柜</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600MM*600MM*2000MM，全部选用SPCC冷轧钢板制作；前玻后网门，含盲板、层板、机柜螺丝。</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26</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安装调试1</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按照屏体尺寸需求切除原舞台吸音板，安装屏体后再收口包边，墙边增补吸音板材，LED系统设备布线、设备安装、调试集成。</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27</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专业音箱</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1、额定功率（AES）：≥400W/8Ω</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2、额定频率范围：50Hz~19000Hz（-10dB）</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3、低音扬声器：≥1×12〞高音扬声器：≥1×1.75〞</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4、特性灵敏度：≥97dB</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5、最大声压级：≥129dB</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28</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jc w:val="lef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功率放大器1（2通道）</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1、输出功率：≥2×700W/8Ω，≥2×1050W/4Ω</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2、频率响应：20Hz～20kHz；</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3、总谐波失真(1kHz)：≤0.1%；</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4、输入灵敏度(±10%)：0dBu(775mV)；</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5、输入阻抗(典型值)：平衡 20KΩ，非平衡 10KΩ；</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6、信噪比(A计权)：≥100dB；</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29</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辅助音箱</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1、额定功率（AES）：≥300W/8Ω</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2、额定频率范围：60Hz~19000Hz（-10dB）</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3、低音扬声器：≥1×10〞高音扬声器：≥1×1.35〞</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4、特性灵敏度：≥96dB</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5、最大声压级：≥126d</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30</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jc w:val="lef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功率放大器2（2通道）</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1、额定功率：≥2×450W/8Ω，≥2×675W/4Ω</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2、频率响应：20Hz～20kHz ±1dB；</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3、输入灵敏度：0dBu（775mV）；</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4、输入阻抗：平衡20kΩ，非平衡10kΩ；</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5、总谐波失真(1kHz)：≤0.1%；</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6、信噪比(A计权)：≥100dB；</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31</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调音台</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1、≥6路MIC/LINE，≥1组立体声输入，≥1组立体声效果返回输入，≥1路USB、蓝牙输入</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2、≥2组主输出，≥2路编组输出，≥1路辅助输出，≥1路效果输出，≥1路立体声耳机输出，≥1组立体声录音输出</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3、内置效果器，内置多媒体播放器 ，带蓝牙接收功能，支持USB播放，可直接播放WAV、MP3双格式音乐，PC声卡</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4、频率响应：20Hz～20kHz （+1dB，-3dB）</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5、总谐波失真：≤0.05%@4dBu，1kHz</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32</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数字音频处理器</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1、≥8路平衡式话筒／线路输入，≥8路平衡式线路输出；具有48V幻象供电软开关；</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2、输入通道功能：前置放大、信号发生器、扩展器、压缩器、5段参量均衡具有PEQ、High-Shelf、Low- Shelf、LP、HP等类型可选</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3、输出通道功能：10段参量均衡、延时器、分频器、高低通滤波器、限幅器</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4、频率响应：20Hz～20kHz</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5、本底噪(A-计权):-90dBu</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6、总谐波失真(THD+N)：≤0.005%@1kHz，+4dBu</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33</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1拖4无线传声器（手持）</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1、采用UHF双通道设计，接收机采用真分集接收技术，CPU自动选讯，传输更稳定；</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2、接收机内置啸叫抑制，可根据需要开启或关闭；</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3、接收机内置4种EQ模式——直通、低切、高切及用户模式，其中用户模式可灵活调节13段 EQ增益，适配更多场合使用；</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4、载波频段:UHF645-690MHz</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5、综合T.H.D.:&lt;0.5%@1kHz(A计权)</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6、专业动圈式拾音头，语音清晰保真；</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7、发射器采用2节AA电池供电，可连续发言8小时以上，待机10小时以上。</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34</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1拖4无线传声器（鹅颈）</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1、采用UHF双通道设计，接收机采用真分集接收技术，CPU自动选讯，传输更稳定；</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2、接收机内置啸叫抑制，可根据需要开启或关闭；</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3、接收机内置4种EQ模式——直通、低切、高切及用户模式，其中用户模式可灵活调节13段 EQ增益，适配更多场合使用；</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4、载波频段:UHF645-690MHz</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5、超心形高保真驻极体电容咪芯，拾音灵敏、语音清晰；</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6、发言按键带透光发言指示，发言时常亮，关闭时熄灭；</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7、发射器采用3节AA电池供电，可连续发言8小时以上，待机12小时以上。</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35</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电源时序器</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1、可控电源路数：8路；</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2、时序通道：默认1秒；</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3、通道额定输出电流：10A；</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4、整机额定总输出电流：25A；</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5、工作电压：AC 180V～240V，50Hz/60Hz；</w:t>
            </w:r>
            <w:r>
              <w:rPr>
                <w:rFonts w:ascii="Times New Roman" w:hAnsi="Times New Roman" w:eastAsia="宋体" w:cs="Times New Roman"/>
                <w:lang w:val="en-US" w:eastAsia="zh-CN"/>
              </w:rPr>
            </w:r>
            <w:r/>
          </w:p>
        </w:tc>
      </w:tr>
      <w:tr>
        <w:trPr>
          <w:cantSplit/>
          <w:trHeight w:val="570"/>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36</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音箱线</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2*1.5金银线。</w:t>
            </w:r>
            <w:r>
              <w:rPr>
                <w:rFonts w:ascii="Times New Roman" w:hAnsi="Times New Roman" w:eastAsia="宋体" w:cs="Times New Roman"/>
                <w:lang w:val="en-US" w:eastAsia="zh-CN"/>
              </w:rPr>
            </w:r>
            <w:r/>
          </w:p>
        </w:tc>
      </w:tr>
      <w:tr>
        <w:trPr>
          <w:cantSplit/>
          <w:trHeight w:val="600"/>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37</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辅材7</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含PVC管材，膨胀螺丝，PVC各类管卡，音频线，扎带、地插、接线板等。</w:t>
            </w:r>
            <w:r>
              <w:rPr>
                <w:rFonts w:ascii="Times New Roman" w:hAnsi="Times New Roman" w:eastAsia="宋体" w:cs="Times New Roman"/>
                <w:lang w:val="en-US" w:eastAsia="zh-CN"/>
              </w:rPr>
            </w:r>
            <w:r/>
          </w:p>
        </w:tc>
      </w:tr>
      <w:tr>
        <w:trPr>
          <w:cantSplit/>
          <w:trHeight w:val="64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38</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安装调试2</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音频设备布线、设备安装、调试集成。</w:t>
            </w:r>
            <w:r>
              <w:rPr>
                <w:rFonts w:ascii="Times New Roman" w:hAnsi="Times New Roman" w:eastAsia="宋体" w:cs="Times New Roman"/>
                <w:lang w:val="en-US" w:eastAsia="zh-CN"/>
              </w:rPr>
            </w:r>
            <w:r/>
          </w:p>
        </w:tc>
      </w:tr>
      <w:tr>
        <w:trPr>
          <w:cantSplit/>
          <w:trHeight w:val="261"/>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39</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视频监控平台接入终端</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1.具有4个千兆电口；</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2.可支持接入互联网、专线网络等多种组网方式；</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3.可支持在互联网、专网上建立虚拟专用通道；</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4.可支持服务端地址统一分配，可允许不同 NVR\DVR\IPC的私网IP相同；</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5.可支持NAT地址转换；</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6.可支持大多数主流的NVR\DVR\IPC产品通过本产品接入，能够实现实况、录像回放、录像下载、云台等视频业务功能；</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7.可自动发现接入的NVR\DVR\IPC,自动识别厂商，形成列表；</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8.可根据自动列表选择需要接入的资源，添加后自动推送至平台，屏蔽对无效资源的接入；</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9.开关量告警可以成功上报到服务器；</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10.支持对重要视频及码流加密传输；</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11.支持根据MAC地址进行黑白名单控制；</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12.支持监控业务正常进行同时对非监控业务过滤；</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13.支持接入管理4个NVR设备、4个监控平台、64个IPC；</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14.并发视频流支持4路8Mbps，转发流量支持100Mbps。</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40</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同屏传输器</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1.视频输入分辨率：可达4K/3840x2160，视频输出分辨率：可达1080p/1920x1200；</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2.显示比例： 等比，4：3，16：9，16：10；无线网卡：支持（2.4G），内置；</w:t>
            </w:r>
            <w:r>
              <w:rPr>
                <w:rFonts w:hint="eastAsia" w:ascii="Times New Roman" w:hAnsi="Times New Roman" w:eastAsia="宋体" w:cs="Times New Roman"/>
                <w:lang w:val="en-US" w:eastAsia="zh-CN"/>
              </w:rPr>
              <w:br w:type="textWrapping" w:clear="all"/>
            </w:r>
            <w:r>
              <w:rPr>
                <w:rFonts w:hint="eastAsia" w:ascii="Times New Roman" w:hAnsi="Times New Roman" w:eastAsia="宋体" w:cs="Times New Roman"/>
                <w:lang w:val="en-US" w:eastAsia="zh-CN"/>
              </w:rPr>
              <w:t xml:space="preserve">3.接口：1xHDMI接口，1x网络接口，1x3.5mm音频接口，1xUSB接口，1x12V1A电源接口。</w:t>
            </w:r>
            <w:r>
              <w:rPr>
                <w:rFonts w:ascii="Times New Roman" w:hAnsi="Times New Roman" w:eastAsia="宋体" w:cs="Times New Roman"/>
                <w:lang w:val="en-US" w:eastAsia="zh-CN"/>
              </w:rPr>
            </w:r>
            <w:r/>
          </w:p>
        </w:tc>
      </w:tr>
      <w:tr>
        <w:trPr>
          <w:cantSplit/>
          <w:trHeight w:val="535"/>
        </w:trPr>
        <w:tc>
          <w:tcPr>
            <w:tcW w:w="660" w:type="dxa"/>
            <w:vAlign w:val="center"/>
            <w:textDirection w:val="lrTb"/>
            <w:noWrap w:val="false"/>
          </w:tcPr>
          <w:p>
            <w:pPr>
              <w:pStyle w:val="87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41</w:t>
            </w:r>
            <w:r>
              <w:rPr>
                <w:rFonts w:hint="eastAsia" w:ascii="Times New Roman" w:hAnsi="Times New Roman" w:eastAsia="宋体" w:cs="Times New Roman"/>
                <w:lang w:val="en-US" w:eastAsia="zh-CN"/>
              </w:rPr>
            </w:r>
            <w:r/>
          </w:p>
        </w:tc>
        <w:tc>
          <w:tcPr>
            <w:tcW w:w="1354" w:type="dxa"/>
            <w:vAlign w:val="center"/>
            <w:textDirection w:val="lrTb"/>
            <w:noWrap w:val="false"/>
          </w:tcPr>
          <w:p>
            <w:pPr>
              <w:pStyle w:val="875"/>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安装调试3</w:t>
            </w:r>
            <w:r>
              <w:rPr>
                <w:rFonts w:hint="eastAsia" w:ascii="Times New Roman" w:hAnsi="Times New Roman" w:eastAsia="宋体" w:cs="Times New Roman"/>
                <w:lang w:val="en-US" w:eastAsia="zh-CN"/>
              </w:rPr>
            </w:r>
            <w:r/>
          </w:p>
        </w:tc>
        <w:tc>
          <w:tcPr>
            <w:tcW w:w="7790" w:type="dxa"/>
            <w:vAlign w:val="center"/>
            <w:textDirection w:val="lrTb"/>
            <w:noWrap w:val="false"/>
          </w:tcPr>
          <w:p>
            <w:pPr>
              <w:pStyle w:val="875"/>
              <w:jc w:val="lef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设备布线、设备安装、网络调试。</w:t>
            </w:r>
            <w:r>
              <w:rPr>
                <w:rFonts w:ascii="Times New Roman" w:hAnsi="Times New Roman" w:eastAsia="宋体" w:cs="Times New Roman"/>
                <w:lang w:val="en-US" w:eastAsia="zh-CN"/>
              </w:rPr>
            </w:r>
            <w:r/>
          </w:p>
        </w:tc>
      </w:tr>
    </w:tbl>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★2.其他技术要求 </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2"/>
      </w:pPr>
      <w:r/>
      <w:bookmarkStart w:id="60" w:name="OLE_LINK2"/>
      <w:r>
        <w:rPr>
          <w:rFonts w:hint="eastAsia" w:ascii="宋体" w:hAnsi="宋体" w:eastAsia="宋体" w:cs="宋体"/>
          <w:color w:val="000000"/>
          <w:sz w:val="24"/>
          <w:szCs w:val="24"/>
          <w:highlight w:val="none"/>
          <w:lang w:val="en-US" w:eastAsia="zh-CN"/>
        </w:rPr>
        <w:t xml:space="preserve">1.本项目中标记为政府强制采购节能产品，签订合同时提供国家确定的认证机构出具的、处于有效期之内的节能产品认证证书。</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2.运用本项目部署的显示系统和扩声系统可实现对栖霞区“互联网+明厨亮灶”平台监控图像的实时调取和播放，对接费用由供应商负责，采购人负责协调对接工作，采购人联系方式详见第一章。（签订合同时提供承诺书并加盖投标人公章)</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bookmarkEnd w:id="60"/>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供应商提供设备安装日程计划。供应商应采取安全措施，确保实施安全。因本项目实施产生的实施人员和学校师生人身安全问题由供应商承担全部责任。</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供应商提供项目整体上门质保三年（含）以上（自验收报告签字确认日起，进入质保期），质保期内应安排不低于1名驻场专职技术人员对本项目进行7*24小时电话售后服务，5*8小时的在岗维护，维护保养及更换损坏件的费用包含在投标总价中。</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质保期内，一旦产品发生质量问题，供应商接到报修请求，在1小时内响应，2小时内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应急备用产品。 </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③质保期外，供应商提供终生服务，在货物的设计使用寿命周期内，供应商能保证采购人更换到原厂正宗的备件材料，确保产品的正常使用。 </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④质保期内维修（人为因素除外）费用包含在投标总价中，质保期外提供不高于市场价格的终身维护。签订合同时提供质保期外配件价格明细表。</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⑤</w:t>
      </w:r>
      <w:r>
        <w:rPr>
          <w:rFonts w:hint="eastAsia" w:ascii="宋体" w:hAnsi="宋体" w:eastAsia="宋体" w:cs="宋体"/>
          <w:b w:val="0"/>
          <w:bCs w:val="0"/>
          <w:color w:val="000000"/>
          <w:sz w:val="24"/>
          <w:szCs w:val="24"/>
          <w:highlight w:val="none"/>
          <w:lang w:val="en-US" w:eastAsia="zh-CN"/>
        </w:rPr>
        <w:t xml:space="preserve">中标后</w:t>
      </w:r>
      <w:r>
        <w:rPr>
          <w:rFonts w:ascii="宋体" w:hAnsi="宋体" w:eastAsia="宋体" w:cs="宋体"/>
          <w:b w:val="0"/>
          <w:bCs w:val="0"/>
          <w:color w:val="000000"/>
          <w:sz w:val="24"/>
          <w:szCs w:val="24"/>
          <w:highlight w:val="none"/>
          <w:lang w:val="en-US" w:eastAsia="zh-CN"/>
        </w:rPr>
        <w:t xml:space="preserve">供应商提供售后服务承诺书，包括质保期、质量问题处理方法。</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⑥供应商必须通过“南京市教育装备项目管理平台”提供售后维护维保服务。南京市教育装备项目管理平台网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（5）培训要求</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供应商对使用单位采购设备的使用和维护提供培训，培训的内容包括设备和软件的安装、使用以及软硬件基本维护知识。培训使用单位管理人员不少于2人、人均培训不少于6课时。</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（6）实施人员要求</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①本项目实施人员不少于4人，其中项目负责人1人。</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②项目实施中供应商要保证项目负责人稳定，如遇项目负责人变更，须及时递交变更报告，采购人有权要求继任项目负责人知识水平不低于原项目负责人。</w:t>
      </w:r>
      <w:r>
        <w:rPr>
          <w:rFonts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1"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61"/>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（三）演示要求</w:t>
      </w:r>
      <w:r>
        <w:rPr>
          <w:rFonts w:hint="eastAsia" w:ascii="宋体" w:hAnsi="宋体" w:eastAsia="宋体" w:cs="宋体"/>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视频文件的格式为*.mp4或*.avi，投标人须将视频文件压缩为*.zip文件上传（单个文件不得大于50M，大于50M的需分段压缩，所有文件合计不得大于300M）。文件上传方式见苏采云系统操作指南，上传的演示视频将作为投标文件的组成部分。</w:t>
      </w:r>
      <w:r>
        <w:rPr>
          <w:rFonts w:hint="eastAsia" w:ascii="宋体" w:hAnsi="宋体" w:eastAsia="宋体" w:cs="宋体"/>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2.演示内容及演示时长详见“第五章  评标方法与评标标准”。</w:t>
      </w:r>
      <w:bookmarkStart w:id="62" w:name="_Toc120614281"/>
      <w:r>
        <w:rPr>
          <w:rFonts w:hint="eastAsia" w:ascii="宋体" w:hAnsi="宋体" w:eastAsia="宋体" w:cs="宋体"/>
          <w:bCs w:val="0"/>
          <w:color w:val="000000"/>
          <w:sz w:val="24"/>
          <w:szCs w:val="24"/>
          <w:highlight w:val="none"/>
          <w:lang w:val="en-US" w:eastAsia="zh-CN"/>
        </w:rPr>
      </w:r>
      <w:r/>
    </w:p>
    <w:p>
      <w:pPr>
        <w:pStyle w:val="887"/>
        <w:ind w:left="0" w:firstLine="0"/>
        <w:jc w:val="both"/>
        <w:widowControl w:val="off"/>
        <w:rPr>
          <w:rFonts w:hint="eastAsia"/>
          <w:sz w:val="21"/>
          <w:lang w:val="en-US" w:eastAsia="zh-CN" w:bidi="ar-SA"/>
        </w:rPr>
      </w:pPr>
      <w:r>
        <w:rPr>
          <w:rFonts w:hint="eastAsia"/>
          <w:sz w:val="21"/>
          <w:lang w:val="en-US" w:eastAsia="zh-CN" w:bidi="ar-SA"/>
        </w:rPr>
      </w:r>
      <w:r/>
    </w:p>
    <w:p>
      <w:pPr>
        <w:pStyle w:val="887"/>
        <w:ind w:left="0" w:firstLine="0"/>
        <w:jc w:val="both"/>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 xml:space="preserve">附件：分校清单</w:t>
      </w:r>
      <w:r>
        <w:rPr>
          <w:rFonts w:hint="eastAsia" w:ascii="宋体" w:hAnsi="宋体" w:eastAsia="宋体" w:cs="宋体"/>
          <w:bCs w:val="0"/>
          <w:color w:val="000000"/>
          <w:sz w:val="24"/>
          <w:szCs w:val="24"/>
          <w:highlight w:val="none"/>
          <w:lang w:val="en-US" w:eastAsia="zh-CN" w:bidi="ar-SA"/>
        </w:rPr>
      </w:r>
      <w:r/>
    </w:p>
    <w:tbl>
      <w:tblPr>
        <w:tblW w:w="9693"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4940"/>
        <w:gridCol w:w="2235"/>
        <w:gridCol w:w="1710"/>
      </w:tblGrid>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1.金中仙林初中部</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全自动升降柱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控制系统</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辅材1</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2.南京市燕子矶中学</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全自动升降柱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控制系统</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辅材2</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3.栖霞区第一实验幼儿园（月桂园）</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全自动升降柱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控制系统（利旧）</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辅材3</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4.栖霞区实验初级中学（南炼校区）</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全自动升降柱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控制系统</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辅材4</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5.南京师范大学附属中学燕子矶新城学校初中部</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全自动升降柱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控制系统</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辅材5</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辅材6</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6.南京市金陵小学（仙林湖校区）</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主动红外入侵控测器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控制主机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7.金陵中学仙林分校（龙潭校区）</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防爬刺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1335</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米</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固定立柱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459</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主动红外入侵控测器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控制主机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车牌识别</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7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栅栏重型道闸</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7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车牌识别系统主机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8.南京市营防中学</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防爬刺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2265</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米</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固定立柱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769</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主动红外入侵控测器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控制主机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9.摄山中学</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防爬刺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2550</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米</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固定立柱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864</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主动红外入侵控测器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控制主机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车牌识别</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7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车牌识别系统主机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10.中电颐和家园小学</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防爬刺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1170</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米</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固定立柱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404</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主动红外入侵控测器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控制主机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11.青秀城幼儿园</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主动红外入侵控测器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控制主机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12.丁家庄第三幼儿园</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主动红外入侵控测器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控制主机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13.迈皋桥幼儿园（嘉誉山园）</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主动红外入侵控测器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控制主机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14.幕府山庄小学</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shd w:val="clear" w:color="auto" w:fill="ffffff"/>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实心花岗岩挡车石球</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个</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shd w:val="clear" w:color="auto" w:fill="ffffff"/>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移动式防冲撞拒马</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15.晓庄小学文濬校区</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防爬刺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1440</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米</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固定立柱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494</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主动红外入侵控测器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控制主机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16.龙潭小学(龙岸校区)</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防爬刺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1830</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米</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固定立柱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622</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主动红外入侵控测器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控制主机</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gridSpan w:val="4"/>
            <w:tcW w:w="9693"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17.摄山星城小学天佐路校区</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494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LED屏体</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18.3</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备用模组</w:t>
            </w:r>
            <w:r>
              <w:rPr>
                <w:rFonts w:hint="eastAsia" w:ascii="宋体" w:hAnsi="宋体" w:eastAsia="宋体" w:cs="宋体"/>
                <w:sz w:val="24"/>
                <w:szCs w:val="24"/>
                <w:lang w:val="en-US" w:eastAsia="zh-CN" w:bidi="ar-SA"/>
              </w:rPr>
            </w:r>
            <w:r/>
          </w:p>
        </w:tc>
        <w:tc>
          <w:tcPr>
            <w:tcW w:w="2235"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张</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LED视频控制器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接收卡</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42</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张</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控制软件</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网线</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箱</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设备机柜</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安装调试1</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专业音箱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只</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功率放大器（2通道）</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辅助音箱</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只</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功率放大器（2通道）</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调音台</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数字音频处理器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1拖4无线传声器（手持）</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1拖4无线传声器（鹅颈）</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智能电源管理中心</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音箱线</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100</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米</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辅材7</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批</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安装调试2</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视频监控平台接入终端</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同屏传输器</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40"/>
        </w:trPr>
        <w:tc>
          <w:tcPr>
            <w:tcW w:w="808" w:type="dxa"/>
            <w:vAlign w:val="center"/>
            <w:textDirection w:val="lrTb"/>
            <w:noWrap/>
          </w:tcPr>
          <w:p>
            <w:pPr>
              <w:pStyle w:val="875"/>
              <w:ind w:left="0" w:firstLine="0"/>
              <w:jc w:val="center"/>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23</w:t>
            </w:r>
            <w:r>
              <w:rPr>
                <w:rFonts w:hint="eastAsia" w:ascii="宋体" w:hAnsi="宋体" w:eastAsia="宋体" w:cs="宋体"/>
                <w:sz w:val="24"/>
                <w:szCs w:val="24"/>
                <w:lang w:val="en-US" w:eastAsia="zh-CN" w:bidi="ar-SA"/>
              </w:rPr>
            </w:r>
            <w:r/>
          </w:p>
        </w:tc>
        <w:tc>
          <w:tcPr>
            <w:tcW w:w="4940"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安装调试3</w:t>
            </w:r>
            <w:r>
              <w:rPr>
                <w:rFonts w:hint="eastAsia" w:ascii="宋体" w:hAnsi="宋体" w:eastAsia="宋体" w:cs="宋体"/>
                <w:sz w:val="24"/>
                <w:szCs w:val="24"/>
                <w:lang w:val="en-US" w:eastAsia="zh-CN" w:bidi="ar-SA"/>
              </w:rPr>
            </w:r>
            <w:r/>
          </w:p>
        </w:tc>
        <w:tc>
          <w:tcPr>
            <w:tcW w:w="2235" w:type="dxa"/>
            <w:vAlign w:val="center"/>
            <w:textDirection w:val="lrTb"/>
            <w:noWrap w:val="false"/>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1710" w:type="dxa"/>
            <w:vAlign w:val="center"/>
            <w:textDirection w:val="lrTb"/>
            <w:noWrap/>
          </w:tcPr>
          <w:p>
            <w:pPr>
              <w:pStyle w:val="875"/>
              <w:ind w:left="0" w:firstLine="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rPr>
                <w:rFonts w:hint="eastAsia" w:ascii="宋体" w:hAnsi="宋体" w:eastAsia="宋体" w:cs="宋体"/>
                <w:sz w:val="24"/>
                <w:szCs w:val="24"/>
                <w:lang w:val="en-US" w:eastAsia="zh-CN" w:bidi="ar-SA"/>
              </w:rPr>
            </w:r>
            <w:r/>
          </w:p>
        </w:tc>
      </w:tr>
    </w:tbl>
    <w:p>
      <w:pPr>
        <w:pStyle w:val="875"/>
        <w:ind w:firstLine="720"/>
        <w:keepLines w:val="0"/>
        <w:keepNext w:val="0"/>
        <w:pageBreakBefore w:val="0"/>
        <w:spacing w:line="288" w:lineRule="auto"/>
        <w:widowControl w:val="off"/>
        <w:rPr>
          <w:rFonts w:hint="eastAsia" w:ascii="方正小标宋简体" w:hAnsi="方正小标宋简体" w:eastAsia="方正小标宋简体" w:cs="方正小标宋简体"/>
          <w:color w:val="000000"/>
          <w:sz w:val="36"/>
          <w:szCs w:val="36"/>
          <w:highlight w:val="none"/>
          <w:lang w:eastAsia="zh-CN"/>
        </w:rPr>
      </w:pPr>
      <w:r>
        <w:rPr>
          <w:rFonts w:hint="eastAsia" w:ascii="方正小标宋简体" w:hAnsi="方正小标宋简体" w:eastAsia="方正小标宋简体" w:cs="方正小标宋简体"/>
          <w:color w:val="000000"/>
          <w:sz w:val="36"/>
          <w:szCs w:val="36"/>
          <w:highlight w:val="none"/>
          <w:lang w:eastAsia="zh-CN"/>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75"/>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5"/>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5"/>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5"/>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7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5"/>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olor w:val="000000"/>
          <w:sz w:val="24"/>
          <w:szCs w:val="24"/>
          <w:highlight w:val="none"/>
          <w:lang w:val="en-US" w:eastAsia="zh-CN"/>
        </w:rPr>
        <w:t xml:space="preserve">1</w:t>
      </w:r>
      <w:r>
        <w:rPr>
          <w:rFonts w:hint="eastAsia" w:ascii="宋体" w:hAnsi="宋体"/>
          <w:color w:val="000000"/>
          <w:sz w:val="24"/>
          <w:szCs w:val="24"/>
          <w:highlight w:val="none"/>
        </w:rPr>
        <w:t xml:space="preserve">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5"/>
        <w:ind w:firstLine="420"/>
        <w:keepLines w:val="0"/>
        <w:keepNext w:val="0"/>
        <w:pageBreakBefore w:val="0"/>
        <w:spacing w:line="240" w:lineRule="auto"/>
        <w:widowControl/>
        <w:rPr>
          <w:rFonts w:hint="eastAsia"/>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highlight w:val="none"/>
          <w:lang w:eastAsia="zh-CN"/>
        </w:rPr>
      </w:r>
      <w:r/>
    </w:p>
    <w:tbl>
      <w:tblPr>
        <w:tblStyle w:val="991"/>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2"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rPr>
                <w:rFonts w:hint="eastAsia" w:ascii="宋体" w:hAnsi="宋体" w:eastAsia="宋体" w:cs="宋体"/>
                <w:color w:val="000000"/>
                <w:szCs w:val="21"/>
                <w:highlight w:val="none"/>
              </w:rPr>
            </w:r>
            <w:r/>
          </w:p>
        </w:tc>
      </w:tr>
      <w:tr>
        <w:trPr>
          <w:trHeight w:val="665"/>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rPr>
                <w:rFonts w:hint="eastAsia" w:ascii="宋体" w:hAnsi="宋体" w:eastAsia="宋体" w:cs="宋体"/>
                <w:color w:val="000000"/>
                <w:szCs w:val="21"/>
                <w:highlight w:val="none"/>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rPr>
                <w:rFonts w:hint="eastAsia" w:ascii="宋体" w:hAnsi="宋体" w:eastAsia="宋体" w:cs="宋体"/>
                <w:color w:val="000000"/>
                <w:szCs w:val="21"/>
                <w:highlight w:val="none"/>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pacing w:val="1"/>
                <w:szCs w:val="21"/>
                <w:highlight w:val="none"/>
              </w:rPr>
              <w:t xml:space="preserve">采用低价优先</w:t>
            </w:r>
            <w:r>
              <w:rPr>
                <w:rFonts w:hint="eastAsia"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即满足招标文件要求且投标价格最低的投标</w:t>
            </w:r>
            <w:r>
              <w:rPr>
                <w:rFonts w:hint="eastAsia" w:ascii="宋体" w:hAnsi="宋体" w:eastAsia="宋体" w:cs="宋体"/>
                <w:color w:val="000000"/>
                <w:spacing w:val="1"/>
                <w:szCs w:val="21"/>
                <w:highlight w:val="none"/>
              </w:rPr>
              <w:t xml:space="preserve">报价为评标基准</w:t>
            </w:r>
            <w:r>
              <w:rPr>
                <w:rFonts w:hint="eastAsia"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其价格分为满分。其他投标人的价格分统一按</w:t>
            </w:r>
            <w:r>
              <w:rPr>
                <w:rFonts w:hint="eastAsia" w:ascii="宋体" w:hAnsi="宋体" w:eastAsia="宋体" w:cs="宋体"/>
                <w:color w:val="000000"/>
                <w:spacing w:val="-1"/>
                <w:szCs w:val="21"/>
                <w:highlight w:val="none"/>
              </w:rPr>
              <w:t xml:space="preserve">照下列公</w:t>
            </w:r>
            <w:r>
              <w:rPr>
                <w:rFonts w:hint="eastAsia" w:ascii="宋体" w:hAnsi="宋体" w:eastAsia="宋体" w:cs="宋体"/>
                <w:color w:val="000000"/>
                <w:szCs w:val="21"/>
                <w:highlight w:val="none"/>
              </w:rPr>
              <w:t xml:space="preserve">式计算：投标报价得分=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评标基准价/投标报价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价格分值（小数点保留两位）</w:t>
            </w:r>
            <w:r>
              <w:rPr>
                <w:rFonts w:hint="eastAsia" w:ascii="宋体" w:hAnsi="宋体" w:eastAsia="宋体" w:cs="宋体"/>
                <w:color w:val="000000"/>
                <w:szCs w:val="21"/>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35</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Cs w:val="21"/>
                <w:highlight w:val="none"/>
                <w:lang w:eastAsia="zh-CN"/>
              </w:rPr>
            </w:r>
            <w:r/>
          </w:p>
        </w:tc>
        <w:tc>
          <w:tcPr>
            <w:tcW w:w="6330" w:type="dxa"/>
            <w:vAlign w:val="center"/>
            <w:textDirection w:val="lrTb"/>
            <w:noWrap w:val="false"/>
          </w:tcPr>
          <w:p>
            <w:pPr>
              <w:pStyle w:val="875"/>
              <w:jc w:val="both"/>
              <w:keepLines w:val="0"/>
              <w:keepNext w:val="0"/>
              <w:pageBreakBefore w:val="0"/>
              <w:spacing w:line="264" w:lineRule="auto"/>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产品技术参数全部满足招标文件技术要求的得满分，打★指标为必须满足项，如有负偏离将作为无效投标，打▲指标为重要指标，</w:t>
            </w:r>
            <w:r>
              <w:rPr>
                <w:rFonts w:hint="eastAsia" w:ascii="宋体" w:hAnsi="宋体" w:eastAsia="宋体" w:cs="宋体"/>
                <w:color w:val="000000"/>
                <w:sz w:val="21"/>
                <w:szCs w:val="21"/>
                <w:highlight w:val="none"/>
                <w:lang w:val="en-US" w:eastAsia="zh-CN"/>
              </w:rPr>
              <w:t xml:space="preserve">有1项负偏离扣1分，其余指标有1项负偏离扣0.23分。</w:t>
            </w:r>
            <w:r>
              <w:rPr>
                <w:rFonts w:hint="eastAsia" w:ascii="宋体" w:hAnsi="宋体" w:eastAsia="宋体" w:cs="宋体"/>
                <w:color w:val="000000"/>
                <w:spacing w:val="1"/>
                <w:szCs w:val="21"/>
                <w:highlight w:val="none"/>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实施方案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5"/>
              <w:jc w:val="both"/>
              <w:spacing w:line="264" w:lineRule="auto"/>
              <w:widowControl w:val="off"/>
              <w:rPr>
                <w:rFonts w:hint="eastAsia"/>
                <w:color w:val="000000"/>
                <w:sz w:val="21"/>
                <w:szCs w:val="21"/>
                <w:highlight w:val="none"/>
                <w:lang w:val="en-US" w:eastAsia="zh-CN" w:bidi="ar-SA"/>
              </w:rPr>
            </w:pPr>
            <w:r>
              <w:rPr>
                <w:rFonts w:hint="eastAsia"/>
                <w:color w:val="000000"/>
                <w:sz w:val="21"/>
                <w:szCs w:val="21"/>
                <w:highlight w:val="none"/>
                <w:lang w:val="en-US" w:eastAsia="zh-CN" w:bidi="ar-SA"/>
              </w:rPr>
              <w:t xml:space="preserve">根据本项目采购需求及相关要求编制方案，内容包含：1.对项目时间进度安排；2.项目安全措施；3.文明施工措施；4.质量措施；5.技术控制措施；6.档案管理措施。以上每项内容逐项评分：</w:t>
            </w:r>
            <w:r>
              <w:rPr>
                <w:rFonts w:hint="eastAsia"/>
                <w:color w:val="000000"/>
                <w:sz w:val="21"/>
                <w:szCs w:val="21"/>
                <w:highlight w:val="none"/>
                <w:lang w:val="en-US" w:eastAsia="zh-CN" w:bidi="ar-SA"/>
              </w:rPr>
            </w:r>
            <w:r/>
          </w:p>
          <w:p>
            <w:pPr>
              <w:pStyle w:val="995"/>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方案内容完整、专门针对本项目，契合采购需求视为符合；方案内容属于通用类，非专门针对本项目，部分契合采购需求视为部分符合；方案内容非专门针对本项目，脱离采购需求视为不符合。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Cs w:val="21"/>
                <w:highlight w:val="none"/>
                <w:lang w:val="en-US" w:eastAsia="zh-CN"/>
              </w:rPr>
            </w:r>
            <w:r/>
          </w:p>
          <w:p>
            <w:pPr>
              <w:pStyle w:val="995"/>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上述每项内容符合得1分；部分符合得0.5分；不符合或不提供不得分。</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5"/>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产品演示1</w:t>
            </w:r>
            <w:r>
              <w:rPr>
                <w:rFonts w:hint="eastAsia" w:ascii="宋体" w:hAnsi="宋体" w:eastAsia="宋体" w:cs="宋体"/>
                <w:color w:val="000000"/>
                <w:szCs w:val="21"/>
                <w:highlight w:val="none"/>
                <w:lang w:val="en-US" w:eastAsia="zh-CN"/>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评委根据投标人</w:t>
            </w:r>
            <w:r>
              <w:rPr>
                <w:rFonts w:hint="eastAsia" w:ascii="宋体" w:hAnsi="宋体" w:eastAsia="宋体" w:cs="宋体"/>
                <w:color w:val="000000"/>
                <w:szCs w:val="21"/>
                <w:highlight w:val="none"/>
                <w:lang w:val="zh-CN" w:eastAsia="zh-CN"/>
              </w:rPr>
              <w:t xml:space="preserve">提供</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 w:val="21"/>
                <w:szCs w:val="21"/>
                <w:highlight w:val="none"/>
                <w:lang w:val="en-US" w:eastAsia="zh-CN" w:bidi="ar-SA"/>
              </w:rPr>
              <w:t xml:space="preserve">以下</w:t>
            </w:r>
            <w:r>
              <w:rPr>
                <w:rFonts w:hint="eastAsia" w:ascii="宋体" w:hAnsi="宋体" w:eastAsia="宋体" w:cs="宋体"/>
                <w:color w:val="000000"/>
                <w:szCs w:val="21"/>
                <w:highlight w:val="none"/>
                <w:lang w:val="en-US" w:eastAsia="zh-CN"/>
              </w:rPr>
              <w:t xml:space="preserve">视频演示情况综合评分，视频全程同步展示对应功能界面截图，截图清晰完整，演示要求如下（单条视频时长不超过2分钟，视频时长总计不超过4分钟）：</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1.控制系统（产品清单2）：展示包括多账号管理、模拟动画显示、分组控制、状态同步功能，实现其中二条得1分，可全部实现得2分。</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2.车牌识别（产品清单13）：展示车牌识别一体机的识别效果，包括白天/夜间车辆捕获、车牌识别准确率、污损车牌识别功能，实现其中二条得1分，可全部实现得2分。</w:t>
            </w:r>
            <w:r>
              <w:rPr>
                <w:rFonts w:hint="eastAsia" w:ascii="宋体" w:hAnsi="宋体" w:eastAsia="宋体" w:cs="宋体"/>
                <w:color w:val="000000"/>
                <w:szCs w:val="21"/>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w:t>
            </w:r>
            <w:r>
              <w:rPr>
                <w:rFonts w:hint="eastAsia" w:ascii="宋体" w:hAnsi="宋体" w:eastAsia="宋体" w:cs="宋体"/>
                <w:color w:val="000000"/>
                <w:szCs w:val="21"/>
                <w:highlight w:val="none"/>
                <w:lang w:val="en-US" w:eastAsia="zh-CN"/>
              </w:rPr>
            </w:r>
            <w:r/>
          </w:p>
          <w:p>
            <w:pPr>
              <w:pStyle w:val="875"/>
              <w:numPr>
                <w:ilvl w:val="0"/>
                <w:numId w:val="6"/>
              </w:numPr>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投标人未提供视频文件或因投标人自身原因视频文件无法打开或视频画面不清晰无法辨认的不得分。</w:t>
            </w:r>
            <w:r>
              <w:rPr>
                <w:rFonts w:hint="eastAsia" w:ascii="宋体" w:hAnsi="宋体" w:eastAsia="宋体" w:cs="宋体"/>
                <w:color w:val="000000"/>
                <w:szCs w:val="21"/>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lang w:val="en-US" w:eastAsia="zh-CN"/>
              </w:rPr>
              <w:t xml:space="preserve">所提供演示</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产品名称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2.4</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产品演示2</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评委根据所投LED屏体产品（产品清单19）的制作工艺、散热设计、画面显示效果（亮度、灰度、视角、刷新率、对比度、亮度均匀性、色度均匀性等）情况综合评分（每家投标人演示视频总时长不超过2分钟）：</w:t>
            </w:r>
            <w:r>
              <w:rPr>
                <w:rFonts w:hint="eastAsia" w:ascii="宋体" w:hAnsi="宋体" w:eastAsia="宋体" w:cs="宋体"/>
                <w:color w:val="000000"/>
                <w:szCs w:val="21"/>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（1）设计及结构合理，制作工艺精细，显示色彩艳丽，亮度高度均匀的，得2分；</w:t>
            </w:r>
            <w:r>
              <w:rPr>
                <w:rFonts w:hint="eastAsia" w:ascii="宋体" w:hAnsi="宋体" w:eastAsia="宋体" w:cs="宋体"/>
                <w:color w:val="000000"/>
                <w:szCs w:val="21"/>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（2）设计及结构基本合理，制作工艺规整，显示色彩基本正常，轻微偏色的，得1分； </w:t>
            </w:r>
            <w:r>
              <w:rPr>
                <w:rFonts w:hint="eastAsia" w:ascii="宋体" w:hAnsi="宋体" w:eastAsia="宋体" w:cs="宋体"/>
                <w:color w:val="000000"/>
                <w:szCs w:val="21"/>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（3）设计及结构不合理，做工粗糙，显示有亮暗块的，不得分。</w:t>
            </w:r>
            <w:r>
              <w:rPr>
                <w:rFonts w:hint="eastAsia" w:ascii="宋体" w:hAnsi="宋体" w:eastAsia="宋体" w:cs="宋体"/>
                <w:color w:val="000000"/>
                <w:szCs w:val="21"/>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w:t>
            </w:r>
            <w:r>
              <w:rPr>
                <w:rFonts w:hint="eastAsia" w:ascii="宋体" w:hAnsi="宋体" w:eastAsia="宋体" w:cs="宋体"/>
                <w:color w:val="000000"/>
                <w:szCs w:val="21"/>
                <w:highlight w:val="none"/>
                <w:lang w:val="en-US" w:eastAsia="zh-CN"/>
              </w:rPr>
            </w:r>
            <w:r/>
          </w:p>
          <w:p>
            <w:pPr>
              <w:pStyle w:val="875"/>
              <w:numPr>
                <w:ilvl w:val="0"/>
                <w:numId w:val="0"/>
              </w:numPr>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（1）投标人未提供视频文件或因投标人自身原因视频文件无法打开或视频画面不清晰无法辨认的不得分。</w:t>
            </w:r>
            <w:r>
              <w:rPr>
                <w:rFonts w:hint="eastAsia" w:ascii="宋体" w:hAnsi="宋体" w:eastAsia="宋体" w:cs="宋体"/>
                <w:color w:val="000000"/>
                <w:szCs w:val="21"/>
                <w:highlight w:val="none"/>
                <w:lang w:val="en-US" w:eastAsia="zh-CN"/>
              </w:rPr>
            </w:r>
            <w:r/>
          </w:p>
          <w:p>
            <w:pPr>
              <w:pStyle w:val="875"/>
              <w:numPr>
                <w:ilvl w:val="0"/>
                <w:numId w:val="0"/>
              </w:numPr>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lang w:val="en-US" w:eastAsia="zh-CN"/>
              </w:rPr>
              <w:t xml:space="preserve">所提供演示</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产品</w:t>
            </w:r>
            <w:r>
              <w:rPr>
                <w:rFonts w:hint="eastAsia" w:ascii="宋体" w:hAnsi="宋体" w:eastAsia="宋体" w:cs="宋体"/>
                <w:color w:val="000000"/>
                <w:sz w:val="21"/>
                <w:szCs w:val="21"/>
                <w:lang w:val="en-US" w:eastAsia="zh-CN"/>
              </w:rPr>
              <w:t xml:space="preserve">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eastAsia="zh-CN"/>
              </w:rPr>
            </w:pPr>
            <w:r>
              <w:rPr>
                <w:rFonts w:hint="eastAsia" w:ascii="宋体" w:hAnsi="宋体" w:eastAsia="宋体" w:cs="宋体"/>
                <w:color w:val="000000"/>
                <w:spacing w:val="-6"/>
                <w:szCs w:val="21"/>
                <w:highlight w:val="none"/>
                <w:lang w:eastAsia="zh-CN"/>
              </w:rPr>
              <w:t xml:space="preserve">主观分</w:t>
            </w:r>
            <w:r>
              <w:rPr>
                <w:rFonts w:hint="eastAsia" w:ascii="宋体" w:hAnsi="宋体" w:eastAsia="宋体" w:cs="宋体"/>
                <w:color w:val="000000"/>
                <w:spacing w:val="-6"/>
                <w:szCs w:val="21"/>
                <w:highlight w:val="none"/>
                <w:lang w:eastAsia="zh-CN"/>
              </w:rPr>
            </w:r>
            <w:r/>
          </w:p>
        </w:tc>
      </w:tr>
      <w:tr>
        <w:trPr>
          <w:trHeight w:val="472"/>
        </w:trPr>
        <w:tc>
          <w:tcPr>
            <w:gridSpan w:val="5"/>
            <w:tcW w:w="9575" w:type="dxa"/>
            <w:vAlign w:val="center"/>
            <w:textDirection w:val="lrTb"/>
            <w:noWrap w:val="false"/>
          </w:tcPr>
          <w:p>
            <w:pPr>
              <w:pStyle w:val="875"/>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5"/>
              <w:jc w:val="both"/>
              <w:spacing w:line="264" w:lineRule="auto"/>
              <w:widowControl w:val="off"/>
              <w:rPr>
                <w:rFonts w:hint="eastAsia"/>
                <w:color w:val="000000"/>
                <w:sz w:val="21"/>
                <w:szCs w:val="21"/>
                <w:highlight w:val="none"/>
                <w:lang w:val="en-US" w:eastAsia="zh-CN" w:bidi="ar-SA"/>
              </w:rPr>
            </w:pPr>
            <w:r>
              <w:rPr>
                <w:rFonts w:hint="eastAsia"/>
                <w:color w:val="000000"/>
                <w:sz w:val="21"/>
                <w:szCs w:val="21"/>
                <w:highlight w:val="none"/>
                <w:lang w:val="en-US" w:eastAsia="zh-CN" w:bidi="ar-SA"/>
              </w:rPr>
              <w:t xml:space="preserve">根据本项目采购需求及相关要求编制方案，内容包含：1.培训体系；2.培训方案；3.服务内容；4.故障响应；5.故障解决方案；6.专业技术人员保障及服务电话。以上每项内容逐项评分：</w:t>
            </w:r>
            <w:r>
              <w:rPr>
                <w:rFonts w:hint="eastAsia"/>
                <w:color w:val="000000"/>
                <w:sz w:val="21"/>
                <w:szCs w:val="21"/>
                <w:highlight w:val="none"/>
                <w:lang w:val="en-US" w:eastAsia="zh-CN" w:bidi="ar-SA"/>
              </w:rPr>
            </w:r>
            <w:r/>
          </w:p>
          <w:p>
            <w:pPr>
              <w:pStyle w:val="995"/>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方案内容完整、专门针对本项目，契合采购需求视为符合；方案内容属于通用类，非专门针对本项目，部分契合采购需求视为部分符合；方案内容非专门针对本项目，脱离采购需求视为不符合。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Cs w:val="21"/>
                <w:highlight w:val="none"/>
                <w:lang w:val="en-US" w:eastAsia="zh-CN"/>
              </w:rPr>
            </w:r>
            <w:r/>
          </w:p>
          <w:p>
            <w:pPr>
              <w:pStyle w:val="995"/>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上述每项内容符合得1分；部分符合得0.5分；不符合或不提供不得分。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质保承诺书</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75"/>
              <w:jc w:val="left"/>
              <w:spacing w:line="264" w:lineRule="auto"/>
              <w:widowControl/>
              <w:rPr>
                <w:rFonts w:hint="eastAsia" w:ascii="宋体" w:hAnsi="宋体" w:cs="宋体"/>
                <w:color w:val="000000"/>
                <w:szCs w:val="21"/>
                <w:lang w:eastAsia="zh-CN"/>
              </w:rPr>
            </w:pPr>
            <w:r>
              <w:rPr>
                <w:rFonts w:hint="eastAsia" w:ascii="宋体" w:hAnsi="宋体"/>
                <w:color w:val="000000"/>
                <w:szCs w:val="21"/>
                <w:lang w:val="en-US" w:eastAsia="zh-CN"/>
              </w:rPr>
              <w:t xml:space="preserve">投标人承诺签订合同时</w:t>
            </w:r>
            <w:r>
              <w:rPr>
                <w:rFonts w:hint="eastAsia" w:ascii="宋体" w:hAnsi="宋体"/>
                <w:color w:val="000000"/>
                <w:szCs w:val="21"/>
              </w:rPr>
              <w:t xml:space="preserve">提供</w:t>
            </w:r>
            <w:r>
              <w:rPr>
                <w:rFonts w:hint="eastAsia" w:ascii="宋体" w:hAnsi="宋体"/>
                <w:color w:val="000000"/>
                <w:szCs w:val="21"/>
                <w:lang w:eastAsia="zh-CN"/>
              </w:rPr>
              <w:t xml:space="preserve">所投</w:t>
            </w:r>
            <w:r>
              <w:rPr>
                <w:rFonts w:hint="eastAsia" w:ascii="宋体" w:hAnsi="宋体" w:eastAsia="宋体" w:cs="宋体"/>
                <w:color w:val="000000"/>
                <w:spacing w:val="0"/>
                <w:szCs w:val="21"/>
                <w:highlight w:val="none"/>
                <w:lang w:val="en-US" w:eastAsia="zh-CN"/>
              </w:rPr>
              <w:t xml:space="preserve">升降柱系统、车辆道闸系统、LED</w:t>
            </w:r>
            <w:r>
              <w:rPr>
                <w:rFonts w:ascii="宋体" w:hAnsi="宋体" w:eastAsia="宋体" w:cs="宋体"/>
                <w:color w:val="000000"/>
                <w:spacing w:val="0"/>
                <w:szCs w:val="21"/>
                <w:highlight w:val="none"/>
                <w:lang w:val="en-US" w:eastAsia="zh-CN"/>
              </w:rPr>
              <w:t xml:space="preserve">显示系统</w:t>
            </w:r>
            <w:r>
              <w:rPr>
                <w:rFonts w:hint="eastAsia" w:ascii="宋体" w:hAnsi="宋体"/>
                <w:color w:val="000000"/>
                <w:szCs w:val="21"/>
              </w:rPr>
              <w:t xml:space="preserve">原厂厂家出具的针对此次项目名称、项目编号、报价产品型号</w:t>
            </w:r>
            <w:r>
              <w:rPr>
                <w:rFonts w:hint="eastAsia" w:ascii="宋体" w:hAnsi="宋体" w:eastAsia="宋体" w:cs="宋体"/>
                <w:color w:val="000000"/>
                <w:spacing w:val="0"/>
                <w:szCs w:val="21"/>
                <w:highlight w:val="none"/>
                <w:lang w:val="en-US" w:eastAsia="zh-CN"/>
              </w:rPr>
              <w:t xml:space="preserve">三年</w:t>
            </w:r>
            <w:r>
              <w:rPr>
                <w:rFonts w:hint="eastAsia" w:ascii="宋体" w:hAnsi="宋体" w:eastAsia="宋体"/>
                <w:color w:val="000000"/>
                <w:szCs w:val="21"/>
                <w:lang w:val="en-US" w:eastAsia="zh-CN"/>
              </w:rPr>
              <w:t xml:space="preserve">质保</w:t>
            </w:r>
            <w:r>
              <w:rPr>
                <w:rFonts w:hint="eastAsia" w:ascii="宋体" w:hAnsi="宋体"/>
                <w:color w:val="000000"/>
                <w:szCs w:val="21"/>
              </w:rPr>
              <w:t xml:space="preserve">承诺函</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上述</w:t>
            </w:r>
            <w:r>
              <w:rPr>
                <w:rFonts w:hint="eastAsia" w:ascii="宋体" w:hAnsi="宋体" w:eastAsia="宋体" w:cs="宋体"/>
                <w:color w:val="000000"/>
                <w:spacing w:val="0"/>
                <w:szCs w:val="21"/>
                <w:highlight w:val="none"/>
                <w:lang w:val="en-US" w:eastAsia="zh-CN"/>
              </w:rPr>
              <w:t xml:space="preserve">费用包含在投标总价中，每提供1个承诺得1分，最多</w:t>
            </w:r>
            <w:r>
              <w:rPr>
                <w:rFonts w:hint="eastAsia" w:ascii="宋体" w:hAnsi="宋体"/>
                <w:color w:val="000000"/>
                <w:szCs w:val="21"/>
                <w:lang w:val="en-US" w:eastAsia="zh-CN"/>
              </w:rPr>
              <w:t xml:space="preserve">得3分，未提供不得分</w:t>
            </w:r>
            <w:r>
              <w:rPr>
                <w:rFonts w:hint="eastAsia" w:ascii="宋体" w:hAnsi="宋体" w:cs="宋体"/>
                <w:color w:val="000000"/>
                <w:szCs w:val="21"/>
                <w:lang w:eastAsia="zh-CN"/>
              </w:rPr>
              <w:t xml:space="preserve">（提供</w:t>
            </w:r>
            <w:r>
              <w:rPr>
                <w:color w:val="000000"/>
                <w:lang w:val="en-US" w:eastAsia="zh-CN"/>
              </w:rPr>
              <w:t xml:space="preserve">承诺函</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格式自拟</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75"/>
              <w:rPr>
                <w:rFonts w:hint="eastAsia" w:ascii="宋体" w:hAnsi="宋体" w:eastAsia="宋体" w:cs="宋体"/>
                <w:color w:val="000000"/>
                <w:spacing w:val="0"/>
                <w:szCs w:val="21"/>
                <w:highlight w:val="none"/>
                <w:lang w:val="en-US" w:eastAsia="zh-CN"/>
              </w:rPr>
            </w:pPr>
            <w:r>
              <w:rPr>
                <w:rFonts w:hint="eastAsia" w:cs="宋体"/>
                <w:color w:val="000000"/>
                <w:szCs w:val="21"/>
                <w:lang w:val="en-US" w:eastAsia="zh-CN"/>
              </w:rPr>
              <w:t xml:space="preserve">备注：签合同时提供加盖厂家公章的承诺函原件供采购人核验。</w:t>
            </w:r>
            <w:r>
              <w:rPr>
                <w:rFonts w:hint="eastAsia" w:ascii="宋体" w:hAnsi="宋体" w:eastAsia="宋体" w:cs="宋体"/>
                <w:color w:val="000000"/>
                <w:spacing w:val="0"/>
                <w:szCs w:val="21"/>
                <w:highlight w:val="none"/>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客观分</w:t>
            </w:r>
            <w:r>
              <w:rPr>
                <w:rFonts w:hint="eastAsia" w:ascii="宋体" w:hAnsi="宋体" w:eastAsia="宋体" w:cs="宋体"/>
                <w:color w:val="000000"/>
                <w:spacing w:val="0"/>
                <w:szCs w:val="21"/>
                <w:highlight w:val="none"/>
                <w:lang w:val="en-US" w:eastAsia="zh-CN"/>
              </w:rPr>
            </w:r>
            <w:r/>
          </w:p>
        </w:tc>
      </w:tr>
      <w:tr>
        <w:trPr>
          <w:trHeight w:val="455"/>
        </w:trPr>
        <w:tc>
          <w:tcPr>
            <w:gridSpan w:val="5"/>
            <w:tcW w:w="9575" w:type="dxa"/>
            <w:vAlign w:val="center"/>
            <w:textDirection w:val="lrTb"/>
            <w:noWrap w:val="false"/>
          </w:tcPr>
          <w:p>
            <w:pPr>
              <w:pStyle w:val="875"/>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015"/>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5"/>
              <w:spacing w:before="69" w:line="264" w:lineRule="auto"/>
              <w:rPr>
                <w:rFonts w:hint="eastAsia" w:eastAsia="宋体"/>
                <w:color w:val="000000"/>
                <w:szCs w:val="21"/>
                <w:highlight w:val="none"/>
                <w:lang w:val="en-US" w:eastAsia="zh-CN"/>
              </w:rPr>
            </w:pPr>
            <w:r>
              <w:rPr>
                <w:rFonts w:hint="eastAsia" w:ascii="宋体" w:hAnsi="宋体" w:eastAsia="宋体" w:cs="宋体"/>
                <w:color w:val="000000"/>
                <w:spacing w:val="-1"/>
                <w:szCs w:val="21"/>
                <w:highlight w:val="none"/>
                <w:lang w:eastAsia="zh-CN"/>
              </w:rPr>
              <w:t xml:space="preserve">投标人</w:t>
            </w:r>
            <w:r>
              <w:rPr>
                <w:rFonts w:hint="eastAsia" w:ascii="宋体" w:hAnsi="宋体" w:eastAsia="宋体" w:cs="宋体"/>
                <w:color w:val="000000"/>
                <w:spacing w:val="-1"/>
                <w:szCs w:val="21"/>
                <w:highlight w:val="none"/>
              </w:rPr>
              <w:t xml:space="preserve">业绩</w:t>
            </w:r>
            <w:r>
              <w:rPr>
                <w:rFonts w:hint="eastAsia" w:eastAsia="宋体"/>
                <w:color w:val="000000"/>
                <w:szCs w:val="21"/>
                <w:highlight w:val="none"/>
                <w:lang w:val="en-US" w:eastAsia="zh-CN"/>
              </w:rPr>
            </w:r>
            <w:r/>
          </w:p>
        </w:tc>
        <w:tc>
          <w:tcPr>
            <w:tcW w:w="6330" w:type="dxa"/>
            <w:vAlign w:val="center"/>
            <w:textDirection w:val="lrTb"/>
            <w:noWrap w:val="false"/>
          </w:tcPr>
          <w:p>
            <w:pPr>
              <w:pStyle w:val="995"/>
              <w:jc w:val="left"/>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投标人提供2022年01月01日（含）以来类似项目业绩（至少包含升降柱类）</w:t>
            </w:r>
            <w:r>
              <w:rPr>
                <w:rFonts w:ascii="宋体" w:hAnsi="宋体" w:eastAsia="宋体" w:cs="宋体"/>
                <w:color w:val="000000"/>
                <w:sz w:val="21"/>
                <w:szCs w:val="21"/>
                <w:highlight w:val="none"/>
                <w:lang w:val="en-US" w:eastAsia="zh-CN" w:bidi="ar-SA"/>
              </w:rPr>
              <w:t xml:space="preserve">，每提供一个业绩得2分，最多得4分（日期以合同签订时间为准，业绩需同时提供合同及清单、验收证明材料及结款发票的扫描件，缺项不得分）。</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995"/>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95"/>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875"/>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5"/>
        <w:spacing w:line="480" w:lineRule="exact"/>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5"/>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2"/>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5"/>
        <w:jc w:val="center"/>
        <w:rPr>
          <w:rFonts w:hint="eastAsia" w:ascii="宋体" w:hAnsi="宋体"/>
          <w:b/>
          <w:color w:val="000000"/>
          <w:sz w:val="72"/>
          <w:szCs w:val="21"/>
          <w:highlight w:val="none"/>
        </w:rPr>
      </w:pPr>
      <w:r/>
      <w:bookmarkStart w:id="63" w:name="_Hlt26955039"/>
      <w:r/>
      <w:bookmarkEnd w:id="63"/>
      <w:r/>
      <w:bookmarkStart w:id="64" w:name="_Hlt26671244"/>
      <w:r/>
      <w:bookmarkEnd w:id="64"/>
      <w:r/>
      <w:bookmarkStart w:id="65" w:name="_Toc49090576"/>
      <w:r/>
      <w:bookmarkStart w:id="66" w:name="_Toc26554094"/>
      <w:r/>
      <w:bookmarkStart w:id="67" w:name="_Toc120614282"/>
      <w:r>
        <w:rPr>
          <w:rFonts w:hint="eastAsia" w:ascii="宋体" w:hAnsi="宋体"/>
          <w:b/>
          <w:color w:val="000000"/>
          <w:sz w:val="72"/>
          <w:szCs w:val="21"/>
          <w:highlight w:val="none"/>
        </w:rPr>
      </w:r>
      <w:r/>
    </w:p>
    <w:p>
      <w:pPr>
        <w:pStyle w:val="875"/>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5"/>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5"/>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5"/>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5"/>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5"/>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5"/>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5"/>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5"/>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5"/>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5"/>
        <w:spacing w:line="440" w:lineRule="exact"/>
        <w:rPr>
          <w:rFonts w:ascii="宋体" w:hAnsi="宋体"/>
          <w:color w:val="000000"/>
          <w:szCs w:val="21"/>
          <w:highlight w:val="none"/>
        </w:rPr>
      </w:pPr>
      <w:r>
        <w:rPr>
          <w:rFonts w:ascii="宋体" w:hAnsi="宋体"/>
          <w:color w:val="000000"/>
          <w:szCs w:val="21"/>
          <w:highlight w:val="none"/>
        </w:rPr>
      </w:r>
      <w:r/>
    </w:p>
    <w:p>
      <w:pPr>
        <w:pStyle w:val="875"/>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5"/>
      <w:r/>
      <w:bookmarkEnd w:id="66"/>
      <w:r/>
      <w:bookmarkEnd w:id="67"/>
      <w:r>
        <w:rPr>
          <w:rFonts w:hint="eastAsia" w:ascii="方正黑体_GBK" w:hAnsi="方正黑体_GBK" w:eastAsia="方正黑体_GBK" w:cs="方正黑体_GBK"/>
          <w:b w:val="0"/>
          <w:bCs w:val="0"/>
          <w:color w:val="000000"/>
          <w:sz w:val="32"/>
          <w:szCs w:val="32"/>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rPr>
          <w:rFonts w:hint="eastAsia" w:ascii="宋体" w:hAnsi="宋体" w:eastAsia="宋体" w:cs="宋体"/>
          <w:b w:val="0"/>
          <w:bCs w:val="0"/>
          <w:i w:val="0"/>
          <w:sz w:val="28"/>
          <w:szCs w:val="28"/>
          <w:highlight w:val="none"/>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rPr>
          <w:rFonts w:hint="eastAsia" w:ascii="宋体" w:hAnsi="宋体" w:eastAsia="宋体" w:cs="宋体"/>
          <w:b w:val="0"/>
          <w:bCs w:val="0"/>
          <w:i w:val="0"/>
          <w:sz w:val="28"/>
          <w:szCs w:val="28"/>
          <w:highlight w:val="none"/>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eastAsia="宋体" w:cs="宋体"/>
          <w:b w:val="0"/>
          <w:bCs w:val="0"/>
          <w:i w:val="0"/>
          <w:sz w:val="28"/>
          <w:szCs w:val="28"/>
          <w:highlight w:val="none"/>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eastAsia="宋体" w:cs="宋体"/>
          <w:b w:val="0"/>
          <w:bCs w:val="0"/>
          <w:i w:val="0"/>
          <w:sz w:val="28"/>
          <w:szCs w:val="28"/>
          <w:highlight w:val="none"/>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rPr>
          <w:rFonts w:hint="eastAsia" w:ascii="宋体" w:hAnsi="宋体" w:eastAsia="宋体" w:cs="宋体"/>
          <w:b w:val="0"/>
          <w:bCs w:val="0"/>
          <w:i w:val="0"/>
          <w:sz w:val="28"/>
          <w:szCs w:val="28"/>
          <w:highlight w:val="none"/>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十一、联合体协议（如有）</w:t>
      </w:r>
      <w:r>
        <w:rPr>
          <w:rFonts w:hint="eastAsia" w:ascii="宋体" w:hAnsi="宋体" w:eastAsia="宋体" w:cs="宋体"/>
          <w:b w:val="0"/>
          <w:bCs w:val="0"/>
          <w:i w:val="0"/>
          <w:sz w:val="28"/>
          <w:szCs w:val="28"/>
          <w:highlight w:val="none"/>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sz w:val="28"/>
          <w:szCs w:val="28"/>
          <w:highlight w:val="none"/>
          <w:u w:val="none"/>
          <w:lang w:val="en-US" w:eastAsia="zh-CN"/>
        </w:rPr>
      </w:r>
      <w:r/>
    </w:p>
    <w:p>
      <w:pPr>
        <w:pStyle w:val="875"/>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b w:val="0"/>
          <w:bCs w:val="0"/>
          <w:i w:val="0"/>
          <w:sz w:val="28"/>
          <w:szCs w:val="28"/>
          <w:highlight w:val="none"/>
          <w:u w:val="none"/>
          <w:lang w:val="en-US" w:eastAsia="zh-CN"/>
        </w:rPr>
        <w:t xml:space="preserve">十三、分包情况说明及分包意向协议（如有）</w:t>
      </w:r>
      <w:r>
        <w:rPr>
          <w:rFonts w:hint="eastAsia" w:ascii="宋体" w:hAnsi="宋体" w:eastAsia="宋体" w:cs="宋体"/>
          <w:sz w:val="28"/>
          <w:szCs w:val="28"/>
          <w:highlight w:val="none"/>
          <w:lang w:val="en-US" w:eastAsia="zh-CN"/>
        </w:rPr>
      </w:r>
      <w:r/>
    </w:p>
    <w:p>
      <w:pPr>
        <w:pStyle w:val="875"/>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5"/>
        <w:ind w:firstLine="480"/>
        <w:spacing w:line="440" w:lineRule="exact"/>
        <w:rPr>
          <w:rFonts w:ascii="宋体" w:hAnsi="宋体"/>
          <w:sz w:val="24"/>
          <w:highlight w:val="none"/>
        </w:rPr>
      </w:pPr>
      <w:r>
        <w:rPr>
          <w:rFonts w:ascii="宋体" w:hAnsi="宋体"/>
          <w:sz w:val="24"/>
          <w:highlight w:val="none"/>
        </w:rPr>
      </w:r>
      <w:r/>
    </w:p>
    <w:p>
      <w:pPr>
        <w:pStyle w:val="875"/>
        <w:ind w:firstLine="480"/>
        <w:spacing w:line="440" w:lineRule="exact"/>
        <w:rPr>
          <w:rFonts w:ascii="宋体" w:hAnsi="宋体"/>
          <w:sz w:val="24"/>
          <w:highlight w:val="none"/>
        </w:rPr>
      </w:pPr>
      <w:r>
        <w:rPr>
          <w:rFonts w:ascii="宋体" w:hAnsi="宋体"/>
          <w:sz w:val="24"/>
          <w:highlight w:val="none"/>
        </w:rPr>
      </w:r>
      <w:r/>
    </w:p>
    <w:p>
      <w:pPr>
        <w:pStyle w:val="875"/>
        <w:ind w:firstLine="480"/>
        <w:spacing w:line="440" w:lineRule="exact"/>
        <w:rPr>
          <w:rFonts w:ascii="宋体" w:hAnsi="宋体"/>
          <w:sz w:val="24"/>
          <w:highlight w:val="none"/>
        </w:rPr>
      </w:pPr>
      <w:r>
        <w:rPr>
          <w:rFonts w:ascii="宋体" w:hAnsi="宋体"/>
          <w:sz w:val="24"/>
          <w:highlight w:val="none"/>
        </w:rPr>
      </w:r>
      <w:r/>
    </w:p>
    <w:p>
      <w:pPr>
        <w:pStyle w:val="992"/>
        <w:rPr>
          <w:rFonts w:ascii="宋体" w:hAnsi="宋体"/>
          <w:sz w:val="24"/>
          <w:highlight w:val="none"/>
        </w:rPr>
      </w:pPr>
      <w:r>
        <w:rPr>
          <w:rFonts w:ascii="宋体" w:hAnsi="宋体"/>
          <w:sz w:val="24"/>
          <w:highlight w:val="none"/>
        </w:rPr>
      </w:r>
      <w:r/>
    </w:p>
    <w:p>
      <w:pPr>
        <w:pStyle w:val="992"/>
        <w:rPr>
          <w:rFonts w:ascii="宋体" w:hAnsi="宋体"/>
          <w:sz w:val="24"/>
          <w:highlight w:val="none"/>
        </w:rPr>
      </w:pPr>
      <w:r>
        <w:rPr>
          <w:rFonts w:ascii="宋体" w:hAnsi="宋体"/>
          <w:sz w:val="24"/>
          <w:highlight w:val="none"/>
        </w:rPr>
      </w:r>
      <w:r/>
    </w:p>
    <w:p>
      <w:pPr>
        <w:pStyle w:val="992"/>
        <w:rPr>
          <w:rFonts w:ascii="宋体" w:hAnsi="宋体"/>
          <w:sz w:val="24"/>
          <w:szCs w:val="24"/>
          <w:highlight w:val="none"/>
        </w:rPr>
      </w:pPr>
      <w:r>
        <w:rPr>
          <w:rFonts w:ascii="宋体" w:hAnsi="宋体"/>
          <w:sz w:val="24"/>
          <w:highlight w:val="none"/>
        </w:rPr>
      </w:r>
      <w:r>
        <w:rPr>
          <w:rFonts w:ascii="宋体" w:hAnsi="宋体"/>
          <w:sz w:val="24"/>
          <w:highlight w:val="none"/>
        </w:rPr>
      </w:r>
      <w:r/>
    </w:p>
    <w:p>
      <w:pPr>
        <w:pStyle w:val="992"/>
        <w:rPr>
          <w:rFonts w:ascii="宋体" w:hAnsi="宋体"/>
          <w:sz w:val="24"/>
          <w:szCs w:val="24"/>
          <w:highlight w:val="none"/>
        </w:rPr>
      </w:pPr>
      <w:r>
        <w:rPr>
          <w:rFonts w:ascii="宋体" w:hAnsi="宋体"/>
          <w:sz w:val="24"/>
          <w:szCs w:val="24"/>
          <w:highlight w:val="none"/>
        </w:rPr>
      </w:r>
      <w:r>
        <w:rPr>
          <w:rFonts w:ascii="宋体" w:hAnsi="宋体"/>
          <w:sz w:val="24"/>
          <w:szCs w:val="24"/>
          <w:highlight w:val="none"/>
        </w:rPr>
      </w:r>
      <w:r/>
    </w:p>
    <w:p>
      <w:pPr>
        <w:pStyle w:val="992"/>
        <w:rPr>
          <w:rFonts w:ascii="宋体" w:hAnsi="宋体"/>
          <w:sz w:val="24"/>
          <w:szCs w:val="24"/>
          <w:highlight w:val="none"/>
        </w:rPr>
      </w:pPr>
      <w:r>
        <w:rPr>
          <w:rFonts w:ascii="宋体" w:hAnsi="宋体"/>
          <w:sz w:val="24"/>
          <w:szCs w:val="24"/>
          <w:highlight w:val="none"/>
        </w:rPr>
      </w:r>
      <w:r>
        <w:rPr>
          <w:rFonts w:ascii="宋体" w:hAnsi="宋体"/>
          <w:sz w:val="24"/>
          <w:szCs w:val="24"/>
          <w:highlight w:val="none"/>
        </w:rPr>
      </w:r>
      <w:r/>
    </w:p>
    <w:p>
      <w:pPr>
        <w:pStyle w:val="992"/>
        <w:rPr>
          <w:rFonts w:ascii="宋体" w:hAnsi="宋体"/>
          <w:sz w:val="24"/>
          <w:szCs w:val="24"/>
          <w:highlight w:val="none"/>
        </w:rPr>
      </w:pPr>
      <w:r>
        <w:rPr>
          <w:rFonts w:ascii="宋体" w:hAnsi="宋体"/>
          <w:sz w:val="24"/>
          <w:szCs w:val="24"/>
          <w:highlight w:val="none"/>
        </w:rPr>
      </w:r>
      <w:r>
        <w:rPr>
          <w:rFonts w:ascii="宋体" w:hAnsi="宋体"/>
          <w:sz w:val="24"/>
          <w:szCs w:val="24"/>
          <w:highlight w:val="none"/>
        </w:rPr>
      </w:r>
      <w:r/>
    </w:p>
    <w:p>
      <w:pPr>
        <w:pStyle w:val="992"/>
        <w:rPr>
          <w:rFonts w:ascii="宋体" w:hAnsi="宋体"/>
          <w:sz w:val="24"/>
          <w:szCs w:val="24"/>
          <w:highlight w:val="none"/>
        </w:rPr>
      </w:pPr>
      <w:r>
        <w:rPr>
          <w:rFonts w:ascii="宋体" w:hAnsi="宋体"/>
          <w:sz w:val="24"/>
          <w:szCs w:val="24"/>
          <w:highlight w:val="none"/>
        </w:rPr>
      </w:r>
      <w:r>
        <w:rPr>
          <w:rFonts w:ascii="宋体" w:hAnsi="宋体"/>
          <w:sz w:val="24"/>
          <w:szCs w:val="24"/>
          <w:highlight w:val="none"/>
        </w:rPr>
      </w:r>
      <w:r/>
    </w:p>
    <w:p>
      <w:pPr>
        <w:pStyle w:val="992"/>
        <w:rPr>
          <w:rFonts w:ascii="宋体" w:hAnsi="宋体"/>
          <w:sz w:val="24"/>
          <w:szCs w:val="24"/>
          <w:highlight w:val="none"/>
        </w:rPr>
      </w:pPr>
      <w:r>
        <w:rPr>
          <w:rFonts w:ascii="宋体" w:hAnsi="宋体"/>
          <w:sz w:val="24"/>
          <w:szCs w:val="24"/>
          <w:highlight w:val="none"/>
        </w:rPr>
      </w:r>
      <w:r>
        <w:rPr>
          <w:rFonts w:ascii="宋体" w:hAnsi="宋体"/>
          <w:sz w:val="24"/>
          <w:szCs w:val="24"/>
          <w:highlight w:val="none"/>
        </w:rPr>
      </w:r>
      <w:r/>
    </w:p>
    <w:p>
      <w:pPr>
        <w:pStyle w:val="992"/>
        <w:rPr>
          <w:rFonts w:ascii="宋体" w:hAnsi="宋体"/>
          <w:sz w:val="24"/>
          <w:szCs w:val="24"/>
          <w:highlight w:val="none"/>
        </w:rPr>
      </w:pPr>
      <w:r>
        <w:rPr>
          <w:rFonts w:ascii="宋体" w:hAnsi="宋体"/>
          <w:sz w:val="24"/>
          <w:highlight w:val="none"/>
        </w:rPr>
      </w:r>
      <w:r/>
    </w:p>
    <w:p>
      <w:pPr>
        <w:pStyle w:val="992"/>
        <w:rPr>
          <w:rFonts w:ascii="宋体" w:hAnsi="宋体"/>
          <w:sz w:val="24"/>
          <w:highlight w:val="none"/>
        </w:rPr>
      </w:pPr>
      <w:r>
        <w:rPr>
          <w:rFonts w:ascii="宋体" w:hAnsi="宋体"/>
          <w:sz w:val="24"/>
          <w:highlight w:val="none"/>
        </w:rPr>
      </w:r>
      <w:r/>
    </w:p>
    <w:p>
      <w:pPr>
        <w:pStyle w:val="87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5"/>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5"/>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5"/>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5"/>
        <w:ind w:firstLine="492"/>
        <w:spacing w:line="460" w:lineRule="exact"/>
        <w:rPr>
          <w:color w:val="000000"/>
          <w:sz w:val="24"/>
          <w:szCs w:val="24"/>
          <w:highlight w:val="none"/>
        </w:rPr>
      </w:pPr>
      <w:r>
        <w:rPr>
          <w:color w:val="000000"/>
          <w:sz w:val="24"/>
          <w:szCs w:val="24"/>
          <w:highlight w:val="none"/>
        </w:rPr>
      </w:r>
      <w:r/>
    </w:p>
    <w:p>
      <w:pPr>
        <w:pStyle w:val="993"/>
        <w:rPr>
          <w:color w:val="000000"/>
          <w:sz w:val="24"/>
          <w:szCs w:val="24"/>
          <w:highlight w:val="none"/>
        </w:rPr>
      </w:pPr>
      <w:r>
        <w:rPr>
          <w:color w:val="000000"/>
          <w:sz w:val="24"/>
          <w:szCs w:val="24"/>
          <w:highlight w:val="none"/>
        </w:rPr>
      </w:r>
      <w:r/>
    </w:p>
    <w:p>
      <w:pPr>
        <w:pStyle w:val="875"/>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5"/>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5"/>
        <w:rPr>
          <w:sz w:val="24"/>
          <w:szCs w:val="24"/>
          <w:highlight w:val="none"/>
        </w:rPr>
      </w:pPr>
      <w:r>
        <w:rPr>
          <w:sz w:val="24"/>
          <w:szCs w:val="24"/>
          <w:highlight w:val="none"/>
        </w:rPr>
      </w:r>
      <w:r/>
    </w:p>
    <w:p>
      <w:pPr>
        <w:pStyle w:val="875"/>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5"/>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5"/>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3"/>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3"/>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3"/>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3"/>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3"/>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3"/>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3"/>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3"/>
        <w:ind w:firstLine="480"/>
        <w:spacing w:line="480" w:lineRule="exact"/>
        <w:tabs>
          <w:tab w:val="left" w:pos="360" w:leader="none"/>
        </w:tabs>
        <w:rPr>
          <w:rFonts w:ascii="Times New Roman" w:hAnsi="Times New Roman" w:eastAsia="宋体" w:cs="Times New Roman"/>
          <w:i w:val="0"/>
          <w:sz w:val="24"/>
          <w:szCs w:val="24"/>
          <w:highlight w:val="none"/>
          <w:u w:val="single"/>
          <w:lang w:val="en-US" w:eastAsia="zh-CN"/>
        </w:rPr>
      </w:pPr>
      <w:r>
        <w:rPr>
          <w:rFonts w:hint="eastAsia" w:ascii="Times New Roman" w:hAnsi="Times New Roman" w:eastAsia="宋体" w:cs="Times New Roman"/>
          <w:i w:val="0"/>
          <w:sz w:val="24"/>
          <w:szCs w:val="24"/>
          <w:highlight w:val="none"/>
          <w:u w:val="none"/>
        </w:rPr>
        <w:t xml:space="preserve">代理人联系方式（手机号码）：</w:t>
      </w:r>
      <w:r>
        <w:rPr>
          <w:rFonts w:hint="eastAsia" w:ascii="Times New Roman" w:hAnsi="Times New Roman" w:eastAsia="宋体" w:cs="Times New Roman"/>
          <w:i w:val="0"/>
          <w:sz w:val="24"/>
          <w:szCs w:val="24"/>
          <w:highlight w:val="none"/>
          <w:u w:val="single"/>
          <w:lang w:val="en-US" w:eastAsia="zh-CN"/>
        </w:rPr>
        <w:t xml:space="preserve">                     </w:t>
      </w:r>
      <w:r>
        <w:rPr>
          <w:rFonts w:ascii="Times New Roman" w:hAnsi="Times New Roman" w:eastAsia="宋体" w:cs="Times New Roman"/>
          <w:i w:val="0"/>
          <w:sz w:val="24"/>
          <w:szCs w:val="24"/>
          <w:highlight w:val="none"/>
          <w:u w:val="single"/>
          <w:lang w:val="en-US" w:eastAsia="zh-CN"/>
        </w:rPr>
      </w:r>
      <w:r/>
    </w:p>
    <w:p>
      <w:pPr>
        <w:pStyle w:val="963"/>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3"/>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95"/>
        <w:ind w:firstLine="0"/>
        <w:rPr>
          <w:rFonts w:hint="eastAsia"/>
          <w:highlight w:val="none"/>
        </w:rPr>
      </w:pPr>
      <w:r>
        <w:rPr>
          <w:rFonts w:hint="eastAsia"/>
          <w:highlight w:val="none"/>
        </w:rPr>
      </w:r>
      <w:r/>
    </w:p>
    <w:p>
      <w:pPr>
        <w:pStyle w:val="96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3"/>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5"/>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5"/>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5"/>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965"/>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5"/>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965"/>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5"/>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5"/>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5"/>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5"/>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rPr>
          <w:rFonts w:hint="eastAsia" w:ascii="宋体" w:hAnsi="宋体"/>
          <w:szCs w:val="21"/>
          <w:highlight w:val="none"/>
        </w:rPr>
      </w:r>
      <w:r/>
    </w:p>
    <w:p>
      <w:pPr>
        <w:pStyle w:val="875"/>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87"/>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5"/>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5"/>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5"/>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5"/>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5"/>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5"/>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5"/>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5"/>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5"/>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7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5"/>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5"/>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5"/>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5"/>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965"/>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5"/>
        <w:rPr>
          <w:rFonts w:ascii="宋体" w:hAnsi="宋体"/>
          <w:sz w:val="24"/>
          <w:szCs w:val="24"/>
          <w:highlight w:val="none"/>
        </w:rPr>
      </w:pPr>
      <w:r>
        <w:rPr>
          <w:rFonts w:ascii="宋体" w:hAnsi="宋体"/>
          <w:sz w:val="24"/>
          <w:szCs w:val="24"/>
          <w:highlight w:val="none"/>
        </w:rPr>
      </w:r>
      <w:r/>
    </w:p>
    <w:p>
      <w:pPr>
        <w:pStyle w:val="875"/>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5"/>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75"/>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5"/>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5"/>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887"/>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87"/>
        <w:rPr>
          <w:rFonts w:hint="eastAsia"/>
          <w:highlight w:val="none"/>
          <w:lang w:val="en-US" w:eastAsia="zh-CN"/>
        </w:rPr>
      </w:pPr>
      <w:r>
        <w:rPr>
          <w:rFonts w:hint="eastAsia"/>
          <w:highlight w:val="none"/>
          <w:lang w:val="en-US" w:eastAsia="zh-CN"/>
        </w:rPr>
      </w:r>
      <w:r/>
    </w:p>
    <w:p>
      <w:pPr>
        <w:pStyle w:val="875"/>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rPr>
          <w:rFonts w:hint="eastAsia" w:ascii="黑体" w:hAnsi="黑体" w:eastAsia="黑体" w:cs="Times New Roman"/>
          <w:i w:val="0"/>
          <w:sz w:val="32"/>
          <w:szCs w:val="32"/>
          <w:highlight w:val="none"/>
          <w:u w:val="none"/>
          <w:lang w:val="en-US" w:eastAsia="zh-CN"/>
        </w:rPr>
      </w:r>
      <w:r/>
    </w:p>
    <w:p>
      <w:pPr>
        <w:pStyle w:val="875"/>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7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5"/>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5"/>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5"/>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875"/>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875"/>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875"/>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5"/>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875"/>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875"/>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875"/>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5"/>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
        <w:gridCol w:w="1326"/>
        <w:gridCol w:w="970"/>
        <w:gridCol w:w="1790"/>
        <w:gridCol w:w="1470"/>
        <w:gridCol w:w="830"/>
        <w:gridCol w:w="820"/>
        <w:gridCol w:w="826"/>
        <w:gridCol w:w="1434"/>
      </w:tblGrid>
      <w:tr>
        <w:trPr>
          <w:cantSplit/>
          <w:trHeight w:val="544"/>
        </w:trPr>
        <w:tc>
          <w:tcPr>
            <w:tcW w:w="495" w:type="dxa"/>
            <w:vAlign w:val="center"/>
            <w:vMerge w:val="restart"/>
            <w:textDirection w:val="lrTb"/>
            <w:noWrap w:val="false"/>
          </w:tcPr>
          <w:p>
            <w:pPr>
              <w:pStyle w:val="875"/>
              <w:ind w:right="180"/>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326" w:type="dxa"/>
            <w:vAlign w:val="center"/>
            <w:textDirection w:val="lrTb"/>
            <w:noWrap w:val="false"/>
          </w:tcPr>
          <w:p>
            <w:pPr>
              <w:pStyle w:val="875"/>
              <w:ind w:right="180" w:firstLine="48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5"/>
              <w:ind w:right="180" w:firstLine="480"/>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5"/>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5"/>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5"/>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5"/>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5"/>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5"/>
              <w:ind w:right="180" w:firstLine="480"/>
              <w:jc w:val="center"/>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495" w:type="dxa"/>
            <w:vAlign w:val="center"/>
            <w:vMerge w:val="continue"/>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5"/>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5"/>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5"/>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495"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3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495"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3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495"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3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495" w:type="dxa"/>
            <w:vAlign w:val="center"/>
            <w:textDirection w:val="lrTb"/>
            <w:noWrap w:val="false"/>
          </w:tcPr>
          <w:p>
            <w:pPr>
              <w:pStyle w:val="875"/>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466" w:type="dxa"/>
            <w:vAlign w:val="center"/>
            <w:textDirection w:val="lrTb"/>
            <w:noWrap w:val="false"/>
          </w:tcPr>
          <w:p>
            <w:pPr>
              <w:pStyle w:val="875"/>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875"/>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5"/>
        <w:ind w:firstLine="480"/>
        <w:rPr>
          <w:rFonts w:hint="eastAsia" w:ascii="宋体" w:hAnsi="宋体"/>
          <w:sz w:val="24"/>
          <w:szCs w:val="24"/>
          <w:highlight w:val="none"/>
        </w:rPr>
      </w:pPr>
      <w:r>
        <w:rPr>
          <w:rFonts w:hint="eastAsia" w:ascii="宋体" w:hAnsi="宋体"/>
          <w:sz w:val="24"/>
          <w:szCs w:val="24"/>
          <w:highlight w:val="none"/>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40"/>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rPr>
          <w:rFonts w:hint="eastAsia" w:ascii="黑体" w:hAnsi="黑体" w:eastAsia="黑体" w:cs="Times New Roman"/>
          <w:i w:val="0"/>
          <w:sz w:val="32"/>
          <w:szCs w:val="32"/>
          <w:highlight w:val="none"/>
          <w:u w:val="none"/>
          <w:lang w:val="en-US" w:eastAsia="zh-CN"/>
        </w:rPr>
      </w:r>
      <w:r/>
    </w:p>
    <w:p>
      <w:pPr>
        <w:pStyle w:val="875"/>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5"/>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5"/>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5"/>
              <w:jc w:val="center"/>
              <w:rPr>
                <w:highlight w:val="none"/>
              </w:rPr>
            </w:pPr>
            <w:r>
              <w:rPr>
                <w:highlight w:val="none"/>
              </w:rPr>
            </w:r>
            <w:r/>
          </w:p>
          <w:p>
            <w:pPr>
              <w:pStyle w:val="887"/>
              <w:rPr>
                <w:rFonts w:hint="eastAsia"/>
                <w:highlight w:val="none"/>
              </w:rPr>
            </w:pPr>
            <w:r>
              <w:rPr>
                <w:rFonts w:hint="eastAsia"/>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5"/>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40"/>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40"/>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40"/>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rPr>
          <w:rFonts w:hint="eastAsia" w:ascii="黑体" w:hAnsi="黑体" w:eastAsia="黑体" w:cs="Times New Roman"/>
          <w:i w:val="0"/>
          <w:sz w:val="32"/>
          <w:szCs w:val="32"/>
          <w:highlight w:val="none"/>
          <w:u w:val="none"/>
          <w:lang w:val="en-US" w:eastAsia="zh-CN"/>
        </w:rPr>
      </w:r>
      <w:r/>
    </w:p>
    <w:p>
      <w:pPr>
        <w:pStyle w:val="875"/>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5"/>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5"/>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5"/>
              <w:jc w:val="center"/>
              <w:rPr>
                <w:highlight w:val="none"/>
              </w:rPr>
            </w:pPr>
            <w:r>
              <w:rPr>
                <w:highlight w:val="none"/>
              </w:rPr>
            </w:r>
            <w:r/>
          </w:p>
          <w:p>
            <w:pPr>
              <w:pStyle w:val="887"/>
              <w:rPr>
                <w:rFonts w:hint="eastAsia"/>
                <w:highlight w:val="none"/>
              </w:rPr>
            </w:pPr>
            <w:r>
              <w:rPr>
                <w:rFonts w:hint="eastAsia"/>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5"/>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5"/>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5"/>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rPr>
          <w:rFonts w:hint="eastAsia" w:ascii="黑体" w:hAnsi="黑体" w:eastAsia="黑体" w:cs="Times New Roman"/>
          <w:i w:val="0"/>
          <w:iCs w:val="0"/>
          <w:sz w:val="32"/>
          <w:szCs w:val="32"/>
          <w:highlight w:val="none"/>
          <w:u w:val="none"/>
          <w:lang w:val="en-US" w:eastAsia="zh-CN"/>
        </w:rPr>
      </w:r>
      <w:r/>
    </w:p>
    <w:p>
      <w:pPr>
        <w:pStyle w:val="875"/>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5"/>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875"/>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5"/>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5"/>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5"/>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5"/>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4"/>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5"/>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875"/>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5"/>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5"/>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75"/>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5"/>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5"/>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5"/>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rPr>
          <w:rFonts w:hint="eastAsia" w:ascii="黑体" w:hAnsi="黑体" w:eastAsia="黑体"/>
          <w:b w:val="0"/>
          <w:sz w:val="32"/>
          <w:szCs w:val="32"/>
          <w:highlight w:val="none"/>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5"/>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875"/>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4"/>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5"/>
        <w:rPr>
          <w:rFonts w:hint="eastAsia"/>
          <w:highlight w:val="none"/>
          <w:lang w:eastAsia="zh-CN"/>
        </w:rPr>
      </w:pPr>
      <w:r>
        <w:rPr>
          <w:rFonts w:hint="eastAsia"/>
          <w:highlight w:val="none"/>
          <w:lang w:eastAsia="zh-CN"/>
        </w:rPr>
      </w:r>
      <w:r/>
    </w:p>
    <w:p>
      <w:pPr>
        <w:pStyle w:val="875"/>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5"/>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5"/>
        <w:ind w:firstLine="480"/>
        <w:spacing w:line="588" w:lineRule="exact"/>
        <w:rPr>
          <w:rFonts w:hint="eastAsia" w:ascii="宋体" w:hAnsi="宋体"/>
          <w:sz w:val="24"/>
          <w:highlight w:val="none"/>
        </w:rPr>
      </w:pPr>
      <w:r>
        <w:rPr>
          <w:rFonts w:hint="eastAsia" w:ascii="宋体" w:hAnsi="宋体"/>
          <w:sz w:val="24"/>
          <w:highlight w:val="none"/>
        </w:rPr>
      </w:r>
      <w:r/>
    </w:p>
    <w:p>
      <w:pPr>
        <w:pStyle w:val="875"/>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875"/>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rPr>
          <w:rFonts w:hint="eastAsia" w:ascii="黑体" w:hAnsi="黑体" w:eastAsia="黑体" w:cs="Times New Roman"/>
          <w:i w:val="0"/>
          <w:iCs w:val="0"/>
          <w:sz w:val="32"/>
          <w:szCs w:val="32"/>
          <w:highlight w:val="none"/>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5"/>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5"/>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5"/>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5"/>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5"/>
        <w:ind w:firstLine="645"/>
        <w:spacing w:line="560" w:lineRule="exact"/>
        <w:rPr>
          <w:rFonts w:hint="eastAsia" w:ascii="宋体" w:hAnsi="宋体"/>
          <w:sz w:val="24"/>
          <w:highlight w:val="none"/>
        </w:rPr>
      </w:pPr>
      <w:r>
        <w:rPr>
          <w:rFonts w:hint="eastAsia" w:ascii="宋体" w:hAnsi="宋体"/>
          <w:sz w:val="24"/>
          <w:highlight w:val="none"/>
        </w:rPr>
      </w:r>
      <w:r/>
    </w:p>
    <w:p>
      <w:pPr>
        <w:pStyle w:val="875"/>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5"/>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5"/>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5"/>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875"/>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75"/>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5"/>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875"/>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87"/>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5"/>
        <w:rPr>
          <w:rFonts w:hint="eastAsia"/>
          <w:highlight w:val="none"/>
        </w:rPr>
      </w:pPr>
      <w:r>
        <w:rPr>
          <w:rFonts w:hint="eastAsia"/>
          <w:highlight w:val="none"/>
        </w:rPr>
      </w:r>
      <w:r/>
    </w:p>
    <w:p>
      <w:pPr>
        <w:pStyle w:val="875"/>
        <w:ind w:firstLine="645"/>
        <w:spacing w:line="560" w:lineRule="exact"/>
        <w:rPr>
          <w:rFonts w:ascii="宋体" w:hAnsi="宋体"/>
          <w:sz w:val="24"/>
          <w:highlight w:val="none"/>
        </w:rPr>
      </w:pPr>
      <w:r>
        <w:rPr>
          <w:rFonts w:ascii="宋体" w:hAnsi="宋体"/>
          <w:sz w:val="24"/>
          <w:highlight w:val="none"/>
        </w:rPr>
      </w:r>
      <w:r/>
    </w:p>
    <w:p>
      <w:pPr>
        <w:pStyle w:val="875"/>
        <w:ind w:firstLine="645"/>
        <w:spacing w:line="560" w:lineRule="exact"/>
        <w:rPr>
          <w:rFonts w:hint="eastAsia" w:ascii="宋体" w:hAnsi="宋体"/>
          <w:sz w:val="24"/>
          <w:highlight w:val="none"/>
        </w:rPr>
      </w:pPr>
      <w:r>
        <w:rPr>
          <w:rFonts w:hint="eastAsia" w:ascii="宋体" w:hAnsi="宋体"/>
          <w:sz w:val="24"/>
          <w:highlight w:val="none"/>
        </w:rPr>
      </w:r>
      <w:r/>
    </w:p>
    <w:p>
      <w:pPr>
        <w:pStyle w:val="875"/>
        <w:numPr>
          <w:ilvl w:val="0"/>
          <w:numId w:val="0"/>
        </w:numPr>
        <w:jc w:val="left"/>
        <w:spacing w:line="360" w:lineRule="auto"/>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rPr>
          <w:rFonts w:hint="eastAsia" w:ascii="宋体" w:hAnsi="宋体" w:eastAsia="宋体" w:cs="Times New Roman"/>
          <w:sz w:val="24"/>
          <w:highlight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40"/>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40"/>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50"/>
          <w:rFonts w:hint="eastAsia"/>
          <w:i w:val="0"/>
          <w:highlight w:val="none"/>
          <w:u w:val="single"/>
          <w:shd w:val="clear" w:color="auto" w:fill="ffffff"/>
        </w:rPr>
        <w:t xml:space="preserve">（产品名称1）</w:t>
      </w:r>
      <w:r>
        <w:rPr>
          <w:rStyle w:val="950"/>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50"/>
          <w:rFonts w:hint="eastAsia"/>
          <w:i w:val="0"/>
          <w:highlight w:val="none"/>
          <w:u w:val="single"/>
          <w:shd w:val="clear" w:color="auto" w:fill="ffffff"/>
        </w:rPr>
        <w:t xml:space="preserve">（厂名）</w:t>
      </w:r>
      <w:r>
        <w:rPr>
          <w:rStyle w:val="950"/>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5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5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50"/>
          <w:rFonts w:hint="eastAsia"/>
          <w:i/>
          <w:strike w:val="0"/>
          <w:highlight w:val="none"/>
          <w:u w:val="single"/>
          <w:shd w:val="clear" w:color="auto" w:fill="ffffff"/>
        </w:rPr>
        <w:t xml:space="preserve">（规定比例）</w:t>
      </w:r>
      <w:r>
        <w:rPr>
          <w:rStyle w:val="950"/>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5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（关键组件）</w:t>
      </w:r>
      <w:r>
        <w:rPr>
          <w:rStyle w:val="950"/>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5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（关键工序）</w:t>
      </w:r>
      <w:r>
        <w:rPr>
          <w:rStyle w:val="950"/>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40"/>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50"/>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50"/>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5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5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50"/>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5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5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40"/>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40"/>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40"/>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40"/>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40"/>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40"/>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40"/>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40"/>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40"/>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40"/>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69" w:name="OLE_LINK8"/>
      <w:r>
        <w:rPr>
          <w:rFonts w:hint="eastAsia"/>
          <w:b w:val="0"/>
          <w:bCs w:val="0"/>
          <w:sz w:val="21"/>
          <w:szCs w:val="21"/>
          <w:highlight w:val="none"/>
          <w:shd w:val="clear" w:color="auto" w:fill="ffffff"/>
        </w:rPr>
      </w:r>
      <w:r/>
    </w:p>
    <w:p>
      <w:pPr>
        <w:pStyle w:val="875"/>
        <w:jc w:val="left"/>
        <w:keepLines w:val="0"/>
        <w:keepNext w:val="0"/>
        <w:pageBreakBefore w:val="0"/>
        <w:spacing w:line="360" w:lineRule="auto"/>
        <w:widowControl/>
        <w:rPr>
          <w:highlight w:val="none"/>
          <w:lang w:val="en-US"/>
        </w:rPr>
        <w:outlineLvl w:val="9"/>
      </w:pPr>
      <w:r/>
      <w:bookmarkEnd w:id="69"/>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十三、分包情况说明及分包意向协议</w:t>
      </w:r>
      <w:r>
        <w:rPr>
          <w:highlight w:val="none"/>
          <w:lang w:val="en-US"/>
        </w:rPr>
      </w:r>
      <w:r/>
    </w:p>
    <w:p>
      <w:pPr>
        <w:pStyle w:val="875"/>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5"/>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5"/>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5"/>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5"/>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5"/>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r>
    </w:tbl>
    <w:p>
      <w:pPr>
        <w:pStyle w:val="875"/>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5"/>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5"/>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5"/>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5"/>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5"/>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5"/>
        <w:numPr>
          <w:ilvl w:val="0"/>
          <w:numId w:val="7"/>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40"/>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75"/>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rPr>
          <w:rFonts w:hint="eastAsia" w:ascii="宋体" w:hAnsi="宋体"/>
          <w:sz w:val="24"/>
          <w:szCs w:val="24"/>
          <w:highlight w:val="none"/>
        </w:rPr>
      </w:pPr>
      <w:r>
        <w:rPr>
          <w:rFonts w:hint="eastAsia" w:ascii="宋体" w:hAnsi="宋体"/>
          <w:sz w:val="24"/>
          <w:szCs w:val="24"/>
          <w:highlight w:val="none"/>
        </w:rPr>
      </w:r>
      <w:r/>
    </w:p>
    <w:p>
      <w:pPr>
        <w:pStyle w:val="875"/>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5"/>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5"/>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75"/>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5"/>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楷体_GBK">
    <w:panose1 w:val="020B0503020202020204"/>
  </w:font>
  <w:font w:name="方正小标宋简体">
    <w:panose1 w:val="020B0503020202020204"/>
  </w:font>
  <w:font w:name="Wingdings">
    <w:panose1 w:val="05000000000000000000"/>
  </w:font>
  <w:font w:name="Symbol">
    <w:panose1 w:val="05050102010706020507"/>
  </w:font>
  <w:font w:name="FangSong_GB2312">
    <w:panose1 w:val="02010609060101010101"/>
  </w:font>
  <w:font w:name="仿宋">
    <w:panose1 w:val="02010609060101010101"/>
  </w:font>
  <w:font w:name="等线">
    <w:panose1 w:val="02010600030101010101"/>
  </w:font>
  <w:font w:name="方正仿宋_GB2312">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４２</w:t>
    </w:r>
    <w:r>
      <w:rPr>
        <w:rFonts w:ascii="宋体" w:hAnsi="宋体"/>
      </w:rPr>
      <w:fldChar w:fldCharType="end"/>
    </w:r>
    <w:r>
      <w:rPr>
        <w:rStyle w:val="948"/>
        <w:rFonts w:ascii="宋体" w:hAnsi="宋体"/>
      </w:rPr>
    </w:r>
    <w:r/>
  </w:p>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7"/>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4"/>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5">
    <w:multiLevelType w:val="hybridMultilevel"/>
    <w:lvl w:ilvl="0">
      <w:start w:val="3"/>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space"/>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qFormat/>
    <w:pPr>
      <w:jc w:val="both"/>
      <w:widowControl w:val="off"/>
    </w:pPr>
    <w:rPr>
      <w:sz w:val="21"/>
      <w:szCs w:val="22"/>
      <w:lang w:val="en-US" w:eastAsia="zh-CN" w:bidi="ar-SA"/>
    </w:rPr>
  </w:style>
  <w:style w:type="paragraph" w:styleId="876">
    <w:name w:val="标题 1"/>
    <w:basedOn w:val="875"/>
    <w:next w:val="875"/>
    <w:link w:val="892"/>
    <w:qFormat/>
    <w:pPr>
      <w:jc w:val="center"/>
      <w:keepNext/>
      <w:outlineLvl w:val="0"/>
    </w:pPr>
    <w:rPr>
      <w:rFonts w:ascii="楷体_GB2312" w:hAnsi="Times New Roman" w:eastAsia="楷体_GB2312" w:cs="Times New Roman"/>
      <w:sz w:val="28"/>
      <w:szCs w:val="28"/>
    </w:rPr>
  </w:style>
  <w:style w:type="paragraph" w:styleId="877">
    <w:name w:val="标题 2"/>
    <w:basedOn w:val="875"/>
    <w:next w:val="875"/>
    <w:link w:val="893"/>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5"/>
    <w:link w:val="89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name w:val="标题 4"/>
    <w:basedOn w:val="875"/>
    <w:next w:val="895"/>
    <w:link w:val="897"/>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5"/>
    <w:link w:val="898"/>
    <w:qFormat/>
    <w:pPr>
      <w:keepNext/>
      <w:outlineLvl w:val="4"/>
    </w:pPr>
    <w:rPr>
      <w:rFonts w:ascii="宋体" w:hAnsi="Times New Roman" w:eastAsia="宋体" w:cs="Times New Roman"/>
      <w:color w:val="000000"/>
      <w:sz w:val="28"/>
      <w:szCs w:val="28"/>
    </w:rPr>
  </w:style>
  <w:style w:type="paragraph" w:styleId="881">
    <w:name w:val="标题 6"/>
    <w:basedOn w:val="875"/>
    <w:next w:val="875"/>
    <w:link w:val="89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name w:val="标题 7"/>
    <w:basedOn w:val="875"/>
    <w:next w:val="875"/>
    <w:link w:val="90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name w:val="标题 8"/>
    <w:basedOn w:val="875"/>
    <w:next w:val="875"/>
    <w:link w:val="90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name w:val="标题 9"/>
    <w:basedOn w:val="875"/>
    <w:next w:val="875"/>
    <w:link w:val="902"/>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name w:val="默认段落字体"/>
    <w:next w:val="885"/>
    <w:link w:val="875"/>
    <w:uiPriority w:val="1"/>
    <w:unhideWhenUsed/>
  </w:style>
  <w:style w:type="table" w:styleId="886">
    <w:name w:val="普通表格"/>
    <w:next w:val="886"/>
    <w:link w:val="875"/>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7">
    <w:name w:val="正文首行缩进 2"/>
    <w:basedOn w:val="888"/>
    <w:next w:val="875"/>
    <w:link w:val="891"/>
    <w:pPr>
      <w:ind w:left="0" w:firstLine="420"/>
      <w:spacing w:after="0" w:line="360" w:lineRule="auto"/>
    </w:pPr>
    <w:rPr>
      <w:rFonts w:ascii="宋体" w:hAnsi="宋体" w:eastAsia="宋体" w:cs="Times New Roman"/>
      <w:szCs w:val="20"/>
    </w:rPr>
  </w:style>
  <w:style w:type="paragraph" w:styleId="888">
    <w:name w:val="正文文本缩进"/>
    <w:basedOn w:val="875"/>
    <w:next w:val="890"/>
    <w:link w:val="889"/>
    <w:unhideWhenUsed/>
    <w:pPr>
      <w:ind w:left="420"/>
      <w:spacing w:after="120"/>
    </w:pPr>
  </w:style>
  <w:style w:type="character" w:styleId="889">
    <w:name w:val="正文文本缩进 Char"/>
    <w:basedOn w:val="885"/>
    <w:next w:val="889"/>
    <w:link w:val="888"/>
    <w:uiPriority w:val="99"/>
    <w:semiHidden/>
  </w:style>
  <w:style w:type="paragraph" w:styleId="890">
    <w:name w:val="寄信人地址"/>
    <w:basedOn w:val="875"/>
    <w:next w:val="890"/>
    <w:link w:val="875"/>
    <w:qFormat/>
    <w:rPr>
      <w:rFonts w:ascii="Arial" w:hAnsi="Arial" w:eastAsia="宋体" w:cs="宋体"/>
    </w:rPr>
  </w:style>
  <w:style w:type="character" w:styleId="891">
    <w:name w:val="正文首行缩进 2 Char"/>
    <w:next w:val="891"/>
    <w:link w:val="887"/>
    <w:rPr>
      <w:rFonts w:ascii="宋体" w:hAnsi="宋体" w:eastAsia="宋体" w:cs="Times New Roman"/>
      <w:szCs w:val="20"/>
    </w:rPr>
  </w:style>
  <w:style w:type="character" w:styleId="892">
    <w:name w:val="标题 1 Char"/>
    <w:next w:val="892"/>
    <w:link w:val="876"/>
    <w:rPr>
      <w:rFonts w:ascii="楷体_GB2312" w:hAnsi="Times New Roman" w:eastAsia="楷体_GB2312" w:cs="Times New Roman"/>
      <w:sz w:val="28"/>
      <w:szCs w:val="28"/>
    </w:rPr>
  </w:style>
  <w:style w:type="character" w:styleId="893">
    <w:name w:val="标题 2 Char"/>
    <w:next w:val="893"/>
    <w:link w:val="877"/>
    <w:rPr>
      <w:rFonts w:ascii="Arial" w:hAnsi="Arial" w:eastAsia="幼圆" w:cs="Arial"/>
      <w:b/>
      <w:bCs/>
      <w:sz w:val="44"/>
      <w:szCs w:val="44"/>
    </w:rPr>
  </w:style>
  <w:style w:type="character" w:styleId="894">
    <w:name w:val="标题 3 Char"/>
    <w:next w:val="894"/>
    <w:link w:val="878"/>
    <w:rPr>
      <w:rFonts w:ascii="Times New Roman" w:hAnsi="Times New Roman" w:eastAsia="宋体" w:cs="Times New Roman"/>
      <w:b/>
      <w:bCs/>
      <w:sz w:val="32"/>
      <w:szCs w:val="32"/>
    </w:rPr>
  </w:style>
  <w:style w:type="paragraph" w:styleId="895">
    <w:name w:val="正文缩进"/>
    <w:basedOn w:val="875"/>
    <w:next w:val="895"/>
    <w:link w:val="896"/>
    <w:pPr>
      <w:ind w:firstLine="420"/>
    </w:pPr>
    <w:rPr>
      <w:szCs w:val="21"/>
    </w:rPr>
  </w:style>
  <w:style w:type="character" w:styleId="896">
    <w:name w:val="正文缩进 Char"/>
    <w:next w:val="896"/>
    <w:link w:val="895"/>
    <w:rPr>
      <w:szCs w:val="21"/>
    </w:rPr>
  </w:style>
  <w:style w:type="character" w:styleId="897">
    <w:name w:val="标题 4 Char"/>
    <w:next w:val="897"/>
    <w:link w:val="879"/>
    <w:rPr>
      <w:rFonts w:ascii="Arial" w:hAnsi="Arial" w:eastAsia="黑体" w:cs="Arial"/>
      <w:b/>
      <w:bCs/>
      <w:sz w:val="28"/>
      <w:szCs w:val="28"/>
    </w:rPr>
  </w:style>
  <w:style w:type="character" w:styleId="898">
    <w:name w:val="标题 5 Char"/>
    <w:next w:val="898"/>
    <w:link w:val="880"/>
    <w:rPr>
      <w:rFonts w:ascii="宋体" w:hAnsi="Times New Roman" w:eastAsia="宋体" w:cs="Times New Roman"/>
      <w:color w:val="000000"/>
      <w:sz w:val="28"/>
      <w:szCs w:val="28"/>
    </w:rPr>
  </w:style>
  <w:style w:type="character" w:styleId="899">
    <w:name w:val="标题 6 Char"/>
    <w:next w:val="899"/>
    <w:link w:val="881"/>
    <w:rPr>
      <w:rFonts w:ascii="Arial" w:hAnsi="Arial" w:eastAsia="黑体" w:cs="Times New Roman"/>
      <w:b/>
      <w:bCs/>
      <w:sz w:val="24"/>
      <w:szCs w:val="24"/>
    </w:rPr>
  </w:style>
  <w:style w:type="character" w:styleId="900">
    <w:name w:val="标题 7 Char"/>
    <w:next w:val="900"/>
    <w:link w:val="882"/>
    <w:rPr>
      <w:rFonts w:ascii="Times New Roman" w:hAnsi="Times New Roman" w:eastAsia="宋体" w:cs="Times New Roman"/>
      <w:b/>
      <w:bCs/>
      <w:sz w:val="24"/>
      <w:szCs w:val="24"/>
    </w:rPr>
  </w:style>
  <w:style w:type="character" w:styleId="901">
    <w:name w:val="标题 8 Char"/>
    <w:next w:val="901"/>
    <w:link w:val="883"/>
    <w:rPr>
      <w:rFonts w:ascii="Arial" w:hAnsi="Arial" w:eastAsia="黑体" w:cs="Times New Roman"/>
      <w:sz w:val="24"/>
      <w:szCs w:val="24"/>
    </w:rPr>
  </w:style>
  <w:style w:type="character" w:styleId="902">
    <w:name w:val="标题 9 Char"/>
    <w:next w:val="902"/>
    <w:link w:val="884"/>
    <w:rPr>
      <w:rFonts w:ascii="Arial" w:hAnsi="Arial" w:eastAsia="黑体" w:cs="Times New Roman"/>
      <w:szCs w:val="21"/>
    </w:rPr>
  </w:style>
  <w:style w:type="paragraph" w:styleId="903">
    <w:name w:val="列表 3"/>
    <w:basedOn w:val="875"/>
    <w:next w:val="903"/>
    <w:link w:val="875"/>
    <w:pPr>
      <w:ind w:left="100" w:hanging="200"/>
    </w:pPr>
    <w:rPr>
      <w:rFonts w:ascii="Times New Roman" w:hAnsi="Times New Roman" w:eastAsia="宋体" w:cs="Times New Roman"/>
      <w:szCs w:val="21"/>
    </w:rPr>
  </w:style>
  <w:style w:type="paragraph" w:styleId="904">
    <w:name w:val="目录 7"/>
    <w:basedOn w:val="875"/>
    <w:next w:val="875"/>
    <w:link w:val="875"/>
    <w:semiHidden/>
    <w:pPr>
      <w:ind w:left="1260"/>
      <w:jc w:val="left"/>
    </w:pPr>
    <w:rPr>
      <w:rFonts w:ascii="Times New Roman" w:hAnsi="Times New Roman" w:eastAsia="宋体" w:cs="Times New Roman"/>
      <w:szCs w:val="21"/>
    </w:rPr>
  </w:style>
  <w:style w:type="paragraph" w:styleId="905">
    <w:name w:val="文档结构图"/>
    <w:basedOn w:val="875"/>
    <w:next w:val="905"/>
    <w:link w:val="906"/>
    <w:semiHidden/>
    <w:pPr>
      <w:shd w:val="clear" w:color="auto" w:fill="000080"/>
    </w:pPr>
    <w:rPr>
      <w:rFonts w:ascii="Times New Roman" w:hAnsi="Times New Roman" w:eastAsia="宋体" w:cs="Times New Roman"/>
      <w:szCs w:val="21"/>
    </w:rPr>
  </w:style>
  <w:style w:type="character" w:styleId="906">
    <w:name w:val="文档结构图 Char"/>
    <w:next w:val="906"/>
    <w:link w:val="905"/>
    <w:semiHidden/>
    <w:rPr>
      <w:rFonts w:ascii="Times New Roman" w:hAnsi="Times New Roman" w:eastAsia="宋体" w:cs="Times New Roman"/>
      <w:szCs w:val="21"/>
      <w:shd w:val="clear" w:color="auto" w:fill="000080"/>
    </w:rPr>
  </w:style>
  <w:style w:type="paragraph" w:styleId="907">
    <w:name w:val="批注文字"/>
    <w:basedOn w:val="875"/>
    <w:next w:val="907"/>
    <w:link w:val="908"/>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8">
    <w:name w:val="批注文字 字符"/>
    <w:basedOn w:val="885"/>
    <w:next w:val="908"/>
    <w:link w:val="907"/>
    <w:rPr>
      <w:rFonts w:ascii="Calibri" w:hAnsi="Calibri" w:eastAsia="宋体" w:cs="Times New Roman"/>
      <w:sz w:val="21"/>
      <w:szCs w:val="24"/>
    </w:rPr>
  </w:style>
  <w:style w:type="paragraph" w:styleId="909">
    <w:name w:val="正文文本 3"/>
    <w:basedOn w:val="875"/>
    <w:next w:val="909"/>
    <w:link w:val="910"/>
    <w:rPr>
      <w:rFonts w:ascii="仿宋_GB2312" w:hAnsi="Arial" w:eastAsia="仿宋_GB2312" w:cs="Times New Roman"/>
      <w:sz w:val="32"/>
      <w:szCs w:val="32"/>
    </w:rPr>
  </w:style>
  <w:style w:type="character" w:styleId="910">
    <w:name w:val="正文文本 3 Char"/>
    <w:next w:val="910"/>
    <w:link w:val="909"/>
    <w:rPr>
      <w:rFonts w:ascii="仿宋_GB2312" w:hAnsi="Arial" w:eastAsia="仿宋_GB2312" w:cs="Times New Roman"/>
      <w:sz w:val="32"/>
      <w:szCs w:val="32"/>
    </w:rPr>
  </w:style>
  <w:style w:type="paragraph" w:styleId="911">
    <w:name w:val="正文文本"/>
    <w:basedOn w:val="875"/>
    <w:next w:val="911"/>
    <w:link w:val="912"/>
    <w:rPr>
      <w:rFonts w:ascii="楷体_GB2312" w:hAnsi="Arial" w:eastAsia="楷体_GB2312" w:cs="Times New Roman"/>
      <w:sz w:val="28"/>
      <w:szCs w:val="28"/>
    </w:rPr>
  </w:style>
  <w:style w:type="character" w:styleId="912">
    <w:name w:val="正文文本 Char"/>
    <w:next w:val="912"/>
    <w:link w:val="911"/>
    <w:rPr>
      <w:rFonts w:ascii="楷体_GB2312" w:hAnsi="Arial" w:eastAsia="楷体_GB2312" w:cs="Times New Roman"/>
      <w:sz w:val="28"/>
      <w:szCs w:val="28"/>
    </w:rPr>
  </w:style>
  <w:style w:type="paragraph" w:styleId="913">
    <w:name w:val="列表 2"/>
    <w:basedOn w:val="875"/>
    <w:next w:val="913"/>
    <w:link w:val="875"/>
    <w:pPr>
      <w:ind w:left="100" w:hanging="200"/>
    </w:pPr>
    <w:rPr>
      <w:rFonts w:ascii="Times New Roman" w:hAnsi="Times New Roman" w:eastAsia="宋体" w:cs="Times New Roman"/>
      <w:szCs w:val="21"/>
    </w:rPr>
  </w:style>
  <w:style w:type="paragraph" w:styleId="914">
    <w:name w:val="目录 5"/>
    <w:basedOn w:val="875"/>
    <w:next w:val="875"/>
    <w:link w:val="875"/>
    <w:semiHidden/>
    <w:pPr>
      <w:ind w:left="840"/>
      <w:jc w:val="left"/>
    </w:pPr>
    <w:rPr>
      <w:rFonts w:ascii="Times New Roman" w:hAnsi="Times New Roman" w:eastAsia="宋体" w:cs="Times New Roman"/>
      <w:szCs w:val="21"/>
    </w:rPr>
  </w:style>
  <w:style w:type="paragraph" w:styleId="915">
    <w:name w:val="目录 3"/>
    <w:basedOn w:val="875"/>
    <w:next w:val="875"/>
    <w:link w:val="875"/>
    <w:semiHidden/>
    <w:pPr>
      <w:ind w:left="420"/>
      <w:jc w:val="left"/>
    </w:pPr>
    <w:rPr>
      <w:rFonts w:ascii="Times New Roman" w:hAnsi="Times New Roman" w:eastAsia="宋体" w:cs="Times New Roman"/>
      <w:i/>
      <w:iCs/>
      <w:szCs w:val="24"/>
    </w:rPr>
  </w:style>
  <w:style w:type="paragraph" w:styleId="916">
    <w:name w:val="纯文本"/>
    <w:basedOn w:val="875"/>
    <w:next w:val="916"/>
    <w:link w:val="917"/>
    <w:rPr>
      <w:rFonts w:ascii="宋体" w:hAnsi="Courier New" w:eastAsia="宋体" w:cs="Courier New"/>
      <w:szCs w:val="21"/>
    </w:rPr>
  </w:style>
  <w:style w:type="character" w:styleId="917">
    <w:name w:val="纯文本 Char"/>
    <w:next w:val="917"/>
    <w:link w:val="916"/>
    <w:rPr>
      <w:rFonts w:ascii="宋体" w:hAnsi="Courier New" w:eastAsia="宋体" w:cs="Courier New"/>
      <w:szCs w:val="21"/>
    </w:rPr>
  </w:style>
  <w:style w:type="paragraph" w:styleId="918">
    <w:name w:val="目录 8"/>
    <w:basedOn w:val="875"/>
    <w:next w:val="875"/>
    <w:link w:val="875"/>
    <w:semiHidden/>
    <w:pPr>
      <w:ind w:left="1470"/>
      <w:jc w:val="left"/>
    </w:pPr>
    <w:rPr>
      <w:rFonts w:ascii="Times New Roman" w:hAnsi="Times New Roman" w:eastAsia="宋体" w:cs="Times New Roman"/>
      <w:szCs w:val="21"/>
    </w:rPr>
  </w:style>
  <w:style w:type="paragraph" w:styleId="919">
    <w:name w:val="日期"/>
    <w:basedOn w:val="875"/>
    <w:next w:val="875"/>
    <w:link w:val="920"/>
    <w:rPr>
      <w:rFonts w:ascii="Times New Roman" w:hAnsi="Times New Roman" w:eastAsia="宋体" w:cs="Times New Roman"/>
      <w:sz w:val="24"/>
      <w:szCs w:val="24"/>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5"/>
    <w:next w:val="921"/>
    <w:link w:val="922"/>
    <w:pPr>
      <w:ind w:left="630" w:firstLine="645"/>
    </w:pPr>
    <w:rPr>
      <w:rFonts w:ascii="Arial" w:hAnsi="Arial" w:eastAsia="仿宋_GB2312" w:cs="Arial"/>
      <w:sz w:val="32"/>
      <w:szCs w:val="32"/>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5"/>
    <w:next w:val="923"/>
    <w:link w:val="924"/>
    <w:semiHidden/>
    <w:rPr>
      <w:rFonts w:ascii="Times New Roman" w:hAnsi="Times New Roman" w:eastAsia="宋体" w:cs="Times New Roman"/>
      <w:sz w:val="18"/>
      <w:szCs w:val="18"/>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5"/>
    <w:next w:val="925"/>
    <w:link w:val="926"/>
    <w:pPr>
      <w:jc w:val="left"/>
      <w:tabs>
        <w:tab w:val="center" w:pos="4153" w:leader="none"/>
        <w:tab w:val="right" w:pos="8306" w:leader="none"/>
      </w:tabs>
    </w:pPr>
    <w:rPr>
      <w:rFonts w:ascii="Times New Roman" w:hAnsi="Times New Roman" w:eastAsia="宋体" w:cs="Times New Roman"/>
      <w:sz w:val="18"/>
      <w:szCs w:val="18"/>
    </w:rPr>
  </w:style>
  <w:style w:type="character" w:styleId="926">
    <w:name w:val="页脚 Char"/>
    <w:next w:val="926"/>
    <w:link w:val="925"/>
    <w:rPr>
      <w:rFonts w:ascii="Times New Roman" w:hAnsi="Times New Roman" w:eastAsia="宋体" w:cs="Times New Roman"/>
      <w:sz w:val="18"/>
      <w:szCs w:val="18"/>
    </w:rPr>
  </w:style>
  <w:style w:type="paragraph" w:styleId="927">
    <w:name w:val="页眉"/>
    <w:basedOn w:val="875"/>
    <w:next w:val="927"/>
    <w:link w:val="92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8">
    <w:name w:val="页眉 Char"/>
    <w:next w:val="928"/>
    <w:link w:val="927"/>
    <w:rPr>
      <w:rFonts w:ascii="Times New Roman" w:hAnsi="Times New Roman" w:eastAsia="宋体" w:cs="Times New Roman"/>
      <w:sz w:val="18"/>
      <w:szCs w:val="18"/>
    </w:rPr>
  </w:style>
  <w:style w:type="paragraph" w:styleId="929">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0">
    <w:name w:val="目录 4"/>
    <w:basedOn w:val="875"/>
    <w:next w:val="875"/>
    <w:link w:val="875"/>
    <w:semiHidden/>
    <w:pPr>
      <w:ind w:left="630"/>
      <w:jc w:val="left"/>
    </w:pPr>
    <w:rPr>
      <w:rFonts w:ascii="Times New Roman" w:hAnsi="Times New Roman" w:eastAsia="宋体" w:cs="Times New Roman"/>
      <w:szCs w:val="21"/>
    </w:rPr>
  </w:style>
  <w:style w:type="paragraph" w:styleId="931">
    <w:name w:val="列表"/>
    <w:basedOn w:val="875"/>
    <w:next w:val="931"/>
    <w:link w:val="875"/>
    <w:pPr>
      <w:ind w:left="200" w:hanging="200"/>
    </w:pPr>
    <w:rPr>
      <w:rFonts w:ascii="Times New Roman" w:hAnsi="Times New Roman" w:eastAsia="宋体" w:cs="Times New Roman"/>
      <w:szCs w:val="21"/>
    </w:rPr>
  </w:style>
  <w:style w:type="paragraph" w:styleId="932">
    <w:name w:val="目录 6"/>
    <w:basedOn w:val="875"/>
    <w:next w:val="875"/>
    <w:link w:val="875"/>
    <w:semiHidden/>
    <w:pPr>
      <w:ind w:left="1050"/>
      <w:jc w:val="left"/>
    </w:pPr>
    <w:rPr>
      <w:rFonts w:ascii="Times New Roman" w:hAnsi="Times New Roman" w:eastAsia="宋体" w:cs="Times New Roman"/>
      <w:szCs w:val="21"/>
    </w:rPr>
  </w:style>
  <w:style w:type="paragraph" w:styleId="933">
    <w:name w:val="正文文本缩进 3"/>
    <w:basedOn w:val="875"/>
    <w:next w:val="933"/>
    <w:link w:val="934"/>
    <w:pPr>
      <w:ind w:left="645" w:firstLine="645"/>
    </w:pPr>
    <w:rPr>
      <w:rFonts w:ascii="Arial" w:hAnsi="Arial" w:eastAsia="仿宋_GB2312" w:cs="Arial"/>
      <w:color w:val="ffff00"/>
      <w:sz w:val="32"/>
      <w:szCs w:val="32"/>
    </w:rPr>
  </w:style>
  <w:style w:type="character" w:styleId="934">
    <w:name w:val="正文文本缩进 3 Char"/>
    <w:next w:val="934"/>
    <w:link w:val="933"/>
    <w:rPr>
      <w:rFonts w:ascii="Arial" w:hAnsi="Arial" w:eastAsia="仿宋_GB2312" w:cs="Arial"/>
      <w:color w:val="ffff00"/>
      <w:sz w:val="32"/>
      <w:szCs w:val="32"/>
    </w:rPr>
  </w:style>
  <w:style w:type="paragraph" w:styleId="935">
    <w:name w:val="图表目录"/>
    <w:basedOn w:val="875"/>
    <w:next w:val="875"/>
    <w:link w:val="875"/>
    <w:semiHidden/>
    <w:pPr>
      <w:ind w:left="840" w:hanging="420"/>
    </w:pPr>
    <w:rPr>
      <w:rFonts w:ascii="Times New Roman" w:hAnsi="Times New Roman" w:eastAsia="宋体" w:cs="Times New Roman"/>
      <w:szCs w:val="21"/>
    </w:rPr>
  </w:style>
  <w:style w:type="paragraph" w:styleId="936">
    <w:name w:val="目录 2"/>
    <w:basedOn w:val="875"/>
    <w:next w:val="875"/>
    <w:link w:val="875"/>
    <w:semiHidden/>
    <w:pPr>
      <w:ind w:left="210"/>
      <w:jc w:val="left"/>
    </w:pPr>
    <w:rPr>
      <w:rFonts w:ascii="Times New Roman" w:hAnsi="Times New Roman" w:eastAsia="宋体" w:cs="Times New Roman"/>
      <w:smallCaps/>
      <w:szCs w:val="24"/>
    </w:rPr>
  </w:style>
  <w:style w:type="paragraph" w:styleId="937">
    <w:name w:val="目录 9"/>
    <w:basedOn w:val="875"/>
    <w:next w:val="875"/>
    <w:link w:val="875"/>
    <w:semiHidden/>
    <w:pPr>
      <w:ind w:left="1680"/>
      <w:jc w:val="left"/>
    </w:pPr>
    <w:rPr>
      <w:rFonts w:ascii="Times New Roman" w:hAnsi="Times New Roman" w:eastAsia="宋体" w:cs="Times New Roman"/>
      <w:szCs w:val="21"/>
    </w:rPr>
  </w:style>
  <w:style w:type="paragraph" w:styleId="938">
    <w:name w:val="正文文本 2"/>
    <w:basedOn w:val="875"/>
    <w:next w:val="938"/>
    <w:link w:val="939"/>
    <w:pPr>
      <w:jc w:val="center"/>
      <w:widowControl/>
    </w:pPr>
    <w:rPr>
      <w:rFonts w:ascii="楷体_GB2312" w:hAnsi="Times New Roman" w:eastAsia="楷体_GB2312" w:cs="Times New Roman"/>
      <w:sz w:val="28"/>
      <w:szCs w:val="28"/>
    </w:rPr>
  </w:style>
  <w:style w:type="character" w:styleId="939">
    <w:name w:val="正文文本 2 Char"/>
    <w:next w:val="939"/>
    <w:link w:val="938"/>
    <w:rPr>
      <w:rFonts w:ascii="楷体_GB2312" w:hAnsi="Times New Roman" w:eastAsia="楷体_GB2312" w:cs="Times New Roman"/>
      <w:sz w:val="28"/>
      <w:szCs w:val="28"/>
    </w:rPr>
  </w:style>
  <w:style w:type="paragraph" w:styleId="940">
    <w:name w:val="普通(网站)"/>
    <w:basedOn w:val="875"/>
    <w:next w:val="940"/>
    <w:link w:val="875"/>
    <w:uiPriority w:val="99"/>
    <w:pPr>
      <w:jc w:val="left"/>
      <w:spacing w:before="100" w:beforeAutospacing="1" w:after="100" w:afterAutospacing="1"/>
      <w:widowControl/>
    </w:pPr>
    <w:rPr>
      <w:rFonts w:ascii="宋体" w:hAnsi="宋体" w:eastAsia="宋体" w:cs="宋体"/>
      <w:sz w:val="24"/>
      <w:szCs w:val="24"/>
    </w:rPr>
  </w:style>
  <w:style w:type="paragraph" w:styleId="941">
    <w:name w:val="索引 1"/>
    <w:basedOn w:val="875"/>
    <w:next w:val="875"/>
    <w:link w:val="875"/>
    <w:semiHidden/>
    <w:pPr>
      <w:spacing w:line="240" w:lineRule="atLeast"/>
    </w:pPr>
    <w:rPr>
      <w:rFonts w:ascii="Times New Roman" w:hAnsi="Times New Roman" w:eastAsia="宋体" w:cs="Times New Roman"/>
      <w:b/>
      <w:bCs/>
      <w:szCs w:val="21"/>
    </w:rPr>
  </w:style>
  <w:style w:type="paragraph" w:styleId="942">
    <w:name w:val="批注主题"/>
    <w:basedOn w:val="907"/>
    <w:next w:val="907"/>
    <w:link w:val="943"/>
    <w:semiHidden/>
    <w:rPr>
      <w:rFonts w:ascii="Times New Roman" w:hAnsi="Times New Roman" w:eastAsia="宋体" w:cs="Times New Roman"/>
      <w:b/>
      <w:bCs/>
      <w:szCs w:val="21"/>
    </w:rPr>
  </w:style>
  <w:style w:type="character" w:styleId="943">
    <w:name w:val="批注主题 Char"/>
    <w:next w:val="943"/>
    <w:link w:val="942"/>
    <w:semiHidden/>
    <w:rPr>
      <w:rFonts w:ascii="Times New Roman" w:hAnsi="Times New Roman" w:eastAsia="宋体" w:cs="Times New Roman"/>
      <w:b/>
      <w:bCs/>
      <w:szCs w:val="21"/>
    </w:rPr>
  </w:style>
  <w:style w:type="paragraph" w:styleId="944">
    <w:name w:val="正文首行缩进"/>
    <w:basedOn w:val="875"/>
    <w:next w:val="944"/>
    <w:link w:val="945"/>
    <w:pPr>
      <w:ind w:firstLine="200"/>
      <w:spacing w:line="360" w:lineRule="auto"/>
    </w:pPr>
    <w:rPr>
      <w:rFonts w:ascii="仿宋_GB2312" w:hAnsi="Times New Roman" w:eastAsia="仿宋_GB2312" w:cs="Times New Roman"/>
      <w:sz w:val="30"/>
      <w:szCs w:val="30"/>
    </w:rPr>
  </w:style>
  <w:style w:type="character" w:styleId="945">
    <w:name w:val="正文首行缩进 Char"/>
    <w:next w:val="945"/>
    <w:link w:val="944"/>
    <w:rPr>
      <w:rFonts w:ascii="仿宋_GB2312" w:hAnsi="Times New Roman" w:eastAsia="仿宋_GB2312" w:cs="Times New Roman"/>
      <w:sz w:val="30"/>
      <w:szCs w:val="30"/>
    </w:rPr>
  </w:style>
  <w:style w:type="table" w:styleId="946">
    <w:name w:val="网格型"/>
    <w:basedOn w:val="886"/>
    <w:next w:val="946"/>
    <w:link w:val="875"/>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style>
  <w:style w:type="character" w:styleId="949">
    <w:name w:val="已访问的超链接"/>
    <w:next w:val="949"/>
    <w:link w:val="875"/>
    <w:rPr>
      <w:color w:val="800080"/>
      <w:u w:val="single"/>
    </w:rPr>
  </w:style>
  <w:style w:type="character" w:styleId="950">
    <w:name w:val="强调"/>
    <w:next w:val="950"/>
    <w:link w:val="875"/>
    <w:qFormat/>
    <w:rPr>
      <w:i/>
    </w:rPr>
  </w:style>
  <w:style w:type="character" w:styleId="951">
    <w:name w:val="超链接"/>
    <w:basedOn w:val="885"/>
    <w:next w:val="951"/>
    <w:link w:val="875"/>
    <w:rPr>
      <w:color w:val="0000ff"/>
      <w:u w:val="single"/>
    </w:rPr>
  </w:style>
  <w:style w:type="character" w:styleId="952">
    <w:name w:val="批注引用"/>
    <w:next w:val="952"/>
    <w:link w:val="875"/>
    <w:semiHidden/>
    <w:rPr>
      <w:sz w:val="21"/>
      <w:szCs w:val="21"/>
    </w:rPr>
  </w:style>
  <w:style w:type="character" w:styleId="953">
    <w:name w:val="批注文字 Char"/>
    <w:basedOn w:val="885"/>
    <w:next w:val="953"/>
    <w:link w:val="907"/>
    <w:uiPriority w:val="99"/>
    <w:semiHidden/>
  </w:style>
  <w:style w:type="paragraph" w:styleId="954">
    <w:name w:val="索引 41"/>
    <w:basedOn w:val="875"/>
    <w:next w:val="875"/>
    <w:link w:val="875"/>
    <w:semiHidden/>
    <w:qFormat/>
    <w:pPr>
      <w:ind w:left="1260"/>
    </w:pPr>
    <w:rPr>
      <w:rFonts w:ascii="Calibri" w:hAnsi="Calibri" w:eastAsia="Calibri" w:cs="宋体"/>
      <w:sz w:val="20"/>
      <w:lang w:val="zh-CN"/>
    </w:rPr>
  </w:style>
  <w:style w:type="character" w:styleId="955">
    <w:name w:val="font5 Char"/>
    <w:next w:val="955"/>
    <w:link w:val="875"/>
    <w:rPr>
      <w:rFonts w:ascii="宋体" w:hAnsi="宋体" w:eastAsia="宋体"/>
      <w:sz w:val="28"/>
      <w:szCs w:val="28"/>
      <w:lang w:val="en-US" w:eastAsia="zh-CN" w:bidi="ar-SA"/>
    </w:rPr>
  </w:style>
  <w:style w:type="character" w:styleId="956">
    <w:name w:val="二级目录 Char"/>
    <w:next w:val="956"/>
    <w:link w:val="957"/>
    <w:rPr>
      <w:b/>
      <w:sz w:val="30"/>
      <w:szCs w:val="28"/>
    </w:rPr>
  </w:style>
  <w:style w:type="paragraph" w:styleId="957">
    <w:name w:val="二级目录"/>
    <w:next w:val="875"/>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5"/>
    <w:next w:val="959"/>
    <w:link w:val="958"/>
    <w:qFormat/>
    <w:pPr>
      <w:contextualSpacing/>
      <w:ind w:left="720"/>
      <w:jc w:val="left"/>
      <w:widowControl/>
    </w:pPr>
    <w:rPr>
      <w:rFonts w:ascii="Calibri" w:hAnsi="Calibri"/>
      <w:sz w:val="24"/>
      <w:szCs w:val="24"/>
      <w:lang w:eastAsia="en-US" w:bidi="en-US"/>
    </w:rPr>
  </w:style>
  <w:style w:type="paragraph" w:styleId="960">
    <w:name w:val="Body Text(ch)"/>
    <w:basedOn w:val="875"/>
    <w:next w:val="911"/>
    <w:link w:val="875"/>
    <w:pPr>
      <w:spacing w:after="120"/>
    </w:pPr>
    <w:rPr>
      <w:rFonts w:ascii="宋体" w:hAnsi="Arial" w:eastAsia="宋体" w:cs="Times New Roman"/>
      <w:bCs/>
      <w:iCs/>
      <w:szCs w:val="24"/>
    </w:rPr>
  </w:style>
  <w:style w:type="paragraph" w:styleId="961">
    <w:name w:val="xl27"/>
    <w:basedOn w:val="875"/>
    <w:next w:val="961"/>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xl26"/>
    <w:basedOn w:val="875"/>
    <w:next w:val="962"/>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Char"/>
    <w:basedOn w:val="875"/>
    <w:next w:val="963"/>
    <w:link w:val="875"/>
    <w:pPr>
      <w:ind w:firstLine="200"/>
      <w:tabs>
        <w:tab w:val="left" w:pos="360" w:leader="none"/>
      </w:tabs>
    </w:pPr>
    <w:rPr>
      <w:rFonts w:ascii="Times New Roman" w:hAnsi="Times New Roman" w:eastAsia="宋体" w:cs="Times New Roman"/>
      <w:sz w:val="28"/>
      <w:szCs w:val="30"/>
    </w:rPr>
  </w:style>
  <w:style w:type="paragraph" w:styleId="964">
    <w:name w:val=" Char"/>
    <w:basedOn w:val="905"/>
    <w:next w:val="964"/>
    <w:link w:val="875"/>
    <w:rPr>
      <w:rFonts w:ascii="Tahoma" w:hAnsi="Tahoma"/>
      <w:sz w:val="24"/>
      <w:szCs w:val="24"/>
    </w:rPr>
  </w:style>
  <w:style w:type="paragraph" w:styleId="965">
    <w:name w:val="普通正文"/>
    <w:basedOn w:val="875"/>
    <w:next w:val="965"/>
    <w:link w:val="875"/>
    <w:pPr>
      <w:ind w:firstLine="480"/>
      <w:jc w:val="left"/>
      <w:spacing w:before="120" w:after="120" w:line="360" w:lineRule="auto"/>
    </w:pPr>
    <w:rPr>
      <w:rFonts w:ascii="Arial" w:hAnsi="Arial" w:eastAsia="宋体" w:cs="Times New Roman"/>
      <w:sz w:val="24"/>
      <w:szCs w:val="24"/>
    </w:rPr>
  </w:style>
  <w:style w:type="paragraph" w:styleId="966">
    <w:name w:val="table_lines"/>
    <w:basedOn w:val="875"/>
    <w:next w:val="966"/>
    <w:link w:val="875"/>
    <w:pPr>
      <w:jc w:val="left"/>
      <w:widowControl/>
    </w:pPr>
    <w:rPr>
      <w:rFonts w:ascii="Times New Roman" w:hAnsi="Times New Roman" w:eastAsia="宋体" w:cs="Times New Roman"/>
      <w:sz w:val="20"/>
      <w:szCs w:val="20"/>
      <w:lang w:val="de-DE" w:eastAsia="de-DE"/>
    </w:rPr>
  </w:style>
  <w:style w:type="paragraph" w:styleId="967">
    <w:name w:val="附录1"/>
    <w:next w:val="967"/>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75"/>
    <w:next w:val="968"/>
    <w:link w:val="875"/>
    <w:pPr>
      <w:jc w:val="left"/>
      <w:spacing w:before="100" w:beforeAutospacing="1" w:after="100" w:afterAutospacing="1"/>
      <w:widowControl/>
    </w:pPr>
    <w:rPr>
      <w:rFonts w:hint="eastAsia" w:ascii="宋体" w:hAnsi="宋体" w:eastAsia="宋体" w:cs="Times New Roman"/>
      <w:sz w:val="18"/>
      <w:szCs w:val="18"/>
    </w:rPr>
  </w:style>
  <w:style w:type="paragraph" w:styleId="969">
    <w:name w:val=" Char Char Char Char"/>
    <w:basedOn w:val="905"/>
    <w:next w:val="969"/>
    <w:link w:val="875"/>
    <w:pPr>
      <w:spacing w:line="360" w:lineRule="auto"/>
    </w:pPr>
    <w:rPr>
      <w:rFonts w:ascii="Tahoma" w:hAnsi="Tahoma"/>
      <w:sz w:val="24"/>
      <w:szCs w:val="24"/>
    </w:rPr>
  </w:style>
  <w:style w:type="paragraph" w:styleId="970">
    <w:name w:val="列出段落"/>
    <w:basedOn w:val="875"/>
    <w:next w:val="970"/>
    <w:link w:val="875"/>
    <w:qFormat/>
    <w:pPr>
      <w:contextualSpacing/>
      <w:ind w:left="720"/>
      <w:jc w:val="left"/>
      <w:widowControl/>
    </w:pPr>
    <w:rPr>
      <w:rFonts w:ascii="Calibri" w:hAnsi="Calibri" w:eastAsia="宋体" w:cs="Times New Roman"/>
      <w:sz w:val="24"/>
      <w:szCs w:val="24"/>
      <w:lang w:eastAsia="en-US" w:bidi="en-US"/>
    </w:rPr>
  </w:style>
  <w:style w:type="paragraph" w:styleId="971">
    <w:name w:val="4"/>
    <w:basedOn w:val="875"/>
    <w:next w:val="933"/>
    <w:link w:val="875"/>
    <w:pPr>
      <w:ind w:firstLine="420"/>
      <w:spacing w:line="360" w:lineRule="auto"/>
    </w:pPr>
    <w:rPr>
      <w:rFonts w:ascii="Times New Roman" w:hAnsi="Times New Roman" w:eastAsia="宋体" w:cs="Times New Roman"/>
      <w:color w:val="ff0000"/>
      <w:sz w:val="24"/>
      <w:szCs w:val="24"/>
    </w:rPr>
  </w:style>
  <w:style w:type="paragraph" w:styleId="972">
    <w:name w:val="普通 (Web)"/>
    <w:basedOn w:val="875"/>
    <w:next w:val="972"/>
    <w:link w:val="875"/>
    <w:pPr>
      <w:jc w:val="left"/>
      <w:spacing w:before="100" w:beforeAutospacing="1" w:after="100" w:afterAutospacing="1"/>
      <w:widowControl/>
    </w:pPr>
    <w:rPr>
      <w:rFonts w:ascii="宋体" w:hAnsi="宋体" w:eastAsia="宋体" w:cs="Times New Roman"/>
      <w:sz w:val="24"/>
      <w:szCs w:val="24"/>
    </w:rPr>
  </w:style>
  <w:style w:type="paragraph" w:styleId="973">
    <w:name w:val=" Char Char Char Char Char Char Char Char Char Char"/>
    <w:basedOn w:val="875"/>
    <w:next w:val="973"/>
    <w:link w:val="875"/>
    <w:pPr>
      <w:spacing w:line="360" w:lineRule="auto"/>
    </w:pPr>
    <w:rPr>
      <w:rFonts w:ascii="Times New Roman" w:hAnsi="Times New Roman" w:eastAsia="宋体" w:cs="Times New Roman"/>
      <w:sz w:val="24"/>
      <w:szCs w:val="20"/>
    </w:rPr>
  </w:style>
  <w:style w:type="paragraph" w:styleId="974">
    <w:name w:val="样式1"/>
    <w:basedOn w:val="875"/>
    <w:next w:val="974"/>
    <w:link w:val="875"/>
    <w:pPr>
      <w:numPr>
        <w:ilvl w:val="0"/>
        <w:numId w:val="3"/>
      </w:numPr>
      <w:tabs>
        <w:tab w:val="left" w:pos="709" w:leader="none"/>
      </w:tabs>
    </w:pPr>
    <w:rPr>
      <w:rFonts w:ascii="宋体" w:hAnsi="宋体" w:eastAsia="宋体" w:cs="Times New Roman"/>
      <w:szCs w:val="21"/>
    </w:rPr>
  </w:style>
  <w:style w:type="paragraph" w:styleId="975">
    <w:name w:val="font6"/>
    <w:basedOn w:val="875"/>
    <w:next w:val="975"/>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name w:val="xl25"/>
    <w:basedOn w:val="875"/>
    <w:next w:val="976"/>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9">
    <w:name w:val="xl24"/>
    <w:basedOn w:val="875"/>
    <w:next w:val="979"/>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xl29"/>
    <w:basedOn w:val="875"/>
    <w:next w:val="980"/>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name w:val="Char Char Char Char Char Char Char Char"/>
    <w:basedOn w:val="875"/>
    <w:next w:val="981"/>
    <w:link w:val="875"/>
    <w:pPr>
      <w:jc w:val="left"/>
      <w:spacing w:after="160" w:line="240" w:lineRule="exact"/>
      <w:widowControl/>
    </w:pPr>
    <w:rPr>
      <w:rFonts w:ascii="Verdana" w:hAnsi="Verdana" w:eastAsia="宋体" w:cs="Times New Roman"/>
      <w:sz w:val="20"/>
      <w:szCs w:val="20"/>
      <w:lang w:eastAsia="en-US"/>
    </w:rPr>
  </w:style>
  <w:style w:type="paragraph" w:styleId="982">
    <w:name w:val="xl28"/>
    <w:basedOn w:val="875"/>
    <w:next w:val="982"/>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name w:val=" Char Char Char Char Char Char Char Char"/>
    <w:basedOn w:val="875"/>
    <w:next w:val="983"/>
    <w:link w:val="875"/>
    <w:pPr>
      <w:jc w:val="left"/>
      <w:spacing w:after="160" w:line="240" w:lineRule="exact"/>
      <w:widowControl/>
    </w:pPr>
    <w:rPr>
      <w:rFonts w:ascii="Verdana" w:hAnsi="Verdana" w:eastAsia="宋体" w:cs="Times New Roman"/>
      <w:sz w:val="20"/>
      <w:szCs w:val="20"/>
      <w:lang w:eastAsia="en-US"/>
    </w:rPr>
  </w:style>
  <w:style w:type="paragraph" w:styleId="984">
    <w:name w:val="xl30"/>
    <w:basedOn w:val="875"/>
    <w:next w:val="984"/>
    <w:link w:val="875"/>
    <w:pPr>
      <w:jc w:val="center"/>
      <w:spacing w:before="100" w:beforeAutospacing="1" w:after="100" w:afterAutospacing="1"/>
      <w:widowControl/>
    </w:pPr>
    <w:rPr>
      <w:rFonts w:ascii="宋体" w:hAnsi="宋体" w:eastAsia="宋体" w:cs="Times New Roman"/>
      <w:b/>
      <w:bCs/>
      <w:sz w:val="36"/>
      <w:szCs w:val="36"/>
    </w:rPr>
  </w:style>
  <w:style w:type="paragraph" w:styleId="985">
    <w:name w:val="Char Char Char Char"/>
    <w:basedOn w:val="905"/>
    <w:next w:val="985"/>
    <w:link w:val="875"/>
    <w:pPr>
      <w:spacing w:line="360" w:lineRule="auto"/>
    </w:pPr>
    <w:rPr>
      <w:rFonts w:ascii="Tahoma" w:hAnsi="Tahoma"/>
      <w:sz w:val="24"/>
      <w:szCs w:val="24"/>
    </w:rPr>
  </w:style>
  <w:style w:type="paragraph" w:styleId="986">
    <w:name w:val="table_1stline"/>
    <w:basedOn w:val="875"/>
    <w:next w:val="986"/>
    <w:link w:val="875"/>
    <w:pPr>
      <w:jc w:val="left"/>
      <w:spacing w:before="120"/>
      <w:widowControl/>
    </w:pPr>
    <w:rPr>
      <w:rFonts w:ascii="Times New Roman" w:hAnsi="Times New Roman" w:eastAsia="宋体" w:cs="Times New Roman"/>
      <w:bCs/>
      <w:sz w:val="20"/>
      <w:szCs w:val="20"/>
      <w:lang w:val="de-DE" w:eastAsia="de-DE"/>
    </w:rPr>
  </w:style>
  <w:style w:type="paragraph" w:styleId="987">
    <w:name w:val="font5"/>
    <w:basedOn w:val="875"/>
    <w:next w:val="987"/>
    <w:link w:val="875"/>
    <w:pPr>
      <w:jc w:val="left"/>
      <w:spacing w:before="100" w:beforeAutospacing="1" w:after="100" w:afterAutospacing="1"/>
      <w:widowControl/>
    </w:pPr>
    <w:rPr>
      <w:rFonts w:hint="eastAsia" w:ascii="宋体" w:hAnsi="宋体" w:eastAsia="宋体" w:cs="Times New Roman"/>
      <w:sz w:val="28"/>
      <w:szCs w:val="28"/>
    </w:rPr>
  </w:style>
  <w:style w:type="paragraph" w:styleId="988">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name w:val="修订"/>
    <w:next w:val="989"/>
    <w:link w:val="875"/>
    <w:uiPriority w:val="99"/>
    <w:semiHidden/>
    <w:rPr>
      <w:rFonts w:ascii="Times New Roman" w:hAnsi="Times New Roman"/>
      <w:sz w:val="21"/>
      <w:szCs w:val="21"/>
      <w:lang w:val="en-US" w:eastAsia="zh-CN" w:bidi="ar-SA"/>
    </w:rPr>
  </w:style>
  <w:style w:type="paragraph" w:styleId="990">
    <w:name w:val="无间隔"/>
    <w:next w:val="990"/>
    <w:link w:val="875"/>
    <w:uiPriority w:val="99"/>
    <w:qFormat/>
    <w:pPr>
      <w:jc w:val="both"/>
      <w:widowControl w:val="off"/>
    </w:pPr>
    <w:rPr>
      <w:rFonts w:ascii="Times New Roman" w:hAnsi="Times New Roman"/>
      <w:sz w:val="21"/>
      <w:szCs w:val="21"/>
      <w:lang w:val="en-US" w:eastAsia="zh-CN" w:bidi="ar-SA"/>
    </w:rPr>
  </w:style>
  <w:style w:type="table" w:styleId="991">
    <w:name w:val="Table Normal"/>
    <w:next w:val="991"/>
    <w:link w:val="875"/>
    <w:qFormat/>
    <w:tblPr/>
  </w:style>
  <w:style w:type="paragraph" w:styleId="992">
    <w:name w:val="正文文本12"/>
    <w:basedOn w:val="875"/>
    <w:next w:val="992"/>
    <w:link w:val="875"/>
    <w:uiPriority w:val="1"/>
    <w:qFormat/>
    <w:pPr>
      <w:ind w:left="120"/>
    </w:pPr>
    <w:rPr>
      <w:rFonts w:ascii="宋体" w:hAnsi="宋体" w:eastAsia="宋体" w:cs="宋体"/>
      <w:sz w:val="21"/>
      <w:szCs w:val="21"/>
      <w:lang w:val="zh-CN" w:eastAsia="zh-CN" w:bidi="zh-CN"/>
    </w:rPr>
  </w:style>
  <w:style w:type="paragraph" w:styleId="993">
    <w:name w:val="正文文本 211"/>
    <w:basedOn w:val="875"/>
    <w:next w:val="993"/>
    <w:link w:val="875"/>
    <w:uiPriority w:val="99"/>
    <w:qFormat/>
    <w:pPr>
      <w:jc w:val="center"/>
    </w:pPr>
    <w:rPr>
      <w:b/>
      <w:bCs/>
      <w:sz w:val="20"/>
      <w:szCs w:val="20"/>
    </w:rPr>
  </w:style>
  <w:style w:type="paragraph" w:styleId="994">
    <w:name w:val="正文文本1"/>
    <w:basedOn w:val="875"/>
    <w:next w:val="875"/>
    <w:link w:val="875"/>
    <w:semiHidden/>
    <w:qFormat/>
    <w:rPr>
      <w:rFonts w:ascii="Arial" w:hAnsi="Arial" w:eastAsia="Arial" w:cs="Arial"/>
      <w:sz w:val="21"/>
      <w:szCs w:val="21"/>
      <w:lang w:val="en-US" w:eastAsia="en-US" w:bidi="ar-SA"/>
    </w:rPr>
  </w:style>
  <w:style w:type="paragraph" w:styleId="995">
    <w:name w:val="Table Paragraph"/>
    <w:basedOn w:val="875"/>
    <w:next w:val="995"/>
    <w:link w:val="875"/>
    <w:uiPriority w:val="1"/>
    <w:qFormat/>
    <w:pPr>
      <w:jc w:val="left"/>
    </w:pPr>
    <w:rPr>
      <w:rFonts w:ascii="宋体" w:hAnsi="宋体" w:eastAsia="宋体" w:cs="宋体"/>
      <w:sz w:val="22"/>
      <w:szCs w:val="22"/>
      <w:lang w:val="zh-CN" w:bidi="zh-CN"/>
    </w:rPr>
  </w:style>
  <w:style w:type="table" w:styleId="996">
    <w:name w:val="网格型1"/>
    <w:basedOn w:val="997"/>
    <w:next w:val="996"/>
    <w:link w:val="875"/>
    <w:qFormat/>
    <w:pPr>
      <w:jc w:val="both"/>
      <w:widowControl w:val="off"/>
    </w:pPr>
    <w:tblPr/>
  </w:style>
  <w:style w:type="table" w:styleId="997">
    <w:name w:val="普通表格1"/>
    <w:next w:val="997"/>
    <w:link w:val="875"/>
    <w:uiPriority w:val="99"/>
    <w:unhideWhenUsed/>
    <w:qFormat/>
    <w:tblPr/>
  </w:style>
  <w:style w:type="paragraph" w:styleId="998">
    <w:name w:val="正文文本缩进1"/>
    <w:basedOn w:val="875"/>
    <w:next w:val="999"/>
    <w:link w:val="875"/>
    <w:unhideWhenUsed/>
    <w:qFormat/>
    <w:pPr>
      <w:ind w:left="420"/>
      <w:spacing w:after="120"/>
    </w:pPr>
  </w:style>
  <w:style w:type="paragraph" w:styleId="999">
    <w:name w:val="正文文本首行缩进 2"/>
    <w:basedOn w:val="998"/>
    <w:next w:val="999"/>
    <w:link w:val="875"/>
    <w:qFormat/>
    <w:pPr>
      <w:ind w:left="0" w:firstLine="420"/>
      <w:spacing w:after="0" w:line="360" w:lineRule="auto"/>
    </w:pPr>
    <w:rPr>
      <w:rFonts w:ascii="宋体" w:hAnsi="宋体"/>
      <w:sz w:val="20"/>
      <w:szCs w:val="20"/>
      <w:lang w:val="en-US" w:eastAsia="en-US"/>
    </w:rPr>
  </w:style>
  <w:style w:type="table" w:styleId="1000">
    <w:name w:val="Table Normal_0"/>
    <w:next w:val="1000"/>
    <w:link w:val="875"/>
    <w:qFormat/>
    <w:tblPr/>
  </w:style>
  <w:style w:type="paragraph" w:styleId="1001">
    <w:name w:val="正文首行缩进 211"/>
    <w:basedOn w:val="1002"/>
    <w:next w:val="875"/>
    <w:link w:val="875"/>
    <w:qFormat/>
    <w:pPr>
      <w:ind w:left="0" w:firstLine="420"/>
      <w:spacing w:after="0" w:line="360" w:lineRule="auto"/>
    </w:pPr>
    <w:rPr>
      <w:rFonts w:ascii="宋体" w:hAnsi="宋体" w:eastAsia="宋体" w:cs="Times New Roman"/>
      <w:szCs w:val="20"/>
    </w:rPr>
  </w:style>
  <w:style w:type="paragraph" w:styleId="1002">
    <w:name w:val="正文文本缩进11"/>
    <w:basedOn w:val="875"/>
    <w:next w:val="1003"/>
    <w:link w:val="875"/>
    <w:unhideWhenUsed/>
    <w:qFormat/>
    <w:pPr>
      <w:ind w:left="420"/>
      <w:spacing w:after="120"/>
    </w:pPr>
  </w:style>
  <w:style w:type="paragraph" w:styleId="1003">
    <w:name w:val="寄信人地址1"/>
    <w:basedOn w:val="875"/>
    <w:next w:val="1003"/>
    <w:link w:val="875"/>
    <w:qFormat/>
    <w:rPr>
      <w:rFonts w:ascii="Arial" w:hAnsi="Arial" w:eastAsia="宋体" w:cs="宋体"/>
    </w:rPr>
  </w:style>
  <w:style w:type="paragraph" w:styleId="1004">
    <w:name w:val="正文1"/>
    <w:basedOn w:val="875"/>
    <w:next w:val="1004"/>
    <w:link w:val="875"/>
    <w:qFormat/>
    <w:pPr>
      <w:ind w:left="350" w:firstLine="0"/>
    </w:pPr>
    <w:rPr>
      <w:rFonts w:cs="Times New Roman"/>
      <w:sz w:val="20"/>
      <w:szCs w:val="24"/>
    </w:rPr>
  </w:style>
  <w:style w:type="character" w:styleId="1005">
    <w:name w:val="font31"/>
    <w:basedOn w:val="885"/>
    <w:next w:val="1005"/>
    <w:link w:val="875"/>
    <w:rPr>
      <w:rFonts w:ascii="方正仿宋_GB2312" w:hAnsi="方正仿宋_GB2312" w:eastAsia="方正仿宋_GB2312" w:cs="方正仿宋_GB2312"/>
      <w:i w:val="0"/>
      <w:iCs w:val="0"/>
      <w:color w:val="ff0000"/>
      <w:sz w:val="20"/>
      <w:szCs w:val="20"/>
      <w:u w:val="none"/>
    </w:rPr>
  </w:style>
  <w:style w:type="character" w:styleId="1006">
    <w:name w:val="font61"/>
    <w:basedOn w:val="885"/>
    <w:next w:val="1006"/>
    <w:link w:val="875"/>
    <w:rPr>
      <w:rFonts w:ascii="Microsoft YaHei UI" w:hAnsi="Microsoft YaHei UI" w:eastAsia="Microsoft YaHei UI" w:cs="Microsoft YaHei UI"/>
      <w:i w:val="0"/>
      <w:iCs w:val="0"/>
      <w:color w:val="ff0000"/>
      <w:sz w:val="20"/>
      <w:szCs w:val="20"/>
      <w:u w:val="none"/>
    </w:rPr>
  </w:style>
  <w:style w:type="character" w:styleId="1007">
    <w:name w:val="font91"/>
    <w:basedOn w:val="885"/>
    <w:next w:val="1007"/>
    <w:link w:val="875"/>
    <w:rPr>
      <w:rFonts w:hint="eastAsia" w:ascii="宋体" w:hAnsi="宋体" w:eastAsia="宋体" w:cs="宋体"/>
      <w:i w:val="0"/>
      <w:iCs w:val="0"/>
      <w:color w:val="ff0000"/>
      <w:sz w:val="20"/>
      <w:szCs w:val="20"/>
      <w:u w:val="none"/>
    </w:rPr>
  </w:style>
  <w:style w:type="character" w:styleId="1008">
    <w:name w:val="font101"/>
    <w:basedOn w:val="885"/>
    <w:next w:val="1008"/>
    <w:link w:val="875"/>
    <w:rPr>
      <w:rFonts w:ascii="Calibri" w:hAnsi="Calibri" w:cs="Calibri"/>
      <w:i w:val="0"/>
      <w:iCs w:val="0"/>
      <w:color w:val="ff0000"/>
      <w:sz w:val="20"/>
      <w:szCs w:val="20"/>
      <w:u w:val="none"/>
    </w:rPr>
  </w:style>
  <w:style w:type="character" w:styleId="1009">
    <w:name w:val="font51"/>
    <w:basedOn w:val="885"/>
    <w:next w:val="1009"/>
    <w:link w:val="875"/>
    <w:rPr>
      <w:rFonts w:hint="eastAsia" w:ascii="宋体" w:hAnsi="宋体" w:eastAsia="宋体" w:cs="宋体"/>
      <w:i w:val="0"/>
      <w:iCs w:val="0"/>
      <w:color w:val="000000"/>
      <w:sz w:val="20"/>
      <w:szCs w:val="20"/>
      <w:u w:val="none"/>
    </w:rPr>
  </w:style>
  <w:style w:type="character" w:styleId="1010">
    <w:name w:val="font71"/>
    <w:basedOn w:val="885"/>
    <w:next w:val="1010"/>
    <w:link w:val="875"/>
    <w:rPr>
      <w:rFonts w:hint="eastAsia" w:ascii="宋体" w:hAnsi="宋体" w:eastAsia="宋体" w:cs="宋体"/>
      <w:b/>
      <w:bCs/>
      <w:i w:val="0"/>
      <w:iCs w:val="0"/>
      <w:color w:val="000000"/>
      <w:sz w:val="20"/>
      <w:szCs w:val="20"/>
      <w:u w:val="none"/>
    </w:rPr>
  </w:style>
  <w:style w:type="character" w:styleId="1011">
    <w:name w:val="font21"/>
    <w:basedOn w:val="885"/>
    <w:next w:val="1011"/>
    <w:link w:val="875"/>
    <w:rPr>
      <w:rFonts w:ascii="方正仿宋_GB2312" w:hAnsi="方正仿宋_GB2312" w:eastAsia="方正仿宋_GB2312" w:cs="方正仿宋_GB2312"/>
      <w:i w:val="0"/>
      <w:iCs w:val="0"/>
      <w:color w:val="000000"/>
      <w:sz w:val="20"/>
      <w:szCs w:val="20"/>
      <w:u w:val="none"/>
    </w:rPr>
  </w:style>
  <w:style w:type="character" w:styleId="1012">
    <w:name w:val="font112"/>
    <w:basedOn w:val="885"/>
    <w:next w:val="1012"/>
    <w:link w:val="875"/>
    <w:rPr>
      <w:rFonts w:ascii="Microsoft YaHei UI" w:hAnsi="Microsoft YaHei UI" w:eastAsia="Microsoft YaHei UI" w:cs="Microsoft YaHei UI"/>
      <w:i w:val="0"/>
      <w:iCs w:val="0"/>
      <w:color w:val="000000"/>
      <w:sz w:val="20"/>
      <w:szCs w:val="20"/>
      <w:u w:val="none"/>
    </w:rPr>
  </w:style>
  <w:style w:type="character" w:styleId="1013">
    <w:name w:val="font121"/>
    <w:basedOn w:val="885"/>
    <w:next w:val="1013"/>
    <w:link w:val="875"/>
    <w:rPr>
      <w:rFonts w:ascii="Calibri" w:hAnsi="Calibri" w:cs="Calibri"/>
      <w:i w:val="0"/>
      <w:iCs w:val="0"/>
      <w:color w:val="000000"/>
      <w:sz w:val="20"/>
      <w:szCs w:val="20"/>
      <w:u w:val="none"/>
    </w:rPr>
  </w:style>
  <w:style w:type="character" w:styleId="1014">
    <w:name w:val="font11"/>
    <w:next w:val="1014"/>
    <w:link w:val="875"/>
    <w:qFormat/>
    <w:rPr>
      <w:rFonts w:hint="eastAsia" w:ascii="等线" w:hAnsi="等线" w:eastAsia="等线" w:cs="等线"/>
      <w:color w:val="000000"/>
      <w:sz w:val="22"/>
      <w:szCs w:val="22"/>
      <w:u w:val="none"/>
    </w:rPr>
  </w:style>
  <w:style w:type="paragraph" w:styleId="1015">
    <w:name w:val="Table Text"/>
    <w:basedOn w:val="875"/>
    <w:next w:val="1015"/>
    <w:link w:val="875"/>
    <w:semiHidden/>
    <w:qFormat/>
    <w:rPr>
      <w:rFonts w:ascii="FangSong_GB2312" w:hAnsi="FangSong_GB2312" w:eastAsia="FangSong_GB2312" w:cs="FangSong_GB2312"/>
      <w:sz w:val="24"/>
      <w:szCs w:val="24"/>
      <w:lang w:val="en-US" w:eastAsia="en-US" w:bidi="ar-SA"/>
    </w:rPr>
  </w:style>
  <w:style w:type="character" w:styleId="1016" w:default="1">
    <w:name w:val="Default Paragraph Font"/>
    <w:uiPriority w:val="1"/>
    <w:semiHidden/>
    <w:unhideWhenUsed/>
  </w:style>
  <w:style w:type="numbering" w:styleId="1017" w:default="1">
    <w:name w:val="No List"/>
    <w:uiPriority w:val="99"/>
    <w:semiHidden/>
    <w:unhideWhenUsed/>
  </w:style>
  <w:style w:type="table" w:styleId="10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6</cp:revision>
  <dcterms:created xsi:type="dcterms:W3CDTF">2023-03-16T02:13:00Z</dcterms:created>
  <dcterms:modified xsi:type="dcterms:W3CDTF">2026-09-23T08:49:00Z</dcterms:modified>
</cp:coreProperties>
</file>