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微软雅黑" w:hAnsi="微软雅黑" w:cs="微软雅黑"/>
          <w:sz w:val="52"/>
          <w:szCs w:val="52"/>
        </w:rPr>
      </w:pPr>
      <w:r>
        <w:rPr>
          <w:rFonts w:hint="eastAsia" w:ascii="微软雅黑" w:hAnsi="微软雅黑" w:cs="微软雅黑"/>
          <w:sz w:val="52"/>
          <w:szCs w:val="52"/>
        </w:rPr>
      </w:r>
      <w:r/>
    </w:p>
    <w:p>
      <w:pPr>
        <w:rPr>
          <w:rFonts w:hint="eastAsia" w:ascii="微软雅黑" w:hAnsi="微软雅黑" w:cs="微软雅黑"/>
          <w:sz w:val="52"/>
          <w:szCs w:val="52"/>
        </w:rPr>
      </w:pPr>
      <w:r>
        <w:rPr>
          <w:rFonts w:hint="eastAsia" w:ascii="微软雅黑" w:hAnsi="微软雅黑" w:cs="微软雅黑"/>
          <w:sz w:val="52"/>
          <w:szCs w:val="52"/>
        </w:rPr>
      </w:r>
      <w:r/>
    </w:p>
    <w:p>
      <w:pPr>
        <w:jc w:val="center"/>
        <w:rPr>
          <w:rFonts w:hint="eastAsia" w:ascii="微软雅黑" w:hAnsi="微软雅黑" w:cs="微软雅黑"/>
          <w:b/>
          <w:bCs/>
          <w:sz w:val="84"/>
          <w:szCs w:val="84"/>
        </w:rPr>
      </w:pPr>
      <w:r/>
      <w:bookmarkStart w:id="0" w:name="_Toc19040"/>
      <w:r/>
      <w:bookmarkStart w:id="1" w:name="__第一章_公开招标公告"/>
      <w:r/>
      <w:bookmarkStart w:id="2" w:name="_Toc452384169"/>
      <w:r>
        <w:rPr>
          <w:rFonts w:hint="eastAsia" w:ascii="微软雅黑" w:hAnsi="微软雅黑" w:cs="微软雅黑"/>
          <w:sz w:val="84"/>
          <w:szCs w:val="84"/>
        </w:rPr>
        <w:t xml:space="preserve">采购文件</w:t>
      </w:r>
      <w:r/>
    </w:p>
    <w:p>
      <w:pPr>
        <w:jc w:val="center"/>
        <w:rPr>
          <w:rFonts w:hint="eastAsia" w:ascii="微软雅黑" w:hAnsi="微软雅黑" w:cs="微软雅黑"/>
          <w:sz w:val="52"/>
          <w:szCs w:val="52"/>
        </w:rPr>
      </w:pPr>
      <w:r>
        <w:rPr>
          <w:rFonts w:hint="eastAsia" w:ascii="微软雅黑" w:hAnsi="微软雅黑" w:cs="微软雅黑"/>
          <w:sz w:val="52"/>
          <w:szCs w:val="52"/>
        </w:rPr>
        <w:t xml:space="preserve">（公开招标）</w:t>
      </w:r>
      <w:r/>
    </w:p>
    <w:p>
      <w:pPr>
        <w:rPr>
          <w:rStyle w:val="1422"/>
          <w:rFonts w:hint="eastAsia" w:ascii="微软雅黑" w:hAnsi="微软雅黑" w:cs="微软雅黑"/>
          <w:color w:val="auto"/>
        </w:rPr>
      </w:pPr>
      <w:r>
        <w:rPr>
          <w:rFonts w:hint="eastAsia" w:ascii="微软雅黑" w:hAnsi="微软雅黑" w:cs="微软雅黑"/>
          <w:color w:val="auto"/>
        </w:rPr>
      </w:r>
      <w:r/>
    </w:p>
    <w:p>
      <w:pPr>
        <w:jc w:val="left"/>
        <w:rPr>
          <w:rFonts w:hint="eastAsia" w:ascii="微软雅黑" w:hAnsi="微软雅黑" w:cs="微软雅黑"/>
          <w:sz w:val="36"/>
        </w:rPr>
      </w:pPr>
      <w:r>
        <w:rPr>
          <w:rFonts w:hint="eastAsia" w:ascii="微软雅黑" w:hAnsi="微软雅黑" w:cs="微软雅黑"/>
          <w:sz w:val="36"/>
        </w:rPr>
      </w:r>
      <w:r/>
    </w:p>
    <w:p>
      <w:pPr>
        <w:pStyle w:val="1370"/>
        <w:ind w:left="0"/>
      </w:pPr>
      <w:r/>
      <w:r/>
    </w:p>
    <w:p>
      <w:r/>
      <w:r/>
    </w:p>
    <w:p>
      <w:pPr>
        <w:jc w:val="left"/>
        <w:rPr>
          <w:rFonts w:hint="eastAsia" w:ascii="微软雅黑" w:hAnsi="微软雅黑" w:cs="微软雅黑"/>
          <w:sz w:val="36"/>
        </w:rPr>
      </w:pPr>
      <w:r>
        <w:rPr>
          <w:rFonts w:hint="eastAsia" w:ascii="微软雅黑" w:hAnsi="微软雅黑" w:cs="微软雅黑"/>
          <w:sz w:val="36"/>
        </w:rPr>
      </w:r>
      <w:r/>
    </w:p>
    <w:p>
      <w:pPr>
        <w:ind w:left="2340" w:hanging="1500"/>
        <w:jc w:val="left"/>
        <w:spacing w:before="120"/>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项目编号：</w:t>
      </w:r>
      <w:r>
        <w:rPr>
          <w:rFonts w:hint="eastAsia" w:ascii="微软雅黑" w:hAnsi="微软雅黑" w:cs="微软雅黑"/>
          <w:sz w:val="30"/>
          <w:szCs w:val="30"/>
          <w:lang w:eastAsia="zh-CN"/>
        </w:rPr>
        <w:t xml:space="preserve">JSZC-320000-JSHC-G2026-0033</w:t>
      </w:r>
      <w:r/>
    </w:p>
    <w:p>
      <w:pPr>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代理机构内部编号：JSHC-2026080674B1</w:t>
      </w:r>
      <w:r/>
    </w:p>
    <w:p>
      <w:pPr>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项目名称：南京医科大学生物医药分中心激光共聚焦显微镜采购项目</w:t>
      </w:r>
      <w:r/>
    </w:p>
    <w:p>
      <w:pPr>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采 购 人：南京医科大学</w:t>
      </w:r>
      <w:r/>
    </w:p>
    <w:p>
      <w:pPr>
        <w:ind w:left="2340" w:hanging="1500"/>
        <w:jc w:val="left"/>
        <w:spacing w:before="120"/>
        <w:rPr>
          <w:rFonts w:hint="eastAsia" w:ascii="微软雅黑" w:hAnsi="微软雅黑" w:cs="微软雅黑"/>
          <w:sz w:val="30"/>
          <w:szCs w:val="30"/>
        </w:rPr>
      </w:pPr>
      <w:r>
        <w:rPr>
          <w:rFonts w:hint="eastAsia" w:ascii="微软雅黑" w:hAnsi="微软雅黑" w:cs="微软雅黑"/>
          <w:sz w:val="30"/>
          <w:szCs w:val="30"/>
        </w:rPr>
        <w:t xml:space="preserve">代理机构：江苏省华采招标有限公司</w:t>
      </w:r>
      <w:r/>
    </w:p>
    <w:p>
      <w:pPr>
        <w:ind w:left="2580" w:hanging="2580"/>
        <w:jc w:val="center"/>
        <w:rPr>
          <w:rFonts w:hint="eastAsia" w:ascii="微软雅黑" w:hAnsi="微软雅黑" w:cs="微软雅黑"/>
          <w:sz w:val="30"/>
          <w:szCs w:val="30"/>
        </w:rPr>
      </w:pPr>
      <w:r>
        <w:rPr>
          <w:rFonts w:hint="eastAsia" w:ascii="微软雅黑" w:hAnsi="微软雅黑" w:cs="微软雅黑"/>
          <w:sz w:val="30"/>
          <w:szCs w:val="30"/>
        </w:rPr>
      </w:r>
      <w:r/>
    </w:p>
    <w:p>
      <w:pPr>
        <w:pStyle w:val="1370"/>
        <w:ind w:left="1260"/>
      </w:pPr>
      <w:r/>
      <w:r/>
    </w:p>
    <w:p>
      <w:r/>
      <w:r/>
    </w:p>
    <w:p>
      <w:r/>
      <w:r/>
    </w:p>
    <w:p>
      <w:r/>
      <w:r/>
    </w:p>
    <w:p>
      <w:r/>
      <w:r/>
    </w:p>
    <w:p>
      <w:r/>
      <w:r/>
    </w:p>
    <w:p>
      <w:r/>
      <w:r/>
    </w:p>
    <w:p>
      <w:r/>
      <w:r/>
    </w:p>
    <w:p>
      <w:pPr>
        <w:pStyle w:val="1370"/>
        <w:ind w:left="1260"/>
      </w:pPr>
      <w:r/>
      <w:r/>
    </w:p>
    <w:p>
      <w:pPr>
        <w:pStyle w:val="1370"/>
        <w:ind w:left="0"/>
      </w:pPr>
      <w:r/>
      <w:r/>
    </w:p>
    <w:p>
      <w:pPr>
        <w:jc w:val="center"/>
        <w:rPr>
          <w:rFonts w:hint="eastAsia" w:ascii="微软雅黑" w:hAnsi="微软雅黑" w:cs="微软雅黑"/>
          <w:sz w:val="30"/>
          <w:szCs w:val="30"/>
        </w:rPr>
        <w:sectPr>
          <w:headerReference w:type="default" r:id="rId9"/>
          <w:headerReference w:type="first" r:id="rId10"/>
          <w:footerReference w:type="default"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10</w:t>
      </w:r>
      <w:r>
        <w:rPr>
          <w:rFonts w:hint="eastAsia" w:ascii="微软雅黑" w:hAnsi="微软雅黑" w:cs="微软雅黑"/>
          <w:spacing w:val="30"/>
          <w:sz w:val="32"/>
          <w:szCs w:val="32"/>
        </w:rPr>
        <w:t xml:space="preserve">月</w:t>
      </w:r>
      <w:r/>
    </w:p>
    <w:p>
      <w:pPr>
        <w:jc w:val="center"/>
        <w:spacing w:line="400" w:lineRule="exact"/>
        <w:rPr>
          <w:rFonts w:hint="eastAsia" w:ascii="微软雅黑" w:hAnsi="微软雅黑" w:cs="微软雅黑"/>
          <w:b/>
          <w:bCs/>
          <w:sz w:val="30"/>
          <w:szCs w:val="30"/>
        </w:rPr>
      </w:pPr>
      <w:r>
        <w:rPr>
          <w:rFonts w:hint="eastAsia" w:ascii="微软雅黑" w:hAnsi="微软雅黑" w:cs="微软雅黑"/>
          <w:b/>
          <w:bCs/>
          <w:sz w:val="30"/>
          <w:szCs w:val="30"/>
        </w:rPr>
        <w:t xml:space="preserve">目录</w:t>
      </w:r>
      <w:r/>
    </w:p>
    <w:p>
      <w:pPr>
        <w:pStyle w:val="1162"/>
        <w:tabs>
          <w:tab w:val="right" w:pos="8300" w:leader="dot"/>
        </w:tabs>
        <w:rPr>
          <w:rFonts w:hint="eastAsia"/>
        </w:rPr>
      </w:pPr>
      <w:r>
        <w:rPr>
          <w:rFonts w:hint="eastAsia"/>
        </w:rPr>
        <w:fldChar w:fldCharType="begin"/>
      </w:r>
      <w:r>
        <w:rPr>
          <w:rFonts w:hint="eastAsia"/>
        </w:rPr>
        <w:instrText xml:space="preserve">TOC \o "1-3" \h \u </w:instrText>
      </w:r>
      <w:r>
        <w:rPr>
          <w:rFonts w:hint="eastAsia"/>
        </w:rPr>
        <w:fldChar w:fldCharType="separate"/>
      </w:r>
      <w:r>
        <w:fldChar w:fldCharType="begin"/>
      </w:r>
      <w:r>
        <w:instrText xml:space="preserve"> HYPERLINK \l "_Toc23488" </w:instrText>
      </w:r>
      <w:r>
        <w:fldChar w:fldCharType="separate"/>
      </w:r>
      <w:r>
        <w:rPr>
          <w:rFonts w:hint="eastAsia"/>
          <w:szCs w:val="32"/>
        </w:rPr>
        <w:t xml:space="preserve">第一章 投标邀请（采购公告）</w:t>
      </w:r>
      <w:r>
        <w:tab/>
      </w:r>
      <w:r>
        <w:fldChar w:fldCharType="begin"/>
      </w:r>
      <w:r>
        <w:instrText xml:space="preserve"> PAGEREF _Toc23488 \h </w:instrText>
      </w:r>
      <w:r>
        <w:fldChar w:fldCharType="separate"/>
      </w:r>
      <w:r>
        <w:t xml:space="preserve">4</w:t>
      </w:r>
      <w:r>
        <w:fldChar w:fldCharType="end"/>
      </w:r>
      <w:r>
        <w:fldChar w:fldCharType="end"/>
      </w:r>
      <w:r/>
    </w:p>
    <w:p>
      <w:pPr>
        <w:pStyle w:val="1162"/>
        <w:tabs>
          <w:tab w:val="right" w:pos="8300" w:leader="dot"/>
        </w:tabs>
        <w:rPr>
          <w:rFonts w:hint="eastAsia"/>
        </w:rPr>
      </w:pPr>
      <w:r>
        <w:fldChar w:fldCharType="begin"/>
      </w:r>
      <w:r>
        <w:instrText xml:space="preserve"> HYPERLINK \l "_Toc13835" </w:instrText>
      </w:r>
      <w:r>
        <w:fldChar w:fldCharType="separate"/>
      </w:r>
      <w:r>
        <w:rPr>
          <w:rFonts w:hint="eastAsia"/>
          <w:szCs w:val="32"/>
        </w:rPr>
        <w:t xml:space="preserve">第二章 </w:t>
      </w:r>
      <w:r>
        <w:rPr>
          <w:rFonts w:hint="eastAsia"/>
        </w:rPr>
        <w:t xml:space="preserve">供应商须知</w:t>
      </w:r>
      <w:r>
        <w:tab/>
      </w:r>
      <w:r>
        <w:fldChar w:fldCharType="begin"/>
      </w:r>
      <w:r>
        <w:instrText xml:space="preserve"> PAGEREF _Toc13835 \h </w:instrText>
      </w:r>
      <w:r>
        <w:fldChar w:fldCharType="separate"/>
      </w:r>
      <w:r>
        <w:t xml:space="preserve">7</w:t>
      </w:r>
      <w:r>
        <w:fldChar w:fldCharType="end"/>
      </w:r>
      <w:r>
        <w:fldChar w:fldCharType="end"/>
      </w:r>
      <w:r/>
    </w:p>
    <w:p>
      <w:pPr>
        <w:pStyle w:val="1168"/>
        <w:tabs>
          <w:tab w:val="right" w:pos="8300" w:leader="dot"/>
        </w:tabs>
        <w:rPr>
          <w:rFonts w:hint="eastAsia"/>
        </w:rPr>
      </w:pPr>
      <w:r>
        <w:fldChar w:fldCharType="begin"/>
      </w:r>
      <w:r>
        <w:instrText xml:space="preserve"> HYPERLINK \l "_Toc25303" </w:instrText>
      </w:r>
      <w:r>
        <w:fldChar w:fldCharType="separate"/>
      </w:r>
      <w:r>
        <w:rPr>
          <w:rFonts w:hint="eastAsia"/>
        </w:rPr>
        <w:t xml:space="preserve">一、总则</w:t>
      </w:r>
      <w:r>
        <w:tab/>
      </w:r>
      <w:r>
        <w:fldChar w:fldCharType="begin"/>
      </w:r>
      <w:r>
        <w:instrText xml:space="preserve"> PAGEREF _Toc25303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"_Toc19551" </w:instrText>
      </w:r>
      <w:r>
        <w:fldChar w:fldCharType="separate"/>
      </w:r>
      <w:r>
        <w:rPr>
          <w:rFonts w:hint="eastAsia"/>
          <w:szCs w:val="24"/>
        </w:rPr>
        <w:t xml:space="preserve">1.1适用范围</w:t>
      </w:r>
      <w:r>
        <w:tab/>
      </w:r>
      <w:r>
        <w:fldChar w:fldCharType="begin"/>
      </w:r>
      <w:r>
        <w:instrText xml:space="preserve"> PAGEREF _Toc19551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"_Toc5939" </w:instrText>
      </w:r>
      <w:r>
        <w:fldChar w:fldCharType="separate"/>
      </w:r>
      <w:r>
        <w:rPr>
          <w:rFonts w:hint="eastAsia"/>
          <w:szCs w:val="24"/>
        </w:rPr>
        <w:t xml:space="preserve">1.2合格的供应商</w:t>
      </w:r>
      <w:r>
        <w:tab/>
      </w:r>
      <w:r>
        <w:fldChar w:fldCharType="begin"/>
      </w:r>
      <w:r>
        <w:instrText xml:space="preserve"> PAGEREF _Toc5939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"_Toc23266" </w:instrText>
      </w:r>
      <w:r>
        <w:fldChar w:fldCharType="separate"/>
      </w:r>
      <w:r>
        <w:rPr>
          <w:rFonts w:hint="eastAsia"/>
          <w:szCs w:val="24"/>
        </w:rPr>
        <w:t xml:space="preserve">1.3参加采购活动费用</w:t>
      </w:r>
      <w:r>
        <w:tab/>
      </w:r>
      <w:r>
        <w:fldChar w:fldCharType="begin"/>
      </w:r>
      <w:r>
        <w:instrText xml:space="preserve"> PAGEREF _Toc23266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"_Toc13311" </w:instrText>
      </w:r>
      <w:r>
        <w:fldChar w:fldCharType="separate"/>
      </w:r>
      <w:r>
        <w:rPr>
          <w:rFonts w:hint="eastAsia"/>
          <w:szCs w:val="24"/>
        </w:rPr>
        <w:t xml:space="preserve">1.4法律适用</w:t>
      </w:r>
      <w:r>
        <w:tab/>
      </w:r>
      <w:r>
        <w:fldChar w:fldCharType="begin"/>
      </w:r>
      <w:r>
        <w:instrText xml:space="preserve"> PAGEREF _Toc13311 \h </w:instrText>
      </w:r>
      <w:r>
        <w:fldChar w:fldCharType="separate"/>
      </w:r>
      <w:r>
        <w:t xml:space="preserve">9</w:t>
      </w:r>
      <w:r>
        <w:fldChar w:fldCharType="end"/>
      </w:r>
      <w:r>
        <w:fldChar w:fldCharType="end"/>
      </w:r>
      <w:r/>
    </w:p>
    <w:p>
      <w:pPr>
        <w:pStyle w:val="1156"/>
        <w:tabs>
          <w:tab w:val="right" w:pos="8300" w:leader="dot"/>
        </w:tabs>
        <w:rPr>
          <w:rFonts w:hint="eastAsia"/>
        </w:rPr>
      </w:pPr>
      <w:r>
        <w:fldChar w:fldCharType="begin"/>
      </w:r>
      <w:r>
        <w:instrText xml:space="preserve"> HYPERLINK \l "_Toc18968" </w:instrText>
      </w:r>
      <w:r>
        <w:fldChar w:fldCharType="separate"/>
      </w:r>
      <w:r>
        <w:rPr>
          <w:rFonts w:hint="eastAsia"/>
          <w:szCs w:val="24"/>
        </w:rPr>
        <w:t xml:space="preserve">1.5采购文件的约束力</w:t>
      </w:r>
      <w:r>
        <w:tab/>
      </w:r>
      <w:r>
        <w:fldChar w:fldCharType="begin"/>
      </w:r>
      <w:r>
        <w:instrText xml:space="preserve"> PAGEREF _Toc18968 \h </w:instrText>
      </w:r>
      <w:r>
        <w:fldChar w:fldCharType="separate"/>
      </w:r>
      <w:r>
        <w:t xml:space="preserve">9</w:t>
      </w:r>
      <w:r>
        <w:fldChar w:fldCharType="end"/>
      </w:r>
      <w:r>
        <w:fldChar w:fldCharType="end"/>
      </w:r>
      <w:r/>
    </w:p>
    <w:p>
      <w:pPr>
        <w:pStyle w:val="1168"/>
        <w:tabs>
          <w:tab w:val="right" w:pos="8300" w:leader="dot"/>
        </w:tabs>
        <w:rPr>
          <w:rFonts w:hint="eastAsia"/>
        </w:rPr>
      </w:pPr>
      <w:r>
        <w:fldChar w:fldCharType="begin"/>
      </w:r>
      <w:r>
        <w:instrText xml:space="preserve"> HYPERLINK \l "_Toc14767" </w:instrText>
      </w:r>
      <w:r>
        <w:fldChar w:fldCharType="separate"/>
      </w:r>
      <w:r>
        <w:rPr>
          <w:rFonts w:hint="eastAsia"/>
        </w:rPr>
        <w:t xml:space="preserve">二、采购文件</w:t>
      </w:r>
      <w:r>
        <w:tab/>
      </w:r>
      <w:r>
        <w:fldChar w:fldCharType="begin"/>
      </w:r>
      <w:r>
        <w:instrText xml:space="preserve"> PAGEREF _Toc14767 \h </w:instrText>
      </w:r>
      <w:r>
        <w:fldChar w:fldCharType="separate"/>
      </w:r>
      <w:r>
        <w:t xml:space="preserve">10</w:t>
      </w:r>
      <w:r>
        <w:fldChar w:fldCharType="end"/>
      </w:r>
      <w:r>
        <w:fldChar w:fldCharType="end"/>
      </w:r>
      <w:r/>
    </w:p>
    <w:p>
      <w:pPr>
        <w:pStyle w:val="1156"/>
        <w:tabs>
          <w:tab w:val="right" w:pos="8300" w:leader="dot"/>
        </w:tabs>
        <w:rPr>
          <w:rFonts w:hint="eastAsia"/>
        </w:rPr>
      </w:pPr>
      <w:r>
        <w:fldChar w:fldCharType="begin"/>
      </w:r>
      <w:r>
        <w:instrText xml:space="preserve"> HYPERLINK \l "_Toc21175" </w:instrText>
      </w:r>
      <w:r>
        <w:fldChar w:fldCharType="separate"/>
      </w:r>
      <w:r>
        <w:rPr>
          <w:rFonts w:hint="eastAsia"/>
          <w:szCs w:val="24"/>
        </w:rPr>
        <w:t xml:space="preserve">2.1采购文件的组成</w:t>
      </w:r>
      <w:r>
        <w:tab/>
      </w:r>
      <w:r>
        <w:fldChar w:fldCharType="begin"/>
      </w:r>
      <w:r>
        <w:instrText xml:space="preserve"> PAGEREF _Toc21175 \h </w:instrText>
      </w:r>
      <w:r>
        <w:fldChar w:fldCharType="separate"/>
      </w:r>
      <w:r>
        <w:t xml:space="preserve">10</w:t>
      </w:r>
      <w:r>
        <w:fldChar w:fldCharType="end"/>
      </w:r>
      <w:r>
        <w:fldChar w:fldCharType="end"/>
      </w:r>
      <w:r/>
    </w:p>
    <w:p>
      <w:pPr>
        <w:pStyle w:val="1156"/>
        <w:tabs>
          <w:tab w:val="right" w:pos="8300" w:leader="dot"/>
        </w:tabs>
        <w:rPr>
          <w:rFonts w:hint="eastAsia"/>
        </w:rPr>
      </w:pPr>
      <w:r>
        <w:fldChar w:fldCharType="begin"/>
      </w:r>
      <w:r>
        <w:instrText xml:space="preserve"> HYPERLINK \l "_Toc6117" </w:instrText>
      </w:r>
      <w:r>
        <w:fldChar w:fldCharType="separate"/>
      </w:r>
      <w:r>
        <w:rPr>
          <w:rFonts w:hint="eastAsia"/>
          <w:szCs w:val="24"/>
        </w:rPr>
        <w:t xml:space="preserve">2.2采购文件的更正或补充</w:t>
      </w:r>
      <w:r>
        <w:tab/>
      </w:r>
      <w:r>
        <w:fldChar w:fldCharType="begin"/>
      </w:r>
      <w:r>
        <w:instrText xml:space="preserve"> PAGEREF _Toc6117 \h </w:instrText>
      </w:r>
      <w:r>
        <w:fldChar w:fldCharType="separate"/>
      </w:r>
      <w:r>
        <w:t xml:space="preserve">10</w:t>
      </w:r>
      <w:r>
        <w:fldChar w:fldCharType="end"/>
      </w:r>
      <w:r>
        <w:fldChar w:fldCharType="end"/>
      </w:r>
      <w:r/>
    </w:p>
    <w:p>
      <w:pPr>
        <w:pStyle w:val="1168"/>
        <w:tabs>
          <w:tab w:val="right" w:pos="8300" w:leader="dot"/>
        </w:tabs>
        <w:rPr>
          <w:rFonts w:hint="eastAsia"/>
        </w:rPr>
      </w:pPr>
      <w:r>
        <w:fldChar w:fldCharType="begin"/>
      </w:r>
      <w:r>
        <w:instrText xml:space="preserve"> HYPERLINK \l "_Toc124" </w:instrText>
      </w:r>
      <w:r>
        <w:fldChar w:fldCharType="separate"/>
      </w:r>
      <w:r>
        <w:rPr>
          <w:rFonts w:hint="eastAsia"/>
        </w:rPr>
        <w:t xml:space="preserve">三、投标文件</w:t>
      </w:r>
      <w:r>
        <w:tab/>
      </w:r>
      <w:r>
        <w:fldChar w:fldCharType="begin"/>
      </w:r>
      <w:r>
        <w:instrText xml:space="preserve"> PAGEREF _Toc124 \h </w:instrText>
      </w:r>
      <w:r>
        <w:fldChar w:fldCharType="separate"/>
      </w:r>
      <w:r>
        <w:t xml:space="preserve">10</w:t>
      </w:r>
      <w:r>
        <w:fldChar w:fldCharType="end"/>
      </w:r>
      <w:r>
        <w:fldChar w:fldCharType="end"/>
      </w:r>
      <w:r/>
    </w:p>
    <w:p>
      <w:pPr>
        <w:pStyle w:val="1156"/>
        <w:tabs>
          <w:tab w:val="right" w:pos="8300" w:leader="dot"/>
        </w:tabs>
        <w:rPr>
          <w:rFonts w:hint="eastAsia"/>
        </w:rPr>
      </w:pPr>
      <w:r>
        <w:fldChar w:fldCharType="begin"/>
      </w:r>
      <w:r>
        <w:instrText xml:space="preserve"> HYPERLINK \l "_Toc9096" </w:instrText>
      </w:r>
      <w:r>
        <w:fldChar w:fldCharType="separate"/>
      </w:r>
      <w:r>
        <w:rPr>
          <w:rFonts w:hint="eastAsia"/>
          <w:szCs w:val="24"/>
        </w:rPr>
        <w:t xml:space="preserve">3.1投标文件的语言及度量衡</w:t>
      </w:r>
      <w:r>
        <w:tab/>
      </w:r>
      <w:r>
        <w:fldChar w:fldCharType="begin"/>
      </w:r>
      <w:r>
        <w:instrText xml:space="preserve"> PAGEREF _Toc9096 \h </w:instrText>
      </w:r>
      <w:r>
        <w:fldChar w:fldCharType="separate"/>
      </w:r>
      <w:r>
        <w:t xml:space="preserve">10</w:t>
      </w:r>
      <w:r>
        <w:fldChar w:fldCharType="end"/>
      </w:r>
      <w:r>
        <w:fldChar w:fldCharType="end"/>
      </w:r>
      <w:r/>
    </w:p>
    <w:p>
      <w:pPr>
        <w:pStyle w:val="1156"/>
        <w:tabs>
          <w:tab w:val="right" w:pos="8300" w:leader="dot"/>
        </w:tabs>
        <w:rPr>
          <w:rFonts w:hint="eastAsia"/>
        </w:rPr>
      </w:pPr>
      <w:r>
        <w:fldChar w:fldCharType="begin"/>
      </w:r>
      <w:r>
        <w:instrText xml:space="preserve"> HYPERLINK \l "_Toc21598" </w:instrText>
      </w:r>
      <w:r>
        <w:fldChar w:fldCharType="separate"/>
      </w:r>
      <w:r>
        <w:rPr>
          <w:rFonts w:hint="eastAsia"/>
          <w:szCs w:val="24"/>
        </w:rPr>
        <w:t xml:space="preserve">3.2投标文件的组成</w:t>
      </w:r>
      <w:r>
        <w:tab/>
      </w:r>
      <w:r>
        <w:fldChar w:fldCharType="begin"/>
      </w:r>
      <w:r>
        <w:instrText xml:space="preserve"> PAGEREF _Toc21598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"_Toc8856" </w:instrText>
      </w:r>
      <w:r>
        <w:fldChar w:fldCharType="separate"/>
      </w:r>
      <w:r>
        <w:rPr>
          <w:rFonts w:hint="eastAsia"/>
          <w:szCs w:val="24"/>
        </w:rPr>
        <w:t xml:space="preserve">3.3投标报价</w:t>
      </w:r>
      <w:r>
        <w:tab/>
      </w:r>
      <w:r>
        <w:fldChar w:fldCharType="begin"/>
      </w:r>
      <w:r>
        <w:instrText xml:space="preserve"> PAGEREF _Toc8856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"_Toc18854" </w:instrText>
      </w:r>
      <w:r>
        <w:fldChar w:fldCharType="separate"/>
      </w:r>
      <w:r>
        <w:rPr>
          <w:rFonts w:hint="eastAsia"/>
          <w:szCs w:val="24"/>
        </w:rPr>
        <w:t xml:space="preserve">3.4投标报价中的货币</w:t>
      </w:r>
      <w:r>
        <w:tab/>
      </w:r>
      <w:r>
        <w:fldChar w:fldCharType="begin"/>
      </w:r>
      <w:r>
        <w:instrText xml:space="preserve"> PAGEREF _Toc18854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"_Toc17274" </w:instrText>
      </w:r>
      <w:r>
        <w:fldChar w:fldCharType="separate"/>
      </w:r>
      <w:r>
        <w:rPr>
          <w:rFonts w:hint="eastAsia"/>
          <w:szCs w:val="24"/>
        </w:rPr>
        <w:t xml:space="preserve">3.5投标保证金：无</w:t>
      </w:r>
      <w:r>
        <w:tab/>
      </w:r>
      <w:r>
        <w:fldChar w:fldCharType="begin"/>
      </w:r>
      <w:r>
        <w:instrText xml:space="preserve"> PAGEREF _Toc17274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"_Toc23668" </w:instrText>
      </w:r>
      <w:r>
        <w:fldChar w:fldCharType="separate"/>
      </w:r>
      <w:r>
        <w:rPr>
          <w:rFonts w:hint="eastAsia"/>
          <w:szCs w:val="24"/>
        </w:rPr>
        <w:t xml:space="preserve">3.6投标有效期</w:t>
      </w:r>
      <w:r>
        <w:tab/>
      </w:r>
      <w:r>
        <w:fldChar w:fldCharType="begin"/>
      </w:r>
      <w:r>
        <w:instrText xml:space="preserve"> PAGEREF _Toc23668 \h </w:instrText>
      </w:r>
      <w:r>
        <w:fldChar w:fldCharType="separate"/>
      </w:r>
      <w:r>
        <w:t xml:space="preserve">11</w:t>
      </w:r>
      <w:r>
        <w:fldChar w:fldCharType="end"/>
      </w:r>
      <w:r>
        <w:fldChar w:fldCharType="end"/>
      </w:r>
      <w:r/>
    </w:p>
    <w:p>
      <w:pPr>
        <w:pStyle w:val="1156"/>
        <w:tabs>
          <w:tab w:val="right" w:pos="8300" w:leader="dot"/>
        </w:tabs>
        <w:rPr>
          <w:rFonts w:hint="eastAsia"/>
        </w:rPr>
      </w:pPr>
      <w:r>
        <w:fldChar w:fldCharType="begin"/>
      </w:r>
      <w:r>
        <w:instrText xml:space="preserve"> HYPERLINK \l "_Toc17365" </w:instrText>
      </w:r>
      <w:r>
        <w:fldChar w:fldCharType="separate"/>
      </w:r>
      <w:r>
        <w:rPr>
          <w:rFonts w:hint="eastAsia"/>
          <w:szCs w:val="24"/>
        </w:rPr>
        <w:t xml:space="preserve">3.7投标文件的签署、形式及装订</w:t>
      </w:r>
      <w:r>
        <w:tab/>
      </w:r>
      <w:r>
        <w:fldChar w:fldCharType="begin"/>
      </w:r>
      <w:r>
        <w:instrText xml:space="preserve"> PAGEREF _Toc17365 \h </w:instrText>
      </w:r>
      <w:r>
        <w:fldChar w:fldCharType="separate"/>
      </w:r>
      <w:r>
        <w:t xml:space="preserve">11</w:t>
      </w:r>
      <w:r>
        <w:fldChar w:fldCharType="end"/>
      </w:r>
      <w:r>
        <w:fldChar w:fldCharType="end"/>
      </w:r>
      <w:r/>
    </w:p>
    <w:p>
      <w:pPr>
        <w:pStyle w:val="1168"/>
        <w:tabs>
          <w:tab w:val="right" w:pos="8300" w:leader="dot"/>
        </w:tabs>
        <w:rPr>
          <w:rFonts w:hint="eastAsia"/>
        </w:rPr>
      </w:pPr>
      <w:r>
        <w:fldChar w:fldCharType="begin"/>
      </w:r>
      <w:r>
        <w:instrText xml:space="preserve"> HYPERLINK \l "_Toc26037" </w:instrText>
      </w:r>
      <w:r>
        <w:fldChar w:fldCharType="separate"/>
      </w:r>
      <w:r>
        <w:rPr>
          <w:rFonts w:hint="eastAsia"/>
        </w:rPr>
        <w:t xml:space="preserve">四、投标文件的递交</w:t>
      </w:r>
      <w:r>
        <w:tab/>
      </w:r>
      <w:r>
        <w:fldChar w:fldCharType="begin"/>
      </w:r>
      <w:r>
        <w:instrText xml:space="preserve"> PAGEREF _Toc26037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"_Toc27453" </w:instrText>
      </w:r>
      <w:r>
        <w:fldChar w:fldCharType="separate"/>
      </w:r>
      <w:r>
        <w:rPr>
          <w:rFonts w:hint="eastAsia"/>
          <w:szCs w:val="21"/>
        </w:rPr>
        <w:t xml:space="preserve">4.2有下列情形的投标文件将被拒收</w:t>
      </w:r>
      <w:r>
        <w:tab/>
      </w:r>
      <w:r>
        <w:fldChar w:fldCharType="begin"/>
      </w:r>
      <w:r>
        <w:instrText xml:space="preserve"> PAGEREF _Toc27453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"_Toc32671" </w:instrText>
      </w:r>
      <w:r>
        <w:fldChar w:fldCharType="separate"/>
      </w:r>
      <w:r>
        <w:rPr>
          <w:rFonts w:hint="eastAsia"/>
          <w:szCs w:val="21"/>
        </w:rPr>
        <w:t xml:space="preserve">4.2.1投标人未按照《操作手册》规定，在“苏采云”系统规定的时间内对投标文件进行解密的。</w:t>
      </w:r>
      <w:r>
        <w:tab/>
      </w:r>
      <w:r>
        <w:fldChar w:fldCharType="begin"/>
      </w:r>
      <w:r>
        <w:instrText xml:space="preserve"> PAGEREF _Toc32671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"_Toc24630" </w:instrText>
      </w:r>
      <w:r>
        <w:fldChar w:fldCharType="separate"/>
      </w:r>
      <w:r>
        <w:rPr>
          <w:rFonts w:hint="eastAsia"/>
          <w:szCs w:val="21"/>
        </w:rPr>
        <w:t xml:space="preserve">4.2.2投标人应充分考虑网络环境、网络带宽等因素可能对投标产生的影响，如因投标人自身原因造成的电子投标文件解密不成功的，做无效投标处理,</w:t>
      </w:r>
      <w:r>
        <w:rPr>
          <w:szCs w:val="21"/>
          <w:shd w:val="clear" w:color="auto" w:fill="ffffff"/>
        </w:rPr>
        <w:t xml:space="preserve">但因系统故障导致投标人无法在</w:t>
      </w:r>
      <w:r>
        <w:rPr>
          <w:rFonts w:hint="eastAsia"/>
          <w:bCs/>
          <w:szCs w:val="21"/>
        </w:rPr>
        <w:t xml:space="preserve">“苏采云”系统规定的时间</w:t>
      </w:r>
      <w:r>
        <w:rPr>
          <w:szCs w:val="21"/>
          <w:shd w:val="clear" w:color="auto" w:fill="ffffff"/>
        </w:rPr>
        <w:t xml:space="preserve">内完成签到或解密的情况除外。</w:t>
      </w:r>
      <w:r>
        <w:tab/>
      </w:r>
      <w:r>
        <w:fldChar w:fldCharType="begin"/>
      </w:r>
      <w:r>
        <w:instrText xml:space="preserve"> PAGEREF _Toc24630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"_Toc32554" </w:instrText>
      </w:r>
      <w:r>
        <w:fldChar w:fldCharType="separate"/>
      </w:r>
      <w:r>
        <w:rPr>
          <w:rFonts w:hint="eastAsia"/>
          <w:szCs w:val="21"/>
        </w:rPr>
        <w:t xml:space="preserve">4.3 投标截止时间</w:t>
      </w:r>
      <w:r>
        <w:tab/>
      </w:r>
      <w:r>
        <w:fldChar w:fldCharType="begin"/>
      </w:r>
      <w:r>
        <w:instrText xml:space="preserve"> PAGEREF _Toc32554 \h </w:instrText>
      </w:r>
      <w:r>
        <w:fldChar w:fldCharType="separate"/>
      </w:r>
      <w:r>
        <w:t xml:space="preserve">12</w:t>
      </w:r>
      <w:r>
        <w:fldChar w:fldCharType="end"/>
      </w:r>
      <w:r>
        <w:fldChar w:fldCharType="end"/>
      </w:r>
      <w:r/>
    </w:p>
    <w:p>
      <w:pPr>
        <w:pStyle w:val="1156"/>
        <w:tabs>
          <w:tab w:val="right" w:pos="8300" w:leader="dot"/>
        </w:tabs>
        <w:rPr>
          <w:rFonts w:hint="eastAsia"/>
        </w:rPr>
      </w:pPr>
      <w:r>
        <w:fldChar w:fldCharType="begin"/>
      </w:r>
      <w:r>
        <w:instrText xml:space="preserve"> HYPERLINK \l "_Toc21081" </w:instrText>
      </w:r>
      <w:r>
        <w:fldChar w:fldCharType="separate"/>
      </w:r>
      <w:r>
        <w:rPr>
          <w:rFonts w:hint="eastAsia"/>
          <w:szCs w:val="21"/>
        </w:rPr>
        <w:t xml:space="preserve">4.4 投标文件的修改和撤回</w:t>
      </w:r>
      <w:r>
        <w:tab/>
      </w:r>
      <w:r>
        <w:fldChar w:fldCharType="begin"/>
      </w:r>
      <w:r>
        <w:instrText xml:space="preserve"> PAGEREF _Toc21081 \h </w:instrText>
      </w:r>
      <w:r>
        <w:fldChar w:fldCharType="separate"/>
      </w:r>
      <w:r>
        <w:t xml:space="preserve">12</w:t>
      </w:r>
      <w:r>
        <w:fldChar w:fldCharType="end"/>
      </w:r>
      <w:r>
        <w:fldChar w:fldCharType="end"/>
      </w:r>
      <w:r/>
    </w:p>
    <w:p>
      <w:pPr>
        <w:pStyle w:val="1168"/>
        <w:tabs>
          <w:tab w:val="right" w:pos="8300" w:leader="dot"/>
        </w:tabs>
        <w:rPr>
          <w:rFonts w:hint="eastAsia"/>
        </w:rPr>
      </w:pPr>
      <w:r>
        <w:fldChar w:fldCharType="begin"/>
      </w:r>
      <w:r>
        <w:instrText xml:space="preserve"> HYPERLINK \l "_Toc12823" </w:instrText>
      </w:r>
      <w:r>
        <w:fldChar w:fldCharType="separate"/>
      </w:r>
      <w:r>
        <w:rPr>
          <w:rFonts w:hint="eastAsia"/>
          <w:bCs/>
          <w:szCs w:val="32"/>
        </w:rPr>
        <w:t xml:space="preserve">五、开标与评标</w:t>
      </w:r>
      <w:r>
        <w:tab/>
      </w:r>
      <w:r>
        <w:fldChar w:fldCharType="begin"/>
      </w:r>
      <w:r>
        <w:instrText xml:space="preserve"> PAGEREF _Toc12823 \h </w:instrText>
      </w:r>
      <w:r>
        <w:fldChar w:fldCharType="separate"/>
      </w:r>
      <w:r>
        <w:t xml:space="preserve">13</w:t>
      </w:r>
      <w:r>
        <w:fldChar w:fldCharType="end"/>
      </w:r>
      <w:r>
        <w:fldChar w:fldCharType="end"/>
      </w:r>
      <w:r/>
    </w:p>
    <w:p>
      <w:pPr>
        <w:pStyle w:val="1156"/>
        <w:tabs>
          <w:tab w:val="right" w:pos="8300" w:leader="dot"/>
        </w:tabs>
        <w:rPr>
          <w:rFonts w:hint="eastAsia"/>
        </w:rPr>
      </w:pPr>
      <w:r>
        <w:fldChar w:fldCharType="begin"/>
      </w:r>
      <w:r>
        <w:instrText xml:space="preserve"> HYPERLINK \l "_Toc2726" </w:instrText>
      </w:r>
      <w:r>
        <w:fldChar w:fldCharType="separate"/>
      </w:r>
      <w:r>
        <w:rPr>
          <w:rFonts w:hint="eastAsia"/>
          <w:szCs w:val="21"/>
        </w:rPr>
        <w:t xml:space="preserve">5.1 投标文件启封</w:t>
      </w:r>
      <w:r>
        <w:tab/>
      </w:r>
      <w:r>
        <w:fldChar w:fldCharType="begin"/>
      </w:r>
      <w:r>
        <w:instrText xml:space="preserve"> PAGEREF _Toc2726 \h </w:instrText>
      </w:r>
      <w:r>
        <w:fldChar w:fldCharType="separate"/>
      </w:r>
      <w:r>
        <w:t xml:space="preserve">13</w:t>
      </w:r>
      <w:r>
        <w:fldChar w:fldCharType="end"/>
      </w:r>
      <w:r>
        <w:fldChar w:fldCharType="end"/>
      </w:r>
      <w:r/>
    </w:p>
    <w:p>
      <w:pPr>
        <w:pStyle w:val="1156"/>
        <w:tabs>
          <w:tab w:val="right" w:pos="8300" w:leader="dot"/>
        </w:tabs>
        <w:rPr>
          <w:rFonts w:hint="eastAsia"/>
        </w:rPr>
      </w:pPr>
      <w:r>
        <w:fldChar w:fldCharType="begin"/>
      </w:r>
      <w:r>
        <w:instrText xml:space="preserve"> HYPERLINK \l "_Toc20113" </w:instrText>
      </w:r>
      <w:r>
        <w:fldChar w:fldCharType="separate"/>
      </w:r>
      <w:r>
        <w:rPr>
          <w:rFonts w:hint="eastAsia"/>
          <w:szCs w:val="21"/>
        </w:rPr>
        <w:t xml:space="preserve">5.2 评标委员会</w:t>
      </w:r>
      <w:r>
        <w:tab/>
      </w:r>
      <w:r>
        <w:fldChar w:fldCharType="begin"/>
      </w:r>
      <w:r>
        <w:instrText xml:space="preserve"> PAGEREF _Toc20113 \h </w:instrText>
      </w:r>
      <w:r>
        <w:fldChar w:fldCharType="separate"/>
      </w:r>
      <w:r>
        <w:t xml:space="preserve">13</w:t>
      </w:r>
      <w:r>
        <w:fldChar w:fldCharType="end"/>
      </w:r>
      <w:r>
        <w:fldChar w:fldCharType="end"/>
      </w:r>
      <w:r/>
    </w:p>
    <w:p>
      <w:pPr>
        <w:pStyle w:val="1156"/>
        <w:tabs>
          <w:tab w:val="right" w:pos="8300" w:leader="dot"/>
        </w:tabs>
        <w:rPr>
          <w:rFonts w:hint="eastAsia"/>
        </w:rPr>
      </w:pPr>
      <w:r>
        <w:fldChar w:fldCharType="begin"/>
      </w:r>
      <w:r>
        <w:instrText xml:space="preserve"> HYPERLINK \l "_Toc15164" </w:instrText>
      </w:r>
      <w:r>
        <w:fldChar w:fldCharType="separate"/>
      </w:r>
      <w:r>
        <w:rPr>
          <w:rFonts w:hint="eastAsia"/>
          <w:szCs w:val="21"/>
        </w:rPr>
        <w:t xml:space="preserve">5.3 对投标文件的资格性审查和符合性审查</w:t>
      </w:r>
      <w:r>
        <w:tab/>
      </w:r>
      <w:r>
        <w:fldChar w:fldCharType="begin"/>
      </w:r>
      <w:r>
        <w:instrText xml:space="preserve"> PAGEREF _Toc15164 \h </w:instrText>
      </w:r>
      <w:r>
        <w:fldChar w:fldCharType="separate"/>
      </w:r>
      <w:r>
        <w:t xml:space="preserve">13</w:t>
      </w:r>
      <w:r>
        <w:fldChar w:fldCharType="end"/>
      </w:r>
      <w:r>
        <w:fldChar w:fldCharType="end"/>
      </w:r>
      <w:r/>
    </w:p>
    <w:p>
      <w:pPr>
        <w:pStyle w:val="1156"/>
        <w:tabs>
          <w:tab w:val="right" w:pos="8300" w:leader="dot"/>
        </w:tabs>
        <w:rPr>
          <w:rFonts w:hint="eastAsia"/>
        </w:rPr>
      </w:pPr>
      <w:r>
        <w:fldChar w:fldCharType="begin"/>
      </w:r>
      <w:r>
        <w:instrText xml:space="preserve"> HYPERLINK \l "_Toc10342" </w:instrText>
      </w:r>
      <w:r>
        <w:fldChar w:fldCharType="separate"/>
      </w:r>
      <w:r>
        <w:rPr>
          <w:rFonts w:hint="eastAsia"/>
          <w:szCs w:val="24"/>
        </w:rPr>
        <w:t xml:space="preserve">5.4投标文件的澄清</w:t>
      </w:r>
      <w:r>
        <w:tab/>
      </w:r>
      <w:r>
        <w:fldChar w:fldCharType="begin"/>
      </w:r>
      <w:r>
        <w:instrText xml:space="preserve"> PAGEREF _Toc10342 \h </w:instrText>
      </w:r>
      <w:r>
        <w:fldChar w:fldCharType="separate"/>
      </w:r>
      <w:r>
        <w:t xml:space="preserve">14</w:t>
      </w:r>
      <w:r>
        <w:fldChar w:fldCharType="end"/>
      </w:r>
      <w:r>
        <w:fldChar w:fldCharType="end"/>
      </w:r>
      <w:r/>
    </w:p>
    <w:p>
      <w:pPr>
        <w:pStyle w:val="1156"/>
        <w:tabs>
          <w:tab w:val="right" w:pos="8300" w:leader="dot"/>
        </w:tabs>
        <w:rPr>
          <w:rFonts w:hint="eastAsia"/>
        </w:rPr>
      </w:pPr>
      <w:r>
        <w:fldChar w:fldCharType="begin"/>
      </w:r>
      <w:r>
        <w:instrText xml:space="preserve"> HYPERLINK \l "_Toc29208" </w:instrText>
      </w:r>
      <w:r>
        <w:fldChar w:fldCharType="separate"/>
      </w:r>
      <w:r>
        <w:rPr>
          <w:rFonts w:hint="eastAsia"/>
          <w:szCs w:val="24"/>
        </w:rPr>
        <w:t xml:space="preserve">5.5评标及中标</w:t>
      </w:r>
      <w:r>
        <w:tab/>
      </w:r>
      <w:r>
        <w:fldChar w:fldCharType="begin"/>
      </w:r>
      <w:r>
        <w:instrText xml:space="preserve"> PAGEREF _Toc29208 \h </w:instrText>
      </w:r>
      <w:r>
        <w:fldChar w:fldCharType="separate"/>
      </w:r>
      <w:r>
        <w:t xml:space="preserve">14</w:t>
      </w:r>
      <w:r>
        <w:fldChar w:fldCharType="end"/>
      </w:r>
      <w:r>
        <w:fldChar w:fldCharType="end"/>
      </w:r>
      <w:r/>
    </w:p>
    <w:p>
      <w:pPr>
        <w:pStyle w:val="1156"/>
        <w:tabs>
          <w:tab w:val="right" w:pos="8300" w:leader="dot"/>
        </w:tabs>
        <w:rPr>
          <w:rFonts w:hint="eastAsia"/>
        </w:rPr>
      </w:pPr>
      <w:r>
        <w:fldChar w:fldCharType="begin"/>
      </w:r>
      <w:r>
        <w:instrText xml:space="preserve"> HYPERLINK \l "_Toc8548" </w:instrText>
      </w:r>
      <w:r>
        <w:fldChar w:fldCharType="separate"/>
      </w:r>
      <w:r>
        <w:rPr>
          <w:rFonts w:hint="eastAsia"/>
          <w:szCs w:val="24"/>
        </w:rPr>
        <w:t xml:space="preserve">5.6评标过程保密</w:t>
      </w:r>
      <w:r>
        <w:tab/>
      </w:r>
      <w:r>
        <w:fldChar w:fldCharType="begin"/>
      </w:r>
      <w:r>
        <w:instrText xml:space="preserve"> PAGEREF _Toc8548 \h </w:instrText>
      </w:r>
      <w:r>
        <w:fldChar w:fldCharType="separate"/>
      </w:r>
      <w:r>
        <w:t xml:space="preserve">14</w:t>
      </w:r>
      <w:r>
        <w:fldChar w:fldCharType="end"/>
      </w:r>
      <w:r>
        <w:fldChar w:fldCharType="end"/>
      </w:r>
      <w:r/>
    </w:p>
    <w:p>
      <w:pPr>
        <w:pStyle w:val="1156"/>
        <w:tabs>
          <w:tab w:val="right" w:pos="8300" w:leader="dot"/>
        </w:tabs>
        <w:rPr>
          <w:rFonts w:hint="eastAsia"/>
        </w:rPr>
      </w:pPr>
      <w:r>
        <w:fldChar w:fldCharType="begin"/>
      </w:r>
      <w:r>
        <w:instrText xml:space="preserve"> HYPERLINK \l "_Toc28298" </w:instrText>
      </w:r>
      <w:r>
        <w:fldChar w:fldCharType="separate"/>
      </w:r>
      <w:r>
        <w:rPr>
          <w:rFonts w:hint="eastAsia"/>
          <w:szCs w:val="24"/>
        </w:rPr>
        <w:t xml:space="preserve">5.7投标截止时间结束后参加供应商不足三家情况的处理</w:t>
      </w:r>
      <w:r>
        <w:tab/>
      </w:r>
      <w:r>
        <w:fldChar w:fldCharType="begin"/>
      </w:r>
      <w:r>
        <w:instrText xml:space="preserve"> PAGEREF _Toc28298 \h </w:instrText>
      </w:r>
      <w:r>
        <w:fldChar w:fldCharType="separate"/>
      </w:r>
      <w:r>
        <w:t xml:space="preserve">14</w:t>
      </w:r>
      <w:r>
        <w:fldChar w:fldCharType="end"/>
      </w:r>
      <w:r>
        <w:fldChar w:fldCharType="end"/>
      </w:r>
      <w:r/>
    </w:p>
    <w:p>
      <w:pPr>
        <w:pStyle w:val="1156"/>
        <w:tabs>
          <w:tab w:val="right" w:pos="8300" w:leader="dot"/>
        </w:tabs>
        <w:rPr>
          <w:rFonts w:hint="eastAsia"/>
        </w:rPr>
      </w:pPr>
      <w:r>
        <w:fldChar w:fldCharType="begin"/>
      </w:r>
      <w:r>
        <w:instrText xml:space="preserve"> HYPERLINK \l "_Toc13676" </w:instrText>
      </w:r>
      <w:r>
        <w:fldChar w:fldCharType="separate"/>
      </w:r>
      <w:r>
        <w:rPr>
          <w:rFonts w:hint="eastAsia"/>
          <w:szCs w:val="24"/>
        </w:rPr>
        <w:t xml:space="preserve">5.8废标（终止采购活动）</w:t>
      </w:r>
      <w:r>
        <w:tab/>
      </w:r>
      <w:r>
        <w:fldChar w:fldCharType="begin"/>
      </w:r>
      <w:r>
        <w:instrText xml:space="preserve"> PAGEREF _Toc13676 \h </w:instrText>
      </w:r>
      <w:r>
        <w:fldChar w:fldCharType="separate"/>
      </w:r>
      <w:r>
        <w:t xml:space="preserve">15</w:t>
      </w:r>
      <w:r>
        <w:fldChar w:fldCharType="end"/>
      </w:r>
      <w:r>
        <w:fldChar w:fldCharType="end"/>
      </w:r>
      <w:r/>
    </w:p>
    <w:p>
      <w:pPr>
        <w:pStyle w:val="1156"/>
        <w:tabs>
          <w:tab w:val="right" w:pos="8300" w:leader="dot"/>
        </w:tabs>
        <w:rPr>
          <w:rFonts w:hint="eastAsia"/>
        </w:rPr>
      </w:pPr>
      <w:r>
        <w:fldChar w:fldCharType="begin"/>
      </w:r>
      <w:r>
        <w:instrText xml:space="preserve"> HYPERLINK \l "_Toc22393" </w:instrText>
      </w:r>
      <w:r>
        <w:fldChar w:fldCharType="separate"/>
      </w:r>
      <w:r>
        <w:rPr>
          <w:rFonts w:hint="eastAsia"/>
          <w:szCs w:val="24"/>
        </w:rPr>
        <w:t xml:space="preserve">5.9有下列情形之一的，视为投标供应商串通投标，其投标无效：</w:t>
      </w:r>
      <w:r>
        <w:tab/>
      </w:r>
      <w:r>
        <w:fldChar w:fldCharType="begin"/>
      </w:r>
      <w:r>
        <w:instrText xml:space="preserve"> PAGEREF _Toc22393 \h </w:instrText>
      </w:r>
      <w:r>
        <w:fldChar w:fldCharType="separate"/>
      </w:r>
      <w:r>
        <w:t xml:space="preserve">15</w:t>
      </w:r>
      <w:r>
        <w:fldChar w:fldCharType="end"/>
      </w:r>
      <w:r>
        <w:fldChar w:fldCharType="end"/>
      </w:r>
      <w:r/>
    </w:p>
    <w:p>
      <w:pPr>
        <w:pStyle w:val="1168"/>
        <w:tabs>
          <w:tab w:val="right" w:pos="8300" w:leader="dot"/>
        </w:tabs>
        <w:rPr>
          <w:rFonts w:hint="eastAsia"/>
        </w:rPr>
      </w:pPr>
      <w:r>
        <w:fldChar w:fldCharType="begin"/>
      </w:r>
      <w:r>
        <w:instrText xml:space="preserve"> HYPERLINK \l "_Toc18476" </w:instrText>
      </w:r>
      <w:r>
        <w:fldChar w:fldCharType="separate"/>
      </w:r>
      <w:r>
        <w:rPr>
          <w:rFonts w:hint="eastAsia"/>
        </w:rPr>
        <w:t xml:space="preserve">六、合同授予及签订</w:t>
      </w:r>
      <w:r>
        <w:tab/>
      </w:r>
      <w:r>
        <w:fldChar w:fldCharType="begin"/>
      </w:r>
      <w:r>
        <w:instrText xml:space="preserve"> PAGEREF _Toc18476 \h </w:instrText>
      </w:r>
      <w:r>
        <w:fldChar w:fldCharType="separate"/>
      </w:r>
      <w:r>
        <w:t xml:space="preserve">15</w:t>
      </w:r>
      <w:r>
        <w:fldChar w:fldCharType="end"/>
      </w:r>
      <w:r>
        <w:fldChar w:fldCharType="end"/>
      </w:r>
      <w:r/>
    </w:p>
    <w:p>
      <w:pPr>
        <w:pStyle w:val="1156"/>
        <w:tabs>
          <w:tab w:val="right" w:pos="8300" w:leader="dot"/>
        </w:tabs>
        <w:rPr>
          <w:rFonts w:hint="eastAsia"/>
        </w:rPr>
      </w:pPr>
      <w:r>
        <w:fldChar w:fldCharType="begin"/>
      </w:r>
      <w:r>
        <w:instrText xml:space="preserve"> HYPERLINK \l "_Toc180" </w:instrText>
      </w:r>
      <w:r>
        <w:fldChar w:fldCharType="separate"/>
      </w:r>
      <w:r>
        <w:rPr>
          <w:rFonts w:hint="eastAsia"/>
          <w:szCs w:val="24"/>
        </w:rPr>
        <w:t xml:space="preserve">6.1确定中标、成交供应商</w:t>
      </w:r>
      <w:r>
        <w:tab/>
      </w:r>
      <w:r>
        <w:fldChar w:fldCharType="begin"/>
      </w:r>
      <w:r>
        <w:instrText xml:space="preserve"> PAGEREF _Toc180 \h </w:instrText>
      </w:r>
      <w:r>
        <w:fldChar w:fldCharType="separate"/>
      </w:r>
      <w:r>
        <w:t xml:space="preserve">15</w:t>
      </w:r>
      <w:r>
        <w:fldChar w:fldCharType="end"/>
      </w:r>
      <w:r>
        <w:fldChar w:fldCharType="end"/>
      </w:r>
      <w:r/>
    </w:p>
    <w:p>
      <w:pPr>
        <w:pStyle w:val="1156"/>
        <w:tabs>
          <w:tab w:val="right" w:pos="8300" w:leader="dot"/>
        </w:tabs>
        <w:rPr>
          <w:rFonts w:hint="eastAsia"/>
        </w:rPr>
      </w:pPr>
      <w:r>
        <w:fldChar w:fldCharType="begin"/>
      </w:r>
      <w:r>
        <w:instrText xml:space="preserve"> HYPERLINK \l "_Toc18853" </w:instrText>
      </w:r>
      <w:r>
        <w:fldChar w:fldCharType="separate"/>
      </w:r>
      <w:r>
        <w:rPr>
          <w:rFonts w:hint="eastAsia"/>
          <w:szCs w:val="24"/>
        </w:rPr>
        <w:t xml:space="preserve">6.2质疑处理</w:t>
      </w:r>
      <w:r>
        <w:tab/>
      </w:r>
      <w:r>
        <w:fldChar w:fldCharType="begin"/>
      </w:r>
      <w:r>
        <w:instrText xml:space="preserve"> PAGEREF _Toc18853 \h </w:instrText>
      </w:r>
      <w:r>
        <w:fldChar w:fldCharType="separate"/>
      </w:r>
      <w:r>
        <w:t xml:space="preserve">16</w:t>
      </w:r>
      <w:r>
        <w:fldChar w:fldCharType="end"/>
      </w:r>
      <w:r>
        <w:fldChar w:fldCharType="end"/>
      </w:r>
      <w:r/>
    </w:p>
    <w:p>
      <w:pPr>
        <w:pStyle w:val="1156"/>
        <w:tabs>
          <w:tab w:val="right" w:pos="8300" w:leader="dot"/>
        </w:tabs>
        <w:rPr>
          <w:rFonts w:hint="eastAsia"/>
        </w:rPr>
      </w:pPr>
      <w:r>
        <w:fldChar w:fldCharType="begin"/>
      </w:r>
      <w:r>
        <w:instrText xml:space="preserve"> HYPERLINK \l "_Toc8162" </w:instrText>
      </w:r>
      <w:r>
        <w:fldChar w:fldCharType="separate"/>
      </w:r>
      <w:r>
        <w:rPr>
          <w:rFonts w:hint="eastAsia"/>
          <w:szCs w:val="24"/>
        </w:rPr>
        <w:t xml:space="preserve">6.3中标通知书</w:t>
      </w:r>
      <w:r>
        <w:tab/>
      </w:r>
      <w:r>
        <w:fldChar w:fldCharType="begin"/>
      </w:r>
      <w:r>
        <w:instrText xml:space="preserve"> PAGEREF _Toc8162 \h </w:instrText>
      </w:r>
      <w:r>
        <w:fldChar w:fldCharType="separate"/>
      </w:r>
      <w:r>
        <w:t xml:space="preserve">16</w:t>
      </w:r>
      <w:r>
        <w:fldChar w:fldCharType="end"/>
      </w:r>
      <w:r>
        <w:fldChar w:fldCharType="end"/>
      </w:r>
      <w:r/>
    </w:p>
    <w:p>
      <w:pPr>
        <w:pStyle w:val="1156"/>
        <w:tabs>
          <w:tab w:val="right" w:pos="8300" w:leader="dot"/>
        </w:tabs>
        <w:rPr>
          <w:rFonts w:hint="eastAsia"/>
        </w:rPr>
      </w:pPr>
      <w:r>
        <w:fldChar w:fldCharType="begin"/>
      </w:r>
      <w:r>
        <w:instrText xml:space="preserve"> HYPERLINK \l "_Toc12265" </w:instrText>
      </w:r>
      <w:r>
        <w:fldChar w:fldCharType="separate"/>
      </w:r>
      <w:r>
        <w:rPr>
          <w:rFonts w:hint="eastAsia"/>
          <w:szCs w:val="24"/>
        </w:rPr>
        <w:t xml:space="preserve">6.4签订合同</w:t>
      </w:r>
      <w:r>
        <w:tab/>
      </w:r>
      <w:r>
        <w:fldChar w:fldCharType="begin"/>
      </w:r>
      <w:r>
        <w:instrText xml:space="preserve"> PAGEREF _Toc12265 \h </w:instrText>
      </w:r>
      <w:r>
        <w:fldChar w:fldCharType="separate"/>
      </w:r>
      <w:r>
        <w:t xml:space="preserve">16</w:t>
      </w:r>
      <w:r>
        <w:fldChar w:fldCharType="end"/>
      </w:r>
      <w:r>
        <w:fldChar w:fldCharType="end"/>
      </w:r>
      <w:r/>
    </w:p>
    <w:p>
      <w:pPr>
        <w:pStyle w:val="1162"/>
        <w:tabs>
          <w:tab w:val="right" w:pos="8300" w:leader="dot"/>
        </w:tabs>
        <w:rPr>
          <w:rFonts w:hint="eastAsia"/>
        </w:rPr>
      </w:pPr>
      <w:r>
        <w:fldChar w:fldCharType="begin"/>
      </w:r>
      <w:r>
        <w:instrText xml:space="preserve"> HYPERLINK \l "_Toc5580" </w:instrText>
      </w:r>
      <w:r>
        <w:fldChar w:fldCharType="separate"/>
      </w:r>
      <w:r>
        <w:rPr>
          <w:rFonts w:hint="eastAsia"/>
          <w:szCs w:val="32"/>
        </w:rPr>
        <w:t xml:space="preserve">第三章 评标办法和定标原则</w:t>
      </w:r>
      <w:r>
        <w:tab/>
      </w:r>
      <w:r>
        <w:fldChar w:fldCharType="begin"/>
      </w:r>
      <w:r>
        <w:instrText xml:space="preserve"> PAGEREF _Toc5580 \h </w:instrText>
      </w:r>
      <w:r>
        <w:fldChar w:fldCharType="separate"/>
      </w:r>
      <w:r>
        <w:t xml:space="preserve">18</w:t>
      </w:r>
      <w:r>
        <w:fldChar w:fldCharType="end"/>
      </w:r>
      <w:r>
        <w:fldChar w:fldCharType="end"/>
      </w:r>
      <w:r/>
    </w:p>
    <w:p>
      <w:pPr>
        <w:pStyle w:val="1162"/>
        <w:tabs>
          <w:tab w:val="right" w:pos="8300" w:leader="dot"/>
        </w:tabs>
        <w:rPr>
          <w:rFonts w:hint="eastAsia"/>
        </w:rPr>
      </w:pPr>
      <w:r>
        <w:fldChar w:fldCharType="begin"/>
      </w:r>
      <w:r>
        <w:instrText xml:space="preserve"> HYPERLINK \l "_Toc30639" </w:instrText>
      </w:r>
      <w:r>
        <w:fldChar w:fldCharType="separate"/>
      </w:r>
      <w:r>
        <w:rPr>
          <w:rFonts w:hint="eastAsia"/>
          <w:szCs w:val="32"/>
        </w:rPr>
        <w:t xml:space="preserve">第四章 项目采购需求</w:t>
      </w:r>
      <w:r>
        <w:tab/>
      </w:r>
      <w:r>
        <w:fldChar w:fldCharType="begin"/>
      </w:r>
      <w:r>
        <w:instrText xml:space="preserve"> PAGEREF _Toc30639 \h </w:instrText>
      </w:r>
      <w:r>
        <w:fldChar w:fldCharType="separate"/>
      </w:r>
      <w:r>
        <w:t xml:space="preserve">23</w:t>
      </w:r>
      <w:r>
        <w:fldChar w:fldCharType="end"/>
      </w:r>
      <w:r>
        <w:fldChar w:fldCharType="end"/>
      </w:r>
      <w:r/>
    </w:p>
    <w:p>
      <w:pPr>
        <w:pStyle w:val="1162"/>
        <w:tabs>
          <w:tab w:val="right" w:pos="8300" w:leader="dot"/>
        </w:tabs>
        <w:rPr>
          <w:rFonts w:hint="eastAsia"/>
        </w:rPr>
      </w:pPr>
      <w:r>
        <w:fldChar w:fldCharType="begin"/>
      </w:r>
      <w:r>
        <w:instrText xml:space="preserve"> HYPERLINK \l "_Toc22291" </w:instrText>
      </w:r>
      <w:r>
        <w:fldChar w:fldCharType="separate"/>
      </w:r>
      <w:r>
        <w:rPr>
          <w:rFonts w:hint="eastAsia"/>
          <w:szCs w:val="32"/>
        </w:rPr>
        <w:t xml:space="preserve">第五章 采购合同</w:t>
      </w:r>
      <w:r>
        <w:tab/>
      </w:r>
      <w:r>
        <w:fldChar w:fldCharType="begin"/>
      </w:r>
      <w:r>
        <w:instrText xml:space="preserve"> PAGEREF _Toc22291 \h </w:instrText>
      </w:r>
      <w:r>
        <w:fldChar w:fldCharType="separate"/>
      </w:r>
      <w:r>
        <w:t xml:space="preserve">28</w:t>
      </w:r>
      <w:r>
        <w:fldChar w:fldCharType="end"/>
      </w:r>
      <w:r>
        <w:fldChar w:fldCharType="end"/>
      </w:r>
      <w:r/>
    </w:p>
    <w:p>
      <w:pPr>
        <w:pStyle w:val="1162"/>
        <w:tabs>
          <w:tab w:val="right" w:pos="8300" w:leader="dot"/>
        </w:tabs>
        <w:rPr>
          <w:rFonts w:hint="eastAsia"/>
        </w:rPr>
      </w:pPr>
      <w:r>
        <w:fldChar w:fldCharType="begin"/>
      </w:r>
      <w:r>
        <w:instrText xml:space="preserve"> HYPERLINK \l "_Toc10932" </w:instrText>
      </w:r>
      <w:r>
        <w:fldChar w:fldCharType="separate"/>
      </w:r>
      <w:r>
        <w:rPr>
          <w:rFonts w:hint="eastAsia"/>
        </w:rPr>
        <w:t xml:space="preserve">第六章 投标文件格式及附件</w:t>
      </w:r>
      <w:r>
        <w:tab/>
      </w:r>
      <w:r>
        <w:fldChar w:fldCharType="begin"/>
      </w:r>
      <w:r>
        <w:instrText xml:space="preserve"> PAGEREF _Toc10932 \h </w:instrText>
      </w:r>
      <w:r>
        <w:fldChar w:fldCharType="separate"/>
      </w:r>
      <w:r>
        <w:t xml:space="preserve">36</w:t>
      </w:r>
      <w:r>
        <w:fldChar w:fldCharType="end"/>
      </w:r>
      <w:r>
        <w:fldChar w:fldCharType="end"/>
      </w:r>
      <w:r/>
    </w:p>
    <w:p>
      <w:pPr>
        <w:pStyle w:val="1168"/>
        <w:tabs>
          <w:tab w:val="right" w:pos="8300" w:leader="dot"/>
        </w:tabs>
        <w:rPr>
          <w:rFonts w:hint="eastAsia"/>
        </w:rPr>
      </w:pPr>
      <w:r>
        <w:fldChar w:fldCharType="begin"/>
      </w:r>
      <w:r>
        <w:instrText xml:space="preserve"> HYPERLINK \l "_Toc6040" </w:instrText>
      </w:r>
      <w:r>
        <w:fldChar w:fldCharType="separate"/>
      </w:r>
      <w:r>
        <w:rPr>
          <w:rFonts w:hint="eastAsia"/>
          <w:bCs/>
          <w:szCs w:val="32"/>
        </w:rPr>
        <w:t xml:space="preserve">一、投标函、投标报价及项目相关文件</w:t>
      </w:r>
      <w:r>
        <w:tab/>
      </w:r>
      <w:r>
        <w:fldChar w:fldCharType="begin"/>
      </w:r>
      <w:r>
        <w:instrText xml:space="preserve"> PAGEREF _Toc6040 \h </w:instrText>
      </w:r>
      <w:r>
        <w:fldChar w:fldCharType="separate"/>
      </w:r>
      <w:r>
        <w:t xml:space="preserve">41</w:t>
      </w:r>
      <w:r>
        <w:fldChar w:fldCharType="end"/>
      </w:r>
      <w:r>
        <w:fldChar w:fldCharType="end"/>
      </w:r>
      <w:r/>
    </w:p>
    <w:p>
      <w:pPr>
        <w:pStyle w:val="1156"/>
        <w:tabs>
          <w:tab w:val="right" w:pos="8300" w:leader="dot"/>
        </w:tabs>
        <w:rPr>
          <w:rFonts w:hint="eastAsia"/>
        </w:rPr>
      </w:pPr>
      <w:r>
        <w:fldChar w:fldCharType="begin"/>
      </w:r>
      <w:r>
        <w:instrText xml:space="preserve"> HYPERLINK \l "_Toc8710" </w:instrText>
      </w:r>
      <w:r>
        <w:fldChar w:fldCharType="separate"/>
      </w:r>
      <w:r>
        <w:rPr>
          <w:rFonts w:hint="eastAsia"/>
          <w:szCs w:val="24"/>
        </w:rPr>
        <w:t xml:space="preserve">1.投标函</w:t>
      </w:r>
      <w:r>
        <w:tab/>
      </w:r>
      <w:r>
        <w:fldChar w:fldCharType="begin"/>
      </w:r>
      <w:r>
        <w:instrText xml:space="preserve"> PAGEREF _Toc8710 \h </w:instrText>
      </w:r>
      <w:r>
        <w:fldChar w:fldCharType="separate"/>
      </w:r>
      <w:r>
        <w:t xml:space="preserve">41</w:t>
      </w:r>
      <w:r>
        <w:fldChar w:fldCharType="end"/>
      </w:r>
      <w:r>
        <w:fldChar w:fldCharType="end"/>
      </w:r>
      <w:r/>
    </w:p>
    <w:p>
      <w:pPr>
        <w:pStyle w:val="1156"/>
        <w:tabs>
          <w:tab w:val="right" w:pos="8300" w:leader="dot"/>
        </w:tabs>
        <w:rPr>
          <w:rFonts w:hint="eastAsia"/>
        </w:rPr>
      </w:pPr>
      <w:r>
        <w:fldChar w:fldCharType="begin"/>
      </w:r>
      <w:r>
        <w:instrText xml:space="preserve"> HYPERLINK \l "_Toc13853" </w:instrText>
      </w:r>
      <w:r>
        <w:fldChar w:fldCharType="separate"/>
      </w:r>
      <w:r>
        <w:rPr>
          <w:rFonts w:hint="eastAsia"/>
          <w:szCs w:val="24"/>
        </w:rPr>
        <w:t xml:space="preserve">2.开标一览表</w:t>
      </w:r>
      <w:r>
        <w:tab/>
      </w:r>
      <w:r>
        <w:fldChar w:fldCharType="begin"/>
      </w:r>
      <w:r>
        <w:instrText xml:space="preserve"> PAGEREF _Toc13853 \h </w:instrText>
      </w:r>
      <w:r>
        <w:fldChar w:fldCharType="separate"/>
      </w:r>
      <w:r>
        <w:t xml:space="preserve">42</w:t>
      </w:r>
      <w:r>
        <w:fldChar w:fldCharType="end"/>
      </w:r>
      <w:r>
        <w:fldChar w:fldCharType="end"/>
      </w:r>
      <w:r/>
    </w:p>
    <w:p>
      <w:pPr>
        <w:pStyle w:val="1156"/>
        <w:tabs>
          <w:tab w:val="right" w:pos="8300" w:leader="dot"/>
        </w:tabs>
        <w:rPr>
          <w:rFonts w:hint="eastAsia"/>
        </w:rPr>
      </w:pPr>
      <w:r>
        <w:fldChar w:fldCharType="begin"/>
      </w:r>
      <w:r>
        <w:instrText xml:space="preserve"> HYPERLINK \l "_Toc11171" </w:instrText>
      </w:r>
      <w:r>
        <w:fldChar w:fldCharType="separate"/>
      </w:r>
      <w:r>
        <w:rPr>
          <w:rFonts w:hint="eastAsia"/>
          <w:szCs w:val="24"/>
        </w:rPr>
        <w:t xml:space="preserve">3.</w:t>
      </w:r>
      <w:r>
        <w:rPr>
          <w:rFonts w:hint="eastAsia"/>
          <w:szCs w:val="28"/>
        </w:rPr>
        <w:t xml:space="preserve">投标报价明细表</w:t>
      </w:r>
      <w:r>
        <w:tab/>
      </w:r>
      <w:r>
        <w:fldChar w:fldCharType="begin"/>
      </w:r>
      <w:r>
        <w:instrText xml:space="preserve"> PAGEREF _Toc11171 \h </w:instrText>
      </w:r>
      <w:r>
        <w:fldChar w:fldCharType="separate"/>
      </w:r>
      <w:r>
        <w:t xml:space="preserve">43</w:t>
      </w:r>
      <w:r>
        <w:fldChar w:fldCharType="end"/>
      </w:r>
      <w:r>
        <w:fldChar w:fldCharType="end"/>
      </w:r>
      <w:r/>
    </w:p>
    <w:p>
      <w:pPr>
        <w:pStyle w:val="1156"/>
        <w:tabs>
          <w:tab w:val="right" w:pos="8300" w:leader="dot"/>
        </w:tabs>
        <w:rPr>
          <w:rFonts w:hint="eastAsia"/>
        </w:rPr>
      </w:pPr>
      <w:r>
        <w:fldChar w:fldCharType="begin"/>
      </w:r>
      <w:r>
        <w:instrText xml:space="preserve"> HYPERLINK \l "_Toc4581" </w:instrText>
      </w:r>
      <w:r>
        <w:fldChar w:fldCharType="separate"/>
      </w:r>
      <w:r>
        <w:rPr>
          <w:rFonts w:hint="eastAsia"/>
          <w:bCs/>
          <w:szCs w:val="24"/>
        </w:rPr>
        <w:t xml:space="preserve">4.技术要求响应表</w:t>
      </w:r>
      <w:r>
        <w:tab/>
      </w:r>
      <w:r>
        <w:fldChar w:fldCharType="begin"/>
      </w:r>
      <w:r>
        <w:instrText xml:space="preserve"> PAGEREF _Toc4581 \h </w:instrText>
      </w:r>
      <w:r>
        <w:fldChar w:fldCharType="separate"/>
      </w:r>
      <w:r>
        <w:t xml:space="preserve">44</w:t>
      </w:r>
      <w:r>
        <w:fldChar w:fldCharType="end"/>
      </w:r>
      <w:r>
        <w:fldChar w:fldCharType="end"/>
      </w:r>
      <w:r/>
    </w:p>
    <w:p>
      <w:pPr>
        <w:pStyle w:val="1156"/>
        <w:tabs>
          <w:tab w:val="right" w:pos="8300" w:leader="dot"/>
        </w:tabs>
        <w:rPr>
          <w:rFonts w:hint="eastAsia"/>
        </w:rPr>
      </w:pPr>
      <w:r>
        <w:fldChar w:fldCharType="begin"/>
      </w:r>
      <w:r>
        <w:instrText xml:space="preserve"> HYPERLINK \l "_Toc13843" </w:instrText>
      </w:r>
      <w:r>
        <w:fldChar w:fldCharType="separate"/>
      </w:r>
      <w:r>
        <w:rPr>
          <w:rFonts w:hint="eastAsia"/>
          <w:szCs w:val="24"/>
        </w:rPr>
        <w:t xml:space="preserve">5.商务要求响应表</w:t>
      </w:r>
      <w:r>
        <w:tab/>
      </w:r>
      <w:r>
        <w:fldChar w:fldCharType="begin"/>
      </w:r>
      <w:r>
        <w:instrText xml:space="preserve"> PAGEREF _Toc13843 \h </w:instrText>
      </w:r>
      <w:r>
        <w:fldChar w:fldCharType="separate"/>
      </w:r>
      <w:r>
        <w:t xml:space="preserve">45</w:t>
      </w:r>
      <w:r>
        <w:fldChar w:fldCharType="end"/>
      </w:r>
      <w:r>
        <w:fldChar w:fldCharType="end"/>
      </w:r>
      <w:r/>
    </w:p>
    <w:p>
      <w:pPr>
        <w:pStyle w:val="1156"/>
        <w:tabs>
          <w:tab w:val="right" w:pos="8300" w:leader="dot"/>
        </w:tabs>
        <w:rPr>
          <w:rFonts w:hint="eastAsia"/>
        </w:rPr>
      </w:pPr>
      <w:r>
        <w:fldChar w:fldCharType="begin"/>
      </w:r>
      <w:r>
        <w:instrText xml:space="preserve"> HYPERLINK \l "_Toc606" </w:instrText>
      </w:r>
      <w:r>
        <w:fldChar w:fldCharType="separate"/>
      </w:r>
      <w:r>
        <w:rPr>
          <w:rFonts w:hint="eastAsia"/>
          <w:szCs w:val="24"/>
        </w:rPr>
        <w:t xml:space="preserve">6.项目实施方案</w:t>
      </w:r>
      <w:r>
        <w:tab/>
      </w:r>
      <w:r>
        <w:fldChar w:fldCharType="begin"/>
      </w:r>
      <w:r>
        <w:instrText xml:space="preserve"> PAGEREF _Toc606 \h </w:instrText>
      </w:r>
      <w:r>
        <w:fldChar w:fldCharType="separate"/>
      </w:r>
      <w:r>
        <w:t xml:space="preserve">46</w:t>
      </w:r>
      <w:r>
        <w:fldChar w:fldCharType="end"/>
      </w:r>
      <w:r>
        <w:fldChar w:fldCharType="end"/>
      </w:r>
      <w:r/>
    </w:p>
    <w:p>
      <w:pPr>
        <w:pStyle w:val="1156"/>
        <w:tabs>
          <w:tab w:val="right" w:pos="8300" w:leader="dot"/>
        </w:tabs>
        <w:rPr>
          <w:rFonts w:hint="eastAsia"/>
        </w:rPr>
      </w:pPr>
      <w:r>
        <w:fldChar w:fldCharType="begin"/>
      </w:r>
      <w:r>
        <w:instrText xml:space="preserve"> HYPERLINK \l "_Toc31213" </w:instrText>
      </w:r>
      <w:r>
        <w:fldChar w:fldCharType="separate"/>
      </w:r>
      <w:r>
        <w:rPr>
          <w:rFonts w:hint="eastAsia"/>
          <w:szCs w:val="24"/>
        </w:rPr>
        <w:t xml:space="preserve">7.售后服务方案</w:t>
      </w:r>
      <w:r>
        <w:tab/>
      </w:r>
      <w:r>
        <w:fldChar w:fldCharType="begin"/>
      </w:r>
      <w:r>
        <w:instrText xml:space="preserve"> PAGEREF _Toc31213 \h </w:instrText>
      </w:r>
      <w:r>
        <w:fldChar w:fldCharType="separate"/>
      </w:r>
      <w:r>
        <w:t xml:space="preserve">46</w:t>
      </w:r>
      <w:r>
        <w:fldChar w:fldCharType="end"/>
      </w:r>
      <w:r>
        <w:fldChar w:fldCharType="end"/>
      </w:r>
      <w:r/>
    </w:p>
    <w:p>
      <w:pPr>
        <w:pStyle w:val="1156"/>
        <w:tabs>
          <w:tab w:val="right" w:pos="8300" w:leader="dot"/>
        </w:tabs>
        <w:rPr>
          <w:rFonts w:hint="eastAsia"/>
        </w:rPr>
      </w:pPr>
      <w:r>
        <w:fldChar w:fldCharType="begin"/>
      </w:r>
      <w:r>
        <w:instrText xml:space="preserve"> HYPERLINK \l "_Toc10525" </w:instrText>
      </w:r>
      <w:r>
        <w:fldChar w:fldCharType="separate"/>
      </w:r>
      <w:r>
        <w:rPr>
          <w:rFonts w:hint="eastAsia"/>
          <w:szCs w:val="24"/>
        </w:rPr>
        <w:t xml:space="preserve">8.经营业绩（提供合同复印件）</w:t>
      </w:r>
      <w:r>
        <w:tab/>
      </w:r>
      <w:r>
        <w:fldChar w:fldCharType="begin"/>
      </w:r>
      <w:r>
        <w:instrText xml:space="preserve"> PAGEREF _Toc10525 \h </w:instrText>
      </w:r>
      <w:r>
        <w:fldChar w:fldCharType="separate"/>
      </w:r>
      <w:r>
        <w:t xml:space="preserve">47</w:t>
      </w:r>
      <w:r>
        <w:fldChar w:fldCharType="end"/>
      </w:r>
      <w:r>
        <w:fldChar w:fldCharType="end"/>
      </w:r>
      <w:r/>
    </w:p>
    <w:p>
      <w:pPr>
        <w:pStyle w:val="1168"/>
        <w:tabs>
          <w:tab w:val="right" w:pos="8300" w:leader="dot"/>
        </w:tabs>
        <w:rPr>
          <w:rFonts w:hint="eastAsia"/>
        </w:rPr>
      </w:pPr>
      <w:r>
        <w:fldChar w:fldCharType="begin"/>
      </w:r>
      <w:r>
        <w:instrText xml:space="preserve"> HYPERLINK \l "_Toc6245" </w:instrText>
      </w:r>
      <w:r>
        <w:fldChar w:fldCharType="separate"/>
      </w:r>
      <w:r>
        <w:rPr>
          <w:rFonts w:hint="eastAsia"/>
          <w:bCs/>
          <w:szCs w:val="32"/>
        </w:rPr>
        <w:t xml:space="preserve">二、 资格证明文件格式</w:t>
      </w:r>
      <w:r>
        <w:tab/>
      </w:r>
      <w:r>
        <w:fldChar w:fldCharType="begin"/>
      </w:r>
      <w:r>
        <w:instrText xml:space="preserve"> PAGEREF _Toc6245 \h </w:instrText>
      </w:r>
      <w:r>
        <w:fldChar w:fldCharType="separate"/>
      </w:r>
      <w:r>
        <w:t xml:space="preserve">48</w:t>
      </w:r>
      <w:r>
        <w:fldChar w:fldCharType="end"/>
      </w:r>
      <w:r>
        <w:fldChar w:fldCharType="end"/>
      </w:r>
      <w:r/>
    </w:p>
    <w:p>
      <w:pPr>
        <w:pStyle w:val="1156"/>
        <w:tabs>
          <w:tab w:val="right" w:pos="8300" w:leader="dot"/>
        </w:tabs>
        <w:rPr>
          <w:rFonts w:hint="eastAsia"/>
        </w:rPr>
      </w:pPr>
      <w:r>
        <w:fldChar w:fldCharType="begin"/>
      </w:r>
      <w:r>
        <w:instrText xml:space="preserve"> HYPERLINK \l "_Toc22706" </w:instrText>
      </w:r>
      <w:r>
        <w:fldChar w:fldCharType="separate"/>
      </w:r>
      <w:r>
        <w:rPr>
          <w:rFonts w:hint="eastAsia"/>
          <w:bCs/>
          <w:szCs w:val="28"/>
        </w:rPr>
        <w:t xml:space="preserve">法人授权委托书</w:t>
      </w:r>
      <w:r>
        <w:tab/>
      </w:r>
      <w:r>
        <w:fldChar w:fldCharType="begin"/>
      </w:r>
      <w:r>
        <w:instrText xml:space="preserve"> PAGEREF _Toc22706 \h </w:instrText>
      </w:r>
      <w:r>
        <w:fldChar w:fldCharType="separate"/>
      </w:r>
      <w:r>
        <w:t xml:space="preserve">53</w:t>
      </w:r>
      <w:r>
        <w:fldChar w:fldCharType="end"/>
      </w:r>
      <w:r>
        <w:fldChar w:fldCharType="end"/>
      </w:r>
      <w:r/>
    </w:p>
    <w:p>
      <w:pPr>
        <w:pStyle w:val="1168"/>
        <w:tabs>
          <w:tab w:val="right" w:pos="8300" w:leader="dot"/>
        </w:tabs>
        <w:rPr>
          <w:rFonts w:hint="eastAsia"/>
        </w:rPr>
      </w:pPr>
      <w:r>
        <w:fldChar w:fldCharType="begin"/>
      </w:r>
      <w:r>
        <w:instrText xml:space="preserve"> HYPERLINK \l "_Toc8014" </w:instrText>
      </w:r>
      <w:r>
        <w:fldChar w:fldCharType="separate"/>
      </w:r>
      <w:r>
        <w:rPr>
          <w:rFonts w:hint="eastAsia"/>
          <w:bCs/>
        </w:rPr>
        <w:t xml:space="preserve">三、其他相关附表格式</w:t>
      </w:r>
      <w:r>
        <w:tab/>
      </w:r>
      <w:r>
        <w:fldChar w:fldCharType="begin"/>
      </w:r>
      <w:r>
        <w:instrText xml:space="preserve"> PAGEREF _Toc8014 \h </w:instrText>
      </w:r>
      <w:r>
        <w:fldChar w:fldCharType="separate"/>
      </w:r>
      <w:r>
        <w:t xml:space="preserve">55</w:t>
      </w:r>
      <w:r>
        <w:fldChar w:fldCharType="end"/>
      </w:r>
      <w:r>
        <w:fldChar w:fldCharType="end"/>
      </w:r>
      <w:r/>
    </w:p>
    <w:p>
      <w:pPr>
        <w:pStyle w:val="1156"/>
        <w:tabs>
          <w:tab w:val="right" w:pos="8300" w:leader="dot"/>
        </w:tabs>
        <w:rPr>
          <w:rFonts w:hint="eastAsia"/>
        </w:rPr>
      </w:pPr>
      <w:r>
        <w:fldChar w:fldCharType="begin"/>
      </w:r>
      <w:r>
        <w:instrText xml:space="preserve"> HYPERLINK \l "_Toc24348" </w:instrText>
      </w:r>
      <w:r>
        <w:fldChar w:fldCharType="separate"/>
      </w:r>
      <w:r>
        <w:rPr>
          <w:rFonts w:hint="eastAsia"/>
          <w:bCs/>
          <w:szCs w:val="24"/>
        </w:rPr>
        <w:t xml:space="preserve">附件1.中小企业声明函</w:t>
      </w:r>
      <w:r>
        <w:tab/>
      </w:r>
      <w:r>
        <w:fldChar w:fldCharType="begin"/>
      </w:r>
      <w:r>
        <w:instrText xml:space="preserve"> PAGEREF _Toc24348 \h </w:instrText>
      </w:r>
      <w:r>
        <w:fldChar w:fldCharType="separate"/>
      </w:r>
      <w:r>
        <w:t xml:space="preserve">56</w:t>
      </w:r>
      <w:r>
        <w:fldChar w:fldCharType="end"/>
      </w:r>
      <w:r>
        <w:fldChar w:fldCharType="end"/>
      </w:r>
      <w:r/>
    </w:p>
    <w:p>
      <w:pPr>
        <w:pStyle w:val="1156"/>
        <w:tabs>
          <w:tab w:val="right" w:pos="8300" w:leader="dot"/>
        </w:tabs>
        <w:rPr>
          <w:rFonts w:hint="eastAsia"/>
        </w:rPr>
      </w:pPr>
      <w:r>
        <w:fldChar w:fldCharType="begin"/>
      </w:r>
      <w:r>
        <w:instrText xml:space="preserve"> HYPERLINK \l "_Toc9790" </w:instrText>
      </w:r>
      <w:r>
        <w:fldChar w:fldCharType="separate"/>
      </w:r>
      <w:r>
        <w:rPr>
          <w:rFonts w:hint="eastAsia"/>
          <w:bCs/>
          <w:szCs w:val="24"/>
        </w:rPr>
        <w:t xml:space="preserve">附件2.残疾人福利性单位声明函</w:t>
      </w:r>
      <w:r>
        <w:tab/>
      </w:r>
      <w:r>
        <w:fldChar w:fldCharType="begin"/>
      </w:r>
      <w:r>
        <w:instrText xml:space="preserve"> PAGEREF _Toc9790 \h </w:instrText>
      </w:r>
      <w:r>
        <w:fldChar w:fldCharType="separate"/>
      </w:r>
      <w:r>
        <w:t xml:space="preserve">58</w:t>
      </w:r>
      <w:r>
        <w:fldChar w:fldCharType="end"/>
      </w:r>
      <w:r>
        <w:fldChar w:fldCharType="end"/>
      </w:r>
      <w:r/>
    </w:p>
    <w:p>
      <w:pPr>
        <w:pStyle w:val="1156"/>
        <w:tabs>
          <w:tab w:val="right" w:pos="8300" w:leader="dot"/>
        </w:tabs>
        <w:rPr>
          <w:rFonts w:hint="eastAsia"/>
        </w:rPr>
      </w:pPr>
      <w:r>
        <w:fldChar w:fldCharType="begin"/>
      </w:r>
      <w:r>
        <w:instrText xml:space="preserve"> HYPERLINK \l "_Toc14568" </w:instrText>
      </w:r>
      <w:r>
        <w:fldChar w:fldCharType="separate"/>
      </w:r>
      <w:r>
        <w:rPr>
          <w:rFonts w:hint="eastAsia"/>
          <w:szCs w:val="24"/>
        </w:rPr>
        <w:t xml:space="preserve">附件3.关于符合本国产品标准的声明函</w:t>
      </w:r>
      <w:r>
        <w:tab/>
      </w:r>
      <w:r>
        <w:fldChar w:fldCharType="begin"/>
      </w:r>
      <w:r>
        <w:instrText xml:space="preserve"> PAGEREF _Toc14568 \h </w:instrText>
      </w:r>
      <w:r>
        <w:fldChar w:fldCharType="separate"/>
      </w:r>
      <w:r>
        <w:t xml:space="preserve">59</w:t>
      </w:r>
      <w:r>
        <w:fldChar w:fldCharType="end"/>
      </w:r>
      <w:r>
        <w:fldChar w:fldCharType="end"/>
      </w:r>
      <w:r/>
    </w:p>
    <w:p>
      <w:pPr>
        <w:rPr>
          <w:rFonts w:hint="eastAsia" w:ascii="微软雅黑" w:hAnsi="微软雅黑" w:cs="微软雅黑"/>
        </w:rPr>
      </w:pPr>
      <w:r>
        <w:rPr>
          <w:rFonts w:hint="eastAsia" w:ascii="微软雅黑" w:hAnsi="微软雅黑" w:cs="微软雅黑"/>
        </w:rPr>
        <w:fldChar w:fldCharType="end"/>
      </w:r>
      <w:r/>
    </w:p>
    <w:p>
      <w:r/>
      <w:r/>
    </w:p>
    <w:p>
      <w:r/>
      <w:r/>
    </w:p>
    <w:p>
      <w:pPr>
        <w:pStyle w:val="1147"/>
        <w:spacing w:line="360" w:lineRule="exact"/>
        <w:sectPr>
          <w:headerReference w:type="default" r:id="rId11"/>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
    </w:p>
    <w:p>
      <w:pPr>
        <w:pStyle w:val="1352"/>
        <w:keepNext w:val="0"/>
        <w:spacing w:line="360" w:lineRule="exact"/>
        <w:rPr>
          <w:rStyle w:val="1402"/>
          <w:rFonts w:hint="eastAsia" w:ascii="微软雅黑" w:hAnsi="微软雅黑" w:cs="微软雅黑"/>
          <w:sz w:val="32"/>
          <w:szCs w:val="32"/>
        </w:rPr>
      </w:pPr>
      <w:r/>
      <w:bookmarkStart w:id="3" w:name="_Toc23488"/>
      <w:r/>
      <w:bookmarkStart w:id="4" w:name="_Toc68"/>
      <w:r>
        <w:rPr>
          <w:rFonts w:hint="eastAsia" w:ascii="微软雅黑" w:hAnsi="微软雅黑" w:cs="微软雅黑"/>
          <w:bCs w:val="0"/>
          <w:szCs w:val="32"/>
        </w:rPr>
        <w:t xml:space="preserve">第一章 投标邀请（采购公告</w:t>
      </w:r>
      <w:bookmarkEnd w:id="0"/>
      <w:r>
        <w:rPr>
          <w:rFonts w:hint="eastAsia" w:ascii="微软雅黑" w:hAnsi="微软雅黑" w:cs="微软雅黑"/>
          <w:bCs w:val="0"/>
          <w:szCs w:val="32"/>
        </w:rPr>
        <w:t xml:space="preserve">）</w:t>
      </w:r>
      <w:bookmarkEnd w:id="1"/>
      <w:r/>
      <w:bookmarkEnd w:id="3"/>
      <w:r/>
      <w:bookmarkEnd w:id="4"/>
      <w:r/>
      <w:r/>
    </w:p>
    <w:p>
      <w:pPr>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w:t>
      </w:r>
      <w:r>
        <w:rPr>
          <w:rFonts w:hint="eastAsia" w:ascii="微软雅黑" w:hAnsi="微软雅黑" w:cs="微软雅黑"/>
          <w:szCs w:val="21"/>
          <w:u w:val="single"/>
        </w:rPr>
        <w:t xml:space="preserve">南京医科大学生物医药分中心激光共聚焦显微镜</w:t>
      </w:r>
      <w:r>
        <w:rPr>
          <w:rFonts w:hint="eastAsia" w:ascii="微软雅黑" w:hAnsi="微软雅黑" w:cs="微软雅黑"/>
          <w:szCs w:val="21"/>
        </w:rPr>
        <w:t xml:space="preserve">）采购项目的潜在投标供应商应在</w:t>
      </w:r>
      <w:r>
        <w:rPr>
          <w:rFonts w:hint="eastAsia" w:ascii="微软雅黑" w:hAnsi="微软雅黑" w:cs="微软雅黑"/>
          <w:szCs w:val="21"/>
          <w:lang w:bidi="ar"/>
        </w:rPr>
        <w:t xml:space="preserve">（</w:t>
      </w:r>
      <w:r>
        <w:rPr>
          <w:rFonts w:hint="eastAsia" w:ascii="微软雅黑" w:hAnsi="微软雅黑" w:cs="微软雅黑"/>
          <w:szCs w:val="21"/>
          <w:u w:val="single"/>
          <w:lang w:bidi="ar"/>
        </w:rPr>
        <w:t xml:space="preserve">江苏省政府采购管理交易系统（苏采云）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获取采购文件，并于2026年1</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月1</w:t>
      </w:r>
      <w:r>
        <w:rPr>
          <w:rFonts w:hint="eastAsia" w:ascii="微软雅黑" w:hAnsi="微软雅黑" w:cs="微软雅黑"/>
          <w:szCs w:val="21"/>
          <w:lang w:val="en-US" w:eastAsia="zh-CN"/>
        </w:rPr>
        <w:t xml:space="preserve">3</w:t>
      </w:r>
      <w:r>
        <w:rPr>
          <w:rFonts w:hint="eastAsia" w:ascii="微软雅黑" w:hAnsi="微软雅黑" w:cs="微软雅黑"/>
          <w:szCs w:val="21"/>
        </w:rPr>
        <w:t xml:space="preserve">日09</w:t>
      </w:r>
      <w:r>
        <w:rPr>
          <w:rFonts w:hint="eastAsia" w:ascii="微软雅黑" w:hAnsi="微软雅黑" w:cs="微软雅黑"/>
          <w:bCs/>
          <w:szCs w:val="21"/>
        </w:rPr>
        <w:t xml:space="preserve">点30分00秒（北京时间）前递交投标文件</w:t>
      </w:r>
      <w:r>
        <w:rPr>
          <w:rFonts w:hint="eastAsia" w:ascii="微软雅黑" w:hAnsi="微软雅黑" w:cs="微软雅黑"/>
          <w:szCs w:val="21"/>
        </w:rPr>
        <w:t xml:space="preserve">。</w:t>
      </w:r>
      <w:r/>
    </w:p>
    <w:p>
      <w:pPr>
        <w:spacing w:line="420" w:lineRule="exact"/>
        <w:rPr>
          <w:rFonts w:hint="eastAsia" w:ascii="微软雅黑" w:hAnsi="微软雅黑" w:cs="微软雅黑"/>
          <w:szCs w:val="21"/>
        </w:rPr>
      </w:pPr>
      <w:r/>
      <w:bookmarkStart w:id="5" w:name="_Toc5452"/>
      <w:r/>
      <w:bookmarkStart w:id="6" w:name="_Toc28359079"/>
      <w:r/>
      <w:bookmarkStart w:id="7" w:name="_Toc28359002"/>
      <w:r/>
      <w:bookmarkStart w:id="8" w:name="_Toc35393621"/>
      <w:r/>
      <w:bookmarkStart w:id="9" w:name="_Toc35393790"/>
      <w:r/>
      <w:bookmarkStart w:id="10" w:name="_Hlk24379207"/>
      <w:r>
        <w:rPr>
          <w:rFonts w:hint="eastAsia" w:ascii="微软雅黑" w:hAnsi="微软雅黑" w:cs="微软雅黑"/>
          <w:b/>
          <w:bCs/>
        </w:rPr>
        <w:t xml:space="preserve">一、项目基本情况</w:t>
      </w:r>
      <w:bookmarkEnd w:id="5"/>
      <w:r/>
      <w:bookmarkEnd w:id="6"/>
      <w:r/>
      <w:bookmarkEnd w:id="7"/>
      <w:r/>
      <w:bookmarkEnd w:id="8"/>
      <w:r/>
      <w:bookmarkEnd w:id="9"/>
      <w:r/>
      <w:r/>
    </w:p>
    <w:p>
      <w:pPr>
        <w:ind w:right="105" w:firstLine="420"/>
        <w:spacing w:line="42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JSZC-320000-JSHC-G2026-0033</w:t>
      </w:r>
      <w:r>
        <w:rPr>
          <w:rFonts w:hint="eastAsia" w:ascii="微软雅黑" w:hAnsi="微软雅黑" w:cs="微软雅黑"/>
          <w:szCs w:val="21"/>
        </w:rPr>
        <w:t xml:space="preserve">（代理机构内部编号：JSHC-2026080674B1）</w:t>
      </w:r>
      <w:r/>
    </w:p>
    <w:p>
      <w:pPr>
        <w:ind w:right="105" w:firstLine="420"/>
        <w:spacing w:line="420" w:lineRule="exact"/>
        <w:rPr>
          <w:rFonts w:hint="eastAsia" w:ascii="微软雅黑" w:hAnsi="微软雅黑" w:cs="微软雅黑"/>
          <w:szCs w:val="21"/>
        </w:rPr>
      </w:pPr>
      <w:r>
        <w:rPr>
          <w:rFonts w:hint="eastAsia" w:ascii="微软雅黑" w:hAnsi="微软雅黑" w:cs="微软雅黑"/>
          <w:szCs w:val="21"/>
        </w:rPr>
        <w:t xml:space="preserve">项目名称</w:t>
      </w:r>
      <w:bookmarkEnd w:id="10"/>
      <w:r>
        <w:rPr>
          <w:rFonts w:hint="eastAsia" w:ascii="微软雅黑" w:hAnsi="微软雅黑" w:cs="微软雅黑"/>
          <w:szCs w:val="21"/>
        </w:rPr>
        <w:t xml:space="preserve">：南京医科大学生物医药分中心激光共聚焦显微镜采购项目</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预算金额：人民币贰佰陆拾捌万元整（人民币268万元）</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最高限价：人民币贰佰陆拾捌万元整（人民币268万元）</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资金来源：财政性资金 </w:t>
      </w:r>
      <w:r/>
    </w:p>
    <w:p>
      <w:pPr>
        <w:ind w:firstLine="420"/>
        <w:spacing w:line="420" w:lineRule="exact"/>
        <w:rPr>
          <w:rFonts w:hint="eastAsia" w:ascii="宋体" w:hAnsi="宋体" w:cs="宋体"/>
          <w:szCs w:val="21"/>
        </w:rPr>
      </w:pPr>
      <w:r>
        <w:rPr>
          <w:rFonts w:hint="eastAsia" w:ascii="微软雅黑" w:hAnsi="微软雅黑" w:cs="微软雅黑"/>
          <w:szCs w:val="21"/>
        </w:rPr>
        <w:t xml:space="preserve">采购需求：南京医科大学为满足实验室的课题研究和教学开展，需采购一套激光共聚焦显微镜。</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合同履行期限：合同签订生效后，两个月内全部设备、材料运抵现场，并安装、调试结束，验收合格，交付采购人使用。</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p>
    <w:p>
      <w:pPr>
        <w:spacing w:line="420" w:lineRule="exact"/>
        <w:rPr>
          <w:rFonts w:hint="eastAsia" w:ascii="微软雅黑" w:hAnsi="微软雅黑" w:cs="微软雅黑"/>
          <w:b/>
          <w:bCs/>
        </w:rPr>
      </w:pPr>
      <w:r/>
      <w:bookmarkStart w:id="11" w:name="_Toc28359080"/>
      <w:r/>
      <w:bookmarkStart w:id="12" w:name="_Toc35393791"/>
      <w:r/>
      <w:bookmarkStart w:id="13" w:name="_Toc35393622"/>
      <w:r/>
      <w:bookmarkStart w:id="14" w:name="_Toc28359003"/>
      <w:r/>
      <w:bookmarkStart w:id="15" w:name="_Toc18689"/>
      <w:r>
        <w:rPr>
          <w:rFonts w:hint="eastAsia" w:ascii="微软雅黑" w:hAnsi="微软雅黑" w:cs="微软雅黑"/>
          <w:b/>
          <w:bCs/>
        </w:rPr>
        <w:t xml:space="preserve">二、申请人的资格要求：</w:t>
      </w:r>
      <w:bookmarkEnd w:id="11"/>
      <w:r/>
      <w:bookmarkEnd w:id="12"/>
      <w:r/>
      <w:bookmarkEnd w:id="13"/>
      <w:r/>
      <w:bookmarkEnd w:id="14"/>
      <w:r/>
      <w:bookmarkEnd w:id="15"/>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2026年4月</w:t>
      </w:r>
      <w:r>
        <w:rPr>
          <w:rFonts w:hint="eastAsia" w:ascii="微软雅黑" w:hAnsi="微软雅黑" w:cs="微软雅黑"/>
          <w:szCs w:val="21"/>
        </w:rPr>
        <w:t xml:space="preserve">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w:t>
      </w:r>
      <w:r>
        <w:rPr>
          <w:rFonts w:hint="eastAsia" w:ascii="微软雅黑" w:hAnsi="微软雅黑" w:cs="微软雅黑"/>
          <w:b/>
          <w:bCs/>
          <w:szCs w:val="21"/>
        </w:rPr>
        <w:t xml:space="preserve">（包括报告及报告中所附的完整内容，并由注册会计师签名、盖章以及会计师事务所盖章）</w:t>
      </w:r>
      <w:r>
        <w:rPr>
          <w:rFonts w:hint="eastAsia" w:ascii="微软雅黑" w:hAnsi="微软雅黑" w:cs="微软雅黑"/>
          <w:szCs w:val="21"/>
        </w:rPr>
        <w:t xml:space="preserve">，</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w:t>
      </w:r>
      <w:r>
        <w:rPr>
          <w:rFonts w:hint="eastAsia" w:ascii="微软雅黑" w:hAnsi="微软雅黑" w:cs="微软雅黑"/>
          <w:szCs w:val="21"/>
          <w:lang w:eastAsia="zh-CN"/>
        </w:rPr>
        <w:t xml:space="preserve">2026年4月</w:t>
      </w:r>
      <w:r>
        <w:rPr>
          <w:rFonts w:hint="eastAsia" w:ascii="微软雅黑" w:hAnsi="微软雅黑" w:cs="微软雅黑"/>
          <w:szCs w:val="21"/>
        </w:rPr>
        <w:t xml:space="preserve">至投标截止时间前任一月份依法缴纳税收的凭据</w:t>
      </w:r>
      <w:r>
        <w:rPr>
          <w:rFonts w:hint="eastAsia" w:ascii="微软雅黑" w:hAnsi="微软雅黑" w:cs="微软雅黑"/>
          <w:b/>
          <w:bCs/>
          <w:szCs w:val="21"/>
        </w:rPr>
        <w:t xml:space="preserve">（企业代缴的个人所得税除外）</w:t>
      </w:r>
      <w:r>
        <w:rPr>
          <w:rFonts w:hint="eastAsia" w:ascii="微软雅黑" w:hAnsi="微软雅黑" w:cs="微软雅黑"/>
          <w:szCs w:val="21"/>
        </w:rPr>
        <w:t xml:space="preserve">，以及缴纳社会保险的凭据（专用收据或社会保险的凭据）。依法免税或不需要缴纳社会保障资金的投标供应商，应提供相应文件证明）；</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hint="eastAsia" w:ascii="微软雅黑" w:hAnsi="微软雅黑" w:cs="微软雅黑"/>
        </w:rPr>
      </w:pPr>
      <w:r/>
      <w:bookmarkStart w:id="16" w:name="_Toc28359004"/>
      <w:r/>
      <w:bookmarkStart w:id="17" w:name="_Toc28359081"/>
      <w:r>
        <w:rPr>
          <w:rFonts w:hint="eastAsia" w:ascii="微软雅黑" w:hAnsi="微软雅黑" w:cs="微软雅黑"/>
        </w:rPr>
        <w:t xml:space="preserve">2.是否专门面向中小企业：否</w:t>
      </w:r>
      <w:r/>
    </w:p>
    <w:p>
      <w:pPr>
        <w:ind w:firstLine="420"/>
        <w:spacing w:line="420" w:lineRule="exact"/>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4.本项目的特定资格要求：无。</w:t>
      </w:r>
      <w:r/>
    </w:p>
    <w:p>
      <w:pPr>
        <w:ind w:firstLine="420"/>
        <w:spacing w:line="420" w:lineRule="exact"/>
        <w:rPr>
          <w:rFonts w:hint="eastAsia"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p>
    <w:p>
      <w:pPr>
        <w:ind w:firstLine="420"/>
        <w:spacing w:line="420" w:lineRule="exact"/>
        <w:rPr>
          <w:rFonts w:hint="eastAsia" w:ascii="微软雅黑" w:hAnsi="微软雅黑" w:cs="微软雅黑"/>
          <w:b/>
          <w:bCs/>
          <w:szCs w:val="21"/>
        </w:rPr>
      </w:pPr>
      <w:r>
        <w:rPr>
          <w:rFonts w:hint="eastAsia" w:ascii="微软雅黑" w:hAnsi="微软雅黑" w:cs="微软雅黑"/>
          <w:b/>
          <w:bCs/>
          <w:szCs w:val="21"/>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7.拒绝下述供应商参加本次采购活动：</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7.1为采购项目提供整体设计、规范编制或者项目管理、监理、检测等服务的；</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7.2供应商单位负责人为同一人或者存在直接控股、管理关系的不同供应商，不得参加同一合同项下的采购活动；</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7.3.被“信用中国”网站(www.creditchina.gov.cn)或中国政府采购网(www.ccgp.gov.cn)列入失信被执行人、重大税收违法失信主体、政府采购严重违法失信行为记录名单的。</w:t>
      </w:r>
      <w:r/>
    </w:p>
    <w:p>
      <w:pPr>
        <w:spacing w:line="420" w:lineRule="exact"/>
        <w:rPr>
          <w:rFonts w:hint="eastAsia" w:ascii="微软雅黑" w:hAnsi="微软雅黑" w:cs="微软雅黑"/>
          <w:b/>
          <w:bCs/>
        </w:rPr>
      </w:pPr>
      <w:r/>
      <w:bookmarkStart w:id="18" w:name="_Toc15914"/>
      <w:r/>
      <w:bookmarkStart w:id="19" w:name="_Toc35393792"/>
      <w:r/>
      <w:bookmarkStart w:id="20" w:name="_Toc35393623"/>
      <w:r>
        <w:rPr>
          <w:rFonts w:hint="eastAsia" w:ascii="微软雅黑" w:hAnsi="微软雅黑" w:cs="微软雅黑"/>
          <w:b/>
          <w:bCs/>
        </w:rPr>
        <w:t xml:space="preserve">三、获取采购文件</w:t>
      </w:r>
      <w:bookmarkEnd w:id="16"/>
      <w:r/>
      <w:bookmarkEnd w:id="17"/>
      <w:r/>
      <w:bookmarkEnd w:id="18"/>
      <w:r/>
      <w:bookmarkEnd w:id="19"/>
      <w:r/>
      <w:bookmarkEnd w:id="20"/>
      <w:r/>
      <w:r/>
    </w:p>
    <w:p>
      <w:pPr>
        <w:ind w:firstLine="420"/>
        <w:spacing w:line="420" w:lineRule="exact"/>
        <w:rPr>
          <w:rFonts w:hint="eastAsia" w:ascii="微软雅黑" w:hAnsi="微软雅黑" w:cs="微软雅黑"/>
          <w:szCs w:val="21"/>
        </w:rPr>
      </w:pPr>
      <w:r/>
      <w:bookmarkStart w:id="21" w:name="_Toc31210"/>
      <w:r/>
      <w:bookmarkStart w:id="22" w:name="_Toc35393794"/>
      <w:r/>
      <w:bookmarkStart w:id="23" w:name="_Toc28359007"/>
      <w:r/>
      <w:bookmarkStart w:id="24" w:name="_Toc28359084"/>
      <w:r/>
      <w:bookmarkStart w:id="25" w:name="_Toc35393625"/>
      <w:r>
        <w:rPr>
          <w:rFonts w:hint="eastAsia" w:ascii="微软雅黑" w:hAnsi="微软雅黑" w:cs="微软雅黑"/>
          <w:szCs w:val="21"/>
        </w:rPr>
        <w:t xml:space="preserve">时间：自公告发布之日起5个工作日 </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地点：江苏省政府采购管理交易系统（苏采云）</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方式：自行下载。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售价：0.00元</w:t>
      </w:r>
      <w:r/>
    </w:p>
    <w:p>
      <w:pPr>
        <w:spacing w:line="420" w:lineRule="exact"/>
        <w:rPr>
          <w:rFonts w:hint="eastAsia" w:ascii="微软雅黑" w:hAnsi="微软雅黑" w:cs="微软雅黑"/>
          <w:b/>
          <w:szCs w:val="21"/>
        </w:rPr>
      </w:pPr>
      <w:r>
        <w:rPr>
          <w:rFonts w:hint="eastAsia" w:ascii="微软雅黑" w:hAnsi="微软雅黑" w:cs="微软雅黑"/>
          <w:b/>
          <w:szCs w:val="21"/>
        </w:rPr>
        <w:t xml:space="preserve">四、提交投标文件截止时间、开标时间和地点</w:t>
      </w:r>
      <w:r/>
    </w:p>
    <w:p>
      <w:pPr>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szCs w:val="21"/>
        </w:rPr>
        <w:t xml:space="preserve">2026年1</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月13</w:t>
      </w:r>
      <w:r>
        <w:rPr>
          <w:rFonts w:hint="eastAsia" w:ascii="微软雅黑" w:hAnsi="微软雅黑" w:cs="微软雅黑"/>
          <w:szCs w:val="21"/>
        </w:rPr>
        <w:t xml:space="preserve">日9:30:00</w:t>
      </w:r>
      <w:r>
        <w:rPr>
          <w:rFonts w:hint="eastAsia" w:ascii="微软雅黑" w:hAnsi="微软雅黑" w:cs="微软雅黑"/>
          <w:bCs/>
          <w:szCs w:val="21"/>
        </w:rPr>
        <w:t xml:space="preserve">（北京时间）</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地点：“苏采云”政府采购交易系统网上开标大厅</w:t>
      </w:r>
      <w:r/>
    </w:p>
    <w:p>
      <w:pPr>
        <w:spacing w:line="420" w:lineRule="exact"/>
        <w:rPr>
          <w:rFonts w:hint="eastAsia" w:ascii="微软雅黑" w:hAnsi="微软雅黑" w:cs="微软雅黑"/>
          <w:b/>
          <w:bCs/>
        </w:rPr>
      </w:pPr>
      <w:r>
        <w:rPr>
          <w:rFonts w:hint="eastAsia" w:ascii="微软雅黑" w:hAnsi="微软雅黑" w:cs="微软雅黑"/>
          <w:b/>
          <w:bCs/>
        </w:rPr>
        <w:t xml:space="preserve">五、公告期限</w:t>
      </w:r>
      <w:bookmarkEnd w:id="21"/>
      <w:r/>
      <w:bookmarkEnd w:id="22"/>
      <w:r/>
      <w:bookmarkEnd w:id="23"/>
      <w:r/>
      <w:bookmarkEnd w:id="24"/>
      <w:r/>
      <w:bookmarkEnd w:id="25"/>
      <w:r/>
      <w:r/>
    </w:p>
    <w:p>
      <w:pPr>
        <w:ind w:firstLine="420"/>
        <w:spacing w:line="420" w:lineRule="exact"/>
        <w:rPr>
          <w:rFonts w:hint="eastAsia" w:ascii="微软雅黑" w:hAnsi="微软雅黑" w:cs="微软雅黑"/>
        </w:rPr>
      </w:pPr>
      <w:r>
        <w:rPr>
          <w:rFonts w:hint="eastAsia" w:ascii="微软雅黑" w:hAnsi="微软雅黑" w:cs="微软雅黑"/>
        </w:rPr>
        <w:t xml:space="preserve">自本公告发布之日起5个工作日。</w:t>
      </w:r>
      <w:r/>
    </w:p>
    <w:p>
      <w:pPr>
        <w:numPr>
          <w:ilvl w:val="0"/>
          <w:numId w:val="7"/>
        </w:numPr>
        <w:spacing w:line="420" w:lineRule="exact"/>
        <w:rPr>
          <w:rFonts w:hint="eastAsia" w:ascii="微软雅黑" w:hAnsi="微软雅黑" w:cs="微软雅黑"/>
          <w:b/>
          <w:bCs/>
          <w:szCs w:val="21"/>
        </w:rPr>
      </w:pPr>
      <w:r>
        <w:rPr>
          <w:rFonts w:hint="eastAsia" w:ascii="微软雅黑" w:hAnsi="微软雅黑" w:cs="微软雅黑"/>
          <w:b/>
          <w:bCs/>
        </w:rPr>
        <w:t xml:space="preserve">其他补充事宜</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1.评标方法和标准：采用综合评分法。</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2.此采购公告在江苏政府采购网（www.ccgp-jiangsu.gov.cn）发布。</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3. 苏采云CA办理及登录：</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26" w:name="OLE_LINK2"/>
      <w:r>
        <w:rPr>
          <w:rFonts w:hint="eastAsia" w:ascii="微软雅黑" w:hAnsi="微软雅黑" w:cs="微软雅黑"/>
          <w:szCs w:val="21"/>
        </w:rPr>
        <w:t xml:space="preserve">http://www.ccgp-jiangsu.gov.cn/jiangsu/zlxz/ee/ee3a4bc5a3454aa2b0d9312230633ce9.html</w:t>
      </w:r>
      <w:bookmarkEnd w:id="26"/>
      <w:r>
        <w:rPr>
          <w:rFonts w:hint="eastAsia" w:ascii="微软雅黑" w:hAnsi="微软雅黑" w:cs="微软雅黑"/>
          <w:szCs w:val="21"/>
        </w:rPr>
        <w:t xml:space="preserve">）。</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4.采购文件下载及投标文件制作：</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5. 不见面远程开标：</w:t>
      </w:r>
      <w:r/>
    </w:p>
    <w:p>
      <w:pPr>
        <w:ind w:firstLine="420"/>
        <w:spacing w:line="420" w:lineRule="exact"/>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hint="eastAsia" w:ascii="微软雅黑" w:hAnsi="微软雅黑" w:cs="微软雅黑"/>
          <w:b/>
          <w:bCs/>
        </w:rPr>
      </w:pPr>
      <w:r/>
      <w:bookmarkStart w:id="27" w:name="_Toc26547"/>
      <w:r>
        <w:rPr>
          <w:rFonts w:hint="eastAsia" w:ascii="微软雅黑" w:hAnsi="微软雅黑" w:cs="微软雅黑"/>
          <w:b/>
          <w:bCs/>
        </w:rPr>
        <w:t xml:space="preserve">七、对本次招标提出询问，请按以下方式联系。</w:t>
      </w:r>
      <w:r/>
    </w:p>
    <w:p>
      <w:pPr>
        <w:pStyle w:val="1392"/>
        <w:ind w:firstLine="420"/>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1.采购人信息</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bookmarkStart w:id="28" w:name="_Toc28359009"/>
      <w:r/>
      <w:bookmarkStart w:id="29" w:name="_Toc28359086"/>
      <w:r>
        <w:rPr>
          <w:rFonts w:hint="eastAsia" w:ascii="微软雅黑" w:hAnsi="微软雅黑" w:eastAsia="微软雅黑" w:cs="微软雅黑"/>
          <w:sz w:val="21"/>
          <w:szCs w:val="21"/>
        </w:rPr>
        <w:t xml:space="preserve">名称：南京医科大学</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地址：南京市江宁区龙眠大道10</w:t>
      </w:r>
      <w:bookmarkStart w:id="327" w:name="_GoBack"/>
      <w:r/>
      <w:bookmarkEnd w:id="327"/>
      <w:r>
        <w:rPr>
          <w:rFonts w:hint="eastAsia" w:ascii="微软雅黑" w:hAnsi="微软雅黑" w:eastAsia="微软雅黑" w:cs="微软雅黑"/>
          <w:sz w:val="21"/>
          <w:szCs w:val="21"/>
        </w:rPr>
        <w:t xml:space="preserve">1号</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联系方式：马老师025-86868572</w:t>
      </w:r>
      <w:r/>
    </w:p>
    <w:p>
      <w:pPr>
        <w:pStyle w:val="1392"/>
        <w:ind w:firstLine="420"/>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2.采购代理机构信息</w:t>
      </w:r>
      <w:bookmarkEnd w:id="28"/>
      <w:r/>
      <w:bookmarkEnd w:id="29"/>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名称：江苏省华采招标有限公司</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地址：</w:t>
      </w:r>
      <w:r>
        <w:rPr>
          <w:rFonts w:hint="eastAsia" w:ascii="微软雅黑" w:hAnsi="微软雅黑" w:eastAsia="微软雅黑" w:cs="微软雅黑"/>
          <w:sz w:val="21"/>
          <w:szCs w:val="21"/>
          <w:lang w:bidi="ar"/>
        </w:rPr>
        <w:t xml:space="preserve">南京市建邺区嘉陵江东街8号综合体B3栋一单元16层</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0" w:name="_Toc28359087"/>
      <w:r/>
      <w:bookmarkStart w:id="31" w:name="_Toc28359010"/>
      <w:r>
        <w:rPr>
          <w:rFonts w:hint="eastAsia" w:ascii="微软雅黑" w:hAnsi="微软雅黑" w:eastAsia="微软雅黑" w:cs="微软雅黑"/>
          <w:sz w:val="21"/>
          <w:szCs w:val="21"/>
        </w:rPr>
        <w:t xml:space="preserve">025-83609953</w:t>
      </w:r>
      <w:r/>
    </w:p>
    <w:p>
      <w:pPr>
        <w:pStyle w:val="1392"/>
        <w:ind w:firstLine="420"/>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3.项目联系方式</w:t>
      </w:r>
      <w:bookmarkEnd w:id="30"/>
      <w:r/>
      <w:bookmarkEnd w:id="31"/>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项目联系人：刘洁/徐雪</w:t>
      </w:r>
      <w:r/>
    </w:p>
    <w:p>
      <w:pPr>
        <w:pStyle w:val="1392"/>
        <w:ind w:firstLine="688"/>
        <w:spacing w:before="0" w:beforeAutospacing="0" w:after="0"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电话：025-83603368</w:t>
      </w:r>
      <w:r/>
    </w:p>
    <w:p>
      <w:pPr>
        <w:pStyle w:val="1392"/>
        <w:ind w:firstLine="688"/>
        <w:spacing w:before="0" w:beforeAutospacing="0" w:after="0" w:afterAutospacing="0" w:line="420" w:lineRule="exact"/>
        <w:rPr>
          <w:rFonts w:hint="eastAsia" w:ascii="微软雅黑" w:hAnsi="微软雅黑" w:eastAsia="微软雅黑" w:cs="微软雅黑"/>
          <w:sz w:val="21"/>
          <w:szCs w:val="21"/>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eastAsia="微软雅黑" w:cs="微软雅黑"/>
          <w:sz w:val="21"/>
          <w:szCs w:val="21"/>
        </w:rPr>
      </w:r>
      <w:r/>
    </w:p>
    <w:p>
      <w:pPr>
        <w:pStyle w:val="1352"/>
        <w:spacing w:line="360" w:lineRule="exact"/>
        <w:rPr>
          <w:rFonts w:hint="eastAsia" w:ascii="微软雅黑" w:hAnsi="微软雅黑" w:cs="微软雅黑"/>
        </w:rPr>
      </w:pPr>
      <w:r/>
      <w:bookmarkStart w:id="32" w:name="_Toc16342"/>
      <w:r/>
      <w:bookmarkStart w:id="33" w:name="_Toc13835"/>
      <w:r>
        <w:rPr>
          <w:rFonts w:hint="eastAsia" w:ascii="微软雅黑" w:hAnsi="微软雅黑" w:cs="微软雅黑"/>
          <w:szCs w:val="32"/>
        </w:rPr>
        <w:t xml:space="preserve">第二章 </w:t>
      </w:r>
      <w:r>
        <w:rPr>
          <w:rFonts w:hint="eastAsia" w:ascii="微软雅黑" w:hAnsi="微软雅黑" w:cs="微软雅黑"/>
        </w:rPr>
        <w:t xml:space="preserve">供应商须知</w:t>
      </w:r>
      <w:bookmarkEnd w:id="2"/>
      <w:r/>
      <w:bookmarkEnd w:id="27"/>
      <w:r/>
      <w:bookmarkEnd w:id="32"/>
      <w:r/>
      <w:bookmarkEnd w:id="33"/>
      <w:r/>
      <w:r/>
    </w:p>
    <w:p>
      <w:pPr>
        <w:jc w:val="left"/>
        <w:widowControl/>
        <w:rPr>
          <w:rFonts w:hint="eastAsia" w:ascii="微软雅黑" w:hAnsi="微软雅黑" w:cs="微软雅黑"/>
          <w:b/>
          <w:bCs/>
          <w:sz w:val="24"/>
          <w:szCs w:val="24"/>
          <w:lang w:bidi="ar"/>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p>
    <w:tbl>
      <w:tblPr>
        <w:tblStyle w:val="114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微软雅黑" w:hAnsi="微软雅黑" w:cs="微软雅黑"/>
                <w:b/>
                <w:bCs/>
                <w:szCs w:val="21"/>
              </w:rPr>
            </w:pPr>
            <w:r/>
            <w:bookmarkStart w:id="34" w:name="_Toc452384170"/>
            <w:r/>
            <w:bookmarkStart w:id="35" w:name="_Toc4078"/>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具体内容</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南京医科大学生物医药分中心激光共聚焦显微镜采购项目</w:t>
            </w:r>
            <w:r/>
          </w:p>
        </w:tc>
      </w:tr>
      <w:tr>
        <w:trPr>
          <w:jc w:val="center"/>
          <w:trHeight w:val="928"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JSZC-320000-JSHC-G2026-0033</w:t>
            </w:r>
            <w:r/>
          </w:p>
          <w:p>
            <w:pPr>
              <w:spacing w:line="440" w:lineRule="exact"/>
              <w:rPr>
                <w:rFonts w:hint="eastAsia" w:ascii="微软雅黑" w:hAnsi="微软雅黑" w:cs="微软雅黑"/>
                <w:szCs w:val="21"/>
              </w:rPr>
            </w:pPr>
            <w:r>
              <w:rPr>
                <w:rFonts w:hint="eastAsia" w:ascii="微软雅黑" w:hAnsi="微软雅黑" w:cs="微软雅黑"/>
                <w:szCs w:val="21"/>
              </w:rPr>
              <w:t xml:space="preserve">（代理机构内部编号：JSHC-2026080674B1）</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财政性资金</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人民币贰佰陆拾捌万元整（人民币268万元）</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人民币贰佰陆拾捌万元整（人民币268万元）</w:t>
            </w:r>
            <w:r/>
          </w:p>
        </w:tc>
      </w:tr>
      <w:tr>
        <w:trPr>
          <w:jc w:val="center"/>
          <w:trHeight w:val="533"/>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单位名称：南京医科大学</w:t>
            </w:r>
            <w:r/>
          </w:p>
          <w:p>
            <w:pPr>
              <w:spacing w:line="400" w:lineRule="exact"/>
              <w:rPr>
                <w:rFonts w:hint="eastAsia" w:ascii="微软雅黑" w:hAnsi="微软雅黑" w:cs="微软雅黑"/>
                <w:szCs w:val="21"/>
              </w:rPr>
            </w:pPr>
            <w:r>
              <w:rPr>
                <w:rFonts w:hint="eastAsia" w:ascii="微软雅黑" w:hAnsi="微软雅黑" w:cs="微软雅黑"/>
                <w:szCs w:val="21"/>
              </w:rPr>
              <w:t xml:space="preserve">联系人：马老师</w:t>
            </w:r>
            <w:r/>
          </w:p>
          <w:p>
            <w:pPr>
              <w:spacing w:line="400" w:lineRule="exact"/>
              <w:rPr>
                <w:rFonts w:hint="eastAsia" w:ascii="微软雅黑" w:hAnsi="微软雅黑" w:cs="微软雅黑"/>
                <w:szCs w:val="21"/>
              </w:rPr>
            </w:pPr>
            <w:r>
              <w:rPr>
                <w:rFonts w:hint="eastAsia" w:ascii="微软雅黑" w:hAnsi="微软雅黑" w:cs="微软雅黑"/>
                <w:szCs w:val="21"/>
              </w:rPr>
              <w:t xml:space="preserve">联系电话：025-86868572</w:t>
            </w:r>
            <w:r/>
          </w:p>
        </w:tc>
      </w:tr>
      <w:tr>
        <w:trPr>
          <w:jc w:val="center"/>
          <w:trHeight w:val="1303"/>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p>
          <w:p>
            <w:pPr>
              <w:spacing w:line="400" w:lineRule="exact"/>
              <w:rPr>
                <w:rFonts w:hint="eastAsia" w:ascii="微软雅黑" w:hAnsi="微软雅黑" w:cs="微软雅黑"/>
                <w:szCs w:val="21"/>
              </w:rPr>
            </w:pPr>
            <w:r>
              <w:rPr>
                <w:rFonts w:hint="eastAsia" w:ascii="微软雅黑" w:hAnsi="微软雅黑" w:cs="微软雅黑"/>
                <w:szCs w:val="21"/>
              </w:rPr>
              <w:t xml:space="preserve">项目负责人：刘洁/徐雪</w:t>
            </w:r>
            <w:r/>
          </w:p>
          <w:p>
            <w:pPr>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无</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hint="eastAsia" w:ascii="微软雅黑" w:hAnsi="微软雅黑" w:cs="微软雅黑"/>
              </w:rPr>
            </w:pPr>
            <w:r>
              <w:rPr>
                <w:rFonts w:hint="eastAsia" w:ascii="微软雅黑" w:hAnsi="微软雅黑" w:cs="微软雅黑"/>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spacing w:line="400" w:lineRule="exact"/>
              <w:rPr>
                <w:rFonts w:hint="eastAsia" w:ascii="微软雅黑" w:hAnsi="微软雅黑" w:cs="微软雅黑"/>
                <w:sz w:val="22"/>
              </w:rPr>
            </w:pPr>
            <w:r>
              <w:rPr>
                <w:rFonts w:hint="eastAsia" w:ascii="微软雅黑" w:hAnsi="微软雅黑" w:cs="微软雅黑"/>
                <w:szCs w:val="21"/>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开标注意事项</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现场演示</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00" w:lineRule="exact"/>
              <w:rPr>
                <w:rFonts w:hint="eastAsia"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hint="eastAsia" w:ascii="微软雅黑" w:hAnsi="微软雅黑" w:cs="微软雅黑"/>
                <w:szCs w:val="21"/>
              </w:rPr>
            </w:pPr>
            <w:r>
              <w:rPr>
                <w:rFonts w:hint="eastAsia" w:ascii="微软雅黑" w:hAnsi="微软雅黑" w:cs="微软雅黑"/>
                <w:szCs w:val="21"/>
              </w:rPr>
              <w:t xml:space="preserve">工业</w:t>
            </w:r>
            <w:r/>
          </w:p>
        </w:tc>
      </w:tr>
      <w:tr>
        <w:trPr>
          <w:jc w:val="center"/>
          <w:trHeight w:val="1299"/>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hint="eastAsia"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投标报价包括采购文件所规定的采购范围的全部内容。包括但不仅限于全部货物的价格及相关税费、运输到指定地点的装运费用、安装调试、培训、售后服务、代理服务费等其他有关的所有费用。</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numPr>
                <w:ilvl w:val="0"/>
                <w:numId w:val="8"/>
              </w:numPr>
              <w:spacing w:line="400" w:lineRule="exact"/>
              <w:rPr>
                <w:rFonts w:hint="eastAsia" w:ascii="微软雅黑" w:hAnsi="微软雅黑" w:cs="微软雅黑"/>
              </w:rPr>
            </w:pPr>
            <w:r>
              <w:rPr>
                <w:rFonts w:hint="eastAsia" w:ascii="微软雅黑" w:hAnsi="微软雅黑" w:cs="微软雅黑"/>
              </w:rPr>
              <w:t xml:space="preserve">本次采购活动招标代理服务费采用差额定率累进计费方式。参照苏财规[2026]1号规定，本项目采购人不支付代理服务费，代理服务费由中标供应商支付，供应商报价应包含代理服务费。中标供应商按《招标代理服务收费管理暂行办法》（国家发展计划委员会计价格[2002]1980号），招标收费基准费率40%计算，超过人民币壹万伍仟元的按固定金额人民币壹万伍仟元计算；单个项目计算结果不足15000元的，按实际计算金额收取。</w:t>
            </w:r>
            <w:r/>
          </w:p>
          <w:p>
            <w:pPr>
              <w:numPr>
                <w:ilvl w:val="0"/>
                <w:numId w:val="8"/>
              </w:numPr>
              <w:spacing w:line="400" w:lineRule="exact"/>
              <w:rPr>
                <w:rFonts w:hint="eastAsia" w:ascii="微软雅黑" w:hAnsi="微软雅黑" w:cs="微软雅黑"/>
              </w:rPr>
            </w:pPr>
            <w:r>
              <w:rPr>
                <w:rFonts w:hint="eastAsia" w:ascii="微软雅黑" w:hAnsi="微软雅黑" w:cs="微软雅黑"/>
              </w:rPr>
              <w:t xml:space="preserve">本次采购活动招标代理服务费由中标供应商支付，中标供应商领取《中标通知书》前一次性向采购代理机构缴纳。</w:t>
            </w:r>
            <w:r/>
          </w:p>
          <w:p>
            <w:pPr>
              <w:numPr>
                <w:ilvl w:val="0"/>
                <w:numId w:val="8"/>
              </w:numPr>
              <w:spacing w:line="400" w:lineRule="exact"/>
              <w:rPr>
                <w:rFonts w:hint="eastAsia" w:ascii="微软雅黑" w:hAnsi="微软雅黑" w:cs="微软雅黑"/>
              </w:rPr>
            </w:pPr>
            <w:r>
              <w:rPr>
                <w:rFonts w:hint="eastAsia" w:ascii="微软雅黑" w:hAnsi="微软雅黑" w:cs="微软雅黑"/>
              </w:rPr>
              <w:t xml:space="preserve">本次招标代理服务费不包括有可能产生的专家复议费及由于摆放样品额外租赁场地产生的场地使用费等，如有产生此项费用由中标供应商额外按实支付。</w:t>
            </w:r>
            <w:r/>
          </w:p>
          <w:p>
            <w:pPr>
              <w:pStyle w:val="1154"/>
              <w:numPr>
                <w:ilvl w:val="0"/>
                <w:numId w:val="8"/>
              </w:numPr>
              <w:spacing w:line="400" w:lineRule="exact"/>
              <w:rPr>
                <w:rFonts w:hint="eastAsia" w:ascii="微软雅黑" w:hAnsi="微软雅黑" w:cs="微软雅黑"/>
              </w:rPr>
            </w:pPr>
            <w:r>
              <w:rPr>
                <w:rFonts w:hint="eastAsia" w:ascii="微软雅黑" w:hAnsi="微软雅黑" w:cs="微软雅黑"/>
              </w:rPr>
              <w:t xml:space="preserve">收款信息：</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户名：江苏省华采招标有限公司</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开户行：招商银行南京奥体支行</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账号：1259 0737 5810 501</w:t>
            </w:r>
            <w:r/>
          </w:p>
          <w:p>
            <w:pPr>
              <w:pStyle w:val="1154"/>
              <w:ind w:left="0" w:firstLine="420"/>
              <w:spacing w:line="400" w:lineRule="exact"/>
              <w:rPr>
                <w:rFonts w:hint="eastAsia" w:ascii="微软雅黑" w:hAnsi="微软雅黑" w:cs="微软雅黑"/>
                <w:szCs w:val="21"/>
              </w:rPr>
            </w:pPr>
            <w:r>
              <w:rPr>
                <w:rFonts w:hint="eastAsia" w:ascii="微软雅黑" w:hAnsi="微软雅黑" w:cs="微软雅黑"/>
                <w:szCs w:val="21"/>
              </w:rPr>
              <w:t xml:space="preserve">开户行行号：3083 0100 6254</w:t>
            </w:r>
            <w:r/>
          </w:p>
          <w:p>
            <w:r>
              <w:rPr>
                <w:rFonts w:hint="eastAsia" w:ascii="微软雅黑" w:hAnsi="微软雅黑" w:cs="微软雅黑"/>
                <w:szCs w:val="21"/>
              </w:rPr>
              <w:t xml:space="preserve">备注674B1代理服务费</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23</w:t>
            </w:r>
            <w:r/>
          </w:p>
        </w:tc>
        <w:tc>
          <w:tcPr>
            <w:tcW w:w="1755" w:type="dxa"/>
            <w:vAlign w:val="center"/>
            <w:textDirection w:val="lrTb"/>
            <w:noWrap w:val="false"/>
          </w:tcPr>
          <w:p>
            <w:pPr>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p>
        </w:tc>
        <w:tc>
          <w:tcPr>
            <w:tcW w:w="6117" w:type="dxa"/>
            <w:vAlign w:val="center"/>
            <w:textDirection w:val="lrTb"/>
            <w:noWrap w:val="false"/>
          </w:tcPr>
          <w:p>
            <w:pPr>
              <w:numPr>
                <w:ilvl w:val="0"/>
                <w:numId w:val="9"/>
              </w:numPr>
              <w:spacing w:line="400" w:lineRule="exact"/>
              <w:rPr>
                <w:rFonts w:hint="eastAsia" w:ascii="微软雅黑" w:hAnsi="微软雅黑" w:cs="微软雅黑"/>
              </w:rPr>
            </w:pPr>
            <w:r>
              <w:rPr>
                <w:rFonts w:hint="eastAsia" w:ascii="微软雅黑" w:hAnsi="微软雅黑" w:cs="微软雅黑"/>
              </w:rPr>
              <w:t xml:space="preserve">有关本项目的相关公告敬请关注江苏政府采购网（www.ccgp-jiangsu.gov.cn），也可以与我公司项目部联系，联系人及电话：刘工025-83603368。</w:t>
            </w:r>
            <w:r/>
          </w:p>
          <w:p>
            <w:pPr>
              <w:pStyle w:val="1370"/>
              <w:numPr>
                <w:ilvl w:val="0"/>
                <w:numId w:val="9"/>
              </w:numPr>
              <w:spacing w:line="400" w:lineRule="exact"/>
              <w:rPr>
                <w:rFonts w:hint="eastAsia"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p>
        </w:tc>
      </w:tr>
    </w:tbl>
    <w:p>
      <w:pPr>
        <w:pStyle w:val="1353"/>
        <w:spacing w:after="100"/>
        <w:rPr>
          <w:rFonts w:hint="eastAsia" w:ascii="微软雅黑" w:hAnsi="微软雅黑" w:cs="微软雅黑"/>
        </w:rPr>
      </w:pPr>
      <w:r>
        <w:rPr>
          <w:rFonts w:hint="eastAsia" w:ascii="微软雅黑" w:hAnsi="微软雅黑" w:cs="微软雅黑"/>
        </w:rPr>
        <w:br w:type="page" w:clear="all"/>
      </w:r>
      <w:bookmarkStart w:id="36" w:name="_Toc25611"/>
      <w:r/>
      <w:bookmarkStart w:id="37" w:name="_Toc25303"/>
      <w:r>
        <w:rPr>
          <w:rFonts w:hint="eastAsia" w:ascii="微软雅黑" w:hAnsi="微软雅黑" w:cs="微软雅黑"/>
        </w:rPr>
        <w:t xml:space="preserve">一、总则</w:t>
      </w:r>
      <w:bookmarkEnd w:id="34"/>
      <w:r/>
      <w:bookmarkEnd w:id="35"/>
      <w:r/>
      <w:bookmarkEnd w:id="36"/>
      <w:r/>
      <w:bookmarkEnd w:id="37"/>
      <w:r/>
      <w:r/>
    </w:p>
    <w:p>
      <w:pPr>
        <w:pStyle w:val="1216"/>
        <w:spacing w:line="420" w:lineRule="exact"/>
        <w:rPr>
          <w:rFonts w:hint="eastAsia" w:ascii="微软雅黑" w:hAnsi="微软雅黑" w:cs="微软雅黑"/>
          <w:bCs w:val="0"/>
          <w:sz w:val="24"/>
          <w:szCs w:val="24"/>
        </w:rPr>
      </w:pPr>
      <w:r/>
      <w:bookmarkStart w:id="38" w:name="_Toc452384171"/>
      <w:r/>
      <w:bookmarkStart w:id="39" w:name="_Toc24353"/>
      <w:r/>
      <w:bookmarkStart w:id="40" w:name="_Toc30960"/>
      <w:r/>
      <w:bookmarkStart w:id="41" w:name="_Toc19551"/>
      <w:r/>
      <w:bookmarkStart w:id="42" w:name="_Toc12748"/>
      <w:r>
        <w:rPr>
          <w:rFonts w:hint="eastAsia" w:ascii="微软雅黑" w:hAnsi="微软雅黑" w:cs="微软雅黑"/>
          <w:bCs w:val="0"/>
          <w:sz w:val="24"/>
          <w:szCs w:val="24"/>
        </w:rPr>
        <w:t xml:space="preserve">1.1适用范围</w:t>
      </w:r>
      <w:bookmarkEnd w:id="38"/>
      <w:r/>
      <w:bookmarkEnd w:id="39"/>
      <w:r/>
      <w:bookmarkEnd w:id="40"/>
      <w:r/>
      <w:bookmarkEnd w:id="41"/>
      <w:r/>
      <w:r/>
    </w:p>
    <w:p>
      <w:pPr>
        <w:spacing w:line="420" w:lineRule="exact"/>
        <w:rPr>
          <w:rFonts w:hint="eastAsia"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p>
    <w:p>
      <w:pPr>
        <w:spacing w:line="420" w:lineRule="exact"/>
        <w:rPr>
          <w:rFonts w:hint="eastAsia" w:ascii="微软雅黑" w:hAnsi="微软雅黑" w:cs="微软雅黑"/>
        </w:rPr>
      </w:pPr>
      <w:r>
        <w:rPr>
          <w:rFonts w:hint="eastAsia" w:ascii="微软雅黑" w:hAnsi="微软雅黑" w:cs="微软雅黑"/>
        </w:rPr>
        <w:t xml:space="preserve">1.1.2采购人指</w:t>
      </w:r>
      <w:r>
        <w:rPr>
          <w:rFonts w:hint="eastAsia" w:ascii="微软雅黑" w:hAnsi="微软雅黑" w:cs="微软雅黑"/>
          <w:b/>
          <w:bCs/>
        </w:rPr>
        <w:t xml:space="preserve">南京医科大学</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p>
    <w:p>
      <w:pPr>
        <w:pStyle w:val="1216"/>
        <w:spacing w:line="420" w:lineRule="exact"/>
        <w:rPr>
          <w:rFonts w:hint="eastAsia" w:ascii="微软雅黑" w:hAnsi="微软雅黑" w:cs="微软雅黑"/>
          <w:bCs w:val="0"/>
          <w:sz w:val="24"/>
          <w:szCs w:val="24"/>
        </w:rPr>
      </w:pPr>
      <w:r/>
      <w:bookmarkStart w:id="43" w:name="_Toc452384172"/>
      <w:r/>
      <w:bookmarkStart w:id="44" w:name="_Toc5939"/>
      <w:r/>
      <w:bookmarkStart w:id="45" w:name="_Toc26931"/>
      <w:r/>
      <w:bookmarkStart w:id="46" w:name="_Toc17779"/>
      <w:r>
        <w:rPr>
          <w:rFonts w:hint="eastAsia" w:ascii="微软雅黑" w:hAnsi="微软雅黑" w:cs="微软雅黑"/>
          <w:bCs w:val="0"/>
          <w:sz w:val="24"/>
          <w:szCs w:val="24"/>
        </w:rPr>
        <w:t xml:space="preserve">1.2合格的</w:t>
      </w:r>
      <w:bookmarkEnd w:id="43"/>
      <w:r>
        <w:rPr>
          <w:rFonts w:hint="eastAsia" w:ascii="微软雅黑" w:hAnsi="微软雅黑" w:cs="微软雅黑"/>
          <w:bCs w:val="0"/>
          <w:sz w:val="24"/>
          <w:szCs w:val="24"/>
        </w:rPr>
        <w:t xml:space="preserve">供应商</w:t>
      </w:r>
      <w:bookmarkEnd w:id="44"/>
      <w:r/>
      <w:bookmarkEnd w:id="45"/>
      <w:r/>
      <w:bookmarkEnd w:id="46"/>
      <w:r/>
      <w:r/>
    </w:p>
    <w:p>
      <w:pPr>
        <w:spacing w:line="420" w:lineRule="exact"/>
        <w:rPr>
          <w:rFonts w:hint="eastAsia"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p>
    <w:p>
      <w:pPr>
        <w:spacing w:line="420" w:lineRule="exact"/>
        <w:rPr>
          <w:rFonts w:hint="eastAsia" w:ascii="微软雅黑" w:hAnsi="微软雅黑" w:cs="微软雅黑"/>
        </w:rPr>
      </w:pPr>
      <w:r>
        <w:rPr>
          <w:rFonts w:hint="eastAsia" w:ascii="微软雅黑" w:hAnsi="微软雅黑" w:cs="微软雅黑"/>
        </w:rPr>
        <w:t xml:space="preserve">1.2.2供应商参加本次采购活动应当符合本采购文件的规定。</w:t>
      </w:r>
      <w:r/>
    </w:p>
    <w:p>
      <w:pPr>
        <w:spacing w:line="420" w:lineRule="exact"/>
        <w:rPr>
          <w:rFonts w:hint="eastAsia"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hint="eastAsia" w:ascii="微软雅黑" w:hAnsi="微软雅黑" w:cs="微软雅黑"/>
        </w:rPr>
      </w:pPr>
      <w:r>
        <w:rPr>
          <w:rFonts w:hint="eastAsia" w:ascii="微软雅黑" w:hAnsi="微软雅黑" w:cs="微软雅黑"/>
        </w:rPr>
        <w:t xml:space="preserve">1.2.4联合体投标</w:t>
      </w:r>
      <w:r/>
    </w:p>
    <w:p>
      <w:pPr>
        <w:ind w:firstLine="420"/>
        <w:spacing w:line="420" w:lineRule="exact"/>
        <w:rPr>
          <w:rFonts w:hint="eastAsia"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hint="eastAsia"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hint="eastAsia"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p>
    <w:p>
      <w:pPr>
        <w:pStyle w:val="1216"/>
        <w:spacing w:line="420" w:lineRule="exact"/>
        <w:rPr>
          <w:rFonts w:hint="eastAsia" w:ascii="微软雅黑" w:hAnsi="微软雅黑" w:cs="微软雅黑"/>
          <w:bCs w:val="0"/>
          <w:sz w:val="24"/>
          <w:szCs w:val="24"/>
        </w:rPr>
      </w:pPr>
      <w:r/>
      <w:bookmarkStart w:id="47" w:name="_Toc403671109"/>
      <w:r/>
      <w:bookmarkStart w:id="48" w:name="_Toc452384173"/>
      <w:r/>
      <w:bookmarkStart w:id="49" w:name="_Toc15036"/>
      <w:r/>
      <w:bookmarkStart w:id="50" w:name="_Toc23266"/>
      <w:r/>
      <w:bookmarkStart w:id="51" w:name="_Toc8112"/>
      <w:r>
        <w:rPr>
          <w:rFonts w:hint="eastAsia" w:ascii="微软雅黑" w:hAnsi="微软雅黑" w:cs="微软雅黑"/>
          <w:bCs w:val="0"/>
          <w:sz w:val="24"/>
          <w:szCs w:val="24"/>
        </w:rPr>
        <w:t xml:space="preserve">1.3</w:t>
      </w:r>
      <w:bookmarkEnd w:id="47"/>
      <w:r>
        <w:rPr>
          <w:rFonts w:hint="eastAsia" w:ascii="微软雅黑" w:hAnsi="微软雅黑" w:cs="微软雅黑"/>
          <w:bCs w:val="0"/>
          <w:sz w:val="24"/>
          <w:szCs w:val="24"/>
        </w:rPr>
        <w:t xml:space="preserve">参加采购活动费用</w:t>
      </w:r>
      <w:bookmarkEnd w:id="48"/>
      <w:r/>
      <w:bookmarkEnd w:id="49"/>
      <w:r/>
      <w:bookmarkEnd w:id="50"/>
      <w:r/>
      <w:bookmarkEnd w:id="51"/>
      <w:r/>
      <w:r/>
    </w:p>
    <w:p>
      <w:pPr>
        <w:spacing w:line="420" w:lineRule="exact"/>
        <w:rPr>
          <w:rFonts w:hint="eastAsia"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p>
    <w:p>
      <w:pPr>
        <w:spacing w:line="420" w:lineRule="exact"/>
        <w:rPr>
          <w:rFonts w:hint="eastAsia" w:ascii="微软雅黑" w:hAnsi="微软雅黑" w:cs="微软雅黑"/>
        </w:rPr>
      </w:pPr>
      <w:r>
        <w:rPr>
          <w:rFonts w:hint="eastAsia" w:ascii="微软雅黑" w:hAnsi="微软雅黑" w:cs="微软雅黑"/>
        </w:rPr>
        <w:t xml:space="preserve">1.3.2有关费用的收取标准，详见供应商须知前附表。</w:t>
      </w:r>
      <w:r/>
    </w:p>
    <w:p>
      <w:pPr>
        <w:pStyle w:val="1216"/>
        <w:spacing w:line="420" w:lineRule="exact"/>
        <w:rPr>
          <w:rFonts w:hint="eastAsia" w:ascii="微软雅黑" w:hAnsi="微软雅黑" w:cs="微软雅黑"/>
          <w:bCs w:val="0"/>
          <w:sz w:val="24"/>
          <w:szCs w:val="24"/>
        </w:rPr>
      </w:pPr>
      <w:r/>
      <w:bookmarkStart w:id="52" w:name="_Toc452384174"/>
      <w:r/>
      <w:bookmarkStart w:id="53" w:name="_Toc15385"/>
      <w:r/>
      <w:bookmarkStart w:id="54" w:name="_Toc28048"/>
      <w:r/>
      <w:bookmarkStart w:id="55" w:name="_Toc13311"/>
      <w:r>
        <w:rPr>
          <w:rFonts w:hint="eastAsia" w:ascii="微软雅黑" w:hAnsi="微软雅黑" w:cs="微软雅黑"/>
          <w:bCs w:val="0"/>
          <w:sz w:val="24"/>
          <w:szCs w:val="24"/>
        </w:rPr>
        <w:t xml:space="preserve">1.4法律适用</w:t>
      </w:r>
      <w:bookmarkEnd w:id="52"/>
      <w:r/>
      <w:bookmarkEnd w:id="53"/>
      <w:r/>
      <w:bookmarkEnd w:id="54"/>
      <w:r/>
      <w:bookmarkEnd w:id="55"/>
      <w:r/>
      <w:r/>
    </w:p>
    <w:p>
      <w:pPr>
        <w:spacing w:line="420" w:lineRule="exact"/>
        <w:rPr>
          <w:rFonts w:hint="eastAsia" w:ascii="微软雅黑" w:hAnsi="微软雅黑" w:cs="微软雅黑"/>
        </w:rPr>
      </w:pPr>
      <w:r>
        <w:rPr>
          <w:rFonts w:hint="eastAsia" w:ascii="微软雅黑" w:hAnsi="微软雅黑" w:cs="微软雅黑"/>
        </w:rPr>
        <w:t xml:space="preserve">本次采购活动及其产生的合同适用中华人民共和国法律。</w:t>
      </w:r>
      <w:r/>
    </w:p>
    <w:p>
      <w:pPr>
        <w:pStyle w:val="1216"/>
        <w:spacing w:line="420" w:lineRule="exact"/>
        <w:rPr>
          <w:rFonts w:hint="eastAsia" w:ascii="微软雅黑" w:hAnsi="微软雅黑" w:cs="微软雅黑"/>
          <w:bCs w:val="0"/>
          <w:sz w:val="24"/>
          <w:szCs w:val="24"/>
        </w:rPr>
      </w:pPr>
      <w:r/>
      <w:bookmarkStart w:id="56" w:name="_Toc452384175"/>
      <w:r/>
      <w:bookmarkStart w:id="57" w:name="_Toc32584"/>
      <w:r/>
      <w:bookmarkStart w:id="58" w:name="_Toc8605"/>
      <w:r/>
      <w:bookmarkStart w:id="59" w:name="_Toc18968"/>
      <w:r>
        <w:rPr>
          <w:rFonts w:hint="eastAsia" w:ascii="微软雅黑" w:hAnsi="微软雅黑" w:cs="微软雅黑"/>
          <w:bCs w:val="0"/>
          <w:sz w:val="24"/>
          <w:szCs w:val="24"/>
        </w:rPr>
        <w:t xml:space="preserve">1.5采购文件的约束力</w:t>
      </w:r>
      <w:bookmarkEnd w:id="56"/>
      <w:r/>
      <w:bookmarkEnd w:id="57"/>
      <w:r/>
      <w:bookmarkEnd w:id="58"/>
      <w:r/>
      <w:bookmarkEnd w:id="59"/>
      <w:r/>
      <w:r/>
    </w:p>
    <w:p>
      <w:pPr>
        <w:spacing w:line="420" w:lineRule="exact"/>
        <w:rPr>
          <w:rFonts w:hint="eastAsia"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p>
    <w:p>
      <w:pPr>
        <w:spacing w:line="420" w:lineRule="exact"/>
        <w:rPr>
          <w:rFonts w:hint="eastAsia" w:ascii="微软雅黑" w:hAnsi="微软雅黑" w:cs="微软雅黑"/>
        </w:rPr>
      </w:pPr>
      <w:r>
        <w:rPr>
          <w:rFonts w:hint="eastAsia" w:ascii="微软雅黑" w:hAnsi="微软雅黑" w:cs="微软雅黑"/>
        </w:rPr>
        <w:t xml:space="preserve">1.5.2本采购文件由采购代理机构负责解释。</w:t>
      </w:r>
      <w:r/>
    </w:p>
    <w:p>
      <w:pPr>
        <w:pStyle w:val="1353"/>
        <w:spacing w:line="420" w:lineRule="exact"/>
        <w:rPr>
          <w:rFonts w:hint="eastAsia" w:ascii="微软雅黑" w:hAnsi="微软雅黑" w:cs="微软雅黑"/>
        </w:rPr>
      </w:pPr>
      <w:r/>
      <w:bookmarkStart w:id="60" w:name="_Toc9303"/>
      <w:r/>
      <w:bookmarkStart w:id="61" w:name="_Toc21022"/>
      <w:r/>
      <w:bookmarkStart w:id="62" w:name="_Toc14767"/>
      <w:r/>
      <w:bookmarkStart w:id="63" w:name="_Toc452384176"/>
      <w:r>
        <w:rPr>
          <w:rFonts w:hint="eastAsia" w:ascii="微软雅黑" w:hAnsi="微软雅黑" w:cs="微软雅黑"/>
        </w:rPr>
        <w:t xml:space="preserve">二、采购文件</w:t>
      </w:r>
      <w:bookmarkEnd w:id="60"/>
      <w:r/>
      <w:bookmarkEnd w:id="61"/>
      <w:r/>
      <w:bookmarkEnd w:id="62"/>
      <w:r/>
      <w:bookmarkEnd w:id="63"/>
      <w:r/>
      <w:r/>
    </w:p>
    <w:p>
      <w:pPr>
        <w:pStyle w:val="1216"/>
        <w:spacing w:line="420" w:lineRule="exact"/>
        <w:rPr>
          <w:rFonts w:hint="eastAsia" w:ascii="微软雅黑" w:hAnsi="微软雅黑" w:cs="微软雅黑"/>
          <w:bCs w:val="0"/>
          <w:sz w:val="24"/>
          <w:szCs w:val="24"/>
        </w:rPr>
      </w:pPr>
      <w:r/>
      <w:bookmarkStart w:id="64" w:name="_Toc21175"/>
      <w:r/>
      <w:bookmarkStart w:id="65" w:name="_Toc10645"/>
      <w:r/>
      <w:bookmarkStart w:id="66" w:name="_Toc452384177"/>
      <w:r/>
      <w:bookmarkStart w:id="67" w:name="_Toc23555"/>
      <w:r>
        <w:rPr>
          <w:rFonts w:hint="eastAsia" w:ascii="微软雅黑" w:hAnsi="微软雅黑" w:cs="微软雅黑"/>
          <w:bCs w:val="0"/>
          <w:sz w:val="24"/>
          <w:szCs w:val="24"/>
        </w:rPr>
        <w:t xml:space="preserve">2.1采购文件的组成</w:t>
      </w:r>
      <w:bookmarkEnd w:id="64"/>
      <w:r/>
      <w:bookmarkEnd w:id="65"/>
      <w:r/>
      <w:bookmarkEnd w:id="66"/>
      <w:r/>
      <w:bookmarkEnd w:id="67"/>
      <w:r/>
      <w:r/>
    </w:p>
    <w:p>
      <w:pPr>
        <w:spacing w:line="420" w:lineRule="exact"/>
        <w:rPr>
          <w:rFonts w:hint="eastAsia" w:ascii="微软雅黑" w:hAnsi="微软雅黑" w:cs="微软雅黑"/>
        </w:rPr>
      </w:pPr>
      <w:r>
        <w:rPr>
          <w:rFonts w:hint="eastAsia" w:ascii="微软雅黑" w:hAnsi="微软雅黑" w:cs="微软雅黑"/>
        </w:rPr>
        <w:t xml:space="preserve">2.1.1采购文件由以下部分组成：</w:t>
      </w:r>
      <w:r/>
    </w:p>
    <w:p>
      <w:pPr>
        <w:ind w:firstLine="420"/>
        <w:spacing w:line="420" w:lineRule="exact"/>
        <w:rPr>
          <w:rFonts w:hint="eastAsia" w:ascii="微软雅黑" w:hAnsi="微软雅黑" w:cs="微软雅黑"/>
        </w:rPr>
      </w:pPr>
      <w:r>
        <w:rPr>
          <w:rFonts w:hint="eastAsia" w:ascii="微软雅黑" w:hAnsi="微软雅黑" w:cs="微软雅黑"/>
        </w:rPr>
        <w:t xml:space="preserve">第一章 投标邀请（采购公告）</w:t>
      </w:r>
      <w:r/>
    </w:p>
    <w:p>
      <w:pPr>
        <w:ind w:firstLine="420"/>
        <w:spacing w:line="420" w:lineRule="exact"/>
        <w:rPr>
          <w:rFonts w:hint="eastAsia" w:ascii="微软雅黑" w:hAnsi="微软雅黑" w:cs="微软雅黑"/>
        </w:rPr>
      </w:pPr>
      <w:r>
        <w:rPr>
          <w:rFonts w:hint="eastAsia" w:ascii="微软雅黑" w:hAnsi="微软雅黑" w:cs="微软雅黑"/>
        </w:rPr>
        <w:t xml:space="preserve">第二章 供应商须知</w:t>
      </w:r>
      <w:r/>
    </w:p>
    <w:p>
      <w:pPr>
        <w:ind w:firstLine="420"/>
        <w:spacing w:line="420" w:lineRule="exact"/>
        <w:rPr>
          <w:rFonts w:hint="eastAsia" w:ascii="微软雅黑" w:hAnsi="微软雅黑" w:cs="微软雅黑"/>
        </w:rPr>
      </w:pPr>
      <w:r>
        <w:rPr>
          <w:rFonts w:hint="eastAsia" w:ascii="微软雅黑" w:hAnsi="微软雅黑" w:cs="微软雅黑"/>
        </w:rPr>
        <w:t xml:space="preserve">第三章 评标办法和定标原则</w:t>
      </w:r>
      <w:r/>
    </w:p>
    <w:p>
      <w:pPr>
        <w:ind w:firstLine="420"/>
        <w:spacing w:line="420" w:lineRule="exact"/>
        <w:rPr>
          <w:rFonts w:hint="eastAsia" w:ascii="微软雅黑" w:hAnsi="微软雅黑" w:cs="微软雅黑"/>
        </w:rPr>
      </w:pPr>
      <w:r>
        <w:rPr>
          <w:rFonts w:hint="eastAsia" w:ascii="微软雅黑" w:hAnsi="微软雅黑" w:cs="微软雅黑"/>
        </w:rPr>
        <w:t xml:space="preserve">第四章 项目采购需求</w:t>
      </w:r>
      <w:r/>
    </w:p>
    <w:p>
      <w:pPr>
        <w:ind w:firstLine="420"/>
        <w:spacing w:line="420" w:lineRule="exact"/>
        <w:rPr>
          <w:rFonts w:hint="eastAsia" w:ascii="微软雅黑" w:hAnsi="微软雅黑" w:cs="微软雅黑"/>
        </w:rPr>
      </w:pPr>
      <w:r>
        <w:rPr>
          <w:rFonts w:hint="eastAsia" w:ascii="微软雅黑" w:hAnsi="微软雅黑" w:cs="微软雅黑"/>
        </w:rPr>
        <w:t xml:space="preserve">第五章 采购合同</w:t>
      </w:r>
      <w:r/>
    </w:p>
    <w:p>
      <w:pPr>
        <w:ind w:firstLine="420"/>
        <w:spacing w:line="420" w:lineRule="exact"/>
        <w:rPr>
          <w:rFonts w:hint="eastAsia" w:ascii="微软雅黑" w:hAnsi="微软雅黑" w:cs="微软雅黑"/>
        </w:rPr>
      </w:pPr>
      <w:r>
        <w:rPr>
          <w:rFonts w:hint="eastAsia" w:ascii="微软雅黑" w:hAnsi="微软雅黑" w:cs="微软雅黑"/>
        </w:rPr>
        <w:t xml:space="preserve">第六章 投标文件格式及附件</w:t>
      </w:r>
      <w:r/>
    </w:p>
    <w:p>
      <w:pPr>
        <w:ind w:firstLine="420"/>
        <w:spacing w:line="420" w:lineRule="exact"/>
        <w:rPr>
          <w:rFonts w:hint="eastAsia" w:ascii="微软雅黑" w:hAnsi="微软雅黑" w:cs="微软雅黑"/>
        </w:rPr>
      </w:pPr>
      <w:r>
        <w:rPr>
          <w:rFonts w:hint="eastAsia" w:ascii="微软雅黑" w:hAnsi="微软雅黑" w:cs="微软雅黑"/>
        </w:rPr>
        <w:t xml:space="preserve">请仔细检查采购文件是否齐全，如有缺漏，请立即与采购代理机构联系解决。</w:t>
      </w:r>
      <w:r/>
    </w:p>
    <w:p>
      <w:pPr>
        <w:spacing w:line="420" w:lineRule="exact"/>
        <w:rPr>
          <w:rFonts w:hint="eastAsia"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hint="eastAsia"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p>
    <w:p>
      <w:pPr>
        <w:pStyle w:val="1216"/>
        <w:spacing w:line="420" w:lineRule="exact"/>
        <w:rPr>
          <w:rFonts w:hint="eastAsia" w:ascii="微软雅黑" w:hAnsi="微软雅黑" w:cs="微软雅黑"/>
          <w:bCs w:val="0"/>
          <w:sz w:val="24"/>
          <w:szCs w:val="24"/>
        </w:rPr>
      </w:pPr>
      <w:r/>
      <w:bookmarkStart w:id="68" w:name="_Toc6117"/>
      <w:r/>
      <w:bookmarkStart w:id="69" w:name="_Toc15213"/>
      <w:r/>
      <w:bookmarkStart w:id="70" w:name="_Toc10339"/>
      <w:r/>
      <w:bookmarkStart w:id="71" w:name="_Toc452384179"/>
      <w:r>
        <w:rPr>
          <w:rFonts w:hint="eastAsia" w:ascii="微软雅黑" w:hAnsi="微软雅黑" w:cs="微软雅黑"/>
          <w:bCs w:val="0"/>
          <w:sz w:val="24"/>
          <w:szCs w:val="24"/>
        </w:rPr>
        <w:t xml:space="preserve">2.2采购文件的更正或补充</w:t>
      </w:r>
      <w:bookmarkEnd w:id="68"/>
      <w:r/>
      <w:bookmarkEnd w:id="69"/>
      <w:r/>
      <w:bookmarkEnd w:id="70"/>
      <w:r/>
      <w:bookmarkEnd w:id="71"/>
      <w:r/>
      <w:r/>
    </w:p>
    <w:p>
      <w:pPr>
        <w:spacing w:line="420" w:lineRule="exact"/>
        <w:rPr>
          <w:rFonts w:hint="eastAsia"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p>
    <w:p>
      <w:pPr>
        <w:spacing w:line="420" w:lineRule="exact"/>
        <w:rPr>
          <w:rFonts w:hint="eastAsia"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hint="eastAsia"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p>
    <w:p>
      <w:pPr>
        <w:spacing w:line="420" w:lineRule="exact"/>
        <w:rPr>
          <w:rFonts w:hint="eastAsia"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hint="eastAsia"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p>
    <w:p>
      <w:pPr>
        <w:pStyle w:val="1353"/>
        <w:spacing w:line="420" w:lineRule="exact"/>
        <w:rPr>
          <w:rFonts w:hint="eastAsia" w:ascii="微软雅黑" w:hAnsi="微软雅黑" w:cs="微软雅黑"/>
        </w:rPr>
      </w:pPr>
      <w:r/>
      <w:bookmarkStart w:id="72" w:name="_Toc124"/>
      <w:r/>
      <w:bookmarkStart w:id="73" w:name="_Toc923"/>
      <w:r/>
      <w:bookmarkStart w:id="74" w:name="_Toc452384180"/>
      <w:r/>
      <w:bookmarkStart w:id="75" w:name="_Toc28998"/>
      <w:r>
        <w:rPr>
          <w:rFonts w:hint="eastAsia" w:ascii="微软雅黑" w:hAnsi="微软雅黑" w:cs="微软雅黑"/>
        </w:rPr>
        <w:t xml:space="preserve">三、投标文件</w:t>
      </w:r>
      <w:bookmarkEnd w:id="72"/>
      <w:r/>
      <w:bookmarkEnd w:id="73"/>
      <w:r/>
      <w:bookmarkEnd w:id="74"/>
      <w:r/>
      <w:bookmarkEnd w:id="75"/>
      <w:r/>
      <w:r/>
    </w:p>
    <w:p>
      <w:pPr>
        <w:pStyle w:val="1216"/>
        <w:spacing w:line="420" w:lineRule="exact"/>
        <w:rPr>
          <w:rFonts w:hint="eastAsia" w:ascii="微软雅黑" w:hAnsi="微软雅黑" w:cs="微软雅黑"/>
          <w:bCs w:val="0"/>
          <w:sz w:val="24"/>
          <w:szCs w:val="24"/>
        </w:rPr>
      </w:pPr>
      <w:r/>
      <w:bookmarkStart w:id="76" w:name="_Toc13316"/>
      <w:r/>
      <w:bookmarkStart w:id="77" w:name="_Toc9096"/>
      <w:r/>
      <w:bookmarkStart w:id="78" w:name="_Toc452384181"/>
      <w:r/>
      <w:bookmarkStart w:id="79" w:name="_Toc7846"/>
      <w:r>
        <w:rPr>
          <w:rFonts w:hint="eastAsia" w:ascii="微软雅黑" w:hAnsi="微软雅黑" w:cs="微软雅黑"/>
          <w:bCs w:val="0"/>
          <w:sz w:val="24"/>
          <w:szCs w:val="24"/>
        </w:rPr>
        <w:t xml:space="preserve">3.1投标文件的语言及度量衡</w:t>
      </w:r>
      <w:bookmarkEnd w:id="76"/>
      <w:r/>
      <w:bookmarkEnd w:id="77"/>
      <w:r/>
      <w:bookmarkEnd w:id="78"/>
      <w:r/>
      <w:bookmarkEnd w:id="79"/>
      <w:r/>
      <w:r/>
    </w:p>
    <w:p>
      <w:pPr>
        <w:spacing w:line="420" w:lineRule="exact"/>
        <w:rPr>
          <w:rFonts w:hint="eastAsia"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p>
    <w:p>
      <w:pPr>
        <w:spacing w:line="420" w:lineRule="exact"/>
        <w:rPr>
          <w:rFonts w:hint="eastAsia"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hint="eastAsia" w:ascii="微软雅黑" w:hAnsi="微软雅黑" w:cs="微软雅黑"/>
        </w:rPr>
      </w:pPr>
      <w:r>
        <w:rPr>
          <w:rFonts w:hint="eastAsia" w:ascii="微软雅黑" w:hAnsi="微软雅黑" w:cs="微软雅黑"/>
        </w:rPr>
        <w:t xml:space="preserve">3.1.3除在采购文件第六章中另有规定外，度量衡单位应使用国际单位制。</w:t>
      </w:r>
      <w:r/>
    </w:p>
    <w:p>
      <w:pPr>
        <w:spacing w:line="420" w:lineRule="exact"/>
        <w:rPr>
          <w:rFonts w:hint="eastAsia" w:ascii="微软雅黑" w:hAnsi="微软雅黑" w:cs="微软雅黑"/>
        </w:rPr>
      </w:pPr>
      <w:r>
        <w:rPr>
          <w:rFonts w:hint="eastAsia" w:ascii="微软雅黑" w:hAnsi="微软雅黑" w:cs="微软雅黑"/>
        </w:rPr>
        <w:t xml:space="preserve">3.1.4本采购文件所表述的时间均为北京时间。</w:t>
      </w:r>
      <w:r/>
    </w:p>
    <w:p>
      <w:pPr>
        <w:pStyle w:val="1216"/>
        <w:spacing w:line="420" w:lineRule="exact"/>
        <w:rPr>
          <w:rFonts w:hint="eastAsia" w:ascii="微软雅黑" w:hAnsi="微软雅黑" w:cs="微软雅黑"/>
          <w:bCs w:val="0"/>
          <w:sz w:val="24"/>
          <w:szCs w:val="24"/>
        </w:rPr>
      </w:pPr>
      <w:r/>
      <w:bookmarkStart w:id="80" w:name="_Toc27826"/>
      <w:r/>
      <w:bookmarkStart w:id="81" w:name="_Toc452384182"/>
      <w:r/>
      <w:bookmarkStart w:id="82" w:name="_Toc23879"/>
      <w:r/>
      <w:bookmarkStart w:id="83" w:name="_Toc21598"/>
      <w:r>
        <w:rPr>
          <w:rFonts w:hint="eastAsia" w:ascii="微软雅黑" w:hAnsi="微软雅黑" w:cs="微软雅黑"/>
          <w:bCs w:val="0"/>
          <w:sz w:val="24"/>
          <w:szCs w:val="24"/>
        </w:rPr>
        <w:t xml:space="preserve">3.2投标文件的组成</w:t>
      </w:r>
      <w:bookmarkEnd w:id="80"/>
      <w:r/>
      <w:bookmarkEnd w:id="81"/>
      <w:r/>
      <w:bookmarkEnd w:id="82"/>
      <w:r/>
      <w:bookmarkEnd w:id="83"/>
      <w:r/>
      <w:r/>
    </w:p>
    <w:p>
      <w:pPr>
        <w:spacing w:line="420" w:lineRule="exact"/>
        <w:rPr>
          <w:rFonts w:hint="eastAsia"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p>
    <w:p>
      <w:pPr>
        <w:ind w:firstLine="420"/>
        <w:spacing w:line="420" w:lineRule="exact"/>
        <w:rPr>
          <w:rFonts w:hint="eastAsia" w:ascii="微软雅黑" w:hAnsi="微软雅黑" w:cs="微软雅黑"/>
        </w:rPr>
      </w:pPr>
      <w:r>
        <w:rPr>
          <w:rFonts w:hint="eastAsia" w:ascii="微软雅黑" w:hAnsi="微软雅黑" w:cs="微软雅黑"/>
        </w:rPr>
        <w:t xml:space="preserve">（1）投标函和投标报价及相关证明文件。</w:t>
      </w:r>
      <w:r/>
    </w:p>
    <w:p>
      <w:pPr>
        <w:ind w:firstLine="420"/>
        <w:spacing w:line="420" w:lineRule="exact"/>
        <w:rPr>
          <w:rFonts w:hint="eastAsia" w:ascii="微软雅黑" w:hAnsi="微软雅黑" w:cs="微软雅黑"/>
        </w:rPr>
      </w:pPr>
      <w:r>
        <w:rPr>
          <w:rFonts w:hint="eastAsia" w:ascii="微软雅黑" w:hAnsi="微软雅黑" w:cs="微软雅黑"/>
        </w:rPr>
        <w:t xml:space="preserve">（2）供应商资格证明文件。</w:t>
      </w:r>
      <w:r/>
    </w:p>
    <w:p>
      <w:pPr>
        <w:ind w:firstLine="420"/>
        <w:spacing w:line="420" w:lineRule="exact"/>
        <w:rPr>
          <w:rFonts w:hint="eastAsia"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hint="eastAsia"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p>
    <w:p>
      <w:pPr>
        <w:spacing w:line="420" w:lineRule="exact"/>
        <w:rPr>
          <w:rFonts w:hint="eastAsia"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p>
    <w:p>
      <w:pPr>
        <w:spacing w:line="420" w:lineRule="exact"/>
        <w:rPr>
          <w:rFonts w:hint="eastAsia"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p>
    <w:p>
      <w:pPr>
        <w:pStyle w:val="1216"/>
        <w:spacing w:line="420" w:lineRule="exact"/>
        <w:rPr>
          <w:rFonts w:hint="eastAsia" w:ascii="微软雅黑" w:hAnsi="微软雅黑" w:cs="微软雅黑"/>
          <w:bCs w:val="0"/>
          <w:sz w:val="24"/>
          <w:szCs w:val="24"/>
        </w:rPr>
      </w:pPr>
      <w:r/>
      <w:bookmarkStart w:id="84" w:name="_Toc30513"/>
      <w:r/>
      <w:bookmarkStart w:id="85" w:name="_Toc28667"/>
      <w:r/>
      <w:bookmarkStart w:id="86" w:name="_Toc452384183"/>
      <w:r/>
      <w:bookmarkStart w:id="87" w:name="_Toc8856"/>
      <w:r>
        <w:rPr>
          <w:rFonts w:hint="eastAsia" w:ascii="微软雅黑" w:hAnsi="微软雅黑" w:cs="微软雅黑"/>
          <w:bCs w:val="0"/>
          <w:sz w:val="24"/>
          <w:szCs w:val="24"/>
        </w:rPr>
        <w:t xml:space="preserve">3.3投标报价</w:t>
      </w:r>
      <w:bookmarkEnd w:id="84"/>
      <w:r/>
      <w:bookmarkEnd w:id="85"/>
      <w:r/>
      <w:bookmarkEnd w:id="86"/>
      <w:r/>
      <w:bookmarkEnd w:id="87"/>
      <w:r/>
      <w:r/>
    </w:p>
    <w:p>
      <w:pPr>
        <w:spacing w:line="420" w:lineRule="exact"/>
        <w:rPr>
          <w:rFonts w:hint="eastAsia"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hint="eastAsia"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p>
    <w:p>
      <w:pPr>
        <w:spacing w:line="420" w:lineRule="exact"/>
        <w:rPr>
          <w:rFonts w:hint="eastAsia"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p>
    <w:p>
      <w:pPr>
        <w:pStyle w:val="1216"/>
        <w:spacing w:line="420" w:lineRule="exact"/>
        <w:rPr>
          <w:rFonts w:hint="eastAsia" w:ascii="微软雅黑" w:hAnsi="微软雅黑" w:cs="微软雅黑"/>
          <w:bCs w:val="0"/>
          <w:sz w:val="24"/>
          <w:szCs w:val="24"/>
        </w:rPr>
      </w:pPr>
      <w:r/>
      <w:bookmarkStart w:id="88" w:name="_Toc18854"/>
      <w:r/>
      <w:bookmarkStart w:id="89" w:name="_Toc17210"/>
      <w:r/>
      <w:bookmarkStart w:id="90" w:name="_Toc452384184"/>
      <w:r/>
      <w:bookmarkStart w:id="91" w:name="_Toc9113"/>
      <w:r>
        <w:rPr>
          <w:rFonts w:hint="eastAsia" w:ascii="微软雅黑" w:hAnsi="微软雅黑" w:cs="微软雅黑"/>
          <w:bCs w:val="0"/>
          <w:sz w:val="24"/>
          <w:szCs w:val="24"/>
        </w:rPr>
        <w:t xml:space="preserve">3.4投标报价中的货币</w:t>
      </w:r>
      <w:bookmarkEnd w:id="88"/>
      <w:r/>
      <w:bookmarkEnd w:id="89"/>
      <w:r/>
      <w:bookmarkEnd w:id="90"/>
      <w:r/>
      <w:bookmarkEnd w:id="91"/>
      <w:r/>
      <w:r/>
    </w:p>
    <w:p>
      <w:pPr>
        <w:ind w:firstLine="420"/>
        <w:spacing w:line="420" w:lineRule="exact"/>
        <w:rPr>
          <w:rFonts w:hint="eastAsia" w:ascii="微软雅黑" w:hAnsi="微软雅黑" w:cs="微软雅黑"/>
        </w:rPr>
      </w:pPr>
      <w:r>
        <w:rPr>
          <w:rFonts w:hint="eastAsia" w:ascii="微软雅黑" w:hAnsi="微软雅黑" w:cs="微软雅黑"/>
        </w:rPr>
        <w:t xml:space="preserve">投标报价均须以人民币为计算单位，采购文件另有规定的，从其规定。</w:t>
      </w:r>
      <w:r/>
    </w:p>
    <w:p>
      <w:pPr>
        <w:pStyle w:val="1216"/>
        <w:spacing w:line="420" w:lineRule="exact"/>
        <w:rPr>
          <w:rFonts w:hint="eastAsia" w:ascii="微软雅黑" w:hAnsi="微软雅黑" w:cs="微软雅黑"/>
          <w:bCs w:val="0"/>
          <w:sz w:val="24"/>
          <w:szCs w:val="24"/>
        </w:rPr>
      </w:pPr>
      <w:r/>
      <w:bookmarkStart w:id="92" w:name="_Toc452384185"/>
      <w:r/>
      <w:bookmarkStart w:id="93" w:name="_Toc16380"/>
      <w:r/>
      <w:bookmarkStart w:id="94" w:name="_Toc17274"/>
      <w:r/>
      <w:bookmarkStart w:id="95" w:name="_Toc65"/>
      <w:r>
        <w:rPr>
          <w:rFonts w:hint="eastAsia" w:ascii="微软雅黑" w:hAnsi="微软雅黑" w:cs="微软雅黑"/>
          <w:bCs w:val="0"/>
          <w:sz w:val="24"/>
          <w:szCs w:val="24"/>
        </w:rPr>
        <w:t xml:space="preserve">3.5投标保证金</w:t>
      </w:r>
      <w:bookmarkEnd w:id="92"/>
      <w:r/>
      <w:bookmarkEnd w:id="93"/>
      <w:r>
        <w:rPr>
          <w:rFonts w:hint="eastAsia" w:ascii="微软雅黑" w:hAnsi="微软雅黑" w:cs="微软雅黑"/>
          <w:bCs w:val="0"/>
          <w:sz w:val="24"/>
          <w:szCs w:val="24"/>
        </w:rPr>
        <w:t xml:space="preserve">：无</w:t>
      </w:r>
      <w:bookmarkEnd w:id="94"/>
      <w:r/>
      <w:bookmarkEnd w:id="95"/>
      <w:r/>
      <w:r/>
    </w:p>
    <w:p>
      <w:pPr>
        <w:pStyle w:val="1216"/>
        <w:spacing w:line="420" w:lineRule="exact"/>
        <w:rPr>
          <w:rFonts w:hint="eastAsia" w:ascii="微软雅黑" w:hAnsi="微软雅黑" w:cs="微软雅黑"/>
          <w:bCs w:val="0"/>
          <w:sz w:val="24"/>
          <w:szCs w:val="24"/>
        </w:rPr>
      </w:pPr>
      <w:r/>
      <w:bookmarkStart w:id="96" w:name="_Toc31418"/>
      <w:r/>
      <w:bookmarkStart w:id="97" w:name="_Toc5583"/>
      <w:r/>
      <w:bookmarkStart w:id="98" w:name="_Toc23668"/>
      <w:r/>
      <w:bookmarkStart w:id="99" w:name="_Toc452384186"/>
      <w:r>
        <w:rPr>
          <w:rFonts w:hint="eastAsia" w:ascii="微软雅黑" w:hAnsi="微软雅黑" w:cs="微软雅黑"/>
          <w:bCs w:val="0"/>
          <w:sz w:val="24"/>
          <w:szCs w:val="24"/>
        </w:rPr>
        <w:t xml:space="preserve">3.6投标有效期</w:t>
      </w:r>
      <w:bookmarkEnd w:id="96"/>
      <w:r/>
      <w:bookmarkEnd w:id="97"/>
      <w:r/>
      <w:bookmarkEnd w:id="98"/>
      <w:r/>
      <w:bookmarkEnd w:id="99"/>
      <w:r/>
      <w:r/>
    </w:p>
    <w:p>
      <w:pPr>
        <w:spacing w:line="420" w:lineRule="exact"/>
        <w:rPr>
          <w:rFonts w:hint="eastAsia"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p>
    <w:p>
      <w:pPr>
        <w:spacing w:line="420" w:lineRule="exact"/>
        <w:rPr>
          <w:rFonts w:hint="eastAsia"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216"/>
        <w:spacing w:line="420" w:lineRule="exact"/>
        <w:rPr>
          <w:rFonts w:hint="eastAsia" w:ascii="微软雅黑" w:hAnsi="微软雅黑" w:cs="微软雅黑"/>
          <w:bCs w:val="0"/>
          <w:sz w:val="24"/>
          <w:szCs w:val="24"/>
        </w:rPr>
      </w:pPr>
      <w:r/>
      <w:bookmarkStart w:id="100" w:name="_Toc452384187"/>
      <w:r/>
      <w:bookmarkStart w:id="101" w:name="_Toc17365"/>
      <w:r/>
      <w:bookmarkStart w:id="102" w:name="_Toc24918"/>
      <w:r/>
      <w:bookmarkStart w:id="103" w:name="_Toc30675"/>
      <w:r>
        <w:rPr>
          <w:rFonts w:hint="eastAsia" w:ascii="微软雅黑" w:hAnsi="微软雅黑" w:cs="微软雅黑"/>
          <w:bCs w:val="0"/>
          <w:sz w:val="24"/>
          <w:szCs w:val="24"/>
        </w:rPr>
        <w:t xml:space="preserve">3.7投标文件的签署、形式及装订</w:t>
      </w:r>
      <w:bookmarkEnd w:id="100"/>
      <w:r/>
      <w:bookmarkEnd w:id="101"/>
      <w:r/>
      <w:bookmarkEnd w:id="102"/>
      <w:r/>
      <w:bookmarkEnd w:id="103"/>
      <w:r/>
      <w:r/>
    </w:p>
    <w:p>
      <w:pPr>
        <w:spacing w:line="420" w:lineRule="exact"/>
        <w:rPr>
          <w:rFonts w:hint="eastAsia"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hint="eastAsia"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hint="eastAsia"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p>
    <w:p>
      <w:pPr>
        <w:spacing w:line="420" w:lineRule="exact"/>
        <w:rPr>
          <w:rFonts w:hint="eastAsia"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p>
    <w:p>
      <w:pPr>
        <w:spacing w:line="420" w:lineRule="exact"/>
        <w:rPr>
          <w:rFonts w:hint="eastAsia" w:ascii="微软雅黑" w:hAnsi="微软雅黑" w:cs="微软雅黑"/>
        </w:rPr>
      </w:pPr>
      <w:r>
        <w:rPr>
          <w:rFonts w:hint="eastAsia" w:ascii="微软雅黑" w:hAnsi="微软雅黑" w:cs="微软雅黑"/>
        </w:rPr>
        <w:t xml:space="preserve">3.7.4投标文件需包含评分索引表、目录及页码。投标文件需固定胶装成册。</w:t>
      </w:r>
      <w:r/>
    </w:p>
    <w:p>
      <w:pPr>
        <w:pStyle w:val="1353"/>
        <w:spacing w:line="420" w:lineRule="exact"/>
        <w:rPr>
          <w:rFonts w:hint="eastAsia" w:ascii="微软雅黑" w:hAnsi="微软雅黑" w:cs="微软雅黑"/>
        </w:rPr>
      </w:pPr>
      <w:r/>
      <w:bookmarkStart w:id="104" w:name="_Toc30572"/>
      <w:r/>
      <w:bookmarkStart w:id="105" w:name="_Toc452384188"/>
      <w:r/>
      <w:bookmarkStart w:id="106" w:name="_Toc26037"/>
      <w:r/>
      <w:bookmarkStart w:id="107" w:name="_Toc28144"/>
      <w:r>
        <w:rPr>
          <w:rFonts w:hint="eastAsia" w:ascii="微软雅黑" w:hAnsi="微软雅黑" w:cs="微软雅黑"/>
        </w:rPr>
        <w:t xml:space="preserve">四、投标文件的递交</w:t>
      </w:r>
      <w:bookmarkEnd w:id="104"/>
      <w:r/>
      <w:bookmarkEnd w:id="105"/>
      <w:r/>
      <w:bookmarkEnd w:id="106"/>
      <w:r/>
      <w:bookmarkEnd w:id="107"/>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4.1投标人应当按照《操作手册》规定，在采购公告规定的投标截止时间前制作并上传电子投标文件。</w:t>
      </w:r>
      <w:r/>
    </w:p>
    <w:p>
      <w:pPr>
        <w:pStyle w:val="1138"/>
        <w:jc w:val="left"/>
        <w:spacing w:before="0" w:after="0" w:line="420" w:lineRule="exact"/>
        <w:rPr>
          <w:rFonts w:hint="eastAsia" w:ascii="微软雅黑" w:hAnsi="微软雅黑" w:eastAsia="微软雅黑" w:cs="微软雅黑"/>
          <w:b/>
          <w:sz w:val="21"/>
          <w:szCs w:val="21"/>
        </w:rPr>
      </w:pPr>
      <w:r/>
      <w:bookmarkStart w:id="108" w:name="_Toc2168"/>
      <w:r/>
      <w:bookmarkStart w:id="109" w:name="_Toc11977"/>
      <w:r/>
      <w:bookmarkStart w:id="110" w:name="_Toc27453"/>
      <w:r/>
      <w:bookmarkStart w:id="111" w:name="_Toc11818"/>
      <w:r/>
      <w:bookmarkStart w:id="112" w:name="_Toc452384192"/>
      <w:r>
        <w:rPr>
          <w:rFonts w:hint="eastAsia" w:ascii="微软雅黑" w:hAnsi="微软雅黑" w:eastAsia="微软雅黑" w:cs="微软雅黑"/>
          <w:b/>
          <w:sz w:val="21"/>
          <w:szCs w:val="21"/>
        </w:rPr>
        <w:t xml:space="preserve">4.2有下列情形的投标文件将被拒收</w:t>
      </w:r>
      <w:bookmarkEnd w:id="108"/>
      <w:r/>
      <w:bookmarkEnd w:id="109"/>
      <w:r/>
      <w:bookmarkEnd w:id="110"/>
      <w:r/>
      <w:r/>
    </w:p>
    <w:p>
      <w:pPr>
        <w:pStyle w:val="1138"/>
        <w:jc w:val="left"/>
        <w:spacing w:before="0" w:after="0" w:line="420" w:lineRule="exact"/>
        <w:rPr>
          <w:rFonts w:hint="eastAsia" w:ascii="微软雅黑" w:hAnsi="微软雅黑" w:eastAsia="微软雅黑" w:cs="微软雅黑"/>
          <w:b/>
          <w:sz w:val="21"/>
          <w:szCs w:val="21"/>
        </w:rPr>
      </w:pPr>
      <w:r/>
      <w:bookmarkStart w:id="113" w:name="_Toc13038"/>
      <w:r/>
      <w:bookmarkStart w:id="114" w:name="_Toc7486"/>
      <w:r/>
      <w:bookmarkStart w:id="115" w:name="_Toc32671"/>
      <w:r>
        <w:rPr>
          <w:rFonts w:hint="eastAsia" w:ascii="微软雅黑" w:hAnsi="微软雅黑" w:eastAsia="微软雅黑" w:cs="微软雅黑"/>
          <w:b/>
          <w:sz w:val="21"/>
          <w:szCs w:val="21"/>
        </w:rPr>
        <w:t xml:space="preserve">4.2.1投标人未按照《操作手册》规定，在“苏采云”系统规定的时间内对投标文件进行解密的。</w:t>
      </w:r>
      <w:bookmarkEnd w:id="113"/>
      <w:r/>
      <w:bookmarkEnd w:id="114"/>
      <w:r/>
      <w:bookmarkEnd w:id="115"/>
      <w:r/>
      <w:r/>
    </w:p>
    <w:p>
      <w:pPr>
        <w:pStyle w:val="1138"/>
        <w:jc w:val="left"/>
        <w:spacing w:before="0" w:after="0" w:line="420" w:lineRule="exact"/>
        <w:rPr>
          <w:rFonts w:hint="eastAsia" w:ascii="微软雅黑" w:hAnsi="微软雅黑" w:eastAsia="微软雅黑" w:cs="微软雅黑"/>
          <w:b/>
          <w:sz w:val="21"/>
          <w:szCs w:val="21"/>
        </w:rPr>
      </w:pPr>
      <w:r/>
      <w:bookmarkStart w:id="116" w:name="_Toc1919"/>
      <w:r/>
      <w:bookmarkStart w:id="117" w:name="_Toc27804"/>
      <w:r/>
      <w:bookmarkStart w:id="118" w:name="_Toc24630"/>
      <w:r>
        <w:rPr>
          <w:rFonts w:hint="eastAsia" w:ascii="微软雅黑" w:hAnsi="微软雅黑" w:eastAsia="微软雅黑" w:cs="微软雅黑"/>
          <w:b/>
          <w:sz w:val="21"/>
          <w:szCs w:val="21"/>
        </w:rPr>
        <w:t xml:space="preserve">4.2.2投标人应充分考虑网络环境、网络带宽等因素可能对投标产生的影响，如因投标人自身原因造成的电子投标文件解密不成功的，做无效投标处理</w:t>
      </w:r>
      <w:bookmarkEnd w:id="116"/>
      <w:r/>
      <w:bookmarkEnd w:id="117"/>
      <w:r>
        <w:rPr>
          <w:rFonts w:hint="eastAsia" w:ascii="微软雅黑" w:hAnsi="微软雅黑" w:eastAsia="微软雅黑" w:cs="微软雅黑"/>
          <w:b/>
          <w:sz w:val="21"/>
          <w:szCs w:val="21"/>
        </w:rPr>
        <w:t xml:space="preserve">,</w:t>
      </w:r>
      <w:r>
        <w:rPr>
          <w:rFonts w:ascii="微软雅黑" w:hAnsi="微软雅黑" w:eastAsia="微软雅黑" w:cs="微软雅黑"/>
          <w:sz w:val="21"/>
          <w:szCs w:val="21"/>
          <w:shd w:val="clear" w:color="auto" w:fill="ffffff"/>
        </w:rPr>
        <w:t xml:space="preserve">但因系统故障导致投标人无法在</w:t>
      </w:r>
      <w:r>
        <w:rPr>
          <w:rFonts w:hint="eastAsia" w:ascii="微软雅黑" w:hAnsi="微软雅黑" w:eastAsia="微软雅黑" w:cs="微软雅黑"/>
          <w:bCs/>
          <w:sz w:val="21"/>
          <w:szCs w:val="21"/>
        </w:rPr>
        <w:t xml:space="preserve">“苏采云”系统规定的时间</w:t>
      </w:r>
      <w:r>
        <w:rPr>
          <w:rFonts w:ascii="微软雅黑" w:hAnsi="微软雅黑" w:eastAsia="微软雅黑" w:cs="微软雅黑"/>
          <w:sz w:val="21"/>
          <w:szCs w:val="21"/>
          <w:shd w:val="clear" w:color="auto" w:fill="ffffff"/>
        </w:rPr>
        <w:t xml:space="preserve">内完成签到或解密的情况除外。</w:t>
      </w:r>
      <w:bookmarkEnd w:id="118"/>
      <w:r/>
      <w:r/>
    </w:p>
    <w:p>
      <w:pPr>
        <w:pStyle w:val="1147"/>
        <w:spacing w:line="420" w:lineRule="exact"/>
        <w:rPr>
          <w:rFonts w:hint="eastAsia" w:ascii="微软雅黑" w:hAnsi="微软雅黑" w:cs="微软雅黑"/>
        </w:rPr>
      </w:pPr>
      <w:r>
        <w:rPr>
          <w:rFonts w:hint="eastAsia" w:ascii="微软雅黑" w:hAnsi="微软雅黑" w:cs="微软雅黑"/>
        </w:rPr>
      </w:r>
      <w:r/>
    </w:p>
    <w:p>
      <w:pPr>
        <w:pStyle w:val="1138"/>
        <w:jc w:val="left"/>
        <w:spacing w:before="0" w:after="0" w:line="420" w:lineRule="exact"/>
        <w:rPr>
          <w:rFonts w:hint="eastAsia" w:ascii="微软雅黑" w:hAnsi="微软雅黑" w:eastAsia="微软雅黑" w:cs="微软雅黑"/>
          <w:b/>
          <w:sz w:val="21"/>
          <w:szCs w:val="21"/>
        </w:rPr>
      </w:pPr>
      <w:r/>
      <w:bookmarkStart w:id="119" w:name="_Toc32554"/>
      <w:r/>
      <w:bookmarkStart w:id="120" w:name="_Toc452384190"/>
      <w:r/>
      <w:bookmarkStart w:id="121" w:name="_Toc1859"/>
      <w:r/>
      <w:bookmarkStart w:id="122" w:name="_Toc6818"/>
      <w:r/>
      <w:bookmarkStart w:id="123" w:name="_Toc21630"/>
      <w:r>
        <w:rPr>
          <w:rFonts w:hint="eastAsia" w:ascii="微软雅黑" w:hAnsi="微软雅黑" w:eastAsia="微软雅黑" w:cs="微软雅黑"/>
          <w:b/>
          <w:sz w:val="21"/>
          <w:szCs w:val="21"/>
        </w:rPr>
        <w:t xml:space="preserve">4.3 投标截止时间</w:t>
      </w:r>
      <w:bookmarkEnd w:id="119"/>
      <w:r/>
      <w:bookmarkEnd w:id="120"/>
      <w:r/>
      <w:bookmarkEnd w:id="121"/>
      <w:r/>
      <w:bookmarkEnd w:id="122"/>
      <w:r/>
      <w:bookmarkEnd w:id="123"/>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p>
    <w:p>
      <w:pPr>
        <w:pStyle w:val="1138"/>
        <w:jc w:val="left"/>
        <w:spacing w:before="0" w:after="0" w:line="420" w:lineRule="exact"/>
        <w:rPr>
          <w:rFonts w:hint="eastAsia" w:ascii="微软雅黑" w:hAnsi="微软雅黑" w:eastAsia="微软雅黑" w:cs="微软雅黑"/>
          <w:b/>
          <w:sz w:val="21"/>
          <w:szCs w:val="21"/>
        </w:rPr>
      </w:pPr>
      <w:r/>
      <w:bookmarkStart w:id="124" w:name="_Toc4410"/>
      <w:r/>
      <w:bookmarkStart w:id="125" w:name="_Toc2903"/>
      <w:r/>
      <w:bookmarkStart w:id="126" w:name="_Toc21081"/>
      <w:r>
        <w:rPr>
          <w:rFonts w:hint="eastAsia" w:ascii="微软雅黑" w:hAnsi="微软雅黑" w:eastAsia="微软雅黑" w:cs="微软雅黑"/>
          <w:b/>
          <w:sz w:val="21"/>
          <w:szCs w:val="21"/>
        </w:rPr>
        <w:t xml:space="preserve">4.4 投标文件的修改和撤回</w:t>
      </w:r>
      <w:bookmarkEnd w:id="111"/>
      <w:r/>
      <w:bookmarkEnd w:id="112"/>
      <w:r/>
      <w:bookmarkEnd w:id="124"/>
      <w:r/>
      <w:bookmarkEnd w:id="125"/>
      <w:r/>
      <w:bookmarkEnd w:id="126"/>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4.4.1 投标文件的撤回</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4.4.2 投标文件的修改</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p>
    <w:p>
      <w:pPr>
        <w:ind w:firstLine="420"/>
        <w:jc w:val="left"/>
        <w:spacing w:line="420" w:lineRule="exact"/>
        <w:rPr>
          <w:rFonts w:hint="eastAsia"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p>
    <w:p>
      <w:pPr>
        <w:pStyle w:val="1137"/>
        <w:jc w:val="center"/>
        <w:spacing w:before="0" w:after="0"/>
        <w:rPr>
          <w:rFonts w:hint="eastAsia" w:ascii="微软雅黑" w:hAnsi="微软雅黑" w:eastAsia="微软雅黑" w:cs="微软雅黑"/>
          <w:b/>
          <w:bCs/>
          <w:sz w:val="28"/>
          <w:szCs w:val="32"/>
        </w:rPr>
      </w:pPr>
      <w:r/>
      <w:bookmarkStart w:id="127" w:name="_Toc12823"/>
      <w:r/>
      <w:bookmarkStart w:id="128" w:name="_Toc24848"/>
      <w:r/>
      <w:bookmarkStart w:id="129" w:name="_Toc1965"/>
      <w:r>
        <w:rPr>
          <w:rFonts w:hint="eastAsia" w:ascii="微软雅黑" w:hAnsi="微软雅黑" w:eastAsia="微软雅黑" w:cs="微软雅黑"/>
          <w:b/>
          <w:bCs/>
          <w:sz w:val="28"/>
          <w:szCs w:val="32"/>
        </w:rPr>
        <w:t xml:space="preserve">五、开标与评标</w:t>
      </w:r>
      <w:bookmarkEnd w:id="127"/>
      <w:r/>
      <w:bookmarkEnd w:id="128"/>
      <w:r/>
      <w:bookmarkEnd w:id="129"/>
      <w:r/>
      <w:r/>
    </w:p>
    <w:p>
      <w:pPr>
        <w:pStyle w:val="1138"/>
        <w:jc w:val="left"/>
        <w:spacing w:before="0" w:after="0" w:line="440" w:lineRule="exact"/>
        <w:rPr>
          <w:rFonts w:hint="eastAsia" w:ascii="微软雅黑" w:hAnsi="微软雅黑" w:eastAsia="微软雅黑" w:cs="微软雅黑"/>
          <w:b/>
          <w:sz w:val="21"/>
          <w:szCs w:val="21"/>
        </w:rPr>
      </w:pPr>
      <w:r/>
      <w:bookmarkStart w:id="130" w:name="_Toc2726"/>
      <w:r/>
      <w:bookmarkStart w:id="131" w:name="_Toc4421"/>
      <w:r/>
      <w:bookmarkStart w:id="132" w:name="_Toc452384194"/>
      <w:r/>
      <w:bookmarkStart w:id="133" w:name="_Toc7072"/>
      <w:r/>
      <w:bookmarkStart w:id="134" w:name="_Toc21670"/>
      <w:r>
        <w:rPr>
          <w:rFonts w:hint="eastAsia" w:ascii="微软雅黑" w:hAnsi="微软雅黑" w:eastAsia="微软雅黑" w:cs="微软雅黑"/>
          <w:b/>
          <w:sz w:val="21"/>
          <w:szCs w:val="21"/>
        </w:rPr>
        <w:t xml:space="preserve">5.1 投标文件启封</w:t>
      </w:r>
      <w:bookmarkEnd w:id="130"/>
      <w:r/>
      <w:bookmarkEnd w:id="131"/>
      <w:r/>
      <w:bookmarkEnd w:id="132"/>
      <w:r/>
      <w:bookmarkEnd w:id="133"/>
      <w:r/>
      <w:bookmarkEnd w:id="134"/>
      <w:r/>
      <w:r/>
    </w:p>
    <w:p>
      <w:pPr>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35" w:name="OLE_LINK3"/>
      <w:r>
        <w:rPr>
          <w:rFonts w:hint="eastAsia" w:ascii="微软雅黑" w:hAnsi="微软雅黑" w:cs="微软雅黑"/>
          <w:bCs/>
          <w:szCs w:val="21"/>
        </w:rPr>
        <w:t xml:space="preserve">“苏采云”系统规定的时间内</w:t>
      </w:r>
      <w:bookmarkEnd w:id="135"/>
      <w:r>
        <w:rPr>
          <w:rFonts w:hint="eastAsia" w:ascii="微软雅黑" w:hAnsi="微软雅黑" w:cs="微软雅黑"/>
          <w:bCs/>
          <w:szCs w:val="21"/>
        </w:rPr>
        <w:t xml:space="preserve">对投标文件进行解密。“苏采云”系统公布各投标人名称和投标价格。</w:t>
      </w:r>
      <w:r/>
    </w:p>
    <w:p>
      <w:pPr>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p>
    <w:p>
      <w:pPr>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5.1.3 投标人不足3家的，不得开标。</w:t>
      </w:r>
      <w:r/>
    </w:p>
    <w:p>
      <w:pPr>
        <w:jc w:val="left"/>
        <w:spacing w:line="440" w:lineRule="exact"/>
        <w:rPr>
          <w:rFonts w:hint="eastAsia"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p>
    <w:p>
      <w:pPr>
        <w:pStyle w:val="1138"/>
        <w:jc w:val="left"/>
        <w:spacing w:before="0" w:after="0" w:line="440" w:lineRule="exact"/>
        <w:rPr>
          <w:rFonts w:hint="eastAsia" w:ascii="微软雅黑" w:hAnsi="微软雅黑" w:eastAsia="微软雅黑" w:cs="微软雅黑"/>
          <w:b/>
          <w:sz w:val="21"/>
          <w:szCs w:val="21"/>
        </w:rPr>
      </w:pPr>
      <w:r/>
      <w:bookmarkStart w:id="136" w:name="_Toc15763"/>
      <w:r/>
      <w:bookmarkStart w:id="137" w:name="_Toc3406"/>
      <w:r/>
      <w:bookmarkStart w:id="138" w:name="_Toc20113"/>
      <w:r/>
      <w:bookmarkStart w:id="139" w:name="_Toc32095"/>
      <w:r/>
      <w:bookmarkStart w:id="140" w:name="_Toc452384195"/>
      <w:r>
        <w:rPr>
          <w:rFonts w:hint="eastAsia" w:ascii="微软雅黑" w:hAnsi="微软雅黑" w:eastAsia="微软雅黑" w:cs="微软雅黑"/>
          <w:b/>
          <w:sz w:val="21"/>
          <w:szCs w:val="21"/>
        </w:rPr>
        <w:t xml:space="preserve">5.2 评标委员会</w:t>
      </w:r>
      <w:bookmarkEnd w:id="136"/>
      <w:r/>
      <w:bookmarkEnd w:id="137"/>
      <w:r/>
      <w:bookmarkEnd w:id="138"/>
      <w:r/>
      <w:bookmarkEnd w:id="139"/>
      <w:r/>
      <w:bookmarkEnd w:id="140"/>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p>
    <w:p>
      <w:pPr>
        <w:pStyle w:val="1138"/>
        <w:jc w:val="left"/>
        <w:spacing w:before="0" w:after="0" w:line="440" w:lineRule="exact"/>
        <w:rPr>
          <w:rFonts w:hint="eastAsia" w:ascii="微软雅黑" w:hAnsi="微软雅黑" w:eastAsia="微软雅黑" w:cs="微软雅黑"/>
          <w:b/>
          <w:sz w:val="21"/>
          <w:szCs w:val="21"/>
        </w:rPr>
      </w:pPr>
      <w:r/>
      <w:bookmarkStart w:id="141" w:name="_Toc452384196"/>
      <w:r/>
      <w:bookmarkStart w:id="142" w:name="_Toc4587"/>
      <w:r/>
      <w:bookmarkStart w:id="143" w:name="_Toc31905"/>
      <w:r/>
      <w:bookmarkStart w:id="144" w:name="_Toc15164"/>
      <w:r/>
      <w:bookmarkStart w:id="145" w:name="_Toc13666"/>
      <w:r>
        <w:rPr>
          <w:rFonts w:hint="eastAsia" w:ascii="微软雅黑" w:hAnsi="微软雅黑" w:eastAsia="微软雅黑" w:cs="微软雅黑"/>
          <w:b/>
          <w:sz w:val="21"/>
          <w:szCs w:val="21"/>
        </w:rPr>
        <w:t xml:space="preserve">5.3 对投标文件的资格性审查和符合性审查</w:t>
      </w:r>
      <w:bookmarkEnd w:id="141"/>
      <w:r/>
      <w:bookmarkEnd w:id="142"/>
      <w:r/>
      <w:bookmarkEnd w:id="143"/>
      <w:r/>
      <w:bookmarkEnd w:id="144"/>
      <w:r/>
      <w:bookmarkEnd w:id="145"/>
      <w:r/>
      <w:r/>
    </w:p>
    <w:p>
      <w:pPr>
        <w:jc w:val="left"/>
        <w:spacing w:line="440" w:lineRule="exact"/>
        <w:rPr>
          <w:rFonts w:hint="eastAsia" w:ascii="微软雅黑" w:hAnsi="微软雅黑" w:cs="微软雅黑"/>
          <w:szCs w:val="21"/>
        </w:rPr>
      </w:pPr>
      <w:r>
        <w:rPr>
          <w:rFonts w:hint="eastAsia" w:ascii="微软雅黑" w:hAnsi="微软雅黑" w:cs="微软雅黑"/>
          <w:szCs w:val="21"/>
        </w:rPr>
        <w:t xml:space="preserve">5.3.1 资格性审查的内容包括：</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（1）供应商资质（采购文件第一章要求）；</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p>
    <w:p>
      <w:pPr>
        <w:jc w:val="left"/>
        <w:spacing w:line="440" w:lineRule="exact"/>
        <w:rPr>
          <w:rFonts w:hint="eastAsia" w:ascii="微软雅黑" w:hAnsi="微软雅黑" w:cs="微软雅黑"/>
          <w:szCs w:val="21"/>
        </w:rPr>
      </w:pPr>
      <w:r>
        <w:rPr>
          <w:rFonts w:hint="eastAsia" w:ascii="微软雅黑" w:hAnsi="微软雅黑" w:cs="微软雅黑"/>
          <w:szCs w:val="21"/>
        </w:rPr>
        <w:t xml:space="preserve">5.3.2 符合性审查的内容包括：</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（1）投标文件的有效性(签署、盖章情况等)；</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（2）投标报价是否超过采购预算或最高限价；</w:t>
      </w:r>
      <w:r/>
    </w:p>
    <w:p>
      <w:pPr>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（3）对采购文件的响应程度（是否存在重大负偏离等）。</w:t>
      </w:r>
      <w:r/>
    </w:p>
    <w:p>
      <w:pPr>
        <w:ind w:firstLine="420"/>
        <w:spacing w:line="420" w:lineRule="exact"/>
        <w:rPr>
          <w:rFonts w:hint="eastAsia"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p>
    <w:p>
      <w:pPr>
        <w:ind w:firstLine="420"/>
        <w:spacing w:line="420" w:lineRule="exact"/>
        <w:rPr>
          <w:rFonts w:hint="eastAsia"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p>
    <w:p>
      <w:pPr>
        <w:spacing w:line="420" w:lineRule="exact"/>
        <w:rPr>
          <w:rFonts w:hint="eastAsia"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hint="eastAsia"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p>
    <w:p>
      <w:pPr>
        <w:spacing w:line="420" w:lineRule="exact"/>
        <w:rPr>
          <w:rFonts w:hint="eastAsia" w:ascii="微软雅黑" w:hAnsi="微软雅黑" w:cs="微软雅黑"/>
        </w:rPr>
      </w:pPr>
      <w:r>
        <w:rPr>
          <w:rFonts w:hint="eastAsia" w:ascii="微软雅黑" w:hAnsi="微软雅黑" w:cs="微软雅黑"/>
        </w:rPr>
        <w:t xml:space="preserve">5.3.4评标委员会在初审中，对算术错误的修正原则如下:</w:t>
      </w:r>
      <w:r/>
    </w:p>
    <w:p>
      <w:pPr>
        <w:ind w:firstLine="420"/>
        <w:spacing w:line="420" w:lineRule="exact"/>
        <w:rPr>
          <w:rFonts w:hint="eastAsia" w:ascii="微软雅黑" w:hAnsi="微软雅黑" w:cs="微软雅黑"/>
        </w:rPr>
      </w:pPr>
      <w:r>
        <w:rPr>
          <w:rFonts w:hint="eastAsia" w:ascii="微软雅黑" w:hAnsi="微软雅黑" w:cs="微软雅黑"/>
        </w:rPr>
        <w:t xml:space="preserve">（1）开标一览表内容与投标文件中明细表内容不一致的，以开标一览表为准；</w:t>
      </w:r>
      <w:r/>
    </w:p>
    <w:p>
      <w:pPr>
        <w:ind w:firstLine="420"/>
        <w:spacing w:line="420" w:lineRule="exact"/>
        <w:rPr>
          <w:rFonts w:hint="eastAsia" w:ascii="微软雅黑" w:hAnsi="微软雅黑" w:cs="微软雅黑"/>
        </w:rPr>
      </w:pPr>
      <w:r>
        <w:rPr>
          <w:rFonts w:hint="eastAsia" w:ascii="微软雅黑" w:hAnsi="微软雅黑" w:cs="微软雅黑"/>
        </w:rPr>
        <w:t xml:space="preserve">（2）投标文件的大写金额和小写金额不一致的，以大写金额为准；</w:t>
      </w:r>
      <w:r/>
    </w:p>
    <w:p>
      <w:pPr>
        <w:ind w:firstLine="420"/>
        <w:spacing w:line="420" w:lineRule="exact"/>
        <w:rPr>
          <w:rFonts w:hint="eastAsia" w:ascii="微软雅黑" w:hAnsi="微软雅黑" w:cs="微软雅黑"/>
        </w:rPr>
      </w:pPr>
      <w:r>
        <w:rPr>
          <w:rFonts w:hint="eastAsia" w:ascii="微软雅黑" w:hAnsi="微软雅黑" w:cs="微软雅黑"/>
        </w:rPr>
        <w:t xml:space="preserve">（3）总价金额与按单价汇总金额不一致的，以单价金额计算结果为准；</w:t>
      </w:r>
      <w:r/>
    </w:p>
    <w:p>
      <w:pPr>
        <w:ind w:firstLine="420"/>
        <w:spacing w:line="420" w:lineRule="exact"/>
        <w:rPr>
          <w:rFonts w:hint="eastAsia" w:ascii="微软雅黑" w:hAnsi="微软雅黑" w:cs="微软雅黑"/>
        </w:rPr>
      </w:pPr>
      <w:r>
        <w:rPr>
          <w:rFonts w:hint="eastAsia" w:ascii="微软雅黑" w:hAnsi="微软雅黑" w:cs="微软雅黑"/>
        </w:rPr>
        <w:t xml:space="preserve">（4）单价金额小数点有明显错位的，以总价为准并修改单价；</w:t>
      </w:r>
      <w:r/>
    </w:p>
    <w:p>
      <w:pPr>
        <w:ind w:firstLine="420"/>
        <w:spacing w:line="420" w:lineRule="exact"/>
        <w:rPr>
          <w:rFonts w:hint="eastAsia" w:ascii="微软雅黑" w:hAnsi="微软雅黑" w:cs="微软雅黑"/>
        </w:rPr>
      </w:pPr>
      <w:r>
        <w:rPr>
          <w:rFonts w:hint="eastAsia" w:ascii="微软雅黑" w:hAnsi="微软雅黑" w:cs="微软雅黑"/>
        </w:rPr>
        <w:t xml:space="preserve">（5）若供应商不同意以上修正，该投标文件将视为无效。</w:t>
      </w:r>
      <w:r/>
    </w:p>
    <w:p>
      <w:pPr>
        <w:pStyle w:val="1216"/>
        <w:spacing w:line="420" w:lineRule="exact"/>
        <w:rPr>
          <w:rFonts w:hint="eastAsia" w:ascii="微软雅黑" w:hAnsi="微软雅黑" w:cs="微软雅黑"/>
          <w:bCs w:val="0"/>
          <w:sz w:val="24"/>
          <w:szCs w:val="24"/>
        </w:rPr>
      </w:pPr>
      <w:r/>
      <w:bookmarkStart w:id="146" w:name="_Toc23900"/>
      <w:r/>
      <w:bookmarkStart w:id="147" w:name="_Toc5896"/>
      <w:r/>
      <w:bookmarkStart w:id="148" w:name="_Toc452384197"/>
      <w:r/>
      <w:bookmarkStart w:id="149" w:name="_Toc10342"/>
      <w:r>
        <w:rPr>
          <w:rFonts w:hint="eastAsia" w:ascii="微软雅黑" w:hAnsi="微软雅黑" w:cs="微软雅黑"/>
          <w:bCs w:val="0"/>
          <w:sz w:val="24"/>
          <w:szCs w:val="24"/>
        </w:rPr>
        <w:t xml:space="preserve">5.4投标文件的澄清</w:t>
      </w:r>
      <w:bookmarkEnd w:id="146"/>
      <w:r/>
      <w:bookmarkEnd w:id="147"/>
      <w:r/>
      <w:bookmarkEnd w:id="148"/>
      <w:r/>
      <w:bookmarkEnd w:id="149"/>
      <w:r/>
      <w:r/>
    </w:p>
    <w:p>
      <w:pPr>
        <w:spacing w:line="420" w:lineRule="exact"/>
        <w:rPr>
          <w:rFonts w:hint="eastAsia"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hint="eastAsia"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w:t>
      </w:r>
      <w:r>
        <w:rPr>
          <w:rFonts w:ascii="微软雅黑" w:hAnsi="微软雅黑" w:cs="微软雅黑"/>
        </w:rPr>
        <w:t xml:space="preserve">（范围</w:t>
      </w:r>
      <w:r>
        <w:rPr>
          <w:rFonts w:hint="eastAsia" w:ascii="微软雅黑" w:hAnsi="微软雅黑" w:cs="微软雅黑"/>
        </w:rPr>
        <w:t xml:space="preserve">仅限采购需求中的技术、服务要求以及合同草案条款）。供应商的书面澄清材料作为投标文件的补充。</w:t>
      </w:r>
      <w:r/>
    </w:p>
    <w:p>
      <w:pPr>
        <w:spacing w:line="420" w:lineRule="exact"/>
        <w:rPr>
          <w:rFonts w:hint="eastAsia" w:ascii="微软雅黑" w:hAnsi="微软雅黑" w:cs="微软雅黑"/>
        </w:rPr>
      </w:pPr>
      <w:r>
        <w:rPr>
          <w:rFonts w:hint="eastAsia" w:ascii="微软雅黑" w:hAnsi="微软雅黑" w:cs="微软雅黑"/>
        </w:rPr>
        <w:t xml:space="preserve">5.4.3供应商不按评标委员会规定的时间和地点作书面澄清，将视为放弃该权利。</w:t>
      </w:r>
      <w:r/>
    </w:p>
    <w:p>
      <w:pPr>
        <w:spacing w:line="420" w:lineRule="exact"/>
        <w:rPr>
          <w:rFonts w:hint="eastAsia" w:ascii="微软雅黑" w:hAnsi="微软雅黑" w:cs="微软雅黑"/>
        </w:rPr>
      </w:pPr>
      <w:r>
        <w:rPr>
          <w:rFonts w:hint="eastAsia" w:ascii="微软雅黑" w:hAnsi="微软雅黑" w:cs="微软雅黑"/>
        </w:rPr>
        <w:t xml:space="preserve">5.4.4并非每个供应商都将被要求澄清。</w:t>
      </w:r>
      <w:r/>
    </w:p>
    <w:p>
      <w:pPr>
        <w:pStyle w:val="1216"/>
        <w:spacing w:line="420" w:lineRule="exact"/>
        <w:rPr>
          <w:rFonts w:hint="eastAsia" w:ascii="微软雅黑" w:hAnsi="微软雅黑" w:cs="微软雅黑"/>
          <w:bCs w:val="0"/>
          <w:sz w:val="24"/>
          <w:szCs w:val="24"/>
        </w:rPr>
      </w:pPr>
      <w:r/>
      <w:bookmarkStart w:id="150" w:name="_Toc2242"/>
      <w:r/>
      <w:bookmarkStart w:id="151" w:name="_Toc27862"/>
      <w:r/>
      <w:bookmarkStart w:id="152" w:name="_Toc29208"/>
      <w:r/>
      <w:bookmarkStart w:id="153" w:name="_Toc452384198"/>
      <w:r>
        <w:rPr>
          <w:rFonts w:hint="eastAsia" w:ascii="微软雅黑" w:hAnsi="微软雅黑" w:cs="微软雅黑"/>
          <w:bCs w:val="0"/>
          <w:sz w:val="24"/>
          <w:szCs w:val="24"/>
        </w:rPr>
        <w:t xml:space="preserve">5.5评标及中标</w:t>
      </w:r>
      <w:bookmarkEnd w:id="150"/>
      <w:r/>
      <w:bookmarkEnd w:id="151"/>
      <w:r/>
      <w:bookmarkEnd w:id="152"/>
      <w:r/>
      <w:bookmarkEnd w:id="153"/>
      <w:r/>
      <w:r/>
    </w:p>
    <w:p>
      <w:pPr>
        <w:spacing w:line="420" w:lineRule="exact"/>
        <w:rPr>
          <w:rFonts w:hint="eastAsia"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p>
    <w:p>
      <w:pPr>
        <w:spacing w:line="420" w:lineRule="exact"/>
        <w:rPr>
          <w:rFonts w:hint="eastAsia"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p>
    <w:p>
      <w:pPr>
        <w:spacing w:line="420" w:lineRule="exact"/>
        <w:rPr>
          <w:rFonts w:hint="eastAsia"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216"/>
        <w:spacing w:line="420" w:lineRule="exact"/>
        <w:rPr>
          <w:rFonts w:hint="eastAsia" w:ascii="微软雅黑" w:hAnsi="微软雅黑" w:cs="微软雅黑"/>
          <w:bCs w:val="0"/>
          <w:sz w:val="24"/>
          <w:szCs w:val="24"/>
        </w:rPr>
      </w:pPr>
      <w:r/>
      <w:bookmarkStart w:id="154" w:name="_Toc26358"/>
      <w:r/>
      <w:bookmarkStart w:id="155" w:name="_Toc11345"/>
      <w:r/>
      <w:bookmarkStart w:id="156" w:name="_Toc8548"/>
      <w:r/>
      <w:bookmarkStart w:id="157" w:name="_Toc452384199"/>
      <w:r>
        <w:rPr>
          <w:rFonts w:hint="eastAsia" w:ascii="微软雅黑" w:hAnsi="微软雅黑" w:cs="微软雅黑"/>
          <w:bCs w:val="0"/>
          <w:sz w:val="24"/>
          <w:szCs w:val="24"/>
        </w:rPr>
        <w:t xml:space="preserve">5.6评标过程保密</w:t>
      </w:r>
      <w:bookmarkEnd w:id="154"/>
      <w:r/>
      <w:bookmarkEnd w:id="155"/>
      <w:r/>
      <w:bookmarkEnd w:id="156"/>
      <w:r/>
      <w:bookmarkEnd w:id="157"/>
      <w:r/>
      <w:r/>
    </w:p>
    <w:p>
      <w:pPr>
        <w:spacing w:line="420" w:lineRule="exact"/>
        <w:rPr>
          <w:rFonts w:hint="eastAsia"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p>
    <w:p>
      <w:pPr>
        <w:spacing w:line="420" w:lineRule="exact"/>
        <w:rPr>
          <w:rFonts w:hint="eastAsia"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p>
    <w:p>
      <w:pPr>
        <w:spacing w:line="420" w:lineRule="exact"/>
        <w:rPr>
          <w:rFonts w:hint="eastAsia" w:ascii="微软雅黑" w:hAnsi="微软雅黑" w:cs="微软雅黑"/>
        </w:rPr>
      </w:pPr>
      <w:r>
        <w:rPr>
          <w:rFonts w:hint="eastAsia" w:ascii="微软雅黑" w:hAnsi="微软雅黑" w:cs="微软雅黑"/>
        </w:rPr>
        <w:t xml:space="preserve">5.6.3在评标期间，采购代理机构将有专门人员与供应商进行联络。</w:t>
      </w:r>
      <w:r/>
    </w:p>
    <w:p>
      <w:pPr>
        <w:pStyle w:val="1216"/>
        <w:spacing w:line="420" w:lineRule="exact"/>
        <w:rPr>
          <w:rFonts w:hint="eastAsia" w:ascii="微软雅黑" w:hAnsi="微软雅黑" w:cs="微软雅黑"/>
          <w:bCs w:val="0"/>
          <w:sz w:val="24"/>
          <w:szCs w:val="24"/>
        </w:rPr>
      </w:pPr>
      <w:r/>
      <w:bookmarkStart w:id="158" w:name="_Toc452384200"/>
      <w:r/>
      <w:bookmarkStart w:id="159" w:name="_Toc11696"/>
      <w:r/>
      <w:bookmarkStart w:id="160" w:name="_Toc13403"/>
      <w:r/>
      <w:bookmarkStart w:id="161" w:name="_Toc28298"/>
      <w:r>
        <w:rPr>
          <w:rFonts w:hint="eastAsia" w:ascii="微软雅黑" w:hAnsi="微软雅黑" w:cs="微软雅黑"/>
          <w:bCs w:val="0"/>
          <w:sz w:val="24"/>
          <w:szCs w:val="24"/>
        </w:rPr>
        <w:t xml:space="preserve">5.7投标截止时间结束后参加供应商不足三家情况的处理</w:t>
      </w:r>
      <w:bookmarkEnd w:id="158"/>
      <w:r/>
      <w:bookmarkEnd w:id="159"/>
      <w:r/>
      <w:bookmarkEnd w:id="160"/>
      <w:r/>
      <w:bookmarkEnd w:id="161"/>
      <w:r/>
      <w:r/>
    </w:p>
    <w:p>
      <w:pPr>
        <w:ind w:firstLine="420"/>
        <w:spacing w:line="420" w:lineRule="exact"/>
        <w:rPr>
          <w:rFonts w:hint="eastAsia"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p>
    <w:p>
      <w:pPr>
        <w:ind w:firstLine="420"/>
        <w:spacing w:line="420" w:lineRule="exact"/>
        <w:rPr>
          <w:rFonts w:hint="eastAsia"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p>
    <w:p>
      <w:pPr>
        <w:ind w:firstLine="420"/>
        <w:spacing w:line="420" w:lineRule="exact"/>
        <w:rPr>
          <w:rFonts w:hint="eastAsia"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p>
    <w:p>
      <w:pPr>
        <w:ind w:firstLine="420"/>
        <w:spacing w:line="420" w:lineRule="exact"/>
        <w:rPr>
          <w:rFonts w:hint="eastAsia"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216"/>
        <w:spacing w:line="420" w:lineRule="exact"/>
        <w:rPr>
          <w:rFonts w:hint="eastAsia" w:ascii="微软雅黑" w:hAnsi="微软雅黑" w:cs="微软雅黑"/>
          <w:bCs w:val="0"/>
          <w:sz w:val="24"/>
          <w:szCs w:val="24"/>
        </w:rPr>
      </w:pPr>
      <w:r/>
      <w:bookmarkStart w:id="162" w:name="_Toc12833"/>
      <w:r/>
      <w:bookmarkStart w:id="163" w:name="_Toc14481"/>
      <w:r/>
      <w:bookmarkStart w:id="164" w:name="_Toc452384201"/>
      <w:r/>
      <w:bookmarkStart w:id="165" w:name="_Toc13676"/>
      <w:r>
        <w:rPr>
          <w:rFonts w:hint="eastAsia" w:ascii="微软雅黑" w:hAnsi="微软雅黑" w:cs="微软雅黑"/>
          <w:bCs w:val="0"/>
          <w:sz w:val="24"/>
          <w:szCs w:val="24"/>
        </w:rPr>
        <w:t xml:space="preserve">5.8废标（终止采购活动）</w:t>
      </w:r>
      <w:bookmarkEnd w:id="162"/>
      <w:r/>
      <w:bookmarkEnd w:id="163"/>
      <w:r/>
      <w:bookmarkEnd w:id="164"/>
      <w:r/>
      <w:bookmarkEnd w:id="165"/>
      <w:r/>
      <w:r/>
    </w:p>
    <w:p>
      <w:pPr>
        <w:spacing w:line="420" w:lineRule="exact"/>
        <w:rPr>
          <w:rFonts w:hint="eastAsia" w:ascii="微软雅黑" w:hAnsi="微软雅黑" w:cs="微软雅黑"/>
        </w:rPr>
      </w:pPr>
      <w:r>
        <w:rPr>
          <w:rFonts w:hint="eastAsia" w:ascii="微软雅黑" w:hAnsi="微软雅黑" w:cs="微软雅黑"/>
        </w:rPr>
        <w:t xml:space="preserve">出现下列情形之一的，将予废标（终止采购活动）：</w:t>
      </w:r>
      <w:r/>
    </w:p>
    <w:p>
      <w:pPr>
        <w:spacing w:line="420" w:lineRule="exact"/>
        <w:rPr>
          <w:rFonts w:hint="eastAsia"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p>
    <w:p>
      <w:pPr>
        <w:spacing w:line="420" w:lineRule="exact"/>
        <w:rPr>
          <w:rFonts w:hint="eastAsia" w:ascii="微软雅黑" w:hAnsi="微软雅黑" w:cs="微软雅黑"/>
        </w:rPr>
      </w:pPr>
      <w:r>
        <w:rPr>
          <w:rFonts w:hint="eastAsia" w:ascii="微软雅黑" w:hAnsi="微软雅黑" w:cs="微软雅黑"/>
        </w:rPr>
        <w:t xml:space="preserve">5.8.2出现影响采购公正的违法、违规行为的；</w:t>
      </w:r>
      <w:r/>
    </w:p>
    <w:p>
      <w:pPr>
        <w:spacing w:line="420" w:lineRule="exact"/>
        <w:rPr>
          <w:rFonts w:hint="eastAsia" w:ascii="微软雅黑" w:hAnsi="微软雅黑" w:cs="微软雅黑"/>
        </w:rPr>
      </w:pPr>
      <w:r>
        <w:rPr>
          <w:rFonts w:hint="eastAsia" w:ascii="微软雅黑" w:hAnsi="微软雅黑" w:cs="微软雅黑"/>
        </w:rPr>
        <w:t xml:space="preserve">5.8.3供应商的报价均超过了采购预算，采购人不能支付的；</w:t>
      </w:r>
      <w:r/>
    </w:p>
    <w:p>
      <w:pPr>
        <w:spacing w:line="420" w:lineRule="exact"/>
        <w:rPr>
          <w:rFonts w:hint="eastAsia" w:ascii="微软雅黑" w:hAnsi="微软雅黑" w:cs="微软雅黑"/>
        </w:rPr>
      </w:pPr>
      <w:r>
        <w:rPr>
          <w:rFonts w:hint="eastAsia" w:ascii="微软雅黑" w:hAnsi="微软雅黑" w:cs="微软雅黑"/>
        </w:rPr>
        <w:t xml:space="preserve">5.8.4因重大变故，采购任务取消的。</w:t>
      </w:r>
      <w:r/>
    </w:p>
    <w:p>
      <w:pPr>
        <w:pStyle w:val="1216"/>
        <w:spacing w:line="420" w:lineRule="exact"/>
        <w:rPr>
          <w:rFonts w:hint="eastAsia" w:ascii="微软雅黑" w:hAnsi="微软雅黑" w:cs="微软雅黑"/>
          <w:bCs w:val="0"/>
          <w:sz w:val="24"/>
          <w:szCs w:val="24"/>
        </w:rPr>
      </w:pPr>
      <w:r/>
      <w:bookmarkStart w:id="166" w:name="_Toc22393"/>
      <w:r/>
      <w:bookmarkStart w:id="167" w:name="_Toc25877"/>
      <w:r/>
      <w:bookmarkStart w:id="168" w:name="_Toc18356"/>
      <w:r>
        <w:rPr>
          <w:rFonts w:hint="eastAsia" w:ascii="微软雅黑" w:hAnsi="微软雅黑" w:cs="微软雅黑"/>
          <w:bCs w:val="0"/>
          <w:sz w:val="24"/>
          <w:szCs w:val="24"/>
        </w:rPr>
        <w:t xml:space="preserve">5.9有下列情形之一的，视为投标供应商串通投标，其投标无效：</w:t>
      </w:r>
      <w:bookmarkEnd w:id="166"/>
      <w:r/>
      <w:bookmarkEnd w:id="167"/>
      <w:r/>
      <w:bookmarkEnd w:id="168"/>
      <w:r/>
      <w:r/>
    </w:p>
    <w:p>
      <w:pPr>
        <w:spacing w:line="420" w:lineRule="exact"/>
        <w:rPr>
          <w:rFonts w:hint="eastAsia" w:ascii="微软雅黑" w:hAnsi="微软雅黑" w:cs="微软雅黑"/>
        </w:rPr>
      </w:pPr>
      <w:r>
        <w:rPr>
          <w:rFonts w:hint="eastAsia" w:ascii="微软雅黑" w:hAnsi="微软雅黑" w:cs="微软雅黑"/>
        </w:rPr>
        <w:t xml:space="preserve">5.9.1不同投标供应商的投标文件由同一单位或者个人编制；</w:t>
      </w:r>
      <w:r/>
    </w:p>
    <w:p>
      <w:pPr>
        <w:spacing w:line="420" w:lineRule="exact"/>
        <w:rPr>
          <w:rFonts w:hint="eastAsia" w:ascii="微软雅黑" w:hAnsi="微软雅黑" w:cs="微软雅黑"/>
        </w:rPr>
      </w:pPr>
      <w:r>
        <w:rPr>
          <w:rFonts w:hint="eastAsia" w:ascii="微软雅黑" w:hAnsi="微软雅黑" w:cs="微软雅黑"/>
        </w:rPr>
        <w:t xml:space="preserve">5.9.2不同投标供应商委托同一单位或者个人办理投标事宜；</w:t>
      </w:r>
      <w:r/>
    </w:p>
    <w:p>
      <w:pPr>
        <w:spacing w:line="420" w:lineRule="exact"/>
        <w:rPr>
          <w:rFonts w:hint="eastAsia" w:ascii="微软雅黑" w:hAnsi="微软雅黑" w:cs="微软雅黑"/>
        </w:rPr>
      </w:pPr>
      <w:r>
        <w:rPr>
          <w:rFonts w:hint="eastAsia" w:ascii="微软雅黑" w:hAnsi="微软雅黑" w:cs="微软雅黑"/>
        </w:rPr>
        <w:t xml:space="preserve">5.9.3不同投标供应商的投标文件载明的项目管理成员或者联系人员为同一人；</w:t>
      </w:r>
      <w:r/>
    </w:p>
    <w:p>
      <w:pPr>
        <w:spacing w:line="420" w:lineRule="exact"/>
        <w:rPr>
          <w:rFonts w:hint="eastAsia" w:ascii="微软雅黑" w:hAnsi="微软雅黑" w:cs="微软雅黑"/>
        </w:rPr>
      </w:pPr>
      <w:r>
        <w:rPr>
          <w:rFonts w:hint="eastAsia" w:ascii="微软雅黑" w:hAnsi="微软雅黑" w:cs="微软雅黑"/>
        </w:rPr>
        <w:t xml:space="preserve">5.9.4不同投标供应商的投标文件异常一致或者投标报价呈规律性差异；</w:t>
      </w:r>
      <w:r/>
    </w:p>
    <w:p>
      <w:pPr>
        <w:spacing w:line="420" w:lineRule="exact"/>
        <w:rPr>
          <w:rFonts w:hint="eastAsia" w:ascii="微软雅黑" w:hAnsi="微软雅黑" w:cs="微软雅黑"/>
        </w:rPr>
      </w:pPr>
      <w:r>
        <w:rPr>
          <w:rFonts w:hint="eastAsia" w:ascii="微软雅黑" w:hAnsi="微软雅黑" w:cs="微软雅黑"/>
        </w:rPr>
        <w:t xml:space="preserve">5.9.5不同投标供应商的投标文件相互混装</w:t>
      </w:r>
      <w:r>
        <w:rPr>
          <w:rFonts w:ascii="微软雅黑" w:hAnsi="微软雅黑" w:cs="微软雅黑"/>
        </w:rPr>
        <w:t xml:space="preserve">；</w:t>
      </w:r>
      <w:r/>
    </w:p>
    <w:p>
      <w:pPr>
        <w:spacing w:line="420" w:lineRule="exact"/>
        <w:rPr>
          <w:rFonts w:hint="eastAsia" w:ascii="微软雅黑" w:hAnsi="微软雅黑" w:cs="微软雅黑"/>
        </w:rPr>
      </w:pPr>
      <w:r>
        <w:rPr>
          <w:rFonts w:hint="eastAsia" w:ascii="微软雅黑" w:hAnsi="微软雅黑" w:cs="微软雅黑"/>
        </w:rPr>
        <w:t xml:space="preserve">5.9.6不同投标供应商的投标保证金从同一单位或者个人的账户转出。</w:t>
      </w:r>
      <w:r/>
    </w:p>
    <w:p>
      <w:pPr>
        <w:pStyle w:val="1353"/>
        <w:spacing w:line="420" w:lineRule="exact"/>
        <w:rPr>
          <w:rFonts w:hint="eastAsia" w:ascii="微软雅黑" w:hAnsi="微软雅黑" w:cs="微软雅黑"/>
        </w:rPr>
      </w:pPr>
      <w:r/>
      <w:bookmarkStart w:id="169" w:name="_Toc452384202"/>
      <w:r/>
      <w:bookmarkStart w:id="170" w:name="_Toc25642"/>
      <w:r/>
      <w:bookmarkStart w:id="171" w:name="_Toc18476"/>
      <w:r/>
      <w:bookmarkStart w:id="172" w:name="_Toc15764"/>
      <w:r>
        <w:rPr>
          <w:rFonts w:hint="eastAsia" w:ascii="微软雅黑" w:hAnsi="微软雅黑" w:cs="微软雅黑"/>
        </w:rPr>
        <w:t xml:space="preserve">六、合同授予及签订</w:t>
      </w:r>
      <w:bookmarkEnd w:id="169"/>
      <w:r/>
      <w:bookmarkEnd w:id="170"/>
      <w:r/>
      <w:bookmarkEnd w:id="171"/>
      <w:r/>
      <w:bookmarkEnd w:id="172"/>
      <w:r/>
      <w:r/>
    </w:p>
    <w:p>
      <w:pPr>
        <w:pStyle w:val="1216"/>
        <w:spacing w:line="420" w:lineRule="exact"/>
        <w:rPr>
          <w:rFonts w:hint="eastAsia" w:ascii="微软雅黑" w:hAnsi="微软雅黑" w:cs="微软雅黑"/>
          <w:bCs w:val="0"/>
          <w:sz w:val="24"/>
          <w:szCs w:val="24"/>
        </w:rPr>
      </w:pPr>
      <w:r/>
      <w:bookmarkStart w:id="173" w:name="_Toc180"/>
      <w:r/>
      <w:bookmarkStart w:id="174" w:name="_Toc452384203"/>
      <w:r/>
      <w:bookmarkStart w:id="175" w:name="_Toc6552"/>
      <w:r/>
      <w:bookmarkStart w:id="176" w:name="_Toc2419"/>
      <w:r>
        <w:rPr>
          <w:rFonts w:hint="eastAsia" w:ascii="微软雅黑" w:hAnsi="微软雅黑" w:cs="微软雅黑"/>
          <w:bCs w:val="0"/>
          <w:sz w:val="24"/>
          <w:szCs w:val="24"/>
        </w:rPr>
        <w:t xml:space="preserve">6.1确定中标、成交供应商</w:t>
      </w:r>
      <w:bookmarkEnd w:id="173"/>
      <w:r/>
      <w:bookmarkEnd w:id="174"/>
      <w:r/>
      <w:bookmarkEnd w:id="175"/>
      <w:r/>
      <w:bookmarkEnd w:id="176"/>
      <w:r/>
      <w:r/>
    </w:p>
    <w:p>
      <w:pPr>
        <w:spacing w:line="420" w:lineRule="exact"/>
        <w:rPr>
          <w:rFonts w:hint="eastAsia"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p>
    <w:p>
      <w:pPr>
        <w:spacing w:line="420" w:lineRule="exact"/>
        <w:rPr>
          <w:rFonts w:hint="eastAsia"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p>
    <w:p>
      <w:pPr>
        <w:spacing w:line="420" w:lineRule="exact"/>
        <w:rPr>
          <w:rFonts w:hint="eastAsia" w:ascii="微软雅黑" w:hAnsi="微软雅黑" w:cs="微软雅黑"/>
        </w:rPr>
      </w:pPr>
      <w:r>
        <w:rPr>
          <w:rFonts w:hint="eastAsia" w:ascii="微软雅黑" w:hAnsi="微软雅黑" w:cs="微软雅黑"/>
        </w:rPr>
        <w:t xml:space="preserve">6.1.3供应商出现下列情况之一的，将被取消中标供应商资格，没收投标保证金：</w:t>
      </w:r>
      <w:r/>
    </w:p>
    <w:p>
      <w:pPr>
        <w:ind w:firstLine="420"/>
        <w:spacing w:line="420" w:lineRule="exact"/>
        <w:rPr>
          <w:rFonts w:hint="eastAsia" w:ascii="微软雅黑" w:hAnsi="微软雅黑" w:cs="微软雅黑"/>
        </w:rPr>
      </w:pPr>
      <w:r>
        <w:rPr>
          <w:rFonts w:hint="eastAsia" w:ascii="微软雅黑" w:hAnsi="微软雅黑" w:cs="微软雅黑"/>
        </w:rPr>
        <w:t xml:space="preserve">（1）提供虚假材料谋取中标、成交的；</w:t>
      </w:r>
      <w:r/>
    </w:p>
    <w:p>
      <w:pPr>
        <w:ind w:firstLine="420"/>
        <w:spacing w:line="420" w:lineRule="exact"/>
        <w:rPr>
          <w:rFonts w:hint="eastAsia" w:ascii="微软雅黑" w:hAnsi="微软雅黑" w:cs="微软雅黑"/>
        </w:rPr>
      </w:pPr>
      <w:r>
        <w:rPr>
          <w:rFonts w:hint="eastAsia" w:ascii="微软雅黑" w:hAnsi="微软雅黑" w:cs="微软雅黑"/>
        </w:rPr>
        <w:t xml:space="preserve">（2）采取不正当手段诋毁、排挤其他供应商的；</w:t>
      </w:r>
      <w:r/>
    </w:p>
    <w:p>
      <w:pPr>
        <w:ind w:firstLine="420"/>
        <w:spacing w:line="42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p>
    <w:p>
      <w:pPr>
        <w:ind w:firstLine="420"/>
        <w:spacing w:line="42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p>
    <w:p>
      <w:pPr>
        <w:ind w:firstLine="420"/>
        <w:spacing w:line="420" w:lineRule="exact"/>
        <w:rPr>
          <w:rFonts w:hint="eastAsia" w:ascii="微软雅黑" w:hAnsi="微软雅黑" w:cs="微软雅黑"/>
        </w:rPr>
      </w:pPr>
      <w:r>
        <w:rPr>
          <w:rFonts w:hint="eastAsia" w:ascii="微软雅黑" w:hAnsi="微软雅黑" w:cs="微软雅黑"/>
        </w:rPr>
        <w:t xml:space="preserve">（5）恶意竞争，投标总报价明显低于其自身合理成本且又无法提供证明的；</w:t>
      </w:r>
      <w:r/>
    </w:p>
    <w:p>
      <w:pPr>
        <w:ind w:firstLine="420"/>
        <w:spacing w:line="420" w:lineRule="exact"/>
        <w:rPr>
          <w:rFonts w:hint="eastAsia" w:ascii="微软雅黑" w:hAnsi="微软雅黑" w:cs="微软雅黑"/>
        </w:rPr>
      </w:pPr>
      <w:r>
        <w:rPr>
          <w:rFonts w:hint="eastAsia" w:ascii="微软雅黑" w:hAnsi="微软雅黑" w:cs="微软雅黑"/>
        </w:rPr>
        <w:t xml:space="preserve">（6）不符合法律、法规的规定。</w:t>
      </w:r>
      <w:r/>
    </w:p>
    <w:p>
      <w:pPr>
        <w:pStyle w:val="1216"/>
        <w:spacing w:line="420" w:lineRule="exact"/>
        <w:rPr>
          <w:rFonts w:hint="eastAsia" w:ascii="微软雅黑" w:hAnsi="微软雅黑" w:cs="微软雅黑"/>
          <w:bCs w:val="0"/>
          <w:sz w:val="24"/>
          <w:szCs w:val="24"/>
        </w:rPr>
      </w:pPr>
      <w:r/>
      <w:bookmarkStart w:id="177" w:name="_Toc18853"/>
      <w:r/>
      <w:bookmarkStart w:id="178" w:name="_Toc26991"/>
      <w:r/>
      <w:bookmarkStart w:id="179" w:name="_Toc24458"/>
      <w:r/>
      <w:bookmarkStart w:id="180" w:name="_Toc452384204"/>
      <w:r>
        <w:rPr>
          <w:rFonts w:hint="eastAsia" w:ascii="微软雅黑" w:hAnsi="微软雅黑" w:cs="微软雅黑"/>
          <w:bCs w:val="0"/>
          <w:sz w:val="24"/>
          <w:szCs w:val="24"/>
        </w:rPr>
        <w:t xml:space="preserve">6.2质疑处理</w:t>
      </w:r>
      <w:bookmarkEnd w:id="177"/>
      <w:r/>
      <w:bookmarkEnd w:id="178"/>
      <w:r/>
      <w:bookmarkEnd w:id="179"/>
      <w:r/>
      <w:bookmarkEnd w:id="180"/>
      <w:r/>
      <w:r/>
    </w:p>
    <w:p>
      <w:pPr>
        <w:spacing w:line="420" w:lineRule="exact"/>
        <w:rPr>
          <w:rFonts w:hint="eastAsia"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hint="eastAsia"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p>
    <w:p>
      <w:pPr>
        <w:spacing w:line="420" w:lineRule="exact"/>
        <w:rPr>
          <w:rFonts w:hint="eastAsia"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hint="eastAsia" w:ascii="微软雅黑" w:hAnsi="微软雅黑" w:cs="微软雅黑"/>
        </w:rPr>
      </w:pPr>
      <w:r>
        <w:rPr>
          <w:rFonts w:hint="eastAsia" w:ascii="微软雅黑" w:hAnsi="微软雅黑" w:cs="微软雅黑"/>
        </w:rPr>
        <w:t xml:space="preserve">6.2.4质疑函应当包括下列内容：</w:t>
      </w:r>
      <w:r/>
    </w:p>
    <w:p>
      <w:pPr>
        <w:ind w:firstLine="420"/>
        <w:spacing w:line="42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p>
    <w:p>
      <w:pPr>
        <w:ind w:firstLine="420"/>
        <w:spacing w:line="420" w:lineRule="exact"/>
        <w:rPr>
          <w:rFonts w:hint="eastAsia" w:ascii="微软雅黑" w:hAnsi="微软雅黑" w:cs="微软雅黑"/>
        </w:rPr>
      </w:pPr>
      <w:r>
        <w:rPr>
          <w:rFonts w:hint="eastAsia" w:ascii="微软雅黑" w:hAnsi="微软雅黑" w:cs="微软雅黑"/>
        </w:rPr>
        <w:t xml:space="preserve">（2）质疑项目的名称、编号；</w:t>
      </w:r>
      <w:r/>
    </w:p>
    <w:p>
      <w:pPr>
        <w:ind w:firstLine="420"/>
        <w:spacing w:line="42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p>
    <w:p>
      <w:pPr>
        <w:ind w:firstLine="420"/>
        <w:spacing w:line="420" w:lineRule="exact"/>
        <w:rPr>
          <w:rFonts w:hint="eastAsia" w:ascii="微软雅黑" w:hAnsi="微软雅黑" w:cs="微软雅黑"/>
        </w:rPr>
      </w:pPr>
      <w:r>
        <w:rPr>
          <w:rFonts w:hint="eastAsia" w:ascii="微软雅黑" w:hAnsi="微软雅黑" w:cs="微软雅黑"/>
        </w:rPr>
        <w:t xml:space="preserve">（4）事实依据；</w:t>
      </w:r>
      <w:r/>
    </w:p>
    <w:p>
      <w:pPr>
        <w:ind w:firstLine="420"/>
        <w:spacing w:line="420" w:lineRule="exact"/>
        <w:rPr>
          <w:rFonts w:hint="eastAsia" w:ascii="微软雅黑" w:hAnsi="微软雅黑" w:cs="微软雅黑"/>
        </w:rPr>
      </w:pPr>
      <w:r>
        <w:rPr>
          <w:rFonts w:hint="eastAsia" w:ascii="微软雅黑" w:hAnsi="微软雅黑" w:cs="微软雅黑"/>
        </w:rPr>
        <w:t xml:space="preserve">（5）必要的法律依据；</w:t>
      </w:r>
      <w:r/>
    </w:p>
    <w:p>
      <w:pPr>
        <w:ind w:firstLine="420"/>
        <w:spacing w:line="420" w:lineRule="exact"/>
        <w:rPr>
          <w:rFonts w:hint="eastAsia" w:ascii="微软雅黑" w:hAnsi="微软雅黑" w:cs="微软雅黑"/>
        </w:rPr>
      </w:pPr>
      <w:r>
        <w:rPr>
          <w:rFonts w:hint="eastAsia" w:ascii="微软雅黑" w:hAnsi="微软雅黑" w:cs="微软雅黑"/>
        </w:rPr>
        <w:t xml:space="preserve">（6）提出质疑的日期。</w:t>
      </w:r>
      <w:r/>
    </w:p>
    <w:p>
      <w:pPr>
        <w:ind w:firstLine="420"/>
        <w:spacing w:line="42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hint="eastAsia"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p>
    <w:p>
      <w:pPr>
        <w:ind w:firstLine="420"/>
        <w:spacing w:line="42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p>
    <w:p>
      <w:pPr>
        <w:spacing w:line="42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p>
    <w:p>
      <w:pPr>
        <w:pStyle w:val="1216"/>
        <w:spacing w:line="420" w:lineRule="exact"/>
        <w:rPr>
          <w:rFonts w:hint="eastAsia" w:ascii="微软雅黑" w:hAnsi="微软雅黑" w:cs="微软雅黑"/>
          <w:bCs w:val="0"/>
          <w:sz w:val="24"/>
          <w:szCs w:val="24"/>
        </w:rPr>
      </w:pPr>
      <w:r/>
      <w:bookmarkStart w:id="181" w:name="_Toc452384205"/>
      <w:r/>
      <w:bookmarkStart w:id="182" w:name="_Toc29601"/>
      <w:r/>
      <w:bookmarkStart w:id="183" w:name="_Toc8162"/>
      <w:r/>
      <w:bookmarkStart w:id="184" w:name="_Toc1781"/>
      <w:r>
        <w:rPr>
          <w:rFonts w:hint="eastAsia" w:ascii="微软雅黑" w:hAnsi="微软雅黑" w:cs="微软雅黑"/>
          <w:bCs w:val="0"/>
          <w:sz w:val="24"/>
          <w:szCs w:val="24"/>
        </w:rPr>
        <w:t xml:space="preserve">6.3中标通知书</w:t>
      </w:r>
      <w:bookmarkEnd w:id="181"/>
      <w:r/>
      <w:bookmarkEnd w:id="182"/>
      <w:r/>
      <w:bookmarkEnd w:id="183"/>
      <w:r/>
      <w:bookmarkEnd w:id="184"/>
      <w:r/>
      <w:r/>
    </w:p>
    <w:p>
      <w:pPr>
        <w:spacing w:line="420" w:lineRule="exact"/>
        <w:rPr>
          <w:rFonts w:hint="eastAsia" w:ascii="微软雅黑" w:hAnsi="微软雅黑" w:cs="微软雅黑"/>
        </w:rPr>
      </w:pPr>
      <w:r>
        <w:rPr>
          <w:rFonts w:hint="eastAsia" w:ascii="微软雅黑" w:hAnsi="微软雅黑" w:cs="微软雅黑"/>
        </w:rPr>
        <w:t xml:space="preserve">6.3.1确定中标供应商后</w:t>
      </w:r>
      <w:r>
        <w:rPr>
          <w:rFonts w:ascii="微软雅黑" w:hAnsi="微软雅黑" w:cs="微软雅黑"/>
        </w:rPr>
        <w:t xml:space="preserve">，</w:t>
      </w:r>
      <w:r>
        <w:rPr>
          <w:rFonts w:hint="eastAsia" w:ascii="微软雅黑" w:hAnsi="微软雅黑" w:cs="微软雅黑"/>
        </w:rPr>
        <w:t xml:space="preserve">向中标供应商发出中标通知书。</w:t>
      </w:r>
      <w:r/>
    </w:p>
    <w:p>
      <w:pPr>
        <w:spacing w:line="420" w:lineRule="exact"/>
        <w:rPr>
          <w:rFonts w:hint="eastAsia" w:ascii="微软雅黑" w:hAnsi="微软雅黑" w:cs="微软雅黑"/>
        </w:rPr>
      </w:pPr>
      <w:r>
        <w:rPr>
          <w:rFonts w:hint="eastAsia" w:ascii="微软雅黑" w:hAnsi="微软雅黑" w:cs="微软雅黑"/>
        </w:rPr>
        <w:t xml:space="preserve">6.3.2中标通知书是合同的组成部分。</w:t>
      </w:r>
      <w:r/>
    </w:p>
    <w:p>
      <w:pPr>
        <w:pStyle w:val="1216"/>
        <w:spacing w:line="420" w:lineRule="exact"/>
        <w:rPr>
          <w:rFonts w:hint="eastAsia" w:ascii="微软雅黑" w:hAnsi="微软雅黑" w:cs="微软雅黑"/>
          <w:bCs w:val="0"/>
          <w:sz w:val="24"/>
          <w:szCs w:val="24"/>
        </w:rPr>
      </w:pPr>
      <w:r/>
      <w:bookmarkStart w:id="185" w:name="_Toc452384206"/>
      <w:r/>
      <w:bookmarkStart w:id="186" w:name="_Toc12265"/>
      <w:r/>
      <w:bookmarkStart w:id="187" w:name="_Toc24863"/>
      <w:r/>
      <w:bookmarkStart w:id="188" w:name="_Toc14281"/>
      <w:r>
        <w:rPr>
          <w:rFonts w:hint="eastAsia" w:ascii="微软雅黑" w:hAnsi="微软雅黑" w:cs="微软雅黑"/>
          <w:bCs w:val="0"/>
          <w:sz w:val="24"/>
          <w:szCs w:val="24"/>
        </w:rPr>
        <w:t xml:space="preserve">6.4签订合同</w:t>
      </w:r>
      <w:bookmarkEnd w:id="185"/>
      <w:r/>
      <w:bookmarkEnd w:id="186"/>
      <w:r/>
      <w:bookmarkEnd w:id="187"/>
      <w:r/>
      <w:bookmarkEnd w:id="188"/>
      <w:r/>
      <w:r/>
    </w:p>
    <w:p>
      <w:pPr>
        <w:spacing w:line="420" w:lineRule="exact"/>
        <w:rPr>
          <w:rFonts w:hint="eastAsia"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w:t>
      </w:r>
      <w:r>
        <w:rPr>
          <w:rFonts w:ascii="微软雅黑" w:hAnsi="微软雅黑" w:cs="微软雅黑"/>
        </w:rPr>
        <w:t xml:space="preserve">，</w:t>
      </w:r>
      <w:r>
        <w:rPr>
          <w:rFonts w:hint="eastAsia" w:ascii="微软雅黑" w:hAnsi="微软雅黑" w:cs="微软雅黑"/>
        </w:rPr>
        <w:t xml:space="preserve">如中标人未按要求签订合同并给采购人和采购代理机构造成损失的，中标、成交供应商还应承担赔偿责任。</w:t>
      </w:r>
      <w:r/>
    </w:p>
    <w:p>
      <w:pPr>
        <w:spacing w:line="420" w:lineRule="exact"/>
        <w:rPr>
          <w:rFonts w:hint="eastAsia"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hint="eastAsia"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p>
    <w:p>
      <w:pPr>
        <w:spacing w:line="420" w:lineRule="exact"/>
        <w:rPr>
          <w:rFonts w:hint="eastAsia"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pStyle w:val="1147"/>
        <w:rPr>
          <w:rFonts w:hint="eastAsia" w:ascii="微软雅黑" w:hAnsi="微软雅黑" w:cs="微软雅黑"/>
        </w:rPr>
      </w:pPr>
      <w:r>
        <w:rPr>
          <w:rFonts w:hint="eastAsia" w:ascii="微软雅黑" w:hAnsi="微软雅黑" w:cs="微软雅黑"/>
        </w:rPr>
      </w:r>
      <w:r/>
    </w:p>
    <w:p>
      <w:pPr>
        <w:pStyle w:val="1147"/>
        <w:rPr>
          <w:rFonts w:hint="eastAsia" w:ascii="微软雅黑" w:hAnsi="微软雅黑" w:cs="微软雅黑"/>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rPr>
      </w:r>
      <w:r/>
    </w:p>
    <w:p>
      <w:pPr>
        <w:pStyle w:val="1352"/>
        <w:spacing w:line="360" w:lineRule="exact"/>
        <w:rPr>
          <w:rFonts w:hint="eastAsia" w:ascii="微软雅黑" w:hAnsi="微软雅黑" w:cs="微软雅黑"/>
          <w:szCs w:val="32"/>
        </w:rPr>
      </w:pPr>
      <w:r/>
      <w:bookmarkStart w:id="189" w:name="_Toc27854"/>
      <w:r/>
      <w:bookmarkStart w:id="190" w:name="_Toc5580"/>
      <w:r>
        <w:rPr>
          <w:rFonts w:hint="eastAsia" w:ascii="微软雅黑" w:hAnsi="微软雅黑" w:cs="微软雅黑"/>
          <w:szCs w:val="32"/>
        </w:rPr>
        <w:t xml:space="preserve">第三章</w:t>
      </w:r>
      <w:bookmarkEnd w:id="42"/>
      <w:r>
        <w:rPr>
          <w:rFonts w:hint="eastAsia" w:ascii="微软雅黑" w:hAnsi="微软雅黑" w:cs="微软雅黑"/>
          <w:szCs w:val="32"/>
        </w:rPr>
        <w:t xml:space="preserve"> 评标办法和定标原则</w:t>
      </w:r>
      <w:bookmarkEnd w:id="189"/>
      <w:r/>
      <w:bookmarkEnd w:id="190"/>
      <w:r/>
      <w:r/>
    </w:p>
    <w:p>
      <w:pPr>
        <w:ind w:firstLine="420"/>
        <w:spacing w:line="420" w:lineRule="exact"/>
        <w:rPr>
          <w:rFonts w:hint="eastAsia"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spacing w:line="440" w:lineRule="exact"/>
        <w:rPr>
          <w:rFonts w:hint="eastAsia" w:ascii="微软雅黑" w:hAnsi="微软雅黑" w:cs="微软雅黑"/>
        </w:rPr>
      </w:pPr>
      <w:r>
        <w:rPr>
          <w:rFonts w:hint="eastAsia" w:ascii="微软雅黑" w:hAnsi="微软雅黑" w:cs="微软雅黑"/>
        </w:rPr>
        <w:t xml:space="preserve">（一）政府采购评审中出现下列情形之一的，评审委员会应当启动异常低价投标（响应）审查程序：</w:t>
      </w:r>
      <w:r/>
    </w:p>
    <w:p>
      <w:pPr>
        <w:ind w:firstLine="420"/>
        <w:spacing w:line="440" w:lineRule="exact"/>
        <w:rPr>
          <w:rFonts w:hint="eastAsia" w:ascii="微软雅黑" w:hAnsi="微软雅黑" w:cs="微软雅黑"/>
        </w:rPr>
      </w:pPr>
      <w:r>
        <w:rPr>
          <w:rFonts w:hint="eastAsia" w:ascii="微软雅黑" w:hAnsi="微软雅黑" w:cs="微软雅黑"/>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hint="eastAsia" w:ascii="微软雅黑" w:hAnsi="微软雅黑" w:cs="微软雅黑"/>
        </w:rPr>
      </w:pPr>
      <w:r>
        <w:rPr>
          <w:rFonts w:hint="eastAsia" w:ascii="微软雅黑" w:hAnsi="微软雅黑" w:cs="微软雅黑"/>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hint="eastAsia" w:ascii="微软雅黑" w:hAnsi="微软雅黑" w:cs="微软雅黑"/>
        </w:rPr>
      </w:pPr>
      <w:r>
        <w:rPr>
          <w:rFonts w:hint="eastAsia" w:ascii="微软雅黑" w:hAnsi="微软雅黑" w:cs="微软雅黑"/>
        </w:rPr>
        <w:t xml:space="preserve">3.投标（响应）报价低于采购项目最高限价45%的，即投标（响应）报价&lt;采购项目最高限价×45%；</w:t>
      </w:r>
      <w:r/>
    </w:p>
    <w:p>
      <w:pPr>
        <w:ind w:firstLine="420"/>
        <w:spacing w:line="440" w:lineRule="exact"/>
        <w:rPr>
          <w:rFonts w:hint="eastAsia" w:ascii="微软雅黑" w:hAnsi="微软雅黑" w:cs="微软雅黑"/>
        </w:rPr>
      </w:pPr>
      <w:r>
        <w:rPr>
          <w:rFonts w:hint="eastAsia" w:ascii="微软雅黑" w:hAnsi="微软雅黑" w:cs="微软雅黑"/>
        </w:rPr>
        <w:t xml:space="preserve">4.评审委员会基于专业判断，认为供应商报价过低，有可能影响产品质量或者不能诚信履约的其他情形。</w:t>
      </w:r>
      <w:r/>
    </w:p>
    <w:p>
      <w:pPr>
        <w:ind w:firstLine="420"/>
        <w:spacing w:line="440" w:lineRule="exact"/>
        <w:rPr>
          <w:rFonts w:hint="eastAsia" w:ascii="微软雅黑" w:hAnsi="微软雅黑" w:cs="微软雅黑"/>
        </w:rPr>
      </w:pPr>
      <w:r>
        <w:rPr>
          <w:rFonts w:hint="eastAsia" w:ascii="微软雅黑" w:hAnsi="微软雅黑" w:cs="微软雅黑"/>
        </w:rPr>
        <w:t xml:space="preserve">采购人可以结合具体项目实际情况，提高上述第1项至第3项中启动异常低价投标（响应）审查的数值标准，但是最高不得超过65%。相关法律法规对供应商报价有规定的，从其规定。</w:t>
      </w:r>
      <w:r/>
    </w:p>
    <w:p>
      <w:pPr>
        <w:ind w:firstLine="420"/>
        <w:spacing w:line="440" w:lineRule="exact"/>
        <w:rPr>
          <w:rFonts w:hint="eastAsia" w:ascii="微软雅黑" w:hAnsi="微软雅黑" w:cs="微软雅黑"/>
        </w:rPr>
      </w:pPr>
      <w:r>
        <w:rPr>
          <w:rFonts w:hint="eastAsia" w:ascii="微软雅黑" w:hAnsi="微软雅黑" w:cs="微软雅黑"/>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微软雅黑" w:hAnsi="微软雅黑" w:cs="微软雅黑"/>
        </w:rPr>
      </w:pPr>
      <w:r>
        <w:rPr>
          <w:rFonts w:hint="eastAsia" w:ascii="微软雅黑" w:hAnsi="微软雅黑" w:cs="微软雅黑"/>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微软雅黑" w:hAnsi="微软雅黑" w:cs="微软雅黑"/>
        </w:rPr>
      </w:pPr>
      <w:r>
        <w:rPr>
          <w:rFonts w:hint="eastAsia" w:ascii="微软雅黑" w:hAnsi="微软雅黑" w:cs="微软雅黑"/>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hint="eastAsia" w:ascii="微软雅黑" w:hAnsi="微软雅黑" w:cs="微软雅黑"/>
        </w:rPr>
      </w:pPr>
      <w:r>
        <w:rPr>
          <w:rFonts w:hint="eastAsia" w:ascii="微软雅黑" w:hAnsi="微软雅黑" w:cs="微软雅黑"/>
        </w:rPr>
        <w:t xml:space="preserve">异常低价投标（响应）审查的启动原因、审查意见和审查结果应当在评审报告中记录，并随供应商提供的相关书面说明及证明材料，以及评审委员会有关互联网浏览、查询历史一并归档。</w:t>
      </w:r>
      <w:r/>
    </w:p>
    <w:p>
      <w:pPr>
        <w:jc w:val="center"/>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4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法定代表人授权书盖章原件（法定代表人直接参与投标的可不提供授权书）</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bl>
    <w:p>
      <w:pPr>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46"/>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821"/>
        <w:gridCol w:w="107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r>
        <w:trPr>
          <w:jc w:val="center"/>
          <w:trHeight w:val="495"/>
        </w:trPr>
        <w:tc>
          <w:tcPr>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jc w:val="center"/>
              <w:spacing w:line="440" w:lineRule="exact"/>
              <w:rPr>
                <w:rFonts w:hint="eastAsia" w:ascii="微软雅黑" w:hAnsi="微软雅黑" w:cs="微软雅黑"/>
              </w:rPr>
            </w:pPr>
            <w:r/>
            <w:bookmarkStart w:id="191" w:name="_Hlk72848049"/>
            <w:r>
              <w:rPr>
                <w:rFonts w:hint="eastAsia" w:ascii="微软雅黑" w:hAnsi="微软雅黑" w:cs="微软雅黑"/>
              </w:rPr>
              <w:t xml:space="preserve">4</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t xml:space="preserve">投标报价是否超过预算或</w:t>
            </w:r>
            <w:r>
              <w:rPr>
                <w:rFonts w:hint="eastAsia" w:ascii="微软雅黑" w:hAnsi="微软雅黑" w:cs="微软雅黑"/>
                <w:szCs w:val="21"/>
              </w:rPr>
              <w:t xml:space="preserve">最高限价</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lang w:val="zh-CN"/>
              </w:rPr>
            </w:pPr>
            <w:r>
              <w:rPr>
                <w:rFonts w:hint="eastAsia" w:ascii="微软雅黑" w:hAnsi="微软雅黑" w:cs="微软雅黑"/>
                <w:lang w:val="zh-CN"/>
              </w:rPr>
            </w:r>
            <w:r/>
          </w:p>
        </w:tc>
      </w:tr>
    </w:tbl>
    <w:p>
      <w:pPr>
        <w:numPr>
          <w:ilvl w:val="0"/>
          <w:numId w:val="10"/>
        </w:numPr>
        <w:spacing w:line="420" w:lineRule="exact"/>
        <w:rPr>
          <w:rFonts w:hint="eastAsia" w:ascii="微软雅黑" w:hAnsi="微软雅黑" w:cs="微软雅黑"/>
          <w:szCs w:val="21"/>
        </w:rPr>
      </w:pPr>
      <w:r>
        <w:rPr>
          <w:rFonts w:hint="eastAsia" w:ascii="微软雅黑" w:hAnsi="微软雅黑" w:cs="微软雅黑"/>
          <w:b/>
          <w:bCs/>
        </w:rPr>
        <w:t xml:space="preserve">评分因</w:t>
      </w:r>
      <w:r>
        <w:rPr>
          <w:rFonts w:hint="eastAsia" w:ascii="微软雅黑" w:hAnsi="微软雅黑" w:cs="微软雅黑"/>
          <w:b/>
          <w:bCs/>
          <w:szCs w:val="21"/>
        </w:rPr>
        <w:t xml:space="preserve">素及分值</w:t>
      </w:r>
      <w:r/>
    </w:p>
    <w:tbl>
      <w:tblPr>
        <w:tblStyle w:val="1146"/>
        <w:tblW w:w="54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342"/>
        <w:gridCol w:w="6199"/>
        <w:gridCol w:w="775"/>
      </w:tblGrid>
      <w:tr>
        <w:trPr>
          <w:jc w:val="center"/>
          <w:trHeight w:val="2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szCs w:val="21"/>
              </w:rPr>
              <w:br w:type="page" w:clear="all"/>
            </w:r>
            <w:r>
              <w:rPr>
                <w:rFonts w:hint="eastAsia" w:ascii="微软雅黑" w:hAnsi="微软雅黑" w:cs="微软雅黑"/>
                <w:szCs w:val="21"/>
              </w:rPr>
              <w:br w:type="page" w:clear="all"/>
            </w:r>
            <w:r>
              <w:rPr>
                <w:rFonts w:hint="eastAsia" w:ascii="微软雅黑" w:hAnsi="微软雅黑" w:cs="微软雅黑"/>
                <w:b/>
                <w:szCs w:val="21"/>
              </w:rPr>
              <w:t xml:space="preserve">序号</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评分项目</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1</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价格分</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价格分采用低价优先法计算，即满足采购文件要求且报价最低的投标人的最终报价为评审基准价，其价格分为满分30分，其它投标人的价格分统一按照以下公式计算：</w:t>
            </w:r>
            <w:r/>
          </w:p>
          <w:p>
            <w:pPr>
              <w:spacing w:line="420" w:lineRule="exact"/>
              <w:rPr>
                <w:rFonts w:hint="eastAsia" w:ascii="微软雅黑" w:hAnsi="微软雅黑" w:cs="微软雅黑"/>
                <w:szCs w:val="21"/>
              </w:rPr>
            </w:pPr>
            <w:r>
              <w:rPr>
                <w:rFonts w:hint="eastAsia" w:ascii="微软雅黑" w:hAnsi="微软雅黑" w:cs="微软雅黑"/>
                <w:szCs w:val="21"/>
              </w:rPr>
              <w:t xml:space="preserve">报价得分=(评审基准价/该投标人的最终报价)× 30分。</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30</w:t>
            </w:r>
            <w:r/>
          </w:p>
        </w:tc>
      </w:tr>
      <w:tr>
        <w:trPr>
          <w:jc w:val="center"/>
          <w:trHeight w:val="494"/>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2</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技术指标</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投标人对招标文件具体项目需求的响应程度：全部响应即满足招标文件的技术指标、参数及服务要求的得40分，招标文件中标注“★”的内容为实质性需求参数，有一项不符合的，作无效投标处理。带“▲”条款为重要技术参数指标，如带“▲”条款存在负偏离的，负偏离1项扣5分，其他技术参数，负偏离1项扣1.5分，扣完为止。</w:t>
            </w:r>
            <w:r>
              <w:rPr>
                <w:rFonts w:hint="eastAsia" w:ascii="微软雅黑" w:hAnsi="微软雅黑" w:cs="微软雅黑"/>
                <w:b/>
                <w:bCs/>
                <w:szCs w:val="21"/>
              </w:rPr>
              <w:t xml:space="preserve">（标“★”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rPr>
                <w:rFonts w:hint="eastAsia" w:ascii="微软雅黑" w:hAnsi="微软雅黑" w:cs="微软雅黑"/>
                <w:szCs w:val="21"/>
              </w:rPr>
              <w:t xml:space="preserve">。</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40</w:t>
            </w:r>
            <w:r/>
          </w:p>
        </w:tc>
      </w:tr>
      <w:tr>
        <w:trPr>
          <w:jc w:val="center"/>
          <w:trHeight w:val="1602"/>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3</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业绩</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投标人提供自2023年1月1日至今（时间以合同签订时间为准）承揽过类似项目业绩的，每提供一个得2分，最高得8分。</w:t>
            </w:r>
            <w:r>
              <w:rPr>
                <w:rFonts w:hint="eastAsia" w:ascii="微软雅黑" w:hAnsi="微软雅黑" w:cs="微软雅黑"/>
                <w:b/>
                <w:bCs/>
                <w:szCs w:val="21"/>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8</w:t>
            </w:r>
            <w:r/>
          </w:p>
        </w:tc>
      </w:tr>
      <w:tr>
        <w:trPr>
          <w:jc w:val="center"/>
          <w:trHeight w:val="105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4</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免费质保期</w:t>
            </w:r>
            <w:r/>
          </w:p>
        </w:tc>
        <w:tc>
          <w:tcPr>
            <w:tcBorders>
              <w:top w:val="single" w:color="auto" w:sz="4" w:space="0"/>
              <w:left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满足招标文件免费质保期要求（3年）的基础上，免费质保每增加1年加1分，本项最高得2分。（</w:t>
            </w:r>
            <w:r>
              <w:rPr>
                <w:rFonts w:hint="eastAsia" w:ascii="微软雅黑" w:hAnsi="微软雅黑" w:cs="微软雅黑"/>
                <w:b/>
                <w:bCs/>
                <w:szCs w:val="21"/>
              </w:rPr>
              <w:t xml:space="preserve">提供质保期承诺书原件并加盖公章。若投标文件中出现前后不一致的情况，以最低免费质保期作为评分依据）</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420" w:lineRule="exact"/>
              <w:tabs>
                <w:tab w:val="center" w:pos="251" w:leader="none"/>
                <w:tab w:val="left" w:pos="365" w:leader="none"/>
              </w:tabs>
              <w:rPr>
                <w:rFonts w:hint="eastAsia" w:ascii="微软雅黑" w:hAnsi="微软雅黑" w:cs="微软雅黑"/>
                <w:szCs w:val="21"/>
              </w:rPr>
            </w:pPr>
            <w:r>
              <w:rPr>
                <w:rFonts w:hint="eastAsia" w:ascii="微软雅黑" w:hAnsi="微软雅黑" w:cs="微软雅黑"/>
                <w:szCs w:val="21"/>
              </w:rPr>
              <w:t xml:space="preserve">2</w:t>
            </w:r>
            <w:r/>
          </w:p>
        </w:tc>
      </w:tr>
      <w:tr>
        <w:trPr>
          <w:jc w:val="center"/>
          <w:trHeight w:val="108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5</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实施方案</w:t>
            </w:r>
            <w:r/>
          </w:p>
        </w:tc>
        <w:tc>
          <w:tcPr>
            <w:tcBorders>
              <w:left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提供完善的项目实施计划和实施方案（包含安装、调试、验收等），根据投标单位项目组织实施管理方案的合理性、人员安排、现场应急处理方案等方面进行打分。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1、实施方案全面、可行，实施计划可操作性强的得7分；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2、实施方案较全面、较可行，实施计划可操作性较强的得4分；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3、实施方案不全面、不具备可行性，实施计划不具备可操作性得1分；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4、其他或未提供不得分。</w:t>
            </w:r>
            <w:r/>
          </w:p>
        </w:tc>
        <w:tc>
          <w:tcPr>
            <w:tcBorders>
              <w:left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7</w:t>
            </w:r>
            <w:r/>
          </w:p>
        </w:tc>
      </w:tr>
      <w:tr>
        <w:trPr>
          <w:jc w:val="center"/>
          <w:trHeight w:val="108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6</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供货计划及方案</w:t>
            </w:r>
            <w:r/>
          </w:p>
        </w:tc>
        <w:tc>
          <w:tcPr>
            <w:tcBorders>
              <w:left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提供完善的项目供货计划和供货方案，根据投标单位项目组织实施管理方案的合理性、人员安排、供货期等方面进行打分。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1、供货计划及供货方案全面、可行，操作性强的得7分；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2、供货计划及供货方案较全面、较可行，操作性较强的得4分；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3、供货计划及供货方案不全面、不可行，操作性不强的得1分；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4、其他或未提供不得分。</w:t>
            </w:r>
            <w:r/>
          </w:p>
        </w:tc>
        <w:tc>
          <w:tcPr>
            <w:tcBorders>
              <w:left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7</w:t>
            </w:r>
            <w:r/>
          </w:p>
        </w:tc>
      </w:tr>
      <w:tr>
        <w:trPr>
          <w:jc w:val="center"/>
          <w:trHeight w:val="108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7</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售后服务方案</w:t>
            </w:r>
            <w:r/>
          </w:p>
        </w:tc>
        <w:tc>
          <w:tcPr>
            <w:tcBorders>
              <w:left w:val="single" w:color="auto" w:sz="4" w:space="0"/>
              <w:right w:val="single" w:color="auto" w:sz="4" w:space="0"/>
            </w:tcBorders>
            <w:tcW w:w="3420" w:type="pct"/>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根据投标人针对本项目提供的售后服务方案（包括但不限于售后服务人员的配备、服务响应时间、质保期后服务等技术指导及该仪器的备品、配件、耗材、维修的明细、价格或折扣的承诺）进行综合评审。</w:t>
            </w:r>
            <w:r/>
          </w:p>
          <w:p>
            <w:pPr>
              <w:spacing w:line="420" w:lineRule="exact"/>
              <w:rPr>
                <w:rFonts w:hint="eastAsia" w:ascii="微软雅黑" w:hAnsi="微软雅黑" w:cs="微软雅黑"/>
                <w:szCs w:val="21"/>
              </w:rPr>
            </w:pPr>
            <w:r>
              <w:rPr>
                <w:rFonts w:hint="eastAsia" w:ascii="微软雅黑" w:hAnsi="微软雅黑" w:cs="微软雅黑"/>
                <w:szCs w:val="21"/>
              </w:rPr>
              <w:t xml:space="preserve">1、服务方案全面，细致，有针对性，且售后服务、质保期后服务等技术指导方案周全，备品、配件、耗材、维修的明细、价格或折扣合理得6分；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2、服务方案较全面，针对性较强，且售后服务、质保期后服务等技术指导方案内容较周全，备品、配件、耗材、维修的明细、价格或折扣较为合理的得4分；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3、服务方案不够全面，无针对性，且售后服务、质保期后服务等技术指导方案内容不够周全，备品、配件、耗材、维修的明细、价格或折扣不合理的，得2分；</w:t>
            </w:r>
            <w:r/>
          </w:p>
          <w:p>
            <w:pPr>
              <w:spacing w:line="420" w:lineRule="exact"/>
              <w:rPr>
                <w:rFonts w:hint="eastAsia" w:ascii="微软雅黑" w:hAnsi="微软雅黑" w:cs="微软雅黑"/>
                <w:szCs w:val="21"/>
              </w:rPr>
            </w:pPr>
            <w:r>
              <w:rPr>
                <w:rFonts w:hint="eastAsia" w:ascii="微软雅黑" w:hAnsi="微软雅黑" w:cs="微软雅黑"/>
                <w:szCs w:val="21"/>
              </w:rPr>
              <w:t xml:space="preserve">4、其他或未提供不得分。</w:t>
            </w:r>
            <w:r/>
          </w:p>
        </w:tc>
        <w:tc>
          <w:tcPr>
            <w:tcBorders>
              <w:left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6</w:t>
            </w:r>
            <w:r/>
          </w:p>
        </w:tc>
      </w:tr>
      <w:tr>
        <w:trPr>
          <w:jc w:val="center"/>
          <w:trHeight w:val="1088"/>
        </w:trPr>
        <w:tc>
          <w:tcPr>
            <w:tcBorders>
              <w:left w:val="single" w:color="auto" w:sz="4" w:space="0"/>
              <w:right w:val="single" w:color="auto" w:sz="4" w:space="0"/>
            </w:tcBorders>
            <w:tcW w:w="409"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8</w:t>
            </w:r>
            <w:r/>
          </w:p>
        </w:tc>
        <w:tc>
          <w:tcPr>
            <w:tcBorders>
              <w:left w:val="single" w:color="auto" w:sz="4" w:space="0"/>
              <w:right w:val="single" w:color="auto" w:sz="4" w:space="0"/>
            </w:tcBorders>
            <w:tcW w:w="74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合计</w:t>
            </w:r>
            <w:r/>
          </w:p>
        </w:tc>
        <w:tc>
          <w:tcPr>
            <w:tcBorders>
              <w:left w:val="single" w:color="auto" w:sz="4" w:space="0"/>
              <w:right w:val="single" w:color="auto" w:sz="4" w:space="0"/>
            </w:tcBorders>
            <w:tcW w:w="3420"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left w:val="single" w:color="auto" w:sz="4" w:space="0"/>
              <w:right w:val="single" w:color="auto" w:sz="4" w:space="0"/>
            </w:tcBorders>
            <w:tcW w:w="428" w:type="pct"/>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100</w:t>
            </w:r>
            <w:r/>
          </w:p>
        </w:tc>
      </w:tr>
    </w:tbl>
    <w:p>
      <w:pPr>
        <w:spacing w:line="440" w:lineRule="exact"/>
        <w:rPr>
          <w:rFonts w:hint="eastAsia" w:ascii="微软雅黑" w:hAnsi="微软雅黑" w:cs="微软雅黑"/>
          <w:b/>
          <w:sz w:val="24"/>
          <w:szCs w:val="24"/>
        </w:rPr>
      </w:pPr>
      <w:r>
        <w:rPr>
          <w:rFonts w:hint="eastAsia" w:ascii="微软雅黑" w:hAnsi="微软雅黑" w:cs="微软雅黑"/>
          <w:b/>
          <w:sz w:val="24"/>
          <w:szCs w:val="24"/>
        </w:rPr>
        <w:t xml:space="preserve">备注：</w:t>
      </w:r>
      <w:r/>
    </w:p>
    <w:p>
      <w:pPr>
        <w:numPr>
          <w:ilvl w:val="0"/>
          <w:numId w:val="11"/>
        </w:numPr>
        <w:spacing w:line="400" w:lineRule="exact"/>
        <w:rPr>
          <w:rFonts w:hint="eastAsia" w:ascii="微软雅黑" w:hAnsi="微软雅黑" w:cs="微软雅黑"/>
          <w:b/>
          <w:bCs/>
          <w:szCs w:val="21"/>
        </w:rPr>
      </w:pPr>
      <w:r>
        <w:rPr>
          <w:rFonts w:hint="eastAsia" w:ascii="微软雅黑" w:hAnsi="微软雅黑" w:cs="微软雅黑"/>
          <w:b/>
          <w:bCs/>
          <w:szCs w:val="21"/>
        </w:rPr>
        <w:t xml:space="preserve">政府采购政策功能落实</w:t>
      </w:r>
      <w:r/>
    </w:p>
    <w:p>
      <w:pPr>
        <w:spacing w:line="400" w:lineRule="exact"/>
        <w:rPr>
          <w:rFonts w:hint="eastAsia" w:ascii="微软雅黑" w:hAnsi="微软雅黑" w:cs="微软雅黑"/>
          <w:b/>
          <w:bCs/>
          <w:szCs w:val="21"/>
        </w:rPr>
      </w:pPr>
      <w:r>
        <w:rPr>
          <w:rFonts w:hint="eastAsia" w:ascii="微软雅黑" w:hAnsi="微软雅黑" w:cs="微软雅黑"/>
          <w:u w:val="single"/>
        </w:rPr>
        <w:t xml:space="preserve">本次招标执行政府强制或优先采购节能和环境标志产品、促进中小微型企业、促进残疾人就业、支持监狱和戒毒企业、扶持不发达地区和少数民族地区、实施本国产品标准、支持科学进步以及限制采购进口产品等相关政策。</w:t>
      </w:r>
      <w:r/>
    </w:p>
    <w:p>
      <w:pPr>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12"/>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本项目对小型和微型企业产品、服务给予10%的扣除价格，用扣除后的价格参与评审。</w:t>
      </w:r>
      <w:r/>
    </w:p>
    <w:p>
      <w:pPr>
        <w:numPr>
          <w:ilvl w:val="0"/>
          <w:numId w:val="12"/>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12"/>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13"/>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p>
    <w:p>
      <w:pPr>
        <w:numPr>
          <w:ilvl w:val="0"/>
          <w:numId w:val="13"/>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13"/>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14"/>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p>
    <w:p>
      <w:pPr>
        <w:numPr>
          <w:ilvl w:val="0"/>
          <w:numId w:val="14"/>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4"/>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4.残疾人福利单位、监狱企业属于小型、微型企业的，不重复享受政策。</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5.本国产品的价格扣除</w:t>
      </w:r>
      <w:r/>
    </w:p>
    <w:p>
      <w:pPr>
        <w:pStyle w:val="1147"/>
        <w:spacing w:line="400" w:lineRule="exact"/>
        <w:rPr>
          <w:rFonts w:hint="eastAsia" w:ascii="微软雅黑" w:hAnsi="微软雅黑" w:cs="微软雅黑"/>
        </w:rPr>
      </w:pPr>
      <w:r>
        <w:rPr>
          <w:rFonts w:hint="eastAsia" w:ascii="微软雅黑" w:hAnsi="微软雅黑" w:cs="微软雅黑"/>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47"/>
        <w:spacing w:line="400" w:lineRule="exact"/>
        <w:rPr>
          <w:rFonts w:hint="eastAsia" w:ascii="微软雅黑" w:hAnsi="微软雅黑" w:cs="微软雅黑"/>
        </w:rPr>
      </w:pPr>
      <w:r>
        <w:rPr>
          <w:rFonts w:hint="eastAsia" w:ascii="微软雅黑" w:hAnsi="微软雅黑" w:cs="微软雅黑"/>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5.5 供应商需按照招标文件的要求提供《关于符合本国产品标准的声明函》（以下简称《声明函》），如不提供将不享受本国产品价格评审优惠。</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微软雅黑" w:hAnsi="微软雅黑" w:cs="微软雅黑"/>
          <w:szCs w:val="21"/>
        </w:rPr>
      </w:pPr>
      <w:r>
        <w:rPr>
          <w:rFonts w:hint="eastAsia" w:ascii="微软雅黑" w:hAnsi="微软雅黑" w:cs="微软雅黑"/>
          <w:szCs w:val="21"/>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微软雅黑" w:hAnsi="微软雅黑" w:cs="微软雅黑"/>
          <w:b/>
          <w:bCs/>
          <w:szCs w:val="21"/>
        </w:rPr>
      </w:pPr>
      <w:r>
        <w:rPr>
          <w:rFonts w:hint="eastAsia" w:ascii="微软雅黑" w:hAnsi="微软雅黑" w:cs="微软雅黑"/>
          <w:b/>
          <w:bCs/>
          <w:szCs w:val="21"/>
        </w:rPr>
        <w:t xml:space="preserve">二、同品牌投标人的认定</w:t>
      </w:r>
      <w:r/>
    </w:p>
    <w:p>
      <w:pPr>
        <w:ind w:firstLine="420"/>
        <w:spacing w:line="420" w:lineRule="exact"/>
        <w:rPr>
          <w:rFonts w:hint="eastAsia" w:ascii="微软雅黑" w:hAnsi="微软雅黑" w:cs="微软雅黑"/>
          <w:lang w:val="zh-CN"/>
        </w:rPr>
      </w:pPr>
      <w:r>
        <w:rPr>
          <w:rFonts w:hint="eastAsia" w:ascii="微软雅黑" w:hAnsi="微软雅黑" w:cs="微软雅黑"/>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20" w:lineRule="exact"/>
        <w:rPr>
          <w:rFonts w:hint="eastAsia" w:ascii="微软雅黑" w:hAnsi="微软雅黑" w:cs="微软雅黑"/>
          <w:u w:val="single"/>
        </w:rPr>
      </w:pPr>
      <w:r>
        <w:rPr>
          <w:rFonts w:hint="eastAsia" w:ascii="微软雅黑" w:hAnsi="微软雅黑" w:cs="微软雅黑"/>
        </w:rPr>
        <w:t xml:space="preserve">本项目核心产品：</w:t>
      </w:r>
      <w:r>
        <w:rPr>
          <w:rFonts w:hint="eastAsia" w:ascii="微软雅黑" w:hAnsi="微软雅黑" w:cs="微软雅黑"/>
          <w:u w:val="single"/>
        </w:rPr>
        <w:t xml:space="preserve">  本项目为单一产品，故不设置核心产品。 </w:t>
      </w:r>
      <w:bookmarkEnd w:id="191"/>
      <w:r/>
      <w:r/>
    </w:p>
    <w:p>
      <w:pPr>
        <w:pStyle w:val="1147"/>
        <w:rPr>
          <w:rFonts w:hint="eastAsia" w:ascii="微软雅黑" w:hAnsi="微软雅黑" w:cs="微软雅黑"/>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u w:val="single"/>
        </w:rPr>
      </w:r>
      <w:r/>
    </w:p>
    <w:p>
      <w:pPr>
        <w:pStyle w:val="1352"/>
        <w:numPr>
          <w:ilvl w:val="255"/>
          <w:numId w:val="0"/>
        </w:numPr>
        <w:spacing w:line="360" w:lineRule="exact"/>
        <w:rPr>
          <w:rFonts w:hint="eastAsia" w:ascii="微软雅黑" w:hAnsi="微软雅黑" w:cs="微软雅黑"/>
          <w:szCs w:val="32"/>
        </w:rPr>
      </w:pPr>
      <w:r/>
      <w:bookmarkStart w:id="192" w:name="_Toc30639"/>
      <w:r/>
      <w:bookmarkStart w:id="193" w:name="_Toc6381"/>
      <w:r/>
      <w:bookmarkStart w:id="194" w:name="_Toc21811"/>
      <w:r>
        <w:rPr>
          <w:rFonts w:hint="eastAsia" w:ascii="微软雅黑" w:hAnsi="微软雅黑" w:cs="微软雅黑"/>
          <w:szCs w:val="32"/>
        </w:rPr>
        <w:t xml:space="preserve">第四章 项目采购需求</w:t>
      </w:r>
      <w:bookmarkEnd w:id="192"/>
      <w:r/>
      <w:bookmarkEnd w:id="193"/>
      <w:r/>
      <w:r/>
    </w:p>
    <w:p>
      <w:pPr>
        <w:spacing w:line="420" w:lineRule="exact"/>
        <w:rPr>
          <w:rFonts w:hint="eastAsia" w:ascii="微软雅黑" w:hAnsi="微软雅黑" w:cs="微软雅黑"/>
          <w:b/>
          <w:bCs/>
          <w:szCs w:val="21"/>
        </w:rPr>
      </w:pPr>
      <w:r/>
      <w:bookmarkStart w:id="195" w:name="_Toc22174"/>
      <w:r>
        <w:rPr>
          <w:rFonts w:hint="eastAsia" w:ascii="微软雅黑" w:hAnsi="微软雅黑" w:cs="微软雅黑"/>
          <w:b/>
          <w:bCs/>
          <w:szCs w:val="21"/>
        </w:rPr>
        <w:t xml:space="preserve">采购文件中标注“★”的内容为实质性要求，有一项不符合的，作无效投标处理。</w:t>
      </w:r>
      <w:r/>
    </w:p>
    <w:p>
      <w:pPr>
        <w:pStyle w:val="1475"/>
        <w:ind w:firstLine="482"/>
        <w:spacing w:line="420" w:lineRule="exact"/>
        <w:rPr>
          <w:rFonts w:hint="eastAsia" w:ascii="微软雅黑" w:hAnsi="微软雅黑" w:cs="微软雅黑"/>
          <w:b/>
          <w:bCs/>
          <w:szCs w:val="21"/>
        </w:rPr>
      </w:pPr>
      <w:r>
        <w:rPr>
          <w:rFonts w:hint="eastAsia" w:ascii="微软雅黑" w:hAnsi="微软雅黑" w:cs="微软雅黑"/>
          <w:b/>
          <w:bCs/>
          <w:szCs w:val="21"/>
        </w:rPr>
        <w:t xml:space="preserve">一、项目基本情况及采购项目清单</w:t>
      </w:r>
      <w:r/>
    </w:p>
    <w:tbl>
      <w:tblPr>
        <w:tblStyle w:val="11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2180"/>
        <w:gridCol w:w="1657"/>
        <w:gridCol w:w="1657"/>
        <w:gridCol w:w="1664"/>
      </w:tblGrid>
      <w:tr>
        <w:trPr>
          <w:jc w:val="center"/>
          <w:trHeight w:val="686"/>
        </w:trPr>
        <w:tc>
          <w:tcPr>
            <w:tcW w:w="1159"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序号</w:t>
            </w:r>
            <w:r/>
          </w:p>
        </w:tc>
        <w:tc>
          <w:tcPr>
            <w:tcW w:w="2246" w:type="dxa"/>
            <w:vAlign w:val="center"/>
            <w:textDirection w:val="lrTb"/>
            <w:noWrap w:val="false"/>
          </w:tcPr>
          <w:p>
            <w:pPr>
              <w:pStyle w:val="1475"/>
              <w:ind w:firstLine="0"/>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产品名称</w:t>
            </w:r>
            <w:r/>
          </w:p>
        </w:tc>
        <w:tc>
          <w:tcPr>
            <w:tcW w:w="1703"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数量</w:t>
            </w:r>
            <w:r/>
          </w:p>
        </w:tc>
        <w:tc>
          <w:tcPr>
            <w:tcW w:w="1704"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单位</w:t>
            </w:r>
            <w:r/>
          </w:p>
        </w:tc>
        <w:tc>
          <w:tcPr>
            <w:tcW w:w="1704" w:type="dxa"/>
            <w:vAlign w:val="center"/>
            <w:textDirection w:val="lrTb"/>
            <w:noWrap w:val="false"/>
          </w:tcPr>
          <w:p>
            <w:pPr>
              <w:pStyle w:val="1475"/>
              <w:ind w:firstLine="0"/>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最高限价</w:t>
            </w:r>
            <w:r/>
          </w:p>
        </w:tc>
      </w:tr>
      <w:tr>
        <w:trPr>
          <w:jc w:val="center"/>
        </w:trPr>
        <w:tc>
          <w:tcPr>
            <w:tcW w:w="1159"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1</w:t>
            </w:r>
            <w:r/>
          </w:p>
        </w:tc>
        <w:tc>
          <w:tcPr>
            <w:tcW w:w="2246"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激光共聚焦显微镜</w:t>
            </w:r>
            <w:r/>
          </w:p>
        </w:tc>
        <w:tc>
          <w:tcPr>
            <w:tcW w:w="1703"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1</w:t>
            </w:r>
            <w:r/>
          </w:p>
        </w:tc>
        <w:tc>
          <w:tcPr>
            <w:tcW w:w="1704"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套</w:t>
            </w:r>
            <w:r/>
          </w:p>
        </w:tc>
        <w:tc>
          <w:tcPr>
            <w:tcW w:w="1704" w:type="dxa"/>
            <w:vAlign w:val="center"/>
            <w:textDirection w:val="lrTb"/>
            <w:noWrap w:val="false"/>
          </w:tcPr>
          <w:p>
            <w:pPr>
              <w:jc w:val="center"/>
              <w:spacing w:line="420" w:lineRule="exact"/>
              <w:rPr>
                <w:rFonts w:hint="eastAsia" w:ascii="微软雅黑" w:hAnsi="微软雅黑" w:cs="微软雅黑"/>
                <w:b/>
                <w:bCs/>
                <w:szCs w:val="21"/>
              </w:rPr>
            </w:pPr>
            <w:r>
              <w:rPr>
                <w:rFonts w:hint="eastAsia" w:ascii="微软雅黑" w:hAnsi="微软雅黑" w:cs="微软雅黑"/>
                <w:b/>
                <w:bCs/>
                <w:szCs w:val="21"/>
              </w:rPr>
              <w:t xml:space="preserve">268万元</w:t>
            </w:r>
            <w:r/>
          </w:p>
        </w:tc>
      </w:tr>
    </w:tbl>
    <w:p>
      <w:pPr>
        <w:pStyle w:val="1475"/>
        <w:numPr>
          <w:ilvl w:val="0"/>
          <w:numId w:val="15"/>
        </w:numPr>
        <w:ind w:firstLine="482"/>
        <w:spacing w:line="420" w:lineRule="exact"/>
        <w:rPr>
          <w:rFonts w:hint="eastAsia" w:ascii="微软雅黑" w:hAnsi="微软雅黑" w:cs="微软雅黑"/>
          <w:b/>
          <w:bCs/>
          <w:szCs w:val="21"/>
        </w:rPr>
      </w:pPr>
      <w:r>
        <w:rPr>
          <w:rFonts w:hint="eastAsia" w:ascii="微软雅黑" w:hAnsi="微软雅黑" w:cs="微软雅黑"/>
          <w:b/>
          <w:bCs/>
          <w:szCs w:val="21"/>
        </w:rPr>
        <w:t xml:space="preserve">技术要求（标“★”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p>
    <w:p>
      <w:pPr>
        <w:spacing w:line="420" w:lineRule="exact"/>
        <w:rPr>
          <w:rFonts w:hint="eastAsia" w:ascii="微软雅黑" w:hAnsi="微软雅黑" w:cs="微软雅黑"/>
          <w:szCs w:val="21"/>
        </w:rPr>
      </w:pPr>
      <w:r>
        <w:rPr>
          <w:rFonts w:hint="eastAsia" w:ascii="微软雅黑" w:hAnsi="微软雅黑" w:cs="微软雅黑"/>
          <w:szCs w:val="21"/>
        </w:rPr>
        <w:t xml:space="preserve">1. 光源系统</w:t>
      </w:r>
      <w:r/>
    </w:p>
    <w:p>
      <w:pPr>
        <w:spacing w:line="420" w:lineRule="exact"/>
        <w:rPr>
          <w:rFonts w:hint="eastAsia" w:ascii="微软雅黑" w:hAnsi="微软雅黑" w:cs="微软雅黑"/>
          <w:szCs w:val="21"/>
        </w:rPr>
      </w:pPr>
      <w:r>
        <w:rPr>
          <w:rFonts w:hint="eastAsia" w:ascii="微软雅黑" w:hAnsi="微软雅黑" w:cs="微软雅黑"/>
          <w:szCs w:val="21"/>
        </w:rPr>
        <w:t xml:space="preserve">1.1 全固体激光谱线：包含405 nm≥500 mW，470 nm≥800 mW，555 nm≥800 mW，640 nm≥800 mW；</w:t>
      </w:r>
      <w:r/>
    </w:p>
    <w:p>
      <w:pPr>
        <w:spacing w:line="420" w:lineRule="exact"/>
        <w:rPr>
          <w:rFonts w:hint="eastAsia" w:ascii="微软雅黑" w:hAnsi="微软雅黑" w:cs="微软雅黑"/>
          <w:szCs w:val="21"/>
        </w:rPr>
      </w:pPr>
      <w:r>
        <w:rPr>
          <w:rFonts w:hint="eastAsia" w:ascii="微软雅黑" w:hAnsi="微软雅黑" w:cs="微软雅黑"/>
          <w:szCs w:val="21"/>
        </w:rPr>
        <w:t xml:space="preserve">1.2 激光控制装置：所有激光器均由数字信号控制，调制时间≤20微秒；</w:t>
      </w:r>
      <w:r/>
    </w:p>
    <w:p>
      <w:pPr>
        <w:spacing w:line="420" w:lineRule="exact"/>
        <w:rPr>
          <w:rFonts w:hint="eastAsia" w:ascii="微软雅黑" w:hAnsi="微软雅黑" w:cs="微软雅黑"/>
          <w:szCs w:val="21"/>
        </w:rPr>
      </w:pPr>
      <w:r>
        <w:rPr>
          <w:rFonts w:hint="eastAsia" w:ascii="微软雅黑" w:hAnsi="微软雅黑" w:cs="微软雅黑"/>
          <w:szCs w:val="21"/>
        </w:rPr>
        <w:t xml:space="preserve">1.3 四激光经过多模光纤耦合输出，光纤芯径≤400 μm，NA≥0.39；</w:t>
      </w:r>
      <w:r/>
    </w:p>
    <w:p>
      <w:pPr>
        <w:spacing w:line="420" w:lineRule="exact"/>
        <w:rPr>
          <w:rFonts w:hint="eastAsia" w:ascii="微软雅黑" w:hAnsi="微软雅黑" w:cs="微软雅黑"/>
          <w:szCs w:val="21"/>
        </w:rPr>
      </w:pPr>
      <w:r>
        <w:rPr>
          <w:rFonts w:hint="eastAsia" w:ascii="微软雅黑" w:hAnsi="微软雅黑" w:cs="微软雅黑"/>
          <w:szCs w:val="21"/>
        </w:rPr>
        <w:t xml:space="preserve">1.4 激光电源控制：四线激光可以单独控制激光开关；</w:t>
      </w:r>
      <w:r/>
    </w:p>
    <w:p>
      <w:pPr>
        <w:spacing w:line="420" w:lineRule="exact"/>
        <w:rPr>
          <w:rFonts w:hint="eastAsia" w:ascii="微软雅黑" w:hAnsi="微软雅黑" w:cs="微软雅黑"/>
          <w:szCs w:val="21"/>
        </w:rPr>
      </w:pPr>
      <w:r>
        <w:rPr>
          <w:rFonts w:hint="eastAsia" w:ascii="微软雅黑" w:hAnsi="微软雅黑" w:cs="微软雅黑"/>
          <w:szCs w:val="21"/>
        </w:rPr>
        <w:t xml:space="preserve">1.5 与显微镜同品牌的实时同步控制模块：</w:t>
      </w:r>
      <w:r/>
    </w:p>
    <w:p>
      <w:pPr>
        <w:spacing w:line="420" w:lineRule="exact"/>
        <w:rPr>
          <w:rFonts w:hint="eastAsia" w:ascii="微软雅黑" w:hAnsi="微软雅黑" w:cs="微软雅黑"/>
          <w:szCs w:val="21"/>
        </w:rPr>
      </w:pPr>
      <w:r>
        <w:rPr>
          <w:rFonts w:hint="eastAsia" w:ascii="微软雅黑" w:hAnsi="微软雅黑" w:cs="微软雅黑"/>
          <w:szCs w:val="21"/>
        </w:rPr>
        <w:t xml:space="preserve">1.5.1 具有独立于电脑的中央控制器，可以并行控制部件，操纵各硬件同步协调工作，时间精度≤1微秒；</w:t>
      </w:r>
      <w:r/>
    </w:p>
    <w:p>
      <w:pPr>
        <w:spacing w:line="420" w:lineRule="exact"/>
        <w:rPr>
          <w:rFonts w:hint="eastAsia" w:ascii="微软雅黑" w:hAnsi="微软雅黑" w:cs="微软雅黑"/>
          <w:szCs w:val="21"/>
        </w:rPr>
      </w:pPr>
      <w:r>
        <w:rPr>
          <w:rFonts w:hint="eastAsia" w:ascii="微软雅黑" w:hAnsi="微软雅黑" w:cs="微软雅黑"/>
          <w:szCs w:val="21"/>
        </w:rPr>
        <w:t xml:space="preserve">1.5.2 相机和激光高速Streaming同步成像，避免荧光淬灭；</w:t>
      </w:r>
      <w:r/>
    </w:p>
    <w:p>
      <w:pPr>
        <w:spacing w:line="420" w:lineRule="exact"/>
        <w:rPr>
          <w:rFonts w:hint="eastAsia" w:ascii="微软雅黑" w:hAnsi="微软雅黑" w:cs="微软雅黑"/>
          <w:szCs w:val="21"/>
        </w:rPr>
      </w:pPr>
      <w:r>
        <w:rPr>
          <w:rFonts w:hint="eastAsia" w:ascii="微软雅黑" w:hAnsi="微软雅黑" w:cs="微软雅黑"/>
          <w:szCs w:val="21"/>
        </w:rPr>
        <w:t xml:space="preserve">1.5.3 可连接 ≥20 个数字输出端口，用于同步触发光源、快门、相机和外部设备。</w:t>
      </w:r>
      <w:r/>
    </w:p>
    <w:p>
      <w:pPr>
        <w:spacing w:line="420" w:lineRule="exact"/>
        <w:rPr>
          <w:rFonts w:hint="eastAsia" w:ascii="微软雅黑" w:hAnsi="微软雅黑" w:cs="微软雅黑"/>
          <w:szCs w:val="21"/>
        </w:rPr>
      </w:pPr>
      <w:r>
        <w:rPr>
          <w:rFonts w:hint="eastAsia" w:ascii="微软雅黑" w:hAnsi="微软雅黑" w:cs="微软雅黑"/>
          <w:szCs w:val="21"/>
        </w:rPr>
        <w:t xml:space="preserve">2. 成像系统</w:t>
      </w:r>
      <w:r/>
    </w:p>
    <w:p>
      <w:pPr>
        <w:spacing w:line="420" w:lineRule="exact"/>
        <w:rPr>
          <w:rFonts w:hint="eastAsia" w:ascii="微软雅黑" w:hAnsi="微软雅黑" w:cs="微软雅黑"/>
          <w:szCs w:val="21"/>
        </w:rPr>
      </w:pPr>
      <w:r>
        <w:rPr>
          <w:rFonts w:hint="eastAsia" w:ascii="微软雅黑" w:hAnsi="微软雅黑" w:cs="微软雅黑"/>
          <w:b/>
          <w:bCs/>
          <w:szCs w:val="21"/>
          <w:highlight w:val="none"/>
        </w:rPr>
        <w:t xml:space="preserve">★</w:t>
      </w:r>
      <w:r>
        <w:rPr>
          <w:rFonts w:hint="eastAsia" w:ascii="微软雅黑" w:hAnsi="微软雅黑" w:cs="微软雅黑"/>
          <w:szCs w:val="21"/>
          <w:highlight w:val="none"/>
        </w:rPr>
        <w:t xml:space="preserve">2.1 扫描转盘要求针孔尺寸≤60 μm，针孔间距≥400 μm；</w:t>
      </w:r>
      <w:r>
        <w:rPr>
          <w:rFonts w:hint="eastAsia" w:ascii="微软雅黑" w:hAnsi="微软雅黑" w:cs="微软雅黑"/>
          <w:b/>
          <w:bCs/>
          <w:szCs w:val="21"/>
          <w:highlight w:val="none"/>
        </w:rPr>
        <w:t xml:space="preserve">（提供相关证明材料并加盖</w:t>
      </w:r>
      <w:r>
        <w:rPr>
          <w:rFonts w:hint="eastAsia" w:ascii="微软雅黑" w:hAnsi="微软雅黑" w:cs="微软雅黑"/>
          <w:b/>
          <w:bCs/>
          <w:szCs w:val="21"/>
        </w:rPr>
        <w:t xml:space="preserve">投标单位公章包括但不限于明确说明该技术内容的公开发行的产品彩页或产品说明书或第三方检测机构的检测报告等，自拟无效。）</w:t>
      </w:r>
      <w:r/>
    </w:p>
    <w:p>
      <w:pPr>
        <w:spacing w:line="420" w:lineRule="exact"/>
        <w:rPr>
          <w:rFonts w:hint="eastAsia" w:ascii="微软雅黑" w:hAnsi="微软雅黑" w:cs="微软雅黑"/>
          <w:szCs w:val="21"/>
        </w:rPr>
      </w:pPr>
      <w:r>
        <w:rPr>
          <w:rFonts w:hint="eastAsia" w:ascii="微软雅黑" w:hAnsi="微软雅黑" w:cs="微软雅黑"/>
          <w:szCs w:val="21"/>
        </w:rPr>
        <w:t xml:space="preserve">2.2 共聚焦扫描视场：对角线≥26 mm, 转盘转速≥15000 rpm, 全分辨率下扫描速度≥378 fps；</w:t>
      </w:r>
      <w:r/>
    </w:p>
    <w:p>
      <w:pPr>
        <w:spacing w:line="420" w:lineRule="exact"/>
        <w:rPr>
          <w:rFonts w:hint="eastAsia" w:ascii="微软雅黑" w:hAnsi="微软雅黑" w:cs="微软雅黑"/>
          <w:szCs w:val="21"/>
        </w:rPr>
      </w:pPr>
      <w:r>
        <w:rPr>
          <w:rFonts w:hint="eastAsia" w:ascii="微软雅黑" w:hAnsi="微软雅黑" w:cs="微软雅黑"/>
          <w:szCs w:val="21"/>
        </w:rPr>
        <w:t xml:space="preserve">2.3 二向色镜组，配有405/470/555/640 nm等激光专用二向色镜，镀膜平整性≥UF1；</w:t>
      </w:r>
      <w:r/>
    </w:p>
    <w:p>
      <w:pPr>
        <w:spacing w:line="420" w:lineRule="exact"/>
        <w:rPr>
          <w:rFonts w:hint="eastAsia" w:ascii="微软雅黑" w:hAnsi="微软雅黑" w:cs="微软雅黑"/>
          <w:szCs w:val="21"/>
        </w:rPr>
      </w:pPr>
      <w:r>
        <w:rPr>
          <w:rFonts w:hint="eastAsia" w:ascii="微软雅黑" w:hAnsi="微软雅黑" w:cs="微软雅黑"/>
          <w:szCs w:val="21"/>
        </w:rPr>
        <w:t xml:space="preserve">2.4配置电动5孔位发射滤色片转轮、带通发射滤光片DAPI ET440/40m、GFP ET510/50m、mCherry ET600/50m、CY5 ET700/75。全部发射滤光片镀膜截止率≥OD8，保证高速成像且避免荧光串色。</w:t>
      </w:r>
      <w:r/>
    </w:p>
    <w:p>
      <w:pPr>
        <w:spacing w:line="420" w:lineRule="exact"/>
        <w:rPr>
          <w:rFonts w:hint="eastAsia" w:ascii="微软雅黑" w:hAnsi="微软雅黑" w:cs="微软雅黑"/>
          <w:szCs w:val="21"/>
        </w:rPr>
      </w:pPr>
      <w:r>
        <w:rPr>
          <w:rFonts w:hint="eastAsia" w:ascii="微软雅黑" w:hAnsi="微软雅黑" w:cs="微软雅黑"/>
          <w:szCs w:val="21"/>
        </w:rPr>
        <w:t xml:space="preserve">2.5相机：</w:t>
      </w:r>
      <w:r>
        <w:rPr>
          <w:rFonts w:ascii="微软雅黑" w:hAnsi="微软雅黑" w:cs="微软雅黑"/>
          <w:szCs w:val="21"/>
        </w:rPr>
        <w:t xml:space="preserve">高灵敏度大靶面sCMOS</w:t>
      </w:r>
      <w:r>
        <w:rPr>
          <w:rFonts w:hint="eastAsia" w:ascii="微软雅黑" w:hAnsi="微软雅黑" w:cs="微软雅黑"/>
          <w:szCs w:val="21"/>
        </w:rPr>
        <w:t xml:space="preserve">，最高量子效率≥95%，视场数≥29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3. 研究级电动倒置荧光显微镜</w:t>
      </w:r>
      <w:r/>
    </w:p>
    <w:p>
      <w:pPr>
        <w:spacing w:line="420" w:lineRule="exact"/>
        <w:rPr>
          <w:rFonts w:hint="eastAsia" w:ascii="微软雅黑" w:hAnsi="微软雅黑" w:cs="微软雅黑"/>
          <w:szCs w:val="21"/>
        </w:rPr>
      </w:pPr>
      <w:r>
        <w:rPr>
          <w:rFonts w:hint="eastAsia" w:ascii="微软雅黑" w:hAnsi="微软雅黑" w:cs="微软雅黑"/>
          <w:b/>
          <w:bCs/>
          <w:szCs w:val="21"/>
          <w:highlight w:val="none"/>
        </w:rPr>
        <w:t xml:space="preserve">★</w:t>
      </w:r>
      <w:r>
        <w:rPr>
          <w:rFonts w:hint="eastAsia" w:ascii="微软雅黑" w:hAnsi="微软雅黑" w:cs="微软雅黑"/>
          <w:szCs w:val="21"/>
          <w:highlight w:val="none"/>
        </w:rPr>
        <w:t xml:space="preserve">3.1 光学系统：齐焦距离≤50 mm；</w:t>
      </w:r>
      <w:r>
        <w:rPr>
          <w:rFonts w:hint="eastAsia" w:ascii="微软雅黑" w:hAnsi="微软雅黑" w:cs="微软雅黑"/>
          <w:b/>
          <w:bCs/>
          <w:szCs w:val="21"/>
          <w:highlight w:val="none"/>
        </w:rPr>
        <w:t xml:space="preserve">（提供相关证明材料并加盖投标单位公章包括但不</w:t>
      </w:r>
      <w:r>
        <w:rPr>
          <w:rFonts w:hint="eastAsia" w:ascii="微软雅黑" w:hAnsi="微软雅黑" w:cs="微软雅黑"/>
          <w:b/>
          <w:bCs/>
          <w:szCs w:val="21"/>
        </w:rPr>
        <w:t xml:space="preserve">限于明确说明该技术内容的公开发行的产品彩页或产品说明书或第三方检测机构的检测报告等，自拟无效。）</w:t>
      </w:r>
      <w:r/>
    </w:p>
    <w:p>
      <w:pPr>
        <w:spacing w:line="420" w:lineRule="exact"/>
        <w:rPr>
          <w:rFonts w:hint="eastAsia" w:ascii="微软雅黑" w:hAnsi="微软雅黑" w:cs="微软雅黑"/>
          <w:szCs w:val="21"/>
        </w:rPr>
      </w:pPr>
      <w:r>
        <w:rPr>
          <w:rFonts w:hint="eastAsia" w:ascii="微软雅黑" w:hAnsi="微软雅黑" w:cs="微软雅黑"/>
          <w:b/>
          <w:bCs/>
          <w:szCs w:val="21"/>
        </w:rPr>
        <w:t xml:space="preserve">▲</w:t>
      </w:r>
      <w:r>
        <w:rPr>
          <w:rFonts w:hint="eastAsia" w:ascii="微软雅黑" w:hAnsi="微软雅黑" w:cs="微软雅黑"/>
          <w:szCs w:val="21"/>
        </w:rPr>
        <w:t xml:space="preserve">3.2 荧光系统：电动荧光激发块转盘≥7孔，可在同一激发转盘内一次装入实验所需带通滤色镜</w:t>
      </w:r>
      <w:r>
        <w:rPr>
          <w:rFonts w:ascii="微软雅黑" w:hAnsi="微软雅黑" w:cs="微软雅黑"/>
          <w:szCs w:val="21"/>
        </w:rPr>
        <w:t xml:space="preserve">，</w:t>
      </w:r>
      <w:r>
        <w:rPr>
          <w:rFonts w:hint="eastAsia" w:ascii="微软雅黑" w:hAnsi="微软雅黑" w:cs="微软雅黑"/>
          <w:szCs w:val="21"/>
        </w:rPr>
        <w:t xml:space="preserve">可观察DAPI、FITC、CY3和CY5等4种荧光信号；</w:t>
      </w:r>
      <w:r/>
    </w:p>
    <w:p>
      <w:pPr>
        <w:spacing w:line="420" w:lineRule="exact"/>
        <w:rPr>
          <w:rFonts w:hint="eastAsia" w:ascii="微软雅黑" w:hAnsi="微软雅黑" w:cs="微软雅黑"/>
          <w:szCs w:val="21"/>
        </w:rPr>
      </w:pPr>
      <w:r>
        <w:rPr>
          <w:rFonts w:hint="eastAsia" w:ascii="微软雅黑" w:hAnsi="微软雅黑" w:cs="微软雅黑"/>
          <w:b/>
          <w:bCs/>
          <w:szCs w:val="21"/>
        </w:rPr>
        <w:t xml:space="preserve">▲</w:t>
      </w:r>
      <w:r>
        <w:rPr>
          <w:rFonts w:hint="eastAsia" w:ascii="微软雅黑" w:hAnsi="微软雅黑" w:cs="微软雅黑"/>
          <w:szCs w:val="21"/>
        </w:rPr>
        <w:t xml:space="preserve">3.3 复消色差物镜：</w:t>
      </w:r>
      <w:r/>
    </w:p>
    <w:p>
      <w:pPr>
        <w:spacing w:line="420" w:lineRule="exact"/>
        <w:rPr>
          <w:rFonts w:hint="eastAsia" w:ascii="微软雅黑" w:hAnsi="微软雅黑" w:cs="微软雅黑"/>
          <w:szCs w:val="21"/>
        </w:rPr>
      </w:pPr>
      <w:r>
        <w:rPr>
          <w:rFonts w:hint="eastAsia" w:ascii="微软雅黑" w:hAnsi="微软雅黑" w:cs="微软雅黑"/>
          <w:szCs w:val="21"/>
        </w:rPr>
        <w:t xml:space="preserve">10X NA≥0.4，WD≥3.1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20X NA≥0.8，WD≥0.6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40X NA≥0.95，WD≥0.18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60X NA≥1.42，WD≥0.15 mm；</w:t>
      </w:r>
      <w:r/>
    </w:p>
    <w:p>
      <w:pPr>
        <w:spacing w:line="420" w:lineRule="exact"/>
        <w:rPr>
          <w:rFonts w:hint="eastAsia" w:ascii="微软雅黑" w:hAnsi="微软雅黑" w:cs="微软雅黑"/>
          <w:szCs w:val="21"/>
        </w:rPr>
      </w:pPr>
      <w:r>
        <w:rPr>
          <w:rFonts w:hint="eastAsia" w:ascii="微软雅黑" w:hAnsi="微软雅黑" w:cs="微软雅黑"/>
          <w:szCs w:val="21"/>
        </w:rPr>
        <w:t xml:space="preserve">3.4长工作距离万能聚光镜：5孔位, NA≥0.55；</w:t>
      </w:r>
      <w:r/>
    </w:p>
    <w:p>
      <w:pPr>
        <w:spacing w:line="420" w:lineRule="exact"/>
        <w:rPr>
          <w:rFonts w:hint="eastAsia" w:ascii="微软雅黑" w:hAnsi="微软雅黑" w:cs="微软雅黑"/>
          <w:szCs w:val="21"/>
        </w:rPr>
      </w:pPr>
      <w:r>
        <w:rPr>
          <w:rFonts w:hint="eastAsia" w:ascii="微软雅黑" w:hAnsi="微软雅黑" w:cs="微软雅黑"/>
          <w:b/>
          <w:bCs/>
          <w:szCs w:val="21"/>
          <w:highlight w:val="none"/>
        </w:rPr>
        <w:t xml:space="preserve">★</w:t>
      </w:r>
      <w:r>
        <w:rPr>
          <w:rFonts w:hint="eastAsia" w:ascii="微软雅黑" w:hAnsi="微软雅黑" w:cs="微软雅黑"/>
          <w:szCs w:val="21"/>
          <w:highlight w:val="none"/>
        </w:rPr>
        <w:t xml:space="preserve">3.5成像视野或视场≥26 </w:t>
      </w:r>
      <w:r>
        <w:rPr>
          <w:rFonts w:ascii="微软雅黑" w:hAnsi="微软雅黑" w:cs="微软雅黑"/>
          <w:szCs w:val="21"/>
          <w:highlight w:val="none"/>
        </w:rPr>
        <w:t xml:space="preserve">mm</w:t>
      </w:r>
      <w:r>
        <w:rPr>
          <w:rFonts w:hint="eastAsia" w:ascii="微软雅黑" w:hAnsi="微软雅黑" w:cs="微软雅黑"/>
          <w:szCs w:val="21"/>
          <w:highlight w:val="none"/>
        </w:rPr>
        <w:t xml:space="preserve">；</w:t>
      </w:r>
      <w:r>
        <w:rPr>
          <w:rFonts w:hint="eastAsia" w:ascii="微软雅黑" w:hAnsi="微软雅黑" w:cs="微软雅黑"/>
          <w:b/>
          <w:bCs/>
          <w:szCs w:val="21"/>
          <w:highlight w:val="none"/>
        </w:rPr>
        <w:t xml:space="preserve">（提供相关证明材料并加盖投标单位公章包括但不限于明</w:t>
      </w:r>
      <w:r>
        <w:rPr>
          <w:rFonts w:hint="eastAsia" w:ascii="微软雅黑" w:hAnsi="微软雅黑" w:cs="微软雅黑"/>
          <w:b/>
          <w:bCs/>
          <w:szCs w:val="21"/>
        </w:rPr>
        <w:t xml:space="preserve">确说明该技术内容的公开发行的产品彩页或产品说明书或第三方检测机构的检测报告等，自拟无效。）</w:t>
      </w:r>
      <w:r/>
    </w:p>
    <w:p>
      <w:pPr>
        <w:spacing w:line="420" w:lineRule="exact"/>
        <w:rPr>
          <w:rFonts w:hint="eastAsia" w:ascii="微软雅黑" w:hAnsi="微软雅黑" w:cs="微软雅黑"/>
          <w:szCs w:val="21"/>
        </w:rPr>
      </w:pPr>
      <w:r>
        <w:rPr>
          <w:rFonts w:hint="eastAsia" w:ascii="微软雅黑" w:hAnsi="微软雅黑" w:cs="微软雅黑"/>
          <w:szCs w:val="21"/>
        </w:rPr>
        <w:t xml:space="preserve">3.6 电动载物台和电动平台：最大行程≥114×75 mm行程；最大速度≥15 mm/s；</w:t>
      </w:r>
      <w:r/>
    </w:p>
    <w:p>
      <w:pPr>
        <w:spacing w:line="420" w:lineRule="exact"/>
        <w:rPr>
          <w:rFonts w:hint="eastAsia" w:ascii="微软雅黑" w:hAnsi="微软雅黑" w:cs="微软雅黑"/>
          <w:szCs w:val="21"/>
        </w:rPr>
      </w:pPr>
      <w:r>
        <w:rPr>
          <w:rFonts w:hint="eastAsia" w:ascii="微软雅黑" w:hAnsi="微软雅黑" w:cs="微软雅黑"/>
          <w:szCs w:val="21"/>
        </w:rPr>
        <w:t xml:space="preserve">3.7 荧光光源：长寿命宽光谱LED荧光光源，</w:t>
      </w:r>
      <w:r>
        <w:rPr>
          <w:rFonts w:ascii="微软雅黑" w:hAnsi="微软雅黑" w:cs="微软雅黑"/>
          <w:szCs w:val="21"/>
        </w:rPr>
        <w:t xml:space="preserve">寿命≥25,000小时，即开即用</w:t>
      </w:r>
      <w:r>
        <w:rPr>
          <w:rFonts w:hint="eastAsia" w:ascii="微软雅黑" w:hAnsi="微软雅黑" w:cs="微软雅黑"/>
          <w:szCs w:val="21"/>
        </w:rPr>
        <w:t xml:space="preserve">，无需预热；</w:t>
      </w:r>
      <w:r/>
    </w:p>
    <w:p>
      <w:pPr>
        <w:spacing w:line="420" w:lineRule="exact"/>
        <w:rPr>
          <w:rFonts w:hint="eastAsia" w:ascii="微软雅黑" w:hAnsi="微软雅黑" w:cs="微软雅黑"/>
          <w:szCs w:val="21"/>
        </w:rPr>
      </w:pPr>
      <w:r>
        <w:rPr>
          <w:rFonts w:hint="eastAsia" w:ascii="微软雅黑" w:hAnsi="微软雅黑" w:cs="微软雅黑"/>
          <w:szCs w:val="21"/>
        </w:rPr>
        <w:t xml:space="preserve">3.8 电脑：至少配置 CPU i7；内存32GB；SSD 512GB；HDD 2TB；显存 12GB。</w:t>
      </w:r>
      <w:r/>
    </w:p>
    <w:p>
      <w:pPr>
        <w:spacing w:line="420" w:lineRule="exact"/>
        <w:rPr>
          <w:rFonts w:hint="eastAsia" w:ascii="微软雅黑" w:hAnsi="微软雅黑" w:cs="微软雅黑"/>
          <w:szCs w:val="21"/>
        </w:rPr>
      </w:pPr>
      <w:r>
        <w:rPr>
          <w:rFonts w:hint="eastAsia" w:ascii="微软雅黑" w:hAnsi="微软雅黑" w:cs="微软雅黑"/>
          <w:szCs w:val="21"/>
        </w:rPr>
        <w:t xml:space="preserve">4. 数据分析和处理软件</w:t>
      </w:r>
      <w:r/>
    </w:p>
    <w:p>
      <w:pPr>
        <w:spacing w:line="420" w:lineRule="exact"/>
        <w:rPr>
          <w:rFonts w:hint="eastAsia" w:ascii="微软雅黑" w:hAnsi="微软雅黑" w:cs="微软雅黑"/>
          <w:szCs w:val="21"/>
        </w:rPr>
      </w:pPr>
      <w:r>
        <w:rPr>
          <w:rFonts w:hint="eastAsia" w:ascii="微软雅黑" w:hAnsi="微软雅黑" w:cs="微软雅黑"/>
          <w:szCs w:val="21"/>
        </w:rPr>
        <w:t xml:space="preserve">4.1 图像采集和系统自动控制，光路全电动控制切换，多维显微成像控制，可实现多时间、多通道荧光自动采集和处理；可控制和触发其他外部设备同步工作；</w:t>
      </w:r>
      <w:r/>
    </w:p>
    <w:p>
      <w:pPr>
        <w:spacing w:line="420" w:lineRule="exact"/>
        <w:rPr>
          <w:rFonts w:hint="eastAsia" w:ascii="微软雅黑" w:hAnsi="微软雅黑" w:cs="微软雅黑"/>
          <w:szCs w:val="21"/>
        </w:rPr>
      </w:pPr>
      <w:r>
        <w:rPr>
          <w:rFonts w:hint="eastAsia" w:ascii="微软雅黑" w:hAnsi="微软雅黑" w:cs="微软雅黑"/>
          <w:szCs w:val="21"/>
        </w:rPr>
        <w:t xml:space="preserve">4.2 具备实验功能，支持设计复杂流程实验，例如包括但不限于</w:t>
      </w:r>
      <w:r>
        <w:rPr>
          <w:rFonts w:ascii="微软雅黑" w:hAnsi="微软雅黑" w:cs="微软雅黑"/>
          <w:szCs w:val="21"/>
        </w:rPr>
        <w:t xml:space="preserve">在一次成像任务中，每个位点采用不同通道、不同物镜、不同曝光时间的采集，拍摄条件、参数和流程均可保存，并随时调用查看</w:t>
      </w:r>
      <w:r>
        <w:rPr>
          <w:rFonts w:hint="eastAsia" w:ascii="微软雅黑" w:hAnsi="微软雅黑" w:cs="微软雅黑"/>
          <w:szCs w:val="21"/>
        </w:rPr>
        <w:t xml:space="preserve">；</w:t>
      </w:r>
      <w:r/>
    </w:p>
    <w:p>
      <w:pPr>
        <w:spacing w:line="420" w:lineRule="exact"/>
        <w:rPr>
          <w:rFonts w:hint="eastAsia" w:ascii="微软雅黑" w:hAnsi="微软雅黑" w:cs="微软雅黑"/>
          <w:szCs w:val="21"/>
        </w:rPr>
      </w:pPr>
      <w:r>
        <w:rPr>
          <w:rFonts w:hint="eastAsia" w:ascii="微软雅黑" w:hAnsi="微软雅黑" w:cs="微软雅黑"/>
          <w:szCs w:val="21"/>
        </w:rPr>
        <w:t xml:space="preserve">4.3 可对单荧光通道图片和透射明场通道做色彩合成，具有自动匹配标尺功能。可以测量直线长度、面积等多个参数；所有测量结果均能导出到Excel文件。具备宏程序功能，可利用宏程序进行批处理文件；</w:t>
      </w:r>
      <w:r/>
    </w:p>
    <w:p>
      <w:pPr>
        <w:spacing w:line="420" w:lineRule="exact"/>
        <w:rPr>
          <w:rFonts w:hint="eastAsia" w:ascii="微软雅黑" w:hAnsi="微软雅黑" w:cs="微软雅黑"/>
          <w:szCs w:val="21"/>
        </w:rPr>
      </w:pPr>
      <w:r>
        <w:rPr>
          <w:rFonts w:hint="eastAsia" w:ascii="微软雅黑" w:hAnsi="微软雅黑" w:cs="微软雅黑"/>
          <w:szCs w:val="21"/>
        </w:rPr>
        <w:t xml:space="preserve">4.4 具备处理和测量功能，支持处理单一或复杂的多维图像数据，图像序列的分析和存档。分析值可报告到一个文本文件或直接导出，通过统计处理、线扫描图、强度随时间变化图和直方图等显示；</w:t>
      </w:r>
      <w:r/>
    </w:p>
    <w:p>
      <w:pPr>
        <w:pStyle w:val="1475"/>
        <w:ind w:firstLine="0"/>
        <w:spacing w:line="420" w:lineRule="exact"/>
        <w:rPr>
          <w:rFonts w:hint="eastAsia" w:ascii="微软雅黑" w:hAnsi="微软雅黑" w:cs="微软雅黑"/>
          <w:b/>
          <w:bCs/>
          <w:szCs w:val="21"/>
        </w:rPr>
      </w:pPr>
      <w:r>
        <w:rPr>
          <w:rFonts w:hint="eastAsia" w:ascii="微软雅黑" w:hAnsi="微软雅黑" w:cs="微软雅黑"/>
          <w:szCs w:val="21"/>
        </w:rPr>
        <w:t xml:space="preserve">4.5 具备三维数字迭代逆卷积图像处理功能。</w:t>
      </w:r>
      <w:r/>
    </w:p>
    <w:p>
      <w:pPr>
        <w:ind w:firstLine="420"/>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三、服务要求</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（1）技术培训：为采购方进行人员培训，提供不少于3年且每年不少于</w:t>
      </w:r>
      <w:r>
        <w:rPr>
          <w:rFonts w:hint="eastAsia" w:ascii="微软雅黑" w:hAnsi="微软雅黑" w:cs="微软雅黑"/>
          <w:szCs w:val="21"/>
        </w:rPr>
        <w:t xml:space="preserve">1</w:t>
      </w:r>
      <w:r>
        <w:rPr>
          <w:rFonts w:hint="eastAsia" w:ascii="微软雅黑" w:hAnsi="微软雅黑" w:cs="微软雅黑"/>
          <w:szCs w:val="21"/>
          <w:lang w:val="zh-CN"/>
        </w:rPr>
        <w:t xml:space="preserve">次的设备操作培训，培训人员</w:t>
      </w:r>
      <w:r>
        <w:rPr>
          <w:rFonts w:hint="eastAsia" w:ascii="微软雅黑" w:hAnsi="微软雅黑" w:cs="微软雅黑"/>
          <w:szCs w:val="21"/>
        </w:rPr>
        <w:t xml:space="preserve">数量</w:t>
      </w:r>
      <w:r>
        <w:rPr>
          <w:rFonts w:hint="eastAsia" w:ascii="微软雅黑" w:hAnsi="微软雅黑" w:cs="微软雅黑"/>
          <w:szCs w:val="21"/>
          <w:lang w:val="zh-CN"/>
        </w:rPr>
        <w:t xml:space="preserve">不低于</w:t>
      </w:r>
      <w:r>
        <w:rPr>
          <w:rFonts w:hint="eastAsia" w:ascii="微软雅黑" w:hAnsi="微软雅黑" w:cs="微软雅黑"/>
          <w:szCs w:val="21"/>
        </w:rPr>
        <w:t xml:space="preserve">2</w:t>
      </w:r>
      <w:r>
        <w:rPr>
          <w:rFonts w:hint="eastAsia" w:ascii="微软雅黑" w:hAnsi="微软雅黑" w:cs="微软雅黑"/>
          <w:szCs w:val="21"/>
          <w:lang w:val="zh-CN"/>
        </w:rPr>
        <w:t xml:space="preserve">人。</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w:t>
      </w:r>
      <w:r>
        <w:rPr>
          <w:rFonts w:hint="eastAsia" w:ascii="微软雅黑" w:hAnsi="微软雅黑" w:cs="微软雅黑"/>
          <w:szCs w:val="21"/>
        </w:rPr>
        <w:t xml:space="preserve">免费质保</w:t>
      </w:r>
      <w:r>
        <w:rPr>
          <w:rFonts w:hint="eastAsia" w:ascii="微软雅黑" w:hAnsi="微软雅黑" w:cs="微软雅黑"/>
          <w:szCs w:val="21"/>
          <w:lang w:val="zh-CN"/>
        </w:rPr>
        <w:t xml:space="preserve">期：</w:t>
      </w:r>
      <w:r>
        <w:rPr>
          <w:rFonts w:hint="eastAsia" w:ascii="微软雅黑" w:hAnsi="微软雅黑" w:cs="微软雅黑"/>
          <w:szCs w:val="21"/>
        </w:rPr>
        <w:t xml:space="preserve">质保期不低于3年，</w:t>
      </w:r>
      <w:r>
        <w:rPr>
          <w:rFonts w:hint="eastAsia" w:ascii="微软雅黑" w:hAnsi="微软雅黑" w:cs="微软雅黑"/>
          <w:szCs w:val="21"/>
          <w:lang w:val="zh-CN"/>
        </w:rPr>
        <w:t xml:space="preserve">自验收合格</w:t>
      </w:r>
      <w:r>
        <w:rPr>
          <w:rFonts w:hint="eastAsia" w:ascii="微软雅黑" w:hAnsi="微软雅黑" w:cs="微软雅黑"/>
          <w:szCs w:val="21"/>
        </w:rPr>
        <w:t xml:space="preserve">次日</w:t>
      </w:r>
      <w:r>
        <w:rPr>
          <w:rFonts w:hint="eastAsia" w:ascii="微软雅黑" w:hAnsi="微软雅黑" w:cs="微软雅黑"/>
          <w:szCs w:val="21"/>
          <w:lang w:val="zh-CN"/>
        </w:rPr>
        <w:t xml:space="preserve">起</w:t>
      </w:r>
      <w:r>
        <w:rPr>
          <w:rFonts w:hint="eastAsia" w:ascii="微软雅黑" w:hAnsi="微软雅黑" w:cs="微软雅黑"/>
          <w:szCs w:val="21"/>
        </w:rPr>
        <w:t xml:space="preserve">算</w:t>
      </w:r>
      <w:r>
        <w:rPr>
          <w:rFonts w:hint="eastAsia" w:ascii="微软雅黑" w:hAnsi="微软雅黑" w:cs="微软雅黑"/>
          <w:szCs w:val="21"/>
          <w:lang w:val="zh-CN"/>
        </w:rPr>
        <w:t xml:space="preserve">。</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（3）售后技术服务要求：接到故障通知后</w:t>
      </w:r>
      <w:r>
        <w:rPr>
          <w:rFonts w:hint="eastAsia" w:ascii="微软雅黑" w:hAnsi="微软雅黑" w:cs="微软雅黑"/>
          <w:szCs w:val="21"/>
        </w:rPr>
        <w:t xml:space="preserve">2</w:t>
      </w:r>
      <w:r>
        <w:rPr>
          <w:rFonts w:hint="eastAsia" w:ascii="微软雅黑" w:hAnsi="微软雅黑" w:cs="微软雅黑"/>
          <w:szCs w:val="21"/>
          <w:lang w:val="zh-CN"/>
        </w:rPr>
        <w:t xml:space="preserve">小时内作出答复，一般问题</w:t>
      </w:r>
      <w:r>
        <w:rPr>
          <w:rFonts w:hint="eastAsia" w:ascii="微软雅黑" w:hAnsi="微软雅黑" w:cs="微软雅黑"/>
          <w:szCs w:val="21"/>
        </w:rPr>
        <w:t xml:space="preserve">24 </w:t>
      </w:r>
      <w:r>
        <w:rPr>
          <w:rFonts w:hint="eastAsia" w:ascii="微软雅黑" w:hAnsi="微软雅黑" w:cs="微软雅黑"/>
          <w:szCs w:val="21"/>
          <w:lang w:val="zh-CN"/>
        </w:rPr>
        <w:t xml:space="preserve">小时之内解决；若采购方有需求，</w:t>
      </w:r>
      <w:r>
        <w:rPr>
          <w:rFonts w:hint="eastAsia" w:ascii="微软雅黑" w:hAnsi="微软雅黑" w:cs="微软雅黑"/>
          <w:szCs w:val="21"/>
        </w:rPr>
        <w:t xml:space="preserve">48</w:t>
      </w:r>
      <w:r>
        <w:rPr>
          <w:rFonts w:hint="eastAsia" w:ascii="微软雅黑" w:hAnsi="微软雅黑" w:cs="微软雅黑"/>
          <w:szCs w:val="21"/>
          <w:lang w:val="zh-CN"/>
        </w:rPr>
        <w:t xml:space="preserve">小时内到达现场解决；若遇重大问题在</w:t>
      </w:r>
      <w:r>
        <w:rPr>
          <w:rFonts w:hint="eastAsia" w:ascii="微软雅黑" w:hAnsi="微软雅黑" w:cs="微软雅黑"/>
          <w:szCs w:val="21"/>
        </w:rPr>
        <w:t xml:space="preserve">15天内</w:t>
      </w:r>
      <w:r>
        <w:rPr>
          <w:rFonts w:hint="eastAsia" w:ascii="微软雅黑" w:hAnsi="微软雅黑" w:cs="微软雅黑"/>
          <w:szCs w:val="21"/>
          <w:lang w:val="zh-CN"/>
        </w:rPr>
        <w:t xml:space="preserve">解决。</w:t>
      </w:r>
      <w:r/>
    </w:p>
    <w:p>
      <w:pPr>
        <w:ind w:firstLine="420"/>
        <w:spacing w:line="420" w:lineRule="exact"/>
        <w:rPr>
          <w:rFonts w:hint="eastAsia" w:ascii="微软雅黑" w:hAnsi="微软雅黑" w:cs="微软雅黑"/>
          <w:szCs w:val="21"/>
          <w:lang w:val="zh-CN"/>
        </w:rPr>
      </w:pPr>
      <w:r>
        <w:rPr>
          <w:rFonts w:hint="eastAsia" w:ascii="微软雅黑" w:hAnsi="微软雅黑" w:cs="微软雅黑"/>
          <w:b/>
          <w:bCs/>
          <w:szCs w:val="21"/>
          <w:lang w:val="zh-CN"/>
        </w:rPr>
        <w:t xml:space="preserve">四、安装要求</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按照国家现行行业规范标准进行安装，符合国家或行业质量检验评定标准，没有行业标准的产品，投标人应提供相关制造商标准。</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设备安装调试：设备到货后，卖方在接到通知的7个工作日内派人前往负责该设备的安装、调试和操作培训，直至达到各项验收指标合格。</w:t>
      </w:r>
      <w:r/>
    </w:p>
    <w:p>
      <w:pPr>
        <w:ind w:firstLine="420"/>
        <w:spacing w:line="420" w:lineRule="exact"/>
        <w:rPr>
          <w:rFonts w:hint="eastAsia" w:ascii="微软雅黑" w:hAnsi="微软雅黑" w:cs="微软雅黑"/>
          <w:szCs w:val="21"/>
          <w:lang w:val="zh-CN"/>
        </w:rPr>
      </w:pPr>
      <w:r>
        <w:rPr>
          <w:rFonts w:hint="eastAsia" w:ascii="微软雅黑" w:hAnsi="微软雅黑" w:cs="微软雅黑"/>
          <w:b/>
          <w:bCs/>
          <w:szCs w:val="21"/>
          <w:lang w:val="zh-CN"/>
        </w:rPr>
        <w:t xml:space="preserve">五、交货期、交货方式及交货地点</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 交货期：合同签订生效后，两个月内全部设备、材料运抵现场，并安装、调试结束，验收合格，交付买方使用。</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 交货方式：中标人在买方指定地点交货，并完成安装、调试。</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 交货地点：南京医科大学</w:t>
      </w:r>
      <w:r>
        <w:rPr>
          <w:rFonts w:hint="eastAsia" w:ascii="微软雅黑" w:hAnsi="微软雅黑" w:cs="微软雅黑"/>
          <w:szCs w:val="21"/>
        </w:rPr>
        <w:t xml:space="preserve">指定地点</w:t>
      </w:r>
      <w:r>
        <w:rPr>
          <w:rFonts w:hint="eastAsia" w:ascii="微软雅黑" w:hAnsi="微软雅黑" w:cs="微软雅黑"/>
          <w:szCs w:val="21"/>
          <w:lang w:val="zh-CN"/>
        </w:rPr>
        <w:t xml:space="preserve">。</w:t>
      </w:r>
      <w:r/>
    </w:p>
    <w:p>
      <w:pPr>
        <w:ind w:firstLine="420"/>
        <w:spacing w:line="420" w:lineRule="exact"/>
        <w:rPr>
          <w:rFonts w:hint="eastAsia" w:ascii="微软雅黑" w:hAnsi="微软雅黑" w:cs="微软雅黑"/>
          <w:b/>
          <w:bCs/>
          <w:szCs w:val="21"/>
          <w:lang w:val="zh-CN"/>
        </w:rPr>
      </w:pPr>
      <w:r>
        <w:rPr>
          <w:rFonts w:hint="eastAsia" w:ascii="微软雅黑" w:hAnsi="微软雅黑" w:cs="微软雅黑"/>
          <w:b/>
          <w:bCs/>
          <w:szCs w:val="21"/>
          <w:lang w:val="zh-CN"/>
        </w:rPr>
        <w:t xml:space="preserve">六、其他技术服务需求</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1、投标人须保证本次投标产品系优质材料和先进工艺制成新出厂的产品，且完全与投标文件所述相符。</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420" w:lineRule="exact"/>
        <w:rPr>
          <w:rFonts w:hint="eastAsia" w:ascii="微软雅黑" w:hAnsi="微软雅黑" w:cs="微软雅黑"/>
          <w:b/>
          <w:bCs/>
          <w:color w:val="ff0000"/>
          <w:szCs w:val="21"/>
          <w:lang w:val="zh-CN"/>
        </w:rPr>
      </w:pPr>
      <w:r>
        <w:rPr>
          <w:rFonts w:hint="eastAsia" w:ascii="微软雅黑" w:hAnsi="微软雅黑" w:cs="微软雅黑"/>
          <w:b/>
          <w:bCs/>
          <w:szCs w:val="21"/>
          <w:lang w:val="zh-CN"/>
        </w:rPr>
        <w:t xml:space="preserve">七、货款支付</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1、国产设备：货物交付、安装、调试且通过验收后一周内（遇寒暑假和法定节假日顺延），学校支付合同总金额的100%，付款之前需收到中标供应商开具的合法有效的相应全额发票。</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2、进口设备：</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（1）合同签订后，外贸代理公司提供受益人为南京医科大学的100%合同金额的预付款银行保函，保函有效期为     天（供货期＋2个月），银行保函服务费由中标单位承担。</w:t>
      </w:r>
      <w:r/>
    </w:p>
    <w:p>
      <w:pPr>
        <w:ind w:firstLine="420"/>
        <w:spacing w:line="420" w:lineRule="exact"/>
        <w:rPr>
          <w:rFonts w:hint="eastAsia" w:ascii="微软雅黑" w:hAnsi="微软雅黑" w:cs="微软雅黑"/>
          <w:b/>
          <w:bCs/>
          <w:szCs w:val="21"/>
          <w:lang w:val="zh-CN"/>
        </w:rPr>
      </w:pPr>
      <w:r>
        <w:rPr>
          <w:rFonts w:hint="eastAsia" w:ascii="微软雅黑" w:hAnsi="微软雅黑" w:cs="微软雅黑"/>
          <w:szCs w:val="21"/>
          <w:lang w:val="zh-CN"/>
        </w:rPr>
        <w:t xml:space="preserve">（2）外贸代理公司收到100%货款后按照合同办理相关进口手续，货到验收合格后由学校通知外贸代理公司一周内开具合法有效的全额发票，并支付100%货款至境外厂家。</w:t>
      </w:r>
      <w:r>
        <w:rPr>
          <w:rFonts w:hint="eastAsia" w:ascii="微软雅黑" w:hAnsi="微软雅黑" w:cs="微软雅黑"/>
          <w:b/>
          <w:bCs/>
          <w:szCs w:val="21"/>
          <w:lang w:val="zh-CN"/>
        </w:rPr>
        <w:t xml:space="preserve">八、缴纳履约保证金</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南京医科大学指定账户信息具体如下：</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单位名称：南京医科大学</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开 户 行：南京市工行汉中门支行                          </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账    号：4301010109001038622</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注：请在转账时备注“项目名称+履约保证金”字样。</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3、合同履行过程中，若经学校核实存在货物质量问题或中标供应商违约情形，学校有权在通知中标供应商后，从履约保证金中抵扣相应的补偿或赔偿款项。</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4、履约保证金退还流程</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（1）自货物验收合格之日起12个月后，中标供应商可向学校出具货物最终验收单，并同步提交填写完整的《履约保证金退还申请单》。</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（2）经最终用户签字确认，核实无质量问题且供应商无违约情形后，学校于确认完成后一个月内，将履约保证金一次性无息退还中标供应商。</w:t>
      </w:r>
      <w:r/>
    </w:p>
    <w:p>
      <w:pPr>
        <w:ind w:firstLine="420"/>
        <w:spacing w:line="420" w:lineRule="exact"/>
        <w:rPr>
          <w:rFonts w:hint="eastAsia" w:ascii="微软雅黑" w:hAnsi="微软雅黑" w:cs="微软雅黑"/>
          <w:b/>
          <w:bCs/>
          <w:szCs w:val="21"/>
        </w:rPr>
      </w:pPr>
      <w:r/>
      <w:bookmarkStart w:id="196" w:name="_Toc6924"/>
      <w:r>
        <w:rPr>
          <w:rFonts w:hint="eastAsia" w:ascii="微软雅黑" w:hAnsi="微软雅黑" w:cs="微软雅黑"/>
          <w:b/>
          <w:bCs/>
          <w:szCs w:val="21"/>
        </w:rPr>
        <w:t xml:space="preserve">九、投标报价要求</w:t>
      </w:r>
      <w:r/>
    </w:p>
    <w:p>
      <w:pPr>
        <w:spacing w:line="420" w:lineRule="exact"/>
        <w:rPr>
          <w:rFonts w:hint="eastAsia" w:ascii="微软雅黑" w:hAnsi="微软雅黑" w:cs="微软雅黑"/>
          <w:szCs w:val="21"/>
        </w:rPr>
      </w:pPr>
      <w:r>
        <w:rPr>
          <w:rFonts w:hint="eastAsia" w:ascii="微软雅黑" w:hAnsi="微软雅黑" w:cs="微软雅黑"/>
          <w:szCs w:val="21"/>
        </w:rPr>
        <w:t xml:space="preserve">1、所有投标响应均以人民币报价。供应商的投标响应报价应遵守</w:t>
      </w:r>
      <w:r>
        <w:rPr>
          <w:rFonts w:ascii="微软雅黑" w:hAnsi="微软雅黑" w:cs="微软雅黑"/>
          <w:szCs w:val="21"/>
        </w:rPr>
        <w:t xml:space="preserve">“中华</w:t>
      </w:r>
      <w:r>
        <w:rPr>
          <w:rFonts w:hint="eastAsia" w:ascii="微软雅黑" w:hAnsi="微软雅黑" w:cs="微软雅黑"/>
          <w:szCs w:val="21"/>
        </w:rPr>
        <w:t xml:space="preserve">人民共和国价格法</w:t>
      </w:r>
      <w:r>
        <w:rPr>
          <w:rFonts w:ascii="微软雅黑" w:hAnsi="微软雅黑" w:cs="微软雅黑"/>
          <w:szCs w:val="21"/>
        </w:rPr>
        <w:t xml:space="preserve">”。</w:t>
      </w:r>
      <w:r>
        <w:rPr>
          <w:rFonts w:hint="eastAsia" w:ascii="微软雅黑" w:hAnsi="微软雅黑" w:cs="微软雅黑"/>
          <w:szCs w:val="21"/>
        </w:rPr>
        <w:t xml:space="preserve">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spacing w:line="420" w:lineRule="exact"/>
        <w:rPr>
          <w:rFonts w:hint="eastAsia" w:ascii="微软雅黑" w:hAnsi="微软雅黑" w:cs="微软雅黑"/>
          <w:szCs w:val="21"/>
        </w:rPr>
      </w:pPr>
      <w:r>
        <w:rPr>
          <w:rFonts w:hint="eastAsia" w:ascii="微软雅黑" w:hAnsi="微软雅黑" w:cs="微软雅黑"/>
          <w:szCs w:val="21"/>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spacing w:line="420" w:lineRule="exact"/>
        <w:rPr>
          <w:rFonts w:hint="eastAsia" w:ascii="微软雅黑" w:hAnsi="微软雅黑" w:cs="微软雅黑"/>
          <w:szCs w:val="21"/>
        </w:rPr>
      </w:pPr>
      <w:r>
        <w:rPr>
          <w:rFonts w:hint="eastAsia" w:ascii="微软雅黑" w:hAnsi="微软雅黑" w:cs="微软雅黑"/>
          <w:szCs w:val="21"/>
        </w:rPr>
        <w:t xml:space="preserve">2、报价时应充分考虑所有可能影响到报价的因素，一旦评审结束最终成交，如发生漏、缺、少项都将被认为是成交供应商的报价让利行为，损失自负。</w:t>
      </w:r>
      <w:r/>
    </w:p>
    <w:p>
      <w:pPr>
        <w:spacing w:line="420" w:lineRule="exact"/>
        <w:rPr>
          <w:rFonts w:hint="eastAsia" w:ascii="微软雅黑" w:hAnsi="微软雅黑" w:cs="微软雅黑"/>
          <w:szCs w:val="21"/>
        </w:rPr>
      </w:pPr>
      <w:r>
        <w:rPr>
          <w:rFonts w:hint="eastAsia" w:ascii="微软雅黑" w:hAnsi="微软雅黑" w:cs="微软雅黑"/>
          <w:szCs w:val="21"/>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bookmarkEnd w:id="196"/>
      <w:r/>
      <w:r/>
    </w:p>
    <w:p>
      <w:pPr>
        <w:spacing w:line="420" w:lineRule="exact"/>
        <w:rPr>
          <w:rFonts w:hint="eastAsia" w:ascii="微软雅黑" w:hAnsi="微软雅黑" w:cs="微软雅黑"/>
          <w:b/>
          <w:bCs/>
          <w:szCs w:val="21"/>
        </w:rPr>
      </w:pPr>
      <w:r>
        <w:rPr>
          <w:rFonts w:hint="eastAsia" w:ascii="微软雅黑" w:hAnsi="微软雅黑" w:cs="微软雅黑"/>
          <w:b/>
          <w:bCs/>
          <w:szCs w:val="21"/>
        </w:rPr>
        <w:t xml:space="preserve">各档代理费率为:</w:t>
      </w:r>
      <w:r/>
    </w:p>
    <w:tbl>
      <w:tblPr>
        <w:tblStyle w:val="11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154"/>
              <w:ind w:left="0"/>
              <w:jc w:val="center"/>
              <w:spacing w:line="320" w:lineRule="exact"/>
              <w:rPr>
                <w:rFonts w:hint="eastAsia" w:ascii="微软雅黑" w:hAnsi="微软雅黑" w:cs="微软雅黑"/>
                <w:szCs w:val="21"/>
              </w:rPr>
            </w:pPr>
            <w:r>
              <w:rPr>
                <w:rFonts w:hint="eastAsia" w:ascii="微软雅黑" w:hAnsi="微软雅黑" w:cs="微软雅黑"/>
                <w:szCs w:val="21"/>
              </w:rPr>
              <w:t xml:space="preserve">合同价为20万美元及以上的，代理费率不高于上述代理费中最低一档。</w:t>
            </w:r>
            <w:r/>
          </w:p>
        </w:tc>
      </w:tr>
    </w:tbl>
    <w:p>
      <w:pPr>
        <w:ind w:firstLine="630"/>
        <w:jc w:val="left"/>
        <w:spacing w:line="360" w:lineRule="auto"/>
        <w:rPr>
          <w:rFonts w:hint="eastAsia" w:ascii="宋体" w:hAnsi="宋体" w:cs="宋体"/>
          <w:szCs w:val="21"/>
        </w:rPr>
      </w:pPr>
      <w:r>
        <w:rPr>
          <w:rFonts w:hint="eastAsia" w:ascii="宋体" w:hAnsi="宋体" w:cs="宋体"/>
          <w:szCs w:val="21"/>
        </w:rPr>
        <w:t xml:space="preserve">如潜在供应商所投产品为进口产品，请自行综合考虑外贸代理费等报价事宜。</w:t>
      </w:r>
      <w:bookmarkEnd w:id="194"/>
      <w:r/>
      <w:bookmarkEnd w:id="195"/>
      <w:r/>
      <w:r/>
    </w:p>
    <w:p>
      <w:pPr>
        <w:pStyle w:val="1147"/>
        <w:sectPr>
          <w:footnotePr/>
          <w:endnotePr/>
          <w:type w:val="nextPage"/>
          <w:pgSz w:w="11906" w:h="16838" w:orient="portrait"/>
          <w:pgMar w:top="1440" w:right="1803" w:bottom="1440" w:left="1803" w:header="851" w:footer="992" w:gutter="0"/>
          <w:cols w:num="1" w:sep="0" w:space="0" w:equalWidth="1"/>
          <w:docGrid w:linePitch="360"/>
        </w:sectPr>
      </w:pPr>
      <w:r/>
      <w:r/>
    </w:p>
    <w:p>
      <w:pPr>
        <w:pStyle w:val="1352"/>
        <w:spacing w:line="360" w:lineRule="exact"/>
        <w:widowControl/>
        <w:rPr>
          <w:rFonts w:hint="eastAsia" w:ascii="微软雅黑" w:hAnsi="微软雅黑" w:cs="微软雅黑"/>
          <w:szCs w:val="32"/>
        </w:rPr>
      </w:pPr>
      <w:r/>
      <w:bookmarkStart w:id="197" w:name="_Toc22291"/>
      <w:r/>
      <w:bookmarkStart w:id="198" w:name="_Toc22289"/>
      <w:r/>
      <w:bookmarkStart w:id="199" w:name="_Toc3579"/>
      <w:r>
        <w:rPr>
          <w:rFonts w:hint="eastAsia" w:ascii="微软雅黑" w:hAnsi="微软雅黑" w:cs="微软雅黑"/>
          <w:szCs w:val="32"/>
        </w:rPr>
        <w:t xml:space="preserve">第五章 采购合同</w:t>
      </w:r>
      <w:bookmarkEnd w:id="197"/>
      <w:r/>
      <w:bookmarkEnd w:id="198"/>
      <w:r/>
      <w:bookmarkEnd w:id="199"/>
      <w:r/>
      <w:bookmarkStart w:id="200" w:name="purchase_relation_name"/>
      <w:r/>
      <w:bookmarkEnd w:id="200"/>
      <w:r/>
      <w:bookmarkStart w:id="201" w:name="purchase_relation_tel"/>
      <w:r/>
      <w:bookmarkEnd w:id="201"/>
      <w:r/>
      <w:bookmarkStart w:id="202" w:name="suppliers_name_one"/>
      <w:r/>
      <w:bookmarkEnd w:id="202"/>
      <w:r/>
      <w:bookmarkStart w:id="203" w:name="purchase_one_start"/>
      <w:r/>
      <w:bookmarkEnd w:id="203"/>
      <w:r/>
      <w:bookmarkStart w:id="204" w:name="supplier_relation_name"/>
      <w:r/>
      <w:bookmarkEnd w:id="204"/>
      <w:r/>
      <w:bookmarkStart w:id="205" w:name="purchase_name_one"/>
      <w:r/>
      <w:bookmarkEnd w:id="205"/>
      <w:r/>
      <w:bookmarkStart w:id="206" w:name="supplier_relation_tel"/>
      <w:r/>
      <w:bookmarkEnd w:id="206"/>
      <w:r/>
      <w:bookmarkStart w:id="207" w:name="suppliers_name"/>
      <w:r/>
      <w:bookmarkEnd w:id="207"/>
      <w:r/>
      <w:r/>
    </w:p>
    <w:p>
      <w:pPr>
        <w:pStyle w:val="1157"/>
        <w:ind w:firstLine="482"/>
        <w:jc w:val="center"/>
        <w:spacing w:before="120" w:after="120" w:line="420" w:lineRule="exact"/>
        <w:rPr>
          <w:rFonts w:hint="eastAsia" w:ascii="微软雅黑" w:hAnsi="微软雅黑" w:cs="微软雅黑"/>
          <w:b/>
          <w:bCs/>
          <w:u w:val="single"/>
        </w:rPr>
      </w:pPr>
      <w:r>
        <w:rPr>
          <w:rFonts w:hint="eastAsia" w:hAnsi="宋体" w:eastAsia="宋体" w:cs="宋体"/>
          <w:b/>
          <w:bCs/>
          <w:sz w:val="24"/>
          <w:szCs w:val="28"/>
        </w:rPr>
        <w:t xml:space="preserve"> </w:t>
      </w:r>
      <w:r>
        <w:rPr>
          <w:rFonts w:hint="eastAsia" w:ascii="微软雅黑" w:hAnsi="微软雅黑" w:cs="微软雅黑"/>
          <w:b/>
          <w:bCs/>
        </w:rPr>
        <w:t xml:space="preserve"> </w:t>
      </w:r>
      <w:r>
        <w:rPr>
          <w:rFonts w:hint="eastAsia" w:ascii="微软雅黑" w:hAnsi="微软雅黑" w:cs="微软雅黑"/>
          <w:b/>
          <w:bCs/>
          <w:u w:val="single"/>
        </w:rPr>
        <w:t xml:space="preserve">南京医科大学生物医药分中心激光共聚焦显微镜采购项目合同</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甲方：（买方）_________         乙方：（卖方）_________ </w:t>
      </w:r>
      <w:r/>
    </w:p>
    <w:p>
      <w:pPr>
        <w:pStyle w:val="1157"/>
        <w:ind w:firstLine="420"/>
        <w:spacing w:before="120" w:after="120" w:line="420" w:lineRule="exact"/>
        <w:rPr>
          <w:rFonts w:hint="eastAsia" w:ascii="微软雅黑" w:hAnsi="微软雅黑" w:cs="微软雅黑"/>
          <w:u w:val="single"/>
        </w:rPr>
      </w:pPr>
      <w:r>
        <w:rPr>
          <w:rFonts w:hint="eastAsia" w:ascii="微软雅黑" w:hAnsi="微软雅黑" w:cs="微软雅黑"/>
        </w:rPr>
        <w:t xml:space="preserve">法定代表人：</w:t>
      </w:r>
      <w:r>
        <w:rPr>
          <w:rFonts w:hint="eastAsia" w:ascii="微软雅黑" w:hAnsi="微软雅黑" w:cs="微软雅黑"/>
          <w:u w:val="single"/>
        </w:rPr>
        <w:t xml:space="preserve">          </w:t>
      </w:r>
      <w:r>
        <w:rPr>
          <w:rFonts w:hint="eastAsia" w:ascii="微软雅黑" w:hAnsi="微软雅黑" w:cs="微软雅黑"/>
        </w:rPr>
        <w:t xml:space="preserve">         法定代表人：</w:t>
      </w:r>
      <w:r>
        <w:rPr>
          <w:rFonts w:hint="eastAsia" w:ascii="微软雅黑" w:hAnsi="微软雅黑" w:cs="微软雅黑"/>
          <w:u w:val="single"/>
        </w:rPr>
        <w:t xml:space="preserve">           </w:t>
      </w:r>
      <w:r/>
    </w:p>
    <w:p>
      <w:pPr>
        <w:pStyle w:val="1157"/>
        <w:ind w:firstLine="420"/>
        <w:spacing w:before="120" w:after="120" w:line="420" w:lineRule="exact"/>
        <w:rPr>
          <w:rFonts w:hint="eastAsia" w:ascii="微软雅黑" w:hAnsi="微软雅黑" w:cs="微软雅黑"/>
          <w:u w:val="single"/>
        </w:rPr>
      </w:pPr>
      <w:r>
        <w:rPr>
          <w:rFonts w:hint="eastAsia" w:ascii="微软雅黑" w:hAnsi="微软雅黑" w:cs="微软雅黑"/>
        </w:rPr>
        <w:t xml:space="preserve">地址：</w:t>
      </w:r>
      <w:r>
        <w:rPr>
          <w:rFonts w:hint="eastAsia" w:ascii="微软雅黑" w:hAnsi="微软雅黑" w:cs="微软雅黑"/>
          <w:u w:val="single"/>
        </w:rPr>
        <w:t xml:space="preserve">                </w:t>
      </w:r>
      <w:r>
        <w:rPr>
          <w:rFonts w:hint="eastAsia" w:ascii="微软雅黑" w:hAnsi="微软雅黑" w:cs="微软雅黑"/>
        </w:rPr>
        <w:t xml:space="preserve">         地址：</w:t>
      </w:r>
      <w:r>
        <w:rPr>
          <w:rFonts w:hint="eastAsia" w:ascii="微软雅黑" w:hAnsi="微软雅黑" w:cs="微软雅黑"/>
          <w:u w:val="single"/>
        </w:rPr>
        <w:t xml:space="preserve">                 </w:t>
      </w:r>
      <w:r/>
    </w:p>
    <w:p>
      <w:pPr>
        <w:pStyle w:val="1157"/>
        <w:ind w:firstLine="420"/>
        <w:spacing w:before="120" w:after="120" w:line="420" w:lineRule="exact"/>
        <w:rPr>
          <w:rFonts w:hint="eastAsia" w:ascii="微软雅黑" w:hAnsi="微软雅黑" w:cs="微软雅黑"/>
          <w:u w:val="single"/>
        </w:rPr>
      </w:pPr>
      <w:r>
        <w:rPr>
          <w:rFonts w:hint="eastAsia" w:ascii="微软雅黑" w:hAnsi="微软雅黑" w:cs="微软雅黑"/>
        </w:rPr>
        <w:t xml:space="preserve">联系人：</w:t>
      </w:r>
      <w:r>
        <w:rPr>
          <w:rFonts w:hint="eastAsia" w:ascii="微软雅黑" w:hAnsi="微软雅黑" w:cs="微软雅黑"/>
          <w:u w:val="single"/>
        </w:rPr>
        <w:t xml:space="preserve">              </w:t>
      </w:r>
      <w:r>
        <w:rPr>
          <w:rFonts w:hint="eastAsia" w:ascii="微软雅黑" w:hAnsi="微软雅黑" w:cs="微软雅黑"/>
        </w:rPr>
        <w:t xml:space="preserve">         联系人：</w:t>
      </w:r>
      <w:r>
        <w:rPr>
          <w:rFonts w:hint="eastAsia" w:ascii="微软雅黑" w:hAnsi="微软雅黑" w:cs="微软雅黑"/>
          <w:u w:val="single"/>
        </w:rPr>
        <w:t xml:space="preserve">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联系方式：</w:t>
      </w:r>
      <w:r>
        <w:rPr>
          <w:rFonts w:hint="eastAsia" w:ascii="微软雅黑" w:hAnsi="微软雅黑" w:cs="微软雅黑"/>
          <w:u w:val="single"/>
        </w:rPr>
        <w:t xml:space="preserve">            </w:t>
      </w:r>
      <w:r>
        <w:rPr>
          <w:rFonts w:hint="eastAsia" w:ascii="微软雅黑" w:hAnsi="微软雅黑" w:cs="微软雅黑"/>
        </w:rPr>
        <w:t xml:space="preserve">         联系方式：</w:t>
      </w:r>
      <w:r>
        <w:rPr>
          <w:rFonts w:hint="eastAsia" w:ascii="微软雅黑" w:hAnsi="微软雅黑" w:cs="微软雅黑"/>
          <w:u w:val="single"/>
        </w:rPr>
        <w:t xml:space="preserve">             </w:t>
      </w:r>
      <w:r>
        <w:rPr>
          <w:rFonts w:hint="eastAsia" w:ascii="微软雅黑" w:hAnsi="微软雅黑" w:cs="微软雅黑"/>
        </w:rPr>
        <w:t xml:space="preserve">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甲、乙双方根据南京医科大学生物医药分中心激光共聚焦显微镜采购项目公开招标的结果，本着自愿及平等互利的原则，就甲方向乙方购买本合同约定的货物事宜，签署本合同。</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一、货物内容、数量及金额</w:t>
      </w:r>
      <w:r/>
    </w:p>
    <w:tbl>
      <w:tblPr>
        <w:tblStyle w:val="1146"/>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1"/>
        <w:gridCol w:w="864"/>
        <w:gridCol w:w="864"/>
        <w:gridCol w:w="864"/>
        <w:gridCol w:w="871"/>
        <w:gridCol w:w="1357"/>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spacing w:line="420" w:lineRule="exact"/>
              <w:rPr>
                <w:rFonts w:hint="eastAsia" w:ascii="微软雅黑" w:hAnsi="微软雅黑" w:cs="微软雅黑"/>
                <w:b/>
                <w:szCs w:val="21"/>
              </w:rPr>
            </w:pPr>
            <w:r>
              <w:rPr>
                <w:rFonts w:hint="eastAsia" w:ascii="微软雅黑" w:hAnsi="微软雅黑" w:cs="微软雅黑"/>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b/>
                <w:szCs w:val="21"/>
              </w:rPr>
              <w:t xml:space="preserve">总价（人民币大写）：                         </w:t>
            </w:r>
            <w:r>
              <w:rPr>
                <w:rFonts w:hint="eastAsia" w:ascii="微软雅黑" w:hAnsi="微软雅黑" w:cs="微软雅黑"/>
                <w:szCs w:val="21"/>
              </w:rPr>
              <w:t xml:space="preserve">合计（小写）：</w:t>
            </w:r>
            <w:r/>
          </w:p>
          <w:p>
            <w:pPr>
              <w:jc w:val="center"/>
              <w:spacing w:line="420" w:lineRule="exact"/>
              <w:rPr>
                <w:rFonts w:hint="eastAsia" w:ascii="微软雅黑" w:hAnsi="微软雅黑" w:cs="微软雅黑"/>
                <w:szCs w:val="21"/>
              </w:rPr>
            </w:pPr>
            <w:r>
              <w:rPr>
                <w:rFonts w:hint="eastAsia" w:ascii="微软雅黑" w:hAnsi="微软雅黑" w:cs="微软雅黑"/>
                <w:szCs w:val="21"/>
              </w:rPr>
            </w:r>
            <w:r/>
          </w:p>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说明：</w:t>
            </w:r>
            <w:r/>
          </w:p>
          <w:p>
            <w:pPr>
              <w:spacing w:line="300" w:lineRule="exact"/>
              <w:rPr>
                <w:rFonts w:hint="eastAsia" w:ascii="宋体" w:hAnsi="宋体" w:cs="宋体"/>
                <w:szCs w:val="21"/>
              </w:rPr>
            </w:pPr>
            <w:r>
              <w:rPr>
                <w:rFonts w:hint="eastAsia" w:ascii="宋体" w:hAnsi="宋体" w:cs="宋体"/>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ascii="宋体" w:hAnsi="宋体" w:cs="宋体"/>
                <w:szCs w:val="21"/>
              </w:rPr>
              <w:t xml:space="preserve">。</w:t>
            </w:r>
            <w:r/>
          </w:p>
          <w:p>
            <w:pPr>
              <w:spacing w:line="300" w:lineRule="exact"/>
              <w:rPr>
                <w:rFonts w:hint="eastAsia" w:ascii="宋体" w:hAnsi="宋体" w:cs="宋体"/>
                <w:szCs w:val="21"/>
              </w:rPr>
            </w:pPr>
            <w:r>
              <w:rPr>
                <w:rFonts w:hint="eastAsia" w:ascii="宋体" w:hAnsi="宋体" w:cs="宋体"/>
                <w:szCs w:val="21"/>
              </w:rPr>
              <w:t xml:space="preserve">此外，</w:t>
            </w:r>
            <w:r/>
          </w:p>
          <w:p>
            <w:pPr>
              <w:spacing w:line="300" w:lineRule="exact"/>
              <w:rPr>
                <w:rFonts w:hint="eastAsia" w:ascii="宋体" w:hAnsi="宋体" w:cs="宋体"/>
                <w:szCs w:val="21"/>
              </w:rPr>
            </w:pPr>
            <w:r>
              <w:rPr>
                <w:rFonts w:hint="eastAsia" w:ascii="宋体" w:hAnsi="宋体" w:cs="宋体"/>
                <w:szCs w:val="21"/>
              </w:rPr>
              <w:t xml:space="preserve">（1）若合同在履行过程中因国家政策调整，不在进口货物免税清单内，加征的关税亦包含在本合同总价款中。</w:t>
            </w:r>
            <w:r/>
          </w:p>
          <w:p>
            <w:pPr>
              <w:spacing w:line="300" w:lineRule="exact"/>
              <w:rPr>
                <w:rFonts w:hint="eastAsia" w:ascii="宋体" w:hAnsi="宋体" w:cs="宋体"/>
                <w:szCs w:val="21"/>
              </w:rPr>
            </w:pPr>
            <w:r>
              <w:rPr>
                <w:rFonts w:hint="eastAsia" w:ascii="宋体" w:hAnsi="宋体" w:cs="宋体"/>
                <w:szCs w:val="21"/>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szCs w:val="21"/>
              </w:rPr>
            </w:pPr>
            <w:r>
              <w:rPr>
                <w:rFonts w:hint="eastAsia" w:ascii="宋体" w:hAnsi="宋体" w:cs="宋体"/>
                <w:szCs w:val="21"/>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szCs w:val="21"/>
              </w:rPr>
            </w:pPr>
            <w:r>
              <w:rPr>
                <w:rFonts w:hint="eastAsia" w:ascii="宋体" w:hAnsi="宋体" w:cs="宋体"/>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420" w:lineRule="exact"/>
              <w:rPr>
                <w:rFonts w:hint="eastAsia" w:ascii="微软雅黑" w:hAnsi="微软雅黑" w:cs="微软雅黑"/>
                <w:szCs w:val="21"/>
              </w:rPr>
            </w:pPr>
            <w:r>
              <w:rPr>
                <w:rFonts w:hint="eastAsia" w:ascii="宋体" w:hAnsi="宋体" w:cs="宋体"/>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二、结算方式</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2.1结算方式：</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A（国产设备）：货物交付、安装、调试且通过验收后一周内（遇寒暑假和法定节假日顺延），学校支付合同总金额的100%，付款之前需收到中标供应商开具的合法有效的相应全额发票。</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B（</w:t>
      </w:r>
      <w:r>
        <w:rPr>
          <w:rFonts w:hint="eastAsia" w:ascii="微软雅黑" w:hAnsi="微软雅黑" w:cs="微软雅黑"/>
          <w:spacing w:val="8"/>
        </w:rPr>
        <w:t xml:space="preserve">进口设备）</w:t>
      </w:r>
      <w:r>
        <w:rPr>
          <w:rFonts w:hint="eastAsia" w:ascii="微软雅黑" w:hAnsi="微软雅黑" w:cs="微软雅黑"/>
        </w:rPr>
        <w:t xml:space="preserve">：</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（1）合同签订后，外贸代理公司提供受益人为南京医科大学的100%合同金额的预付款银行保函，保函有效期为     天（供货期＋2个月），银行保函服务费由中标单位承担。</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lang w:val="zh-CN"/>
        </w:rPr>
        <w:t xml:space="preserve">（2）外贸代理公司收到100%货款后按照合同办理相关进口手续，货到验收合格后由学校通知外贸代理公司一周内开具合法有效的全额发票，并支付100%货款至境外厂家。</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2.2履约保证金（根据招标文件要求选用）</w:t>
      </w:r>
      <w:r/>
    </w:p>
    <w:p>
      <w:pPr>
        <w:pStyle w:val="1157"/>
        <w:ind w:firstLine="420"/>
        <w:spacing w:line="420" w:lineRule="exact"/>
        <w:rPr>
          <w:rFonts w:hint="eastAsia" w:ascii="微软雅黑" w:hAnsi="微软雅黑" w:cs="微软雅黑"/>
        </w:rPr>
      </w:pPr>
      <w:r>
        <w:rPr>
          <w:rFonts w:ascii="Wingdings 2" w:hAnsi="Wingdings 2" w:eastAsia="Wingdings 2" w:cs="Wingdings 2"/>
        </w:rPr>
        <w:t xml:space="preserve">£</w:t>
      </w:r>
      <w:r>
        <w:rPr>
          <w:rFonts w:hint="eastAsia" w:ascii="微软雅黑" w:hAnsi="微软雅黑" w:cs="微软雅黑"/>
        </w:rPr>
        <w:t xml:space="preserve">本项目不需要缴纳履约保证金。</w:t>
      </w:r>
      <w:r/>
    </w:p>
    <w:p>
      <w:pPr>
        <w:pStyle w:val="1157"/>
        <w:ind w:firstLine="420"/>
        <w:spacing w:line="420" w:lineRule="exact"/>
        <w:rPr>
          <w:rFonts w:hint="eastAsia" w:ascii="微软雅黑" w:hAnsi="微软雅黑" w:cs="微软雅黑"/>
        </w:rPr>
      </w:pPr>
      <w:r>
        <w:rPr>
          <w:rFonts w:ascii="Wingdings 2" w:hAnsi="Wingdings 2" w:eastAsia="Wingdings 2" w:cs="Wingdings 2"/>
        </w:rPr>
        <w:t xml:space="preserve">£</w:t>
      </w:r>
      <w:r>
        <w:rPr>
          <w:rFonts w:hint="eastAsia" w:ascii="微软雅黑" w:hAnsi="微软雅黑" w:cs="微软雅黑"/>
        </w:rPr>
        <w:t xml:space="preserve">本项目需要缴纳履约保证金，具体要求如下：</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南京医科大学指定账户信息具体如下：</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单位名称：南京医科大学</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开 户 行：南京市工行汉中门支行                          </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账    号：4301010109001038622</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注：请在转账时备注“项目名称+履约保证保金”字样。</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（2）合同履行过程中，若经甲方核实存在货物质量问题或乙方违约情形，甲方有权在通知乙方后，从履约保证金中抵扣相应的补偿或赔偿款项。</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2.3当采购数量与实际使用数量不一致时，乙方应根据实际使用量供货，合同的最终结算金额按实际使用量乘以本合同约定的成交单价进行计算。</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2.4乙方指定账户信息：</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开户行：</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户名：</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账号：</w:t>
      </w:r>
      <w:r/>
    </w:p>
    <w:p>
      <w:pPr>
        <w:pStyle w:val="1157"/>
        <w:ind w:firstLine="420"/>
        <w:spacing w:line="420" w:lineRule="exact"/>
        <w:rPr>
          <w:rFonts w:hint="eastAsia" w:ascii="微软雅黑" w:hAnsi="微软雅黑" w:cs="微软雅黑"/>
        </w:rPr>
      </w:pPr>
      <w:r>
        <w:rPr>
          <w:rFonts w:hint="eastAsia" w:ascii="微软雅黑" w:hAnsi="微软雅黑" w:cs="微软雅黑"/>
        </w:rPr>
        <w:t xml:space="preserve">上述账户信息，如有变更，乙方应在变更前3日内书面通知甲方。否则，由此产生的后果由乙方承担。</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三、交付方式、时间及地点</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w:t>
      </w:r>
      <w:r>
        <w:rPr>
          <w:rFonts w:hint="eastAsia" w:ascii="微软雅黑" w:hAnsi="微软雅黑" w:cs="微软雅黑"/>
          <w:szCs w:val="21"/>
        </w:rPr>
        <w:t xml:space="preserve">1</w:t>
      </w:r>
      <w:r>
        <w:rPr>
          <w:rFonts w:hint="eastAsia" w:ascii="微软雅黑" w:hAnsi="微软雅黑" w:cs="微软雅黑"/>
          <w:szCs w:val="21"/>
          <w:lang w:val="zh-CN"/>
        </w:rPr>
        <w:t xml:space="preserve">）交货期：合同签订生效后，设备两个月内全部设备、材料运抵现场，并安装、调试结束，验收合格，交付采购方使用。</w:t>
      </w:r>
      <w:r/>
    </w:p>
    <w:p>
      <w:pPr>
        <w:ind w:firstLine="420"/>
        <w:spacing w:line="420" w:lineRule="exact"/>
        <w:rPr>
          <w:rFonts w:hint="eastAsia" w:ascii="微软雅黑" w:hAnsi="微软雅黑" w:cs="微软雅黑"/>
          <w:szCs w:val="21"/>
          <w:lang w:val="zh-CN"/>
        </w:rPr>
      </w:pPr>
      <w:r>
        <w:rPr>
          <w:rFonts w:hint="eastAsia" w:ascii="微软雅黑" w:hAnsi="微软雅黑" w:cs="微软雅黑"/>
          <w:szCs w:val="21"/>
          <w:lang w:val="zh-CN"/>
        </w:rPr>
        <w:t xml:space="preserve">（</w:t>
      </w:r>
      <w:r>
        <w:rPr>
          <w:rFonts w:hint="eastAsia" w:ascii="微软雅黑" w:hAnsi="微软雅黑" w:cs="微软雅黑"/>
          <w:szCs w:val="21"/>
        </w:rPr>
        <w:t xml:space="preserve">2</w:t>
      </w:r>
      <w:r>
        <w:rPr>
          <w:rFonts w:hint="eastAsia" w:ascii="微软雅黑" w:hAnsi="微软雅黑" w:cs="微软雅黑"/>
          <w:szCs w:val="21"/>
          <w:lang w:val="zh-CN"/>
        </w:rPr>
        <w:t xml:space="preserve">）交货方式：中标人在采购方指定地点交货，并完成安装、调试。</w:t>
      </w:r>
      <w:r/>
    </w:p>
    <w:p>
      <w:pPr>
        <w:pStyle w:val="1157"/>
        <w:ind w:firstLine="420"/>
        <w:spacing w:before="120" w:after="120" w:line="420" w:lineRule="exact"/>
        <w:rPr>
          <w:rFonts w:hint="eastAsia" w:ascii="微软雅黑" w:hAnsi="微软雅黑" w:cs="微软雅黑"/>
          <w:b/>
          <w:bCs/>
          <w:lang w:val="zh-CN"/>
        </w:rPr>
      </w:pPr>
      <w:r>
        <w:rPr>
          <w:rFonts w:hint="eastAsia" w:ascii="微软雅黑" w:hAnsi="微软雅黑" w:cs="微软雅黑"/>
          <w:lang w:val="zh-CN"/>
        </w:rPr>
        <w:t xml:space="preserve">（</w:t>
      </w:r>
      <w:r>
        <w:rPr>
          <w:rFonts w:hint="eastAsia" w:ascii="微软雅黑" w:hAnsi="微软雅黑" w:cs="微软雅黑"/>
        </w:rPr>
        <w:t xml:space="preserve">3</w:t>
      </w:r>
      <w:r>
        <w:rPr>
          <w:rFonts w:hint="eastAsia" w:ascii="微软雅黑" w:hAnsi="微软雅黑" w:cs="微软雅黑"/>
          <w:lang w:val="zh-CN"/>
        </w:rPr>
        <w:t xml:space="preserve">）交货地点：南京医科大学指定地点。</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四、货物包装、发运及运输</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4.1 乙方应在货物发运前根据运输距离、防潮、防震、防锈和防破损装卸等要求进行相应的包装，以保证货物安全运达甲方指定地点。</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4.2 使用说明书、质量检验证明书、随配附件和工具以及清单一并附于货物内。</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4.3 乙方在货物发运手续办理完毕后24小时内或货到甲方48小时前通知甲方，以准备接货。</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4.4 货物在交付甲方前发生的风险均由乙方负责。</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b/>
        </w:rPr>
        <w:t xml:space="preserve">五、质量保证及售后服务</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5.3上述货物的质保期</w:t>
      </w:r>
      <w:r>
        <w:rPr>
          <w:rFonts w:hint="eastAsia" w:ascii="微软雅黑" w:hAnsi="微软雅黑" w:cs="微软雅黑"/>
          <w:u w:val="single"/>
        </w:rPr>
        <w:t xml:space="preserve">     </w:t>
      </w:r>
      <w:r>
        <w:rPr>
          <w:rFonts w:hint="eastAsia" w:ascii="微软雅黑" w:hAnsi="微软雅黑" w:cs="微软雅黑"/>
        </w:rPr>
        <w:t xml:space="preserve">年。（自交货验收合格次日起计算），因人为因素出现的故障不在免费保修范围内。</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5.5 在质保期内，乙方应对货物出现的质量及安全问题负责处理解决并承担一切费用。</w:t>
      </w:r>
      <w:r/>
    </w:p>
    <w:p>
      <w:pPr>
        <w:pStyle w:val="1157"/>
        <w:ind w:firstLine="315"/>
        <w:spacing w:before="120" w:after="120" w:line="420" w:lineRule="exact"/>
        <w:rPr>
          <w:rFonts w:hint="eastAsia" w:ascii="微软雅黑" w:hAnsi="微软雅黑" w:cs="微软雅黑"/>
        </w:rPr>
      </w:pPr>
      <w:r>
        <w:rPr>
          <w:rFonts w:hint="eastAsia" w:ascii="微软雅黑" w:hAnsi="微软雅黑" w:cs="微软雅黑"/>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六、调试和验收</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6.1 乙方交货前应对货物全面检查并对验收文件进行整理，列出清单提交甲方，检验的结果亦应随货物交甲方。</w:t>
      </w:r>
      <w:r/>
    </w:p>
    <w:p>
      <w:pPr>
        <w:pStyle w:val="1157"/>
        <w:ind w:firstLine="420"/>
        <w:spacing w:before="120" w:after="120" w:line="420" w:lineRule="exact"/>
        <w:rPr>
          <w:rFonts w:hint="eastAsia" w:ascii="微软雅黑" w:hAnsi="微软雅黑" w:cs="微软雅黑"/>
          <w:u w:val="single"/>
        </w:rPr>
      </w:pPr>
      <w:r>
        <w:rPr>
          <w:rFonts w:hint="eastAsia" w:ascii="微软雅黑" w:hAnsi="微软雅黑" w:cs="微软雅黑"/>
        </w:rPr>
        <w:t xml:space="preserve">6.2 甲方对乙方提供的货物在使用前进行调试时，乙方需负责安装并培训甲方的使用操作人员，并协助甲方一起调试，直到符合技术要求。</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6.3 在安装、调试和验收过程中，如发现有漏件、缺件，乙方应无条件、无偿补齐，所发生的一切费用，视为已包含在投标时的投标报价中，且并不因此而影响交付甲方使用的时间。</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6.5 设备、材料安装、调试结束，甲、乙双方派员共同验收，达到验收标准则验收合格。验收完毕后出具验收结果报告并经双方签字确认；验收相关费用由乙方承担。</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七、技术资料</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rPr>
        <w:t xml:space="preserve">7.1乙方应按招标文件规定的时间向甲方提供使用货物的有关技术资料。</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八、知识产权</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九、违约责任</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9.2 乙方履约的前提下，甲方无故迟延支付货款的,甲方应按逾期付款总额每日万分之五向乙方支付违约金。</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9.8 乙方履行义务不符合合同约定时，甲方有权扣减总货款的10%作为违约金。</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十、不可抗力事件处理</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10.1 在合同有效期内，任何一方因不可抗力事件导致不能履行合同，则合同履行期可延长，其延长期与不可抗力影响期相同。</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10.2 不可抗力事件发生后，应立即通知对方，并寄送有关权威机构出具的证明。</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10.3 不可抗力事件延续30天以上，双方应通过友好协商，确定是否继续履行合同。</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十一、诉讼</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157"/>
        <w:ind w:firstLine="420"/>
        <w:spacing w:before="120" w:after="120" w:line="420" w:lineRule="exact"/>
        <w:rPr>
          <w:rFonts w:hint="eastAsia" w:ascii="微软雅黑" w:hAnsi="微软雅黑" w:cs="微软雅黑"/>
          <w:b/>
        </w:rPr>
      </w:pPr>
      <w:r>
        <w:rPr>
          <w:rFonts w:hint="eastAsia" w:ascii="微软雅黑" w:hAnsi="微软雅黑" w:cs="微软雅黑"/>
          <w:b/>
        </w:rPr>
        <w:t xml:space="preserve">十二、合同生效及其它</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12.1招投标文件、中标通知书作为合同的附件，与本合同具有同等法律效力。合同经双方法定代表人或授权委托代表人签字、盖章后生效。</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12.2本合同未尽事宜，遵照《中华人民共和国民法典》有关条文执行。</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12.3 本合同正本一式</w:t>
      </w:r>
      <w:r>
        <w:rPr>
          <w:rFonts w:hint="eastAsia" w:ascii="微软雅黑" w:hAnsi="微软雅黑" w:cs="微软雅黑"/>
          <w:u w:val="single"/>
        </w:rPr>
        <w:t xml:space="preserve">     </w:t>
      </w:r>
      <w:r>
        <w:rPr>
          <w:rFonts w:hint="eastAsia" w:ascii="微软雅黑" w:hAnsi="微软雅黑" w:cs="微软雅黑"/>
        </w:rPr>
        <w:t xml:space="preserve">份，甲方</w:t>
      </w:r>
      <w:r>
        <w:rPr>
          <w:rFonts w:hint="eastAsia" w:ascii="微软雅黑" w:hAnsi="微软雅黑" w:cs="微软雅黑"/>
          <w:u w:val="single"/>
        </w:rPr>
        <w:t xml:space="preserve">     </w:t>
      </w:r>
      <w:r>
        <w:rPr>
          <w:rFonts w:hint="eastAsia" w:ascii="微软雅黑" w:hAnsi="微软雅黑" w:cs="微软雅黑"/>
        </w:rPr>
        <w:t xml:space="preserve">份，乙方</w:t>
      </w:r>
      <w:r>
        <w:rPr>
          <w:rFonts w:hint="eastAsia" w:ascii="微软雅黑" w:hAnsi="微软雅黑" w:cs="微软雅黑"/>
          <w:u w:val="single"/>
        </w:rPr>
        <w:t xml:space="preserve">    </w:t>
      </w:r>
      <w:r>
        <w:rPr>
          <w:rFonts w:hint="eastAsia" w:ascii="微软雅黑" w:hAnsi="微软雅黑" w:cs="微软雅黑"/>
        </w:rPr>
        <w:t xml:space="preserve">份，具有同等法律效力。</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12.4 其他：</w:t>
      </w:r>
      <w:r>
        <w:rPr>
          <w:rFonts w:hint="eastAsia" w:ascii="微软雅黑" w:hAnsi="微软雅黑" w:cs="微软雅黑"/>
          <w:u w:val="single"/>
        </w:rPr>
        <w:t xml:space="preserve">                                              </w:t>
      </w:r>
      <w:r>
        <w:rPr>
          <w:rFonts w:hint="eastAsia" w:ascii="微软雅黑" w:hAnsi="微软雅黑" w:cs="微软雅黑"/>
        </w:rPr>
        <w:t xml:space="preserve">。 </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（以下无正文，为签字盖章处）</w:t>
      </w:r>
      <w:r/>
    </w:p>
    <w:p>
      <w:pPr>
        <w:pStyle w:val="1157"/>
        <w:ind w:firstLine="420"/>
        <w:spacing w:before="120" w:after="120" w:line="420" w:lineRule="exact"/>
        <w:rPr>
          <w:rFonts w:hint="eastAsia" w:ascii="微软雅黑" w:hAnsi="微软雅黑" w:cs="微软雅黑"/>
        </w:rPr>
      </w:pPr>
      <w:r>
        <w:rPr>
          <w:rFonts w:hint="eastAsia" w:ascii="微软雅黑" w:hAnsi="微软雅黑" w:cs="微软雅黑"/>
        </w:rPr>
        <w:t xml:space="preserve">   </w:t>
      </w:r>
      <w:r/>
    </w:p>
    <w:p>
      <w:pPr>
        <w:pStyle w:val="1157"/>
        <w:spacing w:before="120" w:after="120" w:line="420" w:lineRule="exact"/>
        <w:rPr>
          <w:rFonts w:hint="eastAsia" w:ascii="微软雅黑" w:hAnsi="微软雅黑" w:cs="微软雅黑"/>
        </w:rPr>
      </w:pPr>
      <w:r>
        <w:rPr>
          <w:rFonts w:hint="eastAsia" w:ascii="微软雅黑" w:hAnsi="微软雅黑" w:cs="微软雅黑"/>
        </w:rPr>
      </w:r>
      <w:r/>
    </w:p>
    <w:p>
      <w:pPr>
        <w:pStyle w:val="1157"/>
        <w:spacing w:before="120" w:after="120" w:line="420" w:lineRule="exact"/>
        <w:rPr>
          <w:rFonts w:hint="eastAsia" w:ascii="微软雅黑" w:hAnsi="微软雅黑" w:cs="微软雅黑"/>
        </w:rPr>
      </w:pPr>
      <w:r>
        <w:rPr>
          <w:rFonts w:hint="eastAsia" w:ascii="微软雅黑" w:hAnsi="微软雅黑" w:cs="微软雅黑"/>
        </w:rPr>
        <w:t xml:space="preserve">甲方： 南京医科大学（盖章）                 乙方： （盖章）</w:t>
      </w:r>
      <w:r/>
    </w:p>
    <w:p>
      <w:pPr>
        <w:pStyle w:val="1157"/>
        <w:spacing w:before="120" w:after="120" w:line="420" w:lineRule="exact"/>
        <w:rPr>
          <w:rFonts w:hint="eastAsia" w:ascii="微软雅黑" w:hAnsi="微软雅黑" w:cs="微软雅黑"/>
        </w:rPr>
      </w:pPr>
      <w:r>
        <w:rPr>
          <w:rFonts w:hint="eastAsia" w:ascii="微软雅黑" w:hAnsi="微软雅黑" w:cs="微软雅黑"/>
        </w:rPr>
        <w:t xml:space="preserve">地址：南京市江宁区龙眠大道101号            地址： </w:t>
      </w:r>
      <w:r/>
    </w:p>
    <w:p>
      <w:pPr>
        <w:pStyle w:val="1157"/>
        <w:spacing w:before="120" w:after="120" w:line="420" w:lineRule="exact"/>
        <w:rPr>
          <w:rFonts w:hint="eastAsia" w:ascii="微软雅黑" w:hAnsi="微软雅黑" w:cs="微软雅黑"/>
        </w:rPr>
      </w:pPr>
      <w:r>
        <w:rPr>
          <w:rFonts w:hint="eastAsia" w:ascii="微软雅黑" w:hAnsi="微软雅黑" w:cs="微软雅黑"/>
        </w:rPr>
        <w:t xml:space="preserve">法定代表人/授权代表：（签字）               法定代表人/授权代表：（签字）</w:t>
      </w:r>
      <w:r/>
    </w:p>
    <w:p>
      <w:pPr>
        <w:pStyle w:val="1157"/>
        <w:spacing w:before="120" w:after="120" w:line="420" w:lineRule="exact"/>
        <w:rPr>
          <w:rFonts w:hint="eastAsia" w:ascii="微软雅黑" w:hAnsi="微软雅黑" w:cs="微软雅黑"/>
        </w:rPr>
      </w:pPr>
      <w:r>
        <w:rPr>
          <w:rFonts w:hint="eastAsia" w:ascii="微软雅黑" w:hAnsi="微软雅黑" w:cs="微软雅黑"/>
        </w:rPr>
        <w:t xml:space="preserve">签订日期：   年    月    日                 签订日期：   年    月    日</w:t>
      </w:r>
      <w:r/>
    </w:p>
    <w:p>
      <w:pPr>
        <w:jc w:val="left"/>
        <w:spacing w:line="420" w:lineRule="exact"/>
        <w:rPr>
          <w:rFonts w:hint="eastAsia" w:ascii="微软雅黑" w:hAnsi="微软雅黑" w:cs="微软雅黑"/>
          <w:szCs w:val="21"/>
          <w:lang w:val="zh-CN"/>
        </w:rPr>
      </w:pPr>
      <w:r>
        <w:rPr>
          <w:rFonts w:hint="eastAsia" w:ascii="微软雅黑" w:hAnsi="微软雅黑" w:cs="微软雅黑"/>
          <w:szCs w:val="21"/>
        </w:rPr>
        <w:t xml:space="preserve">附件1：分项报价表</w:t>
      </w:r>
      <w:r/>
    </w:p>
    <w:tbl>
      <w:tblPr>
        <w:tblStyle w:val="11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单价</w:t>
            </w:r>
            <w:r/>
          </w:p>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总价</w:t>
            </w:r>
            <w:r/>
          </w:p>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bl>
    <w:p>
      <w:pPr>
        <w:spacing w:line="420" w:lineRule="exact"/>
        <w:rPr>
          <w:rFonts w:hint="eastAsia" w:ascii="微软雅黑" w:hAnsi="微软雅黑" w:cs="微软雅黑"/>
          <w:szCs w:val="21"/>
        </w:rPr>
      </w:pPr>
      <w:r>
        <w:rPr>
          <w:rFonts w:hint="eastAsia" w:ascii="微软雅黑" w:hAnsi="微软雅黑" w:cs="微软雅黑"/>
          <w:szCs w:val="21"/>
        </w:rPr>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附件2：货物配置清单</w:t>
      </w:r>
      <w:r/>
    </w:p>
    <w:p>
      <w:pPr>
        <w:pStyle w:val="1154"/>
        <w:ind w:left="0"/>
        <w:spacing w:line="420" w:lineRule="exact"/>
        <w:rPr>
          <w:rFonts w:hint="eastAsia" w:ascii="微软雅黑" w:hAnsi="微软雅黑" w:cs="微软雅黑"/>
          <w:szCs w:val="21"/>
        </w:rPr>
      </w:pPr>
      <w:r>
        <w:rPr>
          <w:rFonts w:hint="eastAsia" w:ascii="微软雅黑" w:hAnsi="微软雅黑" w:cs="微软雅黑"/>
          <w:szCs w:val="21"/>
        </w:rPr>
        <w:t xml:space="preserve">附件3：履约保证金退还申请单</w:t>
      </w:r>
      <w:r/>
    </w:p>
    <w:p>
      <w:pPr>
        <w:spacing w:line="420" w:lineRule="exact"/>
        <w:rPr>
          <w:rFonts w:hint="eastAsia" w:ascii="微软雅黑" w:hAnsi="微软雅黑" w:cs="微软雅黑"/>
          <w:szCs w:val="21"/>
        </w:rPr>
      </w:pPr>
      <w:r>
        <w:rPr>
          <w:rFonts w:hint="eastAsia" w:ascii="微软雅黑" w:hAnsi="微软雅黑" w:cs="微软雅黑"/>
          <w:szCs w:val="21"/>
        </w:rPr>
        <w:t xml:space="preserve">制表单位：                                               </w:t>
      </w:r>
      <w:r/>
    </w:p>
    <w:tbl>
      <w:tblPr>
        <w:tblStyle w:val="1146"/>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自验收合格之日起，已正常使用满一年且无违约情况发生。</w:t>
            </w:r>
            <w:r/>
          </w:p>
          <w:p>
            <w:pPr>
              <w:spacing w:line="420" w:lineRule="exact"/>
              <w:rPr>
                <w:rFonts w:hint="eastAsia" w:ascii="微软雅黑" w:hAnsi="微软雅黑" w:cs="微软雅黑"/>
                <w:szCs w:val="21"/>
              </w:rPr>
            </w:pPr>
            <w:r>
              <w:rPr>
                <w:rFonts w:hint="eastAsia" w:ascii="微软雅黑" w:hAnsi="微软雅黑" w:cs="微软雅黑"/>
                <w:szCs w:val="21"/>
              </w:rPr>
            </w:r>
            <w:r/>
          </w:p>
          <w:p>
            <w:pPr>
              <w:ind w:right="960" w:firstLine="315"/>
              <w:jc w:val="center"/>
              <w:spacing w:line="420" w:lineRule="exact"/>
              <w:rPr>
                <w:rFonts w:hint="eastAsia" w:ascii="微软雅黑" w:hAnsi="微软雅黑" w:cs="微软雅黑"/>
                <w:szCs w:val="21"/>
              </w:rPr>
            </w:pPr>
            <w:r>
              <w:rPr>
                <w:rFonts w:hint="eastAsia" w:ascii="微软雅黑" w:hAnsi="微软雅黑" w:cs="微软雅黑"/>
                <w:szCs w:val="21"/>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p>
            <w:pPr>
              <w:spacing w:line="420" w:lineRule="exact"/>
              <w:rPr>
                <w:rFonts w:hint="eastAsia" w:ascii="微软雅黑" w:hAnsi="微软雅黑" w:cs="微软雅黑"/>
                <w:szCs w:val="21"/>
              </w:rPr>
            </w:pPr>
            <w:r>
              <w:rPr>
                <w:rFonts w:hint="eastAsia" w:ascii="微软雅黑" w:hAnsi="微软雅黑" w:cs="微软雅黑"/>
                <w:szCs w:val="21"/>
              </w:rPr>
            </w:r>
            <w:r/>
          </w:p>
          <w:p>
            <w:pPr>
              <w:ind w:firstLine="3960"/>
              <w:spacing w:line="420" w:lineRule="exact"/>
              <w:rPr>
                <w:rFonts w:hint="eastAsia" w:ascii="微软雅黑" w:hAnsi="微软雅黑" w:cs="微软雅黑"/>
                <w:szCs w:val="21"/>
              </w:rPr>
            </w:pPr>
            <w:r>
              <w:rPr>
                <w:rFonts w:hint="eastAsia" w:ascii="微软雅黑" w:hAnsi="微软雅黑" w:cs="微软雅黑"/>
                <w:szCs w:val="21"/>
              </w:rPr>
            </w:r>
            <w:r/>
          </w:p>
        </w:tc>
      </w:tr>
    </w:tbl>
    <w:p>
      <w:pPr>
        <w:spacing w:line="440" w:lineRule="exact"/>
        <w:rPr>
          <w:rFonts w:hint="eastAsia" w:ascii="微软雅黑" w:hAnsi="微软雅黑" w:cs="微软雅黑"/>
        </w:rPr>
      </w:pPr>
      <w:r>
        <w:rPr>
          <w:rFonts w:hint="eastAsia" w:ascii="微软雅黑" w:hAnsi="微软雅黑" w:cs="微软雅黑"/>
        </w:rPr>
      </w:r>
      <w:r/>
    </w:p>
    <w:p>
      <w:pPr>
        <w:ind w:left="489" w:hanging="420"/>
        <w:spacing w:line="360" w:lineRule="auto"/>
        <w:rPr>
          <w:rFonts w:hint="eastAsia" w:ascii="微软雅黑" w:hAnsi="微软雅黑" w:cs="微软雅黑"/>
          <w:bCs/>
          <w:szCs w:val="21"/>
        </w:rPr>
      </w:pPr>
      <w:r>
        <w:rPr>
          <w:rFonts w:hint="eastAsia" w:ascii="微软雅黑" w:hAnsi="微软雅黑" w:cs="微软雅黑"/>
          <w:bCs/>
          <w:szCs w:val="21"/>
        </w:rPr>
      </w:r>
      <w:r/>
    </w:p>
    <w:p>
      <w:pPr>
        <w:spacing w:line="360" w:lineRule="auto"/>
        <w:rPr>
          <w:rFonts w:hint="eastAsia" w:ascii="微软雅黑" w:hAnsi="微软雅黑" w:cs="微软雅黑"/>
          <w:bCs/>
          <w:szCs w:val="21"/>
        </w:rPr>
      </w:pPr>
      <w:r>
        <w:rPr>
          <w:rFonts w:hint="eastAsia" w:ascii="微软雅黑" w:hAnsi="微软雅黑" w:cs="微软雅黑"/>
          <w:bCs/>
          <w:szCs w:val="21"/>
        </w:rPr>
      </w:r>
      <w:r/>
    </w:p>
    <w:p>
      <w:pPr>
        <w:jc w:val="left"/>
        <w:widowControl/>
        <w:rPr>
          <w:rStyle w:val="1546"/>
          <w:rFonts w:hint="eastAsia" w:ascii="微软雅黑" w:hAnsi="微软雅黑" w:cs="微软雅黑"/>
          <w:bCs/>
          <w:szCs w:val="21"/>
        </w:rPr>
        <w:sectPr>
          <w:headerReference w:type="default" r:id="rId12"/>
          <w:footerReference w:type="default" r:id="rId18"/>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bCs/>
          <w:szCs w:val="21"/>
        </w:rPr>
      </w:r>
      <w:r/>
    </w:p>
    <w:p>
      <w:pPr>
        <w:pStyle w:val="1352"/>
        <w:rPr>
          <w:rFonts w:hint="eastAsia" w:ascii="微软雅黑" w:hAnsi="微软雅黑" w:cs="微软雅黑"/>
          <w:szCs w:val="32"/>
        </w:rPr>
      </w:pPr>
      <w:r/>
      <w:bookmarkStart w:id="208" w:name="_Toc13204"/>
      <w:r/>
      <w:bookmarkStart w:id="209" w:name="_Toc19909"/>
      <w:r/>
      <w:bookmarkStart w:id="210" w:name="_Toc10932"/>
      <w:r>
        <w:rPr>
          <w:rFonts w:hint="eastAsia" w:ascii="微软雅黑" w:hAnsi="微软雅黑" w:cs="微软雅黑"/>
        </w:rPr>
        <w:t xml:space="preserve">第六章 投标文件格式</w:t>
      </w:r>
      <w:bookmarkEnd w:id="208"/>
      <w:r>
        <w:rPr>
          <w:rFonts w:hint="eastAsia" w:ascii="微软雅黑" w:hAnsi="微软雅黑" w:cs="微软雅黑"/>
        </w:rPr>
        <w:t xml:space="preserve">及附件</w:t>
      </w:r>
      <w:bookmarkEnd w:id="209"/>
      <w:r/>
      <w:bookmarkEnd w:id="210"/>
      <w:r/>
      <w:r/>
    </w:p>
    <w:p>
      <w:pPr>
        <w:jc w:val="left"/>
        <w:spacing w:line="420" w:lineRule="exact"/>
        <w:widowControl/>
        <w:rPr>
          <w:rFonts w:hint="eastAsia"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16"/>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370"/>
        <w:numPr>
          <w:ilvl w:val="0"/>
          <w:numId w:val="16"/>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16"/>
        </w:numPr>
        <w:ind w:hanging="205"/>
        <w:spacing w:line="400" w:lineRule="exact"/>
        <w:rPr>
          <w:szCs w:val="21"/>
        </w:rPr>
      </w:pPr>
      <w:r>
        <w:rPr>
          <w:rFonts w:hint="eastAsia"/>
          <w:szCs w:val="21"/>
        </w:rPr>
        <w:t xml:space="preserve">供应商提交的材料不予退还。</w:t>
      </w:r>
      <w:r/>
    </w:p>
    <w:p>
      <w:pPr>
        <w:pStyle w:val="1370"/>
        <w:ind w:left="1260"/>
      </w:pPr>
      <w:r/>
      <w:r/>
    </w:p>
    <w:p>
      <w:pPr>
        <w:jc w:val="center"/>
        <w:spacing w:line="420" w:lineRule="exact"/>
        <w:rPr>
          <w:rFonts w:hint="eastAsia" w:ascii="微软雅黑" w:hAnsi="微软雅黑" w:cs="微软雅黑"/>
        </w:rPr>
      </w:pPr>
      <w:r>
        <w:rPr>
          <w:rFonts w:hint="eastAsia" w:ascii="微软雅黑" w:hAnsi="微软雅黑" w:cs="微软雅黑"/>
        </w:rPr>
        <w:br w:type="page" w:clear="all"/>
      </w:r>
      <w:r/>
    </w:p>
    <w:p>
      <w:pPr>
        <w:jc w:val="center"/>
        <w:spacing w:line="360" w:lineRule="auto"/>
        <w:rPr>
          <w:rFonts w:hint="eastAsia" w:ascii="微软雅黑" w:hAnsi="微软雅黑" w:cs="微软雅黑"/>
        </w:rPr>
      </w:pPr>
      <w:r>
        <w:rPr>
          <w:rFonts w:hint="eastAsia" w:ascii="微软雅黑" w:hAnsi="微软雅黑" w:cs="微软雅黑"/>
        </w:rPr>
      </w:r>
      <w:r/>
    </w:p>
    <w:p>
      <w:pPr>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项目编号：</w:t>
      </w:r>
      <w:r/>
    </w:p>
    <w:p>
      <w:pPr>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hint="eastAsia" w:ascii="微软雅黑" w:hAnsi="微软雅黑" w:cs="微软雅黑"/>
          <w:sz w:val="32"/>
          <w:szCs w:val="32"/>
        </w:rPr>
      </w:pPr>
      <w:r>
        <w:rPr>
          <w:rFonts w:hint="eastAsia" w:ascii="微软雅黑" w:hAnsi="微软雅黑" w:cs="微软雅黑"/>
          <w:sz w:val="32"/>
          <w:szCs w:val="32"/>
        </w:rPr>
      </w:r>
      <w:r/>
    </w:p>
    <w:p>
      <w:pPr>
        <w:spacing w:line="360" w:lineRule="auto"/>
        <w:rPr>
          <w:rFonts w:hint="eastAsia" w:ascii="微软雅黑" w:hAnsi="微软雅黑" w:cs="微软雅黑"/>
          <w:sz w:val="32"/>
          <w:szCs w:val="32"/>
        </w:rPr>
      </w:pPr>
      <w:r>
        <w:rPr>
          <w:rFonts w:hint="eastAsia" w:ascii="微软雅黑" w:hAnsi="微软雅黑" w:cs="微软雅黑"/>
          <w:sz w:val="32"/>
          <w:szCs w:val="32"/>
        </w:rPr>
      </w:r>
      <w:r/>
    </w:p>
    <w:p>
      <w:pPr>
        <w:spacing w:line="360" w:lineRule="auto"/>
        <w:rPr>
          <w:rFonts w:hint="eastAsia" w:ascii="微软雅黑" w:hAnsi="微软雅黑" w:cs="微软雅黑"/>
          <w:sz w:val="32"/>
          <w:szCs w:val="32"/>
        </w:rPr>
      </w:pPr>
      <w:r>
        <w:rPr>
          <w:rFonts w:hint="eastAsia" w:ascii="微软雅黑" w:hAnsi="微软雅黑" w:cs="微软雅黑"/>
          <w:sz w:val="32"/>
          <w:szCs w:val="32"/>
        </w:rPr>
      </w:r>
      <w:r/>
    </w:p>
    <w:p>
      <w:pPr>
        <w:spacing w:line="360" w:lineRule="auto"/>
        <w:rPr>
          <w:rFonts w:hint="eastAsia" w:ascii="微软雅黑" w:hAnsi="微软雅黑" w:cs="微软雅黑"/>
          <w:sz w:val="32"/>
          <w:szCs w:val="32"/>
        </w:rPr>
      </w:pPr>
      <w:r>
        <w:rPr>
          <w:rFonts w:hint="eastAsia" w:ascii="微软雅黑" w:hAnsi="微软雅黑" w:cs="微软雅黑"/>
          <w:sz w:val="32"/>
          <w:szCs w:val="32"/>
        </w:rPr>
      </w:r>
      <w:r/>
    </w:p>
    <w:p>
      <w:pPr>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日期：</w:t>
      </w:r>
      <w:r/>
    </w:p>
    <w:p>
      <w:pPr>
        <w:spacing w:line="420" w:lineRule="exact"/>
        <w:widowControl/>
        <w:rPr>
          <w:rFonts w:hint="eastAsia" w:ascii="微软雅黑" w:hAnsi="微软雅黑" w:cs="微软雅黑"/>
        </w:rPr>
      </w:pPr>
      <w:r>
        <w:rPr>
          <w:rFonts w:hint="eastAsia" w:ascii="微软雅黑" w:hAnsi="微软雅黑" w:cs="微软雅黑"/>
        </w:rPr>
        <w:br w:type="page" w:clear="all"/>
      </w:r>
      <w:r/>
    </w:p>
    <w:p>
      <w:pPr>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目录</w:t>
      </w:r>
      <w:r/>
    </w:p>
    <w:p>
      <w:pPr>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370"/>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b/>
          <w:bCs/>
          <w:sz w:val="28"/>
          <w:szCs w:val="28"/>
        </w:rPr>
      </w:pPr>
      <w:r>
        <w:rPr>
          <w:rFonts w:hint="eastAsia" w:ascii="微软雅黑" w:hAnsi="微软雅黑" w:cs="微软雅黑"/>
          <w:b/>
          <w:bCs/>
          <w:sz w:val="28"/>
          <w:szCs w:val="28"/>
        </w:rPr>
        <w:br w:type="page" w:clear="all"/>
      </w:r>
      <w:r/>
    </w:p>
    <w:p>
      <w:pPr>
        <w:pStyle w:val="1154"/>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p>
    <w:p>
      <w:pPr>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p>
    <w:tbl>
      <w:tblPr>
        <w:tblStyle w:val="114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bl>
    <w:p>
      <w:pPr>
        <w:spacing w:line="420" w:lineRule="exact"/>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sz w:val="24"/>
          <w:szCs w:val="21"/>
        </w:rPr>
      </w:pPr>
      <w:r>
        <w:rPr>
          <w:rFonts w:hint="eastAsia" w:ascii="微软雅黑" w:hAnsi="微软雅黑" w:cs="微软雅黑"/>
          <w:sz w:val="24"/>
          <w:szCs w:val="21"/>
        </w:rPr>
      </w:r>
      <w:r/>
    </w:p>
    <w:p>
      <w:pPr>
        <w:pStyle w:val="1154"/>
        <w:ind w:left="1260"/>
        <w:rPr>
          <w:rFonts w:hint="eastAsia" w:ascii="微软雅黑" w:hAnsi="微软雅黑" w:cs="微软雅黑"/>
          <w:sz w:val="24"/>
          <w:szCs w:val="21"/>
        </w:rPr>
      </w:pPr>
      <w:r>
        <w:rPr>
          <w:rFonts w:hint="eastAsia" w:ascii="微软雅黑" w:hAnsi="微软雅黑" w:cs="微软雅黑"/>
          <w:sz w:val="24"/>
          <w:szCs w:val="21"/>
        </w:rPr>
      </w:r>
      <w:r/>
    </w:p>
    <w:p>
      <w:pPr>
        <w:rPr>
          <w:rFonts w:hint="eastAsia" w:ascii="微软雅黑" w:hAnsi="微软雅黑" w:cs="微软雅黑"/>
          <w:sz w:val="24"/>
          <w:szCs w:val="21"/>
        </w:rPr>
      </w:pPr>
      <w:r>
        <w:rPr>
          <w:rFonts w:hint="eastAsia" w:ascii="微软雅黑" w:hAnsi="微软雅黑" w:cs="微软雅黑"/>
          <w:sz w:val="24"/>
          <w:szCs w:val="21"/>
        </w:rPr>
      </w:r>
      <w:r/>
    </w:p>
    <w:p>
      <w:pPr>
        <w:jc w:val="center"/>
        <w:spacing w:line="420" w:lineRule="exact"/>
        <w:widowControl/>
        <w:rPr>
          <w:rFonts w:hint="eastAsia" w:ascii="微软雅黑" w:hAnsi="微软雅黑" w:cs="微软雅黑"/>
          <w:b/>
          <w:bCs/>
          <w:sz w:val="28"/>
          <w:szCs w:val="28"/>
        </w:rPr>
      </w:pPr>
      <w:r>
        <w:rPr>
          <w:rFonts w:hint="eastAsia" w:ascii="微软雅黑" w:hAnsi="微软雅黑" w:cs="微软雅黑"/>
        </w:rPr>
        <w:br w:type="page" w:clear="all"/>
      </w:r>
      <w:r>
        <w:rPr>
          <w:rFonts w:hint="eastAsia" w:ascii="微软雅黑" w:hAnsi="微软雅黑" w:cs="微软雅黑"/>
          <w:b/>
          <w:bCs/>
          <w:sz w:val="28"/>
          <w:szCs w:val="28"/>
        </w:rPr>
        <w:t xml:space="preserve">评分索引表</w:t>
      </w:r>
      <w:r/>
    </w:p>
    <w:p>
      <w:pPr>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p>
    <w:tbl>
      <w:tblPr>
        <w:tblStyle w:val="1146"/>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textDirection w:val="lrTb"/>
            <w:noWrap w:val="false"/>
          </w:tcPr>
          <w:p>
            <w:pPr>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textDirection w:val="lrTb"/>
            <w:noWrap w:val="false"/>
          </w:tcPr>
          <w:p>
            <w:pPr>
              <w:spacing w:line="350" w:lineRule="exact"/>
              <w:rPr>
                <w:rFonts w:hint="eastAsia" w:ascii="微软雅黑" w:hAnsi="微软雅黑" w:cs="微软雅黑"/>
                <w:szCs w:val="21"/>
              </w:rPr>
            </w:pPr>
            <w:r>
              <w:rPr>
                <w:rFonts w:hint="eastAsia" w:ascii="微软雅黑" w:hAnsi="微软雅黑" w:cs="微软雅黑"/>
                <w:szCs w:val="21"/>
              </w:rPr>
            </w:r>
            <w:r/>
          </w:p>
        </w:tc>
      </w:tr>
    </w:tbl>
    <w:p>
      <w:pPr>
        <w:spacing w:line="420" w:lineRule="exact"/>
        <w:rPr>
          <w:rFonts w:hint="eastAsia" w:ascii="微软雅黑" w:hAnsi="微软雅黑" w:cs="微软雅黑"/>
        </w:rPr>
      </w:pPr>
      <w:r>
        <w:rPr>
          <w:rFonts w:hint="eastAsia" w:ascii="微软雅黑" w:hAnsi="微软雅黑" w:cs="微软雅黑"/>
        </w:rPr>
      </w:r>
      <w:r/>
    </w:p>
    <w:p>
      <w:pPr>
        <w:spacing w:line="420" w:lineRule="exact"/>
        <w:rPr>
          <w:rFonts w:hint="eastAsia" w:ascii="微软雅黑" w:hAnsi="微软雅黑" w:cs="微软雅黑"/>
        </w:rPr>
      </w:pPr>
      <w:r>
        <w:rPr>
          <w:rFonts w:hint="eastAsia" w:ascii="微软雅黑" w:hAnsi="微软雅黑" w:cs="微软雅黑"/>
        </w:rPr>
      </w:r>
      <w:r/>
    </w:p>
    <w:p>
      <w:pPr>
        <w:pStyle w:val="1137"/>
        <w:jc w:val="center"/>
        <w:rPr>
          <w:rFonts w:hint="eastAsia" w:ascii="微软雅黑" w:hAnsi="微软雅黑" w:eastAsia="微软雅黑" w:cs="微软雅黑"/>
          <w:b/>
          <w:bCs/>
          <w:sz w:val="28"/>
          <w:szCs w:val="32"/>
        </w:rPr>
      </w:pPr>
      <w:r>
        <w:rPr>
          <w:rFonts w:hint="eastAsia" w:ascii="微软雅黑" w:hAnsi="微软雅黑" w:cs="微软雅黑"/>
        </w:rPr>
        <w:br w:type="page" w:clear="all"/>
      </w:r>
      <w:bookmarkStart w:id="211" w:name="_Toc6833"/>
      <w:r/>
      <w:bookmarkStart w:id="212" w:name="_Toc17106"/>
      <w:r/>
      <w:bookmarkStart w:id="213" w:name="_Toc6040"/>
      <w:r/>
      <w:bookmarkStart w:id="214" w:name="_Toc7915"/>
      <w:r/>
      <w:bookmarkStart w:id="215" w:name="_Toc20471"/>
      <w:r/>
      <w:bookmarkStart w:id="216" w:name="_Toc24615"/>
      <w:r>
        <w:rPr>
          <w:rFonts w:hint="eastAsia" w:ascii="微软雅黑" w:hAnsi="微软雅黑" w:eastAsia="微软雅黑" w:cs="微软雅黑"/>
          <w:b/>
          <w:bCs/>
          <w:sz w:val="28"/>
          <w:szCs w:val="32"/>
        </w:rPr>
        <w:t xml:space="preserve">一、投标函、投标报价及项目相关文件</w:t>
      </w:r>
      <w:bookmarkEnd w:id="211"/>
      <w:r/>
      <w:bookmarkEnd w:id="212"/>
      <w:r/>
      <w:bookmarkEnd w:id="213"/>
      <w:r/>
      <w:bookmarkEnd w:id="214"/>
      <w:r/>
      <w:bookmarkEnd w:id="215"/>
      <w:r/>
      <w:bookmarkEnd w:id="216"/>
      <w:r/>
      <w:r/>
    </w:p>
    <w:p>
      <w:pPr>
        <w:pStyle w:val="1138"/>
        <w:jc w:val="center"/>
        <w:rPr>
          <w:rFonts w:hint="eastAsia" w:ascii="微软雅黑" w:hAnsi="微软雅黑" w:eastAsia="微软雅黑" w:cs="微软雅黑"/>
          <w:b/>
          <w:sz w:val="24"/>
          <w:szCs w:val="24"/>
        </w:rPr>
      </w:pPr>
      <w:r/>
      <w:bookmarkStart w:id="217" w:name="_Toc26973"/>
      <w:r/>
      <w:bookmarkStart w:id="218" w:name="_Toc13722"/>
      <w:r/>
      <w:bookmarkStart w:id="219" w:name="_Toc8710"/>
      <w:r/>
      <w:bookmarkStart w:id="220" w:name="_Toc4374"/>
      <w:r/>
      <w:bookmarkStart w:id="221" w:name="_Toc8176"/>
      <w:r/>
      <w:bookmarkStart w:id="222" w:name="_Toc11047"/>
      <w:r>
        <w:rPr>
          <w:rFonts w:hint="eastAsia" w:ascii="微软雅黑" w:hAnsi="微软雅黑" w:eastAsia="微软雅黑" w:cs="微软雅黑"/>
          <w:b/>
          <w:sz w:val="24"/>
          <w:szCs w:val="24"/>
        </w:rPr>
        <w:t xml:space="preserve">1.投标函</w:t>
      </w:r>
      <w:bookmarkEnd w:id="217"/>
      <w:r/>
      <w:bookmarkEnd w:id="218"/>
      <w:r/>
      <w:bookmarkEnd w:id="219"/>
      <w:r/>
      <w:bookmarkEnd w:id="220"/>
      <w:r/>
      <w:bookmarkEnd w:id="221"/>
      <w:r/>
      <w:bookmarkEnd w:id="222"/>
      <w:r/>
      <w:r/>
    </w:p>
    <w:p>
      <w:pPr>
        <w:spacing w:line="440" w:lineRule="exact"/>
        <w:rPr>
          <w:rFonts w:hint="eastAsia" w:ascii="微软雅黑" w:hAnsi="微软雅黑" w:cs="微软雅黑"/>
        </w:rPr>
      </w:pPr>
      <w:r>
        <w:rPr>
          <w:rFonts w:hint="eastAsia" w:ascii="微软雅黑" w:hAnsi="微软雅黑" w:cs="微软雅黑"/>
        </w:rPr>
        <w:t xml:space="preserve">江苏省华采招标有限公司：</w:t>
      </w:r>
      <w:r/>
    </w:p>
    <w:p>
      <w:pPr>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p>
    <w:p>
      <w:pPr>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p>
    <w:p>
      <w:pPr>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p>
    <w:p>
      <w:pPr>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p>
    <w:p>
      <w:pPr>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p>
    <w:p>
      <w:pPr>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p>
    <w:p>
      <w:pPr>
        <w:spacing w:line="440" w:lineRule="exact"/>
        <w:rPr>
          <w:rFonts w:hint="eastAsia" w:ascii="微软雅黑" w:hAnsi="微软雅黑" w:cs="微软雅黑"/>
        </w:rPr>
      </w:pPr>
      <w:r>
        <w:rPr>
          <w:rFonts w:hint="eastAsia" w:ascii="微软雅黑" w:hAnsi="微软雅黑" w:cs="微软雅黑"/>
        </w:rPr>
      </w:r>
      <w:r/>
    </w:p>
    <w:p>
      <w:pPr>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p>
    <w:p>
      <w:pPr>
        <w:spacing w:line="440" w:lineRule="exact"/>
        <w:rPr>
          <w:rFonts w:hint="eastAsia" w:ascii="微软雅黑" w:hAnsi="微软雅黑" w:cs="微软雅黑"/>
        </w:rPr>
      </w:pPr>
      <w:r>
        <w:rPr>
          <w:rFonts w:hint="eastAsia" w:ascii="微软雅黑" w:hAnsi="微软雅黑" w:cs="微软雅黑"/>
        </w:rPr>
        <w:t xml:space="preserve">                        地址：                 </w:t>
      </w:r>
      <w:r/>
    </w:p>
    <w:p>
      <w:pPr>
        <w:spacing w:line="440" w:lineRule="exact"/>
        <w:rPr>
          <w:rFonts w:hint="eastAsia" w:ascii="微软雅黑" w:hAnsi="微软雅黑" w:cs="微软雅黑"/>
        </w:rPr>
      </w:pPr>
      <w:r>
        <w:rPr>
          <w:rFonts w:hint="eastAsia" w:ascii="微软雅黑" w:hAnsi="微软雅黑" w:cs="微软雅黑"/>
        </w:rPr>
        <w:t xml:space="preserve">                        电话：              </w:t>
      </w:r>
      <w:r/>
    </w:p>
    <w:p>
      <w:pPr>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p>
    <w:p>
      <w:pPr>
        <w:spacing w:line="440" w:lineRule="exact"/>
        <w:rPr>
          <w:rFonts w:hint="eastAsia" w:ascii="微软雅黑" w:hAnsi="微软雅黑" w:cs="微软雅黑"/>
        </w:rPr>
      </w:pPr>
      <w:r>
        <w:rPr>
          <w:rFonts w:hint="eastAsia" w:ascii="微软雅黑" w:hAnsi="微软雅黑" w:cs="微软雅黑"/>
        </w:rPr>
        <w:t xml:space="preserve">                        职务：                  </w:t>
      </w:r>
      <w:r/>
    </w:p>
    <w:p>
      <w:pPr>
        <w:spacing w:line="440" w:lineRule="exact"/>
        <w:rPr>
          <w:rFonts w:hint="eastAsia" w:ascii="微软雅黑" w:hAnsi="微软雅黑" w:cs="微软雅黑"/>
        </w:rPr>
      </w:pPr>
      <w:r>
        <w:rPr>
          <w:rFonts w:hint="eastAsia" w:ascii="微软雅黑" w:hAnsi="微软雅黑" w:cs="微软雅黑"/>
        </w:rPr>
        <w:t xml:space="preserve">                        日期：       </w:t>
      </w:r>
      <w:r/>
    </w:p>
    <w:p>
      <w:pPr>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rPr>
      </w:pPr>
      <w:r>
        <w:rPr>
          <w:rFonts w:hint="eastAsia" w:ascii="微软雅黑" w:hAnsi="微软雅黑" w:cs="微软雅黑"/>
        </w:rPr>
      </w:r>
      <w:r/>
    </w:p>
    <w:p>
      <w:pPr>
        <w:pStyle w:val="1138"/>
        <w:jc w:val="center"/>
        <w:rPr>
          <w:rFonts w:hint="eastAsia" w:ascii="微软雅黑" w:hAnsi="微软雅黑" w:eastAsia="微软雅黑" w:cs="微软雅黑"/>
          <w:b/>
          <w:sz w:val="24"/>
          <w:szCs w:val="24"/>
        </w:rPr>
      </w:pPr>
      <w:r/>
      <w:bookmarkStart w:id="223" w:name="_Toc11596"/>
      <w:r/>
      <w:bookmarkStart w:id="224" w:name="_Toc13853"/>
      <w:r/>
      <w:bookmarkStart w:id="225" w:name="_Toc15166"/>
      <w:r/>
      <w:bookmarkStart w:id="226" w:name="_Toc20264"/>
      <w:r/>
      <w:bookmarkStart w:id="227" w:name="_Toc27460"/>
      <w:r/>
      <w:bookmarkStart w:id="228" w:name="_Toc28250"/>
      <w:r>
        <w:rPr>
          <w:rFonts w:hint="eastAsia" w:ascii="微软雅黑" w:hAnsi="微软雅黑" w:eastAsia="微软雅黑" w:cs="微软雅黑"/>
          <w:b/>
          <w:sz w:val="24"/>
          <w:szCs w:val="24"/>
        </w:rPr>
        <w:t xml:space="preserve">2.开标一览表</w:t>
      </w:r>
      <w:bookmarkEnd w:id="223"/>
      <w:r/>
      <w:bookmarkEnd w:id="224"/>
      <w:r/>
      <w:bookmarkEnd w:id="225"/>
      <w:r/>
      <w:bookmarkEnd w:id="226"/>
      <w:r/>
      <w:bookmarkEnd w:id="227"/>
      <w:r/>
      <w:bookmarkEnd w:id="228"/>
      <w:r/>
      <w:r/>
    </w:p>
    <w:tbl>
      <w:tblPr>
        <w:tblStyle w:val="11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1</w:t>
            </w:r>
            <w:r/>
          </w:p>
        </w:tc>
        <w:tc>
          <w:tcPr>
            <w:tcW w:w="195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项目名称</w:t>
            </w:r>
            <w:r/>
          </w:p>
        </w:tc>
        <w:tc>
          <w:tcPr>
            <w:tcW w:w="5898"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cantSplit/>
          <w:trHeight w:val="891"/>
        </w:trPr>
        <w:tc>
          <w:tcPr>
            <w:tcW w:w="66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2</w:t>
            </w:r>
            <w:r/>
          </w:p>
        </w:tc>
        <w:tc>
          <w:tcPr>
            <w:tcW w:w="195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项目编号</w:t>
            </w:r>
            <w:r/>
          </w:p>
        </w:tc>
        <w:tc>
          <w:tcPr>
            <w:tcW w:w="5898"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cantSplit/>
          <w:trHeight w:val="1087"/>
        </w:trPr>
        <w:tc>
          <w:tcPr>
            <w:tcW w:w="66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3</w:t>
            </w:r>
            <w:r/>
          </w:p>
        </w:tc>
        <w:tc>
          <w:tcPr>
            <w:tcW w:w="195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投标报价总计</w:t>
            </w:r>
            <w:r/>
          </w:p>
        </w:tc>
        <w:tc>
          <w:tcPr>
            <w:tcW w:w="5898" w:type="dxa"/>
            <w:vAlign w:val="center"/>
            <w:textDirection w:val="lrTb"/>
            <w:noWrap w:val="false"/>
          </w:tcPr>
          <w:p>
            <w:pPr>
              <w:rPr>
                <w:rFonts w:hint="eastAsia"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p>
          <w:p>
            <w:pPr>
              <w:pStyle w:val="1154"/>
              <w:ind w:left="0"/>
              <w:rPr>
                <w:rFonts w:hint="eastAsia" w:ascii="微软雅黑" w:hAnsi="微软雅黑" w:cs="微软雅黑"/>
              </w:rPr>
            </w:pPr>
            <w:r>
              <w:rPr>
                <w:rFonts w:hint="eastAsia" w:ascii="微软雅黑" w:hAnsi="微软雅黑" w:cs="微软雅黑"/>
              </w:rPr>
              <w:t xml:space="preserve">（小写）￥</w:t>
            </w:r>
            <w:r>
              <w:rPr>
                <w:rFonts w:hint="eastAsia" w:ascii="微软雅黑" w:hAnsi="微软雅黑" w:cs="微软雅黑"/>
                <w:u w:val="single"/>
              </w:rPr>
              <w:t xml:space="preserve">             </w:t>
            </w:r>
            <w:r/>
          </w:p>
        </w:tc>
      </w:tr>
    </w:tbl>
    <w:p>
      <w:pPr>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rPr>
          <w:rFonts w:hint="eastAsia" w:ascii="微软雅黑" w:hAnsi="微软雅黑" w:cs="微软雅黑"/>
        </w:rPr>
      </w:pPr>
      <w:r>
        <w:rPr>
          <w:rFonts w:hint="eastAsia" w:ascii="微软雅黑" w:hAnsi="微软雅黑" w:cs="微软雅黑"/>
        </w:rPr>
        <w:t xml:space="preserve">供应商全称（公章）：        </w:t>
      </w:r>
      <w:r/>
    </w:p>
    <w:p>
      <w:pPr>
        <w:rPr>
          <w:rFonts w:hint="eastAsia" w:ascii="微软雅黑" w:hAnsi="微软雅黑" w:cs="微软雅黑"/>
        </w:rPr>
      </w:pPr>
      <w:r>
        <w:rPr>
          <w:rFonts w:hint="eastAsia" w:ascii="微软雅黑" w:hAnsi="微软雅黑" w:cs="微软雅黑"/>
        </w:rPr>
        <w:t xml:space="preserve">法定代表人（授权代表）（签字/盖章）：    </w:t>
      </w:r>
      <w:r/>
    </w:p>
    <w:p>
      <w:pPr>
        <w:pStyle w:val="1154"/>
        <w:ind w:left="0"/>
        <w:rPr>
          <w:rFonts w:hint="eastAsia" w:ascii="微软雅黑" w:hAnsi="微软雅黑" w:cs="微软雅黑"/>
        </w:rPr>
      </w:pPr>
      <w:r>
        <w:rPr>
          <w:rFonts w:hint="eastAsia" w:ascii="微软雅黑" w:hAnsi="微软雅黑" w:cs="微软雅黑"/>
        </w:rPr>
        <w:t xml:space="preserve">日期：</w:t>
      </w:r>
      <w:r/>
    </w:p>
    <w:p>
      <w:pPr>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p>
    <w:p>
      <w:pPr>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p>
    <w:p>
      <w:pPr>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p>
    <w:p>
      <w:pPr>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154"/>
        <w:ind w:left="1260"/>
        <w:rPr>
          <w:rFonts w:hint="eastAsia" w:ascii="微软雅黑" w:hAnsi="微软雅黑" w:cs="微软雅黑"/>
          <w:sz w:val="18"/>
          <w:szCs w:val="18"/>
        </w:rPr>
      </w:pPr>
      <w:r>
        <w:rPr>
          <w:rFonts w:hint="eastAsia" w:ascii="微软雅黑" w:hAnsi="微软雅黑" w:cs="微软雅黑"/>
          <w:sz w:val="18"/>
          <w:szCs w:val="18"/>
        </w:rPr>
      </w:r>
      <w:r/>
    </w:p>
    <w:p>
      <w:pPr>
        <w:rPr>
          <w:rFonts w:hint="eastAsia" w:ascii="微软雅黑" w:hAnsi="微软雅黑" w:cs="微软雅黑"/>
          <w:sz w:val="18"/>
          <w:szCs w:val="18"/>
        </w:rPr>
      </w:pPr>
      <w:r>
        <w:rPr>
          <w:rFonts w:hint="eastAsia" w:ascii="微软雅黑" w:hAnsi="微软雅黑" w:cs="微软雅黑"/>
          <w:sz w:val="18"/>
          <w:szCs w:val="18"/>
        </w:rPr>
      </w:r>
      <w:r/>
    </w:p>
    <w:p>
      <w:pPr>
        <w:pStyle w:val="1154"/>
        <w:ind w:left="1260"/>
        <w:rPr>
          <w:rFonts w:hint="eastAsia" w:ascii="微软雅黑" w:hAnsi="微软雅黑" w:cs="微软雅黑"/>
          <w:sz w:val="18"/>
          <w:szCs w:val="18"/>
        </w:rPr>
      </w:pPr>
      <w:r>
        <w:rPr>
          <w:rFonts w:hint="eastAsia" w:ascii="微软雅黑" w:hAnsi="微软雅黑" w:cs="微软雅黑"/>
          <w:sz w:val="18"/>
          <w:szCs w:val="18"/>
        </w:rPr>
      </w:r>
      <w:r/>
    </w:p>
    <w:p>
      <w:pPr>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sz w:val="18"/>
          <w:szCs w:val="18"/>
        </w:rPr>
      </w:pPr>
      <w:r>
        <w:rPr>
          <w:rFonts w:hint="eastAsia" w:ascii="微软雅黑" w:hAnsi="微软雅黑" w:cs="微软雅黑"/>
          <w:sz w:val="18"/>
          <w:szCs w:val="18"/>
        </w:rPr>
      </w:r>
      <w:r/>
    </w:p>
    <w:p>
      <w:pPr>
        <w:pStyle w:val="1154"/>
        <w:ind w:left="1260"/>
        <w:rPr>
          <w:rFonts w:hint="eastAsia" w:ascii="微软雅黑" w:hAnsi="微软雅黑" w:cs="微软雅黑"/>
        </w:rPr>
      </w:pPr>
      <w:r>
        <w:rPr>
          <w:rFonts w:hint="eastAsia" w:ascii="微软雅黑" w:hAnsi="微软雅黑" w:cs="微软雅黑"/>
        </w:rPr>
      </w:r>
      <w:r/>
    </w:p>
    <w:p>
      <w:pPr>
        <w:pStyle w:val="1154"/>
        <w:ind w:left="1260"/>
        <w:rPr>
          <w:rFonts w:hint="eastAsia" w:ascii="微软雅黑" w:hAnsi="微软雅黑" w:cs="微软雅黑"/>
          <w:sz w:val="18"/>
          <w:szCs w:val="18"/>
        </w:rPr>
      </w:pPr>
      <w:r>
        <w:rPr>
          <w:rFonts w:hint="eastAsia" w:ascii="微软雅黑" w:hAnsi="微软雅黑" w:cs="微软雅黑"/>
          <w:sz w:val="18"/>
          <w:szCs w:val="18"/>
        </w:rPr>
      </w:r>
      <w:r/>
    </w:p>
    <w:p>
      <w:pPr>
        <w:rPr>
          <w:rFonts w:hint="eastAsia" w:ascii="微软雅黑" w:hAnsi="微软雅黑" w:cs="微软雅黑"/>
        </w:rPr>
      </w:pPr>
      <w:r>
        <w:rPr>
          <w:rFonts w:hint="eastAsia" w:ascii="微软雅黑" w:hAnsi="微软雅黑" w:cs="微软雅黑"/>
        </w:rPr>
      </w:r>
      <w:r/>
    </w:p>
    <w:p>
      <w:pPr>
        <w:pStyle w:val="1138"/>
        <w:jc w:val="center"/>
        <w:tabs>
          <w:tab w:val="left" w:pos="0" w:leader="none"/>
        </w:tabs>
        <w:rPr>
          <w:rFonts w:hint="eastAsia" w:ascii="微软雅黑" w:hAnsi="微软雅黑" w:eastAsia="微软雅黑" w:cs="微软雅黑"/>
          <w:b/>
          <w:szCs w:val="28"/>
        </w:rPr>
      </w:pPr>
      <w:r/>
      <w:bookmarkStart w:id="229" w:name="_Toc17085"/>
      <w:r/>
      <w:bookmarkStart w:id="230" w:name="_Toc403725575"/>
      <w:r>
        <w:rPr>
          <w:rFonts w:hint="eastAsia" w:ascii="微软雅黑" w:hAnsi="微软雅黑" w:eastAsia="微软雅黑" w:cs="微软雅黑"/>
          <w:b/>
          <w:sz w:val="24"/>
          <w:szCs w:val="24"/>
        </w:rPr>
        <w:br w:type="page" w:clear="all"/>
      </w:r>
      <w:bookmarkStart w:id="231" w:name="_Toc23896"/>
      <w:r/>
      <w:bookmarkStart w:id="232" w:name="_Toc25833"/>
      <w:r/>
      <w:bookmarkStart w:id="233" w:name="_Toc4608"/>
      <w:r/>
      <w:bookmarkStart w:id="234" w:name="_Toc11171"/>
      <w:r/>
      <w:bookmarkStart w:id="235" w:name="_Toc26889"/>
      <w:r>
        <w:rPr>
          <w:rFonts w:hint="eastAsia" w:ascii="微软雅黑" w:hAnsi="微软雅黑" w:eastAsia="微软雅黑" w:cs="微软雅黑"/>
          <w:b/>
          <w:sz w:val="24"/>
          <w:szCs w:val="24"/>
        </w:rPr>
        <w:t xml:space="preserve">3.</w:t>
      </w:r>
      <w:bookmarkEnd w:id="229"/>
      <w:r/>
      <w:bookmarkEnd w:id="230"/>
      <w:r/>
      <w:bookmarkEnd w:id="231"/>
      <w:r/>
      <w:bookmarkEnd w:id="232"/>
      <w:r/>
      <w:bookmarkStart w:id="236" w:name="_Toc15869"/>
      <w:r>
        <w:rPr>
          <w:rFonts w:hint="eastAsia" w:ascii="微软雅黑" w:hAnsi="微软雅黑" w:eastAsia="微软雅黑" w:cs="微软雅黑"/>
          <w:b/>
          <w:szCs w:val="28"/>
        </w:rPr>
        <w:t xml:space="preserve">投标报价明细表</w:t>
      </w:r>
      <w:bookmarkEnd w:id="233"/>
      <w:r/>
      <w:bookmarkEnd w:id="234"/>
      <w:r/>
      <w:bookmarkEnd w:id="235"/>
      <w:r/>
      <w:bookmarkEnd w:id="236"/>
      <w:r/>
      <w:r/>
    </w:p>
    <w:tbl>
      <w:tblPr>
        <w:tblStyle w:val="1146"/>
        <w:tblW w:w="10254"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2"/>
        <w:gridCol w:w="2232"/>
        <w:gridCol w:w="600"/>
        <w:gridCol w:w="870"/>
        <w:gridCol w:w="769"/>
        <w:gridCol w:w="669"/>
        <w:gridCol w:w="703"/>
        <w:gridCol w:w="668"/>
        <w:gridCol w:w="703"/>
        <w:gridCol w:w="685"/>
        <w:gridCol w:w="399"/>
        <w:gridCol w:w="506"/>
        <w:gridCol w:w="648"/>
      </w:tblGrid>
      <w:tr>
        <w:trPr>
          <w:cantSplit/>
          <w:trHeight w:val="1344"/>
          <w:tblHeader/>
        </w:trPr>
        <w:tc>
          <w:tcPr>
            <w:tcBorders>
              <w:top w:val="single" w:color="auto" w:sz="6" w:space="0"/>
              <w:left w:val="single" w:color="auto" w:sz="6" w:space="0"/>
              <w:bottom w:val="single" w:color="auto" w:sz="6"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序号</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物品名称</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60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详细部件名称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规格</w:t>
            </w:r>
            <w:r/>
          </w:p>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型号</w:t>
            </w:r>
            <w:r/>
          </w:p>
        </w:tc>
        <w:tc>
          <w:tcPr>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769"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数量</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669"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单位</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品牌</w:t>
            </w:r>
            <w:r/>
          </w:p>
        </w:tc>
        <w:tc>
          <w:tcPr>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668"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单价（元）</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总价（元）</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85"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生产厂商</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99"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产地</w:t>
            </w:r>
            <w:r/>
          </w:p>
        </w:tc>
        <w:tc>
          <w:tcPr>
            <w:tcBorders>
              <w:top w:val="single" w:color="auto" w:sz="6" w:space="0"/>
              <w:left w:val="single" w:color="auto" w:sz="4" w:space="0"/>
              <w:bottom w:val="single" w:color="auto" w:sz="6" w:space="0"/>
              <w:right w:val="single" w:color="auto" w:sz="4" w:space="0"/>
            </w:tcBorders>
            <w:tcW w:w="506"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质保期</w:t>
            </w:r>
            <w:r/>
          </w:p>
        </w:tc>
        <w:tc>
          <w:tcPr>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648" w:type="dxa"/>
            <w:vAlign w:val="center"/>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bCs/>
                <w:szCs w:val="21"/>
              </w:rPr>
              <w:t xml:space="preserve">备注</w:t>
            </w:r>
            <w:r/>
          </w:p>
        </w:tc>
      </w:tr>
      <w:tr>
        <w:trPr>
          <w:cantSplit/>
          <w:trHeight w:val="596"/>
        </w:trPr>
        <w:tc>
          <w:tcPr>
            <w:tcBorders>
              <w:top w:val="single" w:color="auto" w:sz="6"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232"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b/>
                <w:szCs w:val="21"/>
              </w:rPr>
            </w:pPr>
            <w:r>
              <w:rPr>
                <w:rFonts w:hint="eastAsia" w:ascii="微软雅黑" w:hAnsi="微软雅黑" w:cs="微软雅黑"/>
                <w:b/>
                <w:szCs w:val="21"/>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2</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669"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703"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68"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703"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399"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48"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3</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609"/>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4</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5</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6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703"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r>
            <w:r/>
          </w:p>
        </w:tc>
      </w:tr>
      <w:tr>
        <w:trPr>
          <w:cantSplit/>
          <w:trHeight w:val="922"/>
        </w:trPr>
        <w:tc>
          <w:tcPr>
            <w:gridSpan w:val="3"/>
            <w:tcBorders>
              <w:top w:val="single" w:color="auto" w:sz="4" w:space="0"/>
              <w:left w:val="single" w:color="auto" w:sz="6" w:space="0"/>
              <w:bottom w:val="single" w:color="auto" w:sz="4" w:space="0"/>
              <w:right w:val="single" w:color="auto" w:sz="6" w:space="0"/>
            </w:tcBorders>
            <w:tcW w:w="3634" w:type="dxa"/>
            <w:vAlign w:val="center"/>
            <w:textDirection w:val="lrTb"/>
            <w:noWrap w:val="false"/>
          </w:tcPr>
          <w:p>
            <w:pPr>
              <w:jc w:val="center"/>
              <w:spacing w:line="420" w:lineRule="exact"/>
              <w:rPr>
                <w:rFonts w:hint="eastAsia" w:ascii="微软雅黑" w:hAnsi="微软雅黑" w:cs="微软雅黑"/>
                <w:szCs w:val="21"/>
              </w:rPr>
            </w:pPr>
            <w:r>
              <w:rPr>
                <w:rFonts w:hint="eastAsia" w:ascii="微软雅黑" w:hAnsi="微软雅黑" w:cs="微软雅黑"/>
                <w:szCs w:val="21"/>
              </w:rPr>
              <w:t xml:space="preserve">投标报价总计</w:t>
            </w:r>
            <w:r/>
          </w:p>
        </w:tc>
        <w:tc>
          <w:tcPr>
            <w:gridSpan w:val="1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620" w:type="dxa"/>
            <w:textDirection w:val="lrTb"/>
            <w:noWrap w:val="false"/>
          </w:tcPr>
          <w:p>
            <w:pPr>
              <w:jc w:val="left"/>
              <w:rPr>
                <w:rFonts w:hint="eastAsia" w:ascii="微软雅黑" w:hAnsi="微软雅黑" w:cs="微软雅黑"/>
                <w:szCs w:val="21"/>
              </w:rPr>
            </w:pPr>
            <w:r>
              <w:rPr>
                <w:rFonts w:hint="eastAsia" w:ascii="微软雅黑" w:hAnsi="微软雅黑" w:cs="微软雅黑"/>
                <w:szCs w:val="21"/>
              </w:rPr>
              <w:t xml:space="preserve">大写：</w:t>
            </w:r>
            <w:r>
              <w:rPr>
                <w:rFonts w:hint="eastAsia" w:ascii="微软雅黑" w:hAnsi="微软雅黑" w:cs="微软雅黑"/>
                <w:szCs w:val="21"/>
                <w:u w:val="single"/>
              </w:rPr>
              <w:t xml:space="preserve">人民币      元整；  </w:t>
            </w:r>
            <w:r>
              <w:rPr>
                <w:rFonts w:hint="eastAsia" w:ascii="微软雅黑" w:hAnsi="微软雅黑" w:cs="微软雅黑"/>
                <w:szCs w:val="21"/>
              </w:rPr>
              <w:t xml:space="preserve">  </w:t>
            </w:r>
            <w:r/>
          </w:p>
          <w:p>
            <w:pPr>
              <w:jc w:val="left"/>
              <w:spacing w:line="420" w:lineRule="exact"/>
              <w:rPr>
                <w:rFonts w:hint="eastAsia" w:ascii="微软雅黑" w:hAnsi="微软雅黑" w:cs="微软雅黑"/>
                <w:szCs w:val="21"/>
              </w:rPr>
            </w:pPr>
            <w:r>
              <w:rPr>
                <w:rFonts w:hint="eastAsia" w:ascii="微软雅黑" w:hAnsi="微软雅黑" w:cs="微软雅黑"/>
                <w:szCs w:val="21"/>
              </w:rPr>
              <w:t xml:space="preserve">小写：</w:t>
            </w:r>
            <w:r>
              <w:rPr>
                <w:rFonts w:hint="eastAsia" w:ascii="微软雅黑" w:hAnsi="微软雅黑" w:cs="微软雅黑"/>
                <w:szCs w:val="21"/>
                <w:u w:val="single"/>
              </w:rPr>
              <w:t xml:space="preserve">￥              </w:t>
            </w:r>
            <w:r/>
          </w:p>
        </w:tc>
      </w:tr>
      <w:tr>
        <w:trPr>
          <w:cantSplit/>
          <w:trHeight w:val="1146"/>
        </w:trPr>
        <w:tc>
          <w:tcPr>
            <w:gridSpan w:val="13"/>
            <w:tcBorders>
              <w:top w:val="single" w:color="auto" w:sz="4" w:space="0"/>
              <w:left w:val="single" w:color="auto" w:sz="6" w:space="0"/>
              <w:bottom w:val="single" w:color="auto" w:sz="4" w:space="0"/>
              <w:right w:val="single" w:color="auto" w:sz="6" w:space="0"/>
            </w:tcBorders>
            <w:tcW w:w="10254" w:type="dxa"/>
            <w:vAlign w:val="center"/>
            <w:textDirection w:val="lrTb"/>
            <w:noWrap w:val="false"/>
          </w:tcPr>
          <w:p>
            <w:pPr>
              <w:jc w:val="left"/>
              <w:spacing w:line="420" w:lineRule="exact"/>
              <w:rPr>
                <w:rFonts w:hint="eastAsia" w:ascii="微软雅黑" w:hAnsi="微软雅黑" w:cs="微软雅黑"/>
                <w:szCs w:val="21"/>
              </w:rPr>
            </w:pPr>
            <w:r>
              <w:rPr>
                <w:rFonts w:hint="eastAsia" w:ascii="微软雅黑" w:hAnsi="微软雅黑" w:cs="微软雅黑"/>
                <w:sz w:val="28"/>
                <w:szCs w:val="28"/>
              </w:rPr>
              <w:t xml:space="preserve">本采购包中提供的符合本国产品标准的产品成本之和占该采购包提供的全部产品成本之和的比例为</w:t>
            </w:r>
            <w:r>
              <w:rPr>
                <w:rFonts w:hint="eastAsia" w:ascii="微软雅黑" w:hAnsi="微软雅黑" w:cs="微软雅黑"/>
                <w:sz w:val="28"/>
                <w:szCs w:val="28"/>
                <w:u w:val="single"/>
              </w:rPr>
              <w:t xml:space="preserve">        </w:t>
            </w:r>
            <w:r>
              <w:rPr>
                <w:rFonts w:hint="eastAsia" w:ascii="微软雅黑" w:hAnsi="微软雅黑" w:cs="微软雅黑"/>
                <w:sz w:val="28"/>
                <w:szCs w:val="28"/>
              </w:rPr>
              <w:t xml:space="preserve">%。</w:t>
            </w:r>
            <w:r/>
          </w:p>
        </w:tc>
      </w:tr>
    </w:tbl>
    <w:p>
      <w:pPr>
        <w:rPr>
          <w:rFonts w:hint="eastAsia" w:ascii="微软雅黑" w:hAnsi="微软雅黑" w:cs="微软雅黑"/>
        </w:rPr>
      </w:pPr>
      <w:r>
        <w:rPr>
          <w:rFonts w:hint="eastAsia" w:ascii="微软雅黑" w:hAnsi="微软雅黑" w:cs="微软雅黑"/>
        </w:rPr>
        <w:t xml:space="preserve">供应商全称（公章）：        </w:t>
      </w:r>
      <w:r/>
    </w:p>
    <w:p>
      <w:pPr>
        <w:rPr>
          <w:rFonts w:hint="eastAsia" w:ascii="微软雅黑" w:hAnsi="微软雅黑" w:cs="微软雅黑"/>
        </w:rPr>
      </w:pPr>
      <w:r>
        <w:rPr>
          <w:rFonts w:hint="eastAsia" w:ascii="微软雅黑" w:hAnsi="微软雅黑" w:cs="微软雅黑"/>
        </w:rPr>
        <w:t xml:space="preserve">法定代表人（授权代表）（签字/盖章）：   </w:t>
      </w:r>
      <w:r/>
    </w:p>
    <w:p>
      <w:pPr>
        <w:rPr>
          <w:rFonts w:hint="eastAsia" w:ascii="微软雅黑" w:hAnsi="微软雅黑" w:cs="微软雅黑"/>
        </w:rPr>
      </w:pPr>
      <w:r>
        <w:rPr>
          <w:rFonts w:hint="eastAsia" w:ascii="微软雅黑" w:hAnsi="微软雅黑" w:cs="微软雅黑"/>
        </w:rPr>
        <w:t xml:space="preserve">日期：          </w:t>
      </w:r>
      <w:r/>
    </w:p>
    <w:p>
      <w:pPr>
        <w:jc w:val="left"/>
        <w:spacing w:line="28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r>
      <w:r/>
    </w:p>
    <w:p>
      <w:pPr>
        <w:jc w:val="left"/>
        <w:spacing w:line="28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注：</w:t>
      </w:r>
      <w:r/>
    </w:p>
    <w:p>
      <w:pPr>
        <w:numPr>
          <w:ilvl w:val="0"/>
          <w:numId w:val="17"/>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0"/>
          <w:numId w:val="17"/>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p>
    <w:p>
      <w:pPr>
        <w:numPr>
          <w:ilvl w:val="0"/>
          <w:numId w:val="17"/>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上表中的“投标报价总计”应当等于“开标一览表”中“投标报价总计”数。</w:t>
      </w:r>
      <w:r/>
    </w:p>
    <w:p>
      <w:pPr>
        <w:numPr>
          <w:ilvl w:val="0"/>
          <w:numId w:val="17"/>
        </w:numPr>
        <w:ind w:left="0" w:firstLine="0"/>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7"/>
        </w:numPr>
        <w:ind w:left="0" w:firstLine="0"/>
        <w:jc w:val="left"/>
        <w:spacing w:line="360" w:lineRule="exact"/>
        <w:tabs>
          <w:tab w:val="left" w:pos="220" w:leader="none"/>
        </w:tabs>
        <w:rPr>
          <w:rFonts w:hint="eastAsia" w:ascii="微软雅黑" w:hAnsi="微软雅黑" w:cs="微软雅黑"/>
          <w:b/>
          <w:bCs/>
          <w:sz w:val="18"/>
          <w:szCs w:val="18"/>
        </w:rPr>
      </w:pPr>
      <w:r>
        <w:rPr>
          <w:rFonts w:hint="eastAsia" w:ascii="微软雅黑" w:hAnsi="微软雅黑" w:cs="微软雅黑"/>
          <w:b/>
          <w:bCs/>
          <w:sz w:val="18"/>
          <w:szCs w:val="18"/>
        </w:rPr>
        <w:t xml:space="preserve">报价明细表中不得有零元报价或免费赠送产品。</w:t>
      </w:r>
      <w:r/>
    </w:p>
    <w:p>
      <w:pPr>
        <w:numPr>
          <w:ilvl w:val="0"/>
          <w:numId w:val="17"/>
        </w:numPr>
        <w:ind w:left="0" w:firstLine="0"/>
        <w:jc w:val="left"/>
        <w:spacing w:line="360" w:lineRule="exact"/>
        <w:tabs>
          <w:tab w:val="left" w:pos="220" w:leader="none"/>
        </w:tabs>
        <w:rPr>
          <w:rFonts w:hint="eastAsia" w:ascii="微软雅黑" w:hAnsi="微软雅黑" w:cs="微软雅黑"/>
          <w:b/>
          <w:bCs/>
          <w:sz w:val="18"/>
          <w:szCs w:val="18"/>
        </w:rPr>
      </w:pPr>
      <w:r>
        <w:rPr>
          <w:rFonts w:hint="eastAsia" w:ascii="微软雅黑" w:hAnsi="微软雅黑" w:cs="微软雅黑"/>
          <w:b/>
          <w:bCs/>
          <w:sz w:val="18"/>
          <w:szCs w:val="1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38"/>
        <w:jc w:val="center"/>
        <w:spacing w:before="260" w:after="260" w:line="416" w:lineRule="auto"/>
        <w:rPr>
          <w:rFonts w:hint="eastAsia" w:ascii="微软雅黑" w:hAnsi="微软雅黑" w:eastAsia="微软雅黑" w:cs="微软雅黑"/>
          <w:b/>
          <w:bCs/>
          <w:sz w:val="24"/>
          <w:szCs w:val="24"/>
        </w:rPr>
      </w:pPr>
      <w:r/>
      <w:bookmarkStart w:id="237" w:name="_Toc3044"/>
      <w:r/>
      <w:bookmarkStart w:id="238" w:name="_Toc31996"/>
      <w:r/>
      <w:bookmarkStart w:id="239" w:name="_Toc4581"/>
      <w:r/>
      <w:bookmarkStart w:id="240" w:name="_Toc30873"/>
      <w:r/>
      <w:bookmarkStart w:id="241" w:name="_Toc365968480"/>
      <w:r/>
      <w:bookmarkStart w:id="242" w:name="_Toc3643"/>
      <w:r/>
      <w:bookmarkStart w:id="243" w:name="_Toc15771"/>
      <w:r>
        <w:rPr>
          <w:rFonts w:hint="eastAsia" w:ascii="微软雅黑" w:hAnsi="微软雅黑" w:eastAsia="微软雅黑" w:cs="微软雅黑"/>
          <w:b/>
          <w:bCs/>
          <w:sz w:val="24"/>
          <w:szCs w:val="24"/>
        </w:rPr>
        <w:t xml:space="preserve">4.技术要求响应表</w:t>
      </w:r>
      <w:bookmarkEnd w:id="237"/>
      <w:r/>
      <w:bookmarkEnd w:id="238"/>
      <w:r/>
      <w:bookmarkEnd w:id="239"/>
      <w:r/>
      <w:bookmarkEnd w:id="240"/>
      <w:r/>
      <w:bookmarkEnd w:id="241"/>
      <w:r/>
      <w:bookmarkEnd w:id="242"/>
      <w:r/>
      <w:bookmarkEnd w:id="243"/>
      <w:r/>
      <w:r/>
    </w:p>
    <w:tbl>
      <w:tblPr>
        <w:tblStyle w:val="1146"/>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2172"/>
        <w:gridCol w:w="2170"/>
        <w:gridCol w:w="1851"/>
        <w:gridCol w:w="1851"/>
      </w:tblGrid>
      <w:tr>
        <w:trPr>
          <w:trHeight w:val="1193"/>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序号</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投标供应商技术规范描述</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偏离情况（+/-/=）</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证明材料所在页</w:t>
            </w:r>
            <w:r/>
          </w:p>
        </w:tc>
      </w:tr>
      <w:tr>
        <w:trPr>
          <w:trHeight w:val="767"/>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1</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r>
      <w:tr>
        <w:trPr>
          <w:trHeight w:val="612"/>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2</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r>
      <w:tr>
        <w:trPr>
          <w:trHeight w:val="645"/>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rPr>
            </w:pPr>
            <w:r>
              <w:rPr>
                <w:rFonts w:hint="eastAsia" w:ascii="微软雅黑" w:hAnsi="微软雅黑" w:cs="微软雅黑"/>
              </w:rPr>
              <w:t xml:space="preserve">3</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rPr>
            </w:pPr>
            <w:r>
              <w:rPr>
                <w:rFonts w:hint="eastAsia" w:ascii="微软雅黑" w:hAnsi="微软雅黑" w:cs="微软雅黑"/>
              </w:rPr>
            </w:r>
            <w:r/>
          </w:p>
        </w:tc>
      </w:tr>
    </w:tbl>
    <w:p>
      <w:pPr>
        <w:spacing w:line="420" w:lineRule="exact"/>
        <w:rPr>
          <w:rFonts w:hint="eastAsia" w:ascii="微软雅黑" w:hAnsi="微软雅黑" w:cs="微软雅黑"/>
          <w:sz w:val="28"/>
        </w:rPr>
      </w:pPr>
      <w:r>
        <w:rPr>
          <w:rFonts w:hint="eastAsia" w:ascii="微软雅黑" w:hAnsi="微软雅黑" w:cs="微软雅黑"/>
          <w:sz w:val="28"/>
        </w:rPr>
      </w:r>
      <w:r/>
    </w:p>
    <w:p>
      <w:pPr>
        <w:rPr>
          <w:rFonts w:hint="eastAsia" w:ascii="微软雅黑" w:hAnsi="微软雅黑" w:cs="微软雅黑"/>
        </w:rPr>
      </w:pPr>
      <w:r>
        <w:rPr>
          <w:rFonts w:hint="eastAsia" w:ascii="微软雅黑" w:hAnsi="微软雅黑" w:cs="微软雅黑"/>
        </w:rPr>
        <w:t xml:space="preserve">供应商全称（公章）：        </w:t>
      </w:r>
      <w:r/>
    </w:p>
    <w:p>
      <w:pPr>
        <w:rPr>
          <w:rFonts w:hint="eastAsia" w:ascii="微软雅黑" w:hAnsi="微软雅黑" w:cs="微软雅黑"/>
        </w:rPr>
      </w:pPr>
      <w:r>
        <w:rPr>
          <w:rFonts w:hint="eastAsia" w:ascii="微软雅黑" w:hAnsi="微软雅黑" w:cs="微软雅黑"/>
        </w:rPr>
        <w:t xml:space="preserve">法定代表人（授权代表）（签字/盖章）：   </w:t>
      </w:r>
      <w:r/>
    </w:p>
    <w:p>
      <w:pPr>
        <w:pStyle w:val="1154"/>
        <w:ind w:left="0"/>
        <w:rPr>
          <w:rFonts w:hint="eastAsia" w:ascii="微软雅黑" w:hAnsi="微软雅黑" w:cs="微软雅黑"/>
        </w:rPr>
      </w:pPr>
      <w:r>
        <w:rPr>
          <w:rFonts w:hint="eastAsia" w:ascii="微软雅黑" w:hAnsi="微软雅黑" w:cs="微软雅黑"/>
        </w:rPr>
        <w:t xml:space="preserve">日期：</w:t>
      </w:r>
      <w:r/>
    </w:p>
    <w:p>
      <w:pPr>
        <w:ind w:firstLine="140"/>
        <w:spacing w:line="420" w:lineRule="exact"/>
        <w:rPr>
          <w:rFonts w:hint="eastAsia" w:ascii="微软雅黑" w:hAnsi="微软雅黑" w:cs="微软雅黑"/>
          <w:sz w:val="28"/>
        </w:rPr>
      </w:pPr>
      <w:r>
        <w:rPr>
          <w:rFonts w:hint="eastAsia" w:ascii="微软雅黑" w:hAnsi="微软雅黑" w:cs="微软雅黑"/>
          <w:sz w:val="28"/>
        </w:rPr>
      </w:r>
      <w:r/>
    </w:p>
    <w:p>
      <w:pPr>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投标供应商根据项目方案添加的设备、材料等也请列出。</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投标供应商必须仔细阅读本采购文件“第四章”中所有技术规范条款和相关功能要求，并对技术参数和功能偏离情况逐条列入上表，</w:t>
      </w:r>
      <w:r>
        <w:rPr>
          <w:rFonts w:hint="eastAsia" w:ascii="微软雅黑" w:hAnsi="微软雅黑"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投标供应商必须根据所投货物、工程或服务的实际情况如实填写，评委会如发现有虚假描述的，该投标文件视为无效。</w:t>
      </w:r>
      <w:r/>
    </w:p>
    <w:p>
      <w:pPr>
        <w:numPr>
          <w:ilvl w:val="3"/>
          <w:numId w:val="18"/>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若投标文件中出现技术参数和功能与此表表述不一致的，以此表为准。</w:t>
      </w:r>
      <w:r/>
    </w:p>
    <w:p>
      <w:pPr>
        <w:pStyle w:val="1154"/>
        <w:ind w:left="1260"/>
        <w:rPr>
          <w:rFonts w:hint="eastAsia" w:ascii="微软雅黑" w:hAnsi="微软雅黑" w:cs="微软雅黑"/>
          <w:szCs w:val="21"/>
        </w:rPr>
      </w:pPr>
      <w:r>
        <w:rPr>
          <w:rFonts w:hint="eastAsia" w:ascii="微软雅黑" w:hAnsi="微软雅黑" w:cs="微软雅黑"/>
          <w:szCs w:val="21"/>
        </w:rPr>
      </w:r>
      <w:r/>
    </w:p>
    <w:p>
      <w:pPr>
        <w:rPr>
          <w:rFonts w:hint="eastAsia" w:ascii="微软雅黑" w:hAnsi="微软雅黑" w:cs="微软雅黑"/>
          <w:szCs w:val="21"/>
        </w:rPr>
      </w:pPr>
      <w:r>
        <w:rPr>
          <w:rFonts w:hint="eastAsia" w:ascii="微软雅黑" w:hAnsi="微软雅黑" w:cs="微软雅黑"/>
          <w:szCs w:val="21"/>
        </w:rPr>
      </w:r>
      <w:r/>
    </w:p>
    <w:p>
      <w:pPr>
        <w:pStyle w:val="1154"/>
        <w:ind w:left="0"/>
        <w:rPr>
          <w:rFonts w:hint="eastAsia" w:ascii="微软雅黑" w:hAnsi="微软雅黑" w:cs="微软雅黑"/>
        </w:rPr>
      </w:pPr>
      <w:r>
        <w:rPr>
          <w:rFonts w:hint="eastAsia" w:ascii="微软雅黑" w:hAnsi="微软雅黑" w:cs="微软雅黑"/>
        </w:rPr>
      </w:r>
      <w:r/>
    </w:p>
    <w:p>
      <w:pPr>
        <w:pStyle w:val="1138"/>
        <w:rPr>
          <w:rFonts w:hint="eastAsia" w:ascii="微软雅黑" w:hAnsi="微软雅黑" w:eastAsia="微软雅黑" w:cs="微软雅黑"/>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bookmarkStart w:id="244" w:name="_Toc493455961"/>
      <w:r/>
      <w:bookmarkStart w:id="245" w:name="_Toc365968482"/>
      <w:r/>
      <w:r/>
    </w:p>
    <w:p>
      <w:pPr>
        <w:pStyle w:val="1138"/>
        <w:jc w:val="center"/>
        <w:spacing w:before="260" w:after="260" w:line="416" w:lineRule="auto"/>
        <w:rPr>
          <w:rFonts w:hint="eastAsia" w:ascii="微软雅黑" w:hAnsi="微软雅黑" w:eastAsia="微软雅黑" w:cs="微软雅黑"/>
          <w:b/>
          <w:sz w:val="24"/>
          <w:szCs w:val="24"/>
        </w:rPr>
      </w:pPr>
      <w:r/>
      <w:bookmarkStart w:id="246" w:name="_Toc13843"/>
      <w:r/>
      <w:bookmarkStart w:id="247" w:name="_Toc32589"/>
      <w:r/>
      <w:bookmarkStart w:id="248" w:name="_Toc3562"/>
      <w:r/>
      <w:bookmarkStart w:id="249" w:name="_Toc9969"/>
      <w:r/>
      <w:bookmarkStart w:id="250" w:name="_Toc12809"/>
      <w:r/>
      <w:bookmarkStart w:id="251" w:name="_Toc6066"/>
      <w:r>
        <w:rPr>
          <w:rFonts w:hint="eastAsia" w:ascii="微软雅黑" w:hAnsi="微软雅黑" w:eastAsia="微软雅黑" w:cs="微软雅黑"/>
          <w:b/>
          <w:sz w:val="24"/>
          <w:szCs w:val="24"/>
        </w:rPr>
        <w:t xml:space="preserve">5.商务要求响应表</w:t>
      </w:r>
      <w:bookmarkEnd w:id="244"/>
      <w:r/>
      <w:bookmarkEnd w:id="245"/>
      <w:r/>
      <w:bookmarkEnd w:id="246"/>
      <w:r/>
      <w:bookmarkEnd w:id="247"/>
      <w:r/>
      <w:bookmarkEnd w:id="248"/>
      <w:r/>
      <w:bookmarkEnd w:id="249"/>
      <w:r/>
      <w:bookmarkEnd w:id="250"/>
      <w:r/>
      <w:bookmarkEnd w:id="251"/>
      <w:r/>
      <w:r/>
    </w:p>
    <w:tbl>
      <w:tblPr>
        <w:tblStyle w:val="114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投标供应商的承诺或说明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微软雅黑" w:hAnsi="微软雅黑" w:cs="微软雅黑"/>
                <w:b/>
                <w:bCs/>
              </w:rPr>
            </w:pPr>
            <w:r>
              <w:rPr>
                <w:rFonts w:hint="eastAsia" w:ascii="微软雅黑" w:hAnsi="微软雅黑" w:cs="微软雅黑"/>
                <w:b/>
                <w:bCs/>
              </w:rPr>
              <w:t xml:space="preserve">偏离</w:t>
            </w:r>
            <w:r/>
          </w:p>
          <w:p>
            <w:pPr>
              <w:jc w:val="center"/>
              <w:rPr>
                <w:rFonts w:hint="eastAsia" w:ascii="微软雅黑" w:hAnsi="微软雅黑" w:cs="微软雅黑"/>
                <w:b/>
                <w:bCs/>
              </w:rPr>
            </w:pPr>
            <w:r>
              <w:rPr>
                <w:rFonts w:hint="eastAsia" w:ascii="微软雅黑" w:hAnsi="微软雅黑" w:cs="微软雅黑"/>
                <w:b/>
                <w:bCs/>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rPr>
            </w:pPr>
            <w:r>
              <w:rPr>
                <w:rFonts w:hint="eastAsia" w:ascii="微软雅黑" w:hAnsi="微软雅黑" w:cs="微软雅黑"/>
              </w:rPr>
            </w:r>
            <w:r/>
          </w:p>
        </w:tc>
      </w:tr>
    </w:tbl>
    <w:p>
      <w:pPr>
        <w:rPr>
          <w:rFonts w:hint="eastAsia" w:ascii="微软雅黑" w:hAnsi="微软雅黑" w:cs="微软雅黑"/>
        </w:rPr>
      </w:pPr>
      <w:r>
        <w:rPr>
          <w:rFonts w:hint="eastAsia" w:ascii="微软雅黑" w:hAnsi="微软雅黑" w:cs="微软雅黑"/>
        </w:rPr>
        <w:t xml:space="preserve">供应商全称（公章）：        </w:t>
      </w:r>
      <w:r/>
    </w:p>
    <w:p>
      <w:pPr>
        <w:rPr>
          <w:rFonts w:hint="eastAsia" w:ascii="微软雅黑" w:hAnsi="微软雅黑" w:cs="微软雅黑"/>
        </w:rPr>
      </w:pPr>
      <w:r>
        <w:rPr>
          <w:rFonts w:hint="eastAsia" w:ascii="微软雅黑" w:hAnsi="微软雅黑" w:cs="微软雅黑"/>
        </w:rPr>
        <w:t xml:space="preserve">法定代表人（授权代表）（签字/盖章）：   </w:t>
      </w:r>
      <w:r/>
    </w:p>
    <w:p>
      <w:pPr>
        <w:pStyle w:val="1154"/>
        <w:ind w:left="0"/>
        <w:rPr>
          <w:rFonts w:hint="eastAsia" w:ascii="微软雅黑" w:hAnsi="微软雅黑" w:cs="微软雅黑"/>
          <w:sz w:val="28"/>
          <w:szCs w:val="28"/>
        </w:rPr>
      </w:pPr>
      <w:r>
        <w:rPr>
          <w:rFonts w:hint="eastAsia" w:ascii="微软雅黑" w:hAnsi="微软雅黑" w:cs="微软雅黑"/>
        </w:rPr>
        <w:t xml:space="preserve">日期：</w:t>
      </w:r>
      <w:r/>
    </w:p>
    <w:p>
      <w:pPr>
        <w:rPr>
          <w:rFonts w:hint="eastAsia" w:ascii="微软雅黑" w:hAnsi="微软雅黑" w:cs="微软雅黑"/>
          <w:sz w:val="18"/>
          <w:szCs w:val="18"/>
        </w:rPr>
      </w:pPr>
      <w:r/>
      <w:bookmarkStart w:id="252" w:name="_Toc351733249"/>
      <w:r/>
      <w:bookmarkStart w:id="253" w:name="_Toc365968484"/>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p>
    <w:p>
      <w:pPr>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投标供应商根据项目添加的服务承诺、培训等也请列出。</w:t>
      </w:r>
      <w:r/>
    </w:p>
    <w:p>
      <w:pPr>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p>
    <w:p>
      <w:pPr>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投标供应商必须根据所将提供服务的实际情况如实填写，评委会如发现有虚假描述的，该投标文件视为无效。</w:t>
      </w:r>
      <w:r/>
    </w:p>
    <w:p>
      <w:pPr>
        <w:pStyle w:val="1154"/>
        <w:ind w:left="1260"/>
        <w:rPr>
          <w:rFonts w:hint="eastAsia" w:ascii="微软雅黑" w:hAnsi="微软雅黑" w:cs="微软雅黑"/>
          <w:sz w:val="18"/>
          <w:szCs w:val="18"/>
        </w:rPr>
      </w:pPr>
      <w:r>
        <w:rPr>
          <w:rFonts w:hint="eastAsia" w:ascii="微软雅黑" w:hAnsi="微软雅黑" w:cs="微软雅黑"/>
          <w:sz w:val="18"/>
          <w:szCs w:val="18"/>
        </w:rPr>
      </w:r>
      <w:r/>
    </w:p>
    <w:p>
      <w:pPr>
        <w:rPr>
          <w:rFonts w:hint="eastAsia" w:ascii="微软雅黑" w:hAnsi="微软雅黑" w:cs="微软雅黑"/>
          <w:sz w:val="18"/>
          <w:szCs w:val="18"/>
        </w:rPr>
      </w:pPr>
      <w:r>
        <w:rPr>
          <w:rFonts w:hint="eastAsia" w:ascii="微软雅黑" w:hAnsi="微软雅黑" w:cs="微软雅黑"/>
          <w:sz w:val="18"/>
          <w:szCs w:val="18"/>
        </w:rPr>
      </w:r>
      <w:r/>
    </w:p>
    <w:p>
      <w:pPr>
        <w:pStyle w:val="1154"/>
        <w:ind w:left="1260"/>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rPr>
      </w:pPr>
      <w:r>
        <w:rPr>
          <w:rFonts w:hint="eastAsia" w:ascii="微软雅黑" w:hAnsi="微软雅黑" w:cs="微软雅黑"/>
        </w:rPr>
      </w:r>
      <w:r/>
    </w:p>
    <w:p>
      <w:pPr>
        <w:rPr>
          <w:rFonts w:hint="eastAsia" w:ascii="微软雅黑" w:hAnsi="微软雅黑" w:cs="微软雅黑"/>
          <w:b/>
          <w:sz w:val="24"/>
          <w:szCs w:val="24"/>
        </w:rPr>
      </w:pPr>
      <w:r/>
      <w:bookmarkStart w:id="254" w:name="_Toc7701"/>
      <w:r/>
      <w:bookmarkStart w:id="255" w:name="_Toc6511"/>
      <w:r/>
      <w:bookmarkStart w:id="256" w:name="_Toc21386"/>
      <w:r/>
      <w:bookmarkStart w:id="257" w:name="_Toc32186"/>
      <w:r>
        <w:rPr>
          <w:rFonts w:hint="eastAsia" w:ascii="微软雅黑" w:hAnsi="微软雅黑" w:cs="微软雅黑"/>
          <w:b/>
          <w:sz w:val="24"/>
          <w:szCs w:val="24"/>
        </w:rPr>
        <w:br w:type="page" w:clear="all"/>
      </w:r>
      <w:r/>
    </w:p>
    <w:p>
      <w:pPr>
        <w:pStyle w:val="1138"/>
        <w:jc w:val="center"/>
        <w:rPr>
          <w:rFonts w:hint="eastAsia" w:ascii="微软雅黑" w:hAnsi="微软雅黑" w:eastAsia="微软雅黑" w:cs="微软雅黑"/>
          <w:b/>
          <w:sz w:val="24"/>
          <w:szCs w:val="24"/>
        </w:rPr>
      </w:pPr>
      <w:r/>
      <w:bookmarkStart w:id="258" w:name="_Toc24972"/>
      <w:r/>
      <w:bookmarkStart w:id="259" w:name="_Toc606"/>
      <w:r>
        <w:rPr>
          <w:rFonts w:hint="eastAsia" w:ascii="微软雅黑" w:hAnsi="微软雅黑" w:eastAsia="微软雅黑" w:cs="微软雅黑"/>
          <w:b/>
          <w:sz w:val="24"/>
          <w:szCs w:val="24"/>
        </w:rPr>
        <w:t xml:space="preserve">6.项目实施方案</w:t>
      </w:r>
      <w:bookmarkEnd w:id="252"/>
      <w:r/>
      <w:bookmarkEnd w:id="253"/>
      <w:r/>
      <w:bookmarkEnd w:id="254"/>
      <w:r/>
      <w:bookmarkEnd w:id="255"/>
      <w:r/>
      <w:bookmarkEnd w:id="256"/>
      <w:r/>
      <w:bookmarkEnd w:id="257"/>
      <w:r/>
      <w:bookmarkEnd w:id="258"/>
      <w:r/>
      <w:bookmarkEnd w:id="259"/>
      <w:r/>
      <w:r/>
    </w:p>
    <w:p>
      <w:pPr>
        <w:jc w:val="center"/>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jc w:val="center"/>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jc w:val="center"/>
        <w:spacing w:line="420" w:lineRule="exact"/>
        <w:rPr>
          <w:rFonts w:hint="eastAsia" w:ascii="微软雅黑" w:hAnsi="微软雅黑" w:cs="微软雅黑"/>
          <w:b/>
          <w:bCs/>
          <w:sz w:val="24"/>
          <w:szCs w:val="24"/>
        </w:rPr>
      </w:pPr>
      <w:r>
        <w:rPr>
          <w:rFonts w:hint="eastAsia" w:ascii="微软雅黑" w:hAnsi="微软雅黑" w:cs="微软雅黑"/>
          <w:b/>
          <w:bCs/>
          <w:sz w:val="24"/>
          <w:szCs w:val="24"/>
        </w:rPr>
      </w:r>
      <w:r/>
    </w:p>
    <w:p>
      <w:pPr>
        <w:jc w:val="center"/>
        <w:spacing w:line="420" w:lineRule="exact"/>
        <w:rPr>
          <w:rFonts w:hint="eastAsia" w:ascii="微软雅黑" w:hAnsi="微软雅黑" w:cs="微软雅黑"/>
          <w:b/>
          <w:bCs/>
          <w:sz w:val="28"/>
          <w:szCs w:val="28"/>
        </w:rPr>
      </w:pPr>
      <w:r>
        <w:rPr>
          <w:rFonts w:hint="eastAsia" w:ascii="微软雅黑" w:hAnsi="微软雅黑" w:cs="微软雅黑"/>
          <w:b/>
          <w:bCs/>
          <w:sz w:val="28"/>
          <w:szCs w:val="28"/>
        </w:rPr>
      </w:r>
      <w:r/>
    </w:p>
    <w:p>
      <w:pPr>
        <w:jc w:val="center"/>
        <w:spacing w:before="4" w:line="420" w:lineRule="exact"/>
        <w:widowControl/>
        <w:rPr>
          <w:rFonts w:hint="eastAsia" w:ascii="微软雅黑" w:hAnsi="微软雅黑" w:cs="微软雅黑"/>
          <w:szCs w:val="21"/>
        </w:rPr>
      </w:pPr>
      <w:r>
        <w:rPr>
          <w:rFonts w:hint="eastAsia" w:ascii="微软雅黑" w:hAnsi="微软雅黑" w:cs="微软雅黑"/>
          <w:szCs w:val="21"/>
        </w:rPr>
      </w:r>
      <w:r/>
    </w:p>
    <w:p>
      <w:pPr>
        <w:pStyle w:val="1138"/>
        <w:jc w:val="center"/>
        <w:rPr>
          <w:rFonts w:hint="eastAsia" w:ascii="微软雅黑" w:hAnsi="微软雅黑" w:eastAsia="微软雅黑" w:cs="微软雅黑"/>
          <w:b/>
          <w:sz w:val="24"/>
          <w:szCs w:val="24"/>
        </w:rPr>
      </w:pPr>
      <w:r/>
      <w:bookmarkStart w:id="260" w:name="_Toc23735"/>
      <w:r/>
      <w:bookmarkStart w:id="261" w:name="_Toc31213"/>
      <w:r/>
      <w:bookmarkStart w:id="262" w:name="_Toc30534"/>
      <w:r/>
      <w:bookmarkStart w:id="263" w:name="_Toc9652"/>
      <w:r/>
      <w:bookmarkStart w:id="264" w:name="_Toc15270"/>
      <w:r/>
      <w:bookmarkStart w:id="265" w:name="_Toc24270"/>
      <w:r/>
      <w:bookmarkStart w:id="266" w:name="_Toc397526836"/>
      <w:r/>
      <w:bookmarkStart w:id="267" w:name="_Toc449976348"/>
      <w:r/>
      <w:bookmarkStart w:id="268" w:name="_Toc457827980"/>
      <w:r>
        <w:rPr>
          <w:rFonts w:hint="eastAsia" w:ascii="微软雅黑" w:hAnsi="微软雅黑" w:eastAsia="微软雅黑" w:cs="微软雅黑"/>
          <w:b/>
          <w:sz w:val="24"/>
          <w:szCs w:val="24"/>
        </w:rPr>
        <w:t xml:space="preserve">7.售后服务方案</w:t>
      </w:r>
      <w:bookmarkEnd w:id="260"/>
      <w:r/>
      <w:bookmarkEnd w:id="261"/>
      <w:r/>
      <w:bookmarkEnd w:id="262"/>
      <w:r/>
      <w:bookmarkEnd w:id="263"/>
      <w:r/>
      <w:bookmarkEnd w:id="264"/>
      <w:r/>
      <w:bookmarkEnd w:id="265"/>
      <w:r/>
      <w:r/>
    </w:p>
    <w:p>
      <w:pPr>
        <w:rPr>
          <w:rFonts w:hint="eastAsia" w:ascii="微软雅黑" w:hAnsi="微软雅黑" w:cs="微软雅黑"/>
        </w:rPr>
      </w:pPr>
      <w:r/>
      <w:bookmarkStart w:id="269" w:name="_Toc493246896"/>
      <w:r/>
      <w:bookmarkStart w:id="270" w:name="_Toc481681071"/>
      <w:r/>
      <w:bookmarkStart w:id="271" w:name="_Toc459327385"/>
      <w:r/>
      <w:bookmarkStart w:id="272" w:name="_Toc475540203"/>
      <w:r/>
      <w:r/>
    </w:p>
    <w:p>
      <w:pPr>
        <w:rPr>
          <w:rFonts w:hint="eastAsia" w:ascii="微软雅黑" w:hAnsi="微软雅黑" w:cs="微软雅黑"/>
        </w:rPr>
      </w:pPr>
      <w:r>
        <w:rPr>
          <w:rFonts w:hint="eastAsia" w:ascii="微软雅黑" w:hAnsi="微软雅黑" w:cs="微软雅黑"/>
        </w:rPr>
      </w:r>
      <w:bookmarkEnd w:id="266"/>
      <w:r/>
      <w:bookmarkEnd w:id="267"/>
      <w:r/>
      <w:bookmarkEnd w:id="268"/>
      <w:r/>
      <w:bookmarkEnd w:id="269"/>
      <w:r/>
      <w:bookmarkEnd w:id="270"/>
      <w:r/>
      <w:bookmarkEnd w:id="271"/>
      <w:r/>
      <w:bookmarkEnd w:id="272"/>
      <w:r/>
      <w:r/>
    </w:p>
    <w:p>
      <w:pPr>
        <w:rPr>
          <w:rFonts w:hint="eastAsia" w:ascii="微软雅黑" w:hAnsi="微软雅黑" w:cs="微软雅黑"/>
        </w:rPr>
      </w:pPr>
      <w:r>
        <w:rPr>
          <w:rFonts w:hint="eastAsia" w:ascii="微软雅黑" w:hAnsi="微软雅黑" w:cs="微软雅黑"/>
        </w:rPr>
      </w:r>
      <w:r/>
    </w:p>
    <w:p>
      <w:pPr>
        <w:pStyle w:val="1138"/>
        <w:jc w:val="center"/>
        <w:rPr>
          <w:rFonts w:hint="eastAsia" w:ascii="微软雅黑" w:hAnsi="微软雅黑" w:eastAsia="微软雅黑" w:cs="微软雅黑"/>
          <w:b/>
          <w:sz w:val="24"/>
          <w:szCs w:val="24"/>
        </w:rPr>
      </w:pPr>
      <w:r>
        <w:rPr>
          <w:rFonts w:hint="eastAsia" w:ascii="微软雅黑" w:hAnsi="微软雅黑" w:eastAsia="微软雅黑" w:cs="微软雅黑"/>
        </w:rPr>
        <w:br w:type="page" w:clear="all"/>
      </w:r>
      <w:bookmarkStart w:id="273" w:name="_Toc30482"/>
      <w:r/>
      <w:bookmarkStart w:id="274" w:name="_Toc32438"/>
      <w:r/>
      <w:bookmarkStart w:id="275" w:name="_Toc10525"/>
      <w:r/>
      <w:bookmarkStart w:id="276" w:name="_Toc2821"/>
      <w:r/>
      <w:bookmarkStart w:id="277" w:name="_Toc24136"/>
      <w:r/>
      <w:bookmarkStart w:id="278" w:name="_Toc27939"/>
      <w:r>
        <w:rPr>
          <w:rFonts w:hint="eastAsia" w:ascii="微软雅黑" w:hAnsi="微软雅黑" w:eastAsia="微软雅黑" w:cs="微软雅黑"/>
          <w:b/>
          <w:sz w:val="24"/>
          <w:szCs w:val="24"/>
        </w:rPr>
        <w:t xml:space="preserve">8.经营业绩（提供合同复印件）</w:t>
      </w:r>
      <w:bookmarkEnd w:id="273"/>
      <w:r/>
      <w:bookmarkEnd w:id="274"/>
      <w:r/>
      <w:bookmarkEnd w:id="275"/>
      <w:r/>
      <w:bookmarkEnd w:id="276"/>
      <w:r/>
      <w:bookmarkEnd w:id="277"/>
      <w:r/>
      <w:bookmarkEnd w:id="278"/>
      <w:r/>
      <w:r/>
    </w:p>
    <w:tbl>
      <w:tblPr>
        <w:tblStyle w:val="11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6"/>
        <w:gridCol w:w="2011"/>
        <w:gridCol w:w="1752"/>
        <w:gridCol w:w="1116"/>
        <w:gridCol w:w="1132"/>
        <w:gridCol w:w="1682"/>
      </w:tblGrid>
      <w:tr>
        <w:trPr>
          <w:trHeight w:val="421"/>
        </w:trPr>
        <w:tc>
          <w:tcPr>
            <w:tcW w:w="365"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p>
        </w:tc>
        <w:tc>
          <w:tcPr>
            <w:tcW w:w="1211"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p>
        </w:tc>
        <w:tc>
          <w:tcPr>
            <w:tcW w:w="1055"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p>
        </w:tc>
        <w:tc>
          <w:tcPr>
            <w:tcW w:w="672" w:type="pct"/>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p>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p>
        </w:tc>
        <w:tc>
          <w:tcPr>
            <w:tcW w:w="682"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p>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p>
        </w:tc>
        <w:tc>
          <w:tcPr>
            <w:tcW w:w="1013" w:type="pct"/>
            <w:vAlign w:val="center"/>
            <w:textDirection w:val="lrTb"/>
            <w:noWrap w:val="false"/>
          </w:tcPr>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p>
          <w:p>
            <w:pPr>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r>
        <w:trPr>
          <w:trHeight w:val="437"/>
        </w:trPr>
        <w:tc>
          <w:tcPr>
            <w:tcW w:w="36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211"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55"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72" w:type="pct"/>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682"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c>
          <w:tcPr>
            <w:tcW w:w="1013" w:type="pct"/>
            <w:vAlign w:val="center"/>
            <w:textDirection w:val="lrTb"/>
            <w:noWrap w:val="false"/>
          </w:tcPr>
          <w:p>
            <w:pPr>
              <w:rPr>
                <w:rFonts w:hint="eastAsia" w:ascii="微软雅黑" w:hAnsi="微软雅黑" w:cs="微软雅黑"/>
                <w:sz w:val="18"/>
                <w:szCs w:val="20"/>
              </w:rPr>
            </w:pPr>
            <w:r>
              <w:rPr>
                <w:rFonts w:hint="eastAsia" w:ascii="微软雅黑" w:hAnsi="微软雅黑" w:cs="微软雅黑"/>
                <w:sz w:val="18"/>
                <w:szCs w:val="20"/>
              </w:rPr>
            </w:r>
            <w:r/>
          </w:p>
        </w:tc>
      </w:tr>
    </w:tbl>
    <w:p>
      <w:pPr>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rPr>
          <w:rFonts w:hint="eastAsia" w:ascii="微软雅黑" w:hAnsi="微软雅黑" w:cs="微软雅黑"/>
        </w:rPr>
      </w:pPr>
      <w:r>
        <w:rPr>
          <w:rFonts w:hint="eastAsia" w:ascii="微软雅黑" w:hAnsi="微软雅黑" w:cs="微软雅黑"/>
        </w:rPr>
        <w:t xml:space="preserve">供应商全称（公章）：        </w:t>
      </w:r>
      <w:r/>
    </w:p>
    <w:p>
      <w:pPr>
        <w:pStyle w:val="1154"/>
        <w:ind w:left="0"/>
        <w:rPr>
          <w:rFonts w:hint="eastAsia" w:ascii="微软雅黑" w:hAnsi="微软雅黑" w:cs="微软雅黑"/>
          <w:sz w:val="28"/>
          <w:szCs w:val="28"/>
        </w:rPr>
      </w:pPr>
      <w:r>
        <w:rPr>
          <w:rFonts w:hint="eastAsia" w:ascii="微软雅黑" w:hAnsi="微软雅黑" w:cs="微软雅黑"/>
        </w:rPr>
        <w:t xml:space="preserve">日期：</w:t>
      </w:r>
      <w:r/>
    </w:p>
    <w:p>
      <w:pPr>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w:t>
      </w:r>
      <w:r/>
    </w:p>
    <w:p>
      <w:pPr>
        <w:ind w:firstLine="360"/>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p>
    <w:p>
      <w:pPr>
        <w:ind w:firstLine="360"/>
        <w:spacing w:before="19" w:line="420" w:lineRule="exact"/>
        <w:widowControl/>
        <w:rPr>
          <w:rFonts w:hint="eastAsia" w:ascii="微软雅黑" w:hAnsi="微软雅黑" w:cs="微软雅黑"/>
          <w:sz w:val="18"/>
          <w:szCs w:val="18"/>
        </w:rPr>
      </w:pPr>
      <w:r>
        <w:rPr>
          <w:rFonts w:hint="eastAsia" w:ascii="微软雅黑" w:hAnsi="微软雅黑" w:cs="微软雅黑"/>
          <w:sz w:val="18"/>
          <w:szCs w:val="18"/>
        </w:rPr>
      </w:r>
      <w:r/>
    </w:p>
    <w:p>
      <w:pPr>
        <w:ind w:firstLine="360"/>
        <w:spacing w:before="19" w:line="420" w:lineRule="exact"/>
        <w:widowControl/>
        <w:rPr>
          <w:rFonts w:hint="eastAsia" w:ascii="微软雅黑" w:hAnsi="微软雅黑" w:cs="微软雅黑"/>
          <w:sz w:val="18"/>
          <w:szCs w:val="18"/>
        </w:rPr>
      </w:pPr>
      <w:r>
        <w:rPr>
          <w:rFonts w:hint="eastAsia" w:ascii="微软雅黑" w:hAnsi="微软雅黑" w:cs="微软雅黑"/>
          <w:sz w:val="18"/>
          <w:szCs w:val="18"/>
        </w:rPr>
      </w:r>
      <w:r/>
    </w:p>
    <w:p>
      <w:pPr>
        <w:ind w:firstLine="360"/>
        <w:spacing w:before="19" w:line="420" w:lineRule="exact"/>
        <w:widowControl/>
        <w:rPr>
          <w:rFonts w:hint="eastAsia" w:ascii="微软雅黑" w:hAnsi="微软雅黑" w:cs="微软雅黑"/>
          <w:b/>
          <w:szCs w:val="21"/>
        </w:rPr>
      </w:pPr>
      <w:r>
        <w:rPr>
          <w:rFonts w:hint="eastAsia" w:ascii="微软雅黑" w:hAnsi="微软雅黑" w:cs="微软雅黑"/>
          <w:sz w:val="18"/>
          <w:szCs w:val="18"/>
        </w:rPr>
        <w:t xml:space="preserve"> </w:t>
      </w:r>
      <w:r>
        <w:rPr>
          <w:rFonts w:hint="eastAsia" w:ascii="微软雅黑" w:hAnsi="微软雅黑" w:cs="微软雅黑"/>
          <w:b/>
          <w:i/>
          <w:iCs/>
          <w:sz w:val="24"/>
          <w:szCs w:val="24"/>
          <w:u w:val="single"/>
        </w:rPr>
        <w:t xml:space="preserve">注： 1－5项为必须提供的内容，未提供或未按要求提供将不能通过符合性审查。</w:t>
      </w:r>
      <w:r/>
    </w:p>
    <w:p>
      <w:pPr>
        <w:pStyle w:val="1137"/>
        <w:numPr>
          <w:ilvl w:val="0"/>
          <w:numId w:val="19"/>
        </w:numPr>
        <w:jc w:val="center"/>
        <w:rPr>
          <w:rFonts w:hint="eastAsia" w:ascii="微软雅黑" w:hAnsi="微软雅黑" w:eastAsia="微软雅黑" w:cs="微软雅黑"/>
          <w:b/>
          <w:bCs/>
          <w:sz w:val="28"/>
          <w:szCs w:val="32"/>
        </w:rPr>
      </w:pPr>
      <w:r/>
      <w:bookmarkStart w:id="279" w:name="__x000F_二、资格证明文件"/>
      <w:r>
        <w:rPr>
          <w:rFonts w:hint="eastAsia" w:ascii="微软雅黑" w:hAnsi="微软雅黑" w:eastAsia="微软雅黑" w:cs="微软雅黑"/>
        </w:rPr>
        <w:br w:type="page" w:clear="all"/>
      </w:r>
      <w:bookmarkEnd w:id="279"/>
      <w:r/>
      <w:bookmarkStart w:id="280" w:name="_Toc1146"/>
      <w:r/>
      <w:bookmarkStart w:id="281" w:name="_Toc13809"/>
      <w:r/>
      <w:bookmarkStart w:id="282" w:name="_Toc7939"/>
      <w:r/>
      <w:bookmarkStart w:id="283" w:name="_Toc24805"/>
      <w:r/>
      <w:bookmarkStart w:id="284" w:name="_Toc19940"/>
      <w:r/>
      <w:bookmarkStart w:id="285" w:name="_Toc6245"/>
      <w:r>
        <w:rPr>
          <w:rFonts w:hint="eastAsia" w:ascii="微软雅黑" w:hAnsi="微软雅黑" w:eastAsia="微软雅黑" w:cs="微软雅黑"/>
          <w:b/>
          <w:bCs/>
          <w:sz w:val="28"/>
          <w:szCs w:val="32"/>
        </w:rPr>
        <w:t xml:space="preserve">资格证明文件格式</w:t>
      </w:r>
      <w:bookmarkEnd w:id="280"/>
      <w:r/>
      <w:bookmarkEnd w:id="281"/>
      <w:r/>
      <w:bookmarkEnd w:id="282"/>
      <w:r/>
      <w:bookmarkEnd w:id="283"/>
      <w:r/>
      <w:bookmarkEnd w:id="284"/>
      <w:r/>
      <w:bookmarkEnd w:id="285"/>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1.2具有良好的商业信誉和健全的财务会计制度（提供</w:t>
      </w:r>
      <w:r>
        <w:rPr>
          <w:rFonts w:hint="eastAsia" w:ascii="微软雅黑" w:hAnsi="微软雅黑" w:cs="微软雅黑"/>
          <w:szCs w:val="21"/>
          <w:lang w:eastAsia="zh-CN"/>
        </w:rPr>
        <w:t xml:space="preserve">2026年4月</w:t>
      </w:r>
      <w:r>
        <w:rPr>
          <w:rFonts w:hint="eastAsia" w:ascii="微软雅黑" w:hAnsi="微软雅黑" w:cs="微软雅黑"/>
          <w:szCs w:val="21"/>
        </w:rPr>
        <w:t xml:space="preserve">至投标截止时间前任一月份的资产负债表和利润表，或2025年度审计报告（包括报告及报告中所附的完整内容，并由注册会计师签名、盖章以及会计师事务所盖章），或银行出具的资信证明，或财政部门认可的专业担保机构出具的投标担保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1.4.1有依法缴纳税收和社会保障资金的良好记录（提供</w:t>
      </w:r>
      <w:r>
        <w:rPr>
          <w:rFonts w:hint="eastAsia" w:ascii="微软雅黑" w:hAnsi="微软雅黑" w:cs="微软雅黑"/>
          <w:szCs w:val="21"/>
          <w:lang w:eastAsia="zh-CN"/>
        </w:rPr>
        <w:t xml:space="preserve">2026年4月</w:t>
      </w:r>
      <w:r>
        <w:rPr>
          <w:rFonts w:hint="eastAsia" w:ascii="微软雅黑" w:hAnsi="微软雅黑" w:cs="微软雅黑"/>
          <w:szCs w:val="21"/>
        </w:rPr>
        <w:t xml:space="preserve">至投标截止时间前任一月份依法缴纳税收的凭据（企业代缴的个人所得税除外）。依法免税的投标供应商，应提供相应文件证明）；</w:t>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1.4.2有依法缴纳社会保障资金的良好记录（提供</w:t>
      </w:r>
      <w:r>
        <w:rPr>
          <w:rFonts w:hint="eastAsia" w:ascii="微软雅黑" w:hAnsi="微软雅黑" w:cs="微软雅黑"/>
          <w:szCs w:val="21"/>
          <w:lang w:eastAsia="zh-CN"/>
        </w:rPr>
        <w:t xml:space="preserve">2026年4月</w:t>
      </w:r>
      <w:r>
        <w:rPr>
          <w:rFonts w:hint="eastAsia" w:ascii="微软雅黑" w:hAnsi="微软雅黑" w:cs="微软雅黑"/>
          <w:szCs w:val="21"/>
        </w:rPr>
        <w:t xml:space="preserve">至投标截止时间前任一月份依法缴纳社会保险的凭据（专用收据或社会保险的凭据）。依法不需要缴纳社会保障资金的投标供应商，应提供相应文件证明）；</w:t>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jc w:val="center"/>
        <w:spacing w:before="156"/>
        <w:rPr>
          <w:rFonts w:hint="eastAsia" w:ascii="微软雅黑" w:hAnsi="微软雅黑" w:cs="微软雅黑"/>
          <w:b/>
          <w:bCs/>
          <w:sz w:val="24"/>
          <w:szCs w:val="24"/>
        </w:rPr>
      </w:pPr>
      <w:r>
        <w:rPr>
          <w:rFonts w:hint="eastAsia" w:ascii="微软雅黑" w:hAnsi="微软雅黑" w:cs="微软雅黑"/>
          <w:b/>
          <w:bCs/>
          <w:sz w:val="24"/>
          <w:szCs w:val="24"/>
        </w:rPr>
        <w:t xml:space="preserve">声  明</w:t>
      </w:r>
      <w:r/>
    </w:p>
    <w:p>
      <w:pPr>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spacing w:line="360" w:lineRule="auto"/>
        <w:rPr>
          <w:rFonts w:hint="eastAsia" w:ascii="微软雅黑" w:hAnsi="微软雅黑" w:cs="微软雅黑"/>
          <w:sz w:val="24"/>
          <w:szCs w:val="24"/>
        </w:rPr>
      </w:pPr>
      <w:r>
        <w:rPr>
          <w:rFonts w:hint="eastAsia" w:ascii="微软雅黑" w:hAnsi="微软雅黑" w:cs="微软雅黑"/>
          <w:sz w:val="24"/>
          <w:szCs w:val="24"/>
        </w:rPr>
      </w:r>
      <w:r/>
    </w:p>
    <w:p>
      <w:pPr>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p>
    <w:p>
      <w:pPr>
        <w:spacing w:line="360" w:lineRule="auto"/>
        <w:rPr>
          <w:rFonts w:hint="eastAsia" w:ascii="微软雅黑" w:hAnsi="微软雅黑" w:cs="微软雅黑"/>
          <w:szCs w:val="21"/>
        </w:rPr>
      </w:pPr>
      <w:r>
        <w:rPr>
          <w:rFonts w:hint="eastAsia" w:ascii="微软雅黑" w:hAnsi="微软雅黑" w:cs="微软雅黑"/>
          <w:szCs w:val="21"/>
        </w:rPr>
        <w:t xml:space="preserve">                      法定代表人（或授权代表）签章/签字：</w:t>
      </w:r>
      <w:r/>
    </w:p>
    <w:p>
      <w:pPr>
        <w:spacing w:line="360" w:lineRule="auto"/>
        <w:rPr>
          <w:rFonts w:hint="eastAsia" w:ascii="微软雅黑" w:hAnsi="微软雅黑" w:cs="微软雅黑"/>
          <w:szCs w:val="21"/>
        </w:rPr>
      </w:pPr>
      <w:r>
        <w:rPr>
          <w:rFonts w:hint="eastAsia" w:ascii="微软雅黑" w:hAnsi="微软雅黑" w:cs="微软雅黑"/>
          <w:szCs w:val="21"/>
        </w:rPr>
        <w:t xml:space="preserve">                      日期：</w:t>
      </w:r>
      <w:r/>
    </w:p>
    <w:p>
      <w:pPr>
        <w:pStyle w:val="1154"/>
        <w:ind w:left="0"/>
        <w:rPr>
          <w:rFonts w:hint="eastAsia" w:ascii="微软雅黑" w:hAnsi="微软雅黑" w:cs="微软雅黑"/>
          <w:szCs w:val="21"/>
        </w:rPr>
      </w:pPr>
      <w:r>
        <w:rPr>
          <w:rFonts w:hint="eastAsia" w:ascii="微软雅黑" w:hAnsi="微软雅黑" w:cs="微软雅黑"/>
          <w:szCs w:val="21"/>
        </w:rPr>
      </w:r>
      <w:r/>
    </w:p>
    <w:p>
      <w:pPr>
        <w:pStyle w:val="1154"/>
        <w:ind w:left="0"/>
        <w:spacing w:line="400" w:lineRule="exact"/>
        <w:rPr>
          <w:rFonts w:hint="eastAsia" w:ascii="微软雅黑" w:hAnsi="微软雅黑" w:cs="微软雅黑"/>
          <w:b/>
          <w:bCs/>
          <w:szCs w:val="21"/>
        </w:rPr>
      </w:pPr>
      <w:r>
        <w:rPr>
          <w:rFonts w:hint="eastAsia" w:ascii="微软雅黑" w:hAnsi="微软雅黑" w:cs="微软雅黑"/>
          <w:b/>
          <w:bCs/>
          <w:szCs w:val="21"/>
        </w:rPr>
        <w:t xml:space="preserve">注：</w:t>
      </w:r>
      <w:r/>
    </w:p>
    <w:p>
      <w:pPr>
        <w:pStyle w:val="1154"/>
        <w:numPr>
          <w:ilvl w:val="0"/>
          <w:numId w:val="20"/>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   照、较大数额罚款等行政处罚。</w:t>
      </w:r>
      <w:r/>
    </w:p>
    <w:p>
      <w:pPr>
        <w:pStyle w:val="1154"/>
        <w:ind w:left="0"/>
        <w:spacing w:line="400" w:lineRule="exact"/>
        <w:rPr>
          <w:rFonts w:hint="eastAsia" w:ascii="微软雅黑" w:hAnsi="微软雅黑" w:cs="微软雅黑"/>
          <w:b/>
          <w:bCs/>
          <w:spacing w:val="-5"/>
        </w:rPr>
      </w:pPr>
      <w:r>
        <w:rPr>
          <w:rFonts w:hint="eastAsia" w:ascii="微软雅黑" w:hAnsi="微软雅黑" w:cs="微软雅黑"/>
          <w:b/>
          <w:bCs/>
          <w:szCs w:val="21"/>
        </w:rPr>
        <w:t xml:space="preserve">2. 较大数额罚款标准参照财库[2022]3号文规定执行，指的是200万元以上数额。</w:t>
      </w:r>
      <w:r/>
    </w:p>
    <w:p>
      <w:pPr>
        <w:ind w:firstLine="420"/>
        <w:spacing w:line="42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pPr>
        <w:rPr>
          <w:rFonts w:hint="eastAsia" w:ascii="微软雅黑" w:hAnsi="微软雅黑" w:cs="微软雅黑"/>
        </w:rPr>
      </w:pPr>
      <w:r>
        <w:rPr>
          <w:rFonts w:hint="eastAsia" w:ascii="微软雅黑" w:hAnsi="微软雅黑" w:cs="微软雅黑"/>
        </w:rPr>
      </w:r>
      <w:r/>
    </w:p>
    <w:p>
      <w:pPr>
        <w:pStyle w:val="1138"/>
        <w:jc w:val="center"/>
        <w:rPr>
          <w:rFonts w:hint="eastAsia" w:ascii="微软雅黑" w:hAnsi="微软雅黑" w:eastAsia="微软雅黑" w:cs="微软雅黑"/>
          <w:b/>
          <w:bCs/>
          <w:szCs w:val="28"/>
        </w:rPr>
      </w:pPr>
      <w:r/>
      <w:bookmarkStart w:id="286" w:name="_Toc20940"/>
      <w:r/>
      <w:bookmarkStart w:id="287" w:name="_Toc8288"/>
      <w:r/>
      <w:bookmarkStart w:id="288" w:name="_Toc16145"/>
      <w:r/>
      <w:bookmarkStart w:id="289" w:name="_Toc6592"/>
      <w:r/>
      <w:bookmarkStart w:id="290" w:name="_Toc23461"/>
      <w:r/>
      <w:bookmarkStart w:id="291" w:name="_Toc15819"/>
      <w:r/>
      <w:bookmarkStart w:id="292" w:name="_Toc3266"/>
      <w:r/>
      <w:bookmarkStart w:id="293" w:name="_Toc22706"/>
      <w:r>
        <w:rPr>
          <w:rFonts w:hint="eastAsia" w:ascii="微软雅黑" w:hAnsi="微软雅黑" w:eastAsia="微软雅黑" w:cs="微软雅黑"/>
          <w:b/>
          <w:bCs/>
          <w:szCs w:val="28"/>
        </w:rPr>
        <w:t xml:space="preserve">法人授权委托书</w:t>
      </w:r>
      <w:bookmarkEnd w:id="286"/>
      <w:r/>
      <w:bookmarkEnd w:id="287"/>
      <w:r/>
      <w:bookmarkEnd w:id="288"/>
      <w:r/>
      <w:bookmarkEnd w:id="289"/>
      <w:r/>
      <w:bookmarkEnd w:id="290"/>
      <w:r/>
      <w:bookmarkEnd w:id="291"/>
      <w:r/>
      <w:bookmarkEnd w:id="292"/>
      <w:r/>
      <w:bookmarkEnd w:id="293"/>
      <w:r/>
      <w:r/>
    </w:p>
    <w:p>
      <w:pPr>
        <w:spacing w:line="440" w:lineRule="exact"/>
        <w:rPr>
          <w:rFonts w:hint="eastAsia" w:ascii="微软雅黑" w:hAnsi="微软雅黑" w:cs="微软雅黑"/>
        </w:rPr>
      </w:pPr>
      <w:r>
        <w:rPr>
          <w:rFonts w:hint="eastAsia" w:ascii="微软雅黑" w:hAnsi="微软雅黑" w:cs="微软雅黑"/>
        </w:rPr>
        <w:t xml:space="preserve">江苏省华采招标有限公司：</w:t>
      </w:r>
      <w:r/>
    </w:p>
    <w:p>
      <w:pPr>
        <w:spacing w:line="440" w:lineRule="exact"/>
        <w:rPr>
          <w:rFonts w:hint="eastAsia" w:ascii="微软雅黑" w:hAnsi="微软雅黑" w:cs="微软雅黑"/>
        </w:rPr>
      </w:pPr>
      <w:r>
        <w:rPr>
          <w:rFonts w:hint="eastAsia" w:ascii="微软雅黑" w:hAnsi="微软雅黑" w:cs="微软雅黑"/>
        </w:rPr>
        <w:t xml:space="preserve">    本授权书宣告：</w:t>
      </w:r>
      <w:r/>
    </w:p>
    <w:p>
      <w:pPr>
        <w:ind w:firstLine="420"/>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p>
    <w:p>
      <w:pPr>
        <w:ind w:firstLine="420"/>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p>
    <w:p>
      <w:pPr>
        <w:ind w:firstLine="420"/>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p>
    <w:p>
      <w:pPr>
        <w:ind w:firstLine="420"/>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p>
    <w:p>
      <w:pPr>
        <w:ind w:firstLine="420"/>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p>
    <w:p>
      <w:pPr>
        <w:ind w:firstLine="420"/>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p>
    <w:p>
      <w:pPr>
        <w:ind w:firstLine="420"/>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p>
    <w:p>
      <w:pPr>
        <w:ind w:firstLine="420"/>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p>
    <w:p>
      <w:pPr>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12" o:spid="_x0000_s12" o:spt="202" type="#_x0000_t202" style="position:absolute;z-index:251667456;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4"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3" o:spid="_x0000_s13" o:spt="202" type="#_x0000_t202" style="position:absolute;z-index:251666432;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rPr>
        <w:t xml:space="preserve">附：</w:t>
      </w:r>
      <w:r/>
    </w:p>
    <w:p>
      <w:pPr>
        <w:spacing w:line="440" w:lineRule="exact"/>
        <w:rPr>
          <w:rFonts w:hint="eastAsia" w:ascii="微软雅黑" w:hAnsi="微软雅黑" w:cs="微软雅黑"/>
        </w:rPr>
      </w:pPr>
      <w:r>
        <w:rPr>
          <w:rFonts w:hint="eastAsia" w:ascii="微软雅黑" w:hAnsi="微软雅黑" w:cs="微软雅黑"/>
        </w:rPr>
      </w:r>
      <w:r/>
    </w:p>
    <w:p>
      <w:pPr>
        <w:spacing w:line="440" w:lineRule="exact"/>
        <w:rPr>
          <w:rFonts w:hint="eastAsia" w:ascii="微软雅黑" w:hAnsi="微软雅黑" w:cs="微软雅黑"/>
        </w:rPr>
      </w:pPr>
      <w:r>
        <w:rPr>
          <w:rFonts w:hint="eastAsia" w:ascii="微软雅黑" w:hAnsi="微软雅黑" w:cs="微软雅黑"/>
        </w:rPr>
      </w:r>
      <w:r/>
    </w:p>
    <w:p>
      <w:pPr>
        <w:spacing w:line="440" w:lineRule="exact"/>
        <w:rPr>
          <w:rFonts w:hint="eastAsia" w:ascii="微软雅黑" w:hAnsi="微软雅黑" w:cs="微软雅黑"/>
        </w:rPr>
      </w:pPr>
      <w:r>
        <w:rPr>
          <w:rFonts w:hint="eastAsia" w:ascii="微软雅黑" w:hAnsi="微软雅黑" w:cs="微软雅黑"/>
        </w:rPr>
      </w:r>
      <w:r/>
    </w:p>
    <w:p>
      <w:pPr>
        <w:jc w:val="right"/>
        <w:spacing w:line="440" w:lineRule="exact"/>
        <w:rPr>
          <w:rFonts w:hint="eastAsia" w:ascii="微软雅黑" w:hAnsi="微软雅黑" w:cs="微软雅黑"/>
        </w:rPr>
      </w:pPr>
      <w:r>
        <w:rPr>
          <w:rFonts w:hint="eastAsia" w:ascii="微软雅黑" w:hAnsi="微软雅黑" w:cs="微软雅黑"/>
        </w:rPr>
        <w:t xml:space="preserve">              委托单位：    （公章）                     </w:t>
      </w:r>
      <w:r/>
    </w:p>
    <w:p>
      <w:pPr>
        <w:jc w:val="right"/>
        <w:spacing w:line="440" w:lineRule="exact"/>
        <w:rPr>
          <w:rFonts w:hint="eastAsia" w:ascii="微软雅黑" w:hAnsi="微软雅黑" w:cs="微软雅黑"/>
        </w:rPr>
      </w:pPr>
      <w:r>
        <w:rPr>
          <w:rFonts w:hint="eastAsia" w:ascii="微软雅黑" w:hAnsi="微软雅黑" w:cs="微软雅黑"/>
        </w:rPr>
        <w:t xml:space="preserve">                               法定代表人：  （签字/盖章）</w:t>
      </w:r>
      <w:r/>
    </w:p>
    <w:p>
      <w:pPr>
        <w:jc w:val="right"/>
        <w:spacing w:line="440" w:lineRule="exact"/>
        <w:rPr>
          <w:rFonts w:hint="eastAsia" w:ascii="微软雅黑" w:hAnsi="微软雅黑" w:cs="微软雅黑"/>
        </w:rPr>
      </w:pPr>
      <w:r>
        <w:rPr>
          <w:rFonts w:hint="eastAsia" w:ascii="微软雅黑" w:hAnsi="微软雅黑" w:cs="微软雅黑"/>
        </w:rPr>
        <w:t xml:space="preserve">授权代表：  （签字/盖章）   </w:t>
      </w:r>
      <w:r/>
    </w:p>
    <w:p>
      <w:pPr>
        <w:jc w:val="right"/>
        <w:spacing w:line="440" w:lineRule="exact"/>
        <w:rPr>
          <w:rFonts w:hint="eastAsia" w:ascii="微软雅黑" w:hAnsi="微软雅黑" w:cs="微软雅黑"/>
        </w:rPr>
      </w:pPr>
      <w:r>
        <w:rPr>
          <w:rFonts w:hint="eastAsia" w:ascii="微软雅黑" w:hAnsi="微软雅黑" w:cs="微软雅黑"/>
        </w:rPr>
        <w:t xml:space="preserve">年     月     日</w:t>
      </w:r>
      <w:r/>
    </w:p>
    <w:p>
      <w:pPr>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spacing w:line="420" w:lineRule="exact"/>
        <w:rPr>
          <w:rFonts w:hint="eastAsia"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p>
    <w:p>
      <w:pPr>
        <w:spacing w:line="360" w:lineRule="auto"/>
        <w:rPr>
          <w:rFonts w:hint="eastAsia" w:ascii="微软雅黑" w:hAnsi="微软雅黑" w:cs="微软雅黑"/>
          <w:sz w:val="24"/>
          <w:szCs w:val="24"/>
        </w:rPr>
      </w:pPr>
      <w:r>
        <w:rPr>
          <w:rFonts w:hint="eastAsia" w:ascii="微软雅黑" w:hAnsi="微软雅黑" w:cs="微软雅黑"/>
          <w:sz w:val="24"/>
          <w:szCs w:val="24"/>
        </w:rPr>
      </w:r>
      <w:r/>
    </w:p>
    <w:p>
      <w:pPr>
        <w:spacing w:line="360" w:lineRule="auto"/>
        <w:rPr>
          <w:rFonts w:hint="eastAsia" w:ascii="微软雅黑" w:hAnsi="微软雅黑" w:cs="微软雅黑"/>
          <w:sz w:val="24"/>
          <w:szCs w:val="24"/>
        </w:rPr>
      </w:pPr>
      <w:r>
        <w:rPr>
          <w:rFonts w:hint="eastAsia" w:ascii="微软雅黑" w:hAnsi="微软雅黑" w:cs="微软雅黑"/>
          <w:sz w:val="24"/>
          <w:szCs w:val="24"/>
        </w:rPr>
      </w:r>
      <w:r/>
    </w:p>
    <w:p>
      <w:pPr>
        <w:ind w:firstLine="420"/>
        <w:spacing w:line="420" w:lineRule="exact"/>
        <w:rPr>
          <w:rFonts w:hint="eastAsia" w:ascii="微软雅黑" w:hAnsi="微软雅黑" w:cs="微软雅黑"/>
          <w:sz w:val="24"/>
          <w:szCs w:val="24"/>
        </w:rPr>
      </w:pPr>
      <w:r>
        <w:rPr>
          <w:rFonts w:hint="eastAsia" w:ascii="微软雅黑" w:hAnsi="微软雅黑" w:cs="微软雅黑"/>
          <w:szCs w:val="21"/>
        </w:rPr>
        <w:t xml:space="preserve">2.本项目接受进口产品投标，若投标人是进口设备代理商的，必须提供下列授权文件之一（原件或扫描/复印件）：①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pStyle w:val="1137"/>
        <w:jc w:val="center"/>
        <w:rPr>
          <w:rFonts w:hint="eastAsia" w:ascii="微软雅黑" w:hAnsi="微软雅黑" w:eastAsia="微软雅黑" w:cs="微软雅黑"/>
          <w:b/>
          <w:bCs/>
        </w:rPr>
      </w:pPr>
      <w:r/>
      <w:bookmarkStart w:id="294" w:name="_Toc15656"/>
      <w:r>
        <w:rPr>
          <w:rFonts w:hint="eastAsia" w:ascii="微软雅黑" w:hAnsi="微软雅黑" w:eastAsia="微软雅黑" w:cs="微软雅黑"/>
        </w:rPr>
        <w:br w:type="page" w:clear="all"/>
      </w:r>
      <w:bookmarkStart w:id="295" w:name="_Toc22911"/>
      <w:r/>
      <w:bookmarkStart w:id="296" w:name="_Toc26920"/>
      <w:r/>
      <w:bookmarkStart w:id="297" w:name="_Toc8014"/>
      <w:r>
        <w:rPr>
          <w:rFonts w:hint="eastAsia" w:ascii="微软雅黑" w:hAnsi="微软雅黑" w:eastAsia="微软雅黑" w:cs="微软雅黑"/>
          <w:b/>
          <w:bCs/>
        </w:rPr>
        <w:t xml:space="preserve">三、其他相关附表格式</w:t>
      </w:r>
      <w:bookmarkEnd w:id="294"/>
      <w:r/>
      <w:bookmarkEnd w:id="295"/>
      <w:r/>
      <w:bookmarkEnd w:id="296"/>
      <w:r/>
      <w:bookmarkEnd w:id="297"/>
      <w:r/>
      <w:bookmarkStart w:id="298" w:name="_Toc11531"/>
      <w:r/>
      <w:bookmarkEnd w:id="298"/>
      <w:r/>
      <w:r/>
    </w:p>
    <w:p>
      <w:pPr>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p>
    <w:p>
      <w:pPr>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p>
    <w:p>
      <w:pPr>
        <w:numPr>
          <w:ilvl w:val="0"/>
          <w:numId w:val="21"/>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我单位未组成联合体投标，中标后不进行分包、转包。</w:t>
      </w:r>
      <w:r/>
    </w:p>
    <w:p>
      <w:pPr>
        <w:numPr>
          <w:ilvl w:val="0"/>
          <w:numId w:val="21"/>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w:t>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（单位名称），不存在与我单位负责人为同一人或者存在直接控股、管理关系的不同供应商同时参加本项目同一包投标的情形。</w:t>
      </w:r>
      <w:r/>
    </w:p>
    <w:p>
      <w:pPr>
        <w:numPr>
          <w:ilvl w:val="0"/>
          <w:numId w:val="21"/>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p>
    <w:p>
      <w:pPr>
        <w:rPr>
          <w:rFonts w:hint="eastAsia" w:ascii="微软雅黑" w:hAnsi="微软雅黑" w:cs="微软雅黑"/>
          <w:bCs/>
          <w:szCs w:val="21"/>
        </w:rPr>
      </w:pPr>
      <w:r>
        <w:rPr>
          <w:rFonts w:hint="eastAsia" w:ascii="微软雅黑" w:hAnsi="微软雅黑" w:cs="微软雅黑"/>
          <w:bCs/>
          <w:szCs w:val="21"/>
        </w:rPr>
      </w:r>
      <w:r/>
    </w:p>
    <w:p>
      <w:pPr>
        <w:pStyle w:val="1151"/>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151"/>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p>
    <w:p>
      <w:pPr>
        <w:pStyle w:val="1151"/>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法定代表人（或授权代表）签章/签字：</w:t>
      </w:r>
      <w:r/>
    </w:p>
    <w:p>
      <w:pPr>
        <w:pStyle w:val="1151"/>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p>
    <w:p>
      <w:pPr>
        <w:pStyle w:val="1138"/>
        <w:spacing w:before="0" w:after="0"/>
        <w:rPr>
          <w:rFonts w:hint="eastAsia" w:ascii="微软雅黑" w:hAnsi="微软雅黑" w:eastAsia="微软雅黑" w:cs="微软雅黑"/>
          <w:b/>
          <w:bCs/>
          <w:sz w:val="24"/>
          <w:szCs w:val="24"/>
        </w:rPr>
      </w:pPr>
      <w:r/>
      <w:bookmarkStart w:id="299" w:name="_Toc403725583"/>
      <w:r/>
      <w:bookmarkStart w:id="300" w:name="_Toc487098617"/>
      <w:r/>
      <w:bookmarkStart w:id="301" w:name="_Toc20254"/>
      <w:r/>
      <w:bookmarkStart w:id="302" w:name="_Toc1448"/>
      <w:r>
        <w:rPr>
          <w:rFonts w:hint="eastAsia" w:ascii="微软雅黑" w:hAnsi="微软雅黑" w:eastAsia="微软雅黑" w:cs="微软雅黑"/>
          <w:sz w:val="24"/>
          <w:szCs w:val="24"/>
        </w:rPr>
        <w:br w:type="page" w:clear="all"/>
      </w:r>
      <w:bookmarkStart w:id="303" w:name="_Toc14311"/>
      <w:r/>
      <w:bookmarkStart w:id="304" w:name="_Toc24637"/>
      <w:r/>
      <w:bookmarkStart w:id="305" w:name="_Toc1147"/>
      <w:r/>
      <w:bookmarkStart w:id="306" w:name="_Toc851"/>
      <w:r/>
      <w:bookmarkStart w:id="307" w:name="_Toc24348"/>
      <w:r>
        <w:rPr>
          <w:rFonts w:hint="eastAsia" w:ascii="微软雅黑" w:hAnsi="微软雅黑" w:eastAsia="微软雅黑" w:cs="微软雅黑"/>
          <w:b/>
          <w:bCs/>
          <w:sz w:val="24"/>
          <w:szCs w:val="24"/>
        </w:rPr>
        <w:t xml:space="preserve">附件1.中小企业声明函</w:t>
      </w:r>
      <w:bookmarkEnd w:id="299"/>
      <w:r/>
      <w:bookmarkEnd w:id="300"/>
      <w:r/>
      <w:bookmarkEnd w:id="301"/>
      <w:r/>
      <w:bookmarkEnd w:id="302"/>
      <w:r/>
      <w:bookmarkEnd w:id="303"/>
      <w:r/>
      <w:bookmarkEnd w:id="304"/>
      <w:r/>
      <w:bookmarkEnd w:id="305"/>
      <w:r/>
      <w:bookmarkEnd w:id="306"/>
      <w:r/>
      <w:bookmarkEnd w:id="307"/>
      <w:r/>
      <w:r/>
    </w:p>
    <w:p>
      <w:pPr>
        <w:rPr>
          <w:rFonts w:hint="eastAsia" w:ascii="微软雅黑" w:hAnsi="微软雅黑" w:cs="微软雅黑"/>
          <w:b/>
          <w:bCs/>
          <w:sz w:val="24"/>
          <w:szCs w:val="24"/>
        </w:rPr>
      </w:pPr>
      <w:r>
        <w:rPr>
          <w:rFonts w:hint="eastAsia" w:ascii="微软雅黑" w:hAnsi="微软雅黑" w:cs="微软雅黑"/>
          <w:b/>
          <w:bCs/>
          <w:sz w:val="24"/>
          <w:szCs w:val="24"/>
        </w:rPr>
        <w:t xml:space="preserve">（如不属于中小企业，则无需提供此声明函）</w:t>
      </w:r>
      <w:r/>
    </w:p>
    <w:p>
      <w:pPr>
        <w:jc w:val="center"/>
        <w:spacing w:line="420" w:lineRule="exact"/>
        <w:rPr>
          <w:rFonts w:hint="eastAsia" w:ascii="微软雅黑" w:hAnsi="微软雅黑" w:cs="微软雅黑"/>
          <w:b/>
          <w:bCs/>
        </w:rPr>
      </w:pPr>
      <w:r/>
      <w:bookmarkStart w:id="308" w:name="_Toc10812"/>
      <w:r/>
      <w:bookmarkEnd w:id="308"/>
      <w:r/>
      <w:r/>
    </w:p>
    <w:p>
      <w:pPr>
        <w:jc w:val="center"/>
        <w:spacing w:line="420" w:lineRule="exact"/>
        <w:rPr>
          <w:rFonts w:hint="eastAsia" w:ascii="微软雅黑" w:hAnsi="微软雅黑" w:cs="微软雅黑"/>
          <w:b/>
          <w:bCs/>
        </w:rPr>
      </w:pPr>
      <w:r>
        <w:rPr>
          <w:rFonts w:hint="eastAsia" w:ascii="微软雅黑" w:hAnsi="微软雅黑" w:cs="微软雅黑"/>
          <w:b/>
          <w:bCs/>
        </w:rPr>
        <w:t xml:space="preserve">中小企业声明函（货物）</w:t>
      </w:r>
      <w:r/>
    </w:p>
    <w:p>
      <w:pPr>
        <w:ind w:firstLine="420"/>
        <w:jc w:val="left"/>
        <w:keepLines/>
        <w:keepNext/>
        <w:spacing w:line="400" w:lineRule="exact"/>
        <w:rPr>
          <w:rFonts w:hint="eastAsia" w:ascii="微软雅黑" w:hAnsi="微软雅黑" w:cs="微软雅黑"/>
        </w:rPr>
      </w:pPr>
      <w:r/>
      <w:bookmarkStart w:id="309" w:name="_Toc3254"/>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采购活动，提 供的货物全部由符合政策要求的中小企业制造。相关企业 （含联合体中的中小企业、签订分包意向协议的中小企业）的具体情况如下：</w:t>
      </w:r>
      <w:bookmarkEnd w:id="309"/>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310" w:name="_Toc26323"/>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（采购文件中明确的所属行业）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310"/>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311" w:name="_Toc3885"/>
      <w:r>
        <w:rPr>
          <w:rFonts w:hint="eastAsia" w:ascii="微软雅黑" w:hAnsi="微软雅黑" w:cs="微软雅黑"/>
        </w:rPr>
        <w:t xml:space="preserve">……</w:t>
      </w:r>
      <w:bookmarkEnd w:id="311"/>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312" w:name="_Toc20124"/>
      <w:r>
        <w:rPr>
          <w:rFonts w:hint="eastAsia" w:ascii="微软雅黑" w:hAnsi="微软雅黑" w:cs="微软雅黑"/>
        </w:rPr>
        <w:t xml:space="preserve">以上企业，不属于大企业的分支机构，不存在控股股东 为大企业的情形，也不存在与大企业的负责人为同一人的情形。</w:t>
      </w:r>
      <w:bookmarkEnd w:id="312"/>
      <w:r>
        <w:rPr>
          <w:rFonts w:hint="eastAsia" w:ascii="微软雅黑" w:hAnsi="微软雅黑" w:cs="微软雅黑"/>
        </w:rPr>
        <w:t xml:space="preserve"> </w:t>
      </w:r>
      <w:r/>
    </w:p>
    <w:p>
      <w:pPr>
        <w:ind w:firstLine="420"/>
        <w:jc w:val="left"/>
        <w:keepLines/>
        <w:keepNext/>
        <w:spacing w:line="400" w:lineRule="exact"/>
        <w:rPr>
          <w:rFonts w:hint="eastAsia" w:ascii="微软雅黑" w:hAnsi="微软雅黑" w:cs="微软雅黑"/>
        </w:rPr>
      </w:pPr>
      <w:r/>
      <w:bookmarkStart w:id="313" w:name="_Toc4666"/>
      <w:r>
        <w:rPr>
          <w:rFonts w:hint="eastAsia" w:ascii="微软雅黑" w:hAnsi="微软雅黑" w:cs="微软雅黑"/>
        </w:rPr>
        <w:t xml:space="preserve">本企业对上述声明内容的真实性负责。如有虚假，将依法承担相应责任。</w:t>
      </w:r>
      <w:bookmarkEnd w:id="313"/>
      <w:r>
        <w:rPr>
          <w:rFonts w:hint="eastAsia" w:ascii="微软雅黑" w:hAnsi="微软雅黑" w:cs="微软雅黑"/>
        </w:rPr>
        <w:t xml:space="preserve"> </w:t>
      </w:r>
      <w:r/>
    </w:p>
    <w:p>
      <w:pPr>
        <w:ind w:firstLine="420"/>
        <w:spacing w:line="420" w:lineRule="exact"/>
        <w:rPr>
          <w:rFonts w:hint="eastAsia" w:ascii="微软雅黑" w:hAnsi="微软雅黑" w:cs="微软雅黑"/>
        </w:rPr>
      </w:pPr>
      <w:r>
        <w:rPr>
          <w:rFonts w:hint="eastAsia" w:ascii="微软雅黑" w:hAnsi="微软雅黑" w:cs="微软雅黑"/>
        </w:rPr>
      </w:r>
      <w:r/>
    </w:p>
    <w:p>
      <w:pPr>
        <w:ind w:firstLine="420"/>
        <w:jc w:val="right"/>
        <w:spacing w:line="420" w:lineRule="exact"/>
        <w:rPr>
          <w:rFonts w:hint="eastAsia" w:ascii="微软雅黑" w:hAnsi="微软雅黑" w:cs="微软雅黑"/>
        </w:rPr>
      </w:pPr>
      <w:r/>
      <w:bookmarkStart w:id="314" w:name="_Toc7691"/>
      <w:r>
        <w:rPr>
          <w:rFonts w:hint="eastAsia" w:ascii="微软雅黑" w:hAnsi="微软雅黑" w:cs="微软雅黑"/>
        </w:rPr>
        <w:t xml:space="preserve">企业名称（盖章）：</w:t>
      </w:r>
      <w:bookmarkEnd w:id="314"/>
      <w:r>
        <w:rPr>
          <w:rFonts w:hint="eastAsia" w:ascii="微软雅黑" w:hAnsi="微软雅黑" w:cs="微软雅黑"/>
        </w:rPr>
        <w:t xml:space="preserve"> </w:t>
      </w:r>
      <w:r/>
    </w:p>
    <w:p>
      <w:pPr>
        <w:ind w:firstLine="420"/>
        <w:jc w:val="right"/>
        <w:spacing w:line="420" w:lineRule="exact"/>
        <w:rPr>
          <w:rFonts w:hint="eastAsia" w:ascii="微软雅黑" w:hAnsi="微软雅黑" w:cs="微软雅黑"/>
        </w:rPr>
      </w:pPr>
      <w:r/>
      <w:bookmarkStart w:id="315" w:name="_Toc8519"/>
      <w:r>
        <w:rPr>
          <w:rFonts w:hint="eastAsia" w:ascii="微软雅黑" w:hAnsi="微软雅黑" w:cs="微软雅黑"/>
        </w:rPr>
        <w:t xml:space="preserve">日 期：</w:t>
      </w:r>
      <w:bookmarkEnd w:id="315"/>
      <w:r/>
      <w:r/>
    </w:p>
    <w:p>
      <w:pPr>
        <w:ind w:firstLine="420"/>
        <w:spacing w:line="420" w:lineRule="exact"/>
        <w:rPr>
          <w:rFonts w:hint="eastAsia" w:ascii="微软雅黑" w:hAnsi="微软雅黑" w:cs="微软雅黑"/>
        </w:rPr>
      </w:pPr>
      <w:r>
        <w:rPr>
          <w:rFonts w:hint="eastAsia" w:ascii="微软雅黑" w:hAnsi="微软雅黑" w:cs="微软雅黑"/>
        </w:rPr>
      </w:r>
      <w:r/>
    </w:p>
    <w:p>
      <w:pPr>
        <w:ind w:firstLine="420"/>
        <w:spacing w:line="420" w:lineRule="exact"/>
        <w:rPr>
          <w:rFonts w:hint="eastAsia" w:ascii="微软雅黑" w:hAnsi="微软雅黑" w:cs="微软雅黑"/>
          <w:szCs w:val="21"/>
        </w:rPr>
      </w:pPr>
      <w:r>
        <w:rPr>
          <w:rFonts w:hint="eastAsia" w:ascii="微软雅黑" w:hAnsi="微软雅黑" w:cs="微软雅黑"/>
        </w:rPr>
        <w:t xml:space="preserve">注：从业人员、营业收入、资产总额填报上一年度数据，无上一年度数据的新成立企业可不填报。</w:t>
      </w:r>
      <w:r/>
    </w:p>
    <w:p>
      <w:pPr>
        <w:spacing w:line="420" w:lineRule="exact"/>
        <w:rPr>
          <w:rFonts w:hint="eastAsia" w:ascii="微软雅黑" w:hAnsi="微软雅黑" w:cs="微软雅黑"/>
          <w:b/>
          <w:bCs/>
          <w:sz w:val="28"/>
          <w:szCs w:val="28"/>
        </w:rPr>
      </w:pPr>
      <w:r>
        <w:rPr>
          <w:rFonts w:hint="eastAsia" w:ascii="微软雅黑" w:hAnsi="微软雅黑" w:cs="微软雅黑"/>
          <w:b/>
          <w:bCs/>
          <w:sz w:val="28"/>
          <w:szCs w:val="28"/>
        </w:rPr>
      </w:r>
      <w:r/>
    </w:p>
    <w:p>
      <w:pPr>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rPr>
          <w:rFonts w:hint="eastAsia" w:ascii="微软雅黑" w:hAnsi="微软雅黑" w:cs="微软雅黑"/>
        </w:rPr>
      </w:pPr>
      <w:r>
        <w:rPr>
          <w:rFonts w:hint="eastAsia" w:ascii="微软雅黑" w:hAnsi="微软雅黑" w:cs="微软雅黑"/>
        </w:rPr>
      </w:r>
      <w:r/>
    </w:p>
    <w:p>
      <w:pPr>
        <w:spacing w:line="300" w:lineRule="exact"/>
        <w:rPr>
          <w:rFonts w:hint="eastAsia" w:ascii="微软雅黑" w:hAnsi="微软雅黑" w:cs="微软雅黑"/>
          <w:b/>
          <w:bCs/>
          <w:szCs w:val="21"/>
        </w:rPr>
      </w:pPr>
      <w:r/>
      <w:bookmarkStart w:id="316" w:name="_Toc17448"/>
      <w:r/>
      <w:bookmarkStart w:id="317" w:name="_Toc25461"/>
      <w:r>
        <w:rPr>
          <w:rFonts w:hint="eastAsia" w:ascii="微软雅黑" w:hAnsi="微软雅黑" w:cs="微软雅黑"/>
          <w:b/>
          <w:bCs/>
          <w:szCs w:val="21"/>
          <w:lang w:val="zh-CN"/>
        </w:rPr>
        <w:br w:type="page" w:clear="all"/>
      </w:r>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316"/>
      <w:r/>
      <w:r/>
    </w:p>
    <w:p>
      <w:pPr>
        <w:pStyle w:val="1151"/>
        <w:spacing w:line="3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p>
    <w:tbl>
      <w:tblPr>
        <w:tblStyle w:val="114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jc w:val="left"/>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95"/>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95"/>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p>
        </w:tc>
      </w:tr>
    </w:tbl>
    <w:p>
      <w:pPr>
        <w:pStyle w:val="1147"/>
        <w:ind w:firstLine="376"/>
        <w:spacing w:line="300" w:lineRule="exact"/>
        <w:rPr>
          <w:rFonts w:hint="eastAsia" w:ascii="微软雅黑" w:hAnsi="微软雅黑" w:cs="微软雅黑"/>
          <w:spacing w:val="-3"/>
        </w:rPr>
      </w:pPr>
      <w:r>
        <w:rPr>
          <w:rFonts w:hint="eastAsia" w:ascii="微软雅黑" w:hAnsi="微软雅黑" w:cs="微软雅黑"/>
          <w:spacing w:val="-11"/>
        </w:rPr>
        <w:t xml:space="preserve">说明：上述标准参照《关于印发中小企业划型标准规定的通知</w:t>
      </w:r>
      <w:r>
        <w:rPr>
          <w:rFonts w:hint="eastAsia" w:ascii="微软雅黑" w:hAnsi="微软雅黑" w:cs="微软雅黑"/>
          <w:spacing w:val="-157"/>
        </w:rPr>
        <w:t xml:space="preserve">》</w:t>
      </w:r>
      <w:r>
        <w:rPr>
          <w:rFonts w:hint="eastAsia" w:ascii="微软雅黑" w:hAnsi="微软雅黑" w:cs="微软雅黑"/>
          <w:spacing w:val="-3"/>
        </w:rPr>
        <w:t xml:space="preserve">》（</w:t>
      </w:r>
      <w:r>
        <w:rPr>
          <w:rFonts w:hint="eastAsia" w:ascii="微软雅黑" w:hAnsi="微软雅黑" w:cs="微软雅黑"/>
          <w:spacing w:val="-11"/>
        </w:rPr>
        <w:t xml:space="preserve">工信部联企业〔</w:t>
      </w:r>
      <w:r>
        <w:rPr>
          <w:rFonts w:hint="eastAsia" w:ascii="微软雅黑" w:hAnsi="微软雅黑" w:cs="微软雅黑"/>
        </w:rPr>
        <w:t xml:space="preserve">2011〕300号</w:t>
      </w:r>
      <w:r>
        <w:rPr>
          <w:rFonts w:hint="eastAsia" w:ascii="微软雅黑" w:hAnsi="微软雅黑" w:cs="微软雅黑"/>
          <w:spacing w:val="-108"/>
        </w:rPr>
        <w:t xml:space="preserve">）</w:t>
      </w:r>
      <w:r>
        <w:rPr>
          <w:rFonts w:hint="eastAsia" w:ascii="微软雅黑" w:hAnsi="微软雅黑" w:cs="微软雅黑"/>
          <w:spacing w:val="-3"/>
        </w:rPr>
        <w:t xml:space="preserve">），大型、中型和小型企业须同时满足所列指标的下限，否则下划一档；微型企业只须满足所列指标中的一项即可。</w:t>
      </w:r>
      <w:r/>
    </w:p>
    <w:p>
      <w:pPr>
        <w:pStyle w:val="1138"/>
        <w:spacing w:line="300" w:lineRule="exact"/>
        <w:rPr>
          <w:rFonts w:hint="eastAsia" w:ascii="微软雅黑" w:hAnsi="微软雅黑" w:eastAsia="微软雅黑" w:cs="微软雅黑"/>
          <w:szCs w:val="24"/>
        </w:rPr>
        <w:sectPr>
          <w:footerReference w:type="default" r:id="rId19"/>
          <w:footnotePr/>
          <w:endnotePr/>
          <w:type w:val="nextPage"/>
          <w:pgSz w:w="11906" w:h="16838" w:orient="portrait"/>
          <w:pgMar w:top="1440" w:right="1797" w:bottom="1440" w:left="1797" w:header="851" w:footer="992" w:gutter="0"/>
          <w:cols w:num="1" w:sep="0" w:space="720" w:equalWidth="1"/>
          <w:docGrid w:linePitch="360"/>
        </w:sectPr>
      </w:pPr>
      <w:r>
        <w:rPr>
          <w:rFonts w:hint="eastAsia" w:ascii="微软雅黑" w:hAnsi="微软雅黑" w:eastAsia="微软雅黑" w:cs="微软雅黑"/>
          <w:szCs w:val="24"/>
        </w:rPr>
      </w:r>
      <w:r/>
    </w:p>
    <w:p>
      <w:pPr>
        <w:pStyle w:val="1138"/>
        <w:spacing w:line="420" w:lineRule="exact"/>
        <w:rPr>
          <w:rFonts w:hint="eastAsia" w:ascii="微软雅黑" w:hAnsi="微软雅黑" w:eastAsia="微软雅黑" w:cs="微软雅黑"/>
          <w:b/>
          <w:bCs/>
          <w:sz w:val="24"/>
          <w:szCs w:val="24"/>
        </w:rPr>
      </w:pPr>
      <w:r/>
      <w:bookmarkStart w:id="318" w:name="_Toc481"/>
      <w:r/>
      <w:bookmarkStart w:id="319" w:name="_Toc28560"/>
      <w:r/>
      <w:bookmarkStart w:id="320" w:name="_Toc9790"/>
      <w:r/>
      <w:bookmarkStart w:id="321" w:name="_Toc27170"/>
      <w:r/>
      <w:bookmarkStart w:id="322" w:name="_Toc10360"/>
      <w:r/>
      <w:bookmarkStart w:id="323" w:name="_Toc26178"/>
      <w:r>
        <w:rPr>
          <w:rFonts w:hint="eastAsia" w:ascii="微软雅黑" w:hAnsi="微软雅黑" w:eastAsia="微软雅黑" w:cs="微软雅黑"/>
          <w:b/>
          <w:bCs/>
          <w:sz w:val="24"/>
          <w:szCs w:val="24"/>
        </w:rPr>
        <w:t xml:space="preserve">附件2.残疾人福利性单位声明函</w:t>
      </w:r>
      <w:bookmarkEnd w:id="317"/>
      <w:r/>
      <w:bookmarkEnd w:id="318"/>
      <w:r/>
      <w:bookmarkEnd w:id="319"/>
      <w:r/>
      <w:bookmarkEnd w:id="320"/>
      <w:r/>
      <w:bookmarkEnd w:id="321"/>
      <w:r/>
      <w:bookmarkEnd w:id="322"/>
      <w:r/>
      <w:bookmarkEnd w:id="323"/>
      <w:r/>
      <w:r/>
    </w:p>
    <w:p>
      <w:pPr>
        <w:rPr>
          <w:rFonts w:hint="eastAsia" w:ascii="微软雅黑" w:hAnsi="微软雅黑" w:cs="微软雅黑"/>
          <w:b/>
          <w:bCs/>
          <w:sz w:val="24"/>
          <w:szCs w:val="24"/>
        </w:rPr>
      </w:pPr>
      <w:r>
        <w:rPr>
          <w:rFonts w:hint="eastAsia" w:ascii="微软雅黑" w:hAnsi="微软雅黑" w:cs="微软雅黑"/>
          <w:b/>
          <w:bCs/>
          <w:sz w:val="24"/>
          <w:szCs w:val="24"/>
        </w:rPr>
        <w:t xml:space="preserve">（如不属于残疾人福利性单位，则无需提供此声明函）</w:t>
      </w:r>
      <w:r/>
    </w:p>
    <w:p>
      <w:pPr>
        <w:rPr>
          <w:rFonts w:hint="eastAsia" w:ascii="微软雅黑" w:hAnsi="微软雅黑" w:cs="微软雅黑"/>
        </w:rPr>
      </w:pPr>
      <w:r>
        <w:rPr>
          <w:rFonts w:hint="eastAsia" w:ascii="微软雅黑" w:hAnsi="微软雅黑" w:cs="微软雅黑"/>
        </w:rPr>
      </w:r>
      <w:r/>
    </w:p>
    <w:p>
      <w:pPr>
        <w:pStyle w:val="1170"/>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p>
    <w:p>
      <w:pPr>
        <w:pStyle w:val="1170"/>
        <w:ind w:firstLine="420"/>
        <w:jc w:val="both"/>
        <w:spacing w:before="106" w:beforeAutospacing="0" w:after="106" w:afterAutospacing="0"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单位的</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70"/>
        <w:ind w:firstLine="420"/>
        <w:jc w:val="both"/>
        <w:spacing w:before="106" w:beforeAutospacing="0" w:after="106" w:afterAutospacing="0"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p>
    <w:p>
      <w:pPr>
        <w:pStyle w:val="117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17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p>
    <w:p>
      <w:pPr>
        <w:pStyle w:val="117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p>
    <w:p>
      <w:pPr>
        <w:pStyle w:val="1138"/>
        <w:spacing w:line="420" w:lineRule="exact"/>
        <w:rPr>
          <w:rFonts w:hint="eastAsia" w:ascii="微软雅黑" w:hAnsi="微软雅黑" w:eastAsia="微软雅黑" w:cs="微软雅黑"/>
          <w:b/>
          <w:szCs w:val="22"/>
        </w:rPr>
      </w:pPr>
      <w:r>
        <w:rPr>
          <w:rFonts w:hint="eastAsia" w:ascii="微软雅黑" w:hAnsi="微软雅黑" w:eastAsia="微软雅黑" w:cs="微软雅黑"/>
          <w:b/>
          <w:bCs/>
        </w:rPr>
        <w:br w:type="page" w:clear="all"/>
      </w:r>
      <w:bookmarkStart w:id="324" w:name="_Toc30762"/>
      <w:r/>
      <w:bookmarkStart w:id="325" w:name="_Toc14568"/>
      <w:r/>
      <w:bookmarkStart w:id="326" w:name="_Toc10769"/>
      <w:r>
        <w:rPr>
          <w:rFonts w:hint="eastAsia" w:ascii="微软雅黑" w:hAnsi="微软雅黑" w:eastAsia="微软雅黑" w:cs="微软雅黑"/>
          <w:b/>
          <w:sz w:val="24"/>
          <w:szCs w:val="24"/>
        </w:rPr>
        <w:t xml:space="preserve">附件3.关于符合本国产品标准的声明函</w:t>
      </w:r>
      <w:bookmarkEnd w:id="324"/>
      <w:r/>
      <w:bookmarkEnd w:id="325"/>
      <w:r/>
      <w:bookmarkEnd w:id="326"/>
      <w:r/>
      <w:r/>
    </w:p>
    <w:p>
      <w:pPr>
        <w:jc w:val="center"/>
        <w:spacing w:line="420" w:lineRule="exact"/>
        <w:rPr>
          <w:rFonts w:hint="eastAsia" w:ascii="微软雅黑" w:hAnsi="微软雅黑" w:cs="微软雅黑"/>
          <w:b/>
          <w:bCs/>
          <w:sz w:val="22"/>
        </w:rPr>
      </w:pPr>
      <w:r>
        <w:rPr>
          <w:rFonts w:hint="eastAsia" w:ascii="微软雅黑" w:hAnsi="微软雅黑" w:cs="微软雅黑"/>
          <w:b/>
          <w:bCs/>
          <w:sz w:val="22"/>
        </w:rPr>
        <w:t xml:space="preserve">关于符合本国产品标准的声明函</w:t>
      </w:r>
      <w:r/>
    </w:p>
    <w:p>
      <w:pPr>
        <w:pStyle w:val="1170"/>
        <w:ind w:firstLine="420"/>
        <w:spacing w:before="0" w:beforeAutospacing="0" w:after="0" w:afterAutospacing="0" w:line="0" w:lineRule="atLeast"/>
        <w:rPr>
          <w:rFonts w:hint="eastAsia" w:ascii="微软雅黑" w:hAnsi="微软雅黑" w:eastAsia="微软雅黑" w:cs="微软雅黑"/>
        </w:rPr>
      </w:pPr>
      <w:r>
        <w:rPr>
          <w:rFonts w:hint="eastAsia" w:ascii="微软雅黑" w:hAnsi="微软雅黑" w:eastAsia="微软雅黑" w:cs="微软雅黑"/>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70"/>
        <w:ind w:firstLine="42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3438525</wp:posOffset>
                </wp:positionH>
                <wp:positionV relativeFrom="paragraph">
                  <wp:posOffset>615315</wp:posOffset>
                </wp:positionV>
                <wp:extent cx="816610" cy="147320"/>
                <wp:effectExtent l="635" t="4445" r="1905" b="19685"/>
                <wp:wrapNone/>
                <wp:docPr id="15" name="自选图形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70.8pt;mso-position-horizontal:absolute;mso-position-vertical-relative:text;margin-top:4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2299970</wp:posOffset>
                </wp:positionH>
                <wp:positionV relativeFrom="paragraph">
                  <wp:posOffset>625475</wp:posOffset>
                </wp:positionV>
                <wp:extent cx="876300" cy="120015"/>
                <wp:effectExtent l="635" t="4445" r="18415" b="8890"/>
                <wp:wrapNone/>
                <wp:docPr id="16"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81.1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181610</wp:posOffset>
                </wp:positionH>
                <wp:positionV relativeFrom="paragraph">
                  <wp:posOffset>606425</wp:posOffset>
                </wp:positionV>
                <wp:extent cx="565785" cy="130810"/>
                <wp:effectExtent l="1270" t="4445" r="4445" b="1714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14.3pt;mso-position-horizontal:absolute;mso-position-vertical-relative:text;margin-top:4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4119245</wp:posOffset>
                </wp:positionH>
                <wp:positionV relativeFrom="paragraph">
                  <wp:posOffset>365125</wp:posOffset>
                </wp:positionV>
                <wp:extent cx="816610" cy="103505"/>
                <wp:effectExtent l="635" t="4445" r="1905" b="6350"/>
                <wp:wrapNone/>
                <wp:docPr id="18" name="自选图形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24.3pt;mso-position-horizontal:absolute;mso-position-vertical-relative:text;margin-top:2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2955290</wp:posOffset>
                </wp:positionH>
                <wp:positionV relativeFrom="paragraph">
                  <wp:posOffset>395605</wp:posOffset>
                </wp:positionV>
                <wp:extent cx="816610" cy="76200"/>
                <wp:effectExtent l="635" t="4445" r="1905" b="14604"/>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232.7pt;mso-position-horizontal:absolute;mso-position-vertical-relative:text;margin-top:31.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29210</wp:posOffset>
                </wp:positionH>
                <wp:positionV relativeFrom="paragraph">
                  <wp:posOffset>384175</wp:posOffset>
                </wp:positionV>
                <wp:extent cx="364490" cy="97790"/>
                <wp:effectExtent l="1270" t="4445" r="15240" b="12065"/>
                <wp:wrapNone/>
                <wp:docPr id="20"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2.3pt;mso-position-horizontal:absolute;mso-position-vertical-relative:text;margin-top:30.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120015</wp:posOffset>
                </wp:positionV>
                <wp:extent cx="577215" cy="92075"/>
                <wp:effectExtent l="635" t="4445" r="12700" b="17780"/>
                <wp:wrapNone/>
                <wp:docPr id="21" name="自选图形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1552;o:allowoverlap:true;o:allowincell:true;mso-position-horizontal-relative:text;margin-left:361.8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shd w:val="clear" w:color="auto" w:fill="ffffff"/>
        </w:rPr>
        <w:t xml:space="preserve">1.</w:t>
      </w:r>
      <w:r>
        <w:rPr>
          <w:rStyle w:val="1175"/>
          <w:rFonts w:hint="eastAsia" w:ascii="微软雅黑" w:hAnsi="微软雅黑" w:eastAsia="微软雅黑" w:cs="微软雅黑"/>
          <w:i w:val="0"/>
          <w:u w:val="single"/>
          <w:shd w:val="clear" w:color="auto" w:fill="ffffff"/>
        </w:rPr>
        <w:t xml:space="preserve">（产品名称1）</w:t>
      </w:r>
      <w:r>
        <w:rPr>
          <w:rStyle w:val="1175"/>
          <w:rFonts w:hint="eastAsia" w:ascii="微软雅黑" w:hAnsi="微软雅黑" w:eastAsia="微软雅黑" w:cs="微软雅黑"/>
          <w:i w:val="0"/>
          <w:shd w:val="clear" w:color="auto" w:fill="ffffff"/>
          <w:vertAlign w:val="superscript"/>
        </w:rPr>
        <w:t xml:space="preserve">1</w:t>
      </w:r>
      <w:r>
        <w:rPr>
          <w:rFonts w:hint="eastAsia" w:ascii="微软雅黑" w:hAnsi="微软雅黑" w:eastAsia="微软雅黑" w:cs="微软雅黑"/>
          <w:shd w:val="clear" w:color="auto" w:fill="ffffff"/>
        </w:rPr>
        <w:t xml:space="preserve">，生产厂为</w:t>
      </w:r>
      <w:r>
        <w:rPr>
          <w:rStyle w:val="1175"/>
          <w:rFonts w:hint="eastAsia" w:ascii="微软雅黑" w:hAnsi="微软雅黑" w:eastAsia="微软雅黑" w:cs="微软雅黑"/>
          <w:i w:val="0"/>
          <w:u w:val="single"/>
          <w:shd w:val="clear" w:color="auto" w:fill="ffffff"/>
        </w:rPr>
        <w:t xml:space="preserve">（厂名）</w:t>
      </w:r>
      <w:r>
        <w:rPr>
          <w:rStyle w:val="1175"/>
          <w:rFonts w:hint="eastAsia" w:ascii="微软雅黑" w:hAnsi="微软雅黑" w:eastAsia="微软雅黑" w:cs="微软雅黑"/>
          <w:i w:val="0"/>
          <w:shd w:val="clear" w:color="auto" w:fill="ffffff"/>
          <w:vertAlign w:val="superscript"/>
        </w:rPr>
        <w:t xml:space="preserve">2</w:t>
      </w:r>
      <w:r>
        <w:rPr>
          <w:rFonts w:hint="eastAsia" w:ascii="微软雅黑" w:hAnsi="微软雅黑" w:eastAsia="微软雅黑" w:cs="微软雅黑"/>
          <w:shd w:val="clear" w:color="auto" w:fill="ffffff"/>
        </w:rPr>
        <w:t xml:space="preserve">，厂址为</w:t>
      </w:r>
      <w:r>
        <w:rPr>
          <w:rStyle w:val="1175"/>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Fonts w:hint="eastAsia" w:ascii="微软雅黑" w:hAnsi="微软雅黑" w:eastAsia="微软雅黑" w:cs="微软雅黑"/>
          <w:u w:val="single"/>
          <w:shd w:val="clear" w:color="auto" w:fill="ffffff"/>
        </w:rPr>
        <w:t xml:space="preserve"> </w:t>
      </w:r>
      <w:r>
        <w:rPr>
          <w:rStyle w:val="1175"/>
          <w:rFonts w:hint="eastAsia" w:ascii="微软雅黑" w:hAnsi="微软雅黑" w:eastAsia="微软雅黑" w:cs="微软雅黑"/>
          <w:i w:val="0"/>
          <w:u w:val="single"/>
          <w:shd w:val="clear" w:color="auto" w:fill="ffffff"/>
        </w:rPr>
        <w:t xml:space="preserve">（产品名称1） </w:t>
      </w:r>
      <w:r>
        <w:rPr>
          <w:rFonts w:hint="eastAsia" w:ascii="微软雅黑" w:hAnsi="微软雅黑" w:eastAsia="微软雅黑" w:cs="微软雅黑"/>
          <w:shd w:val="clear" w:color="auto" w:fill="ffffff"/>
        </w:rPr>
        <w:t xml:space="preserve">的中国境内生产的组件成本占比≥</w:t>
      </w:r>
      <w:r>
        <w:rPr>
          <w:rStyle w:val="1175"/>
          <w:rFonts w:hint="eastAsia" w:ascii="微软雅黑" w:hAnsi="微软雅黑" w:eastAsia="微软雅黑" w:cs="微软雅黑"/>
          <w:i w:val="0"/>
          <w:u w:val="single"/>
          <w:shd w:val="clear" w:color="auto" w:fill="ffffff"/>
        </w:rPr>
        <w:t xml:space="preserve">（规定比例）</w:t>
      </w:r>
      <w:r>
        <w:rPr>
          <w:rStyle w:val="1175"/>
          <w:rFonts w:hint="eastAsia" w:ascii="微软雅黑" w:hAnsi="微软雅黑" w:eastAsia="微软雅黑" w:cs="微软雅黑"/>
          <w:i w:val="0"/>
          <w:shd w:val="clear" w:color="auto" w:fill="ffffff"/>
          <w:vertAlign w:val="superscript"/>
        </w:rPr>
        <w:t xml:space="preserve">3</w:t>
      </w:r>
      <w:r>
        <w:rPr>
          <w:rFonts w:hint="eastAsia" w:ascii="微软雅黑" w:hAnsi="微软雅黑" w:eastAsia="微软雅黑" w:cs="微软雅黑"/>
          <w:shd w:val="clear" w:color="auto" w:fill="ffffff"/>
        </w:rPr>
        <w:t xml:space="preserve">。</w:t>
      </w:r>
      <w:r>
        <w:rPr>
          <w:rStyle w:val="1175"/>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75"/>
          <w:rFonts w:hint="eastAsia" w:ascii="微软雅黑" w:hAnsi="微软雅黑" w:eastAsia="微软雅黑" w:cs="微软雅黑"/>
          <w:i w:val="0"/>
          <w:u w:val="single"/>
          <w:shd w:val="clear" w:color="auto" w:fill="ffffff"/>
        </w:rPr>
        <w:t xml:space="preserve">（关键组件）</w:t>
      </w:r>
      <w:r>
        <w:rPr>
          <w:rStyle w:val="1175"/>
          <w:rFonts w:hint="eastAsia" w:ascii="微软雅黑" w:hAnsi="微软雅黑" w:eastAsia="微软雅黑" w:cs="微软雅黑"/>
          <w:i w:val="0"/>
          <w:shd w:val="clear" w:color="auto" w:fill="ffffff"/>
          <w:vertAlign w:val="superscript"/>
        </w:rPr>
        <w:t xml:space="preserve">4</w:t>
      </w:r>
      <w:r>
        <w:rPr>
          <w:rFonts w:hint="eastAsia" w:ascii="微软雅黑" w:hAnsi="微软雅黑" w:eastAsia="微软雅黑" w:cs="微软雅黑"/>
          <w:shd w:val="clear" w:color="auto" w:fill="ffffff"/>
        </w:rPr>
        <w:t xml:space="preserve">在中国境内生产。</w:t>
      </w:r>
      <w:r>
        <w:rPr>
          <w:rStyle w:val="1175"/>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75"/>
          <w:rFonts w:hint="eastAsia" w:ascii="微软雅黑" w:hAnsi="微软雅黑" w:eastAsia="微软雅黑" w:cs="微软雅黑"/>
          <w:i w:val="0"/>
          <w:u w:val="single"/>
          <w:shd w:val="clear" w:color="auto" w:fill="ffffff"/>
        </w:rPr>
        <w:t xml:space="preserve">（关键工序）</w:t>
      </w:r>
      <w:r>
        <w:rPr>
          <w:rStyle w:val="1175"/>
          <w:rFonts w:hint="eastAsia" w:ascii="微软雅黑" w:hAnsi="微软雅黑" w:eastAsia="微软雅黑" w:cs="微软雅黑"/>
          <w:i w:val="0"/>
          <w:shd w:val="clear" w:color="auto" w:fill="ffffff"/>
          <w:vertAlign w:val="superscript"/>
        </w:rPr>
        <w:t xml:space="preserve">5</w:t>
      </w:r>
      <w:r>
        <w:rPr>
          <w:rFonts w:hint="eastAsia" w:ascii="微软雅黑" w:hAnsi="微软雅黑" w:eastAsia="微软雅黑" w:cs="微软雅黑"/>
          <w:shd w:val="clear" w:color="auto" w:fill="ffffff"/>
        </w:rPr>
        <w:t xml:space="preserve">在中国境内完成。</w:t>
      </w:r>
      <w:r/>
    </w:p>
    <w:p>
      <w:pPr>
        <w:pStyle w:val="1170"/>
        <w:ind w:firstLine="42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w:t>
      </w:r>
      <w:r/>
    </w:p>
    <w:p>
      <w:pPr>
        <w:pStyle w:val="1170"/>
        <w:ind w:firstLine="42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本公司（单位）对上述声明内容的真实性负责。如有虚假，愿承担相应法律责任。</w:t>
      </w:r>
      <w:r/>
    </w:p>
    <w:p>
      <w:pPr>
        <w:pStyle w:val="117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rPr>
      </w:r>
      <w:r/>
    </w:p>
    <w:p>
      <w:pPr>
        <w:pStyle w:val="1170"/>
        <w:ind w:right="480" w:firstLine="372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公司（单位）名称（盖章）：　        </w:t>
      </w:r>
      <w:r/>
    </w:p>
    <w:p>
      <w:pPr>
        <w:pStyle w:val="1170"/>
        <w:jc w:val="center"/>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                                日期：　   年　  月　  日         </w:t>
      </w:r>
      <w:r/>
    </w:p>
    <w:p>
      <w:pPr>
        <w:pStyle w:val="1170"/>
        <w:spacing w:before="30" w:beforeAutospacing="0" w:after="30" w:afterAutospacing="0" w:line="0" w:lineRule="atLeast"/>
        <w:rPr>
          <w:rFonts w:hint="eastAsia" w:ascii="微软雅黑" w:hAnsi="微软雅黑" w:eastAsia="微软雅黑" w:cs="微软雅黑"/>
        </w:rPr>
      </w:pPr>
      <w:r>
        <w:rPr>
          <w:rFonts w:hint="eastAsia" w:ascii="微软雅黑" w:hAnsi="微软雅黑" w:eastAsia="微软雅黑" w:cs="微软雅黑"/>
          <w:shd w:val="clear" w:color="auto" w:fill="ffffff"/>
        </w:rPr>
        <w:t xml:space="preserve">__________________</w:t>
      </w:r>
      <w:r/>
    </w:p>
    <w:p>
      <w:pPr>
        <w:pStyle w:val="1170"/>
        <w:spacing w:before="30" w:beforeAutospacing="0" w:after="30" w:afterAutospacing="0" w:line="0" w:lineRule="atLeast"/>
        <w:rPr>
          <w:rFonts w:hint="eastAsia" w:ascii="微软雅黑" w:hAnsi="微软雅黑" w:eastAsia="微软雅黑" w:cs="微软雅黑"/>
          <w:sz w:val="22"/>
        </w:rPr>
      </w:pPr>
      <w:r>
        <w:rPr>
          <w:rFonts w:hint="eastAsia" w:ascii="微软雅黑" w:hAnsi="微软雅黑" w:eastAsia="微软雅黑" w:cs="微软雅黑"/>
          <w:sz w:val="22"/>
          <w:shd w:val="clear" w:color="auto" w:fill="ffffff"/>
        </w:rPr>
        <w:t xml:space="preserve">1.产品如有型号，请在“产品名称”栏一并填写。</w:t>
      </w:r>
      <w:r/>
    </w:p>
    <w:p>
      <w:pPr>
        <w:pStyle w:val="1170"/>
        <w:spacing w:before="30" w:beforeAutospacing="0" w:after="30" w:afterAutospacing="0" w:line="0" w:lineRule="atLeast"/>
        <w:rPr>
          <w:rFonts w:hint="eastAsia" w:ascii="微软雅黑" w:hAnsi="微软雅黑" w:eastAsia="微软雅黑" w:cs="微软雅黑"/>
          <w:sz w:val="22"/>
        </w:rPr>
      </w:pPr>
      <w:r>
        <w:rPr>
          <w:rFonts w:hint="eastAsia" w:ascii="微软雅黑" w:hAnsi="微软雅黑" w:eastAsia="微软雅黑" w:cs="微软雅黑"/>
          <w:sz w:val="22"/>
          <w:shd w:val="clear" w:color="auto" w:fill="ffffff"/>
        </w:rPr>
        <w:t xml:space="preserve">2.生产厂名与厂址应与生产厂营业执照载明的相关信息保持一致。</w:t>
      </w:r>
      <w:r/>
    </w:p>
    <w:p>
      <w:pPr>
        <w:pStyle w:val="1170"/>
        <w:spacing w:before="30" w:beforeAutospacing="0" w:after="30" w:afterAutospacing="0" w:line="0" w:lineRule="atLeast"/>
        <w:rPr>
          <w:rFonts w:hint="eastAsia" w:ascii="微软雅黑" w:hAnsi="微软雅黑" w:eastAsia="微软雅黑" w:cs="微软雅黑"/>
          <w:sz w:val="22"/>
        </w:rPr>
      </w:pPr>
      <w:r>
        <w:rPr>
          <w:rFonts w:hint="eastAsia" w:ascii="微软雅黑" w:hAnsi="微软雅黑" w:eastAsia="微软雅黑" w:cs="微软雅黑"/>
          <w:sz w:val="22"/>
          <w:shd w:val="clear" w:color="auto" w:fill="ffffff"/>
        </w:rPr>
        <w:t xml:space="preserve">3.该产品的中国境内生产的组件成本占比相关要求实施前，“规定比例”栏可不填，下同。</w:t>
      </w:r>
      <w:r/>
    </w:p>
    <w:p>
      <w:pPr>
        <w:pStyle w:val="1170"/>
        <w:spacing w:before="30" w:beforeAutospacing="0" w:after="30" w:afterAutospacing="0" w:line="0" w:lineRule="atLeast"/>
        <w:rPr>
          <w:rFonts w:hint="eastAsia" w:ascii="微软雅黑" w:hAnsi="微软雅黑" w:eastAsia="微软雅黑" w:cs="微软雅黑"/>
          <w:sz w:val="22"/>
        </w:rPr>
      </w:pPr>
      <w:r>
        <w:rPr>
          <w:rFonts w:hint="eastAsia" w:ascii="微软雅黑" w:hAnsi="微软雅黑" w:eastAsia="微软雅黑" w:cs="微软雅黑"/>
          <w:sz w:val="22"/>
          <w:shd w:val="clear" w:color="auto" w:fill="ffffff"/>
        </w:rPr>
        <w:t xml:space="preserve">4.该产品的关键组件要求实施前，“关键组件”栏可不填，下同。</w:t>
      </w:r>
      <w:r/>
    </w:p>
    <w:p>
      <w:pPr>
        <w:pStyle w:val="1170"/>
        <w:spacing w:before="30" w:beforeAutospacing="0" w:after="30" w:afterAutospacing="0" w:line="0" w:lineRule="atLeast"/>
        <w:rPr>
          <w:rFonts w:hint="eastAsia"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5.该产品的关键工序要求实施前，“关键工序”栏可不填，下同。</w:t>
      </w:r>
      <w:r/>
    </w:p>
    <w:p>
      <w:pPr>
        <w:pStyle w:val="1170"/>
        <w:spacing w:before="30" w:beforeAutospacing="0" w:after="30" w:afterAutospacing="0" w:line="0" w:lineRule="atLeast"/>
        <w:rPr>
          <w:rFonts w:hint="eastAsia"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6.用斜线划除的地方无需填写。</w:t>
      </w:r>
      <w:r/>
    </w:p>
    <w:p>
      <w:pPr>
        <w:pStyle w:val="1170"/>
        <w:ind w:firstLine="420"/>
        <w:jc w:val="both"/>
        <w:spacing w:before="106" w:beforeAutospacing="0" w:after="106" w:afterAutospacing="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rPr>
          <w:rFonts w:hint="eastAsia" w:ascii="微软雅黑" w:hAnsi="微软雅黑" w:cs="微软雅黑"/>
        </w:rPr>
      </w:pPr>
      <w:r>
        <w:rPr>
          <w:rFonts w:hint="eastAsia" w:ascii="微软雅黑" w:hAnsi="微软雅黑" w:cs="微软雅黑"/>
        </w:rPr>
      </w:r>
      <w:r/>
    </w:p>
    <w:sectPr>
      <w:headerReference w:type="default" r:id="rId14"/>
      <w:footerReference w:type="default" r:id="rId2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楷体_GB2312">
    <w:panose1 w:val="02010609060101010101"/>
  </w:font>
  <w:font w:name="Courier New">
    <w:panose1 w:val="02070309020205020404"/>
  </w:font>
  <w:font w:name="黑体">
    <w:panose1 w:val="02010609060101010101"/>
  </w:font>
  <w:font w:name="宋体_GB2312">
    <w:panose1 w:val="0201060003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2138045</wp:posOffset>
              </wp:positionH>
              <wp:positionV relativeFrom="paragraph">
                <wp:posOffset>635</wp:posOffset>
              </wp:positionV>
              <wp:extent cx="978535" cy="1828800"/>
              <wp:effectExtent l="0" t="0" r="12065" b="3175"/>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978535" cy="1828800"/>
                      </a:xfrm>
                      <a:prstGeom prst="rect">
                        <a:avLst/>
                      </a:prstGeom>
                      <a:noFill/>
                      <a:ln>
                        <a:noFill/>
                      </a:ln>
                    </wps:spPr>
                    <wps:txbx>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squar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argin-left:168.3pt;mso-position-horizontal:absolute;mso-position-vertical-relative:text;margin-top:0.0pt;mso-position-vertical:absolute;width:77.0pt;height:144.0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2"/>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2"/>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2"/>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nchorCtr="0">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6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57885" cy="147955"/>
              <wp:effectExtent l="0" t="0" r="0" b="0"/>
              <wp:wrapNone/>
              <wp:docPr id="12" name="文本框 7"/>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ln>
                    </wps:spPr>
                    <wps:txbx>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1382"/>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cs="微软雅黑"/>
        <w:u w:val="single"/>
      </w:rPr>
      <w:t xml:space="preserve">苏采云编号待定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7456;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JSHC-2026080674B1</w:t>
    </w:r>
    <w:r/>
  </w:p>
  <w:p>
    <w:pPr>
      <w:pStyle w:val="138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950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JSHC-2026080674B1</w:t>
    </w:r>
    <w:r/>
  </w:p>
  <w:p>
    <w:pPr>
      <w:pStyle w:val="1384"/>
      <w:jc w:val="both"/>
      <w:rPr>
        <w:rFonts w:hint="eastAsia" w:ascii="仿宋" w:hAnsi="仿宋" w:eastAsia="仿宋" w:cs="仿宋"/>
      </w:rPr>
      <w:pBdr>
        <w:bottom w:val="none" w:color="auto" w:sz="0" w:space="1"/>
      </w:pBdr>
    </w:pPr>
    <w:r>
      <w:rPr>
        <w:rFonts w:hint="eastAsia" w:ascii="仿宋" w:hAnsi="仿宋" w:eastAsia="仿宋" w:cs="仿宋"/>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5"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JSHC-2026080674B1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052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JSHC-2026080674B1</w:t>
    </w:r>
    <w:r/>
  </w:p>
  <w:p>
    <w:pPr>
      <w:pStyle w:val="138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53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3">
    <w:multiLevelType w:val="hybridMultilevel"/>
    <w:lvl w:ilvl="0">
      <w:start w:val="1"/>
      <w:numFmt w:val="decimal"/>
      <w:pStyle w:val="1501"/>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88"/>
      <w:isLgl w:val="false"/>
      <w:suff w:val="tab"/>
      <w:lvlText w:val="%1."/>
      <w:lvlJc w:val="left"/>
      <w:pPr>
        <w:tabs>
          <w:tab w:val="left" w:pos="360" w:leader="none"/>
        </w:tabs>
      </w:pPr>
      <w:rPr>
        <w:rFonts w:hint="eastAsia"/>
      </w:rPr>
    </w:lvl>
    <w:lvl w:ilvl="1">
      <w:start w:val="1"/>
      <w:numFmt w:val="decimal"/>
      <w:pStyle w:val="1493"/>
      <w:isLgl w:val="false"/>
      <w:suff w:val="tab"/>
      <w:lvlText w:val="%1.%2"/>
      <w:lvlJc w:val="left"/>
      <w:pPr>
        <w:tabs>
          <w:tab w:val="left" w:pos="720" w:leader="none"/>
        </w:tabs>
      </w:pPr>
      <w:rPr>
        <w:rFonts w:hint="eastAsia"/>
        <w:b w:val="0"/>
        <w:bCs w:val="0"/>
        <w:i w:val="0"/>
        <w:iCs w:val="0"/>
      </w:rPr>
    </w:lvl>
    <w:lvl w:ilvl="2">
      <w:start w:val="1"/>
      <w:numFmt w:val="decimal"/>
      <w:pStyle w:val="1500"/>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1360"/>
      <w:isLgl w:val="false"/>
      <w:suff w:val="tab"/>
      <w:lvlText w:val="%1)"/>
      <w:lvlJc w:val="left"/>
      <w:pPr>
        <w:ind w:left="990" w:hanging="360"/>
        <w:tabs>
          <w:tab w:val="left" w:pos="990" w:leader="none"/>
        </w:tabs>
      </w:pPr>
      <w:rPr>
        <w:rFonts w:hint="eastAsia"/>
      </w:rPr>
    </w:lvl>
    <w:lvl w:ilvl="1">
      <w:start w:val="1"/>
      <w:numFmt w:val="lowerLetter"/>
      <w:pStyle w:val="1486"/>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japaneseCounting"/>
      <w:pStyle w:val="1539"/>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49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20"/>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7"/>
  </w:num>
  <w:num w:numId="17">
    <w:abstractNumId w:val="6"/>
  </w:num>
  <w:num w:numId="18">
    <w:abstractNumId w:val="1"/>
  </w:num>
  <w:num w:numId="19">
    <w:abstractNumId w:val="15"/>
  </w:num>
  <w:num w:numId="20">
    <w:abstractNumId w:val="1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15">
    <w:name w:val="Plain Table 1"/>
    <w:basedOn w:val="11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6">
    <w:name w:val="Plain Table 2"/>
    <w:basedOn w:val="11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7">
    <w:name w:val="Plain Table 3"/>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8">
    <w:name w:val="Plain Table 4"/>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9">
    <w:name w:val="Plain Table 5"/>
    <w:basedOn w:val="11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0">
    <w:name w:val="Grid Table 1 Light"/>
    <w:basedOn w:val="11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1">
    <w:name w:val="Grid Table 2"/>
    <w:basedOn w:val="11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2">
    <w:name w:val="Grid Table 3"/>
    <w:basedOn w:val="11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4"/>
    <w:basedOn w:val="11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4">
    <w:name w:val="Grid Table 5 Dark"/>
    <w:basedOn w:val="11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5">
    <w:name w:val="Grid Table 6 Colorful"/>
    <w:basedOn w:val="11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6">
    <w:name w:val="Grid Table 7 Colorful"/>
    <w:basedOn w:val="11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7">
    <w:name w:val="List Table 1 Light"/>
    <w:basedOn w:val="11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8">
    <w:name w:val="List Table 2"/>
    <w:basedOn w:val="11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9">
    <w:name w:val="List Table 3"/>
    <w:basedOn w:val="11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0">
    <w:name w:val="List Table 4"/>
    <w:basedOn w:val="11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1">
    <w:name w:val="List Table 5 Dark"/>
    <w:basedOn w:val="11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6 Colorful"/>
    <w:basedOn w:val="11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3">
    <w:name w:val="List Table 7 Colorful"/>
    <w:basedOn w:val="11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134">
    <w:name w:val="TOC Heading"/>
    <w:uiPriority w:val="39"/>
    <w:unhideWhenUsed/>
  </w:style>
  <w:style w:type="paragraph" w:styleId="1135" w:default="1">
    <w:name w:val="Normal"/>
    <w:uiPriority w:val="0"/>
    <w:qFormat/>
    <w:pPr>
      <w:jc w:val="both"/>
      <w:widowControl w:val="off"/>
    </w:pPr>
    <w:rPr>
      <w:rFonts w:ascii="Times New Roman" w:hAnsi="Times New Roman" w:eastAsia="微软雅黑" w:cs="Times New Roman"/>
      <w:sz w:val="21"/>
      <w:szCs w:val="22"/>
      <w:lang w:val="en-US" w:eastAsia="zh-CN" w:bidi="ar-SA"/>
    </w:rPr>
  </w:style>
  <w:style w:type="paragraph" w:styleId="1136">
    <w:name w:val="Heading 1"/>
    <w:basedOn w:val="1135"/>
    <w:next w:val="1135"/>
    <w:link w:val="1225"/>
    <w:uiPriority w:val="9"/>
    <w:qFormat/>
    <w:pPr>
      <w:keepLines/>
      <w:keepNext/>
      <w:spacing w:before="480" w:after="200"/>
      <w:outlineLvl w:val="0"/>
    </w:pPr>
    <w:rPr>
      <w:rFonts w:ascii="Arial" w:hAnsi="Arial" w:eastAsia="Arial" w:cs="Arial"/>
      <w:sz w:val="40"/>
      <w:szCs w:val="40"/>
    </w:rPr>
  </w:style>
  <w:style w:type="paragraph" w:styleId="1137">
    <w:name w:val="Heading 2"/>
    <w:basedOn w:val="1136"/>
    <w:next w:val="1147"/>
    <w:link w:val="1226"/>
    <w:uiPriority w:val="9"/>
    <w:unhideWhenUsed/>
    <w:qFormat/>
    <w:pPr>
      <w:spacing w:before="360"/>
      <w:outlineLvl w:val="1"/>
    </w:pPr>
    <w:rPr>
      <w:sz w:val="34"/>
    </w:rPr>
  </w:style>
  <w:style w:type="paragraph" w:styleId="1138">
    <w:name w:val="Heading 3"/>
    <w:basedOn w:val="1135"/>
    <w:next w:val="1135"/>
    <w:link w:val="1227"/>
    <w:uiPriority w:val="9"/>
    <w:unhideWhenUsed/>
    <w:qFormat/>
    <w:pPr>
      <w:keepLines/>
      <w:keepNext/>
      <w:spacing w:before="320" w:after="200"/>
      <w:outlineLvl w:val="2"/>
    </w:pPr>
    <w:rPr>
      <w:rFonts w:ascii="Arial" w:hAnsi="Arial" w:eastAsia="Arial" w:cs="Arial"/>
      <w:sz w:val="30"/>
      <w:szCs w:val="30"/>
    </w:rPr>
  </w:style>
  <w:style w:type="paragraph" w:styleId="1139">
    <w:name w:val="Heading 4"/>
    <w:basedOn w:val="1135"/>
    <w:next w:val="1135"/>
    <w:link w:val="1228"/>
    <w:uiPriority w:val="9"/>
    <w:unhideWhenUsed/>
    <w:qFormat/>
    <w:pPr>
      <w:keepLines/>
      <w:keepNext/>
      <w:spacing w:before="320" w:after="200"/>
      <w:outlineLvl w:val="3"/>
    </w:pPr>
    <w:rPr>
      <w:rFonts w:ascii="Arial" w:hAnsi="Arial" w:eastAsia="Arial" w:cs="Arial"/>
      <w:b/>
      <w:bCs/>
      <w:sz w:val="26"/>
      <w:szCs w:val="26"/>
    </w:rPr>
  </w:style>
  <w:style w:type="paragraph" w:styleId="1140">
    <w:name w:val="Heading 5"/>
    <w:basedOn w:val="1135"/>
    <w:next w:val="1135"/>
    <w:link w:val="1229"/>
    <w:uiPriority w:val="9"/>
    <w:unhideWhenUsed/>
    <w:qFormat/>
    <w:pPr>
      <w:keepLines/>
      <w:keepNext/>
      <w:spacing w:before="320" w:after="200"/>
      <w:outlineLvl w:val="4"/>
    </w:pPr>
    <w:rPr>
      <w:rFonts w:ascii="Arial" w:hAnsi="Arial" w:eastAsia="Arial" w:cs="Arial"/>
      <w:b/>
      <w:bCs/>
      <w:sz w:val="24"/>
      <w:szCs w:val="24"/>
    </w:rPr>
  </w:style>
  <w:style w:type="paragraph" w:styleId="1141">
    <w:name w:val="Heading 6"/>
    <w:basedOn w:val="1135"/>
    <w:next w:val="1135"/>
    <w:link w:val="1230"/>
    <w:uiPriority w:val="9"/>
    <w:unhideWhenUsed/>
    <w:qFormat/>
    <w:pPr>
      <w:keepLines/>
      <w:keepNext/>
      <w:spacing w:before="320" w:after="200"/>
      <w:outlineLvl w:val="5"/>
    </w:pPr>
    <w:rPr>
      <w:rFonts w:ascii="Arial" w:hAnsi="Arial" w:eastAsia="Arial" w:cs="Arial"/>
      <w:b/>
      <w:bCs/>
      <w:sz w:val="22"/>
    </w:rPr>
  </w:style>
  <w:style w:type="paragraph" w:styleId="1142">
    <w:name w:val="Heading 7"/>
    <w:basedOn w:val="1135"/>
    <w:next w:val="1135"/>
    <w:link w:val="1231"/>
    <w:uiPriority w:val="9"/>
    <w:unhideWhenUsed/>
    <w:qFormat/>
    <w:pPr>
      <w:keepLines/>
      <w:keepNext/>
      <w:spacing w:before="320" w:after="200"/>
      <w:outlineLvl w:val="6"/>
    </w:pPr>
    <w:rPr>
      <w:rFonts w:ascii="Arial" w:hAnsi="Arial" w:eastAsia="Arial" w:cs="Arial"/>
      <w:b/>
      <w:bCs/>
      <w:i/>
      <w:iCs/>
      <w:sz w:val="22"/>
    </w:rPr>
  </w:style>
  <w:style w:type="paragraph" w:styleId="1143">
    <w:name w:val="Heading 8"/>
    <w:basedOn w:val="1135"/>
    <w:next w:val="1135"/>
    <w:link w:val="1232"/>
    <w:uiPriority w:val="9"/>
    <w:unhideWhenUsed/>
    <w:qFormat/>
    <w:pPr>
      <w:keepLines/>
      <w:keepNext/>
      <w:spacing w:before="320" w:after="200"/>
      <w:outlineLvl w:val="7"/>
    </w:pPr>
    <w:rPr>
      <w:rFonts w:ascii="Arial" w:hAnsi="Arial" w:eastAsia="Arial" w:cs="Arial"/>
      <w:i/>
      <w:iCs/>
      <w:sz w:val="22"/>
    </w:rPr>
  </w:style>
  <w:style w:type="paragraph" w:styleId="1144">
    <w:name w:val="Heading 9"/>
    <w:basedOn w:val="1135"/>
    <w:next w:val="1135"/>
    <w:link w:val="1233"/>
    <w:uiPriority w:val="9"/>
    <w:unhideWhenUsed/>
    <w:qFormat/>
    <w:pPr>
      <w:keepLines/>
      <w:keepNext/>
      <w:spacing w:before="320" w:after="200"/>
      <w:outlineLvl w:val="8"/>
    </w:pPr>
    <w:rPr>
      <w:rFonts w:ascii="Arial" w:hAnsi="Arial" w:eastAsia="Arial" w:cs="Arial"/>
      <w:i/>
      <w:iCs/>
      <w:szCs w:val="21"/>
    </w:rPr>
  </w:style>
  <w:style w:type="character" w:styleId="1145" w:default="1">
    <w:name w:val="Default Paragraph Font"/>
    <w:uiPriority w:val="1"/>
    <w:semiHidden/>
    <w:unhideWhenUsed/>
    <w:qFormat/>
  </w:style>
  <w:style w:type="table" w:styleId="1146" w:default="1">
    <w:name w:val="Normal Table"/>
    <w:uiPriority w:val="99"/>
    <w:semiHidden/>
    <w:unhideWhenUsed/>
    <w:qFormat/>
    <w:tblPr>
      <w:tblCellMar>
        <w:left w:w="108" w:type="dxa"/>
        <w:top w:w="0" w:type="dxa"/>
        <w:right w:w="108" w:type="dxa"/>
        <w:bottom w:w="0" w:type="dxa"/>
      </w:tblCellMar>
    </w:tblPr>
  </w:style>
  <w:style w:type="paragraph" w:styleId="1147">
    <w:name w:val="Normal Indent"/>
    <w:basedOn w:val="1135"/>
    <w:next w:val="1135"/>
    <w:uiPriority w:val="0"/>
    <w:qFormat/>
    <w:pPr>
      <w:ind w:firstLine="420"/>
    </w:pPr>
    <w:rPr>
      <w:rFonts w:asciiTheme="minorHAnsi" w:hAnsiTheme="minorHAnsi"/>
      <w:szCs w:val="21"/>
    </w:rPr>
  </w:style>
  <w:style w:type="paragraph" w:styleId="1148">
    <w:name w:val="toc 7"/>
    <w:basedOn w:val="1135"/>
    <w:next w:val="1135"/>
    <w:uiPriority w:val="39"/>
    <w:unhideWhenUsed/>
    <w:qFormat/>
    <w:pPr>
      <w:ind w:left="1701"/>
      <w:spacing w:after="57"/>
    </w:pPr>
  </w:style>
  <w:style w:type="paragraph" w:styleId="1149">
    <w:name w:val="Caption"/>
    <w:basedOn w:val="1135"/>
    <w:next w:val="11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50">
    <w:name w:val="annotation text"/>
    <w:basedOn w:val="1135"/>
    <w:link w:val="1547"/>
    <w:uiPriority w:val="99"/>
    <w:unhideWhenUsed/>
    <w:qFormat/>
    <w:pPr>
      <w:jc w:val="left"/>
    </w:pPr>
  </w:style>
  <w:style w:type="paragraph" w:styleId="1151">
    <w:name w:val="Body Text"/>
    <w:basedOn w:val="1135"/>
    <w:next w:val="1152"/>
    <w:uiPriority w:val="0"/>
    <w:qFormat/>
    <w:rPr>
      <w:rFonts w:ascii="仿宋_GB2312" w:hAnsi="宋体" w:eastAsia="仿宋_GB2312"/>
      <w:sz w:val="24"/>
      <w:szCs w:val="24"/>
    </w:rPr>
  </w:style>
  <w:style w:type="paragraph" w:styleId="1152" w:customStyle="1">
    <w:name w:val="Default"/>
    <w:next w:val="1153"/>
    <w:uiPriority w:val="0"/>
    <w:qFormat/>
    <w:pPr>
      <w:widowControl w:val="off"/>
    </w:pPr>
    <w:rPr>
      <w:rFonts w:ascii="宋体" w:hAnsi="Times New Roman" w:eastAsia="宋体" w:cs="宋体"/>
      <w:color w:val="000000"/>
      <w:sz w:val="24"/>
      <w:szCs w:val="24"/>
      <w:lang w:val="en-US" w:eastAsia="zh-CN" w:bidi="ar-SA"/>
    </w:rPr>
  </w:style>
  <w:style w:type="paragraph" w:styleId="1153">
    <w:name w:val="Intense Quote"/>
    <w:basedOn w:val="1135"/>
    <w:next w:val="1135"/>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154">
    <w:name w:val="index 4"/>
    <w:basedOn w:val="1135"/>
    <w:next w:val="1135"/>
    <w:uiPriority w:val="99"/>
    <w:unhideWhenUsed/>
    <w:qFormat/>
    <w:pPr>
      <w:ind w:left="600"/>
    </w:pPr>
    <w:rPr>
      <w:rFonts w:ascii="Verdana" w:hAnsi="Verdana"/>
      <w:szCs w:val="20"/>
    </w:rPr>
  </w:style>
  <w:style w:type="paragraph" w:styleId="1155">
    <w:name w:val="toc 5"/>
    <w:basedOn w:val="1135"/>
    <w:next w:val="1135"/>
    <w:uiPriority w:val="39"/>
    <w:unhideWhenUsed/>
    <w:qFormat/>
    <w:pPr>
      <w:ind w:left="1134"/>
      <w:spacing w:after="57"/>
    </w:pPr>
  </w:style>
  <w:style w:type="paragraph" w:styleId="1156">
    <w:name w:val="toc 3"/>
    <w:basedOn w:val="1135"/>
    <w:next w:val="1135"/>
    <w:uiPriority w:val="39"/>
    <w:unhideWhenUsed/>
    <w:qFormat/>
    <w:pPr>
      <w:ind w:left="567"/>
    </w:pPr>
    <w:rPr>
      <w:rFonts w:ascii="微软雅黑" w:hAnsi="微软雅黑" w:cs="微软雅黑"/>
    </w:rPr>
  </w:style>
  <w:style w:type="paragraph" w:styleId="1157">
    <w:name w:val="Plain Text"/>
    <w:basedOn w:val="1135"/>
    <w:uiPriority w:val="0"/>
    <w:qFormat/>
    <w:rPr>
      <w:rFonts w:ascii="宋体" w:hAnsi="Courier New" w:cs="Courier New"/>
      <w:szCs w:val="21"/>
    </w:rPr>
  </w:style>
  <w:style w:type="paragraph" w:styleId="1158">
    <w:name w:val="toc 8"/>
    <w:basedOn w:val="1135"/>
    <w:next w:val="1135"/>
    <w:uiPriority w:val="39"/>
    <w:unhideWhenUsed/>
    <w:qFormat/>
    <w:pPr>
      <w:ind w:left="1984"/>
      <w:spacing w:after="57"/>
    </w:pPr>
  </w:style>
  <w:style w:type="paragraph" w:styleId="1159">
    <w:name w:val="endnote text"/>
    <w:basedOn w:val="1135"/>
    <w:link w:val="1350"/>
    <w:uiPriority w:val="99"/>
    <w:semiHidden/>
    <w:unhideWhenUsed/>
    <w:qFormat/>
    <w:rPr>
      <w:sz w:val="20"/>
    </w:rPr>
  </w:style>
  <w:style w:type="paragraph" w:styleId="1160">
    <w:name w:val="Footer"/>
    <w:basedOn w:val="1135"/>
    <w:link w:val="1242"/>
    <w:uiPriority w:val="99"/>
    <w:unhideWhenUsed/>
    <w:qFormat/>
    <w:pPr>
      <w:tabs>
        <w:tab w:val="center" w:pos="7143" w:leader="none"/>
        <w:tab w:val="right" w:pos="14287" w:leader="none"/>
      </w:tabs>
    </w:pPr>
  </w:style>
  <w:style w:type="paragraph" w:styleId="1161">
    <w:name w:val="Header"/>
    <w:basedOn w:val="1135"/>
    <w:link w:val="1240"/>
    <w:uiPriority w:val="99"/>
    <w:unhideWhenUsed/>
    <w:qFormat/>
    <w:pPr>
      <w:tabs>
        <w:tab w:val="center" w:pos="7143" w:leader="none"/>
        <w:tab w:val="right" w:pos="14287" w:leader="none"/>
      </w:tabs>
    </w:pPr>
  </w:style>
  <w:style w:type="paragraph" w:styleId="1162">
    <w:name w:val="toc 1"/>
    <w:basedOn w:val="1135"/>
    <w:next w:val="1135"/>
    <w:uiPriority w:val="39"/>
    <w:unhideWhenUsed/>
    <w:qFormat/>
    <w:rPr>
      <w:rFonts w:ascii="微软雅黑" w:hAnsi="微软雅黑" w:cs="微软雅黑"/>
      <w:b/>
    </w:rPr>
  </w:style>
  <w:style w:type="paragraph" w:styleId="1163">
    <w:name w:val="toc 4"/>
    <w:basedOn w:val="1135"/>
    <w:next w:val="1135"/>
    <w:uiPriority w:val="39"/>
    <w:unhideWhenUsed/>
    <w:qFormat/>
    <w:pPr>
      <w:ind w:left="850"/>
      <w:spacing w:after="57"/>
    </w:pPr>
  </w:style>
  <w:style w:type="paragraph" w:styleId="1164">
    <w:name w:val="Subtitle"/>
    <w:basedOn w:val="1135"/>
    <w:next w:val="1135"/>
    <w:link w:val="1236"/>
    <w:uiPriority w:val="11"/>
    <w:qFormat/>
    <w:pPr>
      <w:spacing w:before="200" w:after="200"/>
    </w:pPr>
    <w:rPr>
      <w:sz w:val="24"/>
      <w:szCs w:val="24"/>
    </w:rPr>
  </w:style>
  <w:style w:type="paragraph" w:styleId="1165">
    <w:name w:val="footnote text"/>
    <w:basedOn w:val="1135"/>
    <w:link w:val="1349"/>
    <w:uiPriority w:val="99"/>
    <w:semiHidden/>
    <w:unhideWhenUsed/>
    <w:qFormat/>
    <w:pPr>
      <w:spacing w:after="40"/>
    </w:pPr>
    <w:rPr>
      <w:sz w:val="18"/>
    </w:rPr>
  </w:style>
  <w:style w:type="paragraph" w:styleId="1166">
    <w:name w:val="toc 6"/>
    <w:basedOn w:val="1135"/>
    <w:next w:val="1135"/>
    <w:uiPriority w:val="39"/>
    <w:unhideWhenUsed/>
    <w:qFormat/>
    <w:pPr>
      <w:ind w:left="1417"/>
      <w:spacing w:after="57"/>
    </w:pPr>
  </w:style>
  <w:style w:type="paragraph" w:styleId="1167">
    <w:name w:val="table of figures"/>
    <w:basedOn w:val="1135"/>
    <w:next w:val="1135"/>
    <w:uiPriority w:val="99"/>
    <w:unhideWhenUsed/>
    <w:qFormat/>
  </w:style>
  <w:style w:type="paragraph" w:styleId="1168">
    <w:name w:val="toc 2"/>
    <w:basedOn w:val="1135"/>
    <w:next w:val="1135"/>
    <w:uiPriority w:val="39"/>
    <w:unhideWhenUsed/>
    <w:qFormat/>
    <w:pPr>
      <w:ind w:left="283"/>
    </w:pPr>
    <w:rPr>
      <w:rFonts w:ascii="微软雅黑" w:hAnsi="微软雅黑" w:cs="微软雅黑"/>
    </w:rPr>
  </w:style>
  <w:style w:type="paragraph" w:styleId="1169">
    <w:name w:val="toc 9"/>
    <w:basedOn w:val="1135"/>
    <w:next w:val="1135"/>
    <w:uiPriority w:val="39"/>
    <w:unhideWhenUsed/>
    <w:qFormat/>
    <w:pPr>
      <w:ind w:left="2268"/>
      <w:spacing w:after="57"/>
    </w:pPr>
  </w:style>
  <w:style w:type="paragraph" w:styleId="1170">
    <w:name w:val="Normal (Web)"/>
    <w:basedOn w:val="113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71">
    <w:name w:val="Title"/>
    <w:basedOn w:val="1135"/>
    <w:next w:val="1135"/>
    <w:link w:val="1235"/>
    <w:uiPriority w:val="10"/>
    <w:qFormat/>
    <w:pPr>
      <w:contextualSpacing/>
      <w:spacing w:before="300" w:after="200"/>
    </w:pPr>
    <w:rPr>
      <w:sz w:val="48"/>
      <w:szCs w:val="48"/>
    </w:rPr>
  </w:style>
  <w:style w:type="paragraph" w:styleId="1172">
    <w:name w:val="annotation subject"/>
    <w:basedOn w:val="1150"/>
    <w:next w:val="1150"/>
    <w:link w:val="1548"/>
    <w:uiPriority w:val="99"/>
    <w:semiHidden/>
    <w:unhideWhenUsed/>
    <w:qFormat/>
    <w:rPr>
      <w:b/>
      <w:bCs/>
    </w:rPr>
  </w:style>
  <w:style w:type="table" w:styleId="11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4">
    <w:name w:val="endnote reference"/>
    <w:uiPriority w:val="99"/>
    <w:semiHidden/>
    <w:unhideWhenUsed/>
    <w:qFormat/>
    <w:rPr>
      <w:vertAlign w:val="superscript"/>
    </w:rPr>
  </w:style>
  <w:style w:type="character" w:styleId="1175">
    <w:name w:val="Emphasis"/>
    <w:basedOn w:val="1145"/>
    <w:uiPriority w:val="20"/>
    <w:qFormat/>
    <w:rPr>
      <w:i/>
    </w:rPr>
  </w:style>
  <w:style w:type="character" w:styleId="1176">
    <w:name w:val="Hyperlink"/>
    <w:uiPriority w:val="99"/>
    <w:unhideWhenUsed/>
    <w:qFormat/>
    <w:rPr>
      <w:color w:val="0000ff" w:themeColor="hyperlink"/>
      <w:u w:val="single"/>
      <w14:textFill>
        <w14:solidFill>
          <w14:schemeClr w14:val="hlink"/>
        </w14:solidFill>
      </w14:textFill>
    </w:rPr>
  </w:style>
  <w:style w:type="character" w:styleId="1177">
    <w:name w:val="annotation reference"/>
    <w:basedOn w:val="1145"/>
    <w:uiPriority w:val="99"/>
    <w:semiHidden/>
    <w:unhideWhenUsed/>
    <w:qFormat/>
    <w:rPr>
      <w:sz w:val="21"/>
      <w:szCs w:val="21"/>
    </w:rPr>
  </w:style>
  <w:style w:type="character" w:styleId="1178">
    <w:name w:val="footnote reference"/>
    <w:uiPriority w:val="99"/>
    <w:unhideWhenUsed/>
    <w:qFormat/>
    <w:rPr>
      <w:vertAlign w:val="superscript"/>
    </w:rPr>
  </w:style>
  <w:style w:type="character" w:styleId="1179" w:customStyle="1">
    <w:name w:val="Heading 1 Char"/>
    <w:basedOn w:val="1145"/>
    <w:uiPriority w:val="9"/>
    <w:qFormat/>
    <w:rPr>
      <w:rFonts w:ascii="Arial" w:hAnsi="Arial" w:eastAsia="Arial" w:cs="Arial"/>
      <w:sz w:val="40"/>
      <w:szCs w:val="40"/>
    </w:rPr>
  </w:style>
  <w:style w:type="character" w:styleId="1180" w:customStyle="1">
    <w:name w:val="Heading 2 Char"/>
    <w:basedOn w:val="1145"/>
    <w:uiPriority w:val="9"/>
    <w:qFormat/>
    <w:rPr>
      <w:rFonts w:ascii="Arial" w:hAnsi="Arial" w:eastAsia="Arial" w:cs="Arial"/>
      <w:sz w:val="34"/>
    </w:rPr>
  </w:style>
  <w:style w:type="character" w:styleId="1181" w:customStyle="1">
    <w:name w:val="Heading 3 Char"/>
    <w:basedOn w:val="1145"/>
    <w:uiPriority w:val="9"/>
    <w:qFormat/>
    <w:rPr>
      <w:rFonts w:ascii="Arial" w:hAnsi="Arial" w:eastAsia="Arial" w:cs="Arial"/>
      <w:sz w:val="30"/>
      <w:szCs w:val="30"/>
    </w:rPr>
  </w:style>
  <w:style w:type="character" w:styleId="1182" w:customStyle="1">
    <w:name w:val="Heading 4 Char"/>
    <w:basedOn w:val="1145"/>
    <w:uiPriority w:val="9"/>
    <w:qFormat/>
    <w:rPr>
      <w:rFonts w:ascii="Arial" w:hAnsi="Arial" w:eastAsia="Arial" w:cs="Arial"/>
      <w:b/>
      <w:bCs/>
      <w:sz w:val="26"/>
      <w:szCs w:val="26"/>
    </w:rPr>
  </w:style>
  <w:style w:type="character" w:styleId="1183" w:customStyle="1">
    <w:name w:val="Heading 5 Char"/>
    <w:basedOn w:val="1145"/>
    <w:uiPriority w:val="9"/>
    <w:qFormat/>
    <w:rPr>
      <w:rFonts w:ascii="Arial" w:hAnsi="Arial" w:eastAsia="Arial" w:cs="Arial"/>
      <w:b/>
      <w:bCs/>
      <w:sz w:val="24"/>
      <w:szCs w:val="24"/>
    </w:rPr>
  </w:style>
  <w:style w:type="character" w:styleId="1184" w:customStyle="1">
    <w:name w:val="Heading 6 Char"/>
    <w:basedOn w:val="1145"/>
    <w:uiPriority w:val="9"/>
    <w:qFormat/>
    <w:rPr>
      <w:rFonts w:ascii="Arial" w:hAnsi="Arial" w:eastAsia="Arial" w:cs="Arial"/>
      <w:b/>
      <w:bCs/>
      <w:sz w:val="22"/>
      <w:szCs w:val="22"/>
    </w:rPr>
  </w:style>
  <w:style w:type="character" w:styleId="1185" w:customStyle="1">
    <w:name w:val="Heading 7 Char"/>
    <w:basedOn w:val="1145"/>
    <w:uiPriority w:val="9"/>
    <w:qFormat/>
    <w:rPr>
      <w:rFonts w:ascii="Arial" w:hAnsi="Arial" w:eastAsia="Arial" w:cs="Arial"/>
      <w:b/>
      <w:bCs/>
      <w:i/>
      <w:iCs/>
      <w:sz w:val="22"/>
      <w:szCs w:val="22"/>
    </w:rPr>
  </w:style>
  <w:style w:type="character" w:styleId="1186" w:customStyle="1">
    <w:name w:val="Heading 8 Char"/>
    <w:basedOn w:val="1145"/>
    <w:uiPriority w:val="9"/>
    <w:qFormat/>
    <w:rPr>
      <w:rFonts w:ascii="Arial" w:hAnsi="Arial" w:eastAsia="Arial" w:cs="Arial"/>
      <w:i/>
      <w:iCs/>
      <w:sz w:val="22"/>
      <w:szCs w:val="22"/>
    </w:rPr>
  </w:style>
  <w:style w:type="character" w:styleId="1187" w:customStyle="1">
    <w:name w:val="Heading 9 Char"/>
    <w:basedOn w:val="1145"/>
    <w:uiPriority w:val="9"/>
    <w:qFormat/>
    <w:rPr>
      <w:rFonts w:ascii="Arial" w:hAnsi="Arial" w:eastAsia="Arial" w:cs="Arial"/>
      <w:i/>
      <w:iCs/>
      <w:sz w:val="21"/>
      <w:szCs w:val="21"/>
    </w:rPr>
  </w:style>
  <w:style w:type="character" w:styleId="1188" w:customStyle="1">
    <w:name w:val="Title Char"/>
    <w:basedOn w:val="1145"/>
    <w:uiPriority w:val="10"/>
    <w:qFormat/>
    <w:rPr>
      <w:sz w:val="48"/>
      <w:szCs w:val="48"/>
    </w:rPr>
  </w:style>
  <w:style w:type="character" w:styleId="1189" w:customStyle="1">
    <w:name w:val="Subtitle Char"/>
    <w:basedOn w:val="1145"/>
    <w:uiPriority w:val="11"/>
    <w:qFormat/>
    <w:rPr>
      <w:sz w:val="24"/>
      <w:szCs w:val="24"/>
    </w:rPr>
  </w:style>
  <w:style w:type="character" w:styleId="1190" w:customStyle="1">
    <w:name w:val="Quote Char"/>
    <w:uiPriority w:val="29"/>
    <w:qFormat/>
    <w:rPr>
      <w:i/>
    </w:rPr>
  </w:style>
  <w:style w:type="character" w:styleId="1191" w:customStyle="1">
    <w:name w:val="Header Char"/>
    <w:basedOn w:val="1145"/>
    <w:uiPriority w:val="99"/>
    <w:qFormat/>
  </w:style>
  <w:style w:type="character" w:styleId="1192" w:customStyle="1">
    <w:name w:val="Caption Char"/>
    <w:uiPriority w:val="99"/>
    <w:qFormat/>
  </w:style>
  <w:style w:type="table" w:styleId="1193" w:customStyle="1">
    <w:name w:val="无格式表格 11"/>
    <w:basedOn w:val="11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4" w:customStyle="1">
    <w:name w:val="无格式表格 21"/>
    <w:basedOn w:val="11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5" w:customStyle="1">
    <w:name w:val="无格式表格 31"/>
    <w:basedOn w:val="11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6" w:customStyle="1">
    <w:name w:val="无格式表格 41"/>
    <w:basedOn w:val="11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7" w:customStyle="1">
    <w:name w:val="无格式表格 51"/>
    <w:basedOn w:val="11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8" w:customStyle="1">
    <w:name w:val="网格表 1 浅色1"/>
    <w:basedOn w:val="11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9" w:customStyle="1">
    <w:name w:val="网格表 21"/>
    <w:basedOn w:val="11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0" w:customStyle="1">
    <w:name w:val="网格表 31"/>
    <w:basedOn w:val="11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网格表 41"/>
    <w:basedOn w:val="11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2" w:customStyle="1">
    <w:name w:val="网格表 5 深色1"/>
    <w:basedOn w:val="11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3" w:customStyle="1">
    <w:name w:val="网格表 6 彩色1"/>
    <w:basedOn w:val="11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4" w:customStyle="1">
    <w:name w:val="网格表 7 彩色1"/>
    <w:basedOn w:val="11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5" w:customStyle="1">
    <w:name w:val="清单表 1 浅色1"/>
    <w:basedOn w:val="114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6" w:customStyle="1">
    <w:name w:val="清单表 21"/>
    <w:basedOn w:val="11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7" w:customStyle="1">
    <w:name w:val="清单表 31"/>
    <w:basedOn w:val="11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8" w:customStyle="1">
    <w:name w:val="清单表 41"/>
    <w:basedOn w:val="11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9" w:customStyle="1">
    <w:name w:val="清单表 5 深色1"/>
    <w:basedOn w:val="11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清单表 6 彩色1"/>
    <w:basedOn w:val="114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1" w:customStyle="1">
    <w:name w:val="清单表 7 彩色1"/>
    <w:basedOn w:val="114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12" w:customStyle="1">
    <w:name w:val="Footnote Text Char"/>
    <w:uiPriority w:val="99"/>
    <w:qFormat/>
    <w:rPr>
      <w:sz w:val="18"/>
    </w:rPr>
  </w:style>
  <w:style w:type="character" w:styleId="1213" w:customStyle="1">
    <w:name w:val="Endnote Text Char"/>
    <w:uiPriority w:val="99"/>
    <w:qFormat/>
    <w:rPr>
      <w:sz w:val="20"/>
    </w:rPr>
  </w:style>
  <w:style w:type="paragraph" w:styleId="1214" w:customStyle="1">
    <w:name w:val="TOC 标题1"/>
    <w:uiPriority w:val="39"/>
    <w:unhideWhenUsed/>
    <w:qFormat/>
    <w:rPr>
      <w:rFonts w:ascii="Times New Roman" w:hAnsi="Times New Roman" w:eastAsia="宋体" w:cs="Times New Roman"/>
      <w:lang w:val="en-US" w:eastAsia="zh-CN" w:bidi="ar-SA"/>
    </w:rPr>
  </w:style>
  <w:style w:type="character" w:styleId="1215" w:customStyle="1">
    <w:name w:val="标题 3 字符"/>
    <w:link w:val="1216"/>
    <w:uiPriority w:val="0"/>
    <w:qFormat/>
    <w:rPr>
      <w:rFonts w:ascii="Times New Roman" w:hAnsi="Times New Roman" w:eastAsia="微软雅黑" w:cs="Times New Roman"/>
      <w:b/>
      <w:bCs/>
      <w:sz w:val="21"/>
      <w:szCs w:val="32"/>
    </w:rPr>
  </w:style>
  <w:style w:type="paragraph" w:styleId="1216" w:customStyle="1">
    <w:name w:val="标题 31"/>
    <w:basedOn w:val="1135"/>
    <w:next w:val="1217"/>
    <w:link w:val="1215"/>
    <w:uiPriority w:val="0"/>
    <w:qFormat/>
    <w:pPr>
      <w:jc w:val="left"/>
      <w:keepLines/>
      <w:keepNext/>
      <w:spacing w:line="440" w:lineRule="exact"/>
      <w:outlineLvl w:val="2"/>
    </w:pPr>
    <w:rPr>
      <w:b/>
      <w:bCs/>
      <w:szCs w:val="32"/>
    </w:rPr>
  </w:style>
  <w:style w:type="paragraph" w:styleId="1217" w:customStyle="1">
    <w:name w:val="正文缩进1"/>
    <w:basedOn w:val="1135"/>
    <w:uiPriority w:val="0"/>
    <w:qFormat/>
    <w:pPr>
      <w:ind w:firstLine="420"/>
      <w:jc w:val="left"/>
      <w:spacing w:line="360" w:lineRule="atLeast"/>
    </w:pPr>
    <w:rPr>
      <w:rFonts w:eastAsia="宋体"/>
      <w:szCs w:val="21"/>
    </w:rPr>
  </w:style>
  <w:style w:type="character" w:styleId="1218" w:customStyle="1">
    <w:name w:val="标题 4 字符"/>
    <w:link w:val="1219"/>
    <w:uiPriority w:val="0"/>
    <w:qFormat/>
    <w:rPr>
      <w:rFonts w:ascii="Arial" w:hAnsi="Arial"/>
      <w:b/>
      <w:bCs/>
      <w:sz w:val="24"/>
      <w:szCs w:val="28"/>
    </w:rPr>
  </w:style>
  <w:style w:type="paragraph" w:styleId="1219" w:customStyle="1">
    <w:name w:val="标题 41"/>
    <w:basedOn w:val="1135"/>
    <w:next w:val="1135"/>
    <w:link w:val="1218"/>
    <w:uiPriority w:val="0"/>
    <w:qFormat/>
    <w:pPr>
      <w:keepLines/>
      <w:keepNext/>
      <w:spacing w:line="360" w:lineRule="auto"/>
      <w:outlineLvl w:val="3"/>
    </w:pPr>
    <w:rPr>
      <w:rFonts w:ascii="Arial" w:hAnsi="Arial" w:eastAsia="宋体"/>
      <w:b/>
      <w:bCs/>
      <w:sz w:val="24"/>
      <w:szCs w:val="28"/>
    </w:rPr>
  </w:style>
  <w:style w:type="character" w:styleId="1220" w:customStyle="1">
    <w:name w:val="标题 5 字符"/>
    <w:link w:val="1221"/>
    <w:uiPriority w:val="0"/>
    <w:qFormat/>
    <w:rPr>
      <w:rFonts w:ascii="Calibri" w:hAnsi="Calibri"/>
      <w:b/>
      <w:bCs/>
      <w:sz w:val="28"/>
      <w:szCs w:val="28"/>
    </w:rPr>
  </w:style>
  <w:style w:type="paragraph" w:styleId="1221" w:customStyle="1">
    <w:name w:val="标题 51"/>
    <w:basedOn w:val="1135"/>
    <w:next w:val="1135"/>
    <w:link w:val="1220"/>
    <w:uiPriority w:val="0"/>
    <w:qFormat/>
    <w:pPr>
      <w:keepLines/>
      <w:keepNext/>
      <w:spacing w:before="280" w:after="290" w:line="376" w:lineRule="auto"/>
      <w:outlineLvl w:val="4"/>
    </w:pPr>
    <w:rPr>
      <w:rFonts w:ascii="Calibri" w:hAnsi="Calibri" w:eastAsia="宋体"/>
      <w:b/>
      <w:bCs/>
      <w:sz w:val="28"/>
      <w:szCs w:val="28"/>
    </w:rPr>
  </w:style>
  <w:style w:type="paragraph" w:styleId="1222" w:customStyle="1">
    <w:name w:val="正文首行缩进 21"/>
    <w:basedOn w:val="1223"/>
    <w:next w:val="1135"/>
    <w:uiPriority w:val="99"/>
    <w:qFormat/>
    <w:pPr>
      <w:ind w:firstLine="420"/>
      <w:spacing w:after="200" w:line="440" w:lineRule="exact"/>
    </w:pPr>
    <w:rPr>
      <w:rFonts w:ascii="Calibri" w:hAnsi="Calibri" w:eastAsia="宋体" w:cs="Calibri"/>
      <w:sz w:val="21"/>
      <w:szCs w:val="21"/>
    </w:rPr>
  </w:style>
  <w:style w:type="paragraph" w:styleId="1223" w:customStyle="1">
    <w:name w:val="正文文本缩进11"/>
    <w:basedOn w:val="1135"/>
    <w:next w:val="1224"/>
    <w:uiPriority w:val="0"/>
    <w:qFormat/>
    <w:pPr>
      <w:ind w:firstLine="645"/>
    </w:pPr>
    <w:rPr>
      <w:rFonts w:ascii="楷体_GB2312" w:eastAsia="楷体_GB2312"/>
      <w:sz w:val="32"/>
      <w:szCs w:val="32"/>
    </w:rPr>
  </w:style>
  <w:style w:type="paragraph" w:styleId="1224" w:customStyle="1">
    <w:name w:val="寄信人地址1"/>
    <w:basedOn w:val="1135"/>
    <w:uiPriority w:val="0"/>
    <w:qFormat/>
    <w:rPr>
      <w:rFonts w:ascii="Arial" w:hAnsi="Arial" w:eastAsia="宋体"/>
    </w:rPr>
  </w:style>
  <w:style w:type="character" w:styleId="1225" w:customStyle="1">
    <w:name w:val="标题 1 字符1"/>
    <w:link w:val="1136"/>
    <w:uiPriority w:val="9"/>
    <w:qFormat/>
    <w:rPr>
      <w:rFonts w:ascii="Arial" w:hAnsi="Arial" w:eastAsia="Arial" w:cs="Arial"/>
      <w:sz w:val="40"/>
      <w:szCs w:val="40"/>
    </w:rPr>
  </w:style>
  <w:style w:type="character" w:styleId="1226" w:customStyle="1">
    <w:name w:val="标题 2 字符1"/>
    <w:link w:val="1137"/>
    <w:uiPriority w:val="9"/>
    <w:qFormat/>
    <w:rPr>
      <w:rFonts w:ascii="Arial" w:hAnsi="Arial" w:eastAsia="Arial" w:cs="Arial"/>
      <w:sz w:val="34"/>
    </w:rPr>
  </w:style>
  <w:style w:type="character" w:styleId="1227" w:customStyle="1">
    <w:name w:val="标题 3 字符1"/>
    <w:link w:val="1138"/>
    <w:uiPriority w:val="9"/>
    <w:qFormat/>
    <w:rPr>
      <w:rFonts w:ascii="Arial" w:hAnsi="Arial" w:eastAsia="Arial" w:cs="Arial"/>
      <w:sz w:val="30"/>
      <w:szCs w:val="30"/>
    </w:rPr>
  </w:style>
  <w:style w:type="character" w:styleId="1228" w:customStyle="1">
    <w:name w:val="标题 4 字符1"/>
    <w:link w:val="1139"/>
    <w:uiPriority w:val="9"/>
    <w:qFormat/>
    <w:rPr>
      <w:rFonts w:ascii="Arial" w:hAnsi="Arial" w:eastAsia="Arial" w:cs="Arial"/>
      <w:b/>
      <w:bCs/>
      <w:sz w:val="26"/>
      <w:szCs w:val="26"/>
    </w:rPr>
  </w:style>
  <w:style w:type="character" w:styleId="1229" w:customStyle="1">
    <w:name w:val="标题 5 字符1"/>
    <w:link w:val="1140"/>
    <w:uiPriority w:val="9"/>
    <w:qFormat/>
    <w:rPr>
      <w:rFonts w:ascii="Arial" w:hAnsi="Arial" w:eastAsia="Arial" w:cs="Arial"/>
      <w:b/>
      <w:bCs/>
      <w:sz w:val="24"/>
      <w:szCs w:val="24"/>
    </w:rPr>
  </w:style>
  <w:style w:type="character" w:styleId="1230" w:customStyle="1">
    <w:name w:val="标题 6 字符"/>
    <w:link w:val="1141"/>
    <w:uiPriority w:val="9"/>
    <w:qFormat/>
    <w:rPr>
      <w:rFonts w:ascii="Arial" w:hAnsi="Arial" w:eastAsia="Arial" w:cs="Arial"/>
      <w:b/>
      <w:bCs/>
      <w:sz w:val="22"/>
      <w:szCs w:val="22"/>
    </w:rPr>
  </w:style>
  <w:style w:type="character" w:styleId="1231" w:customStyle="1">
    <w:name w:val="标题 7 字符"/>
    <w:link w:val="1142"/>
    <w:uiPriority w:val="9"/>
    <w:qFormat/>
    <w:rPr>
      <w:rFonts w:ascii="Arial" w:hAnsi="Arial" w:eastAsia="Arial" w:cs="Arial"/>
      <w:b/>
      <w:bCs/>
      <w:i/>
      <w:iCs/>
      <w:sz w:val="22"/>
      <w:szCs w:val="22"/>
    </w:rPr>
  </w:style>
  <w:style w:type="character" w:styleId="1232" w:customStyle="1">
    <w:name w:val="标题 8 字符"/>
    <w:link w:val="1143"/>
    <w:uiPriority w:val="9"/>
    <w:qFormat/>
    <w:rPr>
      <w:rFonts w:ascii="Arial" w:hAnsi="Arial" w:eastAsia="Arial" w:cs="Arial"/>
      <w:i/>
      <w:iCs/>
      <w:sz w:val="22"/>
      <w:szCs w:val="22"/>
    </w:rPr>
  </w:style>
  <w:style w:type="character" w:styleId="1233" w:customStyle="1">
    <w:name w:val="标题 9 字符"/>
    <w:link w:val="1144"/>
    <w:uiPriority w:val="9"/>
    <w:qFormat/>
    <w:rPr>
      <w:rFonts w:ascii="Arial" w:hAnsi="Arial" w:eastAsia="Arial" w:cs="Arial"/>
      <w:i/>
      <w:iCs/>
      <w:sz w:val="21"/>
      <w:szCs w:val="21"/>
    </w:rPr>
  </w:style>
  <w:style w:type="paragraph" w:styleId="1234">
    <w:name w:val="No Spacing"/>
    <w:uiPriority w:val="1"/>
    <w:qFormat/>
    <w:rPr>
      <w:rFonts w:ascii="Times New Roman" w:hAnsi="Times New Roman" w:eastAsia="宋体" w:cs="Times New Roman"/>
      <w:lang w:val="en-US" w:eastAsia="zh-CN" w:bidi="ar-SA"/>
    </w:rPr>
  </w:style>
  <w:style w:type="character" w:styleId="1235" w:customStyle="1">
    <w:name w:val="标题 字符"/>
    <w:link w:val="1171"/>
    <w:uiPriority w:val="10"/>
    <w:qFormat/>
    <w:rPr>
      <w:sz w:val="48"/>
      <w:szCs w:val="48"/>
    </w:rPr>
  </w:style>
  <w:style w:type="character" w:styleId="1236" w:customStyle="1">
    <w:name w:val="副标题 字符"/>
    <w:link w:val="1164"/>
    <w:uiPriority w:val="11"/>
    <w:qFormat/>
    <w:rPr>
      <w:sz w:val="24"/>
      <w:szCs w:val="24"/>
    </w:rPr>
  </w:style>
  <w:style w:type="paragraph" w:styleId="1237">
    <w:name w:val="Quote"/>
    <w:basedOn w:val="1135"/>
    <w:next w:val="1135"/>
    <w:link w:val="1238"/>
    <w:uiPriority w:val="29"/>
    <w:qFormat/>
    <w:pPr>
      <w:ind w:left="720" w:right="720"/>
    </w:pPr>
    <w:rPr>
      <w:i/>
    </w:rPr>
  </w:style>
  <w:style w:type="character" w:styleId="1238" w:customStyle="1">
    <w:name w:val="引用 字符"/>
    <w:link w:val="1237"/>
    <w:uiPriority w:val="29"/>
    <w:qFormat/>
    <w:rPr>
      <w:i/>
    </w:rPr>
  </w:style>
  <w:style w:type="character" w:styleId="1239" w:customStyle="1">
    <w:name w:val="Intense Quote Char"/>
    <w:uiPriority w:val="30"/>
    <w:qFormat/>
    <w:rPr>
      <w:i/>
    </w:rPr>
  </w:style>
  <w:style w:type="character" w:styleId="1240" w:customStyle="1">
    <w:name w:val="页眉 字符1"/>
    <w:link w:val="1161"/>
    <w:uiPriority w:val="99"/>
    <w:qFormat/>
  </w:style>
  <w:style w:type="character" w:styleId="1241" w:customStyle="1">
    <w:name w:val="Footer Char"/>
    <w:uiPriority w:val="99"/>
    <w:qFormat/>
  </w:style>
  <w:style w:type="character" w:styleId="1242" w:customStyle="1">
    <w:name w:val="页脚 字符1"/>
    <w:link w:val="1160"/>
    <w:uiPriority w:val="99"/>
    <w:qFormat/>
  </w:style>
  <w:style w:type="table" w:styleId="12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9" w:customStyle="1">
    <w:name w:val="脚注文本 字符"/>
    <w:link w:val="1165"/>
    <w:uiPriority w:val="99"/>
    <w:qFormat/>
    <w:rPr>
      <w:sz w:val="18"/>
    </w:rPr>
  </w:style>
  <w:style w:type="character" w:styleId="1350" w:customStyle="1">
    <w:name w:val="尾注文本 字符"/>
    <w:link w:val="1159"/>
    <w:uiPriority w:val="99"/>
    <w:qFormat/>
    <w:rPr>
      <w:sz w:val="20"/>
    </w:rPr>
  </w:style>
  <w:style w:type="paragraph" w:styleId="1351" w:customStyle="1">
    <w:name w:val="TOC 标题11"/>
    <w:uiPriority w:val="39"/>
    <w:unhideWhenUsed/>
    <w:qFormat/>
    <w:rPr>
      <w:rFonts w:ascii="Times New Roman" w:hAnsi="Times New Roman" w:eastAsia="宋体" w:cs="Times New Roman"/>
      <w:lang w:val="en-US" w:eastAsia="zh-CN" w:bidi="ar-SA"/>
    </w:rPr>
  </w:style>
  <w:style w:type="paragraph" w:styleId="1352" w:customStyle="1">
    <w:name w:val="标题 11"/>
    <w:basedOn w:val="1135"/>
    <w:next w:val="1135"/>
    <w:link w:val="1356"/>
    <w:uiPriority w:val="0"/>
    <w:qFormat/>
    <w:pPr>
      <w:jc w:val="center"/>
      <w:keepLines/>
      <w:keepNext/>
      <w:spacing w:before="340" w:after="330"/>
      <w:outlineLvl w:val="0"/>
    </w:pPr>
    <w:rPr>
      <w:rFonts w:ascii="Calibri" w:hAnsi="Calibri"/>
      <w:b/>
      <w:bCs/>
      <w:sz w:val="32"/>
      <w:szCs w:val="44"/>
    </w:rPr>
  </w:style>
  <w:style w:type="paragraph" w:styleId="1353" w:customStyle="1">
    <w:name w:val="标题 21"/>
    <w:basedOn w:val="1135"/>
    <w:next w:val="1135"/>
    <w:link w:val="1357"/>
    <w:uiPriority w:val="0"/>
    <w:qFormat/>
    <w:pPr>
      <w:jc w:val="center"/>
      <w:keepLines/>
      <w:keepNext/>
      <w:spacing w:before="260" w:after="260"/>
      <w:outlineLvl w:val="1"/>
    </w:pPr>
    <w:rPr>
      <w:rFonts w:ascii="Cambria" w:hAnsi="Cambria"/>
      <w:b/>
      <w:bCs/>
      <w:sz w:val="28"/>
      <w:szCs w:val="32"/>
    </w:rPr>
  </w:style>
  <w:style w:type="character" w:styleId="1354" w:customStyle="1">
    <w:name w:val="默认段落字体1"/>
    <w:uiPriority w:val="1"/>
    <w:unhideWhenUsed/>
    <w:qFormat/>
  </w:style>
  <w:style w:type="table" w:styleId="1355" w:customStyle="1">
    <w:name w:val="普通表格1"/>
    <w:uiPriority w:val="99"/>
    <w:unhideWhenUsed/>
    <w:qFormat/>
    <w:tblPr>
      <w:tblCellMar>
        <w:left w:w="0" w:type="dxa"/>
        <w:top w:w="0" w:type="dxa"/>
        <w:right w:w="0" w:type="dxa"/>
        <w:bottom w:w="0" w:type="dxa"/>
      </w:tblCellMar>
    </w:tblPr>
  </w:style>
  <w:style w:type="character" w:styleId="1356" w:customStyle="1">
    <w:name w:val="标题 1 字符"/>
    <w:link w:val="1352"/>
    <w:uiPriority w:val="0"/>
    <w:qFormat/>
    <w:rPr>
      <w:rFonts w:ascii="Calibri" w:hAnsi="Calibri" w:eastAsia="微软雅黑"/>
      <w:b/>
      <w:bCs/>
      <w:sz w:val="32"/>
      <w:szCs w:val="44"/>
    </w:rPr>
  </w:style>
  <w:style w:type="character" w:styleId="1357" w:customStyle="1">
    <w:name w:val="标题 2 字符"/>
    <w:link w:val="1353"/>
    <w:uiPriority w:val="0"/>
    <w:qFormat/>
    <w:rPr>
      <w:rFonts w:ascii="Cambria" w:hAnsi="Cambria" w:eastAsia="微软雅黑" w:cs="Times New Roman"/>
      <w:b/>
      <w:bCs/>
      <w:sz w:val="28"/>
      <w:szCs w:val="32"/>
    </w:rPr>
  </w:style>
  <w:style w:type="paragraph" w:styleId="1358" w:customStyle="1">
    <w:name w:val="目录 71"/>
    <w:basedOn w:val="1135"/>
    <w:next w:val="1135"/>
    <w:uiPriority w:val="39"/>
    <w:qFormat/>
    <w:pPr>
      <w:ind w:left="2520"/>
    </w:pPr>
    <w:rPr>
      <w:szCs w:val="24"/>
    </w:rPr>
  </w:style>
  <w:style w:type="paragraph" w:styleId="1359" w:customStyle="1">
    <w:name w:val="题注1"/>
    <w:basedOn w:val="1135"/>
    <w:next w:val="1135"/>
    <w:uiPriority w:val="35"/>
    <w:qFormat/>
    <w:rPr>
      <w:rFonts w:ascii="Cambria" w:hAnsi="Cambria" w:eastAsia="黑体"/>
      <w:sz w:val="20"/>
      <w:szCs w:val="20"/>
    </w:rPr>
  </w:style>
  <w:style w:type="paragraph" w:styleId="1360" w:customStyle="1">
    <w:name w:val="列表项目符号1"/>
    <w:basedOn w:val="1135"/>
    <w:uiPriority w:val="0"/>
    <w:qFormat/>
    <w:pPr>
      <w:numPr>
        <w:ilvl w:val="0"/>
        <w:numId w:val="1"/>
      </w:numPr>
      <w:spacing w:line="360" w:lineRule="atLeast"/>
      <w:tabs>
        <w:tab w:val="left" w:pos="360" w:leader="none"/>
      </w:tabs>
    </w:pPr>
    <w:rPr>
      <w:rFonts w:ascii="Arial" w:hAnsi="Arial"/>
      <w:szCs w:val="21"/>
    </w:rPr>
  </w:style>
  <w:style w:type="paragraph" w:styleId="1361" w:customStyle="1">
    <w:name w:val="文档结构图1"/>
    <w:basedOn w:val="1135"/>
    <w:link w:val="1362"/>
    <w:uiPriority w:val="0"/>
    <w:qFormat/>
    <w:rPr>
      <w:rFonts w:ascii="宋体" w:eastAsia="宋体"/>
      <w:sz w:val="18"/>
      <w:szCs w:val="18"/>
    </w:rPr>
  </w:style>
  <w:style w:type="character" w:styleId="1362" w:customStyle="1">
    <w:name w:val="文档结构图 字符"/>
    <w:link w:val="1361"/>
    <w:uiPriority w:val="0"/>
    <w:qFormat/>
    <w:rPr>
      <w:rFonts w:ascii="宋体"/>
      <w:sz w:val="18"/>
      <w:szCs w:val="18"/>
    </w:rPr>
  </w:style>
  <w:style w:type="paragraph" w:styleId="1363" w:customStyle="1">
    <w:name w:val="批注文字1"/>
    <w:basedOn w:val="1135"/>
    <w:link w:val="1364"/>
    <w:uiPriority w:val="0"/>
    <w:semiHidden/>
    <w:qFormat/>
    <w:pPr>
      <w:jc w:val="left"/>
    </w:pPr>
    <w:rPr>
      <w:rFonts w:eastAsia="宋体"/>
      <w:sz w:val="20"/>
      <w:szCs w:val="21"/>
    </w:rPr>
  </w:style>
  <w:style w:type="character" w:styleId="1364" w:customStyle="1">
    <w:name w:val="批注文字 字符"/>
    <w:link w:val="1363"/>
    <w:uiPriority w:val="0"/>
    <w:semiHidden/>
    <w:qFormat/>
    <w:rPr>
      <w:rFonts w:ascii="Times New Roman" w:hAnsi="Times New Roman" w:eastAsia="宋体" w:cs="Times New Roman"/>
      <w:szCs w:val="21"/>
    </w:rPr>
  </w:style>
  <w:style w:type="paragraph" w:styleId="1365" w:customStyle="1">
    <w:name w:val="正文文本1"/>
    <w:basedOn w:val="1135"/>
    <w:next w:val="1135"/>
    <w:link w:val="1366"/>
    <w:uiPriority w:val="0"/>
    <w:qFormat/>
    <w:rPr>
      <w:rFonts w:ascii="仿宋_GB2312" w:hAnsi="宋体" w:eastAsia="仿宋_GB2312"/>
      <w:sz w:val="24"/>
      <w:szCs w:val="24"/>
    </w:rPr>
  </w:style>
  <w:style w:type="character" w:styleId="1366" w:customStyle="1">
    <w:name w:val="正文文本 字符"/>
    <w:link w:val="1365"/>
    <w:uiPriority w:val="0"/>
    <w:qFormat/>
    <w:rPr>
      <w:rFonts w:ascii="仿宋_GB2312" w:hAnsi="宋体" w:eastAsia="仿宋_GB2312" w:cs="仿宋_GB2312"/>
      <w:sz w:val="24"/>
      <w:szCs w:val="24"/>
    </w:rPr>
  </w:style>
  <w:style w:type="paragraph" w:styleId="1367" w:customStyle="1">
    <w:name w:val="正文文本缩进1"/>
    <w:basedOn w:val="1135"/>
    <w:link w:val="1368"/>
    <w:uiPriority w:val="0"/>
    <w:qFormat/>
    <w:pPr>
      <w:ind w:firstLine="403"/>
      <w:spacing w:line="440" w:lineRule="exact"/>
    </w:pPr>
    <w:rPr>
      <w:rFonts w:ascii="宋体" w:hAnsi="宋体" w:eastAsia="宋体"/>
      <w:sz w:val="20"/>
      <w:szCs w:val="21"/>
    </w:rPr>
  </w:style>
  <w:style w:type="character" w:styleId="1368" w:customStyle="1">
    <w:name w:val="正文文本缩进 字符"/>
    <w:link w:val="1367"/>
    <w:uiPriority w:val="0"/>
    <w:qFormat/>
    <w:rPr>
      <w:rFonts w:ascii="宋体" w:hAnsi="宋体" w:eastAsia="宋体" w:cs="宋体"/>
      <w:szCs w:val="21"/>
    </w:rPr>
  </w:style>
  <w:style w:type="paragraph" w:styleId="1369" w:customStyle="1">
    <w:name w:val="文本块1"/>
    <w:basedOn w:val="1135"/>
    <w:next w:val="1135"/>
    <w:uiPriority w:val="99"/>
    <w:unhideWhenUsed/>
    <w:qFormat/>
    <w:pPr>
      <w:ind w:left="1440" w:right="1440"/>
      <w:spacing w:after="120"/>
    </w:pPr>
  </w:style>
  <w:style w:type="paragraph" w:styleId="1370" w:customStyle="1">
    <w:name w:val="索引 411"/>
    <w:basedOn w:val="1135"/>
    <w:next w:val="1135"/>
    <w:uiPriority w:val="99"/>
    <w:unhideWhenUsed/>
    <w:qFormat/>
    <w:pPr>
      <w:ind w:left="600"/>
    </w:pPr>
    <w:rPr>
      <w:rFonts w:ascii="Verdana" w:hAnsi="Verdana"/>
      <w:szCs w:val="20"/>
    </w:rPr>
  </w:style>
  <w:style w:type="paragraph" w:styleId="1371" w:customStyle="1">
    <w:name w:val="目录 51"/>
    <w:basedOn w:val="1135"/>
    <w:next w:val="1135"/>
    <w:uiPriority w:val="39"/>
    <w:qFormat/>
    <w:pPr>
      <w:ind w:left="1680"/>
    </w:pPr>
    <w:rPr>
      <w:szCs w:val="24"/>
    </w:rPr>
  </w:style>
  <w:style w:type="paragraph" w:styleId="1372" w:customStyle="1">
    <w:name w:val="目录 31"/>
    <w:basedOn w:val="1135"/>
    <w:next w:val="1135"/>
    <w:uiPriority w:val="39"/>
    <w:unhideWhenUsed/>
    <w:qFormat/>
    <w:pPr>
      <w:ind w:left="840"/>
      <w:spacing w:line="340" w:lineRule="exact"/>
    </w:pPr>
    <w:rPr>
      <w:rFonts w:ascii="Calibri" w:hAnsi="Calibri"/>
    </w:rPr>
  </w:style>
  <w:style w:type="paragraph" w:styleId="1373" w:customStyle="1">
    <w:name w:val="纯文本1"/>
    <w:basedOn w:val="1135"/>
    <w:link w:val="1374"/>
    <w:uiPriority w:val="0"/>
    <w:qFormat/>
    <w:rPr>
      <w:rFonts w:ascii="宋体" w:hAnsi="Courier New" w:eastAsia="宋体"/>
      <w:sz w:val="28"/>
      <w:szCs w:val="28"/>
    </w:rPr>
  </w:style>
  <w:style w:type="character" w:styleId="1374" w:customStyle="1">
    <w:name w:val="纯文本 字符"/>
    <w:link w:val="1373"/>
    <w:uiPriority w:val="0"/>
    <w:qFormat/>
    <w:rPr>
      <w:rFonts w:ascii="宋体" w:hAnsi="Courier New" w:eastAsia="宋体" w:cs="宋体"/>
      <w:sz w:val="28"/>
      <w:szCs w:val="28"/>
    </w:rPr>
  </w:style>
  <w:style w:type="paragraph" w:styleId="1375" w:customStyle="1">
    <w:name w:val="目录 81"/>
    <w:basedOn w:val="1135"/>
    <w:next w:val="1135"/>
    <w:uiPriority w:val="39"/>
    <w:qFormat/>
    <w:pPr>
      <w:ind w:left="2940"/>
    </w:pPr>
    <w:rPr>
      <w:szCs w:val="24"/>
    </w:rPr>
  </w:style>
  <w:style w:type="paragraph" w:styleId="1376" w:customStyle="1">
    <w:name w:val="日期1"/>
    <w:basedOn w:val="1135"/>
    <w:next w:val="1135"/>
    <w:link w:val="1377"/>
    <w:uiPriority w:val="0"/>
    <w:qFormat/>
    <w:pPr>
      <w:ind w:left="100"/>
    </w:pPr>
    <w:rPr>
      <w:rFonts w:eastAsia="宋体"/>
      <w:sz w:val="20"/>
      <w:szCs w:val="21"/>
    </w:rPr>
  </w:style>
  <w:style w:type="character" w:styleId="1377" w:customStyle="1">
    <w:name w:val="日期 字符"/>
    <w:link w:val="1376"/>
    <w:uiPriority w:val="0"/>
    <w:qFormat/>
    <w:rPr>
      <w:rFonts w:ascii="Times New Roman" w:hAnsi="Times New Roman" w:eastAsia="宋体" w:cs="Times New Roman"/>
      <w:szCs w:val="21"/>
    </w:rPr>
  </w:style>
  <w:style w:type="paragraph" w:styleId="1378" w:customStyle="1">
    <w:name w:val="正文文本缩进 21"/>
    <w:basedOn w:val="1135"/>
    <w:link w:val="1379"/>
    <w:uiPriority w:val="0"/>
    <w:qFormat/>
    <w:pPr>
      <w:ind w:firstLine="420"/>
      <w:spacing w:line="440" w:lineRule="exact"/>
    </w:pPr>
    <w:rPr>
      <w:rFonts w:ascii="宋体" w:hAnsi="宋体" w:eastAsia="宋体"/>
      <w:sz w:val="20"/>
      <w:szCs w:val="21"/>
    </w:rPr>
  </w:style>
  <w:style w:type="character" w:styleId="1379" w:customStyle="1">
    <w:name w:val="正文文本缩进 2 字符"/>
    <w:link w:val="1378"/>
    <w:uiPriority w:val="0"/>
    <w:qFormat/>
    <w:rPr>
      <w:rFonts w:ascii="宋体" w:hAnsi="宋体" w:eastAsia="宋体" w:cs="宋体"/>
      <w:szCs w:val="21"/>
    </w:rPr>
  </w:style>
  <w:style w:type="paragraph" w:styleId="1380" w:customStyle="1">
    <w:name w:val="批注框文本1"/>
    <w:basedOn w:val="1135"/>
    <w:link w:val="1381"/>
    <w:uiPriority w:val="0"/>
    <w:semiHidden/>
    <w:qFormat/>
    <w:rPr>
      <w:rFonts w:eastAsia="宋体"/>
      <w:sz w:val="18"/>
      <w:szCs w:val="18"/>
    </w:rPr>
  </w:style>
  <w:style w:type="character" w:styleId="1381" w:customStyle="1">
    <w:name w:val="批注框文本 字符"/>
    <w:link w:val="1380"/>
    <w:uiPriority w:val="0"/>
    <w:semiHidden/>
    <w:qFormat/>
    <w:rPr>
      <w:rFonts w:ascii="Times New Roman" w:hAnsi="Times New Roman" w:eastAsia="宋体" w:cs="Times New Roman"/>
      <w:sz w:val="18"/>
      <w:szCs w:val="18"/>
    </w:rPr>
  </w:style>
  <w:style w:type="paragraph" w:styleId="1382" w:customStyle="1">
    <w:name w:val="页脚1"/>
    <w:basedOn w:val="1135"/>
    <w:link w:val="1383"/>
    <w:uiPriority w:val="0"/>
    <w:unhideWhenUsed/>
    <w:qFormat/>
    <w:pPr>
      <w:jc w:val="left"/>
      <w:tabs>
        <w:tab w:val="center" w:pos="4153" w:leader="none"/>
        <w:tab w:val="right" w:pos="8306" w:leader="none"/>
      </w:tabs>
    </w:pPr>
    <w:rPr>
      <w:rFonts w:ascii="宋体" w:eastAsia="宋体"/>
      <w:sz w:val="18"/>
      <w:szCs w:val="18"/>
    </w:rPr>
  </w:style>
  <w:style w:type="character" w:styleId="1383" w:customStyle="1">
    <w:name w:val="页脚 字符"/>
    <w:link w:val="1382"/>
    <w:uiPriority w:val="0"/>
    <w:qFormat/>
    <w:rPr>
      <w:rFonts w:ascii="宋体" w:hAnsi="Times New Roman" w:eastAsia="宋体" w:cs="Times New Roman"/>
      <w:sz w:val="18"/>
      <w:szCs w:val="18"/>
    </w:rPr>
  </w:style>
  <w:style w:type="paragraph" w:styleId="1384" w:customStyle="1">
    <w:name w:val="页眉1"/>
    <w:basedOn w:val="1135"/>
    <w:link w:val="1385"/>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85" w:customStyle="1">
    <w:name w:val="页眉 字符"/>
    <w:link w:val="1384"/>
    <w:uiPriority w:val="0"/>
    <w:qFormat/>
    <w:rPr>
      <w:rFonts w:ascii="宋体" w:hAnsi="Times New Roman" w:eastAsia="宋体" w:cs="Times New Roman"/>
      <w:sz w:val="18"/>
      <w:szCs w:val="18"/>
    </w:rPr>
  </w:style>
  <w:style w:type="paragraph" w:styleId="1386" w:customStyle="1">
    <w:name w:val="目录 11"/>
    <w:basedOn w:val="1135"/>
    <w:next w:val="1135"/>
    <w:uiPriority w:val="39"/>
    <w:unhideWhenUsed/>
    <w:qFormat/>
    <w:pPr>
      <w:spacing w:line="400" w:lineRule="exact"/>
    </w:pPr>
    <w:rPr>
      <w:rFonts w:ascii="Calibri" w:hAnsi="Calibri"/>
      <w:b/>
    </w:rPr>
  </w:style>
  <w:style w:type="paragraph" w:styleId="1387" w:customStyle="1">
    <w:name w:val="目录 41"/>
    <w:basedOn w:val="1135"/>
    <w:next w:val="1135"/>
    <w:uiPriority w:val="39"/>
    <w:qFormat/>
    <w:pPr>
      <w:ind w:left="1260"/>
    </w:pPr>
    <w:rPr>
      <w:szCs w:val="24"/>
    </w:rPr>
  </w:style>
  <w:style w:type="paragraph" w:styleId="1388" w:customStyle="1">
    <w:name w:val="目录 61"/>
    <w:basedOn w:val="1135"/>
    <w:next w:val="1135"/>
    <w:uiPriority w:val="39"/>
    <w:qFormat/>
    <w:pPr>
      <w:ind w:left="2100"/>
    </w:pPr>
    <w:rPr>
      <w:szCs w:val="24"/>
    </w:rPr>
  </w:style>
  <w:style w:type="paragraph" w:styleId="1389" w:customStyle="1">
    <w:name w:val="目录 21"/>
    <w:basedOn w:val="1135"/>
    <w:next w:val="1135"/>
    <w:uiPriority w:val="39"/>
    <w:unhideWhenUsed/>
    <w:qFormat/>
    <w:pPr>
      <w:ind w:left="420"/>
      <w:spacing w:line="360" w:lineRule="exact"/>
    </w:pPr>
    <w:rPr>
      <w:rFonts w:ascii="Calibri" w:hAnsi="Calibri"/>
    </w:rPr>
  </w:style>
  <w:style w:type="paragraph" w:styleId="1390" w:customStyle="1">
    <w:name w:val="目录 91"/>
    <w:basedOn w:val="1135"/>
    <w:next w:val="1135"/>
    <w:uiPriority w:val="39"/>
    <w:qFormat/>
    <w:pPr>
      <w:ind w:left="3360"/>
    </w:pPr>
    <w:rPr>
      <w:szCs w:val="24"/>
    </w:rPr>
  </w:style>
  <w:style w:type="paragraph" w:styleId="1391" w:customStyle="1">
    <w:name w:val="正文文本 21"/>
    <w:basedOn w:val="1135"/>
    <w:uiPriority w:val="0"/>
    <w:qFormat/>
    <w:rPr>
      <w:rFonts w:ascii="华文细黑" w:hAnsi="华文细黑" w:eastAsia="华文细黑"/>
      <w:b/>
      <w:bCs/>
      <w:sz w:val="24"/>
      <w:szCs w:val="20"/>
    </w:rPr>
  </w:style>
  <w:style w:type="paragraph" w:styleId="1392" w:customStyle="1">
    <w:name w:val="普通(网站)1"/>
    <w:basedOn w:val="113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93" w:customStyle="1">
    <w:name w:val="批注主题1"/>
    <w:basedOn w:val="1363"/>
    <w:next w:val="1363"/>
    <w:link w:val="1394"/>
    <w:uiPriority w:val="99"/>
    <w:unhideWhenUsed/>
    <w:qFormat/>
    <w:rPr>
      <w:b/>
      <w:bCs/>
      <w:sz w:val="21"/>
      <w:szCs w:val="22"/>
    </w:rPr>
  </w:style>
  <w:style w:type="character" w:styleId="1394" w:customStyle="1">
    <w:name w:val="批注主题 字符"/>
    <w:link w:val="1393"/>
    <w:uiPriority w:val="99"/>
    <w:semiHidden/>
    <w:qFormat/>
    <w:rPr>
      <w:rFonts w:ascii="Times New Roman" w:hAnsi="Times New Roman" w:eastAsia="宋体" w:cs="Times New Roman"/>
      <w:b/>
      <w:bCs/>
      <w:sz w:val="21"/>
      <w:szCs w:val="22"/>
    </w:rPr>
  </w:style>
  <w:style w:type="paragraph" w:styleId="1395" w:customStyle="1">
    <w:name w:val="正文首行缩进1"/>
    <w:basedOn w:val="1365"/>
    <w:uiPriority w:val="0"/>
    <w:qFormat/>
    <w:pPr>
      <w:ind w:firstLine="420"/>
    </w:pPr>
  </w:style>
  <w:style w:type="table" w:styleId="1396" w:customStyle="1">
    <w:name w:val="网格型1"/>
    <w:basedOn w:val="1355"/>
    <w:uiPriority w:val="0"/>
    <w:qFormat/>
    <w:tblPr/>
  </w:style>
  <w:style w:type="character" w:styleId="1397" w:customStyle="1">
    <w:name w:val="要点1"/>
    <w:basedOn w:val="1354"/>
    <w:uiPriority w:val="0"/>
    <w:qFormat/>
    <w:rPr>
      <w:b/>
      <w:bCs/>
    </w:rPr>
  </w:style>
  <w:style w:type="character" w:styleId="1398" w:customStyle="1">
    <w:name w:val="页码1"/>
    <w:uiPriority w:val="0"/>
    <w:qFormat/>
  </w:style>
  <w:style w:type="character" w:styleId="1399" w:customStyle="1">
    <w:name w:val="已访问的超链接1"/>
    <w:uiPriority w:val="99"/>
    <w:qFormat/>
    <w:rPr>
      <w:color w:val="000000"/>
      <w:sz w:val="18"/>
      <w:szCs w:val="18"/>
      <w:u w:val="none"/>
    </w:rPr>
  </w:style>
  <w:style w:type="character" w:styleId="1400" w:customStyle="1">
    <w:name w:val="强调1"/>
    <w:uiPriority w:val="20"/>
    <w:qFormat/>
    <w:rPr>
      <w:i/>
      <w:iCs/>
    </w:rPr>
  </w:style>
  <w:style w:type="character" w:styleId="1401" w:customStyle="1">
    <w:name w:val="超链接1"/>
    <w:uiPriority w:val="99"/>
    <w:qFormat/>
    <w:rPr>
      <w:color w:val="000000"/>
      <w:sz w:val="18"/>
      <w:szCs w:val="18"/>
      <w:u w:val="none"/>
    </w:rPr>
  </w:style>
  <w:style w:type="character" w:styleId="1402" w:customStyle="1">
    <w:name w:val="批注引用1"/>
    <w:uiPriority w:val="0"/>
    <w:semiHidden/>
    <w:qFormat/>
    <w:rPr>
      <w:sz w:val="21"/>
      <w:szCs w:val="21"/>
    </w:rPr>
  </w:style>
  <w:style w:type="paragraph" w:styleId="1403" w:customStyle="1">
    <w:name w:val="无间隔1"/>
    <w:uiPriority w:val="1"/>
    <w:qFormat/>
    <w:rPr>
      <w:rFonts w:ascii="Tahoma" w:hAnsi="Tahoma" w:eastAsia="微软雅黑" w:cs="Times New Roman"/>
      <w:sz w:val="22"/>
      <w:szCs w:val="22"/>
      <w:lang w:val="en-US" w:eastAsia="zh-CN" w:bidi="ar-SA"/>
    </w:rPr>
  </w:style>
  <w:style w:type="paragraph" w:styleId="1404" w:customStyle="1">
    <w:name w:val="首行缩进"/>
    <w:basedOn w:val="1135"/>
    <w:uiPriority w:val="0"/>
    <w:qFormat/>
    <w:pPr>
      <w:ind w:firstLine="420"/>
      <w:spacing w:line="360" w:lineRule="auto"/>
    </w:pPr>
  </w:style>
  <w:style w:type="character" w:styleId="1405" w:customStyle="1">
    <w:name w:val="displayarti"/>
    <w:uiPriority w:val="0"/>
    <w:qFormat/>
    <w:rPr>
      <w:color w:val="ffffff"/>
      <w:shd w:val="clear" w:color="auto" w:fill="a00000"/>
    </w:rPr>
  </w:style>
  <w:style w:type="character" w:styleId="1406" w:customStyle="1">
    <w:name w:val="layui-laypage-curr"/>
    <w:uiPriority w:val="0"/>
    <w:qFormat/>
  </w:style>
  <w:style w:type="character" w:styleId="1407" w:customStyle="1">
    <w:name w:val="gpa"/>
    <w:uiPriority w:val="0"/>
    <w:qFormat/>
    <w:rPr>
      <w:rFonts w:ascii="Arial" w:hAnsi="Arial" w:cs="Arial"/>
      <w:sz w:val="15"/>
      <w:szCs w:val="15"/>
    </w:rPr>
  </w:style>
  <w:style w:type="character" w:styleId="1408" w:customStyle="1">
    <w:name w:val="font71"/>
    <w:uiPriority w:val="0"/>
    <w:qFormat/>
    <w:rPr>
      <w:rFonts w:hint="eastAsia" w:ascii="宋体" w:hAnsi="宋体" w:eastAsia="宋体" w:cs="宋体"/>
      <w:color w:val="ff0000"/>
      <w:sz w:val="24"/>
      <w:szCs w:val="24"/>
      <w:u w:val="none"/>
    </w:rPr>
  </w:style>
  <w:style w:type="character" w:styleId="1409" w:customStyle="1">
    <w:name w:val="1page sec3 Char"/>
    <w:uiPriority w:val="0"/>
    <w:qFormat/>
    <w:rPr>
      <w:rFonts w:eastAsia="宋体"/>
      <w:sz w:val="18"/>
      <w:szCs w:val="18"/>
      <w:lang w:val="en-US" w:eastAsia="zh-CN" w:bidi="ar-SA"/>
    </w:rPr>
  </w:style>
  <w:style w:type="character" w:styleId="1410" w:customStyle="1">
    <w:name w:val="z-窗体顶端 字符"/>
    <w:link w:val="1411"/>
    <w:uiPriority w:val="99"/>
    <w:semiHidden/>
    <w:qFormat/>
    <w:rPr>
      <w:rFonts w:ascii="Arial" w:hAnsi="Arial" w:eastAsia="宋体" w:cs="Arial"/>
      <w:vanish/>
      <w:sz w:val="16"/>
      <w:szCs w:val="16"/>
    </w:rPr>
  </w:style>
  <w:style w:type="paragraph" w:styleId="1411" w:customStyle="1">
    <w:name w:val="z-窗体顶端1"/>
    <w:basedOn w:val="1135"/>
    <w:next w:val="1135"/>
    <w:link w:val="1410"/>
    <w:uiPriority w:val="99"/>
    <w:unhideWhenUsed/>
    <w:qFormat/>
    <w:pPr>
      <w:jc w:val="center"/>
      <w:widowControl/>
      <w:pBdr>
        <w:bottom w:val="single" w:color="000000" w:sz="6" w:space="1"/>
      </w:pBdr>
    </w:pPr>
    <w:rPr>
      <w:rFonts w:ascii="Arial" w:hAnsi="Arial" w:eastAsia="宋体"/>
      <w:vanish/>
      <w:sz w:val="16"/>
      <w:szCs w:val="16"/>
    </w:rPr>
  </w:style>
  <w:style w:type="character" w:styleId="1412" w:customStyle="1">
    <w:name w:val="z-窗体底端 字符"/>
    <w:link w:val="1413"/>
    <w:uiPriority w:val="99"/>
    <w:semiHidden/>
    <w:qFormat/>
    <w:rPr>
      <w:rFonts w:ascii="Arial" w:hAnsi="Arial" w:eastAsia="宋体" w:cs="Arial"/>
      <w:vanish/>
      <w:sz w:val="16"/>
      <w:szCs w:val="16"/>
    </w:rPr>
  </w:style>
  <w:style w:type="paragraph" w:styleId="1413" w:customStyle="1">
    <w:name w:val="z-窗体底端1"/>
    <w:basedOn w:val="1135"/>
    <w:next w:val="1135"/>
    <w:link w:val="1412"/>
    <w:uiPriority w:val="99"/>
    <w:unhideWhenUsed/>
    <w:qFormat/>
    <w:pPr>
      <w:jc w:val="center"/>
      <w:widowControl/>
      <w:pBdr>
        <w:top w:val="single" w:color="000000" w:sz="6" w:space="1"/>
      </w:pBdr>
    </w:pPr>
    <w:rPr>
      <w:rFonts w:ascii="Arial" w:hAnsi="Arial" w:eastAsia="宋体"/>
      <w:vanish/>
      <w:sz w:val="16"/>
      <w:szCs w:val="16"/>
    </w:rPr>
  </w:style>
  <w:style w:type="character" w:styleId="1414" w:customStyle="1">
    <w:name w:val="正文文字 Char Char"/>
    <w:uiPriority w:val="0"/>
    <w:qFormat/>
    <w:rPr>
      <w:rFonts w:ascii="仿宋_GB2312" w:hAnsi="宋体" w:eastAsia="仿宋_GB2312" w:cs="仿宋_GB2312"/>
      <w:sz w:val="24"/>
      <w:szCs w:val="24"/>
    </w:rPr>
  </w:style>
  <w:style w:type="character" w:styleId="1415" w:customStyle="1">
    <w:name w:val="apple-style-span"/>
    <w:uiPriority w:val="0"/>
    <w:qFormat/>
  </w:style>
  <w:style w:type="character" w:styleId="1416" w:customStyle="1">
    <w:name w:val="label"/>
    <w:uiPriority w:val="0"/>
    <w:qFormat/>
    <w:rPr>
      <w:color w:val="999999"/>
    </w:rPr>
  </w:style>
  <w:style w:type="character" w:styleId="1417" w:customStyle="1">
    <w:name w:val="Char Char13"/>
    <w:uiPriority w:val="0"/>
    <w:qFormat/>
    <w:rPr>
      <w:b/>
      <w:bCs/>
      <w:sz w:val="44"/>
      <w:szCs w:val="44"/>
    </w:rPr>
  </w:style>
  <w:style w:type="character" w:styleId="1418" w:customStyle="1">
    <w:name w:val="font91"/>
    <w:uiPriority w:val="0"/>
    <w:qFormat/>
    <w:rPr>
      <w:rFonts w:hint="eastAsia" w:ascii="宋体" w:hAnsi="宋体" w:eastAsia="宋体" w:cs="宋体"/>
      <w:b/>
      <w:color w:val="000000"/>
      <w:sz w:val="20"/>
      <w:szCs w:val="20"/>
      <w:u w:val="none"/>
    </w:rPr>
  </w:style>
  <w:style w:type="character" w:styleId="1419" w:customStyle="1">
    <w:name w:val="font51"/>
    <w:uiPriority w:val="0"/>
    <w:qFormat/>
    <w:rPr>
      <w:rFonts w:hint="eastAsia" w:ascii="宋体" w:hAnsi="宋体" w:eastAsia="宋体" w:cs="宋体"/>
      <w:color w:val="000000"/>
      <w:sz w:val="21"/>
      <w:szCs w:val="21"/>
      <w:u w:val="none"/>
    </w:rPr>
  </w:style>
  <w:style w:type="character" w:styleId="1420" w:customStyle="1">
    <w:name w:val="不明显强调1"/>
    <w:uiPriority w:val="19"/>
    <w:qFormat/>
    <w:rPr>
      <w:i/>
      <w:iCs/>
      <w:color w:val="808080"/>
    </w:rPr>
  </w:style>
  <w:style w:type="character" w:styleId="1421" w:customStyle="1">
    <w:name w:val="hover12"/>
    <w:uiPriority w:val="0"/>
    <w:qFormat/>
  </w:style>
  <w:style w:type="character" w:styleId="1422" w:customStyle="1">
    <w:name w:val="_Style 6"/>
    <w:uiPriority w:val="19"/>
    <w:qFormat/>
    <w:rPr>
      <w:i/>
      <w:iCs/>
      <w:color w:val="808080"/>
    </w:rPr>
  </w:style>
  <w:style w:type="character" w:styleId="1423" w:customStyle="1">
    <w:name w:val="font31"/>
    <w:uiPriority w:val="0"/>
    <w:qFormat/>
    <w:rPr>
      <w:rFonts w:hint="eastAsia" w:ascii="宋体" w:hAnsi="宋体" w:eastAsia="宋体" w:cs="宋体"/>
      <w:b/>
      <w:color w:val="000000"/>
      <w:sz w:val="24"/>
      <w:szCs w:val="24"/>
      <w:u w:val="none"/>
    </w:rPr>
  </w:style>
  <w:style w:type="character" w:styleId="1424" w:customStyle="1">
    <w:name w:val="纯文本 Char2"/>
    <w:uiPriority w:val="0"/>
    <w:qFormat/>
    <w:rPr>
      <w:rFonts w:ascii="宋体" w:hAnsi="Courier New" w:eastAsia="宋体"/>
      <w:sz w:val="24"/>
      <w:lang w:val="en-US" w:eastAsia="zh-CN" w:bidi="ar-SA"/>
    </w:rPr>
  </w:style>
  <w:style w:type="character" w:styleId="1425" w:customStyle="1">
    <w:name w:val="selected"/>
    <w:uiPriority w:val="0"/>
    <w:qFormat/>
    <w:rPr>
      <w:shd w:val="clear" w:color="auto" w:fill="b00006"/>
    </w:rPr>
  </w:style>
  <w:style w:type="character" w:styleId="1426" w:customStyle="1">
    <w:name w:val="文档结构图 Char1"/>
    <w:uiPriority w:val="99"/>
    <w:semiHidden/>
    <w:qFormat/>
    <w:rPr>
      <w:rFonts w:ascii="宋体"/>
      <w:sz w:val="18"/>
      <w:szCs w:val="18"/>
    </w:rPr>
  </w:style>
  <w:style w:type="character" w:styleId="1427" w:customStyle="1">
    <w:name w:val="Char Char5"/>
    <w:uiPriority w:val="0"/>
    <w:qFormat/>
    <w:rPr>
      <w:rFonts w:ascii="宋体" w:hAnsi="Courier New" w:eastAsia="宋体" w:cs="宋体"/>
      <w:sz w:val="28"/>
      <w:szCs w:val="28"/>
      <w:lang w:val="en-US" w:eastAsia="zh-CN"/>
    </w:rPr>
  </w:style>
  <w:style w:type="character" w:styleId="1428" w:customStyle="1">
    <w:name w:val="font101"/>
    <w:uiPriority w:val="0"/>
    <w:qFormat/>
    <w:rPr>
      <w:rFonts w:hint="eastAsia" w:ascii="宋体" w:hAnsi="宋体" w:eastAsia="宋体" w:cs="宋体"/>
      <w:color w:val="000000"/>
      <w:sz w:val="24"/>
      <w:szCs w:val="24"/>
      <w:u w:val="none"/>
    </w:rPr>
  </w:style>
  <w:style w:type="character" w:styleId="1429" w:customStyle="1">
    <w:name w:val="font01"/>
    <w:uiPriority w:val="0"/>
    <w:qFormat/>
    <w:rPr>
      <w:rFonts w:ascii="Calibri" w:hAnsi="Calibri" w:cs="Calibri"/>
      <w:color w:val="000000"/>
      <w:sz w:val="21"/>
      <w:szCs w:val="21"/>
      <w:u w:val="none"/>
    </w:rPr>
  </w:style>
  <w:style w:type="character" w:styleId="1430" w:customStyle="1">
    <w:name w:val="font41"/>
    <w:uiPriority w:val="0"/>
    <w:qFormat/>
    <w:rPr>
      <w:rFonts w:hint="eastAsia" w:ascii="宋体" w:hAnsi="宋体" w:eastAsia="宋体" w:cs="宋体"/>
      <w:color w:val="000000"/>
      <w:sz w:val="24"/>
      <w:szCs w:val="24"/>
      <w:u w:val="none"/>
    </w:rPr>
  </w:style>
  <w:style w:type="character" w:styleId="1431" w:customStyle="1">
    <w:name w:val="font112"/>
    <w:uiPriority w:val="0"/>
    <w:qFormat/>
    <w:rPr>
      <w:rFonts w:hint="eastAsia" w:ascii="宋体" w:hAnsi="宋体" w:eastAsia="宋体" w:cs="宋体"/>
      <w:color w:val="000000"/>
      <w:sz w:val="20"/>
      <w:szCs w:val="20"/>
      <w:u w:val="none"/>
    </w:rPr>
  </w:style>
  <w:style w:type="paragraph" w:styleId="1432" w:customStyle="1">
    <w:name w:val="xl74"/>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33" w:customStyle="1">
    <w:name w:val="四级条标题"/>
    <w:basedOn w:val="1434"/>
    <w:next w:val="1135"/>
    <w:uiPriority w:val="0"/>
    <w:qFormat/>
    <w:pPr>
      <w:outlineLvl w:val="5"/>
    </w:pPr>
  </w:style>
  <w:style w:type="paragraph" w:styleId="1434" w:customStyle="1">
    <w:name w:val="三级条标题"/>
    <w:basedOn w:val="1435"/>
    <w:next w:val="1135"/>
    <w:uiPriority w:val="0"/>
    <w:qFormat/>
    <w:pPr>
      <w:outlineLvl w:val="4"/>
    </w:pPr>
  </w:style>
  <w:style w:type="paragraph" w:styleId="1435" w:customStyle="1">
    <w:name w:val="二级条标题"/>
    <w:basedOn w:val="1436"/>
    <w:next w:val="1135"/>
    <w:uiPriority w:val="0"/>
    <w:qFormat/>
    <w:pPr>
      <w:outlineLvl w:val="3"/>
    </w:pPr>
  </w:style>
  <w:style w:type="paragraph" w:styleId="1436" w:customStyle="1">
    <w:name w:val="一级条标题"/>
    <w:next w:val="1135"/>
    <w:uiPriority w:val="0"/>
    <w:qFormat/>
    <w:pPr>
      <w:outlineLvl w:val="2"/>
    </w:pPr>
    <w:rPr>
      <w:rFonts w:ascii="Times New Roman" w:hAnsi="Times New Roman" w:eastAsia="黑体" w:cs="Times New Roman"/>
      <w:sz w:val="21"/>
      <w:szCs w:val="21"/>
      <w:lang w:val="en-US" w:eastAsia="zh-CN" w:bidi="ar-SA"/>
    </w:rPr>
  </w:style>
  <w:style w:type="paragraph" w:styleId="1437" w:customStyle="1">
    <w:name w:val="标准称谓"/>
    <w:next w:val="1135"/>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438" w:customStyle="1">
    <w:name w:val="xl67"/>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39" w:customStyle="1">
    <w:name w:val="xl98"/>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40" w:customStyle="1">
    <w:name w:val="彩色列表1"/>
    <w:basedOn w:val="1135"/>
    <w:uiPriority w:val="0"/>
    <w:qFormat/>
    <w:pPr>
      <w:ind w:firstLine="420"/>
    </w:pPr>
    <w:rPr>
      <w:szCs w:val="24"/>
    </w:rPr>
  </w:style>
  <w:style w:type="paragraph" w:styleId="1441" w:customStyle="1">
    <w:name w:val="xl76"/>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42" w:customStyle="1">
    <w:name w:val="EnvelopeReturn1"/>
    <w:basedOn w:val="1135"/>
    <w:uiPriority w:val="0"/>
    <w:qFormat/>
    <w:rPr>
      <w:rFonts w:ascii="Arial" w:hAnsi="Arial"/>
    </w:rPr>
  </w:style>
  <w:style w:type="paragraph" w:styleId="1443" w:customStyle="1">
    <w:name w:val="列出段落"/>
    <w:basedOn w:val="1135"/>
    <w:uiPriority w:val="0"/>
    <w:qFormat/>
    <w:pPr>
      <w:ind w:firstLine="420"/>
    </w:pPr>
    <w:rPr>
      <w:szCs w:val="24"/>
    </w:rPr>
  </w:style>
  <w:style w:type="paragraph" w:styleId="1444" w:customStyle="1">
    <w:name w:val="tc"/>
    <w:basedOn w:val="1135"/>
    <w:uiPriority w:val="0"/>
    <w:qFormat/>
    <w:pPr>
      <w:jc w:val="center"/>
    </w:pPr>
    <w:rPr>
      <w:szCs w:val="24"/>
    </w:rPr>
  </w:style>
  <w:style w:type="paragraph" w:styleId="1445" w:customStyle="1">
    <w:name w:val="正文宋体4"/>
    <w:basedOn w:val="1135"/>
    <w:uiPriority w:val="0"/>
    <w:qFormat/>
    <w:pPr>
      <w:ind w:firstLine="359"/>
      <w:tabs>
        <w:tab w:val="left" w:pos="0" w:leader="none"/>
      </w:tabs>
    </w:pPr>
    <w:rPr>
      <w:rFonts w:ascii="仿宋_GB2312" w:eastAsia="仿宋_GB2312"/>
      <w:b/>
      <w:color w:val="000000"/>
      <w:sz w:val="24"/>
      <w:szCs w:val="24"/>
    </w:rPr>
  </w:style>
  <w:style w:type="paragraph" w:styleId="1446" w:customStyle="1">
    <w:name w:val="Char Char"/>
    <w:basedOn w:val="1135"/>
    <w:uiPriority w:val="0"/>
    <w:qFormat/>
    <w:pPr>
      <w:tabs>
        <w:tab w:val="left" w:pos="360" w:leader="none"/>
      </w:tabs>
    </w:pPr>
    <w:rPr>
      <w:sz w:val="24"/>
      <w:szCs w:val="24"/>
    </w:rPr>
  </w:style>
  <w:style w:type="paragraph" w:styleId="1447" w:customStyle="1">
    <w:name w:val="xl70"/>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48" w:customStyle="1">
    <w:name w:val="BodyTextIndent1"/>
    <w:basedOn w:val="1135"/>
    <w:next w:val="1442"/>
    <w:uiPriority w:val="0"/>
    <w:qFormat/>
    <w:pPr>
      <w:ind w:firstLine="403"/>
      <w:spacing w:line="440" w:lineRule="exact"/>
    </w:pPr>
    <w:rPr>
      <w:rFonts w:ascii="宋体" w:hAnsi="宋体" w:eastAsia="宋体"/>
      <w:szCs w:val="21"/>
    </w:rPr>
  </w:style>
  <w:style w:type="paragraph" w:styleId="1449" w:customStyle="1">
    <w:name w:val="！正文"/>
    <w:basedOn w:val="1135"/>
    <w:uiPriority w:val="0"/>
    <w:qFormat/>
    <w:pPr>
      <w:ind w:firstLine="200"/>
      <w:spacing w:line="480" w:lineRule="exact"/>
    </w:pPr>
    <w:rPr>
      <w:rFonts w:ascii="宋体" w:hAnsi="宋体"/>
      <w:lang w:val="zh-CN"/>
    </w:rPr>
  </w:style>
  <w:style w:type="paragraph" w:styleId="1450" w:customStyle="1">
    <w:name w:val="_Style 2"/>
    <w:basedOn w:val="1135"/>
    <w:uiPriority w:val="0"/>
    <w:qFormat/>
    <w:pPr>
      <w:ind w:firstLine="420"/>
    </w:pPr>
    <w:rPr>
      <w:rFonts w:ascii="Calibri" w:hAnsi="Calibri"/>
    </w:rPr>
  </w:style>
  <w:style w:type="paragraph" w:styleId="1451" w:customStyle="1">
    <w:name w:val="xl111"/>
    <w:basedOn w:val="113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52" w:customStyle="1">
    <w:name w:val="xl92"/>
    <w:basedOn w:val="11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53" w:customStyle="1">
    <w:name w:val="font5"/>
    <w:basedOn w:val="1135"/>
    <w:uiPriority w:val="0"/>
    <w:qFormat/>
    <w:pPr>
      <w:jc w:val="left"/>
      <w:spacing w:before="100" w:beforeAutospacing="1" w:after="100" w:afterAutospacing="1"/>
      <w:widowControl/>
    </w:pPr>
    <w:rPr>
      <w:color w:val="000000"/>
      <w:sz w:val="20"/>
      <w:szCs w:val="20"/>
    </w:rPr>
  </w:style>
  <w:style w:type="paragraph" w:styleId="1454" w:customStyle="1">
    <w:name w:val="font6"/>
    <w:basedOn w:val="1135"/>
    <w:uiPriority w:val="0"/>
    <w:qFormat/>
    <w:pPr>
      <w:jc w:val="left"/>
      <w:spacing w:before="100" w:beforeAutospacing="1" w:after="100" w:afterAutospacing="1"/>
      <w:widowControl/>
    </w:pPr>
    <w:rPr>
      <w:color w:val="000000"/>
      <w:szCs w:val="21"/>
    </w:rPr>
  </w:style>
  <w:style w:type="paragraph" w:styleId="1455" w:customStyle="1">
    <w:name w:val="xl78"/>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6" w:customStyle="1">
    <w:name w:val="xl112"/>
    <w:basedOn w:val="113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57" w:customStyle="1">
    <w:name w:val="正文1"/>
    <w:basedOn w:val="1135"/>
    <w:uiPriority w:val="0"/>
    <w:qFormat/>
    <w:pPr>
      <w:ind w:firstLine="490"/>
      <w:spacing w:line="360" w:lineRule="auto"/>
    </w:pPr>
    <w:rPr>
      <w:rFonts w:ascii="宋体" w:hAnsi="宋体" w:eastAsia="宋体"/>
      <w:sz w:val="24"/>
      <w:szCs w:val="28"/>
    </w:rPr>
  </w:style>
  <w:style w:type="paragraph" w:styleId="1458" w:customStyle="1">
    <w:name w:val="xl86"/>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59" w:customStyle="1">
    <w:name w:val="xl108"/>
    <w:basedOn w:val="11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0" w:customStyle="1">
    <w:name w:val="font14"/>
    <w:basedOn w:val="1135"/>
    <w:uiPriority w:val="0"/>
    <w:qFormat/>
    <w:pPr>
      <w:jc w:val="left"/>
      <w:spacing w:before="100" w:beforeAutospacing="1" w:after="100" w:afterAutospacing="1"/>
      <w:widowControl/>
    </w:pPr>
    <w:rPr>
      <w:rFonts w:ascii="宋体" w:hAnsi="宋体" w:cs="宋体"/>
      <w:color w:val="000000"/>
      <w:szCs w:val="21"/>
    </w:rPr>
  </w:style>
  <w:style w:type="paragraph" w:styleId="1461" w:customStyle="1">
    <w:name w:val="font9"/>
    <w:basedOn w:val="1135"/>
    <w:uiPriority w:val="0"/>
    <w:qFormat/>
    <w:pPr>
      <w:jc w:val="left"/>
      <w:spacing w:before="100" w:beforeAutospacing="1" w:after="100" w:afterAutospacing="1"/>
      <w:widowControl/>
    </w:pPr>
    <w:rPr>
      <w:rFonts w:ascii="宋体" w:hAnsi="宋体" w:cs="宋体"/>
      <w:color w:val="000000"/>
      <w:szCs w:val="21"/>
    </w:rPr>
  </w:style>
  <w:style w:type="paragraph" w:styleId="1462" w:customStyle="1">
    <w:name w:val="xl99"/>
    <w:basedOn w:val="113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63" w:customStyle="1">
    <w:name w:val="xl105"/>
    <w:basedOn w:val="1135"/>
    <w:uiPriority w:val="0"/>
    <w:qFormat/>
    <w:pPr>
      <w:jc w:val="left"/>
      <w:spacing w:before="100" w:beforeAutospacing="1" w:after="100" w:afterAutospacing="1"/>
      <w:widowControl/>
    </w:pPr>
    <w:rPr>
      <w:rFonts w:ascii="宋体" w:hAnsi="宋体" w:cs="宋体"/>
      <w:sz w:val="20"/>
      <w:szCs w:val="20"/>
    </w:rPr>
  </w:style>
  <w:style w:type="paragraph" w:styleId="1464" w:customStyle="1">
    <w:name w:val="xl79"/>
    <w:basedOn w:val="11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65" w:customStyle="1">
    <w:name w:val="xl80"/>
    <w:basedOn w:val="11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466" w:customStyle="1">
    <w:name w:val="Char1"/>
    <w:basedOn w:val="1135"/>
    <w:uiPriority w:val="0"/>
    <w:qFormat/>
    <w:pPr>
      <w:jc w:val="left"/>
      <w:spacing w:after="160" w:line="240" w:lineRule="exact"/>
      <w:widowControl/>
    </w:pPr>
    <w:rPr>
      <w:rFonts w:ascii="Verdana" w:hAnsi="Verdana" w:eastAsia="宋体" w:cs="Verdana"/>
      <w:sz w:val="18"/>
      <w:szCs w:val="18"/>
      <w:lang w:eastAsia="en-US"/>
    </w:rPr>
  </w:style>
  <w:style w:type="paragraph" w:styleId="1467" w:customStyle="1">
    <w:name w:val="xl87"/>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68" w:customStyle="1">
    <w:name w:val="xl94"/>
    <w:basedOn w:val="113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469" w:customStyle="1">
    <w:name w:val="xl97"/>
    <w:basedOn w:val="1135"/>
    <w:uiPriority w:val="0"/>
    <w:qFormat/>
    <w:pPr>
      <w:jc w:val="left"/>
      <w:spacing w:before="100" w:beforeAutospacing="1" w:after="100" w:afterAutospacing="1"/>
      <w:widowControl/>
    </w:pPr>
    <w:rPr>
      <w:rFonts w:ascii="宋体" w:hAnsi="宋体" w:cs="宋体"/>
      <w:szCs w:val="21"/>
    </w:rPr>
  </w:style>
  <w:style w:type="paragraph" w:styleId="1470" w:customStyle="1">
    <w:name w:val="TOC 标题2"/>
    <w:basedOn w:val="1352"/>
    <w:next w:val="1135"/>
    <w:uiPriority w:val="39"/>
    <w:qFormat/>
    <w:pPr>
      <w:jc w:val="left"/>
      <w:spacing w:before="480" w:after="0" w:line="276" w:lineRule="auto"/>
      <w:widowControl/>
      <w:outlineLvl w:val="9"/>
    </w:pPr>
    <w:rPr>
      <w:rFonts w:ascii="Cambria" w:hAnsi="Cambria"/>
      <w:color w:val="365f91"/>
      <w:sz w:val="28"/>
      <w:szCs w:val="28"/>
    </w:rPr>
  </w:style>
  <w:style w:type="paragraph" w:styleId="1471" w:customStyle="1">
    <w:name w:val="font7"/>
    <w:basedOn w:val="1135"/>
    <w:uiPriority w:val="0"/>
    <w:qFormat/>
    <w:pPr>
      <w:jc w:val="left"/>
      <w:spacing w:before="100" w:beforeAutospacing="1" w:after="100" w:afterAutospacing="1"/>
      <w:widowControl/>
    </w:pPr>
    <w:rPr>
      <w:b/>
      <w:bCs/>
      <w:color w:val="000000"/>
      <w:szCs w:val="21"/>
    </w:rPr>
  </w:style>
  <w:style w:type="paragraph" w:styleId="1472" w:customStyle="1">
    <w:name w:val="xl66"/>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3" w:customStyle="1">
    <w:name w:val="xl100"/>
    <w:basedOn w:val="11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74" w:customStyle="1">
    <w:name w:val="xl106"/>
    <w:basedOn w:val="113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75">
    <w:name w:val="List Paragraph"/>
    <w:basedOn w:val="1135"/>
    <w:uiPriority w:val="34"/>
    <w:qFormat/>
    <w:pPr>
      <w:ind w:firstLine="420"/>
    </w:pPr>
    <w:rPr>
      <w:rFonts w:ascii="Calibri" w:hAnsi="Calibri"/>
    </w:rPr>
  </w:style>
  <w:style w:type="paragraph" w:styleId="1476" w:customStyle="1">
    <w:name w:val="段"/>
    <w:uiPriority w:val="0"/>
    <w:qFormat/>
    <w:pPr>
      <w:ind w:firstLine="200"/>
      <w:jc w:val="both"/>
    </w:pPr>
    <w:rPr>
      <w:rFonts w:ascii="宋体" w:hAnsi="Times New Roman" w:eastAsia="宋体" w:cs="宋体"/>
      <w:sz w:val="21"/>
      <w:szCs w:val="21"/>
      <w:lang w:val="en-US" w:eastAsia="zh-CN" w:bidi="ar-SA"/>
    </w:rPr>
  </w:style>
  <w:style w:type="paragraph" w:styleId="1477" w:customStyle="1">
    <w:name w:val="font11"/>
    <w:basedOn w:val="1135"/>
    <w:uiPriority w:val="0"/>
    <w:qFormat/>
    <w:pPr>
      <w:jc w:val="left"/>
      <w:spacing w:before="100" w:beforeAutospacing="1" w:after="100" w:afterAutospacing="1"/>
      <w:widowControl/>
    </w:pPr>
    <w:rPr>
      <w:rFonts w:ascii="宋体" w:hAnsi="宋体" w:cs="宋体"/>
      <w:color w:val="000000"/>
      <w:sz w:val="18"/>
      <w:szCs w:val="18"/>
    </w:rPr>
  </w:style>
  <w:style w:type="paragraph" w:styleId="1478" w:customStyle="1">
    <w:name w:val="xl75"/>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79" w:customStyle="1">
    <w:name w:val="xl77"/>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0" w:customStyle="1">
    <w:name w:val="列出段落3"/>
    <w:basedOn w:val="1135"/>
    <w:uiPriority w:val="34"/>
    <w:qFormat/>
    <w:pPr>
      <w:ind w:firstLine="200"/>
      <w:spacing w:line="360" w:lineRule="auto"/>
      <w:widowControl/>
    </w:pPr>
    <w:rPr>
      <w:rFonts w:ascii="Calibri" w:hAnsi="Calibri"/>
      <w:sz w:val="24"/>
    </w:rPr>
  </w:style>
  <w:style w:type="paragraph" w:styleId="1481" w:customStyle="1">
    <w:name w:val="前言、引言标题"/>
    <w:next w:val="1135"/>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82" w:customStyle="1">
    <w:name w:val="xl95"/>
    <w:basedOn w:val="11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3" w:customStyle="1">
    <w:name w:val="xl84"/>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84" w:customStyle="1">
    <w:name w:val="font8"/>
    <w:basedOn w:val="1135"/>
    <w:uiPriority w:val="0"/>
    <w:qFormat/>
    <w:pPr>
      <w:jc w:val="left"/>
      <w:spacing w:before="100" w:beforeAutospacing="1" w:after="100" w:afterAutospacing="1"/>
      <w:widowControl/>
    </w:pPr>
    <w:rPr>
      <w:rFonts w:ascii="宋体" w:hAnsi="宋体" w:cs="宋体"/>
      <w:b/>
      <w:bCs/>
      <w:color w:val="000000"/>
      <w:szCs w:val="21"/>
    </w:rPr>
  </w:style>
  <w:style w:type="paragraph" w:styleId="1485" w:customStyle="1">
    <w:name w:val="List Paragraph1"/>
    <w:basedOn w:val="1135"/>
    <w:uiPriority w:val="34"/>
    <w:qFormat/>
    <w:pPr>
      <w:ind w:firstLine="420"/>
    </w:pPr>
    <w:rPr>
      <w:rFonts w:ascii="Calibri" w:hAnsi="Calibri" w:eastAsia="宋体"/>
    </w:rPr>
  </w:style>
  <w:style w:type="paragraph" w:styleId="1486"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87" w:customStyle="1">
    <w:name w:val="xl104"/>
    <w:basedOn w:val="11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8" w:customStyle="1">
    <w:name w:val="程序1"/>
    <w:next w:val="1135"/>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89"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90" w:customStyle="1">
    <w:name w:val="正文 A"/>
    <w:next w:val="1491"/>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91" w:customStyle="1">
    <w:name w:val="索引 41"/>
    <w:next w:val="1490"/>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92" w:customStyle="1">
    <w:name w:val="xl68"/>
    <w:basedOn w:val="113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93"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94" w:customStyle="1">
    <w:name w:val="xl91"/>
    <w:basedOn w:val="113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95" w:customStyle="1">
    <w:name w:val="Table Paragraph"/>
    <w:basedOn w:val="1135"/>
    <w:uiPriority w:val="1"/>
    <w:qFormat/>
    <w:rPr>
      <w:rFonts w:ascii="宋体" w:hAnsi="宋体" w:eastAsia="宋体" w:cs="宋体"/>
      <w:lang w:val="zh-CN" w:bidi="zh-CN"/>
    </w:rPr>
  </w:style>
  <w:style w:type="paragraph" w:styleId="1496" w:customStyle="1">
    <w:name w:val="xl96"/>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97" w:customStyle="1">
    <w:name w:val="xl88"/>
    <w:basedOn w:val="113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98" w:customStyle="1">
    <w:name w:val="xl85"/>
    <w:basedOn w:val="113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99"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500"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501" w:customStyle="1">
    <w:name w:val="注："/>
    <w:next w:val="1135"/>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502" w:customStyle="1">
    <w:name w:val="xl89"/>
    <w:basedOn w:val="11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03" w:customStyle="1">
    <w:name w:val="reader-word-layer"/>
    <w:basedOn w:val="1135"/>
    <w:uiPriority w:val="0"/>
    <w:qFormat/>
    <w:pPr>
      <w:jc w:val="left"/>
      <w:spacing w:before="100" w:beforeAutospacing="1" w:after="100" w:afterAutospacing="1"/>
      <w:widowControl/>
    </w:pPr>
    <w:rPr>
      <w:rFonts w:ascii="宋体" w:hAnsi="宋体" w:cs="宋体"/>
      <w:sz w:val="24"/>
      <w:szCs w:val="24"/>
    </w:rPr>
  </w:style>
  <w:style w:type="paragraph" w:styleId="1504" w:customStyle="1">
    <w:name w:val="Char11"/>
    <w:basedOn w:val="1135"/>
    <w:uiPriority w:val="0"/>
    <w:qFormat/>
    <w:rPr>
      <w:rFonts w:ascii="仿宋_GB2312" w:eastAsia="仿宋_GB2312"/>
      <w:b/>
      <w:sz w:val="32"/>
      <w:szCs w:val="32"/>
    </w:rPr>
  </w:style>
  <w:style w:type="paragraph" w:styleId="1505" w:customStyle="1">
    <w:name w:val="xl83"/>
    <w:basedOn w:val="113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06" w:customStyle="1">
    <w:name w:val="_Style 191"/>
    <w:basedOn w:val="1135"/>
    <w:next w:val="1443"/>
    <w:uiPriority w:val="34"/>
    <w:qFormat/>
    <w:pPr>
      <w:ind w:firstLine="420"/>
      <w:jc w:val="left"/>
      <w:spacing w:after="200"/>
      <w:widowControl/>
    </w:pPr>
    <w:rPr>
      <w:rFonts w:ascii="Tahoma" w:hAnsi="Tahoma"/>
      <w:sz w:val="22"/>
    </w:rPr>
  </w:style>
  <w:style w:type="paragraph" w:styleId="1507" w:customStyle="1">
    <w:name w:val="xl71"/>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8" w:customStyle="1">
    <w:name w:val="列出段落1"/>
    <w:basedOn w:val="1135"/>
    <w:uiPriority w:val="34"/>
    <w:qFormat/>
    <w:pPr>
      <w:ind w:firstLine="420"/>
      <w:spacing w:before="156" w:after="156" w:line="360" w:lineRule="auto"/>
    </w:pPr>
    <w:rPr>
      <w:rFonts w:ascii="Calibri" w:hAnsi="Calibri" w:cs="Calibri"/>
      <w:lang w:eastAsia="ar-SA"/>
    </w:rPr>
  </w:style>
  <w:style w:type="paragraph" w:styleId="1509" w:customStyle="1">
    <w:name w:val="章标题"/>
    <w:next w:val="1135"/>
    <w:uiPriority w:val="0"/>
    <w:qFormat/>
    <w:pPr>
      <w:jc w:val="both"/>
      <w:outlineLvl w:val="1"/>
    </w:pPr>
    <w:rPr>
      <w:rFonts w:ascii="黑体" w:hAnsi="Times New Roman" w:eastAsia="黑体" w:cs="黑体"/>
      <w:sz w:val="21"/>
      <w:szCs w:val="21"/>
      <w:lang w:val="en-US" w:eastAsia="zh-CN" w:bidi="ar-SA"/>
    </w:rPr>
  </w:style>
  <w:style w:type="paragraph" w:styleId="1510" w:customStyle="1">
    <w:name w:val="xl82"/>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11" w:customStyle="1">
    <w:name w:val="xl72"/>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2" w:customStyle="1">
    <w:name w:val="font12"/>
    <w:basedOn w:val="1135"/>
    <w:uiPriority w:val="0"/>
    <w:qFormat/>
    <w:pPr>
      <w:jc w:val="left"/>
      <w:spacing w:before="100" w:beforeAutospacing="1" w:after="100" w:afterAutospacing="1"/>
      <w:widowControl/>
    </w:pPr>
    <w:rPr>
      <w:rFonts w:ascii="宋体" w:hAnsi="宋体" w:cs="宋体"/>
      <w:color w:val="000000"/>
      <w:sz w:val="20"/>
      <w:szCs w:val="20"/>
    </w:rPr>
  </w:style>
  <w:style w:type="paragraph" w:styleId="1513" w:customStyle="1">
    <w:name w:val="Char"/>
    <w:basedOn w:val="1135"/>
    <w:uiPriority w:val="0"/>
    <w:qFormat/>
    <w:pPr>
      <w:jc w:val="left"/>
      <w:spacing w:after="160" w:line="240" w:lineRule="exact"/>
      <w:widowControl/>
    </w:pPr>
    <w:rPr>
      <w:rFonts w:ascii="Verdana" w:hAnsi="Verdana" w:eastAsia="宋体" w:cs="Verdana"/>
      <w:sz w:val="18"/>
      <w:szCs w:val="18"/>
      <w:lang w:eastAsia="en-US"/>
    </w:rPr>
  </w:style>
  <w:style w:type="paragraph" w:styleId="1514" w:customStyle="1">
    <w:name w:val="font10"/>
    <w:basedOn w:val="1135"/>
    <w:uiPriority w:val="0"/>
    <w:qFormat/>
    <w:pPr>
      <w:jc w:val="left"/>
      <w:spacing w:before="100" w:beforeAutospacing="1" w:after="100" w:afterAutospacing="1"/>
      <w:widowControl/>
    </w:pPr>
    <w:rPr>
      <w:rFonts w:ascii="宋体" w:hAnsi="宋体" w:cs="宋体"/>
      <w:color w:val="000000"/>
      <w:sz w:val="22"/>
    </w:rPr>
  </w:style>
  <w:style w:type="paragraph" w:styleId="1515" w:customStyle="1">
    <w:name w:val="xl109"/>
    <w:basedOn w:val="113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16" w:customStyle="1">
    <w:name w:val="xl103"/>
    <w:basedOn w:val="11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17" w:customStyle="1">
    <w:name w:val="xl102"/>
    <w:basedOn w:val="11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18" w:customStyle="1">
    <w:name w:val="xl65"/>
    <w:basedOn w:val="11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19" w:customStyle="1">
    <w:name w:val="xl93"/>
    <w:basedOn w:val="11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20" w:customStyle="1">
    <w:name w:val="BodyText1I21"/>
    <w:basedOn w:val="1448"/>
    <w:next w:val="1135"/>
    <w:uiPriority w:val="0"/>
    <w:qFormat/>
    <w:pPr>
      <w:ind w:firstLine="420"/>
    </w:pPr>
    <w:rPr>
      <w:rFonts w:ascii="Calibri" w:hAnsi="Calibri"/>
    </w:rPr>
  </w:style>
  <w:style w:type="paragraph" w:styleId="1521"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522" w:customStyle="1">
    <w:name w:val="xl107"/>
    <w:basedOn w:val="113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23" w:customStyle="1">
    <w:name w:val="xl73"/>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4"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1525" w:customStyle="1">
    <w:name w:val="xl90"/>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26" w:customStyle="1">
    <w:name w:val="font13"/>
    <w:basedOn w:val="1135"/>
    <w:uiPriority w:val="0"/>
    <w:qFormat/>
    <w:pPr>
      <w:jc w:val="left"/>
      <w:spacing w:before="100" w:beforeAutospacing="1" w:after="100" w:afterAutospacing="1"/>
      <w:widowControl/>
    </w:pPr>
    <w:rPr>
      <w:rFonts w:ascii="宋体" w:hAnsi="宋体" w:cs="宋体"/>
      <w:sz w:val="18"/>
      <w:szCs w:val="18"/>
    </w:rPr>
  </w:style>
  <w:style w:type="paragraph" w:styleId="1527" w:customStyle="1">
    <w:name w:val="xl81"/>
    <w:basedOn w:val="1135"/>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528" w:customStyle="1">
    <w:name w:val="xl69"/>
    <w:basedOn w:val="11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9" w:customStyle="1">
    <w:name w:val="五级条标题"/>
    <w:basedOn w:val="1433"/>
    <w:next w:val="1135"/>
    <w:uiPriority w:val="0"/>
    <w:qFormat/>
    <w:pPr>
      <w:outlineLvl w:val="6"/>
    </w:pPr>
  </w:style>
  <w:style w:type="paragraph" w:styleId="1530" w:customStyle="1">
    <w:name w:val="xl110"/>
    <w:basedOn w:val="113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531" w:customStyle="1">
    <w:name w:val="xl101"/>
    <w:basedOn w:val="11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532"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533" w:customStyle="1">
    <w:name w:val="未处理的提及1"/>
    <w:uiPriority w:val="99"/>
    <w:unhideWhenUsed/>
    <w:qFormat/>
    <w:rPr>
      <w:color w:val="605e5c"/>
      <w:shd w:val="clear" w:color="auto" w:fill="e1dfdd"/>
    </w:rPr>
  </w:style>
  <w:style w:type="paragraph" w:styleId="1534" w:customStyle="1">
    <w:name w:val="样式5"/>
    <w:basedOn w:val="1365"/>
    <w:uiPriority w:val="1"/>
    <w:qFormat/>
    <w:pPr>
      <w:numPr>
        <w:ilvl w:val="0"/>
        <w:numId w:val="5"/>
      </w:numPr>
      <w:ind w:firstLine="0"/>
      <w:jc w:val="left"/>
      <w:spacing w:line="360" w:lineRule="auto"/>
    </w:pPr>
    <w:rPr>
      <w:rFonts w:ascii="Arial" w:hAnsi="Arial" w:eastAsia="宋体"/>
      <w:szCs w:val="22"/>
    </w:rPr>
  </w:style>
  <w:style w:type="paragraph" w:styleId="1535" w:customStyle="1">
    <w:name w:val="样式2"/>
    <w:basedOn w:val="1135"/>
    <w:uiPriority w:val="0"/>
    <w:qFormat/>
    <w:pPr>
      <w:spacing w:line="410" w:lineRule="atLeast"/>
    </w:pPr>
    <w:rPr>
      <w:szCs w:val="20"/>
    </w:rPr>
  </w:style>
  <w:style w:type="paragraph" w:styleId="1536" w:customStyle="1">
    <w:name w:val="样式3"/>
    <w:basedOn w:val="1373"/>
    <w:uiPriority w:val="0"/>
    <w:qFormat/>
    <w:rPr>
      <w:rFonts w:hAnsi="宋体" w:cs="宋体"/>
      <w:szCs w:val="21"/>
    </w:rPr>
  </w:style>
  <w:style w:type="paragraph" w:styleId="1537" w:customStyle="1">
    <w:name w:val="样式6"/>
    <w:basedOn w:val="1365"/>
    <w:uiPriority w:val="1"/>
    <w:qFormat/>
    <w:pPr>
      <w:ind w:left="500" w:right="100"/>
      <w:jc w:val="left"/>
      <w:spacing w:line="360" w:lineRule="auto"/>
    </w:pPr>
    <w:rPr>
      <w:rFonts w:ascii="Arial" w:hAnsi="Arial" w:eastAsia="宋体"/>
      <w:szCs w:val="22"/>
    </w:rPr>
  </w:style>
  <w:style w:type="character" w:styleId="1538" w:customStyle="1">
    <w:name w:val="样式1 Char"/>
    <w:link w:val="1539"/>
    <w:uiPriority w:val="0"/>
    <w:qFormat/>
    <w:rPr>
      <w:rFonts w:ascii="宋体" w:hAnsi="宋体"/>
      <w:szCs w:val="21"/>
    </w:rPr>
  </w:style>
  <w:style w:type="paragraph" w:styleId="1539" w:customStyle="1">
    <w:name w:val="样式1"/>
    <w:basedOn w:val="1135"/>
    <w:link w:val="1538"/>
    <w:uiPriority w:val="0"/>
    <w:qFormat/>
    <w:pPr>
      <w:numPr>
        <w:ilvl w:val="0"/>
        <w:numId w:val="6"/>
      </w:numPr>
    </w:pPr>
    <w:rPr>
      <w:rFonts w:ascii="宋体" w:hAnsi="宋体"/>
      <w:szCs w:val="21"/>
    </w:rPr>
  </w:style>
  <w:style w:type="paragraph" w:styleId="1540" w:customStyle="1">
    <w:name w:val="List Paragraph2"/>
    <w:basedOn w:val="1135"/>
    <w:uiPriority w:val="0"/>
    <w:qFormat/>
    <w:pPr>
      <w:ind w:firstLine="420"/>
    </w:pPr>
    <w:rPr>
      <w:szCs w:val="20"/>
    </w:rPr>
  </w:style>
  <w:style w:type="paragraph" w:styleId="1541" w:customStyle="1">
    <w:name w:val="一级目录"/>
    <w:next w:val="1135"/>
    <w:uiPriority w:val="99"/>
    <w:qFormat/>
    <w:pPr>
      <w:jc w:val="center"/>
      <w:outlineLvl w:val="0"/>
    </w:pPr>
    <w:rPr>
      <w:rFonts w:ascii="黑体" w:hAnsi="Times New Roman" w:eastAsia="黑体" w:cs="Times New Roman"/>
      <w:b/>
      <w:sz w:val="44"/>
      <w:szCs w:val="22"/>
      <w:lang w:val="en-US" w:eastAsia="zh-CN" w:bidi="ar-SA"/>
    </w:rPr>
  </w:style>
  <w:style w:type="paragraph" w:styleId="1542" w:customStyle="1">
    <w:name w:val="标准文本"/>
    <w:basedOn w:val="1135"/>
    <w:uiPriority w:val="0"/>
    <w:qFormat/>
    <w:pPr>
      <w:ind w:firstLine="480"/>
      <w:spacing w:line="360" w:lineRule="auto"/>
    </w:pPr>
    <w:rPr>
      <w:rFonts w:eastAsia="Calibri" w:cs="宋体"/>
      <w:sz w:val="24"/>
      <w:lang w:val="zh-CN"/>
    </w:rPr>
  </w:style>
  <w:style w:type="paragraph" w:styleId="1543" w:customStyle="1">
    <w:name w:val="msolistparagraph"/>
    <w:basedOn w:val="1135"/>
    <w:uiPriority w:val="0"/>
    <w:qFormat/>
    <w:pPr>
      <w:ind w:firstLine="420"/>
    </w:pPr>
  </w:style>
  <w:style w:type="paragraph" w:styleId="1544" w:customStyle="1">
    <w:name w:val="样式 样式 首行缩进:  2 字符 + 行距: 1.5 倍行距"/>
    <w:basedOn w:val="1135"/>
    <w:uiPriority w:val="0"/>
    <w:qFormat/>
    <w:pPr>
      <w:ind w:firstLine="470"/>
      <w:spacing w:line="360" w:lineRule="auto"/>
    </w:pPr>
    <w:rPr>
      <w:rFonts w:eastAsia="Calibri" w:cs="宋体"/>
      <w:sz w:val="24"/>
      <w:szCs w:val="20"/>
      <w:lang w:val="zh-CN"/>
    </w:rPr>
  </w:style>
  <w:style w:type="paragraph" w:styleId="1545" w:customStyle="1">
    <w:name w:val="招标"/>
    <w:basedOn w:val="1135"/>
    <w:uiPriority w:val="0"/>
    <w:qFormat/>
    <w:pPr>
      <w:ind w:firstLine="420"/>
      <w:jc w:val="left"/>
      <w:spacing w:line="400" w:lineRule="exact"/>
    </w:pPr>
    <w:rPr>
      <w:rFonts w:ascii="宋体" w:hAnsi="宋体"/>
    </w:rPr>
  </w:style>
  <w:style w:type="character" w:styleId="1546" w:customStyle="1">
    <w:name w:val="16"/>
    <w:uiPriority w:val="0"/>
    <w:qFormat/>
    <w:rPr>
      <w:rFonts w:ascii="Calibri" w:hAnsi="Calibri" w:cs="Calibri"/>
    </w:rPr>
  </w:style>
  <w:style w:type="character" w:styleId="1547" w:customStyle="1">
    <w:name w:val="批注文字 字符1"/>
    <w:basedOn w:val="1145"/>
    <w:link w:val="1150"/>
    <w:uiPriority w:val="99"/>
    <w:qFormat/>
    <w:rPr>
      <w:rFonts w:eastAsia="微软雅黑"/>
      <w:sz w:val="21"/>
      <w:szCs w:val="22"/>
    </w:rPr>
  </w:style>
  <w:style w:type="character" w:styleId="1548" w:customStyle="1">
    <w:name w:val="批注主题 字符1"/>
    <w:basedOn w:val="1547"/>
    <w:link w:val="1172"/>
    <w:uiPriority w:val="99"/>
    <w:semiHidden/>
    <w:qFormat/>
    <w:rPr>
      <w:rFonts w:eastAsia="微软雅黑"/>
      <w:b/>
      <w:bCs/>
      <w:sz w:val="21"/>
      <w:szCs w:val="22"/>
    </w:rPr>
  </w:style>
  <w:style w:type="paragraph" w:styleId="1549" w:customStyle="1">
    <w:name w:val="修订2"/>
    <w:hidden/>
    <w:uiPriority w:val="99"/>
    <w:unhideWhenUsed/>
    <w:qFormat/>
    <w:rPr>
      <w:rFonts w:ascii="Times New Roman" w:hAnsi="Times New Roman" w:eastAsia="微软雅黑" w:cs="Times New Roman"/>
      <w:sz w:val="21"/>
      <w:szCs w:val="22"/>
      <w:lang w:val="en-US" w:eastAsia="zh-CN" w:bidi="ar-SA"/>
    </w:rPr>
  </w:style>
  <w:style w:type="paragraph" w:styleId="1550" w:customStyle="1">
    <w:name w:val="修订3"/>
    <w:hidden/>
    <w:uiPriority w:val="99"/>
    <w:unhideWhenUsed/>
    <w:qFormat/>
    <w:rPr>
      <w:rFonts w:ascii="Times New Roman" w:hAnsi="Times New Roman" w:eastAsia="微软雅黑" w:cs="Times New Roman"/>
      <w:sz w:val="21"/>
      <w:szCs w:val="22"/>
      <w:lang w:val="en-US" w:eastAsia="zh-CN" w:bidi="ar-SA"/>
    </w:rPr>
  </w:style>
  <w:style w:type="paragraph" w:styleId="1551" w:customStyle="1">
    <w:name w:val="修订4"/>
    <w:hidden/>
    <w:uiPriority w:val="99"/>
    <w:unhideWhenUsed/>
    <w:qFormat/>
    <w:rPr>
      <w:rFonts w:ascii="Times New Roman" w:hAnsi="Times New Roman" w:eastAsia="微软雅黑" w:cs="Times New Roman"/>
      <w:sz w:val="21"/>
      <w:szCs w:val="22"/>
      <w:lang w:val="en-US" w:eastAsia="zh-CN" w:bidi="ar-SA"/>
    </w:rPr>
  </w:style>
  <w:style w:type="paragraph" w:styleId="1552" w:customStyle="1">
    <w:name w:val="修订5"/>
    <w:hidden/>
    <w:uiPriority w:val="99"/>
    <w:unhideWhenUsed/>
    <w:qFormat/>
    <w:rPr>
      <w:rFonts w:ascii="Times New Roman" w:hAnsi="Times New Roman" w:eastAsia="微软雅黑" w:cs="Times New Roman"/>
      <w:sz w:val="21"/>
      <w:szCs w:val="22"/>
      <w:lang w:val="en-US" w:eastAsia="zh-CN" w:bidi="ar-SA"/>
    </w:rPr>
  </w:style>
  <w:style w:type="numbering" w:styleId="15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Carl Zeiss AG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刘洁</cp:lastModifiedBy>
  <cp:revision>30</cp:revision>
  <dcterms:created xsi:type="dcterms:W3CDTF">2026-04-23T09:00:00Z</dcterms:created>
  <dcterms:modified xsi:type="dcterms:W3CDTF">2026-10-23T03:26:54Z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2C9A35F1FBD44478BFAC5793F14889B8_13</vt:lpwstr>
  </property>
  <property fmtid="{D5CDD505-2E9C-101B-9397-08002B2CF9AE}" pid="4" name="KSOTemplateDocerSaveRecord">
    <vt:lpwstr>eyJoZGlkIjoiODg3OGFhMDU1ZmI1OWU0YWEwNDY0YWZlNDM4YzIwY2YiLCJ1c2VySWQiOiI0NTI1MjQ5MTEifQ==</vt:lpwstr>
  </property>
</Properties>
</file>