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E865D9">
      <w:pPr>
        <w:pStyle w:val="351"/>
        <w:spacing w:line="480" w:lineRule="auto"/>
        <w:ind w:firstLine="0"/>
        <w:jc w:val="center"/>
        <w:rPr>
          <w:rFonts w:ascii="Times New Roman" w:hAnsi="Times New Roman"/>
          <w:b/>
          <w:bCs/>
          <w:color w:val="000000"/>
          <w:sz w:val="28"/>
          <w:szCs w:val="28"/>
        </w:rPr>
      </w:pPr>
    </w:p>
    <w:p w14:paraId="567C412B">
      <w:pPr>
        <w:pStyle w:val="351"/>
        <w:spacing w:line="480" w:lineRule="auto"/>
        <w:ind w:firstLine="0"/>
        <w:jc w:val="center"/>
        <w:rPr>
          <w:rFonts w:ascii="Times New Roman" w:hAnsi="Times New Roman"/>
          <w:b/>
          <w:bCs/>
          <w:color w:val="000000"/>
          <w:sz w:val="28"/>
          <w:szCs w:val="28"/>
        </w:rPr>
      </w:pPr>
    </w:p>
    <w:p w14:paraId="0E7FF697">
      <w:pPr>
        <w:pStyle w:val="351"/>
        <w:ind w:firstLine="0"/>
        <w:jc w:val="center"/>
        <w:rPr>
          <w:rFonts w:ascii="Times New Roman" w:hAnsi="Times New Roman"/>
          <w:b/>
          <w:bCs/>
          <w:color w:val="000000"/>
          <w:sz w:val="72"/>
          <w:szCs w:val="72"/>
        </w:rPr>
      </w:pPr>
      <w:r>
        <w:rPr>
          <w:rFonts w:hint="eastAsia" w:ascii="Times New Roman" w:hAnsi="Times New Roman"/>
          <w:b/>
          <w:bCs/>
          <w:color w:val="000000"/>
          <w:sz w:val="72"/>
          <w:szCs w:val="72"/>
        </w:rPr>
        <w:t>竞争性磋商文件</w:t>
      </w:r>
    </w:p>
    <w:p w14:paraId="551A3A68">
      <w:pPr>
        <w:pStyle w:val="351"/>
        <w:spacing w:line="240" w:lineRule="auto"/>
        <w:ind w:firstLine="0"/>
        <w:rPr>
          <w:rFonts w:ascii="Times New Roman" w:hAnsi="Times New Roman"/>
          <w:bCs/>
          <w:color w:val="000000"/>
        </w:rPr>
      </w:pPr>
    </w:p>
    <w:p w14:paraId="072F626C">
      <w:pPr>
        <w:pStyle w:val="351"/>
        <w:spacing w:line="240" w:lineRule="auto"/>
        <w:ind w:firstLine="0"/>
        <w:rPr>
          <w:rFonts w:ascii="Times New Roman" w:hAnsi="Times New Roman"/>
          <w:bCs/>
          <w:color w:val="000000"/>
        </w:rPr>
      </w:pPr>
    </w:p>
    <w:p w14:paraId="21FECA59">
      <w:pPr>
        <w:pStyle w:val="351"/>
        <w:spacing w:line="240" w:lineRule="auto"/>
        <w:ind w:firstLine="0"/>
        <w:rPr>
          <w:rFonts w:ascii="Times New Roman" w:hAnsi="Times New Roman"/>
          <w:bCs/>
          <w:color w:val="000000"/>
        </w:rPr>
      </w:pPr>
    </w:p>
    <w:p w14:paraId="7E81A73D">
      <w:pPr>
        <w:pStyle w:val="351"/>
        <w:spacing w:line="240" w:lineRule="auto"/>
        <w:ind w:firstLine="0"/>
        <w:rPr>
          <w:rFonts w:ascii="Times New Roman" w:hAnsi="Times New Roman"/>
          <w:bCs/>
          <w:color w:val="000000"/>
        </w:rPr>
      </w:pPr>
    </w:p>
    <w:p w14:paraId="738FF8EA">
      <w:pPr>
        <w:pStyle w:val="351"/>
        <w:spacing w:line="240" w:lineRule="auto"/>
        <w:ind w:firstLine="0"/>
        <w:rPr>
          <w:rFonts w:ascii="Times New Roman" w:hAnsi="Times New Roman"/>
          <w:bCs/>
          <w:color w:val="000000"/>
        </w:rPr>
      </w:pPr>
    </w:p>
    <w:p w14:paraId="5A055854">
      <w:pPr>
        <w:pStyle w:val="351"/>
        <w:keepNext w:val="0"/>
        <w:keepLines w:val="0"/>
        <w:pageBreakBefore w:val="0"/>
        <w:widowControl w:val="0"/>
        <w:spacing w:before="0" w:after="0" w:line="360" w:lineRule="exact"/>
        <w:ind w:left="1494" w:hanging="301"/>
        <w:jc w:val="both"/>
        <w:rPr>
          <w:rFonts w:ascii="Times New Roman" w:hAnsi="Times New Roman"/>
          <w:b/>
          <w:bCs/>
          <w:color w:val="000000"/>
          <w:sz w:val="30"/>
          <w:szCs w:val="30"/>
          <w:lang w:val="en-US"/>
        </w:rPr>
      </w:pPr>
      <w:r>
        <w:rPr>
          <w:rFonts w:hint="eastAsia" w:ascii="Times New Roman" w:hAnsi="Times New Roman"/>
          <w:b/>
          <w:bCs/>
          <w:color w:val="000000"/>
          <w:sz w:val="30"/>
          <w:szCs w:val="30"/>
        </w:rPr>
        <w:t>项目名称：</w:t>
      </w:r>
      <w:r>
        <w:rPr>
          <w:rFonts w:hint="eastAsia" w:ascii="Times New Roman" w:hAnsi="Times New Roman"/>
          <w:b/>
          <w:bCs/>
          <w:color w:val="000000"/>
          <w:sz w:val="30"/>
          <w:szCs w:val="30"/>
          <w:lang w:eastAsia="zh-CN"/>
        </w:rPr>
        <w:t>2026年古溪镇交通强市四好农村路</w:t>
      </w:r>
      <w:r>
        <w:rPr>
          <w:rFonts w:hint="eastAsia" w:ascii="Times New Roman" w:hAnsi="Times New Roman"/>
          <w:b/>
          <w:bCs/>
          <w:color w:val="000000"/>
          <w:sz w:val="30"/>
          <w:szCs w:val="30"/>
          <w:lang w:val="en-US" w:eastAsia="zh-CN"/>
        </w:rPr>
        <w:t>危桥改建项目（二）</w:t>
      </w:r>
    </w:p>
    <w:p w14:paraId="5AC3405B">
      <w:pPr>
        <w:pStyle w:val="351"/>
        <w:keepNext w:val="0"/>
        <w:keepLines w:val="0"/>
        <w:pageBreakBefore w:val="0"/>
        <w:widowControl w:val="0"/>
        <w:spacing w:before="0" w:after="0" w:line="360" w:lineRule="exact"/>
        <w:ind w:left="1494" w:hanging="301"/>
        <w:jc w:val="both"/>
        <w:rPr>
          <w:rFonts w:hint="eastAsia" w:ascii="Times New Roman" w:hAnsi="Times New Roman"/>
          <w:b/>
          <w:bCs/>
          <w:color w:val="000000"/>
          <w:sz w:val="30"/>
          <w:szCs w:val="30"/>
        </w:rPr>
      </w:pPr>
    </w:p>
    <w:p w14:paraId="70D41FC3">
      <w:pPr>
        <w:pStyle w:val="351"/>
        <w:keepNext w:val="0"/>
        <w:keepLines w:val="0"/>
        <w:pageBreakBefore w:val="0"/>
        <w:widowControl w:val="0"/>
        <w:spacing w:before="0" w:after="0" w:line="360" w:lineRule="exact"/>
        <w:ind w:left="1494" w:hanging="301"/>
        <w:jc w:val="both"/>
        <w:rPr>
          <w:rFonts w:ascii="Times New Roman" w:hAnsi="Times New Roman" w:eastAsia="宋体"/>
          <w:color w:val="000000"/>
          <w:lang w:val="en-US" w:eastAsia="zh-CN"/>
        </w:rPr>
      </w:pPr>
      <w:r>
        <w:rPr>
          <w:rFonts w:hint="eastAsia" w:ascii="Times New Roman" w:hAnsi="Times New Roman"/>
          <w:b/>
          <w:bCs/>
          <w:color w:val="000000"/>
          <w:sz w:val="30"/>
          <w:szCs w:val="30"/>
        </w:rPr>
        <w:t>项目编号：JSZC-321283-JSPT-C2026-0004</w:t>
      </w:r>
    </w:p>
    <w:p w14:paraId="349611ED">
      <w:pPr>
        <w:pStyle w:val="351"/>
        <w:spacing w:before="0" w:after="0" w:line="360" w:lineRule="exact"/>
        <w:jc w:val="center"/>
        <w:rPr>
          <w:rFonts w:ascii="Times New Roman" w:hAnsi="Times New Roman"/>
          <w:color w:val="000000"/>
        </w:rPr>
      </w:pPr>
    </w:p>
    <w:p w14:paraId="0EBCBE5B">
      <w:pPr>
        <w:pStyle w:val="351"/>
        <w:spacing w:before="0" w:after="0" w:line="360" w:lineRule="exact"/>
        <w:jc w:val="center"/>
        <w:rPr>
          <w:rFonts w:ascii="Times New Roman" w:hAnsi="Times New Roman"/>
          <w:color w:val="000000"/>
        </w:rPr>
      </w:pPr>
    </w:p>
    <w:p w14:paraId="2653BC25">
      <w:pPr>
        <w:pStyle w:val="351"/>
        <w:spacing w:before="0" w:after="0" w:line="360" w:lineRule="exact"/>
        <w:jc w:val="center"/>
        <w:rPr>
          <w:rFonts w:ascii="Times New Roman" w:hAnsi="Times New Roman"/>
          <w:color w:val="000000"/>
        </w:rPr>
      </w:pPr>
    </w:p>
    <w:p w14:paraId="03E3C55A">
      <w:pPr>
        <w:pStyle w:val="351"/>
        <w:spacing w:before="0" w:after="0" w:line="360" w:lineRule="exact"/>
        <w:jc w:val="center"/>
        <w:rPr>
          <w:rFonts w:ascii="Times New Roman" w:hAnsi="Times New Roman"/>
          <w:color w:val="000000"/>
        </w:rPr>
      </w:pPr>
    </w:p>
    <w:p w14:paraId="68029AA8">
      <w:pPr>
        <w:pStyle w:val="351"/>
        <w:spacing w:before="0" w:after="0" w:line="360" w:lineRule="exact"/>
        <w:jc w:val="center"/>
        <w:rPr>
          <w:rFonts w:ascii="Times New Roman" w:hAnsi="Times New Roman"/>
          <w:color w:val="000000"/>
        </w:rPr>
      </w:pPr>
    </w:p>
    <w:p w14:paraId="675BB0B2">
      <w:pPr>
        <w:pStyle w:val="351"/>
        <w:spacing w:before="0" w:after="0" w:line="360" w:lineRule="exact"/>
        <w:jc w:val="center"/>
        <w:rPr>
          <w:rFonts w:ascii="Times New Roman" w:hAnsi="Times New Roman"/>
          <w:color w:val="000000"/>
        </w:rPr>
      </w:pPr>
    </w:p>
    <w:p w14:paraId="5CD19319">
      <w:pPr>
        <w:pStyle w:val="351"/>
        <w:spacing w:before="0" w:after="0" w:line="500" w:lineRule="exact"/>
        <w:jc w:val="center"/>
        <w:rPr>
          <w:rFonts w:ascii="Times New Roman" w:hAnsi="Times New Roman"/>
          <w:color w:val="000000"/>
        </w:rPr>
      </w:pPr>
    </w:p>
    <w:p w14:paraId="01ABA799">
      <w:pPr>
        <w:pStyle w:val="351"/>
        <w:spacing w:before="0" w:after="0" w:line="500" w:lineRule="exact"/>
        <w:jc w:val="center"/>
        <w:rPr>
          <w:rFonts w:ascii="Times New Roman" w:hAnsi="Times New Roman"/>
          <w:color w:val="000000"/>
        </w:rPr>
      </w:pPr>
    </w:p>
    <w:p w14:paraId="6416ED70">
      <w:pPr>
        <w:pStyle w:val="351"/>
        <w:spacing w:before="0" w:after="0" w:line="500" w:lineRule="exact"/>
        <w:jc w:val="center"/>
        <w:rPr>
          <w:rFonts w:ascii="Times New Roman" w:hAnsi="Times New Roman"/>
          <w:color w:val="000000"/>
        </w:rPr>
      </w:pPr>
    </w:p>
    <w:p w14:paraId="0BD2ECDE">
      <w:pPr>
        <w:widowControl/>
        <w:shd w:val="clear" w:color="auto" w:fill="FFFFFF"/>
        <w:spacing w:line="360" w:lineRule="auto"/>
        <w:jc w:val="center"/>
        <w:rPr>
          <w:rFonts w:hint="eastAsia" w:ascii="宋体" w:hAnsi="宋体" w:eastAsia="宋体" w:cs="宋体"/>
          <w:b/>
          <w:bCs/>
          <w:color w:val="000000"/>
          <w:sz w:val="30"/>
          <w:szCs w:val="30"/>
          <w:lang w:eastAsia="zh-CN"/>
        </w:rPr>
      </w:pPr>
      <w:r>
        <w:rPr>
          <w:rFonts w:hint="eastAsia" w:ascii="宋体" w:hAnsi="宋体" w:cs="宋体"/>
          <w:b/>
          <w:bCs/>
          <w:color w:val="000000"/>
          <w:sz w:val="30"/>
          <w:szCs w:val="30"/>
        </w:rPr>
        <w:t>采购人：</w:t>
      </w:r>
      <w:r>
        <w:rPr>
          <w:rFonts w:hint="eastAsia" w:ascii="宋体" w:hAnsi="宋体" w:cs="宋体"/>
          <w:b/>
          <w:bCs/>
          <w:color w:val="000000"/>
          <w:sz w:val="30"/>
          <w:szCs w:val="30"/>
          <w:lang w:eastAsia="zh-CN"/>
        </w:rPr>
        <w:t>泰兴市</w:t>
      </w:r>
      <w:r>
        <w:rPr>
          <w:rFonts w:hint="eastAsia" w:ascii="宋体" w:hAnsi="宋体" w:cs="宋体"/>
          <w:b/>
          <w:bCs/>
          <w:color w:val="000000"/>
          <w:sz w:val="30"/>
          <w:szCs w:val="30"/>
          <w:lang w:val="en-US" w:eastAsia="zh-CN"/>
        </w:rPr>
        <w:t>古溪镇</w:t>
      </w:r>
      <w:r>
        <w:rPr>
          <w:rFonts w:hint="eastAsia" w:ascii="宋体" w:hAnsi="宋体" w:cs="宋体"/>
          <w:b/>
          <w:bCs/>
          <w:color w:val="000000"/>
          <w:sz w:val="30"/>
          <w:szCs w:val="30"/>
          <w:lang w:eastAsia="zh-CN"/>
        </w:rPr>
        <w:t>人民政府</w:t>
      </w:r>
    </w:p>
    <w:p w14:paraId="4DF22C78">
      <w:pPr>
        <w:widowControl/>
        <w:shd w:val="clear" w:color="auto" w:fill="FFFFFF"/>
        <w:spacing w:line="360" w:lineRule="auto"/>
        <w:rPr>
          <w:rFonts w:hint="eastAsia" w:ascii="宋体" w:hAnsi="宋体" w:cs="宋体"/>
          <w:b/>
          <w:bCs/>
          <w:color w:val="000000"/>
          <w:sz w:val="30"/>
          <w:szCs w:val="30"/>
        </w:rPr>
      </w:pPr>
      <w:bookmarkStart w:id="0" w:name="_Toc14640"/>
      <w:bookmarkStart w:id="1" w:name="_Toc21970"/>
    </w:p>
    <w:p w14:paraId="08A09222">
      <w:pPr>
        <w:widowControl/>
        <w:shd w:val="clear" w:color="auto" w:fill="FFFFFF"/>
        <w:spacing w:line="360" w:lineRule="auto"/>
        <w:jc w:val="center"/>
        <w:rPr>
          <w:rFonts w:ascii="宋体" w:hAnsi="宋体" w:eastAsia="宋体" w:cs="宋体"/>
          <w:b/>
          <w:bCs/>
          <w:color w:val="000000"/>
          <w:sz w:val="30"/>
          <w:szCs w:val="30"/>
          <w:lang w:val="en-US" w:eastAsia="zh-CN"/>
        </w:rPr>
      </w:pPr>
      <w:r>
        <w:rPr>
          <w:rFonts w:hint="eastAsia" w:ascii="宋体" w:hAnsi="宋体" w:cs="宋体"/>
          <w:b/>
          <w:bCs/>
          <w:color w:val="000000"/>
          <w:sz w:val="30"/>
          <w:szCs w:val="30"/>
        </w:rPr>
        <w:t>代理机构：</w:t>
      </w:r>
      <w:bookmarkEnd w:id="0"/>
      <w:bookmarkEnd w:id="1"/>
      <w:r>
        <w:rPr>
          <w:rFonts w:hint="eastAsia" w:ascii="宋体" w:hAnsi="宋体" w:cs="宋体"/>
          <w:b/>
          <w:bCs/>
          <w:color w:val="000000"/>
          <w:sz w:val="30"/>
          <w:szCs w:val="30"/>
          <w:lang w:val="en-US" w:eastAsia="zh-CN"/>
        </w:rPr>
        <w:t>江苏聿鹏建设项目管理有限公司</w:t>
      </w:r>
    </w:p>
    <w:p w14:paraId="5B67DCBE">
      <w:pPr>
        <w:widowControl/>
        <w:shd w:val="clear" w:color="auto" w:fill="FFFFFF"/>
        <w:spacing w:line="360" w:lineRule="auto"/>
        <w:jc w:val="center"/>
        <w:rPr>
          <w:rFonts w:hint="eastAsia" w:ascii="宋体" w:hAnsi="宋体" w:cs="宋体"/>
          <w:b/>
          <w:bCs/>
          <w:color w:val="000000"/>
          <w:sz w:val="30"/>
          <w:szCs w:val="30"/>
        </w:rPr>
      </w:pPr>
    </w:p>
    <w:p w14:paraId="28E24CF2">
      <w:pPr>
        <w:pStyle w:val="351"/>
        <w:spacing w:before="0" w:after="0" w:line="500" w:lineRule="exact"/>
        <w:ind w:firstLine="0"/>
        <w:jc w:val="center"/>
        <w:rPr>
          <w:rFonts w:hint="eastAsia" w:ascii="宋体" w:hAnsi="宋体" w:cs="宋体"/>
          <w:b/>
          <w:bCs/>
          <w:color w:val="000000"/>
          <w:sz w:val="30"/>
          <w:szCs w:val="30"/>
        </w:rPr>
      </w:pPr>
      <w:r>
        <w:rPr>
          <w:rFonts w:hint="eastAsia" w:ascii="宋体" w:hAnsi="宋体" w:cs="宋体"/>
          <w:b/>
          <w:bCs/>
          <w:color w:val="000000"/>
          <w:sz w:val="30"/>
          <w:szCs w:val="30"/>
        </w:rPr>
        <w:t>202</w:t>
      </w:r>
      <w:r>
        <w:rPr>
          <w:rFonts w:hint="eastAsia" w:ascii="宋体" w:hAnsi="宋体" w:cs="宋体"/>
          <w:b/>
          <w:bCs/>
          <w:color w:val="000000"/>
          <w:sz w:val="30"/>
          <w:szCs w:val="30"/>
          <w:lang w:val="en-US" w:eastAsia="zh-CN"/>
        </w:rPr>
        <w:t>6</w:t>
      </w:r>
      <w:r>
        <w:rPr>
          <w:rFonts w:hint="eastAsia" w:ascii="宋体" w:hAnsi="宋体" w:cs="宋体"/>
          <w:b/>
          <w:bCs/>
          <w:color w:val="000000"/>
          <w:sz w:val="30"/>
          <w:szCs w:val="30"/>
        </w:rPr>
        <w:t>年</w:t>
      </w:r>
      <w:r>
        <w:rPr>
          <w:rFonts w:hint="eastAsia" w:ascii="宋体" w:hAnsi="宋体" w:cs="宋体"/>
          <w:b/>
          <w:bCs/>
          <w:color w:val="000000"/>
          <w:sz w:val="30"/>
          <w:szCs w:val="30"/>
          <w:lang w:val="en-US" w:eastAsia="zh-CN"/>
        </w:rPr>
        <w:t>10</w:t>
      </w:r>
      <w:r>
        <w:rPr>
          <w:rFonts w:hint="eastAsia" w:ascii="宋体" w:hAnsi="宋体" w:cs="宋体"/>
          <w:b/>
          <w:bCs/>
          <w:color w:val="000000"/>
          <w:sz w:val="30"/>
          <w:szCs w:val="30"/>
        </w:rPr>
        <w:t>月</w:t>
      </w:r>
    </w:p>
    <w:p w14:paraId="62E74D0B">
      <w:pPr>
        <w:pStyle w:val="351"/>
        <w:spacing w:before="0" w:after="0" w:line="500" w:lineRule="exact"/>
        <w:ind w:firstLine="0"/>
        <w:jc w:val="center"/>
        <w:rPr>
          <w:rFonts w:hint="eastAsia" w:ascii="宋体" w:hAnsi="宋体" w:cs="宋体"/>
          <w:b/>
          <w:bCs/>
          <w:color w:val="000000"/>
          <w:sz w:val="30"/>
          <w:szCs w:val="30"/>
        </w:rPr>
      </w:pPr>
    </w:p>
    <w:p w14:paraId="25BA87DF">
      <w:pPr>
        <w:spacing w:after="156" w:line="440" w:lineRule="exact"/>
        <w:ind w:right="126"/>
        <w:jc w:val="center"/>
        <w:rPr>
          <w:rFonts w:hint="eastAsia"/>
          <w:b/>
          <w:color w:val="000000"/>
          <w:sz w:val="30"/>
          <w:szCs w:val="30"/>
        </w:rPr>
        <w:sectPr>
          <w:footerReference r:id="rId3" w:type="default"/>
          <w:pgSz w:w="11906" w:h="16838"/>
          <w:pgMar w:top="1338" w:right="1463" w:bottom="1338" w:left="1463" w:header="851" w:footer="992" w:gutter="0"/>
          <w:pgNumType w:start="1"/>
          <w:cols w:space="1701" w:num="1"/>
          <w:docGrid w:linePitch="360" w:charSpace="0"/>
        </w:sectPr>
      </w:pPr>
      <w:bookmarkStart w:id="2" w:name="_Toc383623944"/>
      <w:bookmarkStart w:id="3" w:name="_Toc383679746"/>
      <w:bookmarkStart w:id="4" w:name="_Toc383623672"/>
      <w:bookmarkStart w:id="5" w:name="_Toc390098840"/>
      <w:bookmarkStart w:id="6" w:name="_Toc383698647"/>
      <w:bookmarkStart w:id="7" w:name="_Toc426469868"/>
      <w:bookmarkStart w:id="8" w:name="_Toc383625993"/>
      <w:bookmarkStart w:id="9" w:name="_Toc468783586"/>
      <w:bookmarkStart w:id="10" w:name="_Toc390246905"/>
      <w:bookmarkStart w:id="11" w:name="_Toc383587456"/>
      <w:bookmarkStart w:id="12" w:name="_Toc390099018"/>
      <w:bookmarkStart w:id="13" w:name="_Toc382813966"/>
      <w:bookmarkStart w:id="14" w:name="_Toc16938516"/>
      <w:bookmarkStart w:id="15" w:name="_Toc523127445"/>
      <w:bookmarkStart w:id="16" w:name="_Toc513029200"/>
      <w:bookmarkStart w:id="17" w:name="_Toc382813885"/>
      <w:bookmarkStart w:id="18" w:name="_Toc382812472"/>
      <w:bookmarkStart w:id="19" w:name="_Toc20823272"/>
      <w:bookmarkStart w:id="20" w:name="_Toc479757206"/>
    </w:p>
    <w:p w14:paraId="6BBCE068">
      <w:pPr>
        <w:spacing w:after="156" w:line="440" w:lineRule="exact"/>
        <w:ind w:right="126"/>
        <w:jc w:val="center"/>
        <w:rPr>
          <w:rFonts w:ascii="宋体" w:hAnsi="宋体"/>
          <w:b/>
          <w:bCs/>
          <w:color w:val="000000"/>
          <w:sz w:val="32"/>
          <w:szCs w:val="32"/>
        </w:rPr>
      </w:pPr>
      <w:r>
        <w:rPr>
          <w:rFonts w:hint="eastAsia"/>
          <w:b/>
          <w:color w:val="000000"/>
          <w:sz w:val="30"/>
          <w:szCs w:val="30"/>
        </w:rPr>
        <w:t>第一章</w:t>
      </w:r>
      <w:bookmarkStart w:id="21" w:name="_Hlk119310047"/>
      <w:r>
        <w:rPr>
          <w:rFonts w:hint="eastAsia"/>
          <w:b/>
          <w:color w:val="000000"/>
          <w:sz w:val="30"/>
          <w:szCs w:val="30"/>
        </w:rPr>
        <w:t xml:space="preserve"> </w:t>
      </w:r>
      <w:r>
        <w:rPr>
          <w:b/>
          <w:color w:val="000000"/>
          <w:sz w:val="30"/>
          <w:szCs w:val="30"/>
        </w:rPr>
        <w:t xml:space="preserve"> </w:t>
      </w:r>
      <w:r>
        <w:rPr>
          <w:rFonts w:hint="eastAsia"/>
          <w:b/>
          <w:color w:val="000000"/>
          <w:sz w:val="30"/>
          <w:szCs w:val="30"/>
        </w:rPr>
        <w:t>竞争性磋商公告</w:t>
      </w:r>
    </w:p>
    <w:tbl>
      <w:tblPr>
        <w:tblStyle w:val="28"/>
        <w:tblW w:w="930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01"/>
      </w:tblGrid>
      <w:tr w14:paraId="07756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93" w:hRule="atLeast"/>
        </w:trPr>
        <w:tc>
          <w:tcPr>
            <w:tcW w:w="9301" w:type="dxa"/>
            <w:noWrap w:val="0"/>
            <w:vAlign w:val="top"/>
          </w:tcPr>
          <w:p w14:paraId="05921686">
            <w:pPr>
              <w:pStyle w:val="291"/>
              <w:spacing w:before="0" w:beforeAutospacing="0" w:after="0" w:afterAutospacing="0" w:line="360" w:lineRule="auto"/>
              <w:jc w:val="both"/>
              <w:rPr>
                <w:color w:val="000000"/>
                <w:sz w:val="24"/>
                <w:szCs w:val="24"/>
              </w:rPr>
            </w:pPr>
            <w:r>
              <w:rPr>
                <w:rFonts w:hint="eastAsia"/>
                <w:color w:val="000000"/>
                <w:sz w:val="24"/>
                <w:szCs w:val="24"/>
              </w:rPr>
              <w:t>项目概况</w:t>
            </w:r>
          </w:p>
          <w:p w14:paraId="050B8578">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000000"/>
              </w:rPr>
            </w:pPr>
            <w:r>
              <w:rPr>
                <w:rFonts w:hint="eastAsia" w:ascii="宋体" w:hAnsi="宋体" w:cs="宋体"/>
                <w:color w:val="000000"/>
                <w:sz w:val="24"/>
                <w:u w:val="single"/>
                <w:lang w:eastAsia="zh-CN"/>
              </w:rPr>
              <w:t>2026年古溪镇交通强市四好农村路危桥改建项目（二）</w:t>
            </w:r>
            <w:r>
              <w:rPr>
                <w:rFonts w:ascii="宋体" w:hAnsi="宋体" w:eastAsia="宋体" w:cs="宋体"/>
                <w:color w:val="000000"/>
                <w:sz w:val="24"/>
              </w:rPr>
              <w:t>采购项目的潜在供应商</w:t>
            </w:r>
            <w:r>
              <w:rPr>
                <w:rFonts w:ascii="宋体" w:hAnsi="宋体" w:eastAsia="宋体" w:cs="宋体"/>
                <w:color w:val="000000"/>
                <w:sz w:val="24"/>
                <w:u w:val="single"/>
              </w:rPr>
              <w:t>应在“江苏政府采购‘苏采云’系统”下载本项目磋商文件</w:t>
            </w:r>
            <w:r>
              <w:rPr>
                <w:rFonts w:ascii="宋体" w:hAnsi="宋体" w:eastAsia="宋体" w:cs="宋体"/>
                <w:color w:val="000000"/>
                <w:sz w:val="24"/>
              </w:rPr>
              <w:t>获取采购文件，并于</w:t>
            </w:r>
            <w:r>
              <w:rPr>
                <w:rFonts w:ascii="Times New Roman" w:hAnsi="Times New Roman" w:eastAsia="Times New Roman" w:cs="Times New Roman"/>
                <w:color w:val="000000"/>
                <w:sz w:val="24"/>
                <w:u w:val="single"/>
              </w:rPr>
              <w:t>202</w:t>
            </w:r>
            <w:r>
              <w:rPr>
                <w:rFonts w:hint="eastAsia" w:cs="Times New Roman"/>
                <w:color w:val="000000"/>
                <w:sz w:val="24"/>
                <w:u w:val="single"/>
                <w:lang w:val="en-US" w:eastAsia="zh-CN"/>
              </w:rPr>
              <w:t>6</w:t>
            </w:r>
            <w:r>
              <w:rPr>
                <w:rFonts w:ascii="宋体" w:hAnsi="宋体" w:eastAsia="宋体" w:cs="宋体"/>
                <w:color w:val="000000"/>
                <w:sz w:val="24"/>
                <w:u w:val="single"/>
              </w:rPr>
              <w:t>年</w:t>
            </w:r>
            <w:r>
              <w:rPr>
                <w:rFonts w:hint="eastAsia" w:ascii="宋体" w:hAnsi="宋体" w:cs="宋体"/>
                <w:color w:val="000000"/>
                <w:sz w:val="24"/>
                <w:u w:val="single"/>
                <w:lang w:val="en-US" w:eastAsia="zh-CN"/>
              </w:rPr>
              <w:t>10</w:t>
            </w:r>
            <w:r>
              <w:rPr>
                <w:rFonts w:ascii="宋体" w:hAnsi="宋体" w:eastAsia="宋体" w:cs="宋体"/>
                <w:color w:val="000000"/>
                <w:sz w:val="24"/>
                <w:u w:val="single"/>
              </w:rPr>
              <w:t>月</w:t>
            </w:r>
            <w:r>
              <w:rPr>
                <w:rFonts w:hint="eastAsia" w:cs="Times New Roman"/>
                <w:color w:val="000000"/>
                <w:sz w:val="24"/>
                <w:u w:val="single"/>
                <w:lang w:val="en-US" w:eastAsia="zh-CN"/>
              </w:rPr>
              <w:t>26</w:t>
            </w:r>
            <w:r>
              <w:rPr>
                <w:rFonts w:ascii="宋体" w:hAnsi="宋体" w:eastAsia="宋体" w:cs="宋体"/>
                <w:color w:val="000000"/>
                <w:sz w:val="24"/>
                <w:u w:val="single"/>
              </w:rPr>
              <w:t>日</w:t>
            </w:r>
            <w:r>
              <w:rPr>
                <w:rFonts w:hint="eastAsia" w:cs="Times New Roman"/>
                <w:color w:val="000000"/>
                <w:sz w:val="24"/>
                <w:u w:val="single"/>
                <w:lang w:val="en-US" w:eastAsia="zh-CN"/>
              </w:rPr>
              <w:t>9</w:t>
            </w:r>
            <w:r>
              <w:rPr>
                <w:rFonts w:ascii="宋体" w:hAnsi="宋体" w:eastAsia="宋体" w:cs="宋体"/>
                <w:color w:val="000000"/>
                <w:sz w:val="24"/>
                <w:u w:val="single"/>
              </w:rPr>
              <w:t>时</w:t>
            </w:r>
            <w:r>
              <w:rPr>
                <w:rFonts w:hint="eastAsia" w:cs="Times New Roman"/>
                <w:color w:val="000000"/>
                <w:sz w:val="24"/>
                <w:u w:val="single"/>
                <w:lang w:val="en-US" w:eastAsia="zh-CN"/>
              </w:rPr>
              <w:t>0</w:t>
            </w:r>
            <w:r>
              <w:rPr>
                <w:rFonts w:ascii="Times New Roman" w:hAnsi="Times New Roman" w:eastAsia="Times New Roman" w:cs="Times New Roman"/>
                <w:color w:val="000000"/>
                <w:sz w:val="24"/>
                <w:u w:val="single"/>
              </w:rPr>
              <w:t>0</w:t>
            </w:r>
            <w:r>
              <w:rPr>
                <w:rFonts w:ascii="宋体" w:hAnsi="宋体" w:eastAsia="宋体" w:cs="宋体"/>
                <w:color w:val="000000"/>
                <w:sz w:val="24"/>
                <w:u w:val="single"/>
              </w:rPr>
              <w:t>分</w:t>
            </w:r>
            <w:r>
              <w:rPr>
                <w:rFonts w:ascii="宋体" w:hAnsi="宋体" w:eastAsia="宋体" w:cs="宋体"/>
                <w:color w:val="000000"/>
                <w:sz w:val="24"/>
                <w:u w:val="none"/>
              </w:rPr>
              <w:t>（</w:t>
            </w:r>
            <w:r>
              <w:rPr>
                <w:rFonts w:ascii="宋体" w:hAnsi="宋体" w:eastAsia="宋体" w:cs="宋体"/>
                <w:color w:val="000000"/>
                <w:sz w:val="24"/>
              </w:rPr>
              <w:t>北京时间）前递交响应文件</w:t>
            </w:r>
            <w:r>
              <w:rPr>
                <w:rFonts w:hint="eastAsia"/>
                <w:color w:val="000000"/>
                <w:sz w:val="24"/>
                <w:szCs w:val="24"/>
                <w:highlight w:val="none"/>
              </w:rPr>
              <w:t>。</w:t>
            </w:r>
          </w:p>
        </w:tc>
      </w:tr>
    </w:tbl>
    <w:p w14:paraId="42C7D60D">
      <w:pPr>
        <w:pStyle w:val="291"/>
        <w:keepNext w:val="0"/>
        <w:keepLines w:val="0"/>
        <w:pageBreakBefore w:val="0"/>
        <w:spacing w:before="0" w:beforeAutospacing="0" w:after="0" w:afterAutospacing="0" w:line="360" w:lineRule="auto"/>
        <w:ind w:left="0" w:firstLine="0"/>
        <w:jc w:val="both"/>
        <w:rPr>
          <w:color w:val="000000"/>
          <w:sz w:val="24"/>
          <w:szCs w:val="24"/>
        </w:rPr>
      </w:pPr>
      <w:r>
        <w:rPr>
          <w:rFonts w:hint="eastAsia"/>
          <w:b/>
          <w:bCs/>
          <w:color w:val="000000"/>
          <w:sz w:val="24"/>
          <w:szCs w:val="24"/>
        </w:rPr>
        <w:t>一、项目基本情况</w:t>
      </w:r>
    </w:p>
    <w:p w14:paraId="2A8BFB42">
      <w:pPr>
        <w:pStyle w:val="291"/>
        <w:keepNext w:val="0"/>
        <w:keepLines w:val="0"/>
        <w:pageBreakBefore w:val="0"/>
        <w:widowControl/>
        <w:spacing w:before="0" w:beforeAutospacing="0" w:after="0" w:afterAutospacing="0" w:line="360" w:lineRule="auto"/>
        <w:ind w:left="0" w:firstLine="480"/>
        <w:jc w:val="both"/>
        <w:rPr>
          <w:rFonts w:hint="eastAsia" w:eastAsia="宋体"/>
          <w:color w:val="000000"/>
          <w:sz w:val="24"/>
          <w:szCs w:val="24"/>
          <w:lang w:eastAsia="zh-CN"/>
        </w:rPr>
      </w:pPr>
      <w:r>
        <w:rPr>
          <w:rFonts w:hint="eastAsia"/>
          <w:color w:val="000000"/>
          <w:sz w:val="24"/>
          <w:szCs w:val="24"/>
        </w:rPr>
        <w:t>1.项目编号：</w:t>
      </w:r>
      <w:r>
        <w:rPr>
          <w:rFonts w:hint="eastAsia"/>
          <w:color w:val="000000"/>
          <w:sz w:val="24"/>
          <w:szCs w:val="24"/>
          <w:lang w:eastAsia="zh-CN"/>
        </w:rPr>
        <w:t>JSZC-321283-JSPT-C2026-0004</w:t>
      </w:r>
      <w:r>
        <w:rPr>
          <w:rFonts w:hint="eastAsia"/>
          <w:color w:val="000000"/>
          <w:sz w:val="24"/>
          <w:szCs w:val="24"/>
          <w:lang w:val="en-US" w:eastAsia="zh-CN"/>
        </w:rPr>
        <w:t xml:space="preserve">    </w:t>
      </w:r>
    </w:p>
    <w:p w14:paraId="0308FB17">
      <w:pPr>
        <w:pStyle w:val="291"/>
        <w:keepNext w:val="0"/>
        <w:keepLines w:val="0"/>
        <w:pageBreakBefore w:val="0"/>
        <w:widowControl/>
        <w:spacing w:before="0" w:beforeAutospacing="0" w:after="0" w:afterAutospacing="0" w:line="360" w:lineRule="auto"/>
        <w:ind w:left="0" w:firstLine="480"/>
        <w:jc w:val="both"/>
        <w:rPr>
          <w:rFonts w:hint="eastAsia" w:eastAsia="宋体"/>
          <w:color w:val="000000"/>
          <w:sz w:val="24"/>
          <w:szCs w:val="24"/>
          <w:lang w:eastAsia="zh-CN"/>
        </w:rPr>
      </w:pPr>
      <w:r>
        <w:rPr>
          <w:rFonts w:hint="eastAsia"/>
          <w:color w:val="000000"/>
          <w:sz w:val="24"/>
          <w:szCs w:val="24"/>
        </w:rPr>
        <w:t>2.</w:t>
      </w:r>
      <w:bookmarkStart w:id="22" w:name="_Hlk130200611"/>
      <w:r>
        <w:rPr>
          <w:rFonts w:hint="eastAsia"/>
          <w:color w:val="000000"/>
          <w:sz w:val="24"/>
          <w:szCs w:val="24"/>
        </w:rPr>
        <w:t>项目名称：</w:t>
      </w:r>
      <w:bookmarkEnd w:id="22"/>
      <w:r>
        <w:rPr>
          <w:rFonts w:hint="eastAsia"/>
          <w:color w:val="000000"/>
          <w:sz w:val="24"/>
          <w:szCs w:val="24"/>
          <w:lang w:eastAsia="zh-CN"/>
        </w:rPr>
        <w:t>2026年古溪镇交通强市四好农村路危桥改建项目（二）</w:t>
      </w:r>
    </w:p>
    <w:p w14:paraId="15F18E4D">
      <w:pPr>
        <w:pStyle w:val="291"/>
        <w:keepNext w:val="0"/>
        <w:keepLines w:val="0"/>
        <w:pageBreakBefore w:val="0"/>
        <w:widowControl/>
        <w:spacing w:before="0" w:beforeAutospacing="0" w:after="0" w:afterAutospacing="0" w:line="360" w:lineRule="auto"/>
        <w:ind w:left="0" w:firstLine="480"/>
        <w:rPr>
          <w:color w:val="000000"/>
          <w:sz w:val="24"/>
          <w:szCs w:val="24"/>
        </w:rPr>
      </w:pPr>
      <w:r>
        <w:rPr>
          <w:rFonts w:hint="eastAsia"/>
          <w:color w:val="000000"/>
          <w:sz w:val="24"/>
          <w:szCs w:val="24"/>
        </w:rPr>
        <w:t>3.采购方式：竞争性磋商</w:t>
      </w:r>
    </w:p>
    <w:p w14:paraId="09601A12">
      <w:pPr>
        <w:pStyle w:val="291"/>
        <w:keepNext w:val="0"/>
        <w:keepLines w:val="0"/>
        <w:pageBreakBefore w:val="0"/>
        <w:widowControl/>
        <w:spacing w:before="0" w:beforeAutospacing="0" w:after="0" w:afterAutospacing="0" w:line="360" w:lineRule="auto"/>
        <w:ind w:left="0" w:firstLine="480"/>
        <w:rPr>
          <w:color w:val="000000"/>
          <w:sz w:val="24"/>
          <w:szCs w:val="24"/>
          <w:highlight w:val="none"/>
        </w:rPr>
      </w:pPr>
      <w:r>
        <w:rPr>
          <w:rFonts w:hint="eastAsia"/>
          <w:color w:val="000000"/>
          <w:sz w:val="24"/>
          <w:szCs w:val="24"/>
        </w:rPr>
        <w:t>4.预算金额</w:t>
      </w:r>
      <w:r>
        <w:rPr>
          <w:rFonts w:hint="eastAsia"/>
          <w:color w:val="000000"/>
          <w:sz w:val="24"/>
          <w:szCs w:val="24"/>
          <w:highlight w:val="none"/>
        </w:rPr>
        <w:t>：</w:t>
      </w:r>
      <w:r>
        <w:rPr>
          <w:rFonts w:hint="eastAsia"/>
          <w:color w:val="000000"/>
          <w:sz w:val="24"/>
          <w:szCs w:val="24"/>
          <w:highlight w:val="none"/>
          <w:lang w:val="en-US" w:eastAsia="zh-CN"/>
        </w:rPr>
        <w:t>2330175.01</w:t>
      </w:r>
      <w:r>
        <w:rPr>
          <w:rFonts w:hint="eastAsia"/>
          <w:color w:val="000000"/>
          <w:sz w:val="24"/>
          <w:szCs w:val="24"/>
          <w:highlight w:val="none"/>
        </w:rPr>
        <w:t>元</w:t>
      </w:r>
    </w:p>
    <w:p w14:paraId="7A9542A3">
      <w:pPr>
        <w:pStyle w:val="291"/>
        <w:keepNext w:val="0"/>
        <w:keepLines w:val="0"/>
        <w:pageBreakBefore w:val="0"/>
        <w:widowControl/>
        <w:spacing w:before="0" w:beforeAutospacing="0" w:after="0" w:afterAutospacing="0" w:line="360" w:lineRule="auto"/>
        <w:ind w:left="0" w:firstLine="480"/>
        <w:jc w:val="both"/>
        <w:rPr>
          <w:rFonts w:hint="eastAsia" w:eastAsia="宋体"/>
          <w:color w:val="000000"/>
          <w:sz w:val="24"/>
          <w:szCs w:val="24"/>
          <w:highlight w:val="none"/>
          <w:lang w:eastAsia="zh-CN"/>
        </w:rPr>
      </w:pPr>
      <w:r>
        <w:rPr>
          <w:rFonts w:hint="eastAsia"/>
          <w:color w:val="000000"/>
          <w:sz w:val="24"/>
          <w:szCs w:val="24"/>
          <w:highlight w:val="none"/>
        </w:rPr>
        <w:t>5.最高限价：</w:t>
      </w:r>
      <w:r>
        <w:rPr>
          <w:rFonts w:hint="eastAsia"/>
          <w:color w:val="000000"/>
          <w:sz w:val="24"/>
          <w:szCs w:val="24"/>
          <w:highlight w:val="none"/>
          <w:lang w:val="en-US" w:eastAsia="zh-CN"/>
        </w:rPr>
        <w:t>2050000</w:t>
      </w:r>
      <w:r>
        <w:rPr>
          <w:rFonts w:hint="eastAsia"/>
          <w:color w:val="000000"/>
          <w:sz w:val="24"/>
          <w:szCs w:val="24"/>
          <w:highlight w:val="none"/>
        </w:rPr>
        <w:t>元</w:t>
      </w:r>
      <w:r>
        <w:rPr>
          <w:rFonts w:hint="eastAsia"/>
          <w:color w:val="000000"/>
          <w:sz w:val="24"/>
          <w:szCs w:val="24"/>
          <w:highlight w:val="none"/>
          <w:lang w:eastAsia="zh-CN"/>
        </w:rPr>
        <w:t>（</w:t>
      </w:r>
      <w:r>
        <w:rPr>
          <w:rFonts w:hint="eastAsia"/>
          <w:color w:val="000000"/>
          <w:sz w:val="24"/>
          <w:szCs w:val="24"/>
          <w:highlight w:val="none"/>
          <w:lang w:val="en-US" w:eastAsia="zh-CN"/>
        </w:rPr>
        <w:t>凡报价高于最高限价的为无效报价</w:t>
      </w:r>
      <w:r>
        <w:rPr>
          <w:rFonts w:hint="eastAsia"/>
          <w:color w:val="000000"/>
          <w:sz w:val="24"/>
          <w:szCs w:val="24"/>
          <w:highlight w:val="none"/>
          <w:lang w:eastAsia="zh-CN"/>
        </w:rPr>
        <w:t>）</w:t>
      </w:r>
    </w:p>
    <w:p w14:paraId="64D41BEB">
      <w:pPr>
        <w:pStyle w:val="291"/>
        <w:keepNext w:val="0"/>
        <w:keepLines w:val="0"/>
        <w:pageBreakBefore w:val="0"/>
        <w:widowControl/>
        <w:spacing w:before="0" w:beforeAutospacing="0" w:after="0" w:afterAutospacing="0" w:line="360" w:lineRule="auto"/>
        <w:ind w:left="0" w:firstLine="480"/>
        <w:jc w:val="both"/>
        <w:rPr>
          <w:rFonts w:hint="eastAsia" w:eastAsia="宋体"/>
          <w:color w:val="000000"/>
          <w:sz w:val="24"/>
          <w:szCs w:val="24"/>
          <w:lang w:eastAsia="zh-CN"/>
        </w:rPr>
      </w:pPr>
      <w:r>
        <w:rPr>
          <w:rFonts w:hint="eastAsia"/>
          <w:color w:val="000000"/>
          <w:sz w:val="24"/>
          <w:szCs w:val="24"/>
        </w:rPr>
        <w:t>6.采购需求：</w:t>
      </w:r>
      <w:r>
        <w:rPr>
          <w:rFonts w:hint="eastAsia"/>
          <w:color w:val="000000"/>
          <w:sz w:val="24"/>
          <w:szCs w:val="24"/>
          <w:lang w:eastAsia="zh-CN"/>
        </w:rPr>
        <w:t>2026年古溪镇交通强市四好农村路危桥改建项目</w:t>
      </w:r>
      <w:r>
        <w:rPr>
          <w:rFonts w:hint="eastAsia"/>
          <w:color w:val="000000"/>
          <w:sz w:val="24"/>
          <w:szCs w:val="24"/>
        </w:rPr>
        <w:t>施工，具体详见工程量清单</w:t>
      </w:r>
      <w:r>
        <w:rPr>
          <w:rFonts w:hint="eastAsia"/>
          <w:color w:val="000000"/>
          <w:sz w:val="24"/>
          <w:szCs w:val="24"/>
          <w:lang w:eastAsia="zh-CN"/>
        </w:rPr>
        <w:t>。</w:t>
      </w:r>
    </w:p>
    <w:p w14:paraId="1448087D">
      <w:pPr>
        <w:pStyle w:val="291"/>
        <w:keepNext w:val="0"/>
        <w:keepLines w:val="0"/>
        <w:pageBreakBefore w:val="0"/>
        <w:widowControl/>
        <w:spacing w:before="0" w:beforeAutospacing="0" w:after="0" w:afterAutospacing="0" w:line="360" w:lineRule="auto"/>
        <w:ind w:left="0" w:firstLine="480"/>
        <w:rPr>
          <w:rFonts w:hint="eastAsia"/>
          <w:color w:val="000000"/>
          <w:sz w:val="24"/>
          <w:szCs w:val="24"/>
        </w:rPr>
      </w:pPr>
      <w:r>
        <w:rPr>
          <w:rFonts w:hint="eastAsia"/>
          <w:color w:val="000000"/>
          <w:sz w:val="24"/>
          <w:szCs w:val="24"/>
        </w:rPr>
        <w:t>7.合同履行</w:t>
      </w:r>
      <w:r>
        <w:rPr>
          <w:rFonts w:hint="eastAsia"/>
          <w:color w:val="000000"/>
          <w:sz w:val="24"/>
          <w:szCs w:val="24"/>
          <w:highlight w:val="none"/>
        </w:rPr>
        <w:t>期限：</w:t>
      </w:r>
      <w:r>
        <w:rPr>
          <w:rFonts w:hint="eastAsia"/>
          <w:color w:val="000000"/>
          <w:sz w:val="24"/>
          <w:szCs w:val="24"/>
          <w:highlight w:val="none"/>
          <w:lang w:val="en-US" w:eastAsia="zh-CN"/>
        </w:rPr>
        <w:t>60日历天</w:t>
      </w:r>
    </w:p>
    <w:p w14:paraId="6AC3463D">
      <w:pPr>
        <w:pStyle w:val="291"/>
        <w:keepNext w:val="0"/>
        <w:keepLines w:val="0"/>
        <w:pageBreakBefore w:val="0"/>
        <w:widowControl/>
        <w:spacing w:before="0" w:beforeAutospacing="0" w:after="0" w:afterAutospacing="0" w:line="360" w:lineRule="auto"/>
        <w:ind w:left="0" w:firstLine="480"/>
        <w:jc w:val="both"/>
        <w:rPr>
          <w:rFonts w:hint="eastAsia" w:eastAsia="宋体"/>
          <w:color w:val="000000"/>
          <w:sz w:val="24"/>
          <w:szCs w:val="24"/>
          <w:lang w:eastAsia="zh-CN"/>
        </w:rPr>
      </w:pPr>
      <w:r>
        <w:rPr>
          <w:rFonts w:hint="eastAsia"/>
          <w:color w:val="000000"/>
          <w:sz w:val="24"/>
          <w:szCs w:val="24"/>
        </w:rPr>
        <w:t>8.本项目不接受联合体投标</w:t>
      </w:r>
      <w:r>
        <w:rPr>
          <w:rFonts w:hint="eastAsia"/>
          <w:color w:val="000000"/>
          <w:sz w:val="24"/>
          <w:szCs w:val="24"/>
          <w:lang w:eastAsia="zh-CN"/>
        </w:rPr>
        <w:t>。</w:t>
      </w:r>
    </w:p>
    <w:p w14:paraId="0A2EB69C">
      <w:pPr>
        <w:pStyle w:val="291"/>
        <w:keepNext w:val="0"/>
        <w:keepLines w:val="0"/>
        <w:pageBreakBefore w:val="0"/>
        <w:spacing w:before="0" w:beforeAutospacing="0" w:after="0" w:afterAutospacing="0" w:line="360" w:lineRule="auto"/>
        <w:ind w:left="0" w:firstLine="0"/>
        <w:jc w:val="both"/>
        <w:rPr>
          <w:color w:val="000000"/>
          <w:sz w:val="24"/>
          <w:szCs w:val="24"/>
        </w:rPr>
      </w:pPr>
      <w:r>
        <w:rPr>
          <w:rFonts w:hint="eastAsia"/>
          <w:b/>
          <w:bCs/>
          <w:color w:val="000000"/>
          <w:sz w:val="24"/>
          <w:szCs w:val="24"/>
        </w:rPr>
        <w:t>二、申请人的资格要求：</w:t>
      </w:r>
    </w:p>
    <w:p w14:paraId="72623EC4">
      <w:pPr>
        <w:pStyle w:val="291"/>
        <w:keepNext w:val="0"/>
        <w:keepLines w:val="0"/>
        <w:pageBreakBefore w:val="0"/>
        <w:widowControl/>
        <w:spacing w:before="0" w:beforeAutospacing="0" w:after="0" w:afterAutospacing="0" w:line="360" w:lineRule="auto"/>
        <w:ind w:left="0" w:firstLine="480"/>
        <w:jc w:val="both"/>
        <w:rPr>
          <w:rFonts w:hint="eastAsia"/>
          <w:color w:val="000000"/>
          <w:sz w:val="24"/>
          <w:szCs w:val="24"/>
        </w:rPr>
      </w:pPr>
      <w:r>
        <w:rPr>
          <w:rFonts w:hint="eastAsia"/>
          <w:color w:val="000000"/>
          <w:sz w:val="24"/>
          <w:szCs w:val="24"/>
        </w:rPr>
        <w:t>1.满足《中华人民共和国政府采购法》第二十二条规定：</w:t>
      </w:r>
    </w:p>
    <w:p w14:paraId="11912E3E">
      <w:pPr>
        <w:pStyle w:val="291"/>
        <w:keepNext w:val="0"/>
        <w:keepLines w:val="0"/>
        <w:pageBreakBefore w:val="0"/>
        <w:widowControl/>
        <w:spacing w:before="0" w:beforeAutospacing="0" w:after="0" w:afterAutospacing="0" w:line="360" w:lineRule="auto"/>
        <w:ind w:left="0" w:firstLine="480"/>
        <w:jc w:val="both"/>
        <w:rPr>
          <w:rFonts w:hint="eastAsia"/>
          <w:color w:val="000000"/>
          <w:sz w:val="24"/>
          <w:szCs w:val="24"/>
        </w:rPr>
      </w:pPr>
      <w:r>
        <w:rPr>
          <w:rFonts w:hint="eastAsia"/>
          <w:color w:val="000000"/>
          <w:sz w:val="24"/>
          <w:szCs w:val="24"/>
        </w:rPr>
        <w:t>基本资格条件的承诺(提供签字盖章完备的《供应商基本资格条件承诺书》)。</w:t>
      </w:r>
    </w:p>
    <w:p w14:paraId="67A55278">
      <w:pPr>
        <w:pStyle w:val="291"/>
        <w:keepNext w:val="0"/>
        <w:keepLines w:val="0"/>
        <w:pageBreakBefore w:val="0"/>
        <w:widowControl/>
        <w:spacing w:before="0" w:beforeAutospacing="0" w:after="0" w:afterAutospacing="0" w:line="360" w:lineRule="auto"/>
        <w:ind w:left="0" w:firstLine="480"/>
        <w:jc w:val="both"/>
        <w:rPr>
          <w:rFonts w:hint="eastAsia"/>
          <w:color w:val="000000"/>
          <w:sz w:val="24"/>
          <w:szCs w:val="24"/>
        </w:rPr>
      </w:pPr>
      <w:r>
        <w:rPr>
          <w:rFonts w:hint="eastAsia"/>
          <w:color w:val="000000"/>
          <w:sz w:val="24"/>
          <w:szCs w:val="24"/>
        </w:rPr>
        <w:t>2.落实政府采购政策需满足的资格要求：</w:t>
      </w:r>
    </w:p>
    <w:p w14:paraId="12590227">
      <w:pPr>
        <w:pStyle w:val="291"/>
        <w:keepNext w:val="0"/>
        <w:keepLines w:val="0"/>
        <w:pageBreakBefore w:val="0"/>
        <w:widowControl/>
        <w:spacing w:before="0" w:beforeAutospacing="0" w:after="0" w:afterAutospacing="0" w:line="360" w:lineRule="auto"/>
        <w:ind w:left="0" w:firstLine="480"/>
        <w:jc w:val="both"/>
        <w:rPr>
          <w:rFonts w:hint="eastAsia"/>
          <w:color w:val="000000"/>
          <w:sz w:val="24"/>
          <w:szCs w:val="24"/>
        </w:rPr>
      </w:pPr>
      <w:r>
        <w:rPr>
          <w:rFonts w:hint="eastAsia"/>
          <w:color w:val="000000"/>
          <w:sz w:val="24"/>
          <w:szCs w:val="24"/>
        </w:rPr>
        <w:t>本项目为专门面向中小企业的项目，供应商应为中小微企业、监狱企业、残疾人福利性单位。</w:t>
      </w:r>
    </w:p>
    <w:p w14:paraId="1FE8228B">
      <w:pPr>
        <w:pStyle w:val="291"/>
        <w:keepNext w:val="0"/>
        <w:keepLines w:val="0"/>
        <w:pageBreakBefore w:val="0"/>
        <w:widowControl/>
        <w:spacing w:before="0" w:beforeAutospacing="0" w:after="0" w:afterAutospacing="0" w:line="360" w:lineRule="auto"/>
        <w:ind w:left="0" w:firstLine="480"/>
        <w:jc w:val="both"/>
        <w:rPr>
          <w:color w:val="000000"/>
          <w:sz w:val="24"/>
          <w:szCs w:val="24"/>
        </w:rPr>
      </w:pPr>
      <w:r>
        <w:rPr>
          <w:rFonts w:hint="eastAsia"/>
          <w:color w:val="000000"/>
          <w:sz w:val="24"/>
          <w:szCs w:val="24"/>
        </w:rPr>
        <w:t>3.本项目的特定资格要求：</w:t>
      </w:r>
    </w:p>
    <w:p w14:paraId="4B97AB11">
      <w:pPr>
        <w:keepNext w:val="0"/>
        <w:keepLines w:val="0"/>
        <w:pageBreakBefore w:val="0"/>
        <w:widowControl/>
        <w:spacing w:line="360" w:lineRule="auto"/>
        <w:ind w:left="0" w:firstLine="480"/>
        <w:jc w:val="left"/>
        <w:rPr>
          <w:rFonts w:hint="eastAsia" w:ascii="宋体" w:hAnsi="宋体" w:cs="宋体"/>
          <w:color w:val="000000"/>
          <w:sz w:val="24"/>
          <w:szCs w:val="24"/>
          <w:lang w:val="zh-CN"/>
        </w:rPr>
      </w:pPr>
      <w:r>
        <w:rPr>
          <w:rFonts w:hint="eastAsia" w:ascii="宋体" w:hAnsi="宋体" w:cs="宋体"/>
          <w:color w:val="000000"/>
          <w:sz w:val="24"/>
          <w:szCs w:val="24"/>
          <w:lang w:val="zh-CN"/>
        </w:rPr>
        <w:t>（1）具备有效的营业执照，</w:t>
      </w:r>
      <w:r>
        <w:rPr>
          <w:rFonts w:hint="eastAsia" w:ascii="宋体" w:hAnsi="宋体" w:cs="宋体"/>
          <w:color w:val="000000"/>
          <w:sz w:val="24"/>
          <w:szCs w:val="24"/>
          <w:lang w:val="en-US" w:eastAsia="zh-CN"/>
        </w:rPr>
        <w:t>有</w:t>
      </w:r>
      <w:r>
        <w:rPr>
          <w:rFonts w:hint="eastAsia" w:ascii="宋体" w:hAnsi="宋体" w:cs="宋体"/>
          <w:color w:val="000000"/>
          <w:sz w:val="24"/>
          <w:szCs w:val="24"/>
          <w:lang w:val="zh-CN"/>
        </w:rPr>
        <w:t>独立承担民事责任的能力；</w:t>
      </w:r>
    </w:p>
    <w:p w14:paraId="3E99F2B1">
      <w:pPr>
        <w:keepNext w:val="0"/>
        <w:keepLines w:val="0"/>
        <w:pageBreakBefore w:val="0"/>
        <w:widowControl/>
        <w:spacing w:line="360" w:lineRule="auto"/>
        <w:ind w:left="0" w:firstLine="480"/>
        <w:jc w:val="left"/>
        <w:rPr>
          <w:rFonts w:hint="eastAsia" w:ascii="宋体" w:hAnsi="宋体" w:cs="宋体"/>
          <w:color w:val="000000"/>
          <w:sz w:val="24"/>
          <w:szCs w:val="24"/>
        </w:rPr>
      </w:pPr>
      <w:r>
        <w:rPr>
          <w:rFonts w:hint="eastAsia" w:ascii="宋体" w:hAnsi="宋体" w:cs="宋体"/>
          <w:color w:val="000000"/>
          <w:sz w:val="24"/>
          <w:szCs w:val="24"/>
          <w:lang w:val="zh-CN"/>
        </w:rPr>
        <w:t>（2）</w:t>
      </w:r>
      <w:r>
        <w:rPr>
          <w:rFonts w:hint="eastAsia" w:ascii="宋体" w:hAnsi="宋体" w:cs="宋体"/>
          <w:color w:val="000000"/>
          <w:sz w:val="24"/>
          <w:szCs w:val="24"/>
        </w:rPr>
        <w:t>具</w:t>
      </w:r>
      <w:r>
        <w:rPr>
          <w:rFonts w:hint="eastAsia" w:ascii="宋体" w:hAnsi="宋体" w:cs="宋体"/>
          <w:color w:val="000000"/>
          <w:sz w:val="24"/>
          <w:szCs w:val="24"/>
          <w:lang w:val="zh-CN"/>
        </w:rPr>
        <w:t>有【</w:t>
      </w:r>
      <w:r>
        <w:rPr>
          <w:rFonts w:hint="eastAsia" w:ascii="宋体" w:hAnsi="宋体" w:cs="宋体"/>
          <w:color w:val="000000"/>
          <w:sz w:val="24"/>
          <w:szCs w:val="24"/>
          <w:lang w:val="en-US" w:eastAsia="zh-CN"/>
        </w:rPr>
        <w:t>公路</w:t>
      </w:r>
      <w:r>
        <w:rPr>
          <w:rFonts w:hint="eastAsia" w:ascii="宋体" w:hAnsi="宋体" w:cs="宋体"/>
          <w:color w:val="000000"/>
          <w:sz w:val="24"/>
          <w:szCs w:val="24"/>
        </w:rPr>
        <w:t>工程</w:t>
      </w:r>
      <w:r>
        <w:rPr>
          <w:rFonts w:hint="eastAsia" w:ascii="宋体" w:hAnsi="宋体" w:cs="宋体"/>
          <w:color w:val="000000"/>
          <w:sz w:val="24"/>
          <w:szCs w:val="24"/>
          <w:lang w:val="en-US" w:eastAsia="zh-CN"/>
        </w:rPr>
        <w:t>施工</w:t>
      </w:r>
      <w:r>
        <w:rPr>
          <w:rFonts w:hint="eastAsia" w:ascii="宋体" w:hAnsi="宋体" w:cs="宋体"/>
          <w:color w:val="000000"/>
          <w:sz w:val="24"/>
          <w:szCs w:val="24"/>
        </w:rPr>
        <w:t>总承包</w:t>
      </w:r>
      <w:r>
        <w:rPr>
          <w:rFonts w:hint="eastAsia" w:ascii="宋体" w:hAnsi="宋体" w:cs="宋体"/>
          <w:color w:val="000000"/>
          <w:sz w:val="24"/>
          <w:szCs w:val="24"/>
          <w:lang w:val="en-US" w:eastAsia="zh-CN"/>
        </w:rPr>
        <w:t>三</w:t>
      </w:r>
      <w:r>
        <w:rPr>
          <w:rFonts w:hint="eastAsia" w:ascii="宋体" w:hAnsi="宋体" w:cs="宋体"/>
          <w:color w:val="000000"/>
          <w:sz w:val="24"/>
          <w:szCs w:val="24"/>
        </w:rPr>
        <w:t>级</w:t>
      </w:r>
      <w:r>
        <w:rPr>
          <w:rFonts w:hint="eastAsia" w:ascii="宋体" w:hAnsi="宋体" w:cs="宋体"/>
          <w:color w:val="000000"/>
          <w:sz w:val="24"/>
          <w:szCs w:val="24"/>
          <w:lang w:val="zh-CN"/>
        </w:rPr>
        <w:t>】</w:t>
      </w:r>
      <w:r>
        <w:rPr>
          <w:rFonts w:hint="eastAsia" w:ascii="宋体" w:hAnsi="宋体" w:cs="宋体"/>
          <w:color w:val="000000"/>
          <w:sz w:val="24"/>
          <w:szCs w:val="24"/>
        </w:rPr>
        <w:t>（含）以上资质，并具有省级及以上建设行政主管部门</w:t>
      </w:r>
      <w:r>
        <w:rPr>
          <w:rFonts w:hint="eastAsia" w:ascii="宋体" w:hAnsi="宋体" w:cs="宋体"/>
          <w:color w:val="000000"/>
          <w:sz w:val="24"/>
          <w:szCs w:val="24"/>
          <w:lang w:val="en-US" w:eastAsia="zh-CN"/>
        </w:rPr>
        <w:t>核发的</w:t>
      </w:r>
      <w:r>
        <w:rPr>
          <w:rFonts w:hint="eastAsia" w:ascii="宋体" w:hAnsi="宋体" w:cs="宋体"/>
          <w:color w:val="000000"/>
          <w:sz w:val="24"/>
          <w:szCs w:val="24"/>
        </w:rPr>
        <w:t>有效的安全生产许可证</w:t>
      </w:r>
      <w:r>
        <w:rPr>
          <w:rFonts w:hint="eastAsia" w:ascii="宋体" w:hAnsi="宋体" w:cs="宋体"/>
          <w:color w:val="000000"/>
          <w:sz w:val="24"/>
          <w:szCs w:val="24"/>
          <w:lang w:val="zh-CN"/>
        </w:rPr>
        <w:t>；</w:t>
      </w:r>
    </w:p>
    <w:p w14:paraId="51FA948E">
      <w:pPr>
        <w:pStyle w:val="291"/>
        <w:keepNext w:val="0"/>
        <w:keepLines w:val="0"/>
        <w:pageBreakBefore w:val="0"/>
        <w:widowControl/>
        <w:tabs>
          <w:tab w:val="left" w:pos="1368"/>
          <w:tab w:val="left" w:pos="1604"/>
          <w:tab w:val="left" w:pos="5508"/>
        </w:tabs>
        <w:spacing w:before="0" w:beforeAutospacing="0" w:after="0" w:afterAutospacing="0" w:line="360" w:lineRule="auto"/>
        <w:ind w:left="0" w:firstLine="480"/>
        <w:rPr>
          <w:rFonts w:hint="eastAsia"/>
          <w:color w:val="000000"/>
          <w:sz w:val="24"/>
          <w:szCs w:val="24"/>
        </w:rPr>
      </w:pPr>
      <w:r>
        <w:rPr>
          <w:rFonts w:hint="eastAsia"/>
          <w:color w:val="000000"/>
          <w:sz w:val="24"/>
          <w:szCs w:val="24"/>
          <w:lang w:val="zh-CN"/>
        </w:rPr>
        <w:t>（</w:t>
      </w:r>
      <w:r>
        <w:rPr>
          <w:rFonts w:hint="eastAsia"/>
          <w:color w:val="000000"/>
          <w:sz w:val="24"/>
          <w:szCs w:val="24"/>
        </w:rPr>
        <w:t>3</w:t>
      </w:r>
      <w:r>
        <w:rPr>
          <w:rFonts w:hint="eastAsia"/>
          <w:color w:val="000000"/>
          <w:sz w:val="24"/>
          <w:szCs w:val="24"/>
          <w:lang w:val="zh-CN"/>
        </w:rPr>
        <w:t>）</w:t>
      </w:r>
      <w:r>
        <w:rPr>
          <w:rFonts w:hint="eastAsia"/>
          <w:color w:val="000000"/>
          <w:sz w:val="24"/>
          <w:szCs w:val="24"/>
        </w:rPr>
        <w:t>拟派的项目</w:t>
      </w:r>
      <w:r>
        <w:rPr>
          <w:rFonts w:hint="eastAsia"/>
          <w:color w:val="000000"/>
          <w:sz w:val="24"/>
          <w:szCs w:val="24"/>
          <w:lang w:val="en-US" w:eastAsia="zh-CN"/>
        </w:rPr>
        <w:t>负责人</w:t>
      </w:r>
      <w:r>
        <w:rPr>
          <w:rFonts w:hint="eastAsia"/>
          <w:color w:val="000000"/>
          <w:sz w:val="24"/>
          <w:szCs w:val="24"/>
        </w:rPr>
        <w:t>必须具备【</w:t>
      </w:r>
      <w:r>
        <w:rPr>
          <w:rFonts w:hint="eastAsia"/>
          <w:color w:val="000000"/>
          <w:sz w:val="24"/>
          <w:szCs w:val="24"/>
          <w:lang w:val="en-US" w:eastAsia="zh-CN"/>
        </w:rPr>
        <w:t>公路工程</w:t>
      </w:r>
      <w:r>
        <w:rPr>
          <w:rFonts w:hint="eastAsia"/>
          <w:color w:val="000000"/>
          <w:sz w:val="24"/>
          <w:szCs w:val="24"/>
          <w:lang w:eastAsia="zh-CN"/>
        </w:rPr>
        <w:t>二</w:t>
      </w:r>
      <w:r>
        <w:rPr>
          <w:rFonts w:hint="eastAsia"/>
          <w:color w:val="000000"/>
          <w:sz w:val="24"/>
          <w:szCs w:val="24"/>
        </w:rPr>
        <w:t>级】（含）以上注册建造师资格，</w:t>
      </w:r>
      <w:r>
        <w:rPr>
          <w:rFonts w:hint="eastAsia"/>
          <w:color w:val="000000"/>
          <w:sz w:val="24"/>
          <w:szCs w:val="24"/>
          <w:lang w:val="en-US" w:eastAsia="zh-CN"/>
        </w:rPr>
        <w:t>且</w:t>
      </w:r>
      <w:r>
        <w:rPr>
          <w:rFonts w:hint="eastAsia"/>
          <w:color w:val="000000"/>
          <w:sz w:val="24"/>
          <w:szCs w:val="24"/>
        </w:rPr>
        <w:t>具有省级交通运输主管部门核发的有效的《公路水运工程施工单位主要负责人、项目负责人和专职安全生产管理人员安全生产考核合格证书》（B类证）</w:t>
      </w:r>
      <w:r>
        <w:rPr>
          <w:rFonts w:hint="eastAsia"/>
          <w:color w:val="000000"/>
          <w:sz w:val="24"/>
          <w:szCs w:val="24"/>
          <w:lang w:val="zh-CN"/>
        </w:rPr>
        <w:t>；</w:t>
      </w:r>
    </w:p>
    <w:p w14:paraId="03FB20EB">
      <w:pPr>
        <w:keepNext w:val="0"/>
        <w:keepLines w:val="0"/>
        <w:pageBreakBefore w:val="0"/>
        <w:widowControl/>
        <w:spacing w:line="360" w:lineRule="auto"/>
        <w:ind w:left="0" w:firstLine="480"/>
        <w:jc w:val="left"/>
        <w:rPr>
          <w:rFonts w:hint="eastAsia" w:ascii="宋体" w:hAnsi="宋体" w:cs="宋体"/>
          <w:color w:val="000000"/>
          <w:sz w:val="24"/>
          <w:szCs w:val="24"/>
        </w:rPr>
      </w:pPr>
      <w:r>
        <w:rPr>
          <w:rFonts w:hint="eastAsia" w:ascii="宋体" w:hAnsi="宋体" w:cs="宋体"/>
          <w:color w:val="000000"/>
          <w:sz w:val="24"/>
          <w:szCs w:val="24"/>
          <w:lang w:val="zh-CN"/>
        </w:rPr>
        <w:t>（</w:t>
      </w:r>
      <w:r>
        <w:rPr>
          <w:rFonts w:hint="eastAsia" w:ascii="宋体" w:hAnsi="宋体" w:cs="宋体"/>
          <w:color w:val="000000"/>
          <w:sz w:val="24"/>
          <w:szCs w:val="24"/>
        </w:rPr>
        <w:t>4</w:t>
      </w:r>
      <w:r>
        <w:rPr>
          <w:rFonts w:hint="eastAsia" w:ascii="宋体" w:hAnsi="宋体" w:cs="宋体"/>
          <w:color w:val="000000"/>
          <w:sz w:val="24"/>
          <w:szCs w:val="24"/>
          <w:lang w:val="zh-CN"/>
        </w:rPr>
        <w:t>）</w:t>
      </w:r>
      <w:r>
        <w:rPr>
          <w:rFonts w:hint="eastAsia" w:ascii="宋体" w:hAnsi="宋体" w:cs="宋体"/>
          <w:color w:val="000000"/>
          <w:sz w:val="24"/>
          <w:szCs w:val="24"/>
        </w:rPr>
        <w:t>项目负责人无在建工程要求：</w:t>
      </w:r>
    </w:p>
    <w:p w14:paraId="0914FC9B">
      <w:pPr>
        <w:keepNext w:val="0"/>
        <w:keepLines w:val="0"/>
        <w:pageBreakBefore w:val="0"/>
        <w:widowControl/>
        <w:spacing w:line="360" w:lineRule="auto"/>
        <w:ind w:left="0" w:firstLine="480"/>
        <w:jc w:val="left"/>
        <w:rPr>
          <w:rFonts w:hint="eastAsia" w:ascii="宋体" w:hAnsi="宋体" w:cs="宋体"/>
          <w:color w:val="000000"/>
          <w:sz w:val="24"/>
          <w:szCs w:val="24"/>
        </w:rPr>
      </w:pPr>
      <w:r>
        <w:rPr>
          <w:rFonts w:hint="eastAsia" w:ascii="宋体" w:hAnsi="宋体" w:cs="宋体"/>
          <w:color w:val="000000"/>
          <w:sz w:val="24"/>
          <w:szCs w:val="24"/>
        </w:rPr>
        <w:t>①项目负责人是非变更后无在建工程。</w:t>
      </w:r>
    </w:p>
    <w:p w14:paraId="79CE22EC">
      <w:pPr>
        <w:keepNext w:val="0"/>
        <w:keepLines w:val="0"/>
        <w:pageBreakBefore w:val="0"/>
        <w:widowControl/>
        <w:spacing w:line="360" w:lineRule="auto"/>
        <w:ind w:left="0" w:firstLine="480"/>
        <w:jc w:val="left"/>
        <w:rPr>
          <w:rFonts w:hint="eastAsia" w:ascii="宋体" w:hAnsi="宋体" w:cs="宋体"/>
          <w:color w:val="000000"/>
          <w:sz w:val="24"/>
          <w:szCs w:val="24"/>
        </w:rPr>
      </w:pPr>
      <w:r>
        <w:rPr>
          <w:rFonts w:hint="eastAsia" w:ascii="宋体" w:hAnsi="宋体" w:cs="宋体"/>
          <w:color w:val="000000"/>
          <w:sz w:val="24"/>
          <w:szCs w:val="24"/>
        </w:rPr>
        <w:t>②项目负责人是变更后无在建工程（必须是原合同工期已满且自变更备案之日起已满6个月），或因非承包方原因致使工程项目停工或因故不能按期开工、且已办理了项目负责人解锁手续。</w:t>
      </w:r>
    </w:p>
    <w:p w14:paraId="69EDC061">
      <w:pPr>
        <w:keepNext w:val="0"/>
        <w:keepLines w:val="0"/>
        <w:pageBreakBefore w:val="0"/>
        <w:widowControl/>
        <w:spacing w:line="360" w:lineRule="auto"/>
        <w:ind w:left="0" w:firstLine="480"/>
        <w:jc w:val="left"/>
        <w:rPr>
          <w:rFonts w:hint="eastAsia" w:ascii="宋体" w:hAnsi="宋体" w:cs="宋体"/>
          <w:color w:val="000000"/>
          <w:sz w:val="24"/>
          <w:szCs w:val="24"/>
        </w:rPr>
      </w:pPr>
      <w:r>
        <w:rPr>
          <w:rFonts w:hint="eastAsia" w:ascii="宋体" w:hAnsi="宋体" w:cs="宋体"/>
          <w:color w:val="000000"/>
          <w:sz w:val="24"/>
          <w:szCs w:val="24"/>
          <w:lang w:val="zh-CN"/>
        </w:rPr>
        <w:t>（</w:t>
      </w:r>
      <w:r>
        <w:rPr>
          <w:rFonts w:hint="eastAsia" w:ascii="宋体" w:hAnsi="宋体" w:cs="宋体"/>
          <w:color w:val="000000"/>
          <w:sz w:val="24"/>
          <w:szCs w:val="24"/>
        </w:rPr>
        <w:t>5</w:t>
      </w:r>
      <w:r>
        <w:rPr>
          <w:rFonts w:hint="eastAsia" w:ascii="宋体" w:hAnsi="宋体" w:cs="宋体"/>
          <w:color w:val="000000"/>
          <w:sz w:val="24"/>
          <w:szCs w:val="24"/>
          <w:lang w:val="zh-CN"/>
        </w:rPr>
        <w:t>）</w:t>
      </w:r>
      <w:r>
        <w:rPr>
          <w:rFonts w:hint="eastAsia" w:ascii="宋体" w:hAnsi="宋体" w:cs="宋体"/>
          <w:color w:val="000000"/>
          <w:sz w:val="24"/>
          <w:szCs w:val="24"/>
        </w:rPr>
        <w:t>提供本项目拟任项目负责人供应商为其缴纳的（</w:t>
      </w:r>
      <w:r>
        <w:rPr>
          <w:rFonts w:hint="eastAsia"/>
          <w:color w:val="000000"/>
          <w:sz w:val="24"/>
          <w:szCs w:val="24"/>
        </w:rPr>
        <w:t>提交响应文件截止</w:t>
      </w:r>
      <w:r>
        <w:rPr>
          <w:rFonts w:hint="eastAsia"/>
          <w:color w:val="000000"/>
          <w:sz w:val="24"/>
          <w:szCs w:val="24"/>
          <w:lang w:val="en-US" w:eastAsia="zh-CN"/>
        </w:rPr>
        <w:t>时间近三个月任意一个月</w:t>
      </w:r>
      <w:r>
        <w:rPr>
          <w:rFonts w:hint="eastAsia" w:ascii="宋体" w:hAnsi="宋体" w:cs="宋体"/>
          <w:color w:val="000000"/>
          <w:sz w:val="24"/>
          <w:szCs w:val="24"/>
        </w:rPr>
        <w:t>）的养老保险证明材料（须明确缴费月份、个人姓名、缴费单位且加盖社保中心章或社保中心参保缴费证明电子专用章）；</w:t>
      </w:r>
    </w:p>
    <w:p w14:paraId="4FB6814D">
      <w:pPr>
        <w:keepNext w:val="0"/>
        <w:keepLines w:val="0"/>
        <w:pageBreakBefore w:val="0"/>
        <w:widowControl/>
        <w:spacing w:line="360" w:lineRule="auto"/>
        <w:ind w:left="0" w:firstLine="480"/>
        <w:jc w:val="left"/>
        <w:rPr>
          <w:rFonts w:hint="eastAsia" w:ascii="宋体" w:hAnsi="宋体" w:cs="宋体"/>
          <w:color w:val="000000"/>
          <w:sz w:val="24"/>
          <w:szCs w:val="24"/>
        </w:rPr>
      </w:pPr>
      <w:r>
        <w:rPr>
          <w:rFonts w:hint="eastAsia" w:ascii="宋体" w:hAnsi="宋体" w:cs="宋体"/>
          <w:color w:val="000000"/>
          <w:sz w:val="24"/>
          <w:szCs w:val="24"/>
          <w:lang w:val="zh-CN"/>
        </w:rPr>
        <w:t>（</w:t>
      </w:r>
      <w:r>
        <w:rPr>
          <w:rFonts w:hint="eastAsia" w:ascii="宋体" w:hAnsi="宋体" w:cs="宋体"/>
          <w:color w:val="000000"/>
          <w:sz w:val="24"/>
          <w:szCs w:val="24"/>
        </w:rPr>
        <w:t>6</w:t>
      </w:r>
      <w:r>
        <w:rPr>
          <w:rFonts w:hint="eastAsia" w:ascii="宋体" w:hAnsi="宋体" w:cs="宋体"/>
          <w:color w:val="000000"/>
          <w:sz w:val="24"/>
          <w:szCs w:val="24"/>
          <w:lang w:val="zh-CN"/>
        </w:rPr>
        <w:t>）</w:t>
      </w:r>
      <w:r>
        <w:rPr>
          <w:rFonts w:hint="eastAsia" w:ascii="宋体" w:hAnsi="宋体" w:cs="宋体"/>
          <w:color w:val="000000"/>
          <w:sz w:val="24"/>
          <w:szCs w:val="24"/>
        </w:rPr>
        <w:t>项目负责人不得同时在两个或者两个以上单位受聘或者执业，包含但不仅限于以下情形：</w:t>
      </w:r>
    </w:p>
    <w:p w14:paraId="33B1CF8D">
      <w:pPr>
        <w:keepNext w:val="0"/>
        <w:keepLines w:val="0"/>
        <w:pageBreakBefore w:val="0"/>
        <w:widowControl/>
        <w:spacing w:line="360" w:lineRule="auto"/>
        <w:ind w:left="0" w:firstLine="480"/>
        <w:jc w:val="left"/>
        <w:rPr>
          <w:rFonts w:hint="eastAsia" w:ascii="宋体" w:hAnsi="宋体" w:cs="宋体"/>
          <w:color w:val="000000"/>
          <w:sz w:val="24"/>
          <w:szCs w:val="24"/>
        </w:rPr>
      </w:pPr>
      <w:r>
        <w:rPr>
          <w:rFonts w:hint="eastAsia" w:ascii="宋体" w:hAnsi="宋体" w:cs="宋体"/>
          <w:color w:val="000000"/>
          <w:sz w:val="24"/>
          <w:szCs w:val="24"/>
        </w:rPr>
        <w:t>①同时在两个及以上单位签订劳动合同或交纳社会保险；</w:t>
      </w:r>
    </w:p>
    <w:p w14:paraId="7C196F3D">
      <w:pPr>
        <w:keepNext w:val="0"/>
        <w:keepLines w:val="0"/>
        <w:pageBreakBefore w:val="0"/>
        <w:widowControl/>
        <w:spacing w:line="360" w:lineRule="auto"/>
        <w:ind w:left="0" w:firstLine="480"/>
        <w:jc w:val="left"/>
        <w:rPr>
          <w:rFonts w:hint="eastAsia" w:ascii="宋体" w:hAnsi="宋体" w:cs="宋体"/>
          <w:color w:val="000000"/>
          <w:sz w:val="24"/>
          <w:szCs w:val="24"/>
        </w:rPr>
      </w:pPr>
      <w:r>
        <w:rPr>
          <w:rFonts w:hint="eastAsia" w:ascii="宋体" w:hAnsi="宋体" w:cs="宋体"/>
          <w:color w:val="000000"/>
          <w:sz w:val="24"/>
          <w:szCs w:val="24"/>
        </w:rPr>
        <w:t>②将本人执（职）业资格证书同时注册在两个及以上单位。</w:t>
      </w:r>
    </w:p>
    <w:p w14:paraId="46A8EA74">
      <w:pPr>
        <w:keepNext w:val="0"/>
        <w:keepLines w:val="0"/>
        <w:pageBreakBefore w:val="0"/>
        <w:widowControl/>
        <w:spacing w:line="360" w:lineRule="auto"/>
        <w:ind w:left="0" w:firstLine="480"/>
        <w:jc w:val="left"/>
        <w:rPr>
          <w:rFonts w:hint="eastAsia" w:ascii="宋体" w:hAnsi="宋体" w:cs="宋体"/>
          <w:color w:val="000000"/>
          <w:sz w:val="24"/>
          <w:szCs w:val="24"/>
        </w:rPr>
      </w:pPr>
      <w:r>
        <w:rPr>
          <w:rFonts w:hint="eastAsia" w:ascii="宋体" w:hAnsi="宋体" w:cs="宋体"/>
          <w:color w:val="000000"/>
          <w:sz w:val="24"/>
          <w:szCs w:val="24"/>
        </w:rPr>
        <w:t>③在其他单位</w:t>
      </w:r>
      <w:r>
        <w:rPr>
          <w:rFonts w:hint="eastAsia" w:ascii="宋体" w:hAnsi="宋体" w:cs="宋体"/>
          <w:color w:val="000000"/>
          <w:sz w:val="24"/>
          <w:szCs w:val="24"/>
          <w:lang w:val="en-US" w:eastAsia="zh-CN"/>
        </w:rPr>
        <w:t>担任法定代表人</w:t>
      </w:r>
      <w:r>
        <w:rPr>
          <w:rFonts w:hint="eastAsia" w:ascii="宋体" w:hAnsi="宋体" w:cs="宋体"/>
          <w:color w:val="000000"/>
          <w:sz w:val="24"/>
          <w:szCs w:val="24"/>
        </w:rPr>
        <w:t>。</w:t>
      </w:r>
    </w:p>
    <w:p w14:paraId="3A37509B">
      <w:pPr>
        <w:keepNext w:val="0"/>
        <w:keepLines w:val="0"/>
        <w:pageBreakBefore w:val="0"/>
        <w:widowControl/>
        <w:spacing w:line="360" w:lineRule="auto"/>
        <w:ind w:left="0" w:firstLine="480"/>
        <w:jc w:val="left"/>
        <w:rPr>
          <w:rFonts w:hint="eastAsia" w:ascii="宋体" w:hAnsi="宋体" w:cs="宋体"/>
          <w:color w:val="000000"/>
          <w:sz w:val="24"/>
          <w:szCs w:val="24"/>
        </w:rPr>
      </w:pPr>
      <w:r>
        <w:rPr>
          <w:rFonts w:hint="eastAsia" w:ascii="宋体" w:hAnsi="宋体" w:cs="宋体"/>
          <w:color w:val="000000"/>
          <w:sz w:val="24"/>
          <w:szCs w:val="24"/>
        </w:rPr>
        <w:t>注：此项①、②情形评审方式为承诺制，如查实供应商在《诚信投标承诺书》中虚假承诺，按弄虚作假处理。</w:t>
      </w:r>
    </w:p>
    <w:p w14:paraId="24F10A7C">
      <w:pPr>
        <w:keepNext w:val="0"/>
        <w:keepLines w:val="0"/>
        <w:pageBreakBefore w:val="0"/>
        <w:widowControl/>
        <w:spacing w:line="360" w:lineRule="auto"/>
        <w:ind w:left="0" w:firstLine="480"/>
        <w:jc w:val="left"/>
        <w:rPr>
          <w:rFonts w:hint="eastAsia" w:ascii="宋体" w:hAnsi="宋体" w:cs="宋体"/>
          <w:color w:val="000000"/>
          <w:sz w:val="24"/>
          <w:szCs w:val="24"/>
        </w:rPr>
      </w:pP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7</w:t>
      </w:r>
      <w:r>
        <w:rPr>
          <w:rFonts w:hint="eastAsia" w:ascii="宋体" w:hAnsi="宋体" w:cs="宋体"/>
          <w:color w:val="000000"/>
          <w:sz w:val="24"/>
          <w:szCs w:val="24"/>
          <w:lang w:eastAsia="zh-CN"/>
        </w:rPr>
        <w:t>）</w:t>
      </w:r>
      <w:r>
        <w:rPr>
          <w:rFonts w:hint="eastAsia" w:ascii="宋体" w:hAnsi="宋体" w:cs="宋体"/>
          <w:color w:val="000000"/>
          <w:sz w:val="24"/>
          <w:szCs w:val="24"/>
        </w:rPr>
        <w:t>存在下列情形的供应商，不得参加本项目采购活动：</w:t>
      </w:r>
    </w:p>
    <w:p w14:paraId="79929653">
      <w:pPr>
        <w:keepNext w:val="0"/>
        <w:keepLines w:val="0"/>
        <w:pageBreakBefore w:val="0"/>
        <w:widowControl/>
        <w:spacing w:line="360" w:lineRule="auto"/>
        <w:ind w:left="0" w:firstLine="480"/>
        <w:jc w:val="left"/>
        <w:rPr>
          <w:rFonts w:hint="eastAsia" w:ascii="宋体" w:hAnsi="宋体" w:cs="宋体"/>
          <w:color w:val="000000"/>
          <w:sz w:val="24"/>
          <w:szCs w:val="24"/>
        </w:rPr>
      </w:pPr>
      <w:r>
        <w:rPr>
          <w:rFonts w:hint="eastAsia" w:ascii="宋体" w:hAnsi="宋体" w:cs="宋体"/>
          <w:color w:val="000000"/>
          <w:sz w:val="24"/>
          <w:szCs w:val="24"/>
        </w:rPr>
        <w:t>(1) 因违约失信等问题正处于调查期间的供应商；</w:t>
      </w:r>
    </w:p>
    <w:p w14:paraId="585F085B">
      <w:pPr>
        <w:keepNext w:val="0"/>
        <w:keepLines w:val="0"/>
        <w:pageBreakBefore w:val="0"/>
        <w:widowControl/>
        <w:spacing w:line="360" w:lineRule="auto"/>
        <w:ind w:left="0" w:firstLine="480"/>
        <w:jc w:val="left"/>
        <w:rPr>
          <w:rFonts w:hint="eastAsia" w:ascii="宋体" w:hAnsi="宋体" w:cs="宋体"/>
          <w:color w:val="000000"/>
          <w:sz w:val="24"/>
          <w:szCs w:val="24"/>
        </w:rPr>
      </w:pPr>
      <w:r>
        <w:rPr>
          <w:rFonts w:hint="eastAsia" w:ascii="宋体" w:hAnsi="宋体" w:cs="宋体"/>
          <w:color w:val="000000"/>
          <w:sz w:val="24"/>
          <w:szCs w:val="24"/>
        </w:rPr>
        <w:t>(2) 单位负责人为同一人或者存在直接控股、管理关系的不同供应商，不得同时参加本项目的投标活动；</w:t>
      </w:r>
    </w:p>
    <w:p w14:paraId="2F029F8D">
      <w:pPr>
        <w:keepNext w:val="0"/>
        <w:keepLines w:val="0"/>
        <w:pageBreakBefore w:val="0"/>
        <w:widowControl/>
        <w:spacing w:line="360" w:lineRule="auto"/>
        <w:ind w:left="0" w:firstLine="480"/>
        <w:jc w:val="left"/>
        <w:rPr>
          <w:rFonts w:hint="eastAsia" w:ascii="宋体" w:hAnsi="宋体" w:cs="宋体"/>
          <w:color w:val="000000"/>
          <w:sz w:val="24"/>
          <w:szCs w:val="24"/>
          <w:lang w:eastAsia="zh-CN"/>
        </w:rPr>
      </w:pPr>
      <w:r>
        <w:rPr>
          <w:rFonts w:hint="eastAsia" w:ascii="宋体" w:hAnsi="宋体" w:cs="宋体"/>
          <w:color w:val="000000"/>
          <w:sz w:val="24"/>
          <w:szCs w:val="24"/>
        </w:rPr>
        <w:t>(3) 被“信用中国”网站（www.creditchina.gov.cn）、“中国政府采购网”网站（www.ccgp.gov.cn）列入失信被执行人、重大税收违法案件当事人名单、政府采购严重失信行为记录名单。（以查询结果网页打印的形式提供证明）</w:t>
      </w:r>
      <w:r>
        <w:rPr>
          <w:rFonts w:hint="eastAsia" w:ascii="宋体" w:hAnsi="宋体" w:cs="宋体"/>
          <w:color w:val="000000"/>
          <w:sz w:val="24"/>
          <w:szCs w:val="24"/>
          <w:lang w:eastAsia="zh-CN"/>
        </w:rPr>
        <w:t>。</w:t>
      </w:r>
    </w:p>
    <w:p w14:paraId="7C2D680A">
      <w:pPr>
        <w:pStyle w:val="291"/>
        <w:keepNext w:val="0"/>
        <w:keepLines w:val="0"/>
        <w:pageBreakBefore w:val="0"/>
        <w:spacing w:before="0" w:beforeAutospacing="0" w:after="0" w:afterAutospacing="0" w:line="360" w:lineRule="auto"/>
        <w:ind w:left="0" w:firstLine="0"/>
        <w:jc w:val="both"/>
        <w:rPr>
          <w:color w:val="000000"/>
          <w:sz w:val="24"/>
          <w:szCs w:val="24"/>
        </w:rPr>
      </w:pPr>
      <w:r>
        <w:rPr>
          <w:rFonts w:hint="eastAsia"/>
          <w:b/>
          <w:bCs/>
          <w:color w:val="000000"/>
          <w:sz w:val="24"/>
          <w:szCs w:val="24"/>
        </w:rPr>
        <w:t>三、获取竞争性磋商文件</w:t>
      </w:r>
    </w:p>
    <w:p w14:paraId="693153EA">
      <w:pPr>
        <w:keepNext w:val="0"/>
        <w:keepLines w:val="0"/>
        <w:pageBreakBefore w:val="0"/>
        <w:spacing w:line="360" w:lineRule="auto"/>
        <w:ind w:left="0" w:firstLine="480"/>
        <w:rPr>
          <w:rFonts w:hint="eastAsia" w:ascii="宋体" w:hAnsi="宋体" w:cs="宋体"/>
          <w:color w:val="000000"/>
          <w:sz w:val="24"/>
          <w:szCs w:val="24"/>
        </w:rPr>
      </w:pPr>
      <w:r>
        <w:rPr>
          <w:rFonts w:hint="eastAsia" w:ascii="宋体" w:hAnsi="宋体" w:cs="宋体"/>
          <w:color w:val="000000"/>
          <w:sz w:val="24"/>
          <w:szCs w:val="24"/>
        </w:rPr>
        <w:t>1.时间：自磋商文件公告发布之日起5个工作日。</w:t>
      </w:r>
    </w:p>
    <w:p w14:paraId="4FB83A3E">
      <w:pPr>
        <w:keepNext w:val="0"/>
        <w:keepLines w:val="0"/>
        <w:pageBreakBefore w:val="0"/>
        <w:spacing w:line="360" w:lineRule="auto"/>
        <w:ind w:left="0" w:firstLine="480"/>
        <w:rPr>
          <w:rFonts w:hint="eastAsia" w:ascii="宋体" w:hAnsi="宋体" w:cs="宋体"/>
          <w:color w:val="000000"/>
          <w:sz w:val="24"/>
          <w:szCs w:val="24"/>
        </w:rPr>
      </w:pPr>
      <w:r>
        <w:rPr>
          <w:rFonts w:hint="eastAsia" w:ascii="宋体" w:hAnsi="宋体" w:cs="宋体"/>
          <w:color w:val="000000"/>
          <w:sz w:val="24"/>
          <w:szCs w:val="24"/>
        </w:rPr>
        <w:t>2.地点：</w:t>
      </w:r>
      <w:r>
        <w:rPr>
          <w:rFonts w:hint="eastAsia" w:ascii="宋体" w:hAnsi="宋体" w:cs="宋体"/>
          <w:color w:val="000000"/>
          <w:sz w:val="24"/>
          <w:szCs w:val="24"/>
          <w:lang w:val="en-US" w:eastAsia="zh-CN"/>
        </w:rPr>
        <w:t>“苏采云”政府采购一体化平台</w:t>
      </w:r>
      <w:r>
        <w:rPr>
          <w:rFonts w:hint="eastAsia" w:ascii="宋体" w:hAnsi="宋体" w:cs="宋体"/>
          <w:color w:val="000000"/>
          <w:sz w:val="24"/>
          <w:szCs w:val="24"/>
        </w:rPr>
        <w:t>。</w:t>
      </w:r>
    </w:p>
    <w:p w14:paraId="44460F4F">
      <w:pPr>
        <w:keepNext w:val="0"/>
        <w:keepLines w:val="0"/>
        <w:pageBreakBefore w:val="0"/>
        <w:spacing w:line="360" w:lineRule="auto"/>
        <w:ind w:left="0" w:firstLine="480"/>
        <w:rPr>
          <w:rFonts w:hint="eastAsia" w:ascii="宋体" w:hAnsi="宋体" w:cs="宋体"/>
          <w:color w:val="000000"/>
          <w:sz w:val="24"/>
          <w:szCs w:val="24"/>
        </w:rPr>
      </w:pPr>
      <w:r>
        <w:rPr>
          <w:rFonts w:hint="eastAsia" w:ascii="宋体" w:hAnsi="宋体" w:cs="宋体"/>
          <w:color w:val="000000"/>
          <w:sz w:val="24"/>
          <w:szCs w:val="24"/>
        </w:rPr>
        <w:t>3.方式：登录江苏政府采购“苏采云”系统免费下载。</w:t>
      </w:r>
    </w:p>
    <w:p w14:paraId="4EC8EDC0">
      <w:pPr>
        <w:pStyle w:val="291"/>
        <w:keepNext w:val="0"/>
        <w:keepLines w:val="0"/>
        <w:pageBreakBefore w:val="0"/>
        <w:spacing w:before="0" w:beforeAutospacing="0" w:after="0" w:afterAutospacing="0" w:line="360" w:lineRule="auto"/>
        <w:ind w:left="0" w:firstLine="480"/>
        <w:jc w:val="both"/>
        <w:rPr>
          <w:rFonts w:hint="eastAsia" w:ascii="宋体" w:hAnsi="宋体" w:cs="宋体"/>
          <w:color w:val="000000"/>
          <w:sz w:val="24"/>
          <w:szCs w:val="24"/>
        </w:rPr>
      </w:pPr>
      <w:r>
        <w:rPr>
          <w:rFonts w:hint="eastAsia" w:ascii="宋体" w:hAnsi="宋体" w:cs="宋体"/>
          <w:color w:val="000000"/>
          <w:sz w:val="24"/>
          <w:szCs w:val="24"/>
        </w:rPr>
        <w:t>4.售价：0.00元。</w:t>
      </w:r>
    </w:p>
    <w:p w14:paraId="4C897672">
      <w:pPr>
        <w:keepNext w:val="0"/>
        <w:keepLines w:val="0"/>
        <w:pageBreakBefore w:val="0"/>
        <w:spacing w:line="360" w:lineRule="auto"/>
        <w:ind w:left="0" w:firstLine="0"/>
        <w:jc w:val="left"/>
        <w:outlineLvl w:val="1"/>
        <w:rPr>
          <w:rFonts w:hint="eastAsia" w:ascii="宋体" w:hAnsi="宋体" w:cs="宋体"/>
          <w:b/>
          <w:color w:val="000000"/>
          <w:sz w:val="24"/>
          <w:szCs w:val="24"/>
        </w:rPr>
      </w:pPr>
      <w:r>
        <w:rPr>
          <w:rFonts w:hint="eastAsia"/>
          <w:b/>
          <w:bCs/>
          <w:color w:val="000000"/>
          <w:sz w:val="24"/>
          <w:szCs w:val="24"/>
        </w:rPr>
        <w:t>四、</w:t>
      </w:r>
      <w:r>
        <w:rPr>
          <w:rFonts w:hint="eastAsia" w:ascii="宋体" w:hAnsi="宋体" w:eastAsia="宋体" w:cs="宋体"/>
          <w:b/>
          <w:bCs/>
          <w:color w:val="000000"/>
          <w:sz w:val="24"/>
          <w:szCs w:val="24"/>
          <w:lang w:val="en-US" w:eastAsia="zh-CN" w:bidi="ar-SA"/>
        </w:rPr>
        <w:t>响应文件提交</w:t>
      </w:r>
    </w:p>
    <w:p w14:paraId="67C7371F">
      <w:pPr>
        <w:keepNext w:val="0"/>
        <w:keepLines w:val="0"/>
        <w:pageBreakBefore w:val="0"/>
        <w:widowControl w:val="0"/>
        <w:spacing w:line="360" w:lineRule="auto"/>
        <w:ind w:left="0" w:firstLine="480"/>
        <w:rPr>
          <w:rFonts w:hint="eastAsia" w:ascii="宋体" w:hAnsi="宋体" w:cs="宋体"/>
          <w:b w:val="0"/>
          <w:bCs w:val="0"/>
          <w:color w:val="000000"/>
          <w:sz w:val="24"/>
          <w:szCs w:val="24"/>
        </w:rPr>
      </w:pPr>
      <w:r>
        <w:rPr>
          <w:rFonts w:hint="eastAsia" w:ascii="宋体" w:hAnsi="宋体" w:cs="宋体"/>
          <w:b w:val="0"/>
          <w:bCs w:val="0"/>
          <w:color w:val="000000"/>
          <w:sz w:val="24"/>
          <w:szCs w:val="24"/>
        </w:rPr>
        <w:t>1.截止时间：</w:t>
      </w:r>
      <w:r>
        <w:rPr>
          <w:rFonts w:hint="eastAsia" w:ascii="宋体" w:hAnsi="宋体" w:cs="宋体"/>
          <w:b w:val="0"/>
          <w:bCs w:val="0"/>
          <w:color w:val="000000"/>
          <w:sz w:val="24"/>
          <w:szCs w:val="24"/>
          <w:highlight w:val="none"/>
        </w:rPr>
        <w:t>202</w:t>
      </w:r>
      <w:r>
        <w:rPr>
          <w:rFonts w:hint="eastAsia" w:ascii="宋体" w:hAnsi="宋体" w:cs="宋体"/>
          <w:b w:val="0"/>
          <w:bCs w:val="0"/>
          <w:color w:val="000000"/>
          <w:sz w:val="24"/>
          <w:szCs w:val="24"/>
          <w:highlight w:val="none"/>
          <w:lang w:val="en-US" w:eastAsia="zh-CN"/>
        </w:rPr>
        <w:t>6</w:t>
      </w:r>
      <w:r>
        <w:rPr>
          <w:rFonts w:hint="eastAsia" w:ascii="宋体" w:hAnsi="宋体" w:cs="宋体"/>
          <w:b w:val="0"/>
          <w:bCs w:val="0"/>
          <w:color w:val="000000"/>
          <w:sz w:val="24"/>
          <w:szCs w:val="24"/>
          <w:highlight w:val="none"/>
        </w:rPr>
        <w:t>年</w:t>
      </w:r>
      <w:r>
        <w:rPr>
          <w:rFonts w:hint="eastAsia" w:ascii="宋体" w:hAnsi="宋体" w:cs="宋体"/>
          <w:b w:val="0"/>
          <w:bCs w:val="0"/>
          <w:color w:val="000000"/>
          <w:sz w:val="24"/>
          <w:szCs w:val="24"/>
          <w:highlight w:val="none"/>
          <w:lang w:val="en-US" w:eastAsia="zh-CN"/>
        </w:rPr>
        <w:t>10月26</w:t>
      </w:r>
      <w:r>
        <w:rPr>
          <w:rFonts w:hint="eastAsia" w:ascii="宋体" w:hAnsi="宋体" w:cs="宋体"/>
          <w:b w:val="0"/>
          <w:bCs w:val="0"/>
          <w:color w:val="000000"/>
          <w:sz w:val="24"/>
          <w:szCs w:val="24"/>
          <w:highlight w:val="none"/>
        </w:rPr>
        <w:t>日</w:t>
      </w:r>
      <w:r>
        <w:rPr>
          <w:rFonts w:hint="eastAsia" w:ascii="宋体" w:hAnsi="宋体" w:cs="宋体"/>
          <w:b w:val="0"/>
          <w:bCs w:val="0"/>
          <w:color w:val="000000"/>
          <w:sz w:val="24"/>
          <w:szCs w:val="24"/>
          <w:highlight w:val="none"/>
          <w:lang w:val="en-US" w:eastAsia="zh-CN"/>
        </w:rPr>
        <w:t xml:space="preserve"> 9：</w:t>
      </w:r>
      <w:r>
        <w:rPr>
          <w:rFonts w:hint="eastAsia" w:ascii="宋体" w:hAnsi="宋体" w:cs="宋体"/>
          <w:b w:val="0"/>
          <w:bCs w:val="0"/>
          <w:color w:val="000000"/>
          <w:sz w:val="24"/>
          <w:szCs w:val="24"/>
          <w:lang w:val="en-US" w:eastAsia="zh-CN"/>
        </w:rPr>
        <w:t>00</w:t>
      </w:r>
      <w:r>
        <w:rPr>
          <w:rFonts w:hint="eastAsia" w:ascii="宋体" w:hAnsi="宋体" w:cs="宋体"/>
          <w:b w:val="0"/>
          <w:bCs w:val="0"/>
          <w:color w:val="000000"/>
          <w:sz w:val="24"/>
          <w:szCs w:val="24"/>
        </w:rPr>
        <w:t>（北京时间）。</w:t>
      </w:r>
    </w:p>
    <w:p w14:paraId="3A441CD0">
      <w:pPr>
        <w:keepNext w:val="0"/>
        <w:keepLines w:val="0"/>
        <w:pageBreakBefore w:val="0"/>
        <w:widowControl w:val="0"/>
        <w:spacing w:line="360" w:lineRule="auto"/>
        <w:ind w:left="0" w:firstLine="480"/>
        <w:rPr>
          <w:color w:val="000000"/>
          <w:sz w:val="24"/>
          <w:szCs w:val="24"/>
        </w:rPr>
      </w:pPr>
      <w:r>
        <w:rPr>
          <w:rFonts w:hint="eastAsia" w:ascii="宋体" w:hAnsi="宋体" w:cs="宋体"/>
          <w:b w:val="0"/>
          <w:bCs w:val="0"/>
          <w:color w:val="000000"/>
          <w:sz w:val="24"/>
          <w:szCs w:val="24"/>
        </w:rPr>
        <w:t>2.地点：</w:t>
      </w:r>
      <w:r>
        <w:rPr>
          <w:rFonts w:hint="eastAsia" w:ascii="宋体" w:hAnsi="宋体" w:cs="宋体"/>
          <w:color w:val="000000"/>
          <w:sz w:val="24"/>
          <w:szCs w:val="24"/>
          <w:lang w:val="en-US" w:eastAsia="zh-CN"/>
        </w:rPr>
        <w:t>“苏采云”政府采购一体化平台</w:t>
      </w:r>
      <w:r>
        <w:rPr>
          <w:rFonts w:hint="eastAsia" w:ascii="宋体" w:hAnsi="宋体" w:cs="宋体"/>
          <w:b w:val="0"/>
          <w:bCs w:val="0"/>
          <w:color w:val="000000"/>
          <w:sz w:val="24"/>
          <w:szCs w:val="24"/>
        </w:rPr>
        <w:t>。</w:t>
      </w:r>
    </w:p>
    <w:p w14:paraId="659BE7AF">
      <w:pPr>
        <w:pStyle w:val="291"/>
        <w:keepNext w:val="0"/>
        <w:keepLines w:val="0"/>
        <w:pageBreakBefore w:val="0"/>
        <w:spacing w:before="0" w:beforeAutospacing="0" w:after="0" w:afterAutospacing="0" w:line="360" w:lineRule="auto"/>
        <w:ind w:left="0" w:firstLine="0"/>
        <w:jc w:val="both"/>
        <w:rPr>
          <w:rFonts w:hint="eastAsia" w:eastAsia="宋体"/>
          <w:color w:val="000000"/>
          <w:sz w:val="24"/>
          <w:szCs w:val="24"/>
          <w:lang w:eastAsia="zh-CN"/>
        </w:rPr>
      </w:pPr>
      <w:r>
        <w:rPr>
          <w:rFonts w:hint="eastAsia"/>
          <w:b/>
          <w:bCs/>
          <w:color w:val="000000"/>
          <w:sz w:val="24"/>
          <w:szCs w:val="24"/>
        </w:rPr>
        <w:t>五、</w:t>
      </w:r>
      <w:r>
        <w:rPr>
          <w:rFonts w:hint="eastAsia"/>
          <w:b/>
          <w:bCs/>
          <w:color w:val="000000"/>
          <w:sz w:val="24"/>
          <w:szCs w:val="24"/>
          <w:lang w:val="en-US" w:eastAsia="zh-CN"/>
        </w:rPr>
        <w:t>开启</w:t>
      </w:r>
    </w:p>
    <w:p w14:paraId="626E65D9">
      <w:pPr>
        <w:keepNext w:val="0"/>
        <w:keepLines w:val="0"/>
        <w:pageBreakBefore w:val="0"/>
        <w:widowControl w:val="0"/>
        <w:spacing w:line="360" w:lineRule="auto"/>
        <w:ind w:left="0" w:firstLine="480"/>
        <w:rPr>
          <w:rFonts w:hint="eastAsia" w:ascii="宋体" w:hAnsi="宋体" w:cs="宋体"/>
          <w:color w:val="000000"/>
          <w:sz w:val="24"/>
          <w:szCs w:val="24"/>
        </w:rPr>
      </w:pPr>
      <w:r>
        <w:rPr>
          <w:rFonts w:hint="eastAsia" w:ascii="宋体" w:hAnsi="宋体" w:cs="宋体"/>
          <w:color w:val="000000"/>
          <w:sz w:val="24"/>
          <w:szCs w:val="24"/>
        </w:rPr>
        <w:t>时间：202</w:t>
      </w:r>
      <w:r>
        <w:rPr>
          <w:rFonts w:hint="eastAsia" w:ascii="宋体" w:hAnsi="宋体" w:cs="宋体"/>
          <w:color w:val="000000"/>
          <w:sz w:val="24"/>
          <w:szCs w:val="24"/>
          <w:lang w:val="en-US" w:eastAsia="zh-CN"/>
        </w:rPr>
        <w:t>6</w:t>
      </w:r>
      <w:r>
        <w:rPr>
          <w:rFonts w:hint="eastAsia" w:ascii="宋体" w:hAnsi="宋体" w:cs="宋体"/>
          <w:color w:val="000000"/>
          <w:sz w:val="24"/>
          <w:szCs w:val="24"/>
        </w:rPr>
        <w:t>年</w:t>
      </w:r>
      <w:r>
        <w:rPr>
          <w:rFonts w:hint="eastAsia" w:ascii="宋体" w:hAnsi="宋体" w:cs="宋体"/>
          <w:color w:val="000000"/>
          <w:sz w:val="24"/>
          <w:szCs w:val="24"/>
          <w:lang w:val="en-US" w:eastAsia="zh-CN"/>
        </w:rPr>
        <w:t>10</w:t>
      </w:r>
      <w:r>
        <w:rPr>
          <w:rFonts w:hint="eastAsia" w:ascii="宋体" w:hAnsi="宋体" w:cs="宋体"/>
          <w:color w:val="000000"/>
          <w:sz w:val="24"/>
          <w:szCs w:val="24"/>
        </w:rPr>
        <w:t>月</w:t>
      </w:r>
      <w:r>
        <w:rPr>
          <w:rFonts w:hint="eastAsia" w:ascii="宋体" w:hAnsi="宋体" w:cs="宋体"/>
          <w:color w:val="000000"/>
          <w:sz w:val="24"/>
          <w:szCs w:val="24"/>
          <w:lang w:val="en-US" w:eastAsia="zh-CN"/>
        </w:rPr>
        <w:t>26</w:t>
      </w:r>
      <w:r>
        <w:rPr>
          <w:rFonts w:hint="eastAsia" w:ascii="宋体" w:hAnsi="宋体" w:cs="宋体"/>
          <w:color w:val="000000"/>
          <w:sz w:val="24"/>
          <w:szCs w:val="24"/>
        </w:rPr>
        <w:t>日</w:t>
      </w:r>
      <w:r>
        <w:rPr>
          <w:rFonts w:hint="eastAsia" w:ascii="宋体" w:hAnsi="宋体" w:cs="宋体"/>
          <w:color w:val="000000"/>
          <w:sz w:val="24"/>
          <w:szCs w:val="24"/>
          <w:lang w:val="en-US" w:eastAsia="zh-CN"/>
        </w:rPr>
        <w:t xml:space="preserve"> 9</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0</w:t>
      </w:r>
      <w:r>
        <w:rPr>
          <w:rFonts w:hint="eastAsia" w:ascii="宋体" w:hAnsi="宋体" w:cs="宋体"/>
          <w:color w:val="000000"/>
          <w:sz w:val="24"/>
          <w:szCs w:val="24"/>
        </w:rPr>
        <w:t>0（北京时间）。</w:t>
      </w:r>
    </w:p>
    <w:p w14:paraId="71D580F1">
      <w:pPr>
        <w:keepNext w:val="0"/>
        <w:keepLines w:val="0"/>
        <w:pageBreakBefore w:val="0"/>
        <w:widowControl w:val="0"/>
        <w:spacing w:line="360" w:lineRule="auto"/>
        <w:ind w:left="0" w:firstLine="480"/>
        <w:rPr>
          <w:rFonts w:hint="eastAsia" w:ascii="宋体" w:hAnsi="宋体" w:cs="宋体"/>
          <w:color w:val="000000"/>
          <w:sz w:val="24"/>
          <w:szCs w:val="24"/>
        </w:rPr>
      </w:pPr>
      <w:r>
        <w:rPr>
          <w:rFonts w:hint="eastAsia" w:ascii="宋体" w:hAnsi="宋体" w:cs="宋体"/>
          <w:color w:val="000000"/>
          <w:sz w:val="24"/>
          <w:szCs w:val="24"/>
        </w:rPr>
        <w:t>地点：</w:t>
      </w:r>
      <w:r>
        <w:rPr>
          <w:rFonts w:hint="eastAsia" w:ascii="宋体" w:hAnsi="宋体" w:cs="宋体"/>
          <w:color w:val="000000"/>
          <w:sz w:val="24"/>
          <w:szCs w:val="24"/>
          <w:lang w:val="en-US" w:eastAsia="zh-CN"/>
        </w:rPr>
        <w:t>“苏采云”政府采购一体化平台</w:t>
      </w:r>
      <w:r>
        <w:rPr>
          <w:rFonts w:hint="eastAsia" w:ascii="宋体" w:hAnsi="宋体" w:cs="宋体"/>
          <w:color w:val="000000"/>
          <w:sz w:val="24"/>
          <w:szCs w:val="24"/>
        </w:rPr>
        <w:t>。</w:t>
      </w:r>
    </w:p>
    <w:p w14:paraId="2AB149BF">
      <w:pPr>
        <w:keepNext w:val="0"/>
        <w:keepLines w:val="0"/>
        <w:pageBreakBefore w:val="0"/>
        <w:numPr>
          <w:ilvl w:val="0"/>
          <w:numId w:val="1"/>
        </w:numPr>
        <w:spacing w:line="360" w:lineRule="auto"/>
        <w:ind w:left="0" w:firstLine="0"/>
        <w:jc w:val="left"/>
        <w:outlineLvl w:val="1"/>
        <w:rPr>
          <w:rFonts w:hint="eastAsia" w:ascii="宋体" w:hAnsi="宋体" w:eastAsia="宋体" w:cs="宋体"/>
          <w:b/>
          <w:bCs/>
          <w:color w:val="000000"/>
          <w:sz w:val="24"/>
          <w:szCs w:val="24"/>
          <w:lang w:val="en-US" w:eastAsia="zh-CN" w:bidi="ar-SA"/>
        </w:rPr>
      </w:pPr>
      <w:bookmarkStart w:id="23" w:name="_Toc35393625"/>
      <w:bookmarkStart w:id="24" w:name="_Toc28359007"/>
      <w:bookmarkStart w:id="25" w:name="_Toc28359084"/>
      <w:bookmarkStart w:id="26" w:name="_Toc38985267"/>
      <w:bookmarkStart w:id="27" w:name="_Toc35393794"/>
      <w:r>
        <w:rPr>
          <w:rFonts w:hint="eastAsia" w:ascii="宋体" w:hAnsi="宋体" w:eastAsia="宋体" w:cs="宋体"/>
          <w:b/>
          <w:bCs/>
          <w:color w:val="000000"/>
          <w:sz w:val="24"/>
          <w:szCs w:val="24"/>
          <w:lang w:val="en-US" w:eastAsia="zh-CN" w:bidi="ar-SA"/>
        </w:rPr>
        <w:t>公告期限</w:t>
      </w:r>
      <w:bookmarkEnd w:id="23"/>
      <w:bookmarkEnd w:id="24"/>
      <w:bookmarkEnd w:id="25"/>
      <w:bookmarkEnd w:id="26"/>
      <w:bookmarkEnd w:id="27"/>
    </w:p>
    <w:p w14:paraId="2BF3A50F">
      <w:pPr>
        <w:keepNext w:val="0"/>
        <w:keepLines w:val="0"/>
        <w:pageBreakBefore w:val="0"/>
        <w:numPr>
          <w:ilvl w:val="0"/>
          <w:numId w:val="0"/>
        </w:numPr>
        <w:spacing w:line="360" w:lineRule="auto"/>
        <w:ind w:firstLine="480"/>
        <w:jc w:val="left"/>
        <w:outlineLvl w:val="1"/>
        <w:rPr>
          <w:rFonts w:hint="eastAsia" w:ascii="宋体" w:hAnsi="宋体" w:cs="宋体"/>
          <w:color w:val="000000"/>
          <w:sz w:val="24"/>
          <w:szCs w:val="24"/>
        </w:rPr>
      </w:pPr>
      <w:r>
        <w:rPr>
          <w:rFonts w:hint="eastAsia" w:ascii="宋体" w:hAnsi="宋体" w:cs="宋体"/>
          <w:color w:val="000000"/>
          <w:sz w:val="24"/>
          <w:szCs w:val="24"/>
        </w:rPr>
        <w:t>自本公告发布之日起</w:t>
      </w:r>
      <w:r>
        <w:rPr>
          <w:rFonts w:hint="eastAsia" w:ascii="宋体" w:hAnsi="宋体" w:cs="宋体"/>
          <w:color w:val="000000"/>
          <w:sz w:val="24"/>
          <w:szCs w:val="24"/>
          <w:lang w:val="en-US" w:eastAsia="zh-CN"/>
        </w:rPr>
        <w:t>5</w:t>
      </w:r>
      <w:r>
        <w:rPr>
          <w:rFonts w:hint="eastAsia" w:ascii="宋体" w:hAnsi="宋体" w:cs="宋体"/>
          <w:color w:val="000000"/>
          <w:sz w:val="24"/>
          <w:szCs w:val="24"/>
        </w:rPr>
        <w:t>个工作日。</w:t>
      </w:r>
    </w:p>
    <w:p w14:paraId="39314B05">
      <w:pPr>
        <w:keepNext w:val="0"/>
        <w:keepLines w:val="0"/>
        <w:pageBreakBefore w:val="0"/>
        <w:spacing w:line="360" w:lineRule="auto"/>
        <w:ind w:left="0" w:firstLine="0"/>
        <w:jc w:val="left"/>
        <w:outlineLvl w:val="1"/>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lang w:val="en-US" w:eastAsia="zh-CN" w:bidi="ar-SA"/>
        </w:rPr>
        <w:t>七、其他补充事宜</w:t>
      </w:r>
    </w:p>
    <w:p w14:paraId="55CFF614">
      <w:pPr>
        <w:keepNext w:val="0"/>
        <w:keepLines w:val="0"/>
        <w:pageBreakBefore w:val="0"/>
        <w:widowControl w:val="0"/>
        <w:spacing w:line="360" w:lineRule="auto"/>
        <w:ind w:left="0" w:firstLine="480"/>
        <w:rPr>
          <w:rFonts w:hint="eastAsia" w:ascii="宋体" w:hAnsi="宋体" w:cs="宋体"/>
          <w:color w:val="000000"/>
          <w:sz w:val="24"/>
          <w:szCs w:val="24"/>
        </w:rPr>
      </w:pPr>
      <w:r>
        <w:rPr>
          <w:rFonts w:hint="eastAsia" w:ascii="宋体" w:hAnsi="宋体" w:cs="宋体"/>
          <w:color w:val="000000"/>
          <w:sz w:val="24"/>
          <w:szCs w:val="24"/>
        </w:rPr>
        <w:t>1.磋商保证金：无须缴纳。</w:t>
      </w:r>
    </w:p>
    <w:p w14:paraId="7F1EA00A">
      <w:pPr>
        <w:keepNext w:val="0"/>
        <w:keepLines w:val="0"/>
        <w:pageBreakBefore w:val="0"/>
        <w:widowControl w:val="0"/>
        <w:spacing w:line="360" w:lineRule="auto"/>
        <w:ind w:left="0" w:firstLine="480"/>
        <w:rPr>
          <w:rFonts w:hint="eastAsia" w:ascii="宋体" w:hAnsi="宋体" w:cs="宋体"/>
          <w:color w:val="000000"/>
          <w:sz w:val="24"/>
          <w:szCs w:val="24"/>
        </w:rPr>
      </w:pPr>
      <w:r>
        <w:rPr>
          <w:rFonts w:hint="eastAsia" w:ascii="宋体" w:hAnsi="宋体" w:cs="宋体"/>
          <w:color w:val="000000"/>
          <w:sz w:val="24"/>
          <w:szCs w:val="24"/>
        </w:rPr>
        <w:t>2.采购信息发布媒介：江苏政府采购网（www.ccgp-jiangsu.gov.cn）。</w:t>
      </w:r>
    </w:p>
    <w:p w14:paraId="56968B9A">
      <w:pPr>
        <w:keepNext w:val="0"/>
        <w:keepLines w:val="0"/>
        <w:pageBreakBefore w:val="0"/>
        <w:widowControl w:val="0"/>
        <w:spacing w:line="360" w:lineRule="auto"/>
        <w:ind w:left="0" w:firstLine="480"/>
        <w:rPr>
          <w:rFonts w:hint="eastAsia" w:ascii="宋体" w:hAnsi="宋体" w:cs="宋体"/>
          <w:color w:val="000000"/>
          <w:sz w:val="24"/>
          <w:szCs w:val="24"/>
        </w:rPr>
      </w:pPr>
      <w:r>
        <w:rPr>
          <w:rFonts w:hint="eastAsia" w:ascii="宋体" w:hAnsi="宋体" w:cs="宋体"/>
          <w:color w:val="000000"/>
          <w:sz w:val="24"/>
          <w:szCs w:val="24"/>
        </w:rPr>
        <w:t>3.注意事项：</w:t>
      </w:r>
    </w:p>
    <w:p w14:paraId="08FC2A9D">
      <w:pPr>
        <w:keepNext w:val="0"/>
        <w:keepLines w:val="0"/>
        <w:pageBreakBefore w:val="0"/>
        <w:widowControl w:val="0"/>
        <w:spacing w:line="360" w:lineRule="auto"/>
        <w:ind w:left="0" w:firstLine="480"/>
        <w:rPr>
          <w:rFonts w:hint="eastAsia" w:ascii="宋体" w:hAnsi="宋体" w:cs="宋体"/>
          <w:color w:val="000000"/>
          <w:sz w:val="24"/>
          <w:szCs w:val="24"/>
        </w:rPr>
      </w:pPr>
      <w:r>
        <w:rPr>
          <w:rFonts w:hint="eastAsia" w:ascii="宋体" w:hAnsi="宋体" w:cs="宋体"/>
          <w:color w:val="000000"/>
          <w:sz w:val="24"/>
          <w:szCs w:val="24"/>
        </w:rPr>
        <w:t>（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p>
    <w:p w14:paraId="200C8C88">
      <w:pPr>
        <w:keepNext w:val="0"/>
        <w:keepLines w:val="0"/>
        <w:pageBreakBefore w:val="0"/>
        <w:widowControl w:val="0"/>
        <w:spacing w:line="360" w:lineRule="auto"/>
        <w:ind w:left="0" w:firstLine="480"/>
        <w:rPr>
          <w:rFonts w:hint="eastAsia" w:ascii="宋体" w:hAnsi="宋体" w:cs="宋体"/>
          <w:color w:val="000000"/>
          <w:sz w:val="24"/>
          <w:szCs w:val="24"/>
        </w:rPr>
      </w:pPr>
      <w:r>
        <w:rPr>
          <w:rFonts w:hint="eastAsia" w:ascii="宋体" w:hAnsi="宋体" w:cs="宋体"/>
          <w:color w:val="000000"/>
          <w:sz w:val="24"/>
          <w:szCs w:val="24"/>
        </w:rPr>
        <w:t>（2）本项目采用电子化投标，供应商应根据《江苏省政府采购管理交易系统（苏采云）供应商操作手册》（“泰州市政府采购网—下载中心”下载）规定，制作、上传电子投标文件（技术支持电话：0523-87633965、0523-86897512；客服QQ：709339244、QQ：1810179072）。</w:t>
      </w:r>
    </w:p>
    <w:p w14:paraId="066F061A">
      <w:pPr>
        <w:keepNext w:val="0"/>
        <w:keepLines w:val="0"/>
        <w:pageBreakBefore w:val="0"/>
        <w:widowControl w:val="0"/>
        <w:spacing w:line="360" w:lineRule="auto"/>
        <w:ind w:left="0" w:firstLine="480"/>
        <w:rPr>
          <w:rFonts w:hint="eastAsia" w:ascii="宋体" w:hAnsi="宋体" w:cs="宋体"/>
          <w:color w:val="000000"/>
          <w:sz w:val="24"/>
          <w:szCs w:val="24"/>
        </w:rPr>
      </w:pPr>
      <w:r>
        <w:rPr>
          <w:rFonts w:hint="eastAsia" w:ascii="宋体" w:hAnsi="宋体" w:cs="宋体"/>
          <w:color w:val="000000"/>
          <w:sz w:val="24"/>
          <w:szCs w:val="24"/>
        </w:rPr>
        <w:t>（3）有关本次招标的事项若存在变动或修改，敬请及时关注“江苏政府采购网”发布的更正公告。</w:t>
      </w:r>
    </w:p>
    <w:p w14:paraId="1A043489">
      <w:pPr>
        <w:keepNext w:val="0"/>
        <w:keepLines w:val="0"/>
        <w:pageBreakBefore w:val="0"/>
        <w:widowControl w:val="0"/>
        <w:spacing w:line="360" w:lineRule="auto"/>
        <w:ind w:left="0" w:firstLine="480"/>
        <w:rPr>
          <w:rFonts w:hint="eastAsia" w:ascii="宋体" w:hAnsi="宋体" w:cs="宋体"/>
          <w:color w:val="000000"/>
          <w:sz w:val="24"/>
          <w:szCs w:val="24"/>
        </w:rPr>
      </w:pPr>
      <w:r>
        <w:rPr>
          <w:rFonts w:hint="eastAsia" w:ascii="宋体" w:hAnsi="宋体" w:cs="宋体"/>
          <w:color w:val="000000"/>
          <w:sz w:val="24"/>
          <w:szCs w:val="24"/>
        </w:rPr>
        <w:t>如潜在供应商未按上述要求操作，将自行承担所产生的风险。</w:t>
      </w:r>
    </w:p>
    <w:p w14:paraId="691CD72C">
      <w:pPr>
        <w:keepNext w:val="0"/>
        <w:keepLines w:val="0"/>
        <w:pageBreakBefore w:val="0"/>
        <w:spacing w:line="360" w:lineRule="auto"/>
        <w:ind w:left="0" w:firstLine="0"/>
        <w:jc w:val="left"/>
        <w:outlineLvl w:val="1"/>
        <w:rPr>
          <w:rFonts w:hint="eastAsia" w:ascii="宋体" w:hAnsi="宋体" w:cs="宋体"/>
          <w:color w:val="000000"/>
          <w:sz w:val="24"/>
          <w:szCs w:val="24"/>
        </w:rPr>
      </w:pPr>
      <w:r>
        <w:rPr>
          <w:rFonts w:hint="eastAsia" w:ascii="宋体" w:hAnsi="宋体" w:eastAsia="宋体" w:cs="宋体"/>
          <w:b/>
          <w:bCs/>
          <w:color w:val="000000"/>
          <w:sz w:val="24"/>
          <w:szCs w:val="24"/>
          <w:lang w:val="en-US" w:eastAsia="zh-CN" w:bidi="ar-SA"/>
        </w:rPr>
        <w:t>八、对本次磋商有任何意见或建议，请按以下方式联系</w:t>
      </w:r>
    </w:p>
    <w:p w14:paraId="23EF5C70">
      <w:pPr>
        <w:pStyle w:val="291"/>
        <w:keepNext w:val="0"/>
        <w:keepLines w:val="0"/>
        <w:pageBreakBefore w:val="0"/>
        <w:widowControl/>
        <w:spacing w:before="0" w:beforeAutospacing="0" w:after="0" w:afterAutospacing="0" w:line="360" w:lineRule="auto"/>
        <w:ind w:left="0" w:firstLine="480"/>
        <w:rPr>
          <w:color w:val="000000"/>
          <w:sz w:val="24"/>
          <w:szCs w:val="24"/>
        </w:rPr>
      </w:pPr>
      <w:r>
        <w:rPr>
          <w:rFonts w:hint="eastAsia"/>
          <w:color w:val="000000"/>
          <w:sz w:val="24"/>
          <w:szCs w:val="24"/>
        </w:rPr>
        <w:t>1.采购人信息</w:t>
      </w:r>
    </w:p>
    <w:p w14:paraId="352B7AEA">
      <w:pPr>
        <w:pStyle w:val="291"/>
        <w:keepNext w:val="0"/>
        <w:keepLines w:val="0"/>
        <w:pageBreakBefore w:val="0"/>
        <w:widowControl/>
        <w:spacing w:before="0" w:beforeAutospacing="0" w:after="0" w:afterAutospacing="0" w:line="360" w:lineRule="auto"/>
        <w:ind w:left="0" w:firstLine="480"/>
        <w:rPr>
          <w:rFonts w:hint="eastAsia" w:eastAsia="宋体"/>
          <w:color w:val="000000"/>
          <w:sz w:val="24"/>
          <w:szCs w:val="24"/>
          <w:lang w:eastAsia="zh-CN"/>
        </w:rPr>
      </w:pPr>
      <w:r>
        <w:rPr>
          <w:rFonts w:hint="eastAsia"/>
          <w:color w:val="000000"/>
          <w:sz w:val="24"/>
          <w:szCs w:val="24"/>
        </w:rPr>
        <w:t>名 称：</w:t>
      </w:r>
      <w:r>
        <w:rPr>
          <w:rFonts w:hint="eastAsia"/>
          <w:color w:val="000000"/>
          <w:sz w:val="24"/>
          <w:szCs w:val="24"/>
          <w:lang w:eastAsia="zh-CN"/>
        </w:rPr>
        <w:t>泰兴市古溪镇人民政府</w:t>
      </w:r>
    </w:p>
    <w:p w14:paraId="05506C3F">
      <w:pPr>
        <w:pStyle w:val="291"/>
        <w:keepNext w:val="0"/>
        <w:keepLines w:val="0"/>
        <w:pageBreakBefore w:val="0"/>
        <w:widowControl/>
        <w:spacing w:before="0" w:beforeAutospacing="0" w:after="0" w:afterAutospacing="0" w:line="360" w:lineRule="auto"/>
        <w:ind w:left="0" w:firstLine="480"/>
        <w:rPr>
          <w:rFonts w:hint="eastAsia" w:eastAsia="宋体"/>
          <w:color w:val="000000"/>
          <w:sz w:val="24"/>
          <w:szCs w:val="24"/>
          <w:lang w:eastAsia="zh-CN"/>
        </w:rPr>
      </w:pPr>
      <w:r>
        <w:rPr>
          <w:rFonts w:hint="eastAsia"/>
          <w:color w:val="000000"/>
          <w:sz w:val="24"/>
          <w:szCs w:val="24"/>
        </w:rPr>
        <w:t>地 址：</w:t>
      </w:r>
      <w:r>
        <w:rPr>
          <w:rFonts w:hint="eastAsia"/>
          <w:color w:val="000000"/>
          <w:sz w:val="24"/>
          <w:szCs w:val="24"/>
          <w:lang w:eastAsia="zh-CN"/>
        </w:rPr>
        <w:t>泰兴市</w:t>
      </w:r>
      <w:r>
        <w:rPr>
          <w:rFonts w:hint="eastAsia"/>
          <w:color w:val="000000"/>
          <w:sz w:val="24"/>
          <w:szCs w:val="24"/>
          <w:lang w:val="en-US" w:eastAsia="zh-CN"/>
        </w:rPr>
        <w:t>古溪镇</w:t>
      </w:r>
    </w:p>
    <w:p w14:paraId="6521C1A8">
      <w:pPr>
        <w:pStyle w:val="291"/>
        <w:keepNext w:val="0"/>
        <w:keepLines w:val="0"/>
        <w:pageBreakBefore w:val="0"/>
        <w:widowControl/>
        <w:spacing w:before="0" w:beforeAutospacing="0" w:after="0" w:afterAutospacing="0" w:line="360" w:lineRule="auto"/>
        <w:ind w:left="0" w:firstLine="480"/>
        <w:rPr>
          <w:color w:val="000000"/>
          <w:sz w:val="24"/>
          <w:szCs w:val="24"/>
        </w:rPr>
      </w:pPr>
      <w:r>
        <w:rPr>
          <w:rFonts w:hint="eastAsia"/>
          <w:color w:val="000000"/>
          <w:sz w:val="24"/>
          <w:szCs w:val="24"/>
        </w:rPr>
        <w:t>2.招标代理机构信息</w:t>
      </w:r>
    </w:p>
    <w:p w14:paraId="03404709">
      <w:pPr>
        <w:pStyle w:val="291"/>
        <w:keepNext w:val="0"/>
        <w:keepLines w:val="0"/>
        <w:pageBreakBefore w:val="0"/>
        <w:widowControl/>
        <w:spacing w:before="0" w:beforeAutospacing="0" w:after="0" w:afterAutospacing="0" w:line="360" w:lineRule="auto"/>
        <w:ind w:left="0" w:firstLine="480"/>
        <w:rPr>
          <w:rFonts w:hint="eastAsia"/>
          <w:color w:val="000000"/>
          <w:sz w:val="24"/>
          <w:szCs w:val="24"/>
        </w:rPr>
      </w:pPr>
      <w:r>
        <w:rPr>
          <w:rFonts w:hint="eastAsia"/>
          <w:color w:val="000000"/>
          <w:sz w:val="24"/>
          <w:szCs w:val="24"/>
        </w:rPr>
        <w:t>名 称：</w:t>
      </w:r>
      <w:r>
        <w:rPr>
          <w:rFonts w:hint="eastAsia"/>
          <w:color w:val="000000"/>
          <w:sz w:val="24"/>
          <w:szCs w:val="24"/>
          <w:lang w:val="en-US" w:eastAsia="zh-CN"/>
        </w:rPr>
        <w:t>江苏聿鹏建设项目管理有限公司</w:t>
      </w:r>
    </w:p>
    <w:p w14:paraId="79A03A1B">
      <w:pPr>
        <w:pStyle w:val="291"/>
        <w:keepNext w:val="0"/>
        <w:keepLines w:val="0"/>
        <w:pageBreakBefore w:val="0"/>
        <w:widowControl/>
        <w:spacing w:before="0" w:beforeAutospacing="0" w:after="0" w:afterAutospacing="0" w:line="360" w:lineRule="auto"/>
        <w:ind w:left="0" w:firstLine="480"/>
        <w:rPr>
          <w:rFonts w:hint="eastAsia" w:eastAsia="宋体"/>
          <w:color w:val="000000"/>
          <w:sz w:val="24"/>
          <w:szCs w:val="24"/>
          <w:lang w:eastAsia="zh-CN"/>
        </w:rPr>
      </w:pPr>
      <w:r>
        <w:rPr>
          <w:rFonts w:hint="eastAsia"/>
          <w:color w:val="000000"/>
          <w:sz w:val="24"/>
          <w:szCs w:val="24"/>
        </w:rPr>
        <w:t>地　址：</w:t>
      </w:r>
      <w:r>
        <w:rPr>
          <w:rFonts w:hint="eastAsia"/>
          <w:color w:val="000000"/>
          <w:sz w:val="24"/>
          <w:szCs w:val="24"/>
          <w:lang w:eastAsia="zh-CN"/>
        </w:rPr>
        <w:t>泰兴市碧云商业广场8号楼1005室</w:t>
      </w:r>
    </w:p>
    <w:p w14:paraId="48FD1820">
      <w:pPr>
        <w:pStyle w:val="291"/>
        <w:keepNext w:val="0"/>
        <w:keepLines w:val="0"/>
        <w:pageBreakBefore w:val="0"/>
        <w:widowControl/>
        <w:spacing w:before="0" w:beforeAutospacing="0" w:after="0" w:afterAutospacing="0" w:line="360" w:lineRule="auto"/>
        <w:ind w:left="0" w:firstLine="480"/>
        <w:rPr>
          <w:color w:val="000000"/>
          <w:sz w:val="24"/>
          <w:szCs w:val="24"/>
        </w:rPr>
      </w:pPr>
      <w:r>
        <w:rPr>
          <w:rFonts w:hint="eastAsia"/>
          <w:color w:val="000000"/>
          <w:sz w:val="24"/>
          <w:szCs w:val="24"/>
        </w:rPr>
        <w:t>3.项目联系方式</w:t>
      </w:r>
    </w:p>
    <w:p w14:paraId="6D5D4D9C">
      <w:pPr>
        <w:pStyle w:val="291"/>
        <w:keepNext w:val="0"/>
        <w:keepLines w:val="0"/>
        <w:pageBreakBefore w:val="0"/>
        <w:widowControl/>
        <w:spacing w:before="0" w:beforeAutospacing="0" w:after="0" w:afterAutospacing="0" w:line="360" w:lineRule="auto"/>
        <w:ind w:left="0" w:firstLine="480"/>
        <w:rPr>
          <w:rFonts w:hint="eastAsia"/>
          <w:color w:val="000000"/>
          <w:sz w:val="24"/>
          <w:szCs w:val="24"/>
        </w:rPr>
      </w:pPr>
      <w:r>
        <w:rPr>
          <w:rFonts w:hint="eastAsia"/>
          <w:color w:val="000000"/>
          <w:sz w:val="24"/>
          <w:szCs w:val="24"/>
        </w:rPr>
        <w:t>项目联系人：</w:t>
      </w:r>
      <w:r>
        <w:rPr>
          <w:rFonts w:hint="eastAsia"/>
          <w:color w:val="000000"/>
          <w:sz w:val="24"/>
          <w:szCs w:val="24"/>
          <w:lang w:eastAsia="zh-CN"/>
        </w:rPr>
        <w:t>泰兴市古溪镇人民政府</w:t>
      </w:r>
      <w:r>
        <w:rPr>
          <w:rFonts w:hint="eastAsia"/>
          <w:color w:val="000000"/>
          <w:sz w:val="24"/>
          <w:szCs w:val="24"/>
          <w:lang w:val="en-US" w:eastAsia="zh-CN"/>
        </w:rPr>
        <w:t xml:space="preserve">  顾先生</w:t>
      </w:r>
      <w:r>
        <w:rPr>
          <w:rFonts w:hint="eastAsia"/>
          <w:color w:val="000000"/>
          <w:sz w:val="24"/>
          <w:szCs w:val="24"/>
        </w:rPr>
        <w:t xml:space="preserve"> </w:t>
      </w:r>
    </w:p>
    <w:p w14:paraId="46F2BE0E">
      <w:pPr>
        <w:pStyle w:val="291"/>
        <w:keepNext w:val="0"/>
        <w:keepLines w:val="0"/>
        <w:pageBreakBefore w:val="0"/>
        <w:widowControl/>
        <w:spacing w:before="0" w:beforeAutospacing="0" w:after="0" w:afterAutospacing="0" w:line="360" w:lineRule="auto"/>
        <w:ind w:left="0" w:firstLine="480"/>
        <w:rPr>
          <w:rFonts w:hint="eastAsia"/>
          <w:color w:val="000000"/>
          <w:sz w:val="24"/>
          <w:szCs w:val="24"/>
        </w:rPr>
      </w:pPr>
      <w:r>
        <w:rPr>
          <w:rFonts w:hint="eastAsia"/>
          <w:color w:val="000000"/>
          <w:sz w:val="24"/>
          <w:szCs w:val="24"/>
        </w:rPr>
        <w:t>电　话：13952661780</w:t>
      </w:r>
    </w:p>
    <w:p w14:paraId="18A29954">
      <w:pPr>
        <w:pStyle w:val="291"/>
        <w:keepNext w:val="0"/>
        <w:keepLines w:val="0"/>
        <w:pageBreakBefore w:val="0"/>
        <w:widowControl/>
        <w:spacing w:before="0" w:beforeAutospacing="0" w:after="0" w:afterAutospacing="0" w:line="360" w:lineRule="auto"/>
        <w:ind w:left="0" w:firstLine="480"/>
        <w:rPr>
          <w:rFonts w:hint="eastAsia"/>
          <w:color w:val="000000"/>
          <w:sz w:val="24"/>
          <w:szCs w:val="24"/>
          <w:lang w:val="en-US" w:eastAsia="zh-CN"/>
        </w:rPr>
      </w:pPr>
      <w:r>
        <w:rPr>
          <w:rFonts w:hint="eastAsia"/>
          <w:color w:val="000000"/>
          <w:sz w:val="24"/>
          <w:szCs w:val="24"/>
        </w:rPr>
        <w:t>项目联系人：</w:t>
      </w:r>
      <w:r>
        <w:rPr>
          <w:rFonts w:hint="eastAsia"/>
          <w:color w:val="000000"/>
          <w:sz w:val="24"/>
          <w:szCs w:val="24"/>
          <w:lang w:val="en-US" w:eastAsia="zh-CN"/>
        </w:rPr>
        <w:t>江苏聿鹏建设项目管理有限公司  何娜</w:t>
      </w:r>
    </w:p>
    <w:p w14:paraId="225F7AE8">
      <w:pPr>
        <w:pStyle w:val="291"/>
        <w:keepNext w:val="0"/>
        <w:keepLines w:val="0"/>
        <w:pageBreakBefore w:val="0"/>
        <w:widowControl/>
        <w:spacing w:before="0" w:beforeAutospacing="0" w:after="0" w:afterAutospacing="0" w:line="360" w:lineRule="auto"/>
        <w:ind w:left="0" w:firstLine="480"/>
        <w:rPr>
          <w:rFonts w:ascii="Times New Roman" w:eastAsia="宋体"/>
          <w:b/>
          <w:color w:val="000000"/>
          <w:sz w:val="30"/>
          <w:szCs w:val="30"/>
        </w:rPr>
      </w:pPr>
      <w:r>
        <w:rPr>
          <w:rFonts w:hint="eastAsia"/>
          <w:color w:val="000000"/>
          <w:sz w:val="24"/>
          <w:szCs w:val="24"/>
        </w:rPr>
        <w:t>电　话：</w:t>
      </w:r>
      <w:r>
        <w:rPr>
          <w:rFonts w:hint="eastAsia"/>
          <w:color w:val="000000"/>
          <w:sz w:val="24"/>
          <w:szCs w:val="24"/>
          <w:lang w:val="en-US" w:eastAsia="zh-CN"/>
        </w:rPr>
        <w:t>18362836013</w:t>
      </w:r>
      <w:bookmarkEnd w:id="2"/>
      <w:bookmarkEnd w:id="3"/>
      <w:bookmarkEnd w:id="4"/>
      <w:bookmarkEnd w:id="5"/>
      <w:bookmarkEnd w:id="6"/>
      <w:bookmarkEnd w:id="7"/>
      <w:bookmarkEnd w:id="8"/>
      <w:bookmarkEnd w:id="9"/>
      <w:bookmarkEnd w:id="10"/>
      <w:bookmarkEnd w:id="11"/>
      <w:bookmarkEnd w:id="12"/>
      <w:bookmarkEnd w:id="21"/>
      <w:bookmarkStart w:id="28" w:name="_Toc468783587"/>
      <w:bookmarkStart w:id="29" w:name="_Toc426469869"/>
    </w:p>
    <w:p w14:paraId="25F361AB">
      <w:pPr>
        <w:pStyle w:val="352"/>
        <w:tabs>
          <w:tab w:val="left" w:pos="3240"/>
        </w:tabs>
        <w:spacing w:line="500" w:lineRule="exact"/>
        <w:outlineLvl w:val="0"/>
        <w:rPr>
          <w:rFonts w:hint="eastAsia" w:ascii="Times New Roman" w:eastAsia="宋体"/>
          <w:b/>
          <w:color w:val="000000"/>
          <w:sz w:val="30"/>
          <w:szCs w:val="30"/>
        </w:rPr>
        <w:sectPr>
          <w:footerReference r:id="rId4" w:type="default"/>
          <w:pgSz w:w="11906" w:h="16838"/>
          <w:pgMar w:top="1338" w:right="1463" w:bottom="1338" w:left="1463" w:header="851" w:footer="992" w:gutter="0"/>
          <w:pgNumType w:start="1"/>
          <w:cols w:space="1701" w:num="1"/>
          <w:docGrid w:linePitch="360" w:charSpace="0"/>
        </w:sectPr>
      </w:pPr>
    </w:p>
    <w:p w14:paraId="3A406CD2">
      <w:pPr>
        <w:pStyle w:val="352"/>
        <w:tabs>
          <w:tab w:val="left" w:pos="3240"/>
        </w:tabs>
        <w:spacing w:line="500" w:lineRule="exact"/>
        <w:outlineLvl w:val="0"/>
        <w:rPr>
          <w:rFonts w:ascii="Times New Roman" w:eastAsia="宋体"/>
          <w:b/>
          <w:color w:val="000000"/>
          <w:sz w:val="30"/>
          <w:szCs w:val="30"/>
        </w:rPr>
      </w:pPr>
      <w:r>
        <w:rPr>
          <w:rFonts w:hint="eastAsia" w:ascii="Times New Roman" w:eastAsia="宋体"/>
          <w:b/>
          <w:color w:val="000000"/>
          <w:sz w:val="30"/>
          <w:szCs w:val="30"/>
        </w:rPr>
        <w:t xml:space="preserve">第二章 </w:t>
      </w:r>
      <w:r>
        <w:rPr>
          <w:rFonts w:ascii="Times New Roman" w:eastAsia="宋体"/>
          <w:b/>
          <w:color w:val="000000"/>
          <w:sz w:val="30"/>
          <w:szCs w:val="30"/>
        </w:rPr>
        <w:t xml:space="preserve"> </w:t>
      </w:r>
      <w:r>
        <w:rPr>
          <w:rFonts w:hint="eastAsia" w:ascii="Times New Roman" w:eastAsia="宋体"/>
          <w:b/>
          <w:color w:val="000000"/>
          <w:sz w:val="30"/>
          <w:szCs w:val="30"/>
        </w:rPr>
        <w:t>供应商须知</w:t>
      </w:r>
      <w:bookmarkEnd w:id="28"/>
      <w:bookmarkEnd w:id="29"/>
    </w:p>
    <w:p w14:paraId="005A09DA">
      <w:pPr>
        <w:pStyle w:val="235"/>
        <w:spacing w:line="360" w:lineRule="exact"/>
        <w:ind w:firstLine="482"/>
        <w:rPr>
          <w:rFonts w:ascii="Times New Roman" w:hAnsi="Times New Roman" w:eastAsia="宋体"/>
          <w:b/>
          <w:bCs/>
          <w:color w:val="000000"/>
          <w:sz w:val="24"/>
          <w:szCs w:val="24"/>
        </w:rPr>
      </w:pPr>
      <w:bookmarkStart w:id="30" w:name="_Toc468783588"/>
      <w:bookmarkStart w:id="31" w:name="_Toc426469870"/>
      <w:r>
        <w:rPr>
          <w:rFonts w:hint="eastAsia" w:ascii="Times New Roman" w:hAnsi="Times New Roman" w:eastAsia="宋体"/>
          <w:b/>
          <w:bCs/>
          <w:color w:val="000000"/>
          <w:sz w:val="24"/>
          <w:szCs w:val="24"/>
        </w:rPr>
        <w:t>供应商须知前附表</w:t>
      </w:r>
      <w:bookmarkEnd w:id="30"/>
      <w:bookmarkEnd w:id="31"/>
    </w:p>
    <w:tbl>
      <w:tblPr>
        <w:tblStyle w:val="28"/>
        <w:tblW w:w="9315" w:type="dxa"/>
        <w:tblInd w:w="-3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5"/>
        <w:gridCol w:w="1748"/>
        <w:gridCol w:w="6622"/>
      </w:tblGrid>
      <w:tr w14:paraId="4BC54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5" w:type="dxa"/>
            <w:noWrap w:val="0"/>
            <w:vAlign w:val="center"/>
          </w:tcPr>
          <w:p w14:paraId="60C1A484">
            <w:pPr>
              <w:keepNext w:val="0"/>
              <w:keepLines w:val="0"/>
              <w:pageBreakBefore w:val="0"/>
              <w:spacing w:line="240" w:lineRule="auto"/>
              <w:jc w:val="center"/>
              <w:rPr>
                <w:rFonts w:hint="eastAsia" w:ascii="宋体" w:hAnsi="宋体" w:eastAsia="宋体" w:cs="宋体"/>
                <w:b/>
                <w:color w:val="000000"/>
                <w:sz w:val="22"/>
                <w:szCs w:val="22"/>
              </w:rPr>
            </w:pPr>
            <w:r>
              <w:rPr>
                <w:rFonts w:hint="eastAsia" w:ascii="宋体" w:hAnsi="宋体" w:eastAsia="宋体" w:cs="宋体"/>
                <w:b/>
                <w:color w:val="000000"/>
                <w:sz w:val="22"/>
                <w:szCs w:val="22"/>
              </w:rPr>
              <w:t>条款号</w:t>
            </w:r>
          </w:p>
        </w:tc>
        <w:tc>
          <w:tcPr>
            <w:tcW w:w="1748" w:type="dxa"/>
            <w:noWrap w:val="0"/>
            <w:vAlign w:val="center"/>
          </w:tcPr>
          <w:p w14:paraId="394FD43D">
            <w:pPr>
              <w:keepNext w:val="0"/>
              <w:keepLines w:val="0"/>
              <w:pageBreakBefore w:val="0"/>
              <w:spacing w:line="240" w:lineRule="auto"/>
              <w:jc w:val="center"/>
              <w:rPr>
                <w:rFonts w:hint="eastAsia" w:ascii="宋体" w:hAnsi="宋体" w:eastAsia="宋体" w:cs="宋体"/>
                <w:b/>
                <w:color w:val="000000"/>
                <w:sz w:val="22"/>
                <w:szCs w:val="22"/>
              </w:rPr>
            </w:pPr>
            <w:r>
              <w:rPr>
                <w:rFonts w:hint="eastAsia" w:ascii="宋体" w:hAnsi="宋体" w:eastAsia="宋体" w:cs="宋体"/>
                <w:b/>
                <w:color w:val="000000"/>
                <w:sz w:val="22"/>
                <w:szCs w:val="22"/>
              </w:rPr>
              <w:t>条款名称</w:t>
            </w:r>
          </w:p>
        </w:tc>
        <w:tc>
          <w:tcPr>
            <w:tcW w:w="6622" w:type="dxa"/>
            <w:noWrap w:val="0"/>
            <w:vAlign w:val="center"/>
          </w:tcPr>
          <w:p w14:paraId="2ACC93A8">
            <w:pPr>
              <w:keepNext w:val="0"/>
              <w:keepLines w:val="0"/>
              <w:pageBreakBefore w:val="0"/>
              <w:spacing w:line="240" w:lineRule="auto"/>
              <w:jc w:val="center"/>
              <w:rPr>
                <w:rFonts w:hint="eastAsia" w:ascii="宋体" w:hAnsi="宋体" w:eastAsia="宋体" w:cs="宋体"/>
                <w:b/>
                <w:color w:val="000000"/>
                <w:sz w:val="22"/>
                <w:szCs w:val="22"/>
              </w:rPr>
            </w:pPr>
            <w:r>
              <w:rPr>
                <w:rFonts w:hint="eastAsia" w:ascii="宋体" w:hAnsi="宋体" w:eastAsia="宋体" w:cs="宋体"/>
                <w:b/>
                <w:color w:val="000000"/>
                <w:sz w:val="22"/>
                <w:szCs w:val="22"/>
              </w:rPr>
              <w:t>编列内容</w:t>
            </w:r>
          </w:p>
        </w:tc>
      </w:tr>
      <w:tr w14:paraId="63183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7" w:hRule="atLeast"/>
        </w:trPr>
        <w:tc>
          <w:tcPr>
            <w:tcW w:w="945" w:type="dxa"/>
            <w:noWrap w:val="0"/>
            <w:vAlign w:val="center"/>
          </w:tcPr>
          <w:p w14:paraId="0910B266">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1.1.2</w:t>
            </w:r>
          </w:p>
        </w:tc>
        <w:tc>
          <w:tcPr>
            <w:tcW w:w="1748" w:type="dxa"/>
            <w:noWrap w:val="0"/>
            <w:vAlign w:val="center"/>
          </w:tcPr>
          <w:p w14:paraId="39E2EE44">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采购人</w:t>
            </w:r>
          </w:p>
        </w:tc>
        <w:tc>
          <w:tcPr>
            <w:tcW w:w="6622" w:type="dxa"/>
            <w:noWrap w:val="0"/>
            <w:vAlign w:val="center"/>
          </w:tcPr>
          <w:p w14:paraId="5AB26AF8">
            <w:pPr>
              <w:keepNext w:val="0"/>
              <w:keepLines w:val="0"/>
              <w:pageBreakBefore w:val="0"/>
              <w:widowControl w:val="0"/>
              <w:spacing w:line="240" w:lineRule="auto"/>
              <w:jc w:val="both"/>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名称：</w:t>
            </w:r>
            <w:r>
              <w:rPr>
                <w:rFonts w:hint="eastAsia" w:ascii="宋体" w:hAnsi="宋体" w:cs="宋体"/>
                <w:color w:val="000000"/>
                <w:sz w:val="22"/>
                <w:szCs w:val="22"/>
                <w:lang w:eastAsia="zh-CN"/>
              </w:rPr>
              <w:t>泰兴市古溪镇人民政府</w:t>
            </w:r>
          </w:p>
          <w:p w14:paraId="324F3A93">
            <w:pPr>
              <w:keepNext w:val="0"/>
              <w:keepLines w:val="0"/>
              <w:pageBreakBefore w:val="0"/>
              <w:widowControl w:val="0"/>
              <w:spacing w:line="240" w:lineRule="auto"/>
              <w:jc w:val="both"/>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地址：泰兴市</w:t>
            </w:r>
            <w:r>
              <w:rPr>
                <w:rFonts w:hint="eastAsia" w:ascii="宋体" w:hAnsi="宋体" w:cs="宋体"/>
                <w:color w:val="000000"/>
                <w:sz w:val="22"/>
                <w:szCs w:val="22"/>
                <w:lang w:val="en-US" w:eastAsia="zh-CN"/>
              </w:rPr>
              <w:t>古溪镇</w:t>
            </w:r>
          </w:p>
          <w:p w14:paraId="7FBAAF2B">
            <w:pPr>
              <w:keepNext w:val="0"/>
              <w:keepLines w:val="0"/>
              <w:pageBreakBefore w:val="0"/>
              <w:widowControl w:val="0"/>
              <w:spacing w:line="240" w:lineRule="auto"/>
              <w:jc w:val="both"/>
              <w:rPr>
                <w:rFonts w:ascii="宋体" w:hAnsi="宋体" w:eastAsia="宋体" w:cs="宋体"/>
                <w:color w:val="000000"/>
                <w:sz w:val="22"/>
                <w:szCs w:val="22"/>
                <w:lang w:val="en-US" w:eastAsia="zh-CN"/>
              </w:rPr>
            </w:pPr>
            <w:r>
              <w:rPr>
                <w:rFonts w:hint="eastAsia" w:ascii="宋体" w:hAnsi="宋体" w:eastAsia="宋体" w:cs="宋体"/>
                <w:color w:val="000000"/>
                <w:sz w:val="22"/>
                <w:szCs w:val="22"/>
              </w:rPr>
              <w:t>联系人：</w:t>
            </w:r>
            <w:r>
              <w:rPr>
                <w:rFonts w:hint="eastAsia" w:ascii="宋体" w:hAnsi="宋体" w:cs="宋体"/>
                <w:color w:val="000000"/>
                <w:sz w:val="22"/>
                <w:szCs w:val="22"/>
                <w:lang w:val="en-US" w:eastAsia="zh-CN"/>
              </w:rPr>
              <w:t>顾先生</w:t>
            </w:r>
          </w:p>
          <w:p w14:paraId="12F79789">
            <w:pPr>
              <w:pStyle w:val="78"/>
              <w:keepNext w:val="0"/>
              <w:keepLines w:val="0"/>
              <w:widowControl/>
              <w:suppressLineNumbers w:val="0"/>
              <w:spacing w:before="0" w:beforeAutospacing="0" w:after="0" w:afterAutospacing="0" w:line="360" w:lineRule="auto"/>
              <w:ind w:right="0"/>
              <w:jc w:val="both"/>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联系电话：13952661780</w:t>
            </w:r>
            <w:r>
              <w:rPr>
                <w:rFonts w:hint="eastAsia" w:cs="宋体"/>
                <w:color w:val="333333"/>
                <w:sz w:val="24"/>
                <w:szCs w:val="24"/>
                <w:shd w:val="clear" w:color="auto" w:fill="FFFFFF"/>
                <w:lang w:val="en-US" w:eastAsia="zh-CN"/>
              </w:rPr>
              <w:t xml:space="preserve"> </w:t>
            </w:r>
          </w:p>
        </w:tc>
      </w:tr>
      <w:tr w14:paraId="72AA3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6" w:hRule="atLeast"/>
        </w:trPr>
        <w:tc>
          <w:tcPr>
            <w:tcW w:w="945" w:type="dxa"/>
            <w:noWrap w:val="0"/>
            <w:vAlign w:val="center"/>
          </w:tcPr>
          <w:p w14:paraId="770F5D0E">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1.1.3</w:t>
            </w:r>
          </w:p>
        </w:tc>
        <w:tc>
          <w:tcPr>
            <w:tcW w:w="1748" w:type="dxa"/>
            <w:noWrap w:val="0"/>
            <w:vAlign w:val="center"/>
          </w:tcPr>
          <w:p w14:paraId="0CB4A89A">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采购代理机构</w:t>
            </w:r>
          </w:p>
        </w:tc>
        <w:tc>
          <w:tcPr>
            <w:tcW w:w="6622" w:type="dxa"/>
            <w:noWrap w:val="0"/>
            <w:vAlign w:val="center"/>
          </w:tcPr>
          <w:p w14:paraId="03D8BF2A">
            <w:pPr>
              <w:keepNext w:val="0"/>
              <w:keepLines w:val="0"/>
              <w:pageBreakBefore w:val="0"/>
              <w:widowControl w:val="0"/>
              <w:spacing w:line="240" w:lineRule="auto"/>
              <w:jc w:val="both"/>
              <w:rPr>
                <w:rFonts w:hint="eastAsia" w:ascii="宋体" w:hAnsi="宋体" w:eastAsia="宋体" w:cs="宋体"/>
                <w:color w:val="000000"/>
                <w:sz w:val="22"/>
                <w:szCs w:val="22"/>
              </w:rPr>
            </w:pPr>
            <w:r>
              <w:rPr>
                <w:rFonts w:hint="eastAsia" w:ascii="宋体" w:hAnsi="宋体" w:eastAsia="宋体" w:cs="宋体"/>
                <w:color w:val="000000"/>
                <w:sz w:val="22"/>
                <w:szCs w:val="22"/>
              </w:rPr>
              <w:t>名称：</w:t>
            </w:r>
            <w:r>
              <w:rPr>
                <w:rFonts w:hint="eastAsia" w:ascii="宋体" w:hAnsi="宋体" w:cs="宋体"/>
                <w:color w:val="000000"/>
                <w:sz w:val="22"/>
                <w:szCs w:val="22"/>
                <w:lang w:val="en-US" w:eastAsia="zh-CN"/>
              </w:rPr>
              <w:t>江苏聿鹏建设项目管理有限公司</w:t>
            </w:r>
          </w:p>
          <w:p w14:paraId="585FA62A">
            <w:pPr>
              <w:keepNext w:val="0"/>
              <w:keepLines w:val="0"/>
              <w:pageBreakBefore w:val="0"/>
              <w:widowControl w:val="0"/>
              <w:spacing w:line="240" w:lineRule="auto"/>
              <w:jc w:val="both"/>
              <w:rPr>
                <w:rFonts w:hint="eastAsia" w:ascii="宋体" w:hAnsi="宋体" w:eastAsia="宋体" w:cs="宋体"/>
                <w:color w:val="000000"/>
                <w:sz w:val="22"/>
                <w:szCs w:val="22"/>
                <w:u w:val="none"/>
              </w:rPr>
            </w:pPr>
            <w:r>
              <w:rPr>
                <w:rFonts w:hint="eastAsia" w:ascii="宋体" w:hAnsi="宋体" w:eastAsia="宋体" w:cs="宋体"/>
                <w:color w:val="000000"/>
                <w:sz w:val="22"/>
                <w:szCs w:val="22"/>
              </w:rPr>
              <w:t>地址：</w:t>
            </w:r>
            <w:r>
              <w:rPr>
                <w:rFonts w:hint="eastAsia" w:ascii="宋体" w:hAnsi="宋体" w:eastAsia="宋体" w:cs="宋体"/>
                <w:color w:val="000000"/>
                <w:sz w:val="22"/>
                <w:szCs w:val="22"/>
                <w:u w:val="none"/>
              </w:rPr>
              <w:t>泰兴市碧云商业广场8号楼1005室</w:t>
            </w:r>
          </w:p>
          <w:p w14:paraId="13A14E10">
            <w:pPr>
              <w:keepNext w:val="0"/>
              <w:keepLines w:val="0"/>
              <w:pageBreakBefore w:val="0"/>
              <w:widowControl w:val="0"/>
              <w:spacing w:line="240" w:lineRule="auto"/>
              <w:jc w:val="both"/>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联系人：</w:t>
            </w:r>
            <w:r>
              <w:rPr>
                <w:rFonts w:hint="eastAsia" w:ascii="宋体" w:hAnsi="宋体" w:cs="宋体"/>
                <w:color w:val="000000"/>
                <w:sz w:val="22"/>
                <w:szCs w:val="22"/>
                <w:lang w:val="en-US" w:eastAsia="zh-CN"/>
              </w:rPr>
              <w:t>何娜</w:t>
            </w:r>
          </w:p>
          <w:p w14:paraId="747F3C71">
            <w:pPr>
              <w:keepNext w:val="0"/>
              <w:keepLines w:val="0"/>
              <w:pageBreakBefore w:val="0"/>
              <w:widowControl w:val="0"/>
              <w:spacing w:line="240" w:lineRule="auto"/>
              <w:jc w:val="both"/>
              <w:rPr>
                <w:rFonts w:ascii="宋体" w:hAnsi="宋体" w:eastAsia="宋体" w:cs="宋体"/>
                <w:color w:val="000000"/>
                <w:sz w:val="22"/>
                <w:szCs w:val="22"/>
                <w:lang w:val="en-US" w:eastAsia="zh-CN"/>
              </w:rPr>
            </w:pPr>
            <w:r>
              <w:rPr>
                <w:rFonts w:hint="eastAsia" w:ascii="宋体" w:hAnsi="宋体" w:eastAsia="宋体" w:cs="宋体"/>
                <w:color w:val="000000"/>
                <w:sz w:val="22"/>
                <w:szCs w:val="22"/>
              </w:rPr>
              <w:t>联系电话：</w:t>
            </w:r>
            <w:r>
              <w:rPr>
                <w:rFonts w:hint="eastAsia" w:ascii="宋体" w:hAnsi="宋体" w:cs="宋体"/>
                <w:color w:val="000000"/>
                <w:sz w:val="22"/>
                <w:szCs w:val="22"/>
                <w:lang w:val="en-US" w:eastAsia="zh-CN"/>
              </w:rPr>
              <w:t>18362836013</w:t>
            </w:r>
          </w:p>
        </w:tc>
      </w:tr>
      <w:tr w14:paraId="57FAA0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5" w:type="dxa"/>
            <w:noWrap w:val="0"/>
            <w:vAlign w:val="center"/>
          </w:tcPr>
          <w:p w14:paraId="135CE2A3">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1.1.4</w:t>
            </w:r>
          </w:p>
        </w:tc>
        <w:tc>
          <w:tcPr>
            <w:tcW w:w="1748" w:type="dxa"/>
            <w:noWrap w:val="0"/>
            <w:vAlign w:val="center"/>
          </w:tcPr>
          <w:p w14:paraId="08EB7C72">
            <w:pPr>
              <w:keepNext w:val="0"/>
              <w:keepLines w:val="0"/>
              <w:pageBreakBefore w:val="0"/>
              <w:spacing w:line="240" w:lineRule="auto"/>
              <w:jc w:val="center"/>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项目名称</w:t>
            </w:r>
            <w:r>
              <w:rPr>
                <w:rFonts w:hint="eastAsia" w:ascii="宋体" w:hAnsi="宋体" w:eastAsia="宋体" w:cs="宋体"/>
                <w:color w:val="000000"/>
                <w:sz w:val="22"/>
                <w:szCs w:val="22"/>
                <w:lang w:eastAsia="zh-CN"/>
              </w:rPr>
              <w:t>及项目编号</w:t>
            </w:r>
          </w:p>
        </w:tc>
        <w:tc>
          <w:tcPr>
            <w:tcW w:w="6622" w:type="dxa"/>
            <w:noWrap w:val="0"/>
            <w:vAlign w:val="center"/>
          </w:tcPr>
          <w:p w14:paraId="1A760C06">
            <w:pPr>
              <w:keepNext w:val="0"/>
              <w:keepLines w:val="0"/>
              <w:pageBreakBefore w:val="0"/>
              <w:widowControl w:val="0"/>
              <w:spacing w:line="240" w:lineRule="auto"/>
              <w:jc w:val="both"/>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项目名称：</w:t>
            </w:r>
            <w:r>
              <w:rPr>
                <w:rFonts w:hint="eastAsia" w:ascii="宋体" w:hAnsi="宋体" w:cs="宋体"/>
                <w:color w:val="000000"/>
                <w:sz w:val="22"/>
                <w:szCs w:val="22"/>
                <w:lang w:eastAsia="zh-CN"/>
              </w:rPr>
              <w:t>2026年古溪镇交通强市四好农村路危桥改建项目（二）</w:t>
            </w:r>
          </w:p>
          <w:p w14:paraId="1A02A01E">
            <w:pPr>
              <w:keepNext w:val="0"/>
              <w:keepLines w:val="0"/>
              <w:pageBreakBefore w:val="0"/>
              <w:widowControl w:val="0"/>
              <w:spacing w:line="240" w:lineRule="auto"/>
              <w:jc w:val="both"/>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项目编号：</w:t>
            </w:r>
            <w:r>
              <w:rPr>
                <w:rFonts w:hint="eastAsia" w:ascii="宋体" w:hAnsi="宋体" w:cs="宋体"/>
                <w:color w:val="000000"/>
                <w:sz w:val="22"/>
                <w:szCs w:val="22"/>
                <w:lang w:eastAsia="zh-CN"/>
              </w:rPr>
              <w:t>JSZC-321283-JSPT-C2026-0004</w:t>
            </w:r>
            <w:r>
              <w:rPr>
                <w:rFonts w:hint="eastAsia" w:ascii="宋体" w:hAnsi="宋体" w:cs="宋体"/>
                <w:color w:val="000000"/>
                <w:sz w:val="22"/>
                <w:szCs w:val="22"/>
                <w:lang w:val="en-US" w:eastAsia="zh-CN"/>
              </w:rPr>
              <w:t xml:space="preserve"> </w:t>
            </w:r>
          </w:p>
        </w:tc>
      </w:tr>
      <w:tr w14:paraId="2F74A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7" w:hRule="atLeast"/>
        </w:trPr>
        <w:tc>
          <w:tcPr>
            <w:tcW w:w="945" w:type="dxa"/>
            <w:noWrap w:val="0"/>
            <w:vAlign w:val="center"/>
          </w:tcPr>
          <w:p w14:paraId="16D8D55F">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1.2.1</w:t>
            </w:r>
          </w:p>
        </w:tc>
        <w:tc>
          <w:tcPr>
            <w:tcW w:w="1748" w:type="dxa"/>
            <w:noWrap w:val="0"/>
            <w:vAlign w:val="center"/>
          </w:tcPr>
          <w:p w14:paraId="49245121">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资金来源及出资比例</w:t>
            </w:r>
          </w:p>
        </w:tc>
        <w:tc>
          <w:tcPr>
            <w:tcW w:w="6622" w:type="dxa"/>
            <w:noWrap w:val="0"/>
            <w:vAlign w:val="center"/>
          </w:tcPr>
          <w:p w14:paraId="19C78CE5">
            <w:pPr>
              <w:keepNext w:val="0"/>
              <w:keepLines w:val="0"/>
              <w:pageBreakBefore w:val="0"/>
              <w:widowControl w:val="0"/>
              <w:spacing w:line="240" w:lineRule="auto"/>
              <w:jc w:val="both"/>
              <w:rPr>
                <w:rFonts w:hint="eastAsia" w:ascii="宋体" w:hAnsi="宋体" w:eastAsia="宋体" w:cs="宋体"/>
                <w:color w:val="000000"/>
                <w:sz w:val="22"/>
                <w:szCs w:val="22"/>
              </w:rPr>
            </w:pPr>
            <w:bookmarkStart w:id="32" w:name="EB0b51c78ec4aa43fdb5edf8e1b57ddda1"/>
            <w:r>
              <w:rPr>
                <w:rFonts w:hint="eastAsia" w:ascii="宋体" w:hAnsi="宋体" w:eastAsia="宋体" w:cs="宋体"/>
                <w:color w:val="000000"/>
                <w:sz w:val="22"/>
                <w:szCs w:val="22"/>
              </w:rPr>
              <w:t>资金来源：</w:t>
            </w:r>
            <w:bookmarkEnd w:id="32"/>
            <w:r>
              <w:rPr>
                <w:rFonts w:hint="eastAsia" w:ascii="宋体" w:hAnsi="宋体" w:eastAsia="宋体" w:cs="宋体"/>
                <w:color w:val="000000"/>
                <w:sz w:val="22"/>
                <w:szCs w:val="22"/>
              </w:rPr>
              <w:t>财政</w:t>
            </w:r>
          </w:p>
        </w:tc>
      </w:tr>
      <w:tr w14:paraId="465CA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2" w:hRule="atLeast"/>
        </w:trPr>
        <w:tc>
          <w:tcPr>
            <w:tcW w:w="945" w:type="dxa"/>
            <w:noWrap w:val="0"/>
            <w:vAlign w:val="center"/>
          </w:tcPr>
          <w:p w14:paraId="3B4B78F7">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1.2.2</w:t>
            </w:r>
          </w:p>
        </w:tc>
        <w:tc>
          <w:tcPr>
            <w:tcW w:w="1748" w:type="dxa"/>
            <w:noWrap w:val="0"/>
            <w:vAlign w:val="center"/>
          </w:tcPr>
          <w:p w14:paraId="0013CBDD">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资金落实情况</w:t>
            </w:r>
          </w:p>
        </w:tc>
        <w:tc>
          <w:tcPr>
            <w:tcW w:w="6622" w:type="dxa"/>
            <w:noWrap w:val="0"/>
            <w:vAlign w:val="center"/>
          </w:tcPr>
          <w:p w14:paraId="2B15F0E2">
            <w:pPr>
              <w:keepNext w:val="0"/>
              <w:keepLines w:val="0"/>
              <w:pageBreakBefore w:val="0"/>
              <w:widowControl w:val="0"/>
              <w:spacing w:line="240" w:lineRule="auto"/>
              <w:jc w:val="both"/>
              <w:rPr>
                <w:rFonts w:hint="eastAsia" w:ascii="宋体" w:hAnsi="宋体" w:eastAsia="宋体" w:cs="宋体"/>
                <w:color w:val="000000"/>
                <w:sz w:val="22"/>
                <w:szCs w:val="22"/>
              </w:rPr>
            </w:pPr>
            <w:r>
              <w:rPr>
                <w:rFonts w:hint="eastAsia" w:ascii="宋体" w:hAnsi="宋体" w:eastAsia="宋体" w:cs="宋体"/>
                <w:color w:val="000000"/>
                <w:sz w:val="22"/>
                <w:szCs w:val="22"/>
              </w:rPr>
              <w:t>已落实</w:t>
            </w:r>
          </w:p>
        </w:tc>
      </w:tr>
      <w:tr w14:paraId="12F46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trPr>
        <w:tc>
          <w:tcPr>
            <w:tcW w:w="945" w:type="dxa"/>
            <w:noWrap w:val="0"/>
            <w:vAlign w:val="center"/>
          </w:tcPr>
          <w:p w14:paraId="4223157C">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1.2.3</w:t>
            </w:r>
          </w:p>
        </w:tc>
        <w:tc>
          <w:tcPr>
            <w:tcW w:w="1748" w:type="dxa"/>
            <w:noWrap w:val="0"/>
            <w:vAlign w:val="center"/>
          </w:tcPr>
          <w:p w14:paraId="54EC7693">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付款方式</w:t>
            </w:r>
          </w:p>
        </w:tc>
        <w:tc>
          <w:tcPr>
            <w:tcW w:w="6622" w:type="dxa"/>
            <w:noWrap w:val="0"/>
            <w:vAlign w:val="center"/>
          </w:tcPr>
          <w:p w14:paraId="782E58EE">
            <w:pPr>
              <w:keepNext w:val="0"/>
              <w:keepLines w:val="0"/>
              <w:pageBreakBefore w:val="0"/>
              <w:widowControl w:val="0"/>
              <w:spacing w:line="240" w:lineRule="auto"/>
              <w:jc w:val="both"/>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工程竣工验收合格并经审计后付至审计价的40%，2027年底付至审计价的70%，工程竣工验收合格满两年且无质量缺陷按审计价付清余款。</w:t>
            </w:r>
          </w:p>
        </w:tc>
      </w:tr>
      <w:tr w14:paraId="0F129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945" w:type="dxa"/>
            <w:noWrap w:val="0"/>
            <w:vAlign w:val="center"/>
          </w:tcPr>
          <w:p w14:paraId="2D647F38">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1.3.1</w:t>
            </w:r>
          </w:p>
        </w:tc>
        <w:tc>
          <w:tcPr>
            <w:tcW w:w="1748" w:type="dxa"/>
            <w:noWrap w:val="0"/>
            <w:vAlign w:val="center"/>
          </w:tcPr>
          <w:p w14:paraId="77E07CCC">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采购范围</w:t>
            </w:r>
          </w:p>
        </w:tc>
        <w:tc>
          <w:tcPr>
            <w:tcW w:w="6622" w:type="dxa"/>
            <w:noWrap w:val="0"/>
            <w:vAlign w:val="center"/>
          </w:tcPr>
          <w:p w14:paraId="24A0B7AE">
            <w:pPr>
              <w:keepNext w:val="0"/>
              <w:keepLines w:val="0"/>
              <w:pageBreakBefore w:val="0"/>
              <w:widowControl w:val="0"/>
              <w:spacing w:line="240" w:lineRule="auto"/>
              <w:jc w:val="both"/>
              <w:rPr>
                <w:rFonts w:hint="eastAsia" w:ascii="宋体" w:hAnsi="宋体" w:eastAsia="宋体" w:cs="宋体"/>
                <w:color w:val="000000"/>
                <w:sz w:val="22"/>
                <w:szCs w:val="22"/>
                <w:lang w:val="zh-CN"/>
              </w:rPr>
            </w:pPr>
            <w:r>
              <w:rPr>
                <w:rFonts w:hint="eastAsia" w:ascii="宋体" w:hAnsi="宋体" w:eastAsia="宋体" w:cs="宋体"/>
                <w:color w:val="000000"/>
                <w:sz w:val="22"/>
                <w:szCs w:val="22"/>
              </w:rPr>
              <w:t>见竞争性磋商公告</w:t>
            </w:r>
          </w:p>
        </w:tc>
      </w:tr>
      <w:tr w14:paraId="5253D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945" w:type="dxa"/>
            <w:noWrap w:val="0"/>
            <w:vAlign w:val="center"/>
          </w:tcPr>
          <w:p w14:paraId="3B3B7EDD">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1.3.2</w:t>
            </w:r>
          </w:p>
        </w:tc>
        <w:tc>
          <w:tcPr>
            <w:tcW w:w="1748" w:type="dxa"/>
            <w:noWrap w:val="0"/>
            <w:vAlign w:val="center"/>
          </w:tcPr>
          <w:p w14:paraId="24094691">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lang w:val="zh-CN" w:bidi="zh-CN"/>
              </w:rPr>
              <w:t>合同履行期限</w:t>
            </w:r>
          </w:p>
        </w:tc>
        <w:tc>
          <w:tcPr>
            <w:tcW w:w="6622" w:type="dxa"/>
            <w:noWrap w:val="0"/>
            <w:vAlign w:val="center"/>
          </w:tcPr>
          <w:p w14:paraId="5CCCBCE9">
            <w:pPr>
              <w:keepNext w:val="0"/>
              <w:keepLines w:val="0"/>
              <w:pageBreakBefore w:val="0"/>
              <w:widowControl w:val="0"/>
              <w:spacing w:line="240" w:lineRule="auto"/>
              <w:jc w:val="both"/>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lang w:val="en-US" w:eastAsia="zh-CN"/>
              </w:rPr>
              <w:t>60日历天</w:t>
            </w:r>
          </w:p>
        </w:tc>
      </w:tr>
      <w:tr w14:paraId="22859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5" w:type="dxa"/>
            <w:noWrap w:val="0"/>
            <w:vAlign w:val="center"/>
          </w:tcPr>
          <w:p w14:paraId="6FE68250">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1.4.2</w:t>
            </w:r>
          </w:p>
        </w:tc>
        <w:tc>
          <w:tcPr>
            <w:tcW w:w="1748" w:type="dxa"/>
            <w:noWrap w:val="0"/>
            <w:vAlign w:val="center"/>
          </w:tcPr>
          <w:p w14:paraId="0D31AF32">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采购人要求供应商具备的特定条件</w:t>
            </w:r>
          </w:p>
        </w:tc>
        <w:tc>
          <w:tcPr>
            <w:tcW w:w="6622" w:type="dxa"/>
            <w:noWrap w:val="0"/>
            <w:vAlign w:val="center"/>
          </w:tcPr>
          <w:p w14:paraId="6381C6AE">
            <w:pPr>
              <w:keepNext w:val="0"/>
              <w:keepLines w:val="0"/>
              <w:pageBreakBefore w:val="0"/>
              <w:widowControl w:val="0"/>
              <w:spacing w:line="240" w:lineRule="auto"/>
              <w:jc w:val="both"/>
              <w:rPr>
                <w:rFonts w:hint="eastAsia" w:ascii="宋体" w:hAnsi="宋体" w:eastAsia="宋体" w:cs="宋体"/>
                <w:color w:val="000000"/>
                <w:sz w:val="22"/>
                <w:szCs w:val="22"/>
              </w:rPr>
            </w:pPr>
            <w:r>
              <w:rPr>
                <w:rFonts w:hint="eastAsia" w:ascii="宋体" w:hAnsi="宋体" w:eastAsia="宋体" w:cs="宋体"/>
                <w:color w:val="000000"/>
                <w:sz w:val="22"/>
                <w:szCs w:val="22"/>
              </w:rPr>
              <w:t>见竞争性磋商公告</w:t>
            </w:r>
          </w:p>
        </w:tc>
      </w:tr>
      <w:tr w14:paraId="3C97D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945" w:type="dxa"/>
            <w:noWrap w:val="0"/>
            <w:vAlign w:val="center"/>
          </w:tcPr>
          <w:p w14:paraId="25555649">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1.9</w:t>
            </w:r>
          </w:p>
        </w:tc>
        <w:tc>
          <w:tcPr>
            <w:tcW w:w="1748" w:type="dxa"/>
            <w:noWrap w:val="0"/>
            <w:vAlign w:val="center"/>
          </w:tcPr>
          <w:p w14:paraId="775D06EC">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分包</w:t>
            </w:r>
          </w:p>
        </w:tc>
        <w:tc>
          <w:tcPr>
            <w:tcW w:w="6622" w:type="dxa"/>
            <w:noWrap w:val="0"/>
            <w:vAlign w:val="center"/>
          </w:tcPr>
          <w:p w14:paraId="0C1507FC">
            <w:pPr>
              <w:tabs>
                <w:tab w:val="left" w:pos="1620"/>
              </w:tabs>
              <w:spacing w:line="360" w:lineRule="exact"/>
              <w:rPr>
                <w:b/>
                <w:sz w:val="28"/>
                <w:szCs w:val="28"/>
              </w:rPr>
            </w:pPr>
            <w:r>
              <w:rPr>
                <w:rFonts w:hint="eastAsia"/>
                <w:b/>
                <w:sz w:val="28"/>
                <w:szCs w:val="28"/>
                <w:lang w:eastAsia="zh-CN"/>
              </w:rPr>
              <w:t>□</w:t>
            </w:r>
            <w:r>
              <w:rPr>
                <w:rFonts w:hint="eastAsia" w:ascii="宋体" w:hAnsi="宋体"/>
                <w:b/>
                <w:sz w:val="28"/>
                <w:szCs w:val="28"/>
              </w:rPr>
              <w:t>不允许</w:t>
            </w:r>
          </w:p>
          <w:p w14:paraId="6BD71404">
            <w:pPr>
              <w:tabs>
                <w:tab w:val="left" w:pos="1620"/>
              </w:tabs>
              <w:spacing w:line="360" w:lineRule="exact"/>
              <w:rPr>
                <w:rFonts w:hint="eastAsia" w:ascii="宋体" w:hAnsi="宋体"/>
                <w:b/>
                <w:sz w:val="28"/>
                <w:szCs w:val="28"/>
              </w:rPr>
            </w:pPr>
            <w:r>
              <w:rPr>
                <w:rFonts w:hint="eastAsia"/>
                <w:b/>
                <w:sz w:val="28"/>
                <w:szCs w:val="28"/>
                <w:lang w:eastAsia="zh-CN"/>
              </w:rPr>
              <w:t>☑</w:t>
            </w:r>
            <w:r>
              <w:rPr>
                <w:rFonts w:hint="eastAsia" w:ascii="宋体" w:hAnsi="宋体"/>
                <w:b/>
                <w:sz w:val="28"/>
                <w:szCs w:val="28"/>
              </w:rPr>
              <w:t>允许</w:t>
            </w:r>
          </w:p>
          <w:p w14:paraId="376F9418">
            <w:pPr>
              <w:keepNext w:val="0"/>
              <w:keepLines w:val="0"/>
              <w:widowControl/>
              <w:suppressLineNumbers w:val="0"/>
              <w:jc w:val="left"/>
              <w:rPr>
                <w:rFonts w:ascii="宋体" w:hAnsi="宋体" w:cs="宋体"/>
                <w:b/>
                <w:bCs/>
                <w:color w:val="FF0000"/>
                <w:sz w:val="22"/>
                <w:szCs w:val="22"/>
                <w:lang w:val="en-US" w:eastAsia="zh-CN"/>
              </w:rPr>
            </w:pPr>
            <w:r>
              <w:rPr>
                <w:rFonts w:hint="eastAsia" w:ascii="宋体" w:hAnsi="宋体" w:cs="宋体"/>
                <w:b/>
                <w:bCs/>
                <w:color w:val="FF0000"/>
                <w:sz w:val="22"/>
                <w:szCs w:val="22"/>
                <w:lang w:val="en-US" w:eastAsia="zh-CN"/>
              </w:rPr>
              <w:t>允许专业分包的工程范围仅限负面清单以外的部分单位工程、分部工程或者分项工程，并遵循《省交通运输厅关于贯彻落实交通运输部 &lt;公路工程施工分包管理办法&gt;的通知 》（苏交建函〔2024〕53号文）、《交通运输部关于印发&lt;公路工程施工分包管理办法&gt;的通知》（交公路规〔2024〕2号）、《交通运输部办公厅关于印发&lt;公路工程施工分包负面清单（2024年版）&gt;的通知》（交办公路〔2024〕6号）、</w:t>
            </w:r>
            <w:r>
              <w:rPr>
                <w:rFonts w:hint="eastAsia" w:ascii="宋体" w:hAnsi="宋体" w:eastAsia="宋体" w:cs="宋体"/>
                <w:b/>
                <w:bCs/>
                <w:color w:val="FF0000"/>
                <w:sz w:val="22"/>
                <w:szCs w:val="22"/>
                <w:lang w:val="en-US" w:eastAsia="zh-CN" w:bidi="ar"/>
              </w:rPr>
              <w:t>《江苏省公路工程施工分包管理实施细则》（苏交规〔2015〕2号）、</w:t>
            </w:r>
            <w:r>
              <w:rPr>
                <w:rFonts w:hint="eastAsia" w:ascii="宋体" w:hAnsi="宋体" w:cs="宋体"/>
                <w:b/>
                <w:bCs/>
                <w:color w:val="FF0000"/>
                <w:sz w:val="22"/>
                <w:szCs w:val="22"/>
                <w:lang w:val="en-US" w:eastAsia="zh-CN"/>
              </w:rPr>
              <w:t>《关于贯彻执行&lt;江苏省公路工程施工分包管理实施细则&gt;的意见》（苏交建工〔2015〕22号文）等</w:t>
            </w:r>
            <w:r>
              <w:rPr>
                <w:rFonts w:hint="eastAsia" w:ascii="宋体" w:hAnsi="宋体" w:eastAsia="宋体" w:cs="宋体"/>
                <w:b/>
                <w:bCs/>
                <w:color w:val="FF0000"/>
                <w:sz w:val="22"/>
                <w:szCs w:val="22"/>
                <w:lang w:val="en-US" w:eastAsia="zh-CN" w:bidi="ar"/>
              </w:rPr>
              <w:t>有关施工分包、劳务合作管理的要求</w:t>
            </w:r>
            <w:r>
              <w:rPr>
                <w:rFonts w:hint="eastAsia" w:ascii="宋体" w:hAnsi="宋体" w:cs="宋体"/>
                <w:b/>
                <w:bCs/>
                <w:color w:val="FF0000"/>
                <w:sz w:val="22"/>
                <w:szCs w:val="22"/>
                <w:lang w:val="en-US" w:eastAsia="zh-CN"/>
              </w:rPr>
              <w:t>执行.如相关要求有不一致之处，以发布时间在后的为准。承包人任何分包最终需经建设管理单位批准同意。</w:t>
            </w:r>
          </w:p>
          <w:p w14:paraId="51495A5F">
            <w:pPr>
              <w:pStyle w:val="260"/>
              <w:keepNext w:val="0"/>
              <w:keepLines w:val="0"/>
              <w:pageBreakBefore w:val="0"/>
              <w:widowControl w:val="0"/>
              <w:spacing w:line="240" w:lineRule="auto"/>
              <w:jc w:val="both"/>
              <w:rPr>
                <w:rFonts w:hint="eastAsia" w:ascii="宋体" w:hAnsi="宋体" w:eastAsia="宋体" w:cs="宋体"/>
                <w:color w:val="000000"/>
                <w:sz w:val="22"/>
                <w:szCs w:val="22"/>
              </w:rPr>
            </w:pPr>
            <w:r>
              <w:rPr>
                <w:rFonts w:hint="eastAsia" w:ascii="宋体" w:hAnsi="宋体" w:cs="宋体"/>
                <w:b/>
                <w:bCs/>
                <w:color w:val="FF0000"/>
                <w:sz w:val="22"/>
                <w:szCs w:val="22"/>
                <w:lang w:val="en-US" w:eastAsia="zh-CN"/>
              </w:rPr>
              <w:t>特别提醒：投标人如有分包计划，必须在投标文件“拟分包项目情况表”中如实填报(尤其交安设施工程)，并明确拟分包的工程及规模(明确拟分包工程金额或者注明以分包章节清单汇总金额为准”），否则作否决投标处理，（分包单位在投标阶段不须明确)</w:t>
            </w:r>
          </w:p>
        </w:tc>
      </w:tr>
      <w:tr w14:paraId="333C6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 w:hRule="atLeast"/>
        </w:trPr>
        <w:tc>
          <w:tcPr>
            <w:tcW w:w="945" w:type="dxa"/>
            <w:noWrap w:val="0"/>
            <w:vAlign w:val="center"/>
          </w:tcPr>
          <w:p w14:paraId="7C72EF34">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1.10</w:t>
            </w:r>
          </w:p>
        </w:tc>
        <w:tc>
          <w:tcPr>
            <w:tcW w:w="1748" w:type="dxa"/>
            <w:noWrap w:val="0"/>
            <w:vAlign w:val="center"/>
          </w:tcPr>
          <w:p w14:paraId="54A896CA">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偏离</w:t>
            </w:r>
          </w:p>
        </w:tc>
        <w:tc>
          <w:tcPr>
            <w:tcW w:w="6622" w:type="dxa"/>
            <w:noWrap w:val="0"/>
            <w:vAlign w:val="center"/>
          </w:tcPr>
          <w:p w14:paraId="08312974">
            <w:pPr>
              <w:keepNext w:val="0"/>
              <w:keepLines w:val="0"/>
              <w:pageBreakBefore w:val="0"/>
              <w:widowControl w:val="0"/>
              <w:spacing w:line="240" w:lineRule="auto"/>
              <w:jc w:val="both"/>
              <w:rPr>
                <w:rFonts w:hint="eastAsia" w:ascii="宋体" w:hAnsi="宋体" w:eastAsia="宋体" w:cs="宋体"/>
                <w:color w:val="000000"/>
                <w:sz w:val="22"/>
                <w:szCs w:val="22"/>
              </w:rPr>
            </w:pPr>
            <w:bookmarkStart w:id="33" w:name="FBfe800446baa24252acf6b14953dc4897"/>
            <w:bookmarkEnd w:id="33"/>
            <w:bookmarkStart w:id="34" w:name="FEfe800446baa24252acf6b14953dc4897"/>
            <w:bookmarkEnd w:id="34"/>
            <w:r>
              <w:rPr>
                <w:rFonts w:hint="eastAsia" w:ascii="宋体" w:hAnsi="宋体" w:eastAsia="宋体" w:cs="宋体"/>
                <w:color w:val="000000"/>
                <w:sz w:val="22"/>
                <w:szCs w:val="22"/>
              </w:rPr>
              <w:t>不允许负偏离</w:t>
            </w:r>
          </w:p>
        </w:tc>
      </w:tr>
      <w:tr w14:paraId="5AAB3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5" w:type="dxa"/>
            <w:noWrap w:val="0"/>
            <w:vAlign w:val="center"/>
          </w:tcPr>
          <w:p w14:paraId="4287377B">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2.1</w:t>
            </w:r>
          </w:p>
        </w:tc>
        <w:tc>
          <w:tcPr>
            <w:tcW w:w="1748" w:type="dxa"/>
            <w:noWrap w:val="0"/>
            <w:vAlign w:val="center"/>
          </w:tcPr>
          <w:p w14:paraId="5B83DCEF">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构成竞争性磋商文件的其他材料</w:t>
            </w:r>
          </w:p>
        </w:tc>
        <w:tc>
          <w:tcPr>
            <w:tcW w:w="6622" w:type="dxa"/>
            <w:noWrap w:val="0"/>
            <w:vAlign w:val="center"/>
          </w:tcPr>
          <w:p w14:paraId="0EDFC20E">
            <w:pPr>
              <w:keepNext w:val="0"/>
              <w:keepLines w:val="0"/>
              <w:pageBreakBefore w:val="0"/>
              <w:widowControl w:val="0"/>
              <w:spacing w:line="240" w:lineRule="auto"/>
              <w:jc w:val="both"/>
              <w:rPr>
                <w:rFonts w:hint="eastAsia" w:ascii="宋体" w:hAnsi="宋体" w:eastAsia="宋体" w:cs="宋体"/>
                <w:color w:val="000000"/>
                <w:sz w:val="22"/>
                <w:szCs w:val="22"/>
              </w:rPr>
            </w:pPr>
            <w:bookmarkStart w:id="35" w:name="EB35ced2e8f8364f63a510bf246ff979f0"/>
            <w:bookmarkEnd w:id="35"/>
            <w:r>
              <w:rPr>
                <w:rFonts w:hint="eastAsia" w:ascii="宋体" w:hAnsi="宋体" w:eastAsia="宋体" w:cs="宋体"/>
                <w:color w:val="000000"/>
                <w:sz w:val="22"/>
                <w:szCs w:val="22"/>
                <w:lang w:val="en-US" w:eastAsia="zh-CN"/>
              </w:rPr>
              <w:t>工程量清单、图纸（如有）、</w:t>
            </w:r>
            <w:r>
              <w:rPr>
                <w:rFonts w:hint="eastAsia" w:ascii="宋体" w:hAnsi="宋体" w:eastAsia="宋体" w:cs="宋体"/>
                <w:color w:val="000000"/>
                <w:sz w:val="22"/>
                <w:szCs w:val="22"/>
              </w:rPr>
              <w:t>竞争性磋商文件的澄清、修改、补充通知等内容</w:t>
            </w:r>
          </w:p>
        </w:tc>
      </w:tr>
      <w:tr w14:paraId="0F837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5" w:type="dxa"/>
            <w:noWrap w:val="0"/>
            <w:vAlign w:val="center"/>
          </w:tcPr>
          <w:p w14:paraId="57EBB0E4">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2.2.1</w:t>
            </w:r>
          </w:p>
        </w:tc>
        <w:tc>
          <w:tcPr>
            <w:tcW w:w="1748" w:type="dxa"/>
            <w:noWrap w:val="0"/>
            <w:vAlign w:val="center"/>
          </w:tcPr>
          <w:p w14:paraId="7BEEB8D1">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供应商要求澄清竞争性磋商文件的截止时间</w:t>
            </w:r>
          </w:p>
        </w:tc>
        <w:tc>
          <w:tcPr>
            <w:tcW w:w="6622" w:type="dxa"/>
            <w:noWrap w:val="0"/>
            <w:vAlign w:val="center"/>
          </w:tcPr>
          <w:p w14:paraId="2477BC82">
            <w:pPr>
              <w:keepNext w:val="0"/>
              <w:keepLines w:val="0"/>
              <w:pageBreakBefore w:val="0"/>
              <w:widowControl w:val="0"/>
              <w:spacing w:line="240" w:lineRule="auto"/>
              <w:jc w:val="both"/>
              <w:rPr>
                <w:rFonts w:hint="eastAsia" w:ascii="宋体" w:hAnsi="宋体" w:eastAsia="宋体" w:cs="宋体"/>
                <w:color w:val="000000"/>
                <w:sz w:val="22"/>
                <w:szCs w:val="22"/>
              </w:rPr>
            </w:pPr>
            <w:bookmarkStart w:id="36" w:name="EBd85a71e9b634466b828d00f2fd5a11a2"/>
            <w:r>
              <w:rPr>
                <w:rFonts w:hint="eastAsia" w:ascii="宋体" w:hAnsi="宋体" w:eastAsia="宋体" w:cs="宋体"/>
                <w:color w:val="000000"/>
                <w:sz w:val="22"/>
                <w:szCs w:val="22"/>
              </w:rPr>
              <w:t>202</w:t>
            </w:r>
            <w:r>
              <w:rPr>
                <w:rFonts w:hint="eastAsia" w:ascii="宋体" w:hAnsi="宋体" w:cs="宋体"/>
                <w:color w:val="000000"/>
                <w:sz w:val="22"/>
                <w:szCs w:val="22"/>
                <w:lang w:val="en-US" w:eastAsia="zh-CN"/>
              </w:rPr>
              <w:t>6</w:t>
            </w:r>
            <w:r>
              <w:rPr>
                <w:rFonts w:hint="eastAsia" w:ascii="宋体" w:hAnsi="宋体" w:eastAsia="宋体" w:cs="宋体"/>
                <w:color w:val="000000"/>
                <w:sz w:val="22"/>
                <w:szCs w:val="22"/>
              </w:rPr>
              <w:t>年</w:t>
            </w:r>
            <w:bookmarkEnd w:id="36"/>
            <w:r>
              <w:rPr>
                <w:rFonts w:hint="eastAsia" w:ascii="宋体" w:hAnsi="宋体" w:cs="宋体"/>
                <w:color w:val="000000"/>
                <w:sz w:val="22"/>
                <w:szCs w:val="22"/>
                <w:lang w:val="en-US" w:eastAsia="zh-CN"/>
              </w:rPr>
              <w:t>10</w:t>
            </w:r>
            <w:r>
              <w:rPr>
                <w:rFonts w:hint="eastAsia" w:ascii="宋体" w:hAnsi="宋体" w:eastAsia="宋体" w:cs="宋体"/>
                <w:color w:val="000000"/>
                <w:sz w:val="22"/>
                <w:szCs w:val="22"/>
              </w:rPr>
              <w:t>月</w:t>
            </w:r>
            <w:r>
              <w:rPr>
                <w:rFonts w:hint="eastAsia" w:ascii="宋体" w:hAnsi="宋体" w:cs="宋体"/>
                <w:color w:val="000000"/>
                <w:sz w:val="22"/>
                <w:szCs w:val="22"/>
                <w:lang w:val="en-US" w:eastAsia="zh-CN"/>
              </w:rPr>
              <w:t>23</w:t>
            </w:r>
            <w:r>
              <w:rPr>
                <w:rFonts w:hint="eastAsia" w:ascii="宋体" w:hAnsi="宋体" w:eastAsia="宋体" w:cs="宋体"/>
                <w:color w:val="000000"/>
                <w:sz w:val="22"/>
                <w:szCs w:val="22"/>
              </w:rPr>
              <w:t>日17 时</w:t>
            </w:r>
          </w:p>
        </w:tc>
      </w:tr>
      <w:tr w14:paraId="2DF00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2" w:hRule="atLeast"/>
        </w:trPr>
        <w:tc>
          <w:tcPr>
            <w:tcW w:w="945" w:type="dxa"/>
            <w:noWrap w:val="0"/>
            <w:vAlign w:val="center"/>
          </w:tcPr>
          <w:p w14:paraId="7A0ECA81">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2.2.2</w:t>
            </w:r>
          </w:p>
        </w:tc>
        <w:tc>
          <w:tcPr>
            <w:tcW w:w="1748" w:type="dxa"/>
            <w:noWrap w:val="0"/>
            <w:vAlign w:val="center"/>
          </w:tcPr>
          <w:p w14:paraId="3F211D86">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提交响应性文件截止时间</w:t>
            </w:r>
          </w:p>
        </w:tc>
        <w:tc>
          <w:tcPr>
            <w:tcW w:w="6622" w:type="dxa"/>
            <w:noWrap w:val="0"/>
            <w:vAlign w:val="center"/>
          </w:tcPr>
          <w:p w14:paraId="4E772602">
            <w:pPr>
              <w:keepNext w:val="0"/>
              <w:keepLines w:val="0"/>
              <w:pageBreakBefore w:val="0"/>
              <w:widowControl w:val="0"/>
              <w:spacing w:line="240" w:lineRule="auto"/>
              <w:jc w:val="both"/>
              <w:rPr>
                <w:rFonts w:hint="eastAsia" w:ascii="宋体" w:hAnsi="宋体" w:eastAsia="宋体" w:cs="宋体"/>
                <w:color w:val="000000"/>
                <w:sz w:val="22"/>
                <w:szCs w:val="22"/>
              </w:rPr>
            </w:pPr>
            <w:bookmarkStart w:id="37" w:name="EB07e4d5684c5a453f863ff09b111d1d9b"/>
            <w:r>
              <w:rPr>
                <w:rFonts w:hint="eastAsia" w:ascii="宋体" w:hAnsi="宋体" w:eastAsia="宋体" w:cs="宋体"/>
                <w:color w:val="000000"/>
                <w:sz w:val="22"/>
                <w:szCs w:val="22"/>
              </w:rPr>
              <w:t>202</w:t>
            </w:r>
            <w:r>
              <w:rPr>
                <w:rFonts w:hint="eastAsia" w:ascii="宋体" w:hAnsi="宋体" w:cs="宋体"/>
                <w:color w:val="000000"/>
                <w:sz w:val="22"/>
                <w:szCs w:val="22"/>
                <w:lang w:val="en-US" w:eastAsia="zh-CN"/>
              </w:rPr>
              <w:t>6</w:t>
            </w:r>
            <w:r>
              <w:rPr>
                <w:rFonts w:hint="eastAsia" w:ascii="宋体" w:hAnsi="宋体" w:eastAsia="宋体" w:cs="宋体"/>
                <w:color w:val="000000"/>
                <w:sz w:val="22"/>
                <w:szCs w:val="22"/>
              </w:rPr>
              <w:t>年</w:t>
            </w:r>
            <w:bookmarkEnd w:id="37"/>
            <w:r>
              <w:rPr>
                <w:rFonts w:hint="eastAsia" w:ascii="宋体" w:hAnsi="宋体" w:cs="宋体"/>
                <w:color w:val="000000"/>
                <w:sz w:val="22"/>
                <w:szCs w:val="22"/>
                <w:lang w:val="en-US" w:eastAsia="zh-CN"/>
              </w:rPr>
              <w:t>10</w:t>
            </w:r>
            <w:r>
              <w:rPr>
                <w:rFonts w:hint="eastAsia" w:ascii="宋体" w:hAnsi="宋体" w:eastAsia="宋体" w:cs="宋体"/>
                <w:color w:val="000000"/>
                <w:sz w:val="22"/>
                <w:szCs w:val="22"/>
              </w:rPr>
              <w:t>月</w:t>
            </w:r>
            <w:r>
              <w:rPr>
                <w:rFonts w:hint="eastAsia" w:ascii="宋体" w:hAnsi="宋体" w:cs="宋体"/>
                <w:color w:val="000000"/>
                <w:sz w:val="22"/>
                <w:szCs w:val="22"/>
                <w:lang w:val="en-US" w:eastAsia="zh-CN"/>
              </w:rPr>
              <w:t>26</w:t>
            </w:r>
            <w:r>
              <w:rPr>
                <w:rFonts w:hint="eastAsia" w:ascii="宋体" w:hAnsi="宋体" w:eastAsia="宋体" w:cs="宋体"/>
                <w:color w:val="000000"/>
                <w:sz w:val="22"/>
                <w:szCs w:val="22"/>
              </w:rPr>
              <w:t>日</w:t>
            </w:r>
            <w:r>
              <w:rPr>
                <w:rFonts w:hint="eastAsia" w:ascii="宋体" w:hAnsi="宋体" w:cs="宋体"/>
                <w:color w:val="000000"/>
                <w:sz w:val="22"/>
                <w:szCs w:val="22"/>
                <w:lang w:val="en-US" w:eastAsia="zh-CN"/>
              </w:rPr>
              <w:t>9</w:t>
            </w:r>
            <w:r>
              <w:rPr>
                <w:rFonts w:hint="eastAsia" w:ascii="宋体" w:hAnsi="宋体" w:eastAsia="宋体" w:cs="宋体"/>
                <w:color w:val="000000"/>
                <w:sz w:val="22"/>
                <w:szCs w:val="22"/>
              </w:rPr>
              <w:t>时</w:t>
            </w:r>
            <w:r>
              <w:rPr>
                <w:rFonts w:hint="eastAsia" w:ascii="宋体" w:hAnsi="宋体" w:cs="宋体"/>
                <w:color w:val="000000"/>
                <w:sz w:val="22"/>
                <w:szCs w:val="22"/>
                <w:lang w:val="en-US" w:eastAsia="zh-CN"/>
              </w:rPr>
              <w:t>0</w:t>
            </w:r>
            <w:r>
              <w:rPr>
                <w:rFonts w:hint="eastAsia" w:ascii="宋体" w:hAnsi="宋体" w:eastAsia="宋体" w:cs="宋体"/>
                <w:color w:val="000000"/>
                <w:sz w:val="22"/>
                <w:szCs w:val="22"/>
                <w:lang w:val="en-US" w:eastAsia="zh-CN"/>
              </w:rPr>
              <w:t>0</w:t>
            </w:r>
            <w:r>
              <w:rPr>
                <w:rFonts w:hint="eastAsia" w:ascii="宋体" w:hAnsi="宋体" w:eastAsia="宋体" w:cs="宋体"/>
                <w:color w:val="000000"/>
                <w:sz w:val="22"/>
                <w:szCs w:val="22"/>
              </w:rPr>
              <w:t>分</w:t>
            </w:r>
          </w:p>
        </w:tc>
      </w:tr>
      <w:tr w14:paraId="645545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2" w:hRule="atLeast"/>
        </w:trPr>
        <w:tc>
          <w:tcPr>
            <w:tcW w:w="945" w:type="dxa"/>
            <w:noWrap w:val="0"/>
            <w:vAlign w:val="center"/>
          </w:tcPr>
          <w:p w14:paraId="19BC3A85">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2.4</w:t>
            </w:r>
          </w:p>
        </w:tc>
        <w:tc>
          <w:tcPr>
            <w:tcW w:w="1748" w:type="dxa"/>
            <w:noWrap w:val="0"/>
            <w:vAlign w:val="center"/>
          </w:tcPr>
          <w:p w14:paraId="36E5ED5D">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最高限价</w:t>
            </w:r>
          </w:p>
        </w:tc>
        <w:tc>
          <w:tcPr>
            <w:tcW w:w="6622" w:type="dxa"/>
            <w:noWrap w:val="0"/>
            <w:vAlign w:val="center"/>
          </w:tcPr>
          <w:p w14:paraId="25FCF30D">
            <w:pPr>
              <w:keepNext w:val="0"/>
              <w:keepLines w:val="0"/>
              <w:pageBreakBefore w:val="0"/>
              <w:widowControl w:val="0"/>
              <w:spacing w:line="240" w:lineRule="auto"/>
              <w:jc w:val="both"/>
              <w:rPr>
                <w:rFonts w:hint="eastAsia" w:ascii="宋体" w:hAnsi="宋体" w:eastAsia="宋体" w:cs="宋体"/>
                <w:color w:val="000000"/>
                <w:sz w:val="22"/>
                <w:szCs w:val="22"/>
              </w:rPr>
            </w:pPr>
            <w:r>
              <w:rPr>
                <w:rFonts w:hint="eastAsia" w:ascii="宋体" w:hAnsi="宋体" w:eastAsia="宋体" w:cs="宋体"/>
                <w:color w:val="000000"/>
                <w:sz w:val="22"/>
                <w:szCs w:val="22"/>
              </w:rPr>
              <w:t>见竞争性磋商公告</w:t>
            </w:r>
          </w:p>
        </w:tc>
      </w:tr>
      <w:tr w14:paraId="73B9B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trPr>
        <w:tc>
          <w:tcPr>
            <w:tcW w:w="945" w:type="dxa"/>
            <w:noWrap w:val="0"/>
            <w:vAlign w:val="center"/>
          </w:tcPr>
          <w:p w14:paraId="5EBFB097">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3.3.1</w:t>
            </w:r>
          </w:p>
        </w:tc>
        <w:tc>
          <w:tcPr>
            <w:tcW w:w="1748" w:type="dxa"/>
            <w:noWrap w:val="0"/>
            <w:vAlign w:val="center"/>
          </w:tcPr>
          <w:p w14:paraId="250BDF0F">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响应有效期</w:t>
            </w:r>
          </w:p>
        </w:tc>
        <w:tc>
          <w:tcPr>
            <w:tcW w:w="6622" w:type="dxa"/>
            <w:noWrap w:val="0"/>
            <w:vAlign w:val="center"/>
          </w:tcPr>
          <w:p w14:paraId="16A7DEB2">
            <w:pPr>
              <w:keepNext w:val="0"/>
              <w:keepLines w:val="0"/>
              <w:pageBreakBefore w:val="0"/>
              <w:widowControl w:val="0"/>
              <w:spacing w:line="240" w:lineRule="auto"/>
              <w:jc w:val="both"/>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6</w:t>
            </w:r>
            <w:r>
              <w:rPr>
                <w:rFonts w:hint="eastAsia" w:ascii="宋体" w:hAnsi="宋体" w:eastAsia="宋体" w:cs="宋体"/>
                <w:color w:val="000000"/>
                <w:sz w:val="22"/>
                <w:szCs w:val="22"/>
                <w:lang w:eastAsia="zh-CN"/>
              </w:rPr>
              <w:t>0</w:t>
            </w:r>
            <w:r>
              <w:rPr>
                <w:rFonts w:hint="eastAsia" w:ascii="宋体" w:hAnsi="宋体" w:eastAsia="宋体" w:cs="宋体"/>
                <w:color w:val="000000"/>
                <w:sz w:val="22"/>
                <w:szCs w:val="22"/>
                <w:lang w:val="en-US" w:eastAsia="zh-CN"/>
              </w:rPr>
              <w:t>日历</w:t>
            </w:r>
            <w:r>
              <w:rPr>
                <w:rFonts w:hint="eastAsia" w:ascii="宋体" w:hAnsi="宋体" w:eastAsia="宋体" w:cs="宋体"/>
                <w:color w:val="000000"/>
                <w:sz w:val="22"/>
                <w:szCs w:val="22"/>
              </w:rPr>
              <w:t>天</w:t>
            </w:r>
          </w:p>
        </w:tc>
      </w:tr>
      <w:tr w14:paraId="444EB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trPr>
        <w:tc>
          <w:tcPr>
            <w:tcW w:w="945" w:type="dxa"/>
            <w:noWrap w:val="0"/>
            <w:vAlign w:val="center"/>
          </w:tcPr>
          <w:p w14:paraId="67BA572A">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3.4</w:t>
            </w:r>
          </w:p>
        </w:tc>
        <w:tc>
          <w:tcPr>
            <w:tcW w:w="1748" w:type="dxa"/>
            <w:noWrap w:val="0"/>
            <w:vAlign w:val="center"/>
          </w:tcPr>
          <w:p w14:paraId="5E38D8B7">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磋商保证金</w:t>
            </w:r>
          </w:p>
        </w:tc>
        <w:tc>
          <w:tcPr>
            <w:tcW w:w="6622" w:type="dxa"/>
            <w:noWrap w:val="0"/>
            <w:vAlign w:val="center"/>
          </w:tcPr>
          <w:p w14:paraId="42F02AF9">
            <w:pPr>
              <w:keepNext w:val="0"/>
              <w:keepLines w:val="0"/>
              <w:pageBreakBefore w:val="0"/>
              <w:widowControl w:val="0"/>
              <w:spacing w:line="240" w:lineRule="auto"/>
              <w:jc w:val="both"/>
              <w:rPr>
                <w:rFonts w:hint="eastAsia" w:ascii="宋体" w:hAnsi="宋体" w:eastAsia="宋体" w:cs="宋体"/>
                <w:color w:val="000000"/>
                <w:sz w:val="22"/>
                <w:szCs w:val="22"/>
              </w:rPr>
            </w:pPr>
            <w:r>
              <w:rPr>
                <w:rFonts w:hint="eastAsia" w:ascii="宋体" w:hAnsi="宋体" w:eastAsia="宋体" w:cs="宋体"/>
                <w:color w:val="000000"/>
                <w:sz w:val="22"/>
                <w:szCs w:val="22"/>
              </w:rPr>
              <w:t>/</w:t>
            </w:r>
          </w:p>
        </w:tc>
      </w:tr>
      <w:tr w14:paraId="7AC11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945" w:type="dxa"/>
            <w:noWrap w:val="0"/>
            <w:vAlign w:val="center"/>
          </w:tcPr>
          <w:p w14:paraId="047526D5">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3.6.1</w:t>
            </w:r>
          </w:p>
        </w:tc>
        <w:tc>
          <w:tcPr>
            <w:tcW w:w="1748" w:type="dxa"/>
            <w:noWrap w:val="0"/>
            <w:vAlign w:val="center"/>
          </w:tcPr>
          <w:p w14:paraId="0B6D602A">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响应文件</w:t>
            </w:r>
            <w:r>
              <w:rPr>
                <w:rFonts w:hint="eastAsia" w:ascii="宋体" w:hAnsi="宋体" w:eastAsia="宋体" w:cs="宋体"/>
                <w:color w:val="000000"/>
                <w:sz w:val="22"/>
                <w:szCs w:val="22"/>
              </w:rPr>
              <w:t>的份数</w:t>
            </w:r>
          </w:p>
        </w:tc>
        <w:tc>
          <w:tcPr>
            <w:tcW w:w="6622" w:type="dxa"/>
            <w:noWrap w:val="0"/>
            <w:vAlign w:val="center"/>
          </w:tcPr>
          <w:p w14:paraId="1BB36969">
            <w:pPr>
              <w:keepNext w:val="0"/>
              <w:keepLines w:val="0"/>
              <w:pageBreakBefore w:val="0"/>
              <w:widowControl w:val="0"/>
              <w:spacing w:line="240" w:lineRule="auto"/>
              <w:jc w:val="both"/>
              <w:rPr>
                <w:rFonts w:hint="eastAsia" w:ascii="宋体" w:hAnsi="宋体" w:eastAsia="宋体" w:cs="宋体"/>
                <w:color w:val="000000"/>
                <w:sz w:val="22"/>
                <w:szCs w:val="22"/>
              </w:rPr>
            </w:pPr>
            <w:r>
              <w:rPr>
                <w:rFonts w:hint="eastAsia" w:ascii="宋体" w:hAnsi="宋体" w:eastAsia="宋体" w:cs="宋体"/>
                <w:color w:val="000000"/>
                <w:sz w:val="22"/>
                <w:szCs w:val="22"/>
              </w:rPr>
              <w:t>电子</w:t>
            </w:r>
            <w:r>
              <w:rPr>
                <w:rFonts w:hint="eastAsia" w:ascii="宋体" w:hAnsi="宋体" w:eastAsia="宋体" w:cs="宋体"/>
                <w:color w:val="000000"/>
                <w:sz w:val="22"/>
                <w:szCs w:val="22"/>
                <w:lang w:eastAsia="zh-CN"/>
              </w:rPr>
              <w:t>响应文件</w:t>
            </w:r>
            <w:r>
              <w:rPr>
                <w:rFonts w:hint="eastAsia" w:ascii="宋体" w:hAnsi="宋体" w:eastAsia="宋体" w:cs="宋体"/>
                <w:color w:val="000000"/>
                <w:sz w:val="22"/>
                <w:szCs w:val="22"/>
              </w:rPr>
              <w:t>壹份；</w:t>
            </w:r>
          </w:p>
        </w:tc>
      </w:tr>
      <w:tr w14:paraId="4E268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trPr>
        <w:tc>
          <w:tcPr>
            <w:tcW w:w="945" w:type="dxa"/>
            <w:noWrap w:val="0"/>
            <w:vAlign w:val="center"/>
          </w:tcPr>
          <w:p w14:paraId="5B8ED334">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3.7.3</w:t>
            </w:r>
          </w:p>
        </w:tc>
        <w:tc>
          <w:tcPr>
            <w:tcW w:w="1748" w:type="dxa"/>
            <w:noWrap w:val="0"/>
            <w:vAlign w:val="center"/>
          </w:tcPr>
          <w:p w14:paraId="10D4837C">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响应文件</w:t>
            </w:r>
            <w:r>
              <w:rPr>
                <w:rFonts w:hint="eastAsia" w:ascii="宋体" w:hAnsi="宋体" w:eastAsia="宋体" w:cs="宋体"/>
                <w:color w:val="000000"/>
                <w:sz w:val="22"/>
                <w:szCs w:val="22"/>
              </w:rPr>
              <w:t>的签署</w:t>
            </w:r>
          </w:p>
        </w:tc>
        <w:tc>
          <w:tcPr>
            <w:tcW w:w="6622" w:type="dxa"/>
            <w:noWrap w:val="0"/>
            <w:vAlign w:val="center"/>
          </w:tcPr>
          <w:p w14:paraId="5EC3BDE1">
            <w:pPr>
              <w:keepNext w:val="0"/>
              <w:keepLines w:val="0"/>
              <w:pageBreakBefore w:val="0"/>
              <w:widowControl w:val="0"/>
              <w:spacing w:line="240" w:lineRule="auto"/>
              <w:jc w:val="both"/>
              <w:rPr>
                <w:rFonts w:hint="eastAsia" w:ascii="宋体" w:hAnsi="宋体" w:eastAsia="宋体" w:cs="宋体"/>
                <w:b/>
                <w:bCs/>
                <w:color w:val="000000"/>
                <w:sz w:val="22"/>
                <w:szCs w:val="22"/>
                <w:lang w:val="en-US" w:eastAsia="zh-CN"/>
              </w:rPr>
            </w:pPr>
            <w:r>
              <w:rPr>
                <w:rFonts w:hint="eastAsia" w:ascii="宋体" w:hAnsi="宋体" w:eastAsia="宋体" w:cs="宋体"/>
                <w:b/>
                <w:bCs/>
                <w:color w:val="000000"/>
                <w:sz w:val="22"/>
                <w:szCs w:val="22"/>
              </w:rPr>
              <w:t>投标函</w:t>
            </w:r>
            <w:r>
              <w:rPr>
                <w:rFonts w:hint="eastAsia" w:ascii="宋体" w:hAnsi="宋体" w:eastAsia="宋体" w:cs="宋体"/>
                <w:b/>
                <w:bCs/>
                <w:color w:val="000000"/>
                <w:sz w:val="22"/>
                <w:szCs w:val="22"/>
                <w:lang w:eastAsia="zh-CN"/>
              </w:rPr>
              <w:t>等</w:t>
            </w:r>
            <w:r>
              <w:rPr>
                <w:rFonts w:hint="eastAsia" w:ascii="宋体" w:hAnsi="宋体" w:eastAsia="宋体" w:cs="宋体"/>
                <w:b/>
                <w:bCs/>
                <w:color w:val="000000"/>
                <w:sz w:val="22"/>
                <w:szCs w:val="22"/>
                <w:lang w:val="en-US" w:eastAsia="zh-CN"/>
              </w:rPr>
              <w:t>响应文件均需加盖电子签章</w:t>
            </w:r>
          </w:p>
        </w:tc>
      </w:tr>
      <w:tr w14:paraId="323300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trPr>
        <w:tc>
          <w:tcPr>
            <w:tcW w:w="945" w:type="dxa"/>
            <w:noWrap w:val="0"/>
            <w:vAlign w:val="center"/>
          </w:tcPr>
          <w:p w14:paraId="3AF7A34F">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4.1.1</w:t>
            </w:r>
          </w:p>
        </w:tc>
        <w:tc>
          <w:tcPr>
            <w:tcW w:w="1748" w:type="dxa"/>
            <w:noWrap w:val="0"/>
            <w:vAlign w:val="center"/>
          </w:tcPr>
          <w:p w14:paraId="31359187">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响应性文件递交截止时间和地点</w:t>
            </w:r>
          </w:p>
        </w:tc>
        <w:tc>
          <w:tcPr>
            <w:tcW w:w="6622" w:type="dxa"/>
            <w:noWrap w:val="0"/>
            <w:vAlign w:val="center"/>
          </w:tcPr>
          <w:p w14:paraId="12C927B2">
            <w:pPr>
              <w:keepNext w:val="0"/>
              <w:keepLines w:val="0"/>
              <w:pageBreakBefore w:val="0"/>
              <w:widowControl w:val="0"/>
              <w:spacing w:line="240" w:lineRule="auto"/>
              <w:jc w:val="both"/>
              <w:rPr>
                <w:rFonts w:hint="eastAsia" w:ascii="宋体" w:hAnsi="宋体" w:eastAsia="宋体" w:cs="宋体"/>
                <w:color w:val="000000"/>
                <w:sz w:val="22"/>
                <w:szCs w:val="22"/>
              </w:rPr>
            </w:pPr>
            <w:r>
              <w:rPr>
                <w:rFonts w:hint="eastAsia" w:ascii="宋体" w:hAnsi="宋体" w:eastAsia="宋体" w:cs="宋体"/>
                <w:color w:val="000000"/>
                <w:sz w:val="22"/>
                <w:szCs w:val="22"/>
              </w:rPr>
              <w:t>1.本项目通过“苏采云”系统进行电子采购，即供应商响应文件从政府采购客户端工具制作并通过“苏采云”系统提交。</w:t>
            </w:r>
          </w:p>
          <w:p w14:paraId="6C55E22F">
            <w:pPr>
              <w:keepNext w:val="0"/>
              <w:keepLines w:val="0"/>
              <w:pageBreakBefore w:val="0"/>
              <w:widowControl w:val="0"/>
              <w:spacing w:line="240" w:lineRule="auto"/>
              <w:jc w:val="both"/>
              <w:rPr>
                <w:rFonts w:hint="eastAsia" w:ascii="宋体" w:hAnsi="宋体" w:eastAsia="宋体" w:cs="宋体"/>
                <w:color w:val="000000"/>
                <w:sz w:val="22"/>
                <w:szCs w:val="22"/>
              </w:rPr>
            </w:pPr>
            <w:r>
              <w:rPr>
                <w:rFonts w:hint="eastAsia" w:ascii="宋体" w:hAnsi="宋体" w:eastAsia="宋体" w:cs="宋体"/>
                <w:color w:val="000000"/>
                <w:sz w:val="22"/>
                <w:szCs w:val="22"/>
              </w:rPr>
              <w:t>供应商应当通过“苏采云”系统提交数据电文形式的响应文件（即电子投标）。未进行线上响应文件提交并解密(因“苏采云”系统导致解密失败的除外)的供应商，响应无效。</w:t>
            </w:r>
          </w:p>
          <w:p w14:paraId="324DA145">
            <w:pPr>
              <w:keepNext w:val="0"/>
              <w:keepLines w:val="0"/>
              <w:pageBreakBefore w:val="0"/>
              <w:widowControl w:val="0"/>
              <w:spacing w:line="240" w:lineRule="auto"/>
              <w:jc w:val="both"/>
              <w:rPr>
                <w:rFonts w:hint="eastAsia" w:ascii="宋体" w:hAnsi="宋体" w:eastAsia="宋体" w:cs="宋体"/>
                <w:color w:val="000000"/>
                <w:sz w:val="22"/>
                <w:szCs w:val="22"/>
              </w:rPr>
            </w:pPr>
            <w:r>
              <w:rPr>
                <w:rFonts w:hint="eastAsia" w:ascii="宋体" w:hAnsi="宋体" w:eastAsia="宋体" w:cs="宋体"/>
                <w:color w:val="000000"/>
                <w:sz w:val="22"/>
                <w:szCs w:val="22"/>
              </w:rPr>
              <w:t>“CA数字证书”的获取：供应商需办理CA锁，“CA数字证书”的办理方法详见“江苏省政府采购数字证书CA及电子签章办理指南”，网址：http://jsxcmm.com/help/ help.html。</w:t>
            </w:r>
          </w:p>
          <w:p w14:paraId="29B9A3A5">
            <w:pPr>
              <w:keepNext w:val="0"/>
              <w:keepLines w:val="0"/>
              <w:pageBreakBefore w:val="0"/>
              <w:widowControl w:val="0"/>
              <w:spacing w:line="240" w:lineRule="auto"/>
              <w:jc w:val="both"/>
              <w:rPr>
                <w:rFonts w:hint="eastAsia" w:ascii="宋体" w:hAnsi="宋体" w:eastAsia="宋体" w:cs="宋体"/>
                <w:color w:val="000000"/>
                <w:sz w:val="22"/>
                <w:szCs w:val="22"/>
              </w:rPr>
            </w:pPr>
            <w:r>
              <w:rPr>
                <w:rFonts w:hint="eastAsia" w:ascii="宋体" w:hAnsi="宋体" w:eastAsia="宋体" w:cs="宋体"/>
                <w:color w:val="000000"/>
                <w:sz w:val="22"/>
                <w:szCs w:val="22"/>
              </w:rPr>
              <w:t>使用需要第三方认证的电子签名、数据电文，通过互联网方式提交首次响应文件。即：使用“电子签名认证证书（CA数字证书）”登录“苏采云”系统（网址：http://jszfcg.jsczt.cn/），按照要求通过互联网方式提交</w:t>
            </w:r>
            <w:r>
              <w:rPr>
                <w:rFonts w:hint="eastAsia" w:ascii="宋体" w:hAnsi="宋体" w:eastAsia="宋体" w:cs="宋体"/>
                <w:color w:val="000000"/>
                <w:sz w:val="22"/>
                <w:szCs w:val="22"/>
                <w:lang w:eastAsia="zh-CN"/>
              </w:rPr>
              <w:t>响应文件</w:t>
            </w:r>
            <w:r>
              <w:rPr>
                <w:rFonts w:hint="eastAsia" w:ascii="宋体" w:hAnsi="宋体" w:eastAsia="宋体" w:cs="宋体"/>
                <w:color w:val="000000"/>
                <w:sz w:val="22"/>
                <w:szCs w:val="22"/>
              </w:rPr>
              <w:t>。</w:t>
            </w:r>
          </w:p>
          <w:p w14:paraId="0B6DF72C">
            <w:pPr>
              <w:keepNext w:val="0"/>
              <w:keepLines w:val="0"/>
              <w:pageBreakBefore w:val="0"/>
              <w:widowControl w:val="0"/>
              <w:spacing w:line="240" w:lineRule="auto"/>
              <w:jc w:val="both"/>
              <w:rPr>
                <w:rFonts w:hint="eastAsia" w:ascii="宋体" w:hAnsi="宋体" w:eastAsia="宋体" w:cs="宋体"/>
                <w:color w:val="000000"/>
                <w:sz w:val="22"/>
                <w:szCs w:val="22"/>
              </w:rPr>
            </w:pPr>
            <w:r>
              <w:rPr>
                <w:rFonts w:hint="eastAsia" w:ascii="宋体" w:hAnsi="宋体" w:eastAsia="宋体" w:cs="宋体"/>
                <w:color w:val="000000"/>
                <w:sz w:val="22"/>
                <w:szCs w:val="22"/>
              </w:rPr>
              <w:t>“苏采云”系统使用要求：</w:t>
            </w:r>
          </w:p>
          <w:p w14:paraId="637BFA1B">
            <w:pPr>
              <w:keepNext w:val="0"/>
              <w:keepLines w:val="0"/>
              <w:pageBreakBefore w:val="0"/>
              <w:widowControl w:val="0"/>
              <w:spacing w:line="240" w:lineRule="auto"/>
              <w:jc w:val="both"/>
              <w:rPr>
                <w:rFonts w:hint="eastAsia" w:ascii="宋体" w:hAnsi="宋体" w:eastAsia="宋体" w:cs="宋体"/>
                <w:color w:val="000000"/>
                <w:sz w:val="22"/>
                <w:szCs w:val="22"/>
              </w:rPr>
            </w:pPr>
            <w:r>
              <w:rPr>
                <w:rFonts w:hint="eastAsia" w:ascii="宋体" w:hAnsi="宋体" w:eastAsia="宋体" w:cs="宋体"/>
                <w:color w:val="000000"/>
                <w:sz w:val="22"/>
                <w:szCs w:val="22"/>
              </w:rPr>
              <w:t>使用谷歌浏览器参与不见面开标及开标环节。</w:t>
            </w:r>
          </w:p>
          <w:p w14:paraId="11FB4E32">
            <w:pPr>
              <w:keepNext w:val="0"/>
              <w:keepLines w:val="0"/>
              <w:pageBreakBefore w:val="0"/>
              <w:widowControl w:val="0"/>
              <w:spacing w:line="240" w:lineRule="auto"/>
              <w:jc w:val="both"/>
              <w:rPr>
                <w:rFonts w:hint="eastAsia" w:ascii="宋体" w:hAnsi="宋体" w:eastAsia="宋体" w:cs="宋体"/>
                <w:color w:val="000000"/>
                <w:sz w:val="22"/>
                <w:szCs w:val="22"/>
              </w:rPr>
            </w:pPr>
            <w:r>
              <w:rPr>
                <w:rFonts w:hint="eastAsia" w:ascii="宋体" w:hAnsi="宋体" w:eastAsia="宋体" w:cs="宋体"/>
                <w:color w:val="000000"/>
                <w:sz w:val="22"/>
                <w:szCs w:val="22"/>
              </w:rPr>
              <w:t>电脑需提前准备好麦克风、音响，摄像头，提前检查保证能够正常使用。</w:t>
            </w:r>
          </w:p>
          <w:p w14:paraId="3A5FEECE">
            <w:pPr>
              <w:keepNext w:val="0"/>
              <w:keepLines w:val="0"/>
              <w:pageBreakBefore w:val="0"/>
              <w:widowControl w:val="0"/>
              <w:spacing w:line="240" w:lineRule="auto"/>
              <w:jc w:val="both"/>
              <w:rPr>
                <w:rFonts w:hint="eastAsia" w:ascii="宋体" w:hAnsi="宋体" w:eastAsia="宋体" w:cs="宋体"/>
                <w:color w:val="000000"/>
                <w:sz w:val="22"/>
                <w:szCs w:val="22"/>
              </w:rPr>
            </w:pPr>
            <w:r>
              <w:rPr>
                <w:rFonts w:hint="eastAsia" w:ascii="宋体" w:hAnsi="宋体" w:eastAsia="宋体" w:cs="宋体"/>
                <w:color w:val="000000"/>
                <w:sz w:val="22"/>
                <w:szCs w:val="22"/>
              </w:rPr>
              <w:t>操作系统至少win7以上，建议使用win10操作系统。</w:t>
            </w:r>
          </w:p>
          <w:p w14:paraId="1E4D447B">
            <w:pPr>
              <w:keepNext w:val="0"/>
              <w:keepLines w:val="0"/>
              <w:pageBreakBefore w:val="0"/>
              <w:widowControl w:val="0"/>
              <w:spacing w:line="240" w:lineRule="auto"/>
              <w:jc w:val="both"/>
              <w:rPr>
                <w:rFonts w:hint="eastAsia" w:ascii="宋体" w:hAnsi="宋体" w:eastAsia="宋体" w:cs="宋体"/>
                <w:color w:val="000000"/>
                <w:sz w:val="22"/>
                <w:szCs w:val="22"/>
                <w:highlight w:val="white"/>
              </w:rPr>
            </w:pPr>
            <w:r>
              <w:rPr>
                <w:rFonts w:hint="eastAsia" w:ascii="宋体" w:hAnsi="宋体" w:eastAsia="宋体" w:cs="宋体"/>
                <w:color w:val="000000"/>
                <w:sz w:val="22"/>
                <w:szCs w:val="22"/>
              </w:rPr>
              <w:t>开标时间：</w:t>
            </w:r>
            <w:r>
              <w:rPr>
                <w:rFonts w:hint="eastAsia" w:ascii="宋体" w:hAnsi="宋体" w:eastAsia="宋体" w:cs="宋体"/>
                <w:color w:val="000000"/>
                <w:sz w:val="22"/>
                <w:szCs w:val="22"/>
                <w:highlight w:val="white"/>
              </w:rPr>
              <w:t>202</w:t>
            </w:r>
            <w:r>
              <w:rPr>
                <w:rFonts w:hint="eastAsia" w:ascii="宋体" w:hAnsi="宋体" w:cs="宋体"/>
                <w:color w:val="000000"/>
                <w:sz w:val="22"/>
                <w:szCs w:val="22"/>
                <w:highlight w:val="white"/>
                <w:lang w:val="en-US" w:eastAsia="zh-CN"/>
              </w:rPr>
              <w:t>6</w:t>
            </w:r>
            <w:r>
              <w:rPr>
                <w:rFonts w:hint="eastAsia" w:ascii="宋体" w:hAnsi="宋体" w:eastAsia="宋体" w:cs="宋体"/>
                <w:color w:val="000000"/>
                <w:sz w:val="22"/>
                <w:szCs w:val="22"/>
                <w:highlight w:val="white"/>
              </w:rPr>
              <w:t>年</w:t>
            </w:r>
            <w:r>
              <w:rPr>
                <w:rFonts w:hint="eastAsia" w:ascii="宋体" w:hAnsi="宋体" w:cs="宋体"/>
                <w:color w:val="000000"/>
                <w:sz w:val="22"/>
                <w:szCs w:val="22"/>
                <w:highlight w:val="white"/>
                <w:lang w:val="en-US" w:eastAsia="zh-CN"/>
              </w:rPr>
              <w:t>10</w:t>
            </w:r>
            <w:r>
              <w:rPr>
                <w:rFonts w:hint="eastAsia" w:ascii="宋体" w:hAnsi="宋体" w:eastAsia="宋体" w:cs="宋体"/>
                <w:color w:val="000000"/>
                <w:sz w:val="22"/>
                <w:szCs w:val="22"/>
                <w:highlight w:val="white"/>
              </w:rPr>
              <w:t>月</w:t>
            </w:r>
            <w:r>
              <w:rPr>
                <w:rFonts w:hint="eastAsia" w:ascii="宋体" w:hAnsi="宋体" w:cs="宋体"/>
                <w:color w:val="000000"/>
                <w:sz w:val="22"/>
                <w:szCs w:val="22"/>
                <w:highlight w:val="white"/>
                <w:lang w:val="en-US" w:eastAsia="zh-CN"/>
              </w:rPr>
              <w:t>26</w:t>
            </w:r>
            <w:r>
              <w:rPr>
                <w:rFonts w:hint="eastAsia" w:ascii="宋体" w:hAnsi="宋体" w:eastAsia="宋体" w:cs="宋体"/>
                <w:color w:val="000000"/>
                <w:sz w:val="22"/>
                <w:szCs w:val="22"/>
                <w:highlight w:val="white"/>
              </w:rPr>
              <w:t>日</w:t>
            </w:r>
            <w:r>
              <w:rPr>
                <w:rFonts w:hint="eastAsia" w:ascii="宋体" w:hAnsi="宋体" w:cs="宋体"/>
                <w:color w:val="000000"/>
                <w:sz w:val="22"/>
                <w:szCs w:val="22"/>
                <w:highlight w:val="white"/>
                <w:lang w:val="en-US" w:eastAsia="zh-CN"/>
              </w:rPr>
              <w:t>9</w:t>
            </w:r>
            <w:r>
              <w:rPr>
                <w:rFonts w:hint="eastAsia" w:ascii="宋体" w:hAnsi="宋体" w:eastAsia="宋体" w:cs="宋体"/>
                <w:color w:val="000000"/>
                <w:sz w:val="22"/>
                <w:szCs w:val="22"/>
                <w:highlight w:val="white"/>
              </w:rPr>
              <w:t>时</w:t>
            </w:r>
            <w:r>
              <w:rPr>
                <w:rFonts w:hint="eastAsia" w:ascii="宋体" w:hAnsi="宋体" w:cs="宋体"/>
                <w:color w:val="000000"/>
                <w:sz w:val="22"/>
                <w:szCs w:val="22"/>
                <w:highlight w:val="white"/>
                <w:lang w:val="en-US" w:eastAsia="zh-CN"/>
              </w:rPr>
              <w:t>0</w:t>
            </w:r>
            <w:r>
              <w:rPr>
                <w:rFonts w:hint="eastAsia" w:ascii="宋体" w:hAnsi="宋体" w:eastAsia="宋体" w:cs="宋体"/>
                <w:color w:val="000000"/>
                <w:sz w:val="22"/>
                <w:szCs w:val="22"/>
                <w:highlight w:val="white"/>
                <w:lang w:val="en-US" w:eastAsia="zh-CN"/>
              </w:rPr>
              <w:t>0分</w:t>
            </w:r>
          </w:p>
          <w:p w14:paraId="3CA9812B">
            <w:pPr>
              <w:keepNext w:val="0"/>
              <w:keepLines w:val="0"/>
              <w:pageBreakBefore w:val="0"/>
              <w:widowControl w:val="0"/>
              <w:spacing w:line="240" w:lineRule="auto"/>
              <w:jc w:val="both"/>
              <w:rPr>
                <w:rFonts w:hint="eastAsia" w:ascii="宋体" w:hAnsi="宋体" w:eastAsia="宋体" w:cs="宋体"/>
                <w:color w:val="000000"/>
                <w:sz w:val="22"/>
                <w:szCs w:val="22"/>
              </w:rPr>
            </w:pPr>
            <w:r>
              <w:rPr>
                <w:rFonts w:hint="eastAsia" w:ascii="宋体" w:hAnsi="宋体" w:eastAsia="宋体" w:cs="宋体"/>
                <w:color w:val="000000"/>
                <w:sz w:val="22"/>
                <w:szCs w:val="22"/>
              </w:rPr>
              <w:t>开标地点：“苏采云”系统（网址：http://jszfcg.jsczt.cn/）“开标大厅，点击“苏采云”进入系统“开标大厅”。）</w:t>
            </w:r>
          </w:p>
          <w:p w14:paraId="23D0ECA9">
            <w:pPr>
              <w:keepNext w:val="0"/>
              <w:keepLines w:val="0"/>
              <w:pageBreakBefore w:val="0"/>
              <w:widowControl w:val="0"/>
              <w:numPr>
                <w:ilvl w:val="0"/>
                <w:numId w:val="2"/>
              </w:numPr>
              <w:spacing w:line="240" w:lineRule="auto"/>
              <w:jc w:val="both"/>
              <w:rPr>
                <w:rFonts w:hint="eastAsia" w:ascii="宋体" w:hAnsi="宋体" w:eastAsia="宋体" w:cs="宋体"/>
                <w:color w:val="000000"/>
                <w:sz w:val="22"/>
                <w:szCs w:val="22"/>
              </w:rPr>
            </w:pPr>
            <w:r>
              <w:rPr>
                <w:rFonts w:hint="eastAsia" w:ascii="宋体" w:hAnsi="宋体" w:eastAsia="宋体" w:cs="宋体"/>
                <w:color w:val="000000"/>
                <w:sz w:val="22"/>
                <w:szCs w:val="22"/>
              </w:rPr>
              <w:t>一</w:t>
            </w:r>
            <w:r>
              <w:rPr>
                <w:rFonts w:hint="eastAsia" w:ascii="宋体" w:hAnsi="宋体" w:eastAsia="宋体" w:cs="宋体"/>
                <w:color w:val="000000"/>
                <w:sz w:val="22"/>
                <w:szCs w:val="22"/>
                <w:lang w:val="en-US" w:eastAsia="zh-CN"/>
              </w:rPr>
              <w:t>轮</w:t>
            </w:r>
            <w:r>
              <w:rPr>
                <w:rFonts w:hint="eastAsia" w:ascii="宋体" w:hAnsi="宋体" w:eastAsia="宋体" w:cs="宋体"/>
                <w:color w:val="000000"/>
                <w:sz w:val="22"/>
                <w:szCs w:val="22"/>
              </w:rPr>
              <w:t>评审结束后，采购代理机构或采购人代表将通过苏采云采购系统提示符合要求的投标供应商进行</w:t>
            </w:r>
            <w:r>
              <w:rPr>
                <w:rFonts w:hint="eastAsia" w:ascii="宋体" w:hAnsi="宋体" w:eastAsia="宋体" w:cs="宋体"/>
                <w:color w:val="000000"/>
                <w:sz w:val="22"/>
                <w:szCs w:val="22"/>
                <w:lang w:eastAsia="zh-CN"/>
              </w:rPr>
              <w:t>最终报价</w:t>
            </w:r>
            <w:r>
              <w:rPr>
                <w:rFonts w:hint="eastAsia" w:ascii="宋体" w:hAnsi="宋体" w:eastAsia="宋体" w:cs="宋体"/>
                <w:color w:val="000000"/>
                <w:sz w:val="22"/>
                <w:szCs w:val="22"/>
              </w:rPr>
              <w:t>(二</w:t>
            </w:r>
            <w:r>
              <w:rPr>
                <w:rFonts w:hint="eastAsia" w:ascii="宋体" w:hAnsi="宋体" w:eastAsia="宋体" w:cs="宋体"/>
                <w:color w:val="000000"/>
                <w:sz w:val="22"/>
                <w:szCs w:val="22"/>
                <w:lang w:val="en-US" w:eastAsia="zh-CN"/>
              </w:rPr>
              <w:t>轮</w:t>
            </w:r>
            <w:r>
              <w:rPr>
                <w:rFonts w:hint="eastAsia" w:ascii="宋体" w:hAnsi="宋体" w:eastAsia="宋体" w:cs="宋体"/>
                <w:color w:val="000000"/>
                <w:sz w:val="22"/>
                <w:szCs w:val="22"/>
              </w:rPr>
              <w:t>报价)，一</w:t>
            </w:r>
            <w:r>
              <w:rPr>
                <w:rFonts w:hint="eastAsia" w:ascii="宋体" w:hAnsi="宋体" w:eastAsia="宋体" w:cs="宋体"/>
                <w:color w:val="000000"/>
                <w:sz w:val="22"/>
                <w:szCs w:val="22"/>
                <w:lang w:val="en-US" w:eastAsia="zh-CN"/>
              </w:rPr>
              <w:t>轮</w:t>
            </w:r>
            <w:r>
              <w:rPr>
                <w:rFonts w:hint="eastAsia" w:ascii="宋体" w:hAnsi="宋体" w:eastAsia="宋体" w:cs="宋体"/>
                <w:color w:val="000000"/>
                <w:sz w:val="22"/>
                <w:szCs w:val="22"/>
              </w:rPr>
              <w:t>评审的时长不确定，请投标供应商自行关注报价系统，在报价系统开启后的</w:t>
            </w:r>
            <w:r>
              <w:rPr>
                <w:rFonts w:hint="eastAsia" w:ascii="宋体" w:hAnsi="宋体" w:cs="宋体"/>
                <w:b/>
                <w:bCs/>
                <w:color w:val="FF0000"/>
                <w:sz w:val="22"/>
                <w:szCs w:val="22"/>
                <w:lang w:val="en-US" w:eastAsia="zh-CN"/>
              </w:rPr>
              <w:t>10分钟</w:t>
            </w:r>
            <w:r>
              <w:rPr>
                <w:rFonts w:hint="eastAsia" w:ascii="宋体" w:hAnsi="宋体" w:eastAsia="宋体" w:cs="宋体"/>
                <w:color w:val="000000"/>
                <w:sz w:val="22"/>
                <w:szCs w:val="22"/>
              </w:rPr>
              <w:t>内提交</w:t>
            </w:r>
            <w:r>
              <w:rPr>
                <w:rFonts w:hint="eastAsia" w:ascii="宋体" w:hAnsi="宋体" w:eastAsia="宋体" w:cs="宋体"/>
                <w:color w:val="000000"/>
                <w:sz w:val="22"/>
                <w:szCs w:val="22"/>
                <w:lang w:eastAsia="zh-CN"/>
              </w:rPr>
              <w:t>最终报价</w:t>
            </w:r>
            <w:r>
              <w:rPr>
                <w:rFonts w:hint="eastAsia" w:ascii="宋体" w:hAnsi="宋体" w:eastAsia="宋体" w:cs="宋体"/>
                <w:color w:val="000000"/>
                <w:sz w:val="22"/>
                <w:szCs w:val="22"/>
              </w:rPr>
              <w:t>(二</w:t>
            </w:r>
            <w:r>
              <w:rPr>
                <w:rFonts w:hint="eastAsia" w:ascii="宋体" w:hAnsi="宋体" w:eastAsia="宋体" w:cs="宋体"/>
                <w:color w:val="000000"/>
                <w:sz w:val="22"/>
                <w:szCs w:val="22"/>
                <w:lang w:val="en-US" w:eastAsia="zh-CN"/>
              </w:rPr>
              <w:t>轮</w:t>
            </w:r>
            <w:r>
              <w:rPr>
                <w:rFonts w:hint="eastAsia" w:ascii="宋体" w:hAnsi="宋体" w:eastAsia="宋体" w:cs="宋体"/>
                <w:color w:val="000000"/>
                <w:sz w:val="22"/>
                <w:szCs w:val="22"/>
              </w:rPr>
              <w:t>报价)。未能在规定时间内完成报价的供应商视为放弃投标。</w:t>
            </w:r>
          </w:p>
          <w:p w14:paraId="65CA9FF4">
            <w:pPr>
              <w:keepNext w:val="0"/>
              <w:keepLines w:val="0"/>
              <w:pageBreakBefore w:val="0"/>
              <w:widowControl w:val="0"/>
              <w:numPr>
                <w:ilvl w:val="0"/>
                <w:numId w:val="0"/>
              </w:numPr>
              <w:spacing w:line="240" w:lineRule="auto"/>
              <w:ind w:firstLine="442"/>
              <w:jc w:val="both"/>
              <w:rPr>
                <w:rFonts w:hint="eastAsia" w:ascii="宋体" w:hAnsi="宋体" w:eastAsia="宋体" w:cs="宋体"/>
                <w:color w:val="000000"/>
                <w:sz w:val="22"/>
                <w:szCs w:val="22"/>
                <w:u w:val="single"/>
                <w:lang w:eastAsia="zh-CN"/>
              </w:rPr>
            </w:pPr>
            <w:r>
              <w:rPr>
                <w:rFonts w:hint="eastAsia" w:ascii="宋体" w:hAnsi="宋体" w:eastAsia="宋体" w:cs="宋体"/>
                <w:b/>
                <w:bCs/>
                <w:color w:val="000000"/>
                <w:sz w:val="22"/>
                <w:szCs w:val="22"/>
              </w:rPr>
              <w:t>供应商</w:t>
            </w:r>
            <w:r>
              <w:rPr>
                <w:rFonts w:hint="eastAsia" w:ascii="宋体" w:hAnsi="宋体" w:eastAsia="宋体" w:cs="宋体"/>
                <w:b/>
                <w:bCs/>
                <w:color w:val="000000"/>
                <w:sz w:val="22"/>
                <w:szCs w:val="22"/>
                <w:lang w:val="en-US" w:eastAsia="zh-CN"/>
              </w:rPr>
              <w:t>最</w:t>
            </w:r>
            <w:r>
              <w:rPr>
                <w:rFonts w:hint="eastAsia" w:ascii="宋体" w:hAnsi="宋体" w:eastAsia="宋体" w:cs="宋体"/>
                <w:b/>
                <w:bCs/>
                <w:color w:val="000000"/>
                <w:sz w:val="22"/>
                <w:szCs w:val="22"/>
              </w:rPr>
              <w:t>后一次报价或最终报价应在工程数量、要求、服务等方面不降低的情况下，不得高于前一次报价。否则，磋商小组有权拒绝该磋商报价并不再给予报价补救机会。</w:t>
            </w:r>
          </w:p>
        </w:tc>
      </w:tr>
      <w:tr w14:paraId="05F72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trPr>
        <w:tc>
          <w:tcPr>
            <w:tcW w:w="945" w:type="dxa"/>
            <w:noWrap w:val="0"/>
            <w:vAlign w:val="center"/>
          </w:tcPr>
          <w:p w14:paraId="08B9245A">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5.1.1</w:t>
            </w:r>
          </w:p>
        </w:tc>
        <w:tc>
          <w:tcPr>
            <w:tcW w:w="1748" w:type="dxa"/>
            <w:noWrap w:val="0"/>
            <w:vAlign w:val="center"/>
          </w:tcPr>
          <w:p w14:paraId="340DABD8">
            <w:pPr>
              <w:pStyle w:val="343"/>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磋商小组组成</w:t>
            </w:r>
          </w:p>
        </w:tc>
        <w:tc>
          <w:tcPr>
            <w:tcW w:w="6622" w:type="dxa"/>
            <w:noWrap w:val="0"/>
            <w:vAlign w:val="center"/>
          </w:tcPr>
          <w:p w14:paraId="2B81FB0D">
            <w:pPr>
              <w:keepNext w:val="0"/>
              <w:keepLines w:val="0"/>
              <w:pageBreakBefore w:val="0"/>
              <w:widowControl w:val="0"/>
              <w:spacing w:line="240" w:lineRule="auto"/>
              <w:jc w:val="both"/>
              <w:rPr>
                <w:rFonts w:hint="eastAsia" w:ascii="宋体" w:hAnsi="宋体" w:eastAsia="宋体" w:cs="宋体"/>
                <w:color w:val="000000"/>
                <w:sz w:val="22"/>
                <w:szCs w:val="22"/>
              </w:rPr>
            </w:pPr>
            <w:r>
              <w:rPr>
                <w:rFonts w:hint="eastAsia" w:ascii="宋体" w:hAnsi="宋体" w:eastAsia="宋体" w:cs="宋体"/>
                <w:color w:val="000000"/>
                <w:sz w:val="22"/>
                <w:szCs w:val="22"/>
              </w:rPr>
              <w:t>磋商小组人</w:t>
            </w:r>
            <w:r>
              <w:rPr>
                <w:rFonts w:hint="eastAsia" w:ascii="宋体" w:hAnsi="宋体" w:eastAsia="宋体" w:cs="宋体"/>
                <w:color w:val="000000"/>
                <w:sz w:val="22"/>
                <w:szCs w:val="22"/>
                <w:highlight w:val="none"/>
              </w:rPr>
              <w:t>数：3人</w:t>
            </w:r>
          </w:p>
        </w:tc>
      </w:tr>
      <w:tr w14:paraId="791B9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trPr>
        <w:tc>
          <w:tcPr>
            <w:tcW w:w="945" w:type="dxa"/>
            <w:noWrap w:val="0"/>
            <w:vAlign w:val="center"/>
          </w:tcPr>
          <w:p w14:paraId="23DA5A0D">
            <w:pPr>
              <w:keepNext w:val="0"/>
              <w:keepLines w:val="0"/>
              <w:pageBreakBefore w:val="0"/>
              <w:widowControl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6.2</w:t>
            </w:r>
          </w:p>
        </w:tc>
        <w:tc>
          <w:tcPr>
            <w:tcW w:w="1748" w:type="dxa"/>
            <w:noWrap w:val="0"/>
            <w:vAlign w:val="center"/>
          </w:tcPr>
          <w:p w14:paraId="5CADD247">
            <w:pPr>
              <w:keepNext w:val="0"/>
              <w:keepLines w:val="0"/>
              <w:pageBreakBefore w:val="0"/>
              <w:widowControl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成交公告媒介</w:t>
            </w:r>
          </w:p>
        </w:tc>
        <w:tc>
          <w:tcPr>
            <w:tcW w:w="6622" w:type="dxa"/>
            <w:noWrap w:val="0"/>
            <w:vAlign w:val="center"/>
          </w:tcPr>
          <w:p w14:paraId="359D4BA8">
            <w:pPr>
              <w:keepNext w:val="0"/>
              <w:keepLines w:val="0"/>
              <w:pageBreakBefore w:val="0"/>
              <w:widowControl w:val="0"/>
              <w:spacing w:line="240" w:lineRule="auto"/>
              <w:jc w:val="both"/>
              <w:rPr>
                <w:rFonts w:hint="eastAsia" w:ascii="宋体" w:hAnsi="宋体" w:eastAsia="宋体" w:cs="宋体"/>
                <w:color w:val="000000"/>
                <w:sz w:val="22"/>
                <w:szCs w:val="22"/>
              </w:rPr>
            </w:pPr>
            <w:r>
              <w:rPr>
                <w:rFonts w:hint="eastAsia" w:ascii="宋体" w:hAnsi="宋体" w:eastAsia="宋体" w:cs="宋体"/>
                <w:color w:val="000000"/>
                <w:sz w:val="22"/>
                <w:szCs w:val="22"/>
              </w:rPr>
              <w:t>江苏政府采购网（www.ccgp-jiangsu.gov.cn）</w:t>
            </w:r>
          </w:p>
        </w:tc>
      </w:tr>
      <w:tr w14:paraId="5B9057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6" w:hRule="atLeast"/>
        </w:trPr>
        <w:tc>
          <w:tcPr>
            <w:tcW w:w="945" w:type="dxa"/>
            <w:noWrap w:val="0"/>
            <w:vAlign w:val="center"/>
          </w:tcPr>
          <w:p w14:paraId="79C1BD1C">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7.1</w:t>
            </w:r>
          </w:p>
        </w:tc>
        <w:tc>
          <w:tcPr>
            <w:tcW w:w="1748" w:type="dxa"/>
            <w:noWrap w:val="0"/>
            <w:vAlign w:val="center"/>
          </w:tcPr>
          <w:p w14:paraId="43FC015A">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履约保证金</w:t>
            </w:r>
          </w:p>
        </w:tc>
        <w:tc>
          <w:tcPr>
            <w:tcW w:w="6622" w:type="dxa"/>
            <w:noWrap w:val="0"/>
            <w:vAlign w:val="center"/>
          </w:tcPr>
          <w:p w14:paraId="797CED66">
            <w:pPr>
              <w:keepNext w:val="0"/>
              <w:keepLines w:val="0"/>
              <w:pageBreakBefore w:val="0"/>
              <w:widowControl w:val="0"/>
              <w:spacing w:line="240" w:lineRule="auto"/>
              <w:jc w:val="both"/>
              <w:rPr>
                <w:rFonts w:hint="eastAsia" w:ascii="宋体" w:hAnsi="宋体" w:eastAsia="宋体" w:cs="宋体"/>
                <w:color w:val="000000"/>
                <w:sz w:val="22"/>
                <w:szCs w:val="22"/>
              </w:rPr>
            </w:pPr>
            <w:r>
              <w:rPr>
                <w:rFonts w:hint="eastAsia" w:ascii="宋体" w:hAnsi="宋体" w:eastAsia="宋体" w:cs="宋体"/>
                <w:color w:val="000000"/>
                <w:sz w:val="22"/>
                <w:szCs w:val="22"/>
              </w:rPr>
              <w:t>（1）履约保证金形式:银行电汇或网上银行支付或</w:t>
            </w:r>
            <w:r>
              <w:rPr>
                <w:rFonts w:hint="eastAsia" w:ascii="宋体" w:hAnsi="宋体" w:cs="宋体"/>
                <w:color w:val="000000"/>
                <w:sz w:val="22"/>
                <w:szCs w:val="22"/>
                <w:lang w:val="en-US" w:eastAsia="zh-CN"/>
              </w:rPr>
              <w:t>保函</w:t>
            </w:r>
            <w:r>
              <w:rPr>
                <w:rFonts w:hint="eastAsia" w:ascii="宋体" w:hAnsi="宋体" w:eastAsia="宋体" w:cs="宋体"/>
                <w:color w:val="000000"/>
                <w:sz w:val="22"/>
                <w:szCs w:val="22"/>
              </w:rPr>
              <w:t>。</w:t>
            </w:r>
          </w:p>
          <w:p w14:paraId="268E7075">
            <w:pPr>
              <w:keepNext w:val="0"/>
              <w:keepLines w:val="0"/>
              <w:pageBreakBefore w:val="0"/>
              <w:widowControl w:val="0"/>
              <w:spacing w:line="240" w:lineRule="auto"/>
              <w:jc w:val="both"/>
              <w:rPr>
                <w:rFonts w:hint="eastAsia" w:ascii="宋体" w:hAnsi="宋体" w:eastAsia="宋体" w:cs="宋体"/>
                <w:color w:val="000000"/>
                <w:sz w:val="22"/>
                <w:szCs w:val="22"/>
              </w:rPr>
            </w:pPr>
            <w:r>
              <w:rPr>
                <w:rFonts w:hint="eastAsia" w:ascii="宋体" w:hAnsi="宋体" w:eastAsia="宋体" w:cs="宋体"/>
                <w:color w:val="000000"/>
                <w:sz w:val="22"/>
                <w:szCs w:val="22"/>
              </w:rPr>
              <w:t>（2）金额：中标价的</w:t>
            </w:r>
            <w:r>
              <w:rPr>
                <w:rFonts w:hint="eastAsia" w:ascii="宋体" w:hAnsi="宋体" w:eastAsia="宋体" w:cs="宋体"/>
                <w:color w:val="000000"/>
                <w:sz w:val="22"/>
                <w:szCs w:val="22"/>
                <w:highlight w:val="none"/>
              </w:rPr>
              <w:t>10%</w:t>
            </w:r>
            <w:r>
              <w:rPr>
                <w:rFonts w:hint="eastAsia" w:ascii="宋体" w:hAnsi="宋体" w:eastAsia="宋体" w:cs="宋体"/>
                <w:color w:val="000000"/>
                <w:sz w:val="22"/>
                <w:szCs w:val="22"/>
              </w:rPr>
              <w:t>。</w:t>
            </w:r>
          </w:p>
          <w:p w14:paraId="3FBD2622">
            <w:pPr>
              <w:keepNext w:val="0"/>
              <w:keepLines w:val="0"/>
              <w:pageBreakBefore w:val="0"/>
              <w:widowControl w:val="0"/>
              <w:spacing w:line="240" w:lineRule="auto"/>
              <w:jc w:val="both"/>
              <w:rPr>
                <w:rFonts w:hint="eastAsia" w:ascii="宋体" w:hAnsi="宋体" w:eastAsia="宋体" w:cs="宋体"/>
                <w:color w:val="000000"/>
                <w:sz w:val="22"/>
                <w:szCs w:val="22"/>
              </w:rPr>
            </w:pPr>
            <w:r>
              <w:rPr>
                <w:rFonts w:hint="eastAsia" w:ascii="宋体" w:hAnsi="宋体" w:eastAsia="宋体" w:cs="宋体"/>
                <w:color w:val="000000"/>
                <w:sz w:val="22"/>
                <w:szCs w:val="22"/>
              </w:rPr>
              <w:t>（3）缴纳时间：在确定成交供应商之后,签订采购合同前。</w:t>
            </w:r>
          </w:p>
          <w:p w14:paraId="47D949C2">
            <w:pPr>
              <w:keepNext w:val="0"/>
              <w:keepLines w:val="0"/>
              <w:pageBreakBefore w:val="0"/>
              <w:widowControl w:val="0"/>
              <w:spacing w:line="240" w:lineRule="auto"/>
              <w:jc w:val="both"/>
              <w:rPr>
                <w:rFonts w:hint="eastAsia" w:ascii="宋体" w:hAnsi="宋体" w:eastAsia="宋体" w:cs="宋体"/>
                <w:color w:val="000000"/>
                <w:sz w:val="22"/>
                <w:szCs w:val="22"/>
              </w:rPr>
            </w:pPr>
            <w:r>
              <w:rPr>
                <w:rFonts w:hint="eastAsia" w:ascii="宋体" w:hAnsi="宋体" w:eastAsia="宋体" w:cs="宋体"/>
                <w:color w:val="000000"/>
                <w:sz w:val="22"/>
                <w:szCs w:val="22"/>
              </w:rPr>
              <w:t>（4）退还时间：合同期满后无息退还。</w:t>
            </w:r>
          </w:p>
        </w:tc>
      </w:tr>
      <w:tr w14:paraId="37269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rPr>
        <w:tc>
          <w:tcPr>
            <w:tcW w:w="945" w:type="dxa"/>
            <w:noWrap w:val="0"/>
            <w:vAlign w:val="center"/>
          </w:tcPr>
          <w:p w14:paraId="0E319EF9">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7.2</w:t>
            </w:r>
          </w:p>
        </w:tc>
        <w:tc>
          <w:tcPr>
            <w:tcW w:w="1748" w:type="dxa"/>
            <w:noWrap w:val="0"/>
            <w:vAlign w:val="center"/>
          </w:tcPr>
          <w:p w14:paraId="38B4C9C6">
            <w:pPr>
              <w:keepNext w:val="0"/>
              <w:keepLines w:val="0"/>
              <w:pageBreakBefore w:val="0"/>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签订合同的时间要求</w:t>
            </w:r>
          </w:p>
        </w:tc>
        <w:tc>
          <w:tcPr>
            <w:tcW w:w="6622" w:type="dxa"/>
            <w:noWrap w:val="0"/>
            <w:vAlign w:val="center"/>
          </w:tcPr>
          <w:p w14:paraId="45A77EE6">
            <w:pPr>
              <w:keepNext w:val="0"/>
              <w:keepLines w:val="0"/>
              <w:pageBreakBefore w:val="0"/>
              <w:widowControl w:val="0"/>
              <w:spacing w:line="240" w:lineRule="auto"/>
              <w:jc w:val="both"/>
              <w:rPr>
                <w:rFonts w:hint="eastAsia" w:ascii="宋体" w:hAnsi="宋体" w:eastAsia="宋体" w:cs="宋体"/>
                <w:color w:val="000000"/>
                <w:sz w:val="22"/>
                <w:szCs w:val="22"/>
              </w:rPr>
            </w:pPr>
            <w:r>
              <w:rPr>
                <w:rFonts w:hint="eastAsia" w:ascii="宋体" w:hAnsi="宋体" w:eastAsia="宋体" w:cs="宋体"/>
                <w:color w:val="000000"/>
                <w:sz w:val="22"/>
                <w:szCs w:val="22"/>
              </w:rPr>
              <w:t>自成交通知书发出之日起</w:t>
            </w:r>
            <w:r>
              <w:rPr>
                <w:rFonts w:hint="eastAsia" w:ascii="宋体" w:hAnsi="宋体" w:cs="宋体"/>
                <w:color w:val="FF0000"/>
                <w:sz w:val="22"/>
                <w:szCs w:val="22"/>
                <w:highlight w:val="none"/>
                <w:u w:val="single"/>
                <w:lang w:val="en-US" w:eastAsia="zh-CN"/>
              </w:rPr>
              <w:t>30</w:t>
            </w:r>
            <w:r>
              <w:rPr>
                <w:rFonts w:hint="eastAsia" w:ascii="宋体" w:hAnsi="宋体" w:eastAsia="宋体" w:cs="宋体"/>
                <w:color w:val="000000"/>
                <w:sz w:val="22"/>
                <w:szCs w:val="22"/>
              </w:rPr>
              <w:t>天内</w:t>
            </w:r>
          </w:p>
        </w:tc>
      </w:tr>
      <w:tr w14:paraId="3576E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45" w:type="dxa"/>
            <w:noWrap w:val="0"/>
            <w:vAlign w:val="center"/>
          </w:tcPr>
          <w:p w14:paraId="2E41C7F3">
            <w:pPr>
              <w:keepNext w:val="0"/>
              <w:keepLines w:val="0"/>
              <w:pageBreakBefore w:val="0"/>
              <w:spacing w:line="240" w:lineRule="auto"/>
              <w:jc w:val="center"/>
              <w:rPr>
                <w:rFonts w:hint="eastAsia" w:ascii="宋体" w:hAnsi="宋体" w:eastAsia="宋体" w:cs="宋体"/>
                <w:b/>
                <w:color w:val="000000"/>
                <w:sz w:val="22"/>
                <w:szCs w:val="22"/>
              </w:rPr>
            </w:pPr>
            <w:r>
              <w:rPr>
                <w:rFonts w:hint="eastAsia" w:ascii="宋体" w:hAnsi="宋体" w:eastAsia="宋体" w:cs="宋体"/>
                <w:b/>
                <w:color w:val="000000"/>
                <w:sz w:val="22"/>
                <w:szCs w:val="22"/>
              </w:rPr>
              <w:t>10</w:t>
            </w:r>
          </w:p>
        </w:tc>
        <w:tc>
          <w:tcPr>
            <w:tcW w:w="8370" w:type="dxa"/>
            <w:gridSpan w:val="2"/>
            <w:noWrap w:val="0"/>
            <w:vAlign w:val="center"/>
          </w:tcPr>
          <w:p w14:paraId="53DFFC9C">
            <w:pPr>
              <w:keepNext w:val="0"/>
              <w:keepLines w:val="0"/>
              <w:pageBreakBefore w:val="0"/>
              <w:spacing w:line="240" w:lineRule="auto"/>
              <w:jc w:val="center"/>
              <w:rPr>
                <w:rFonts w:hint="eastAsia" w:ascii="宋体" w:hAnsi="宋体" w:eastAsia="宋体" w:cs="宋体"/>
                <w:b/>
                <w:color w:val="000000"/>
                <w:sz w:val="22"/>
                <w:szCs w:val="22"/>
              </w:rPr>
            </w:pPr>
            <w:r>
              <w:rPr>
                <w:rFonts w:hint="eastAsia" w:ascii="宋体" w:hAnsi="宋体" w:eastAsia="宋体" w:cs="宋体"/>
                <w:b/>
                <w:color w:val="000000"/>
                <w:sz w:val="22"/>
                <w:szCs w:val="22"/>
              </w:rPr>
              <w:t>需要补充的其他内容</w:t>
            </w:r>
          </w:p>
        </w:tc>
      </w:tr>
      <w:tr w14:paraId="27C79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7" w:hRule="atLeast"/>
        </w:trPr>
        <w:tc>
          <w:tcPr>
            <w:tcW w:w="945" w:type="dxa"/>
            <w:noWrap w:val="0"/>
            <w:vAlign w:val="center"/>
          </w:tcPr>
          <w:p w14:paraId="70D3C65E">
            <w:pPr>
              <w:keepNext w:val="0"/>
              <w:keepLines w:val="0"/>
              <w:pageBreakBefore w:val="0"/>
              <w:spacing w:line="240" w:lineRule="auto"/>
              <w:jc w:val="center"/>
              <w:rPr>
                <w:rFonts w:hint="eastAsia" w:ascii="宋体" w:hAnsi="宋体" w:eastAsia="宋体" w:cs="宋体"/>
                <w:b/>
                <w:color w:val="000000"/>
                <w:sz w:val="22"/>
                <w:szCs w:val="22"/>
              </w:rPr>
            </w:pPr>
            <w:r>
              <w:rPr>
                <w:rFonts w:hint="eastAsia" w:ascii="宋体" w:hAnsi="宋体" w:eastAsia="宋体" w:cs="宋体"/>
                <w:b/>
                <w:color w:val="000000"/>
                <w:sz w:val="22"/>
                <w:szCs w:val="22"/>
              </w:rPr>
              <w:t>10.1</w:t>
            </w:r>
          </w:p>
        </w:tc>
        <w:tc>
          <w:tcPr>
            <w:tcW w:w="8370" w:type="dxa"/>
            <w:gridSpan w:val="2"/>
            <w:noWrap w:val="0"/>
            <w:vAlign w:val="center"/>
          </w:tcPr>
          <w:p w14:paraId="1754CD9A">
            <w:pPr>
              <w:spacing w:line="288" w:lineRule="auto"/>
              <w:rPr>
                <w:rFonts w:hint="eastAsia"/>
                <w:sz w:val="22"/>
                <w:szCs w:val="22"/>
              </w:rPr>
            </w:pPr>
            <w:r>
              <w:rPr>
                <w:rFonts w:hint="eastAsia"/>
                <w:sz w:val="22"/>
                <w:szCs w:val="22"/>
              </w:rPr>
              <w:t>1.本次采购代理费由成交单位</w:t>
            </w:r>
            <w:r>
              <w:rPr>
                <w:rFonts w:hint="eastAsia"/>
                <w:sz w:val="22"/>
                <w:szCs w:val="22"/>
                <w:lang w:val="en-US" w:eastAsia="zh-CN"/>
              </w:rPr>
              <w:t>代为支付</w:t>
            </w:r>
            <w:r>
              <w:rPr>
                <w:rFonts w:hint="eastAsia"/>
                <w:sz w:val="22"/>
                <w:szCs w:val="22"/>
              </w:rPr>
              <w:t>，采购代理收费参考</w:t>
            </w:r>
            <w:r>
              <w:rPr>
                <w:rFonts w:hint="eastAsia" w:ascii="宋体" w:hAnsi="宋体" w:cs="宋体"/>
                <w:b w:val="0"/>
                <w:bCs/>
                <w:color w:val="000000"/>
                <w:sz w:val="21"/>
                <w:szCs w:val="21"/>
                <w:highlight w:val="none"/>
              </w:rPr>
              <w:t>发改价格【2011】534号文件</w:t>
            </w:r>
            <w:r>
              <w:rPr>
                <w:rFonts w:hint="eastAsia"/>
                <w:sz w:val="22"/>
                <w:szCs w:val="22"/>
              </w:rPr>
              <w:t>规定收费标准的</w:t>
            </w:r>
            <w:r>
              <w:rPr>
                <w:rFonts w:hint="eastAsia"/>
                <w:sz w:val="22"/>
                <w:szCs w:val="22"/>
                <w:lang w:val="en-US" w:eastAsia="zh-CN"/>
              </w:rPr>
              <w:t>55</w:t>
            </w:r>
            <w:r>
              <w:rPr>
                <w:rFonts w:hint="eastAsia"/>
                <w:sz w:val="22"/>
                <w:szCs w:val="22"/>
              </w:rPr>
              <w:t>%计算</w:t>
            </w:r>
            <w:r>
              <w:rPr>
                <w:rFonts w:hint="eastAsia"/>
                <w:sz w:val="22"/>
                <w:szCs w:val="22"/>
                <w:lang w:val="en-US" w:eastAsia="zh-CN"/>
              </w:rPr>
              <w:t>，</w:t>
            </w:r>
            <w:r>
              <w:rPr>
                <w:rFonts w:hint="eastAsia"/>
                <w:sz w:val="22"/>
                <w:szCs w:val="22"/>
              </w:rPr>
              <w:t>最终按实际</w:t>
            </w:r>
            <w:r>
              <w:rPr>
                <w:rFonts w:hint="eastAsia"/>
                <w:sz w:val="22"/>
                <w:szCs w:val="22"/>
                <w:lang w:eastAsia="zh-CN"/>
              </w:rPr>
              <w:t>成交价</w:t>
            </w:r>
            <w:r>
              <w:rPr>
                <w:rFonts w:hint="eastAsia"/>
                <w:sz w:val="22"/>
                <w:szCs w:val="22"/>
              </w:rPr>
              <w:t>结算</w:t>
            </w:r>
            <w:r>
              <w:rPr>
                <w:rFonts w:hint="eastAsia"/>
                <w:sz w:val="22"/>
                <w:szCs w:val="22"/>
                <w:lang w:eastAsia="zh-CN"/>
              </w:rPr>
              <w:t>；</w:t>
            </w:r>
            <w:r>
              <w:rPr>
                <w:rFonts w:hint="eastAsia"/>
                <w:sz w:val="22"/>
                <w:szCs w:val="22"/>
                <w:lang w:val="en-US" w:eastAsia="zh-CN"/>
              </w:rPr>
              <w:t>以上</w:t>
            </w:r>
            <w:r>
              <w:rPr>
                <w:rFonts w:hint="eastAsia"/>
                <w:sz w:val="22"/>
                <w:szCs w:val="22"/>
              </w:rPr>
              <w:t>费用包含在</w:t>
            </w:r>
            <w:r>
              <w:rPr>
                <w:rFonts w:hint="eastAsia"/>
                <w:sz w:val="22"/>
                <w:szCs w:val="22"/>
                <w:lang w:val="en-US" w:eastAsia="zh-CN"/>
              </w:rPr>
              <w:t>响应</w:t>
            </w:r>
            <w:r>
              <w:rPr>
                <w:rFonts w:hint="eastAsia"/>
                <w:sz w:val="22"/>
                <w:szCs w:val="22"/>
              </w:rPr>
              <w:t>报价中，并不单独立项，由成交单位在领取成交通知书前向采购代理机构付清。</w:t>
            </w:r>
          </w:p>
          <w:p w14:paraId="13FECB20">
            <w:pPr>
              <w:spacing w:line="288" w:lineRule="auto"/>
              <w:rPr>
                <w:rFonts w:hint="eastAsia"/>
                <w:sz w:val="22"/>
                <w:szCs w:val="22"/>
              </w:rPr>
            </w:pPr>
            <w:r>
              <w:rPr>
                <w:rFonts w:hint="eastAsia"/>
                <w:sz w:val="22"/>
                <w:szCs w:val="22"/>
                <w:lang w:val="en-US" w:eastAsia="zh-CN"/>
              </w:rPr>
              <w:t>2.</w:t>
            </w:r>
            <w:r>
              <w:rPr>
                <w:rFonts w:hint="eastAsia"/>
                <w:sz w:val="22"/>
                <w:szCs w:val="22"/>
              </w:rPr>
              <w:t>供应商无须编制已标价的工程量清单，结算时各单价直接将预算价按照中标下浮率（特指实际下浮率，</w:t>
            </w:r>
            <w:r>
              <w:rPr>
                <w:rFonts w:hint="eastAsia"/>
                <w:sz w:val="22"/>
                <w:szCs w:val="22"/>
                <w:lang w:val="en-US" w:eastAsia="zh-CN"/>
              </w:rPr>
              <w:t>安全文明措施费、</w:t>
            </w:r>
            <w:r>
              <w:rPr>
                <w:rFonts w:hint="eastAsia"/>
                <w:sz w:val="22"/>
                <w:szCs w:val="22"/>
              </w:rPr>
              <w:t>暂列金额</w:t>
            </w:r>
            <w:r>
              <w:rPr>
                <w:rFonts w:hint="eastAsia"/>
                <w:sz w:val="22"/>
                <w:szCs w:val="22"/>
                <w:lang w:eastAsia="zh-CN"/>
              </w:rPr>
              <w:t>、</w:t>
            </w:r>
            <w:r>
              <w:rPr>
                <w:rFonts w:hint="eastAsia"/>
                <w:sz w:val="22"/>
                <w:szCs w:val="22"/>
                <w:lang w:val="en-US" w:eastAsia="zh-CN"/>
              </w:rPr>
              <w:t>专业工程暂估价</w:t>
            </w:r>
            <w:r>
              <w:rPr>
                <w:rFonts w:hint="eastAsia"/>
                <w:sz w:val="22"/>
                <w:szCs w:val="22"/>
              </w:rPr>
              <w:t>等不可竞争费用不下浮）同步下浮执行。结算时以审计后的实际工程量为准，按实结算。</w:t>
            </w:r>
          </w:p>
          <w:p w14:paraId="4D3A39C6">
            <w:pPr>
              <w:spacing w:line="288" w:lineRule="auto"/>
              <w:rPr>
                <w:sz w:val="22"/>
                <w:szCs w:val="22"/>
              </w:rPr>
            </w:pPr>
            <w:r>
              <w:rPr>
                <w:rFonts w:hint="eastAsia"/>
                <w:sz w:val="22"/>
                <w:szCs w:val="22"/>
                <w:lang w:val="en-US" w:eastAsia="zh-CN"/>
              </w:rPr>
              <w:t>3.</w:t>
            </w:r>
            <w:r>
              <w:rPr>
                <w:rFonts w:hint="eastAsia"/>
                <w:sz w:val="22"/>
                <w:szCs w:val="22"/>
              </w:rPr>
              <w:t>各供应商应慎重报价，不得恶意降价，若</w:t>
            </w:r>
            <w:r>
              <w:rPr>
                <w:rFonts w:hint="eastAsia"/>
                <w:sz w:val="22"/>
                <w:szCs w:val="22"/>
                <w:lang w:val="en-US" w:eastAsia="zh-CN"/>
              </w:rPr>
              <w:t>供应商</w:t>
            </w:r>
            <w:r>
              <w:rPr>
                <w:rFonts w:hint="eastAsia"/>
                <w:sz w:val="22"/>
                <w:szCs w:val="22"/>
              </w:rPr>
              <w:t>存在</w:t>
            </w:r>
            <w:r>
              <w:rPr>
                <w:rFonts w:hint="eastAsia"/>
                <w:sz w:val="22"/>
                <w:szCs w:val="22"/>
                <w:lang w:val="en-US" w:eastAsia="zh-CN"/>
              </w:rPr>
              <w:t>因报价过低无法履约</w:t>
            </w:r>
            <w:r>
              <w:rPr>
                <w:rFonts w:hint="eastAsia"/>
                <w:sz w:val="22"/>
                <w:szCs w:val="22"/>
              </w:rPr>
              <w:t>或</w:t>
            </w:r>
            <w:r>
              <w:rPr>
                <w:rFonts w:hint="eastAsia"/>
                <w:sz w:val="22"/>
                <w:szCs w:val="22"/>
                <w:lang w:val="en-US" w:eastAsia="zh-CN"/>
              </w:rPr>
              <w:t>拒绝缴纳履约保证金或成交</w:t>
            </w:r>
            <w:r>
              <w:rPr>
                <w:rFonts w:hint="eastAsia"/>
                <w:sz w:val="22"/>
                <w:szCs w:val="22"/>
              </w:rPr>
              <w:t>后无正当理由拒签合同等恶意竞争行为，取消其</w:t>
            </w:r>
            <w:r>
              <w:rPr>
                <w:rFonts w:hint="eastAsia"/>
                <w:sz w:val="22"/>
                <w:szCs w:val="22"/>
                <w:lang w:val="en-US" w:eastAsia="zh-CN"/>
              </w:rPr>
              <w:t>成交</w:t>
            </w:r>
            <w:r>
              <w:rPr>
                <w:rFonts w:hint="eastAsia"/>
                <w:sz w:val="22"/>
                <w:szCs w:val="22"/>
              </w:rPr>
              <w:t>资格，采购人将上报监管部门，进行不良行为公示。</w:t>
            </w:r>
          </w:p>
          <w:p w14:paraId="38B3EACF">
            <w:pPr>
              <w:spacing w:line="288" w:lineRule="auto"/>
              <w:rPr>
                <w:sz w:val="22"/>
                <w:szCs w:val="22"/>
              </w:rPr>
            </w:pPr>
            <w:r>
              <w:rPr>
                <w:rFonts w:hint="eastAsia"/>
                <w:sz w:val="22"/>
                <w:szCs w:val="22"/>
                <w:lang w:val="en-US" w:eastAsia="zh-CN"/>
              </w:rPr>
              <w:t>4</w:t>
            </w:r>
            <w:r>
              <w:rPr>
                <w:rFonts w:hint="eastAsia"/>
                <w:sz w:val="22"/>
                <w:szCs w:val="22"/>
              </w:rPr>
              <w:t>.本工程清单中列明的暂列金额</w:t>
            </w:r>
            <w:r>
              <w:rPr>
                <w:rFonts w:hint="eastAsia"/>
                <w:sz w:val="22"/>
                <w:szCs w:val="22"/>
                <w:lang w:eastAsia="zh-CN"/>
              </w:rPr>
              <w:t>、</w:t>
            </w:r>
            <w:r>
              <w:rPr>
                <w:rFonts w:hint="eastAsia"/>
                <w:sz w:val="22"/>
                <w:szCs w:val="22"/>
                <w:lang w:val="en-US" w:eastAsia="zh-CN"/>
              </w:rPr>
              <w:t>专业工程暂估价</w:t>
            </w:r>
            <w:r>
              <w:rPr>
                <w:rFonts w:hint="eastAsia"/>
                <w:sz w:val="22"/>
                <w:szCs w:val="22"/>
              </w:rPr>
              <w:t>不下浮，由采购人控制使用。</w:t>
            </w:r>
          </w:p>
          <w:p w14:paraId="03B73B83">
            <w:pPr>
              <w:spacing w:line="288" w:lineRule="auto"/>
              <w:rPr>
                <w:sz w:val="22"/>
                <w:szCs w:val="22"/>
              </w:rPr>
            </w:pPr>
            <w:r>
              <w:rPr>
                <w:rFonts w:hint="eastAsia"/>
                <w:sz w:val="22"/>
                <w:szCs w:val="22"/>
                <w:lang w:val="en-US" w:eastAsia="zh-CN"/>
              </w:rPr>
              <w:t>5</w:t>
            </w:r>
            <w:r>
              <w:rPr>
                <w:rFonts w:hint="eastAsia"/>
                <w:sz w:val="22"/>
                <w:szCs w:val="22"/>
              </w:rPr>
              <w:t>.本工程中的所有专业施工项目必须由采购人审核把关。</w:t>
            </w:r>
          </w:p>
          <w:p w14:paraId="71EDAE8E">
            <w:pPr>
              <w:spacing w:line="288" w:lineRule="auto"/>
              <w:rPr>
                <w:sz w:val="22"/>
                <w:szCs w:val="22"/>
              </w:rPr>
            </w:pPr>
            <w:r>
              <w:rPr>
                <w:rFonts w:hint="eastAsia"/>
                <w:sz w:val="22"/>
                <w:szCs w:val="22"/>
                <w:lang w:val="en-US" w:eastAsia="zh-CN"/>
              </w:rPr>
              <w:t>6</w:t>
            </w:r>
            <w:r>
              <w:rPr>
                <w:rFonts w:hint="eastAsia"/>
                <w:sz w:val="22"/>
                <w:szCs w:val="22"/>
              </w:rPr>
              <w:t>.中标人在签订合同前，须向采购人提交已标价的工程量清单，已标价的工程量清单总价应与</w:t>
            </w:r>
            <w:r>
              <w:rPr>
                <w:rFonts w:hint="eastAsia"/>
                <w:sz w:val="22"/>
                <w:szCs w:val="22"/>
                <w:lang w:eastAsia="zh-CN"/>
              </w:rPr>
              <w:t>成交价</w:t>
            </w:r>
            <w:r>
              <w:rPr>
                <w:rFonts w:hint="eastAsia"/>
                <w:sz w:val="22"/>
                <w:szCs w:val="22"/>
              </w:rPr>
              <w:t>一致，各单价直接将预算价按照中标下浮率（特指实际下浮率，</w:t>
            </w:r>
            <w:r>
              <w:rPr>
                <w:rFonts w:hint="eastAsia"/>
                <w:sz w:val="22"/>
                <w:szCs w:val="22"/>
                <w:lang w:val="en-US" w:eastAsia="zh-CN"/>
              </w:rPr>
              <w:t>安全生产费、</w:t>
            </w:r>
            <w:r>
              <w:rPr>
                <w:rFonts w:hint="eastAsia"/>
                <w:sz w:val="22"/>
                <w:szCs w:val="22"/>
              </w:rPr>
              <w:t>暂列金额</w:t>
            </w:r>
            <w:r>
              <w:rPr>
                <w:rFonts w:hint="eastAsia"/>
                <w:sz w:val="22"/>
                <w:szCs w:val="22"/>
                <w:lang w:eastAsia="zh-CN"/>
              </w:rPr>
              <w:t>、</w:t>
            </w:r>
            <w:r>
              <w:rPr>
                <w:rFonts w:hint="eastAsia"/>
                <w:sz w:val="22"/>
                <w:szCs w:val="22"/>
                <w:lang w:val="en-US" w:eastAsia="zh-CN"/>
              </w:rPr>
              <w:t>专业工程暂估价</w:t>
            </w:r>
            <w:r>
              <w:rPr>
                <w:rFonts w:hint="eastAsia"/>
                <w:sz w:val="22"/>
                <w:szCs w:val="22"/>
              </w:rPr>
              <w:t>等不可竞争费用不下浮）同步下浮执行。</w:t>
            </w:r>
          </w:p>
          <w:p w14:paraId="03CE07F0">
            <w:pPr>
              <w:spacing w:line="288" w:lineRule="auto"/>
              <w:rPr>
                <w:sz w:val="22"/>
                <w:szCs w:val="22"/>
              </w:rPr>
            </w:pPr>
            <w:r>
              <w:rPr>
                <w:rFonts w:hint="eastAsia"/>
                <w:sz w:val="22"/>
                <w:szCs w:val="22"/>
                <w:lang w:val="en-US" w:eastAsia="zh-CN"/>
              </w:rPr>
              <w:t>7</w:t>
            </w:r>
            <w:r>
              <w:rPr>
                <w:rFonts w:hint="eastAsia"/>
                <w:sz w:val="22"/>
                <w:szCs w:val="22"/>
              </w:rPr>
              <w:t>.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p>
          <w:p w14:paraId="21937E41">
            <w:pPr>
              <w:pageBreakBefore w:val="0"/>
              <w:widowControl w:val="0"/>
              <w:spacing w:line="288" w:lineRule="auto"/>
              <w:rPr>
                <w:rFonts w:hint="eastAsia"/>
                <w:sz w:val="22"/>
                <w:szCs w:val="22"/>
              </w:rPr>
            </w:pPr>
            <w:r>
              <w:rPr>
                <w:rFonts w:hint="eastAsia"/>
                <w:sz w:val="22"/>
                <w:szCs w:val="22"/>
                <w:lang w:val="en-US" w:eastAsia="zh-CN"/>
              </w:rPr>
              <w:t>8</w:t>
            </w:r>
            <w:r>
              <w:rPr>
                <w:rFonts w:hint="eastAsia"/>
                <w:sz w:val="22"/>
                <w:szCs w:val="22"/>
              </w:rPr>
              <w:t>.中标人不得在本项目中使用处于曝光期内企业供应的预拌混凝土。</w:t>
            </w:r>
          </w:p>
          <w:p w14:paraId="0041D929">
            <w:pPr>
              <w:pStyle w:val="343"/>
              <w:keepNext w:val="0"/>
              <w:keepLines w:val="0"/>
              <w:pageBreakBefore w:val="0"/>
              <w:widowControl/>
              <w:spacing w:line="240" w:lineRule="auto"/>
              <w:jc w:val="left"/>
              <w:rPr>
                <w:rFonts w:hint="eastAsia" w:ascii="Times New Roman" w:hAnsi="Times New Roman" w:eastAsia="宋体" w:cs="Times New Roman"/>
                <w:sz w:val="22"/>
                <w:szCs w:val="22"/>
                <w:lang w:val="en-US" w:eastAsia="zh-CN" w:bidi="ar-SA"/>
              </w:rPr>
            </w:pPr>
            <w:r>
              <w:rPr>
                <w:rFonts w:hint="eastAsia" w:ascii="Times New Roman" w:hAnsi="Times New Roman" w:eastAsia="宋体" w:cs="Times New Roman"/>
                <w:sz w:val="22"/>
                <w:szCs w:val="22"/>
                <w:lang w:val="en-US" w:eastAsia="zh-CN" w:bidi="ar-SA"/>
              </w:rPr>
              <w:t>9.本项目实施时，采购人有权根据实际情况决定清单中部分工程内容是否实施，成交人须无条件配合。结算时，不因工程量的调减而改变成交时的综合单价。</w:t>
            </w:r>
          </w:p>
          <w:p w14:paraId="27DC561A">
            <w:pPr>
              <w:pStyle w:val="343"/>
              <w:keepNext w:val="0"/>
              <w:keepLines w:val="0"/>
              <w:pageBreakBefore w:val="0"/>
              <w:widowControl/>
              <w:spacing w:line="240" w:lineRule="auto"/>
              <w:jc w:val="left"/>
              <w:rPr>
                <w:rFonts w:ascii="Times New Roman" w:hAnsi="Times New Roman" w:eastAsia="宋体" w:cs="Times New Roman"/>
                <w:sz w:val="21"/>
                <w:szCs w:val="24"/>
                <w:lang w:val="en-US" w:eastAsia="zh-CN" w:bidi="ar-SA"/>
              </w:rPr>
            </w:pPr>
            <w:r>
              <w:rPr>
                <w:rFonts w:hint="eastAsia" w:ascii="Times New Roman" w:hAnsi="Times New Roman" w:eastAsia="宋体" w:cs="Times New Roman"/>
                <w:sz w:val="22"/>
                <w:szCs w:val="22"/>
                <w:lang w:val="en-US" w:eastAsia="zh-CN" w:bidi="ar-SA"/>
              </w:rPr>
              <w:t>10.因项目实施地点分散，投标人自行踏勘现场，了解项目情况。施工期间若产生地方纠纷，投标人自行处理，由此产生的费用，投标人自行承担。</w:t>
            </w:r>
          </w:p>
        </w:tc>
      </w:tr>
      <w:tr w14:paraId="789BA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1" w:hRule="atLeast"/>
        </w:trPr>
        <w:tc>
          <w:tcPr>
            <w:tcW w:w="945" w:type="dxa"/>
            <w:noWrap w:val="0"/>
            <w:vAlign w:val="center"/>
          </w:tcPr>
          <w:p w14:paraId="0ED1BB99">
            <w:pPr>
              <w:keepNext w:val="0"/>
              <w:keepLines w:val="0"/>
              <w:pageBreakBefore w:val="0"/>
              <w:spacing w:line="240" w:lineRule="auto"/>
              <w:jc w:val="center"/>
              <w:rPr>
                <w:rFonts w:hint="eastAsia" w:ascii="宋体" w:hAnsi="宋体" w:eastAsia="宋体" w:cs="宋体"/>
                <w:b/>
                <w:color w:val="000000"/>
                <w:sz w:val="22"/>
                <w:szCs w:val="22"/>
                <w:lang w:eastAsia="zh-CN"/>
              </w:rPr>
            </w:pPr>
            <w:r>
              <w:rPr>
                <w:rFonts w:hint="eastAsia" w:ascii="宋体" w:hAnsi="宋体" w:eastAsia="宋体" w:cs="宋体"/>
                <w:b/>
                <w:color w:val="000000"/>
                <w:sz w:val="22"/>
                <w:szCs w:val="22"/>
              </w:rPr>
              <w:t>10.</w:t>
            </w:r>
            <w:r>
              <w:rPr>
                <w:rFonts w:hint="eastAsia" w:ascii="宋体" w:hAnsi="宋体" w:cs="宋体"/>
                <w:b/>
                <w:color w:val="000000"/>
                <w:sz w:val="22"/>
                <w:szCs w:val="22"/>
                <w:lang w:val="en-US" w:eastAsia="zh-CN"/>
              </w:rPr>
              <w:t>2</w:t>
            </w:r>
          </w:p>
        </w:tc>
        <w:tc>
          <w:tcPr>
            <w:tcW w:w="8370" w:type="dxa"/>
            <w:gridSpan w:val="2"/>
            <w:noWrap w:val="0"/>
            <w:vAlign w:val="center"/>
          </w:tcPr>
          <w:p w14:paraId="7DDFF2DA">
            <w:pPr>
              <w:pStyle w:val="343"/>
              <w:keepNext w:val="0"/>
              <w:keepLines w:val="0"/>
              <w:pageBreakBefore w:val="0"/>
              <w:widowControl/>
              <w:spacing w:line="240" w:lineRule="auto"/>
              <w:jc w:val="left"/>
              <w:rPr>
                <w:rFonts w:hint="eastAsia" w:ascii="宋体" w:hAnsi="宋体" w:eastAsia="宋体" w:cs="宋体"/>
                <w:b/>
                <w:bCs/>
                <w:color w:val="000000"/>
                <w:sz w:val="22"/>
                <w:szCs w:val="22"/>
              </w:rPr>
            </w:pPr>
            <w:r>
              <w:rPr>
                <w:rFonts w:hint="eastAsia" w:ascii="宋体" w:hAnsi="宋体" w:eastAsia="宋体" w:cs="宋体"/>
                <w:b/>
                <w:bCs/>
                <w:color w:val="000000"/>
                <w:sz w:val="22"/>
                <w:szCs w:val="22"/>
              </w:rPr>
              <w:t>友情提醒：请各投标单位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p>
        </w:tc>
      </w:tr>
      <w:tr w14:paraId="27919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1" w:hRule="atLeast"/>
        </w:trPr>
        <w:tc>
          <w:tcPr>
            <w:tcW w:w="945" w:type="dxa"/>
            <w:noWrap w:val="0"/>
            <w:vAlign w:val="center"/>
          </w:tcPr>
          <w:p w14:paraId="25B0346A">
            <w:pPr>
              <w:keepNext w:val="0"/>
              <w:keepLines w:val="0"/>
              <w:pageBreakBefore w:val="0"/>
              <w:spacing w:line="240" w:lineRule="auto"/>
              <w:jc w:val="center"/>
              <w:rPr>
                <w:rFonts w:hint="eastAsia" w:ascii="宋体" w:hAnsi="宋体" w:eastAsia="宋体" w:cs="宋体"/>
                <w:b/>
                <w:color w:val="000000"/>
                <w:sz w:val="22"/>
                <w:szCs w:val="22"/>
                <w:lang w:eastAsia="zh-CN"/>
              </w:rPr>
            </w:pPr>
            <w:r>
              <w:rPr>
                <w:rFonts w:hint="eastAsia" w:ascii="宋体" w:hAnsi="宋体" w:eastAsia="宋体" w:cs="宋体"/>
                <w:b/>
                <w:color w:val="000000"/>
                <w:sz w:val="22"/>
                <w:szCs w:val="22"/>
              </w:rPr>
              <w:t>10.</w:t>
            </w:r>
            <w:r>
              <w:rPr>
                <w:rFonts w:hint="eastAsia" w:ascii="宋体" w:hAnsi="宋体" w:cs="宋体"/>
                <w:b/>
                <w:color w:val="000000"/>
                <w:sz w:val="22"/>
                <w:szCs w:val="22"/>
                <w:lang w:val="en-US" w:eastAsia="zh-CN"/>
              </w:rPr>
              <w:t>3</w:t>
            </w:r>
          </w:p>
        </w:tc>
        <w:tc>
          <w:tcPr>
            <w:tcW w:w="8370" w:type="dxa"/>
            <w:gridSpan w:val="2"/>
            <w:noWrap w:val="0"/>
            <w:vAlign w:val="center"/>
          </w:tcPr>
          <w:p w14:paraId="62F510B3">
            <w:pPr>
              <w:pStyle w:val="343"/>
              <w:keepNext w:val="0"/>
              <w:keepLines w:val="0"/>
              <w:pageBreakBefore w:val="0"/>
              <w:widowControl/>
              <w:spacing w:line="240" w:lineRule="auto"/>
              <w:jc w:val="left"/>
              <w:rPr>
                <w:rFonts w:hint="eastAsia" w:ascii="宋体" w:hAnsi="宋体" w:eastAsia="宋体" w:cs="宋体"/>
                <w:b/>
                <w:bCs/>
                <w:color w:val="000000"/>
                <w:sz w:val="22"/>
                <w:szCs w:val="22"/>
              </w:rPr>
            </w:pPr>
            <w:r>
              <w:rPr>
                <w:rFonts w:hint="eastAsia" w:ascii="宋体" w:hAnsi="宋体" w:eastAsia="宋体" w:cs="宋体"/>
                <w:b/>
                <w:bCs/>
                <w:color w:val="FF0000"/>
                <w:sz w:val="22"/>
                <w:szCs w:val="22"/>
                <w:lang w:val="en-US" w:eastAsia="zh-CN"/>
              </w:rPr>
              <w:t>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投标人承担。</w:t>
            </w:r>
          </w:p>
        </w:tc>
      </w:tr>
      <w:tr w14:paraId="2EC93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3" w:hRule="atLeast"/>
        </w:trPr>
        <w:tc>
          <w:tcPr>
            <w:tcW w:w="945" w:type="dxa"/>
            <w:noWrap w:val="0"/>
            <w:vAlign w:val="center"/>
          </w:tcPr>
          <w:p w14:paraId="67BEAE52">
            <w:pPr>
              <w:keepNext w:val="0"/>
              <w:keepLines w:val="0"/>
              <w:pageBreakBefore w:val="0"/>
              <w:spacing w:line="240" w:lineRule="auto"/>
              <w:jc w:val="center"/>
              <w:rPr>
                <w:rFonts w:hint="eastAsia" w:ascii="宋体" w:hAnsi="宋体" w:eastAsia="宋体" w:cs="宋体"/>
                <w:b/>
                <w:color w:val="000000"/>
                <w:sz w:val="22"/>
                <w:szCs w:val="22"/>
                <w:lang w:eastAsia="zh-CN"/>
              </w:rPr>
            </w:pPr>
            <w:r>
              <w:rPr>
                <w:rFonts w:hint="eastAsia" w:ascii="宋体" w:hAnsi="宋体" w:cs="宋体"/>
                <w:b/>
                <w:color w:val="000000"/>
                <w:sz w:val="22"/>
                <w:szCs w:val="22"/>
                <w:lang w:val="en-US" w:eastAsia="zh-CN"/>
              </w:rPr>
              <w:t>10</w:t>
            </w:r>
            <w:r>
              <w:rPr>
                <w:rFonts w:hint="eastAsia" w:ascii="宋体" w:hAnsi="宋体" w:eastAsia="宋体" w:cs="宋体"/>
                <w:b/>
                <w:color w:val="000000"/>
                <w:sz w:val="22"/>
                <w:szCs w:val="22"/>
              </w:rPr>
              <w:t>.</w:t>
            </w:r>
            <w:r>
              <w:rPr>
                <w:rFonts w:hint="eastAsia" w:ascii="宋体" w:hAnsi="宋体" w:cs="宋体"/>
                <w:b/>
                <w:color w:val="000000"/>
                <w:sz w:val="22"/>
                <w:szCs w:val="22"/>
                <w:lang w:val="en-US" w:eastAsia="zh-CN"/>
              </w:rPr>
              <w:t>4</w:t>
            </w:r>
          </w:p>
        </w:tc>
        <w:tc>
          <w:tcPr>
            <w:tcW w:w="8370" w:type="dxa"/>
            <w:gridSpan w:val="2"/>
            <w:noWrap w:val="0"/>
            <w:vAlign w:val="center"/>
          </w:tcPr>
          <w:p w14:paraId="39D814F7">
            <w:pPr>
              <w:pStyle w:val="343"/>
              <w:keepNext w:val="0"/>
              <w:keepLines w:val="0"/>
              <w:pageBreakBefore w:val="0"/>
              <w:widowControl/>
              <w:spacing w:line="240" w:lineRule="auto"/>
              <w:jc w:val="left"/>
              <w:rPr>
                <w:rFonts w:hint="eastAsia" w:ascii="宋体" w:hAnsi="宋体" w:eastAsia="宋体" w:cs="宋体"/>
                <w:b/>
                <w:color w:val="000000"/>
                <w:sz w:val="22"/>
                <w:szCs w:val="22"/>
              </w:rPr>
            </w:pPr>
            <w:r>
              <w:rPr>
                <w:rFonts w:hint="eastAsia" w:ascii="宋体" w:hAnsi="宋体" w:eastAsia="宋体" w:cs="宋体"/>
                <w:b/>
                <w:color w:val="000000"/>
                <w:sz w:val="22"/>
                <w:szCs w:val="22"/>
              </w:rPr>
              <w:t>承包人应按照《保障农民工工资支付条例》（国务院令第724号）及《泰州市工程建设领域农民工工资专用账户管理暂行办法》（泰人社发【2018】439号）文件规定要求严格落实劳动用工实名制管理、农民工工资按月足额支付、农民工工资（劳务费）专用账户、银行代发农民工工资、农民工工资保证金等制度，如若发现承包单位和个人有拖欠农民工工资行为，将依据《拖欠农民工工资“黑名单”管理暂行办法》（人社部规﹝2017﹞16 号）等文件规定进行联合惩戒。</w:t>
            </w:r>
          </w:p>
        </w:tc>
      </w:tr>
      <w:tr w14:paraId="7FB25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945" w:type="dxa"/>
            <w:noWrap w:val="0"/>
            <w:vAlign w:val="center"/>
          </w:tcPr>
          <w:p w14:paraId="1BB1FA80">
            <w:pPr>
              <w:keepNext w:val="0"/>
              <w:keepLines w:val="0"/>
              <w:pageBreakBefore w:val="0"/>
              <w:spacing w:line="240" w:lineRule="auto"/>
              <w:jc w:val="center"/>
              <w:rPr>
                <w:rFonts w:hint="eastAsia" w:ascii="宋体" w:hAnsi="宋体" w:eastAsia="宋体" w:cs="宋体"/>
                <w:b/>
                <w:color w:val="000000"/>
                <w:sz w:val="22"/>
                <w:szCs w:val="22"/>
                <w:lang w:val="en-US" w:eastAsia="zh-CN"/>
              </w:rPr>
            </w:pPr>
            <w:r>
              <w:rPr>
                <w:rFonts w:hint="eastAsia" w:ascii="宋体" w:hAnsi="宋体" w:eastAsia="宋体" w:cs="宋体"/>
                <w:b/>
                <w:color w:val="000000"/>
                <w:sz w:val="22"/>
                <w:szCs w:val="22"/>
              </w:rPr>
              <w:t>10.</w:t>
            </w:r>
            <w:r>
              <w:rPr>
                <w:rFonts w:hint="eastAsia" w:ascii="宋体" w:hAnsi="宋体" w:cs="宋体"/>
                <w:b/>
                <w:color w:val="000000"/>
                <w:sz w:val="22"/>
                <w:szCs w:val="22"/>
                <w:lang w:val="en-US" w:eastAsia="zh-CN"/>
              </w:rPr>
              <w:t>5</w:t>
            </w:r>
          </w:p>
        </w:tc>
        <w:tc>
          <w:tcPr>
            <w:tcW w:w="8370" w:type="dxa"/>
            <w:gridSpan w:val="2"/>
            <w:noWrap w:val="0"/>
            <w:vAlign w:val="center"/>
          </w:tcPr>
          <w:p w14:paraId="30A1A28D">
            <w:pPr>
              <w:pStyle w:val="343"/>
              <w:keepNext w:val="0"/>
              <w:keepLines w:val="0"/>
              <w:pageBreakBefore w:val="0"/>
              <w:widowControl/>
              <w:spacing w:line="240" w:lineRule="auto"/>
              <w:jc w:val="left"/>
              <w:rPr>
                <w:rFonts w:hint="eastAsia" w:ascii="宋体" w:hAnsi="宋体" w:eastAsia="宋体" w:cs="宋体"/>
                <w:b/>
                <w:color w:val="000000"/>
                <w:sz w:val="22"/>
                <w:szCs w:val="22"/>
              </w:rPr>
            </w:pPr>
            <w:r>
              <w:rPr>
                <w:rFonts w:hint="eastAsia" w:ascii="宋体" w:hAnsi="宋体" w:eastAsia="宋体" w:cs="宋体"/>
                <w:b/>
                <w:color w:val="000000"/>
                <w:sz w:val="22"/>
                <w:szCs w:val="22"/>
              </w:rPr>
              <w:t>质疑和投诉按照《</w:t>
            </w:r>
            <w:r>
              <w:rPr>
                <w:rFonts w:hint="eastAsia" w:ascii="宋体" w:hAnsi="宋体" w:eastAsia="宋体" w:cs="宋体"/>
                <w:b/>
                <w:bCs w:val="0"/>
                <w:color w:val="000000"/>
                <w:sz w:val="22"/>
                <w:szCs w:val="22"/>
              </w:rPr>
              <w:t>政府采购质疑和投诉办法</w:t>
            </w:r>
            <w:r>
              <w:rPr>
                <w:rFonts w:hint="eastAsia" w:ascii="宋体" w:hAnsi="宋体" w:eastAsia="宋体" w:cs="宋体"/>
                <w:b/>
                <w:color w:val="000000"/>
                <w:sz w:val="22"/>
                <w:szCs w:val="22"/>
              </w:rPr>
              <w:t>》财政部令第94号执行</w:t>
            </w:r>
          </w:p>
        </w:tc>
      </w:tr>
    </w:tbl>
    <w:p w14:paraId="60CDBF4B">
      <w:pPr>
        <w:rPr>
          <w:rFonts w:hint="eastAsia" w:ascii="Times New Roman" w:hAnsi="Times New Roman" w:eastAsia="宋体"/>
          <w:b/>
          <w:bCs/>
          <w:color w:val="000000"/>
          <w:sz w:val="24"/>
          <w:szCs w:val="24"/>
        </w:rPr>
      </w:pPr>
      <w:bookmarkStart w:id="38" w:name="_Toc367784995"/>
      <w:bookmarkStart w:id="39" w:name="_Toc468783589"/>
      <w:bookmarkStart w:id="40" w:name="_Toc426469871"/>
      <w:r>
        <w:rPr>
          <w:rFonts w:hint="eastAsia" w:ascii="Times New Roman" w:hAnsi="Times New Roman" w:eastAsia="宋体"/>
          <w:b/>
          <w:bCs/>
          <w:color w:val="000000"/>
          <w:sz w:val="24"/>
          <w:szCs w:val="24"/>
        </w:rPr>
        <w:br w:type="page" w:clear="all"/>
      </w:r>
    </w:p>
    <w:p w14:paraId="129DED70">
      <w:pPr>
        <w:pStyle w:val="235"/>
        <w:pageBreakBefore w:val="0"/>
        <w:spacing w:before="0" w:after="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1.总则</w:t>
      </w:r>
      <w:bookmarkEnd w:id="38"/>
      <w:bookmarkEnd w:id="39"/>
      <w:bookmarkEnd w:id="40"/>
    </w:p>
    <w:p w14:paraId="1757716F">
      <w:pPr>
        <w:pStyle w:val="237"/>
        <w:pageBreakBefore w:val="0"/>
        <w:spacing w:before="0" w:after="0" w:line="360" w:lineRule="auto"/>
        <w:jc w:val="left"/>
        <w:rPr>
          <w:rFonts w:hint="eastAsia" w:ascii="宋体" w:hAnsi="宋体" w:eastAsia="宋体" w:cs="宋体"/>
          <w:b/>
          <w:color w:val="000000"/>
          <w:sz w:val="24"/>
          <w:szCs w:val="24"/>
        </w:rPr>
      </w:pPr>
      <w:bookmarkStart w:id="41" w:name="_Toc468783590"/>
      <w:bookmarkStart w:id="42" w:name="_Toc246996919"/>
      <w:bookmarkStart w:id="43" w:name="_Toc246996176"/>
      <w:bookmarkStart w:id="44" w:name="_Toc426469872"/>
      <w:bookmarkStart w:id="45" w:name="_Toc247085690"/>
      <w:bookmarkStart w:id="46" w:name="_Toc179632547"/>
      <w:bookmarkStart w:id="47" w:name="_Toc343525506"/>
      <w:bookmarkStart w:id="48" w:name="_Toc144974498"/>
      <w:bookmarkStart w:id="49" w:name="_Toc383438593"/>
      <w:bookmarkStart w:id="50" w:name="_Toc152042306"/>
      <w:bookmarkStart w:id="51" w:name="_Toc152045530"/>
      <w:bookmarkStart w:id="52" w:name="_Toc367784996"/>
      <w:r>
        <w:rPr>
          <w:rFonts w:hint="eastAsia" w:ascii="宋体" w:hAnsi="宋体" w:eastAsia="宋体" w:cs="宋体"/>
          <w:b/>
          <w:color w:val="000000"/>
          <w:sz w:val="24"/>
          <w:szCs w:val="24"/>
        </w:rPr>
        <w:t>1.1 项目概况</w:t>
      </w:r>
      <w:bookmarkEnd w:id="41"/>
      <w:bookmarkEnd w:id="42"/>
      <w:bookmarkEnd w:id="43"/>
      <w:bookmarkEnd w:id="44"/>
      <w:bookmarkEnd w:id="45"/>
      <w:bookmarkEnd w:id="46"/>
      <w:bookmarkEnd w:id="47"/>
      <w:bookmarkEnd w:id="48"/>
      <w:bookmarkEnd w:id="49"/>
      <w:bookmarkEnd w:id="50"/>
      <w:bookmarkEnd w:id="51"/>
    </w:p>
    <w:p w14:paraId="3A2DA28D">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1.1.1根据《中华人民共和国政府采购法》等有关法律、法规和规章的规定，本采购项目已具备采购条件，现对本项目进行竞争性磋商招标。</w:t>
      </w:r>
    </w:p>
    <w:p w14:paraId="33EDB1DA">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1.1.2 采购人：见供应商须知前附表。</w:t>
      </w:r>
    </w:p>
    <w:p w14:paraId="6F555361">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1.1.3 采购代理机构：见供应商须知前附表。</w:t>
      </w:r>
    </w:p>
    <w:p w14:paraId="66B3429A">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1.1.4 项目名称及项目编号：见供应商须知前附表。</w:t>
      </w:r>
    </w:p>
    <w:p w14:paraId="098CB11E">
      <w:pPr>
        <w:pStyle w:val="237"/>
        <w:pageBreakBefore w:val="0"/>
        <w:spacing w:before="0" w:after="0" w:line="360" w:lineRule="auto"/>
        <w:jc w:val="left"/>
        <w:rPr>
          <w:rFonts w:hint="eastAsia" w:ascii="宋体" w:hAnsi="宋体" w:eastAsia="宋体" w:cs="宋体"/>
          <w:b/>
          <w:color w:val="000000"/>
          <w:sz w:val="24"/>
          <w:szCs w:val="24"/>
        </w:rPr>
      </w:pPr>
      <w:bookmarkStart w:id="53" w:name="_Toc179632548"/>
      <w:bookmarkStart w:id="54" w:name="_Toc383438594"/>
      <w:bookmarkStart w:id="55" w:name="_Toc426469873"/>
      <w:bookmarkStart w:id="56" w:name="_Toc246996177"/>
      <w:bookmarkStart w:id="57" w:name="_Toc152042307"/>
      <w:bookmarkStart w:id="58" w:name="_Toc246996920"/>
      <w:bookmarkStart w:id="59" w:name="_Toc152045531"/>
      <w:bookmarkStart w:id="60" w:name="_Toc343525507"/>
      <w:bookmarkStart w:id="61" w:name="_Toc144974499"/>
      <w:bookmarkStart w:id="62" w:name="_Toc247085691"/>
      <w:bookmarkStart w:id="63" w:name="_Toc468783591"/>
      <w:r>
        <w:rPr>
          <w:rFonts w:hint="eastAsia" w:ascii="宋体" w:hAnsi="宋体" w:eastAsia="宋体" w:cs="宋体"/>
          <w:b/>
          <w:color w:val="000000"/>
          <w:sz w:val="24"/>
          <w:szCs w:val="24"/>
        </w:rPr>
        <w:t>1.2 资金来源和落实情况</w:t>
      </w:r>
      <w:bookmarkEnd w:id="53"/>
      <w:bookmarkEnd w:id="54"/>
      <w:bookmarkEnd w:id="55"/>
      <w:bookmarkEnd w:id="56"/>
      <w:bookmarkEnd w:id="57"/>
      <w:bookmarkEnd w:id="58"/>
      <w:bookmarkEnd w:id="59"/>
      <w:bookmarkEnd w:id="60"/>
      <w:bookmarkEnd w:id="61"/>
      <w:bookmarkEnd w:id="62"/>
      <w:r>
        <w:rPr>
          <w:rFonts w:hint="eastAsia" w:ascii="宋体" w:hAnsi="宋体" w:eastAsia="宋体" w:cs="宋体"/>
          <w:b/>
          <w:color w:val="000000"/>
          <w:sz w:val="24"/>
          <w:szCs w:val="24"/>
        </w:rPr>
        <w:t>及付款方式</w:t>
      </w:r>
      <w:bookmarkEnd w:id="63"/>
    </w:p>
    <w:p w14:paraId="30362EC6">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1.2.1 资金来源及出资比例：见供应商须知前附表。</w:t>
      </w:r>
    </w:p>
    <w:p w14:paraId="481A880D">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1.2.2 资金落实情况：见供应商须知前附表。</w:t>
      </w:r>
    </w:p>
    <w:p w14:paraId="1F4A3A7C">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1.2.3 付款方式：见供应商须知前附表。</w:t>
      </w:r>
    </w:p>
    <w:p w14:paraId="44D849B7">
      <w:pPr>
        <w:pStyle w:val="237"/>
        <w:pageBreakBefore w:val="0"/>
        <w:spacing w:before="0" w:after="0" w:line="360" w:lineRule="auto"/>
        <w:jc w:val="left"/>
        <w:rPr>
          <w:rFonts w:hint="eastAsia" w:ascii="宋体" w:hAnsi="宋体" w:eastAsia="宋体" w:cs="宋体"/>
          <w:b/>
          <w:color w:val="000000"/>
          <w:sz w:val="24"/>
          <w:szCs w:val="24"/>
        </w:rPr>
      </w:pPr>
      <w:bookmarkStart w:id="64" w:name="_Toc246996178"/>
      <w:bookmarkStart w:id="65" w:name="_Toc144974500"/>
      <w:bookmarkStart w:id="66" w:name="_Toc152042308"/>
      <w:bookmarkStart w:id="67" w:name="_Toc152045532"/>
      <w:bookmarkStart w:id="68" w:name="_Toc179632549"/>
      <w:bookmarkStart w:id="69" w:name="_Toc247085692"/>
      <w:bookmarkStart w:id="70" w:name="_Toc343525508"/>
      <w:bookmarkStart w:id="71" w:name="_Toc246996921"/>
      <w:bookmarkStart w:id="72" w:name="_Toc383438595"/>
      <w:bookmarkStart w:id="73" w:name="_Toc426469874"/>
      <w:bookmarkStart w:id="74" w:name="_Toc468783592"/>
      <w:r>
        <w:rPr>
          <w:rFonts w:hint="eastAsia" w:ascii="宋体" w:hAnsi="宋体" w:eastAsia="宋体" w:cs="宋体"/>
          <w:b/>
          <w:color w:val="000000"/>
          <w:sz w:val="24"/>
          <w:szCs w:val="24"/>
        </w:rPr>
        <w:t xml:space="preserve">1.3 </w:t>
      </w:r>
      <w:bookmarkEnd w:id="64"/>
      <w:bookmarkEnd w:id="65"/>
      <w:bookmarkEnd w:id="66"/>
      <w:bookmarkEnd w:id="67"/>
      <w:bookmarkEnd w:id="68"/>
      <w:bookmarkEnd w:id="69"/>
      <w:bookmarkEnd w:id="70"/>
      <w:bookmarkEnd w:id="71"/>
      <w:bookmarkEnd w:id="72"/>
      <w:r>
        <w:rPr>
          <w:rFonts w:hint="eastAsia" w:ascii="宋体" w:hAnsi="宋体" w:eastAsia="宋体" w:cs="宋体"/>
          <w:b/>
          <w:color w:val="000000"/>
          <w:sz w:val="24"/>
          <w:szCs w:val="24"/>
        </w:rPr>
        <w:t>采购范围</w:t>
      </w:r>
      <w:bookmarkEnd w:id="73"/>
      <w:r>
        <w:rPr>
          <w:rFonts w:hint="eastAsia" w:ascii="宋体" w:hAnsi="宋体" w:eastAsia="宋体" w:cs="宋体"/>
          <w:b/>
          <w:color w:val="000000"/>
          <w:sz w:val="24"/>
          <w:szCs w:val="24"/>
        </w:rPr>
        <w:t>与合同工期</w:t>
      </w:r>
      <w:bookmarkEnd w:id="74"/>
    </w:p>
    <w:p w14:paraId="4410E288">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1.3.1 采购范围：见供应商须知前附表。</w:t>
      </w:r>
    </w:p>
    <w:p w14:paraId="330A90E2">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1.3.2 合同工期：见供应商须知前附表。</w:t>
      </w:r>
    </w:p>
    <w:p w14:paraId="16507405">
      <w:pPr>
        <w:pStyle w:val="237"/>
        <w:pageBreakBefore w:val="0"/>
        <w:spacing w:before="0" w:after="0" w:line="360" w:lineRule="auto"/>
        <w:jc w:val="left"/>
        <w:rPr>
          <w:rFonts w:hint="eastAsia" w:ascii="宋体" w:hAnsi="宋体" w:eastAsia="宋体" w:cs="宋体"/>
          <w:b/>
          <w:color w:val="000000"/>
          <w:sz w:val="24"/>
          <w:szCs w:val="24"/>
        </w:rPr>
      </w:pPr>
      <w:bookmarkStart w:id="75" w:name="_Toc152045534"/>
      <w:bookmarkStart w:id="76" w:name="_Toc152042310"/>
      <w:bookmarkStart w:id="77" w:name="_Toc247085693"/>
      <w:bookmarkStart w:id="78" w:name="_Toc246996922"/>
      <w:bookmarkStart w:id="79" w:name="_Toc246996179"/>
      <w:bookmarkStart w:id="80" w:name="_Toc144974502"/>
      <w:bookmarkStart w:id="81" w:name="_Toc383438596"/>
      <w:bookmarkStart w:id="82" w:name="_Toc468783593"/>
      <w:bookmarkStart w:id="83" w:name="_Toc426469875"/>
      <w:bookmarkStart w:id="84" w:name="_Toc343525509"/>
      <w:bookmarkStart w:id="85" w:name="_Toc179632551"/>
      <w:r>
        <w:rPr>
          <w:rFonts w:hint="eastAsia" w:ascii="宋体" w:hAnsi="宋体" w:eastAsia="宋体" w:cs="宋体"/>
          <w:b/>
          <w:color w:val="000000"/>
          <w:sz w:val="24"/>
          <w:szCs w:val="24"/>
        </w:rPr>
        <w:t>1.4 供应商资格要求</w:t>
      </w:r>
      <w:bookmarkEnd w:id="75"/>
      <w:bookmarkEnd w:id="76"/>
      <w:bookmarkEnd w:id="77"/>
      <w:bookmarkEnd w:id="78"/>
      <w:bookmarkEnd w:id="79"/>
      <w:bookmarkEnd w:id="80"/>
      <w:bookmarkEnd w:id="81"/>
      <w:bookmarkEnd w:id="82"/>
      <w:bookmarkEnd w:id="83"/>
      <w:bookmarkEnd w:id="84"/>
      <w:bookmarkEnd w:id="85"/>
    </w:p>
    <w:p w14:paraId="68838517">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1.4.1供应商参加政府采购活动应当具备下列条件：</w:t>
      </w:r>
    </w:p>
    <w:p w14:paraId="7E4B7A5E">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（1）独立承担民事责任的能力。</w:t>
      </w:r>
    </w:p>
    <w:p w14:paraId="1F2DEA86">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（2）具有良好的商业信誉和健全的财务会计制度。</w:t>
      </w:r>
    </w:p>
    <w:p w14:paraId="5BF2AA05">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（3）具有符合投标项目经营范围和履行合同所必需的设备和专业技术能力。</w:t>
      </w:r>
    </w:p>
    <w:p w14:paraId="215B2DE8">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（4）参加政府采购活动前三年内，在经营活动中没有重大违法记录。需出具近3年内在经营活动中没有重大违法记录的书面声明。</w:t>
      </w:r>
    </w:p>
    <w:p w14:paraId="54BC6BAF">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（5）法律、行政法规规定的其他条件。</w:t>
      </w:r>
    </w:p>
    <w:p w14:paraId="0A5038A6">
      <w:pPr>
        <w:pageBreakBefore w:val="0"/>
        <w:spacing w:line="360" w:lineRule="auto"/>
        <w:ind w:firstLine="48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1.4.2本项目落实政府采购政策需满足的资格要求：本项目专门面向中小企业，供应商应为中小微企业或监狱企业或残疾人福利性单位。</w:t>
      </w:r>
    </w:p>
    <w:p w14:paraId="32CBB7D8">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p>
    <w:p w14:paraId="76CC419B">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参加报价的监狱和戒毒企业，应根据《财政部司法部关于政府采购支持监狱企业发展有关问题的通知》（财库〔2014〕68号）要求，提供由省级以上监狱管理局、戒毒管理局（含新疆生产建设兵团）出具的属于监狱企业的证明文件。</w:t>
      </w:r>
    </w:p>
    <w:p w14:paraId="2D319687">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（3）参加报价的残疾人福利性单位，应根据《关于促进残疾人就业政府采购政策的通知》（财库〔2017〕141号）要求，提供《残疾人福利性单位声明函》，格式见附件。</w:t>
      </w:r>
    </w:p>
    <w:p w14:paraId="16A1A541">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（4）参照《关于印发中小企业划型标准规定的通知》（工信部联企业[2011]300号）文件，本项目采购标的所属行业为</w:t>
      </w:r>
      <w:r>
        <w:rPr>
          <w:rFonts w:hint="eastAsia" w:ascii="宋体" w:hAnsi="宋体" w:eastAsia="宋体" w:cs="宋体"/>
          <w:color w:val="0000FF"/>
          <w:sz w:val="24"/>
          <w:szCs w:val="24"/>
        </w:rPr>
        <w:t>建筑业</w:t>
      </w:r>
      <w:r>
        <w:rPr>
          <w:rFonts w:hint="eastAsia" w:ascii="宋体" w:hAnsi="宋体" w:eastAsia="宋体" w:cs="宋体"/>
          <w:color w:val="000000"/>
          <w:sz w:val="24"/>
          <w:szCs w:val="24"/>
        </w:rPr>
        <w:t>。</w:t>
      </w:r>
    </w:p>
    <w:p w14:paraId="5A5C8B07">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1.4.3采购人根据采购项目的特殊要求，规定供应商的特定条件：见供应商须知前附表。</w:t>
      </w:r>
    </w:p>
    <w:p w14:paraId="5B686A23">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1.4.4供应商不得存在下列情形之一：</w:t>
      </w:r>
    </w:p>
    <w:p w14:paraId="7C57916E">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（l）与采购人和采购代理机构存在隶属关系或者其他利害关系；</w:t>
      </w:r>
    </w:p>
    <w:p w14:paraId="32FE0F94">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（2）为采购项目提供了整体设计、规范编制或者项目管理、监理、检测等服务；</w:t>
      </w:r>
    </w:p>
    <w:p w14:paraId="6F5D1333">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（3）单位负责人为同一人或者存在直接控股、管理关系的不同供应商，参加同一合同项下的政府采购活动；</w:t>
      </w:r>
    </w:p>
    <w:p w14:paraId="073FBCF9">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（4）为采购人不具有独立法人资格的附属机构（单位）；</w:t>
      </w:r>
    </w:p>
    <w:p w14:paraId="1EABCBA7">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（5）以联合体形式参加政府采购活动的，联合体各方再单独参加或者与其他供应商另外组成联合体参加同一合同项下的政府采购活动；</w:t>
      </w:r>
    </w:p>
    <w:p w14:paraId="5E68163B">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（6）处于被责令停业、财产被接管、冻结和破产状态，以及投标资格被取消或者被暂停且在暂停期内；</w:t>
      </w:r>
    </w:p>
    <w:p w14:paraId="475360DB">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（7）因拖欠工人工资或者发生质量安全事故被有关部门限制在招标项目所在地承接工程的；</w:t>
      </w:r>
    </w:p>
    <w:p w14:paraId="2DDF66B6">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（8）供应商近3年内有行贿犯罪行为且被记录，或者法定代表人有行贿犯罪记录且自记录之日起未超过5年的；</w:t>
      </w:r>
    </w:p>
    <w:p w14:paraId="213B4967">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（9）被“信用中国”网站（www.creditchina.gov.cn）列入失信被执行人的；</w:t>
      </w:r>
    </w:p>
    <w:p w14:paraId="02539642">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（10）被国家企业信用信息公示系统列入严重违法失信企业名单；</w:t>
      </w:r>
    </w:p>
    <w:p w14:paraId="5A2C85F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（11）法律、行政法规规定的其他情形。</w:t>
      </w:r>
    </w:p>
    <w:p w14:paraId="65747D62">
      <w:pPr>
        <w:pStyle w:val="237"/>
        <w:pageBreakBefore w:val="0"/>
        <w:spacing w:before="0" w:after="0" w:line="360" w:lineRule="auto"/>
        <w:jc w:val="left"/>
        <w:rPr>
          <w:rFonts w:hint="eastAsia" w:ascii="宋体" w:hAnsi="宋体" w:eastAsia="宋体" w:cs="宋体"/>
          <w:b/>
          <w:color w:val="000000"/>
          <w:sz w:val="24"/>
          <w:szCs w:val="24"/>
        </w:rPr>
      </w:pPr>
      <w:bookmarkStart w:id="86" w:name="_Toc246996923"/>
      <w:bookmarkStart w:id="87" w:name="_Toc468783594"/>
      <w:bookmarkStart w:id="88" w:name="_Toc179632552"/>
      <w:bookmarkStart w:id="89" w:name="_Toc426469876"/>
      <w:bookmarkStart w:id="90" w:name="_Toc152045535"/>
      <w:bookmarkStart w:id="91" w:name="_Toc383438597"/>
      <w:bookmarkStart w:id="92" w:name="_Toc152042311"/>
      <w:bookmarkStart w:id="93" w:name="_Toc343525510"/>
      <w:bookmarkStart w:id="94" w:name="_Toc144974503"/>
      <w:bookmarkStart w:id="95" w:name="_Toc247085694"/>
      <w:bookmarkStart w:id="96" w:name="_Toc246996180"/>
      <w:r>
        <w:rPr>
          <w:rFonts w:hint="eastAsia" w:ascii="宋体" w:hAnsi="宋体" w:eastAsia="宋体" w:cs="宋体"/>
          <w:b/>
          <w:color w:val="000000"/>
          <w:sz w:val="24"/>
          <w:szCs w:val="24"/>
        </w:rPr>
        <w:t>1.5 费用承担</w:t>
      </w:r>
      <w:bookmarkEnd w:id="86"/>
      <w:bookmarkEnd w:id="87"/>
      <w:bookmarkEnd w:id="88"/>
      <w:bookmarkEnd w:id="89"/>
      <w:bookmarkEnd w:id="90"/>
      <w:bookmarkEnd w:id="91"/>
      <w:bookmarkEnd w:id="92"/>
      <w:bookmarkEnd w:id="93"/>
      <w:bookmarkEnd w:id="94"/>
      <w:bookmarkEnd w:id="95"/>
      <w:bookmarkEnd w:id="96"/>
    </w:p>
    <w:p w14:paraId="52C13129">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无论采购结果如何，供应商为准备和参加投标活动发生的费用自理。</w:t>
      </w:r>
    </w:p>
    <w:p w14:paraId="0E50B018">
      <w:pPr>
        <w:pStyle w:val="237"/>
        <w:pageBreakBefore w:val="0"/>
        <w:spacing w:before="0" w:after="0" w:line="360" w:lineRule="auto"/>
        <w:jc w:val="left"/>
        <w:rPr>
          <w:rFonts w:hint="eastAsia" w:ascii="宋体" w:hAnsi="宋体" w:eastAsia="宋体" w:cs="宋体"/>
          <w:b/>
          <w:color w:val="000000"/>
          <w:sz w:val="24"/>
          <w:szCs w:val="24"/>
        </w:rPr>
      </w:pPr>
      <w:bookmarkStart w:id="97" w:name="_Toc152042312"/>
      <w:bookmarkStart w:id="98" w:name="_Toc246996181"/>
      <w:bookmarkStart w:id="99" w:name="_Toc426469877"/>
      <w:bookmarkStart w:id="100" w:name="_Toc246996924"/>
      <w:bookmarkStart w:id="101" w:name="_Toc247085695"/>
      <w:bookmarkStart w:id="102" w:name="_Toc179632553"/>
      <w:bookmarkStart w:id="103" w:name="_Toc468783595"/>
      <w:bookmarkStart w:id="104" w:name="_Toc152045536"/>
      <w:bookmarkStart w:id="105" w:name="_Toc343525511"/>
      <w:bookmarkStart w:id="106" w:name="_Toc144974504"/>
      <w:bookmarkStart w:id="107" w:name="_Toc383438598"/>
      <w:r>
        <w:rPr>
          <w:rFonts w:hint="eastAsia" w:ascii="宋体" w:hAnsi="宋体" w:eastAsia="宋体" w:cs="宋体"/>
          <w:b/>
          <w:color w:val="000000"/>
          <w:sz w:val="24"/>
          <w:szCs w:val="24"/>
        </w:rPr>
        <w:t>1.6 保密</w:t>
      </w:r>
      <w:bookmarkEnd w:id="97"/>
      <w:bookmarkEnd w:id="98"/>
      <w:bookmarkEnd w:id="99"/>
      <w:bookmarkEnd w:id="100"/>
      <w:bookmarkEnd w:id="101"/>
      <w:bookmarkEnd w:id="102"/>
      <w:bookmarkEnd w:id="103"/>
      <w:bookmarkEnd w:id="104"/>
      <w:bookmarkEnd w:id="105"/>
      <w:bookmarkEnd w:id="106"/>
      <w:bookmarkEnd w:id="107"/>
    </w:p>
    <w:p w14:paraId="5B6E4BEF">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参与采购项目招标投标活动的各方应对竞争性磋商文件和供应商</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中的商业和技术等秘密保密，违者应对由此造成的后果承担法律责任。</w:t>
      </w:r>
    </w:p>
    <w:p w14:paraId="2913CC46">
      <w:pPr>
        <w:pStyle w:val="237"/>
        <w:pageBreakBefore w:val="0"/>
        <w:spacing w:before="0" w:after="0" w:line="360" w:lineRule="auto"/>
        <w:jc w:val="left"/>
        <w:rPr>
          <w:rFonts w:hint="eastAsia" w:ascii="宋体" w:hAnsi="宋体" w:eastAsia="宋体" w:cs="宋体"/>
          <w:b/>
          <w:color w:val="000000"/>
          <w:sz w:val="24"/>
          <w:szCs w:val="24"/>
        </w:rPr>
      </w:pPr>
      <w:bookmarkStart w:id="108" w:name="_Toc144974505"/>
      <w:bookmarkStart w:id="109" w:name="_Toc152042313"/>
      <w:bookmarkStart w:id="110" w:name="_Toc247085696"/>
      <w:bookmarkStart w:id="111" w:name="_Toc343525512"/>
      <w:bookmarkStart w:id="112" w:name="_Toc246996182"/>
      <w:bookmarkStart w:id="113" w:name="_Toc468783596"/>
      <w:bookmarkStart w:id="114" w:name="_Toc426469878"/>
      <w:bookmarkStart w:id="115" w:name="_Toc179632554"/>
      <w:bookmarkStart w:id="116" w:name="_Toc383438599"/>
      <w:bookmarkStart w:id="117" w:name="_Toc152045537"/>
      <w:bookmarkStart w:id="118" w:name="_Toc246996925"/>
      <w:r>
        <w:rPr>
          <w:rFonts w:hint="eastAsia" w:ascii="宋体" w:hAnsi="宋体" w:eastAsia="宋体" w:cs="宋体"/>
          <w:b/>
          <w:color w:val="000000"/>
          <w:sz w:val="24"/>
          <w:szCs w:val="24"/>
        </w:rPr>
        <w:t>1.7 语言</w:t>
      </w:r>
      <w:bookmarkEnd w:id="108"/>
      <w:r>
        <w:rPr>
          <w:rFonts w:hint="eastAsia" w:ascii="宋体" w:hAnsi="宋体" w:eastAsia="宋体" w:cs="宋体"/>
          <w:b/>
          <w:color w:val="000000"/>
          <w:sz w:val="24"/>
          <w:szCs w:val="24"/>
        </w:rPr>
        <w:t>文字</w:t>
      </w:r>
      <w:bookmarkEnd w:id="109"/>
      <w:bookmarkEnd w:id="110"/>
      <w:bookmarkEnd w:id="111"/>
      <w:bookmarkEnd w:id="112"/>
      <w:bookmarkEnd w:id="113"/>
      <w:bookmarkEnd w:id="114"/>
      <w:bookmarkEnd w:id="115"/>
      <w:bookmarkEnd w:id="116"/>
      <w:bookmarkEnd w:id="117"/>
      <w:bookmarkEnd w:id="118"/>
    </w:p>
    <w:p w14:paraId="6B3666D9">
      <w:pPr>
        <w:pageBreakBefore w:val="0"/>
        <w:spacing w:line="360" w:lineRule="auto"/>
        <w:ind w:firstLine="480"/>
        <w:jc w:val="left"/>
        <w:rPr>
          <w:rFonts w:hint="eastAsia" w:ascii="宋体" w:hAnsi="宋体" w:eastAsia="宋体" w:cs="宋体"/>
          <w:color w:val="000000"/>
          <w:sz w:val="24"/>
          <w:szCs w:val="24"/>
        </w:rPr>
      </w:pPr>
      <w:bookmarkStart w:id="119" w:name="_Toc152042314"/>
      <w:bookmarkStart w:id="120" w:name="_Toc152045538"/>
      <w:bookmarkStart w:id="121" w:name="_Toc179632555"/>
      <w:bookmarkStart w:id="122" w:name="_Toc144974506"/>
      <w:bookmarkStart w:id="123" w:name="_Toc247085697"/>
      <w:bookmarkStart w:id="124" w:name="_Toc246996183"/>
      <w:bookmarkStart w:id="125" w:name="_Toc246996926"/>
      <w:r>
        <w:rPr>
          <w:rFonts w:hint="eastAsia" w:ascii="宋体" w:hAnsi="宋体" w:eastAsia="宋体" w:cs="宋体"/>
          <w:color w:val="000000"/>
          <w:sz w:val="24"/>
          <w:szCs w:val="24"/>
        </w:rPr>
        <w:t>响应文件使用的语言文字为中文。专用术语使用外文的，应附有中文注释。</w:t>
      </w:r>
    </w:p>
    <w:p w14:paraId="628468AC">
      <w:pPr>
        <w:pStyle w:val="237"/>
        <w:pageBreakBefore w:val="0"/>
        <w:spacing w:before="0" w:after="0" w:line="360" w:lineRule="auto"/>
        <w:jc w:val="left"/>
        <w:rPr>
          <w:rFonts w:hint="eastAsia" w:ascii="宋体" w:hAnsi="宋体" w:eastAsia="宋体" w:cs="宋体"/>
          <w:b/>
          <w:color w:val="000000"/>
          <w:sz w:val="24"/>
          <w:szCs w:val="24"/>
        </w:rPr>
      </w:pPr>
      <w:bookmarkStart w:id="126" w:name="_Toc426469879"/>
      <w:bookmarkStart w:id="127" w:name="_Toc468783597"/>
      <w:bookmarkStart w:id="128" w:name="_Toc383438600"/>
      <w:bookmarkStart w:id="129" w:name="_Toc343525513"/>
      <w:r>
        <w:rPr>
          <w:rFonts w:hint="eastAsia" w:ascii="宋体" w:hAnsi="宋体" w:eastAsia="宋体" w:cs="宋体"/>
          <w:b/>
          <w:color w:val="000000"/>
          <w:sz w:val="24"/>
          <w:szCs w:val="24"/>
        </w:rPr>
        <w:t>1.8 计量单位</w:t>
      </w:r>
      <w:bookmarkEnd w:id="119"/>
      <w:bookmarkEnd w:id="120"/>
      <w:bookmarkEnd w:id="121"/>
      <w:bookmarkEnd w:id="122"/>
      <w:bookmarkEnd w:id="123"/>
      <w:bookmarkEnd w:id="124"/>
      <w:bookmarkEnd w:id="125"/>
      <w:bookmarkEnd w:id="126"/>
      <w:bookmarkEnd w:id="127"/>
      <w:bookmarkEnd w:id="128"/>
      <w:bookmarkEnd w:id="129"/>
    </w:p>
    <w:p w14:paraId="59EBDACB">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所有计量均采用中华人民共和国法定计量单位。</w:t>
      </w:r>
    </w:p>
    <w:p w14:paraId="3CABD7BA">
      <w:pPr>
        <w:pStyle w:val="237"/>
        <w:pageBreakBefore w:val="0"/>
        <w:spacing w:before="0" w:after="0" w:line="360" w:lineRule="auto"/>
        <w:jc w:val="left"/>
        <w:rPr>
          <w:rFonts w:hint="eastAsia" w:ascii="宋体" w:hAnsi="宋体" w:eastAsia="宋体" w:cs="宋体"/>
          <w:b/>
          <w:color w:val="000000"/>
          <w:sz w:val="24"/>
          <w:szCs w:val="24"/>
        </w:rPr>
      </w:pPr>
      <w:bookmarkStart w:id="130" w:name="_Toc468783598"/>
      <w:bookmarkStart w:id="131" w:name="_Toc426469880"/>
      <w:r>
        <w:rPr>
          <w:rFonts w:hint="eastAsia" w:ascii="宋体" w:hAnsi="宋体" w:eastAsia="宋体" w:cs="宋体"/>
          <w:b/>
          <w:color w:val="000000"/>
          <w:sz w:val="24"/>
          <w:szCs w:val="24"/>
        </w:rPr>
        <w:t>1.9 分包</w:t>
      </w:r>
      <w:bookmarkEnd w:id="130"/>
      <w:bookmarkEnd w:id="131"/>
    </w:p>
    <w:p w14:paraId="6CF86FE5">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本项目接受分包。</w:t>
      </w:r>
    </w:p>
    <w:p w14:paraId="764F8E08">
      <w:pPr>
        <w:pStyle w:val="237"/>
        <w:pageBreakBefore w:val="0"/>
        <w:spacing w:before="0" w:after="0" w:line="360" w:lineRule="auto"/>
        <w:jc w:val="left"/>
        <w:rPr>
          <w:rFonts w:hint="eastAsia" w:ascii="宋体" w:hAnsi="宋体" w:eastAsia="宋体" w:cs="宋体"/>
          <w:b/>
          <w:color w:val="000000"/>
          <w:sz w:val="24"/>
          <w:szCs w:val="24"/>
        </w:rPr>
      </w:pPr>
      <w:bookmarkStart w:id="132" w:name="_Toc426469881"/>
      <w:bookmarkStart w:id="133" w:name="_Toc468783599"/>
      <w:r>
        <w:rPr>
          <w:rFonts w:hint="eastAsia" w:ascii="宋体" w:hAnsi="宋体" w:eastAsia="宋体" w:cs="宋体"/>
          <w:b/>
          <w:color w:val="000000"/>
          <w:sz w:val="24"/>
          <w:szCs w:val="24"/>
        </w:rPr>
        <w:t>1.10 偏离</w:t>
      </w:r>
      <w:bookmarkEnd w:id="132"/>
      <w:bookmarkEnd w:id="133"/>
    </w:p>
    <w:p w14:paraId="4520DBE2">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1.10.1本条所称偏离为</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中的内容高于或者低于竞争性磋商文件中规定的技术参数、标准。低于的偏离为负偏离，即不满足、或不响应竞争性磋商文件规定的技术参数、标准；高于的为正偏离，即优于竞争性磋商文件规定的技术参数、标准。</w:t>
      </w:r>
    </w:p>
    <w:p w14:paraId="3C5CD8F6">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1.10.2偏离的具体要求见供应商须知前附表。</w:t>
      </w:r>
    </w:p>
    <w:p w14:paraId="3B491F1C">
      <w:pPr>
        <w:pStyle w:val="235"/>
        <w:pageBreakBefore w:val="0"/>
        <w:spacing w:before="0" w:after="0" w:line="360" w:lineRule="auto"/>
        <w:rPr>
          <w:rFonts w:hint="eastAsia" w:ascii="宋体" w:hAnsi="宋体" w:eastAsia="宋体" w:cs="宋体"/>
          <w:b/>
          <w:color w:val="000000"/>
          <w:sz w:val="24"/>
          <w:szCs w:val="24"/>
        </w:rPr>
      </w:pPr>
      <w:bookmarkStart w:id="134" w:name="_Toc343525517"/>
      <w:bookmarkStart w:id="135" w:name="_Toc426469882"/>
      <w:bookmarkStart w:id="136" w:name="_Toc468783600"/>
      <w:bookmarkStart w:id="137" w:name="_Toc383438604"/>
      <w:r>
        <w:rPr>
          <w:rFonts w:hint="eastAsia" w:ascii="宋体" w:hAnsi="宋体" w:eastAsia="宋体" w:cs="宋体"/>
          <w:b/>
          <w:color w:val="000000"/>
          <w:sz w:val="24"/>
          <w:szCs w:val="24"/>
        </w:rPr>
        <w:t>2. 竞争性磋商文件</w:t>
      </w:r>
      <w:bookmarkEnd w:id="134"/>
      <w:bookmarkEnd w:id="135"/>
      <w:bookmarkEnd w:id="136"/>
      <w:bookmarkEnd w:id="137"/>
    </w:p>
    <w:p w14:paraId="0CDD09A1">
      <w:pPr>
        <w:pStyle w:val="237"/>
        <w:pageBreakBefore w:val="0"/>
        <w:spacing w:before="0" w:after="0" w:line="360" w:lineRule="auto"/>
        <w:jc w:val="left"/>
        <w:rPr>
          <w:rFonts w:hint="eastAsia" w:ascii="宋体" w:hAnsi="宋体" w:eastAsia="宋体" w:cs="宋体"/>
          <w:b/>
          <w:color w:val="000000"/>
          <w:sz w:val="24"/>
          <w:szCs w:val="24"/>
        </w:rPr>
      </w:pPr>
      <w:bookmarkStart w:id="138" w:name="_Toc343525518"/>
      <w:bookmarkStart w:id="139" w:name="_Toc152045543"/>
      <w:bookmarkStart w:id="140" w:name="_Toc179632561"/>
      <w:bookmarkStart w:id="141" w:name="_Toc152042319"/>
      <w:bookmarkStart w:id="142" w:name="_Toc246996188"/>
      <w:bookmarkStart w:id="143" w:name="_Toc468783601"/>
      <w:bookmarkStart w:id="144" w:name="_Toc246996931"/>
      <w:bookmarkStart w:id="145" w:name="_Toc247085702"/>
      <w:bookmarkStart w:id="146" w:name="_Toc144974511"/>
      <w:bookmarkStart w:id="147" w:name="_Toc383438605"/>
      <w:bookmarkStart w:id="148" w:name="_Toc426469883"/>
      <w:r>
        <w:rPr>
          <w:rFonts w:hint="eastAsia" w:ascii="宋体" w:hAnsi="宋体" w:eastAsia="宋体" w:cs="宋体"/>
          <w:b/>
          <w:color w:val="000000"/>
          <w:sz w:val="24"/>
          <w:szCs w:val="24"/>
        </w:rPr>
        <w:t>2.1 竞争性磋商文件的组成</w:t>
      </w:r>
      <w:bookmarkEnd w:id="138"/>
      <w:bookmarkEnd w:id="139"/>
      <w:bookmarkEnd w:id="140"/>
      <w:bookmarkEnd w:id="141"/>
      <w:bookmarkEnd w:id="142"/>
      <w:bookmarkEnd w:id="143"/>
      <w:bookmarkEnd w:id="144"/>
      <w:bookmarkEnd w:id="145"/>
      <w:bookmarkEnd w:id="146"/>
      <w:bookmarkEnd w:id="147"/>
      <w:bookmarkEnd w:id="148"/>
    </w:p>
    <w:p w14:paraId="398EF10F">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2.1.1 本竞争性磋商文件包括：</w:t>
      </w:r>
    </w:p>
    <w:p w14:paraId="70331E9F">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（1）竞争性磋商公告；</w:t>
      </w:r>
    </w:p>
    <w:p w14:paraId="57A9D527">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（2）供应商须知；</w:t>
      </w:r>
    </w:p>
    <w:p w14:paraId="1F35EDDC">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（3）评审办法；</w:t>
      </w:r>
    </w:p>
    <w:p w14:paraId="4AA1FCB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（4）采购需求；</w:t>
      </w:r>
    </w:p>
    <w:p w14:paraId="6BC3EE62">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（5）响应文件的编制及格式；</w:t>
      </w:r>
    </w:p>
    <w:p w14:paraId="00BCAF48">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（6）供应商须知前附表规定的构成竞争性磋商文件的其他材料。</w:t>
      </w:r>
    </w:p>
    <w:p w14:paraId="5154367D">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2.1.2 根据本章第2.2款和第2.3款对竞争性磋商文件所作的澄清、修改，构成竞争性磋商文件的组成部分。</w:t>
      </w:r>
    </w:p>
    <w:p w14:paraId="02FCD77E">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 </w:t>
      </w:r>
      <w:r>
        <w:rPr>
          <w:rFonts w:hint="eastAsia" w:ascii="宋体" w:hAnsi="宋体" w:eastAsia="宋体" w:cs="宋体"/>
          <w:bCs/>
          <w:color w:val="000000"/>
          <w:sz w:val="24"/>
          <w:szCs w:val="24"/>
        </w:rPr>
        <w:t>供应商应认真阅读、并充分理解竞争性磋商文件的全部内容（包括所有的补充、修改内容、重要事项、格式、条款和技术规范、参数及要求等）。供应商没有对竞争性磋商文件出实质性响应将导致投标无效。</w:t>
      </w:r>
    </w:p>
    <w:p w14:paraId="157D49E8">
      <w:pPr>
        <w:pStyle w:val="237"/>
        <w:pageBreakBefore w:val="0"/>
        <w:spacing w:before="0" w:after="0" w:line="360" w:lineRule="auto"/>
        <w:jc w:val="left"/>
        <w:rPr>
          <w:rFonts w:hint="eastAsia" w:ascii="宋体" w:hAnsi="宋体" w:eastAsia="宋体" w:cs="宋体"/>
          <w:b/>
          <w:color w:val="000000"/>
          <w:sz w:val="24"/>
          <w:szCs w:val="24"/>
        </w:rPr>
      </w:pPr>
      <w:bookmarkStart w:id="149" w:name="_Toc144974512"/>
      <w:bookmarkStart w:id="150" w:name="_Toc152042320"/>
      <w:bookmarkStart w:id="151" w:name="_Toc179632562"/>
      <w:bookmarkStart w:id="152" w:name="_Toc152045544"/>
      <w:bookmarkStart w:id="153" w:name="_Toc383438606"/>
      <w:bookmarkStart w:id="154" w:name="_Toc246996189"/>
      <w:bookmarkStart w:id="155" w:name="_Toc343525519"/>
      <w:bookmarkStart w:id="156" w:name="_Toc426469884"/>
      <w:bookmarkStart w:id="157" w:name="_Toc246996932"/>
      <w:bookmarkStart w:id="158" w:name="_Toc468783602"/>
      <w:bookmarkStart w:id="159" w:name="_Toc247085703"/>
      <w:r>
        <w:rPr>
          <w:rFonts w:hint="eastAsia" w:ascii="宋体" w:hAnsi="宋体" w:eastAsia="宋体" w:cs="宋体"/>
          <w:b/>
          <w:color w:val="000000"/>
          <w:sz w:val="24"/>
          <w:szCs w:val="24"/>
        </w:rPr>
        <w:t>2.2 竞争性磋商文件的澄清</w:t>
      </w:r>
      <w:bookmarkEnd w:id="149"/>
      <w:bookmarkEnd w:id="150"/>
      <w:bookmarkEnd w:id="151"/>
      <w:bookmarkEnd w:id="152"/>
      <w:bookmarkEnd w:id="153"/>
      <w:bookmarkEnd w:id="154"/>
      <w:bookmarkEnd w:id="155"/>
      <w:bookmarkEnd w:id="156"/>
      <w:bookmarkEnd w:id="157"/>
      <w:bookmarkEnd w:id="158"/>
      <w:bookmarkEnd w:id="159"/>
    </w:p>
    <w:p w14:paraId="6A388385">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14:paraId="5F5EDD08">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2.2.2竞争性磋商文件的澄清将在供应商须知前附表规定的投标截止时间前在原公告信息发布媒体公开发布，但不指明问题的来源。如果澄清内容影响</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编制的，将相应延长投标截止时间。</w:t>
      </w:r>
    </w:p>
    <w:p w14:paraId="210D60B6">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2.2.3供应商未按澄清后的竞争性磋商文件编制的</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有可能被评标委员会否决。</w:t>
      </w:r>
    </w:p>
    <w:p w14:paraId="437C7850">
      <w:pPr>
        <w:pStyle w:val="237"/>
        <w:pageBreakBefore w:val="0"/>
        <w:spacing w:before="0" w:after="0" w:line="360" w:lineRule="auto"/>
        <w:jc w:val="left"/>
        <w:rPr>
          <w:rFonts w:hint="eastAsia" w:ascii="宋体" w:hAnsi="宋体" w:eastAsia="宋体" w:cs="宋体"/>
          <w:b/>
          <w:color w:val="000000"/>
          <w:sz w:val="24"/>
          <w:szCs w:val="24"/>
        </w:rPr>
      </w:pPr>
      <w:bookmarkStart w:id="160" w:name="_Toc246996933"/>
      <w:bookmarkStart w:id="161" w:name="_Toc152045545"/>
      <w:bookmarkStart w:id="162" w:name="_Toc152042321"/>
      <w:bookmarkStart w:id="163" w:name="_Toc144974513"/>
      <w:bookmarkStart w:id="164" w:name="_Toc246996190"/>
      <w:bookmarkStart w:id="165" w:name="_Toc247085704"/>
      <w:bookmarkStart w:id="166" w:name="_Toc426469885"/>
      <w:bookmarkStart w:id="167" w:name="_Toc468783603"/>
      <w:bookmarkStart w:id="168" w:name="_Toc179632563"/>
      <w:bookmarkStart w:id="169" w:name="_Toc383438607"/>
      <w:bookmarkStart w:id="170" w:name="_Toc343525520"/>
      <w:r>
        <w:rPr>
          <w:rFonts w:hint="eastAsia" w:ascii="宋体" w:hAnsi="宋体" w:eastAsia="宋体" w:cs="宋体"/>
          <w:b/>
          <w:color w:val="000000"/>
          <w:sz w:val="24"/>
          <w:szCs w:val="24"/>
        </w:rPr>
        <w:t>2.3 竞争性磋商文件的修改</w:t>
      </w:r>
      <w:bookmarkEnd w:id="160"/>
      <w:bookmarkEnd w:id="161"/>
      <w:bookmarkEnd w:id="162"/>
      <w:bookmarkEnd w:id="163"/>
      <w:bookmarkEnd w:id="164"/>
      <w:bookmarkEnd w:id="165"/>
      <w:bookmarkEnd w:id="166"/>
      <w:bookmarkEnd w:id="167"/>
      <w:bookmarkEnd w:id="168"/>
      <w:bookmarkEnd w:id="169"/>
      <w:bookmarkEnd w:id="170"/>
    </w:p>
    <w:p w14:paraId="12CD10B6">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2.3.1采购人可以修改竞争性磋商文件，修改后的内容是竞争性磋商文件的组成部分，将在原公告信息发布媒体公开发布，修改后的竞争性磋商文件内容对潜在供应商具有约束力。如果修改内容影响</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编制的，将相应延长投标截止时间。</w:t>
      </w:r>
    </w:p>
    <w:p w14:paraId="6333393A">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2.3.2潜在供应商应在投标截止时间前，关注竞争性磋商公告信息发布媒体有无补充文件信息。因潜在供应商自身原因不能及时获知补充文件信息的，采购人及采购代理机构不承担任何责任。潜在供应商未按修改后的竞争性磋商文件编制的</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有可能被评标委员会否决。</w:t>
      </w:r>
    </w:p>
    <w:p w14:paraId="740314FA">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2.3.3竞争性磋商文件的澄清或修改涉及到申请人的资格条件、采购标的等实质性内容时，将重新发布竞争性磋商公告。</w:t>
      </w:r>
    </w:p>
    <w:p w14:paraId="0B4D5F3C">
      <w:pPr>
        <w:pStyle w:val="237"/>
        <w:pageBreakBefore w:val="0"/>
        <w:spacing w:before="0" w:after="0" w:line="360" w:lineRule="auto"/>
        <w:jc w:val="left"/>
        <w:rPr>
          <w:rFonts w:hint="eastAsia" w:ascii="宋体" w:hAnsi="宋体" w:eastAsia="宋体" w:cs="宋体"/>
          <w:b/>
          <w:color w:val="000000"/>
          <w:sz w:val="24"/>
          <w:szCs w:val="24"/>
        </w:rPr>
      </w:pPr>
      <w:bookmarkStart w:id="171" w:name="_Toc426469886"/>
      <w:bookmarkStart w:id="172" w:name="_Toc468783604"/>
      <w:bookmarkStart w:id="173" w:name="_Toc343525521"/>
      <w:bookmarkStart w:id="174" w:name="_Toc383438608"/>
      <w:r>
        <w:rPr>
          <w:rFonts w:hint="eastAsia" w:ascii="宋体" w:hAnsi="宋体" w:eastAsia="宋体" w:cs="宋体"/>
          <w:b/>
          <w:color w:val="000000"/>
          <w:sz w:val="24"/>
          <w:szCs w:val="24"/>
        </w:rPr>
        <w:t xml:space="preserve">2.4 </w:t>
      </w:r>
      <w:bookmarkEnd w:id="171"/>
      <w:bookmarkEnd w:id="172"/>
      <w:bookmarkEnd w:id="173"/>
      <w:bookmarkEnd w:id="174"/>
      <w:r>
        <w:rPr>
          <w:rFonts w:hint="eastAsia" w:ascii="宋体" w:hAnsi="宋体" w:eastAsia="宋体" w:cs="宋体"/>
          <w:b/>
          <w:color w:val="000000"/>
          <w:sz w:val="24"/>
          <w:szCs w:val="24"/>
        </w:rPr>
        <w:t>最高限价</w:t>
      </w:r>
    </w:p>
    <w:p w14:paraId="27B56F68">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最高限价具体金额见投标须知前附表。</w:t>
      </w:r>
    </w:p>
    <w:p w14:paraId="060F062E">
      <w:pPr>
        <w:pStyle w:val="237"/>
        <w:pageBreakBefore w:val="0"/>
        <w:spacing w:before="0" w:after="0" w:line="360" w:lineRule="auto"/>
        <w:jc w:val="left"/>
        <w:rPr>
          <w:rFonts w:hint="eastAsia" w:ascii="宋体" w:hAnsi="宋体" w:eastAsia="宋体" w:cs="宋体"/>
          <w:b/>
          <w:color w:val="000000"/>
          <w:sz w:val="24"/>
          <w:szCs w:val="24"/>
        </w:rPr>
      </w:pPr>
      <w:bookmarkStart w:id="175" w:name="_Toc343525522"/>
      <w:bookmarkStart w:id="176" w:name="_Toc246996191"/>
      <w:bookmarkStart w:id="177" w:name="_Toc144974514"/>
      <w:bookmarkStart w:id="178" w:name="_Toc152042322"/>
      <w:bookmarkStart w:id="179" w:name="_Toc246996934"/>
      <w:bookmarkStart w:id="180" w:name="_Toc179632564"/>
      <w:bookmarkStart w:id="181" w:name="_Toc247085705"/>
      <w:bookmarkStart w:id="182" w:name="_Toc152045546"/>
      <w:bookmarkStart w:id="183" w:name="_Toc383438609"/>
      <w:bookmarkStart w:id="184" w:name="_Toc426469887"/>
      <w:bookmarkStart w:id="185" w:name="_Toc367785004"/>
      <w:bookmarkStart w:id="186" w:name="_Toc426469889"/>
      <w:bookmarkStart w:id="187" w:name="_Toc468783607"/>
      <w:r>
        <w:rPr>
          <w:rFonts w:hint="eastAsia" w:ascii="宋体" w:hAnsi="宋体" w:eastAsia="宋体" w:cs="宋体"/>
          <w:b/>
          <w:color w:val="000000"/>
          <w:sz w:val="24"/>
          <w:szCs w:val="24"/>
        </w:rPr>
        <w:t xml:space="preserve">3. </w:t>
      </w:r>
      <w:bookmarkEnd w:id="175"/>
      <w:bookmarkEnd w:id="176"/>
      <w:bookmarkEnd w:id="177"/>
      <w:bookmarkEnd w:id="178"/>
      <w:bookmarkEnd w:id="179"/>
      <w:bookmarkEnd w:id="180"/>
      <w:bookmarkEnd w:id="181"/>
      <w:bookmarkEnd w:id="182"/>
      <w:bookmarkEnd w:id="183"/>
      <w:r>
        <w:rPr>
          <w:rFonts w:hint="eastAsia" w:ascii="宋体" w:hAnsi="宋体" w:eastAsia="宋体" w:cs="宋体"/>
          <w:b/>
          <w:color w:val="000000"/>
          <w:sz w:val="24"/>
          <w:szCs w:val="24"/>
        </w:rPr>
        <w:t>响应文件</w:t>
      </w:r>
      <w:bookmarkEnd w:id="184"/>
    </w:p>
    <w:p w14:paraId="0AD0425F">
      <w:pPr>
        <w:pStyle w:val="237"/>
        <w:pageBreakBefore w:val="0"/>
        <w:spacing w:before="0" w:after="0" w:line="360" w:lineRule="auto"/>
        <w:jc w:val="left"/>
        <w:rPr>
          <w:rFonts w:hint="eastAsia" w:ascii="宋体" w:hAnsi="宋体" w:eastAsia="宋体" w:cs="宋体"/>
          <w:color w:val="000000"/>
          <w:sz w:val="24"/>
          <w:szCs w:val="24"/>
        </w:rPr>
      </w:pPr>
      <w:bookmarkStart w:id="188" w:name="_Toc246996192"/>
      <w:bookmarkStart w:id="189" w:name="_Toc383438610"/>
      <w:bookmarkStart w:id="190" w:name="_Toc247085706"/>
      <w:bookmarkStart w:id="191" w:name="_Toc152042323"/>
      <w:bookmarkStart w:id="192" w:name="_Toc152045547"/>
      <w:bookmarkStart w:id="193" w:name="_Toc246996935"/>
      <w:bookmarkStart w:id="194" w:name="_Toc179632565"/>
      <w:bookmarkStart w:id="195" w:name="_Toc144974515"/>
      <w:bookmarkStart w:id="196" w:name="_Toc343525523"/>
      <w:bookmarkStart w:id="197" w:name="_Toc426469888"/>
      <w:r>
        <w:rPr>
          <w:rFonts w:hint="eastAsia" w:ascii="宋体" w:hAnsi="宋体" w:eastAsia="宋体" w:cs="宋体"/>
          <w:color w:val="000000"/>
          <w:sz w:val="24"/>
          <w:szCs w:val="24"/>
        </w:rPr>
        <w:t>3.1</w:t>
      </w:r>
      <w:bookmarkEnd w:id="188"/>
      <w:bookmarkEnd w:id="189"/>
      <w:bookmarkEnd w:id="190"/>
      <w:bookmarkEnd w:id="191"/>
      <w:bookmarkEnd w:id="192"/>
      <w:bookmarkEnd w:id="193"/>
      <w:bookmarkEnd w:id="194"/>
      <w:bookmarkEnd w:id="195"/>
      <w:bookmarkEnd w:id="196"/>
      <w:r>
        <w:rPr>
          <w:rFonts w:hint="eastAsia" w:ascii="宋体" w:hAnsi="宋体" w:eastAsia="宋体" w:cs="宋体"/>
          <w:color w:val="000000"/>
          <w:sz w:val="24"/>
          <w:szCs w:val="24"/>
        </w:rPr>
        <w:t>响应文件的构成</w:t>
      </w:r>
      <w:bookmarkEnd w:id="197"/>
    </w:p>
    <w:p w14:paraId="07CB7F5A">
      <w:pPr>
        <w:pStyle w:val="345"/>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（1）磋商报价表</w:t>
      </w:r>
    </w:p>
    <w:p w14:paraId="116DB485">
      <w:pPr>
        <w:pStyle w:val="345"/>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（2）响应函</w:t>
      </w:r>
    </w:p>
    <w:p w14:paraId="0B01890B">
      <w:pPr>
        <w:pStyle w:val="345"/>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（3）资格及资信证明文件</w:t>
      </w:r>
    </w:p>
    <w:p w14:paraId="51641AB7">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·法定代表人授权委托书（法定代表人参加投标的提供法定代表人身份证明书，格式附后）</w:t>
      </w:r>
    </w:p>
    <w:p w14:paraId="4EB67E3F">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·供应商营业执照复印件加盖公章</w:t>
      </w:r>
    </w:p>
    <w:p w14:paraId="6BA15F14">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·供应商资质证书复印件加盖公章</w:t>
      </w:r>
    </w:p>
    <w:p w14:paraId="73C934F7">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·供应商安全生产许可证复印件加盖公章</w:t>
      </w:r>
    </w:p>
    <w:p w14:paraId="0CABA1F2">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·拟派</w:t>
      </w:r>
      <w:r>
        <w:rPr>
          <w:rFonts w:hint="eastAsia" w:ascii="宋体" w:hAnsi="宋体" w:cs="宋体"/>
          <w:color w:val="000000"/>
          <w:sz w:val="24"/>
          <w:szCs w:val="24"/>
          <w:lang w:eastAsia="zh-CN"/>
        </w:rPr>
        <w:t>项目负责人</w:t>
      </w:r>
      <w:r>
        <w:rPr>
          <w:rFonts w:hint="eastAsia" w:ascii="宋体" w:hAnsi="宋体" w:eastAsia="宋体" w:cs="宋体"/>
          <w:color w:val="000000"/>
          <w:sz w:val="24"/>
          <w:szCs w:val="24"/>
        </w:rPr>
        <w:t>注册建造师证书复印件加盖公章</w:t>
      </w:r>
    </w:p>
    <w:p w14:paraId="4619CEF3">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·拟派</w:t>
      </w:r>
      <w:r>
        <w:rPr>
          <w:rFonts w:hint="eastAsia" w:ascii="宋体" w:hAnsi="宋体" w:cs="宋体"/>
          <w:color w:val="000000"/>
          <w:sz w:val="24"/>
          <w:szCs w:val="24"/>
          <w:lang w:eastAsia="zh-CN"/>
        </w:rPr>
        <w:t>项目负责人</w:t>
      </w:r>
      <w:r>
        <w:rPr>
          <w:rFonts w:hint="eastAsia" w:ascii="宋体" w:hAnsi="宋体" w:eastAsia="宋体" w:cs="宋体"/>
          <w:color w:val="000000"/>
          <w:sz w:val="24"/>
          <w:szCs w:val="24"/>
        </w:rPr>
        <w:t>安全生产考核合格证书复印件加盖公章</w:t>
      </w:r>
    </w:p>
    <w:p w14:paraId="4EC9540A">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·供应商为</w:t>
      </w:r>
      <w:r>
        <w:rPr>
          <w:rFonts w:hint="eastAsia" w:ascii="宋体" w:hAnsi="宋体" w:cs="宋体"/>
          <w:color w:val="000000"/>
          <w:sz w:val="24"/>
          <w:szCs w:val="24"/>
          <w:lang w:eastAsia="zh-CN"/>
        </w:rPr>
        <w:t>项目负责人</w:t>
      </w:r>
      <w:r>
        <w:rPr>
          <w:rFonts w:hint="eastAsia" w:ascii="宋体" w:hAnsi="宋体" w:eastAsia="宋体" w:cs="宋体"/>
          <w:color w:val="000000"/>
          <w:sz w:val="24"/>
          <w:szCs w:val="24"/>
        </w:rPr>
        <w:t>缴纳养老保险的复印件加盖公章（具体要求见评审办法）</w:t>
      </w:r>
    </w:p>
    <w:p w14:paraId="4F76111D">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·《无在建承诺书》（格式附后）</w:t>
      </w:r>
    </w:p>
    <w:p w14:paraId="01BD40DB">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·供应商基本资格条件承诺书</w:t>
      </w:r>
    </w:p>
    <w:p w14:paraId="04A1FBED">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·诚信投标承诺书</w:t>
      </w:r>
    </w:p>
    <w:p w14:paraId="7B81DD24">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·供应商认为需要提供的其他资格及资信证明文件</w:t>
      </w:r>
    </w:p>
    <w:p w14:paraId="6E63CA85">
      <w:pPr>
        <w:pStyle w:val="345"/>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（4）中小企业声明函</w:t>
      </w:r>
    </w:p>
    <w:p w14:paraId="66BAEB5F">
      <w:pPr>
        <w:pStyle w:val="345"/>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（5）采购需求响应表</w:t>
      </w:r>
    </w:p>
    <w:p w14:paraId="728C2C47">
      <w:pPr>
        <w:pStyle w:val="345"/>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（6）供应商综合实力证明文件</w:t>
      </w:r>
    </w:p>
    <w:p w14:paraId="4FD33309">
      <w:pPr>
        <w:pStyle w:val="345"/>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（7）技术标</w:t>
      </w:r>
    </w:p>
    <w:p w14:paraId="6A5D3A94">
      <w:pPr>
        <w:pStyle w:val="345"/>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（8）根据评标办法应列入</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的其他材料</w:t>
      </w:r>
    </w:p>
    <w:p w14:paraId="3AFDD0DB">
      <w:pPr>
        <w:pStyle w:val="237"/>
        <w:pageBreakBefore w:val="0"/>
        <w:spacing w:before="0" w:after="0" w:line="360" w:lineRule="auto"/>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3.2</w:t>
      </w:r>
      <w:bookmarkEnd w:id="185"/>
      <w:r>
        <w:rPr>
          <w:rFonts w:hint="eastAsia" w:ascii="宋体" w:hAnsi="宋体" w:eastAsia="宋体" w:cs="宋体"/>
          <w:b/>
          <w:bCs/>
          <w:color w:val="000000"/>
          <w:sz w:val="24"/>
          <w:szCs w:val="24"/>
        </w:rPr>
        <w:t>报价</w:t>
      </w:r>
      <w:bookmarkEnd w:id="186"/>
      <w:bookmarkEnd w:id="187"/>
    </w:p>
    <w:p w14:paraId="7EBEA207">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3.2.1 供应商应按竞争性磋商小组经过谈判后提供的竞争性磋商文件中规定的供货及服务及施工要求、责任范围和合同条件，以人民币进行报价。</w:t>
      </w:r>
    </w:p>
    <w:p w14:paraId="4B2AF454">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3.2.2 供应商应按磋商报价表（分项价格表）的内容和格式要求填写各项货物及服务及工程的总价（分项价格）。投标总价中不得包含竞争性磋商文件要求以外的内容，否则，在评标时不予核减。投标总价中也不得缺漏竞争性磋商文件所要求的内容，否则，在评标时将其视为无效投标。</w:t>
      </w:r>
    </w:p>
    <w:p w14:paraId="1683947D">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3.2.3供应商对每种货物及服务及工程只允许有一个报价，不接受选择性报价，否则，在评标时将其视为无效投标。</w:t>
      </w:r>
    </w:p>
    <w:p w14:paraId="2253C58F">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3.2.4供应商的投标报价不得超过采购项目预算。</w:t>
      </w:r>
    </w:p>
    <w:p w14:paraId="3CAC69B9">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3.2.5供应商无须编制已标价的工程量清单，结算时各单价直接将预算价按照成交下浮率（特指实际下浮率，暂列金额、专业工程暂估价等不可竞争费用不下浮）同步下浮执行。结算时以审计后的实际工程量为准，按实结算。</w:t>
      </w:r>
    </w:p>
    <w:p w14:paraId="4ABBB6BB">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3.2.6本项目合同价格形式见供应商须知前附表，各供应商的投标报价应充分考虑“合同条款及格式”所列合同价格风险。</w:t>
      </w:r>
    </w:p>
    <w:p w14:paraId="16B0CF26">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3.2.7报价的其他要求：见供应商须知前附表。</w:t>
      </w:r>
    </w:p>
    <w:p w14:paraId="70328634">
      <w:pPr>
        <w:pStyle w:val="237"/>
        <w:pageBreakBefore w:val="0"/>
        <w:spacing w:before="0" w:after="0" w:line="360" w:lineRule="auto"/>
        <w:jc w:val="left"/>
        <w:rPr>
          <w:rFonts w:hint="eastAsia" w:ascii="宋体" w:hAnsi="宋体" w:eastAsia="宋体" w:cs="宋体"/>
          <w:b/>
          <w:color w:val="000000"/>
          <w:sz w:val="24"/>
          <w:szCs w:val="24"/>
        </w:rPr>
      </w:pPr>
      <w:bookmarkStart w:id="198" w:name="_Toc246996937"/>
      <w:bookmarkStart w:id="199" w:name="_Toc152042325"/>
      <w:bookmarkStart w:id="200" w:name="_Toc246996194"/>
      <w:bookmarkStart w:id="201" w:name="_Toc152045549"/>
      <w:bookmarkStart w:id="202" w:name="_Toc144974517"/>
      <w:bookmarkStart w:id="203" w:name="_Toc468783608"/>
      <w:bookmarkStart w:id="204" w:name="_Toc179632567"/>
      <w:bookmarkStart w:id="205" w:name="_Toc343525525"/>
      <w:bookmarkStart w:id="206" w:name="_Toc247085708"/>
      <w:bookmarkStart w:id="207" w:name="_Toc426469890"/>
      <w:bookmarkStart w:id="208" w:name="_Toc383438612"/>
      <w:r>
        <w:rPr>
          <w:rFonts w:hint="eastAsia" w:ascii="宋体" w:hAnsi="宋体" w:eastAsia="宋体" w:cs="宋体"/>
          <w:b/>
          <w:color w:val="000000"/>
          <w:sz w:val="24"/>
          <w:szCs w:val="24"/>
        </w:rPr>
        <w:t>3.3响应有效期</w:t>
      </w:r>
      <w:bookmarkEnd w:id="198"/>
      <w:bookmarkEnd w:id="199"/>
      <w:bookmarkEnd w:id="200"/>
      <w:bookmarkEnd w:id="201"/>
      <w:bookmarkEnd w:id="202"/>
      <w:bookmarkEnd w:id="203"/>
      <w:bookmarkEnd w:id="204"/>
      <w:bookmarkEnd w:id="205"/>
      <w:bookmarkEnd w:id="206"/>
      <w:bookmarkEnd w:id="207"/>
      <w:bookmarkEnd w:id="208"/>
    </w:p>
    <w:p w14:paraId="08BDDC0C">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3.3.1 在供应商须知前附表规定的响应有效期内，供应商不得要求撤销或修改其</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w:t>
      </w:r>
    </w:p>
    <w:p w14:paraId="33FEC9B6">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3.3.2出现特殊情况需要延长响应有效期的，采购人以书面形式通知所有供应商。供应商同意延长的，但不得要求或被允许修改或撤销其</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；供应商拒绝延长的，其响应文件失效。</w:t>
      </w:r>
    </w:p>
    <w:p w14:paraId="4036CED3">
      <w:pPr>
        <w:pStyle w:val="237"/>
        <w:pageBreakBefore w:val="0"/>
        <w:spacing w:before="0" w:after="0" w:line="360" w:lineRule="auto"/>
        <w:jc w:val="left"/>
        <w:rPr>
          <w:rFonts w:hint="eastAsia" w:ascii="宋体" w:hAnsi="宋体" w:eastAsia="宋体" w:cs="宋体"/>
          <w:b/>
          <w:color w:val="000000"/>
          <w:sz w:val="24"/>
          <w:szCs w:val="24"/>
        </w:rPr>
      </w:pPr>
      <w:bookmarkStart w:id="209" w:name="_Toc144974518"/>
      <w:bookmarkStart w:id="210" w:name="_Toc179632568"/>
      <w:bookmarkStart w:id="211" w:name="_Toc383438613"/>
      <w:bookmarkStart w:id="212" w:name="_Toc152045550"/>
      <w:bookmarkStart w:id="213" w:name="_Toc426469891"/>
      <w:bookmarkStart w:id="214" w:name="_Toc246996938"/>
      <w:bookmarkStart w:id="215" w:name="_Toc247085709"/>
      <w:bookmarkStart w:id="216" w:name="_Toc246996195"/>
      <w:bookmarkStart w:id="217" w:name="_Toc152042326"/>
      <w:bookmarkStart w:id="218" w:name="_Toc343525526"/>
      <w:bookmarkStart w:id="219" w:name="_Toc468783609"/>
      <w:r>
        <w:rPr>
          <w:rFonts w:hint="eastAsia" w:ascii="宋体" w:hAnsi="宋体" w:eastAsia="宋体" w:cs="宋体"/>
          <w:b/>
          <w:color w:val="000000"/>
          <w:sz w:val="24"/>
          <w:szCs w:val="24"/>
        </w:rPr>
        <w:t>3.4 磋商保证金</w:t>
      </w:r>
      <w:bookmarkEnd w:id="209"/>
      <w:bookmarkEnd w:id="210"/>
      <w:bookmarkEnd w:id="211"/>
      <w:bookmarkEnd w:id="212"/>
      <w:bookmarkEnd w:id="213"/>
      <w:bookmarkEnd w:id="214"/>
      <w:bookmarkEnd w:id="215"/>
      <w:bookmarkEnd w:id="216"/>
      <w:bookmarkEnd w:id="217"/>
      <w:bookmarkEnd w:id="218"/>
      <w:bookmarkEnd w:id="219"/>
    </w:p>
    <w:p w14:paraId="4396F84C">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见供应商须知前附表。</w:t>
      </w:r>
    </w:p>
    <w:p w14:paraId="5DAD1912">
      <w:pPr>
        <w:pStyle w:val="237"/>
        <w:pageBreakBefore w:val="0"/>
        <w:spacing w:before="0" w:after="0" w:line="360" w:lineRule="auto"/>
        <w:jc w:val="left"/>
        <w:rPr>
          <w:rFonts w:hint="eastAsia" w:ascii="宋体" w:hAnsi="宋体" w:eastAsia="宋体" w:cs="宋体"/>
          <w:b/>
          <w:color w:val="000000"/>
          <w:sz w:val="24"/>
          <w:szCs w:val="24"/>
        </w:rPr>
      </w:pPr>
      <w:bookmarkStart w:id="220" w:name="_Toc426469892"/>
      <w:bookmarkStart w:id="221" w:name="_Toc468783610"/>
      <w:r>
        <w:rPr>
          <w:rFonts w:hint="eastAsia" w:ascii="宋体" w:hAnsi="宋体" w:eastAsia="宋体" w:cs="宋体"/>
          <w:b/>
          <w:color w:val="000000"/>
          <w:sz w:val="24"/>
          <w:szCs w:val="24"/>
        </w:rPr>
        <w:t>3.5响应文件的编制</w:t>
      </w:r>
      <w:bookmarkEnd w:id="220"/>
      <w:bookmarkEnd w:id="221"/>
    </w:p>
    <w:p w14:paraId="1FE855D2">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3.5.1响应文件的编制应按第</w:t>
      </w:r>
      <w:r>
        <w:rPr>
          <w:rFonts w:hint="eastAsia" w:ascii="宋体" w:hAnsi="宋体" w:eastAsia="宋体" w:cs="宋体"/>
          <w:color w:val="000000"/>
          <w:sz w:val="24"/>
          <w:szCs w:val="24"/>
          <w:lang w:val="en-US" w:eastAsia="zh-CN"/>
        </w:rPr>
        <w:t>五</w:t>
      </w:r>
      <w:r>
        <w:rPr>
          <w:rFonts w:hint="eastAsia" w:ascii="宋体" w:hAnsi="宋体" w:eastAsia="宋体" w:cs="宋体"/>
          <w:color w:val="000000"/>
          <w:sz w:val="24"/>
          <w:szCs w:val="24"/>
        </w:rPr>
        <w:t>章“响应文件编制和格式”要求进行编制，供应商需另行增加的，应将相关内容和材料编入响应文件相应章节，作为响应文件的组成部分。</w:t>
      </w:r>
    </w:p>
    <w:p w14:paraId="589F5EF9">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3.5.2 响应文件应当对竞争性磋商文件有关合同工期、响应有效期、采购需求、招标范围等实质性内容作出响应。</w:t>
      </w:r>
    </w:p>
    <w:p w14:paraId="2184DA0B">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3.5.3响应文件中涉及到的相关的资质、资格、业绩等材料，应按第</w:t>
      </w:r>
      <w:r>
        <w:rPr>
          <w:rFonts w:hint="eastAsia" w:ascii="宋体" w:hAnsi="宋体" w:eastAsia="宋体" w:cs="宋体"/>
          <w:color w:val="000000"/>
          <w:sz w:val="24"/>
          <w:szCs w:val="24"/>
          <w:lang w:val="en-US" w:eastAsia="zh-CN"/>
        </w:rPr>
        <w:t>五</w:t>
      </w:r>
      <w:r>
        <w:rPr>
          <w:rFonts w:hint="eastAsia" w:ascii="宋体" w:hAnsi="宋体" w:eastAsia="宋体" w:cs="宋体"/>
          <w:color w:val="000000"/>
          <w:sz w:val="24"/>
          <w:szCs w:val="24"/>
        </w:rPr>
        <w:t>章“响应文件编制和格式”规定的方式编入响应文件。</w:t>
      </w:r>
    </w:p>
    <w:p w14:paraId="6CAD0C84">
      <w:pPr>
        <w:pStyle w:val="237"/>
        <w:pageBreakBefore w:val="0"/>
        <w:spacing w:before="0" w:after="0" w:line="360" w:lineRule="auto"/>
        <w:jc w:val="left"/>
        <w:rPr>
          <w:rFonts w:hint="eastAsia" w:ascii="宋体" w:hAnsi="宋体" w:eastAsia="宋体" w:cs="宋体"/>
          <w:b/>
          <w:color w:val="000000"/>
          <w:sz w:val="24"/>
          <w:szCs w:val="24"/>
        </w:rPr>
      </w:pPr>
      <w:bookmarkStart w:id="222" w:name="_Toc367785014"/>
      <w:bookmarkStart w:id="223" w:name="_Toc468783611"/>
      <w:bookmarkStart w:id="224" w:name="_Toc426469893"/>
      <w:r>
        <w:rPr>
          <w:rFonts w:hint="eastAsia" w:ascii="宋体" w:hAnsi="宋体" w:eastAsia="宋体" w:cs="宋体"/>
          <w:b/>
          <w:color w:val="000000"/>
          <w:sz w:val="24"/>
          <w:szCs w:val="24"/>
        </w:rPr>
        <w:t>3.6响应文件的签署</w:t>
      </w:r>
      <w:bookmarkEnd w:id="222"/>
      <w:bookmarkEnd w:id="223"/>
      <w:bookmarkEnd w:id="224"/>
    </w:p>
    <w:p w14:paraId="487F077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3.6.1见供应商须知前附表。</w:t>
      </w:r>
    </w:p>
    <w:p w14:paraId="6CF4597A">
      <w:pPr>
        <w:pageBreakBefore w:val="0"/>
        <w:spacing w:line="360" w:lineRule="auto"/>
        <w:ind w:firstLine="480"/>
        <w:jc w:val="left"/>
        <w:rPr>
          <w:rFonts w:hint="eastAsia" w:ascii="宋体" w:hAnsi="宋体" w:eastAsia="宋体" w:cs="宋体"/>
          <w:b w:val="0"/>
          <w:bCs w:val="0"/>
          <w:color w:val="000000"/>
          <w:sz w:val="24"/>
          <w:szCs w:val="24"/>
          <w:lang w:val="en-US" w:eastAsia="zh-CN"/>
        </w:rPr>
      </w:pPr>
      <w:r>
        <w:rPr>
          <w:rFonts w:hint="eastAsia" w:ascii="宋体" w:hAnsi="宋体" w:eastAsia="宋体" w:cs="宋体"/>
          <w:color w:val="000000"/>
          <w:sz w:val="24"/>
          <w:szCs w:val="24"/>
        </w:rPr>
        <w:t>3.6.2响应文件的签署：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r>
        <w:rPr>
          <w:rFonts w:hint="eastAsia" w:ascii="宋体" w:hAnsi="宋体" w:eastAsia="宋体" w:cs="宋体"/>
          <w:b w:val="0"/>
          <w:bCs w:val="0"/>
          <w:color w:val="000000"/>
          <w:sz w:val="24"/>
          <w:szCs w:val="24"/>
          <w:lang w:val="en-US" w:eastAsia="zh-CN"/>
        </w:rPr>
        <w:t>。</w:t>
      </w:r>
    </w:p>
    <w:p w14:paraId="1CFD792E">
      <w:pPr>
        <w:pStyle w:val="237"/>
        <w:spacing w:before="0" w:after="0" w:line="360" w:lineRule="auto"/>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3.7响应文件的递交</w:t>
      </w:r>
    </w:p>
    <w:p w14:paraId="72B13BF6">
      <w:pPr>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p>
    <w:p w14:paraId="27A5947B">
      <w:pPr>
        <w:pStyle w:val="237"/>
        <w:spacing w:before="0" w:after="0" w:line="360" w:lineRule="auto"/>
        <w:jc w:val="left"/>
        <w:rPr>
          <w:rFonts w:hint="eastAsia" w:ascii="宋体" w:hAnsi="宋体" w:eastAsia="宋体" w:cs="宋体"/>
          <w:b/>
          <w:sz w:val="24"/>
          <w:szCs w:val="24"/>
          <w:highlight w:val="none"/>
        </w:rPr>
      </w:pPr>
      <w:bookmarkStart w:id="225" w:name="_Toc468783615"/>
      <w:bookmarkStart w:id="226" w:name="_Toc426469897"/>
      <w:r>
        <w:rPr>
          <w:rFonts w:hint="eastAsia" w:ascii="宋体" w:hAnsi="宋体" w:eastAsia="宋体" w:cs="宋体"/>
          <w:b/>
          <w:sz w:val="24"/>
          <w:szCs w:val="24"/>
          <w:highlight w:val="none"/>
        </w:rPr>
        <w:t>3.8响应文件的修改与撤回</w:t>
      </w:r>
      <w:bookmarkEnd w:id="225"/>
      <w:bookmarkEnd w:id="226"/>
    </w:p>
    <w:p w14:paraId="234F1133">
      <w:pPr>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p>
    <w:p w14:paraId="7230D17C">
      <w:pPr>
        <w:pStyle w:val="237"/>
        <w:spacing w:before="0" w:after="0" w:line="360" w:lineRule="auto"/>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3.9响应文件的确认</w:t>
      </w:r>
    </w:p>
    <w:p w14:paraId="3780730B">
      <w:pPr>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供应商可以通过江苏省政府采购管理交易系统（苏采云）多次上传响应文件，以规定的提交首次响应文件截止时间前，江苏省政府采购管理交易系统（苏采云）接受到的最后一份响应文件为准。</w:t>
      </w:r>
    </w:p>
    <w:p w14:paraId="16EF1BA8">
      <w:pPr>
        <w:pStyle w:val="237"/>
        <w:spacing w:before="0" w:after="0" w:line="360" w:lineRule="auto"/>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3.10响应文件的拒收</w:t>
      </w:r>
    </w:p>
    <w:p w14:paraId="512C1BC7">
      <w:pPr>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在规定的提交首次响应文件截止时间后，江苏省政府采购管理交易系统（苏采云）将不再接受响应文件的上传。</w:t>
      </w:r>
    </w:p>
    <w:p w14:paraId="6083996C">
      <w:pPr>
        <w:pStyle w:val="235"/>
        <w:pageBreakBefore w:val="0"/>
        <w:spacing w:before="0" w:after="0" w:line="360" w:lineRule="auto"/>
        <w:rPr>
          <w:rFonts w:hint="eastAsia" w:ascii="宋体" w:hAnsi="宋体" w:eastAsia="宋体" w:cs="宋体"/>
          <w:b/>
          <w:color w:val="000000"/>
          <w:sz w:val="24"/>
          <w:szCs w:val="24"/>
          <w:lang w:val="en-US" w:eastAsia="zh-CN" w:bidi="ar-SA"/>
        </w:rPr>
      </w:pPr>
      <w:bookmarkStart w:id="227" w:name="_Toc468783613"/>
      <w:bookmarkStart w:id="228" w:name="_Toc343525529"/>
      <w:bookmarkStart w:id="229" w:name="_Toc144974523"/>
      <w:bookmarkStart w:id="230" w:name="_Toc246996942"/>
      <w:bookmarkStart w:id="231" w:name="_Toc383438617"/>
      <w:bookmarkStart w:id="232" w:name="_Toc179632573"/>
      <w:bookmarkStart w:id="233" w:name="_Toc247085713"/>
      <w:bookmarkStart w:id="234" w:name="_Toc426469895"/>
      <w:bookmarkStart w:id="235" w:name="_Toc246996199"/>
      <w:bookmarkStart w:id="236" w:name="_Toc152042331"/>
      <w:bookmarkStart w:id="237" w:name="_Toc152045555"/>
      <w:r>
        <w:rPr>
          <w:rFonts w:hint="eastAsia" w:ascii="宋体" w:hAnsi="宋体" w:eastAsia="宋体" w:cs="宋体"/>
          <w:b/>
          <w:color w:val="000000"/>
          <w:sz w:val="24"/>
          <w:szCs w:val="24"/>
        </w:rPr>
        <w:t xml:space="preserve">4. </w:t>
      </w:r>
      <w:bookmarkEnd w:id="227"/>
      <w:bookmarkEnd w:id="228"/>
      <w:bookmarkEnd w:id="229"/>
      <w:bookmarkEnd w:id="230"/>
      <w:bookmarkEnd w:id="231"/>
      <w:bookmarkEnd w:id="232"/>
      <w:bookmarkEnd w:id="233"/>
      <w:bookmarkEnd w:id="234"/>
      <w:bookmarkEnd w:id="235"/>
      <w:bookmarkEnd w:id="236"/>
      <w:bookmarkEnd w:id="237"/>
      <w:bookmarkStart w:id="238" w:name="_Toc179632574"/>
      <w:bookmarkStart w:id="239" w:name="_Toc246996943"/>
      <w:bookmarkStart w:id="240" w:name="_Toc247085714"/>
      <w:bookmarkStart w:id="241" w:name="_Toc144974524"/>
      <w:bookmarkStart w:id="242" w:name="_Toc152045556"/>
      <w:bookmarkStart w:id="243" w:name="_Toc152042332"/>
      <w:bookmarkStart w:id="244" w:name="_Toc246996200"/>
      <w:r>
        <w:rPr>
          <w:rFonts w:hint="eastAsia" w:ascii="宋体" w:hAnsi="宋体" w:eastAsia="宋体" w:cs="宋体"/>
          <w:b/>
          <w:color w:val="000000"/>
          <w:sz w:val="24"/>
          <w:szCs w:val="24"/>
          <w:lang w:val="en-US" w:eastAsia="zh-CN" w:bidi="ar-SA"/>
        </w:rPr>
        <w:t>响应文件的开启</w:t>
      </w:r>
    </w:p>
    <w:p w14:paraId="102087B5">
      <w:pPr>
        <w:pStyle w:val="237"/>
        <w:pageBreakBefore w:val="0"/>
        <w:spacing w:before="0" w:after="0" w:line="360" w:lineRule="auto"/>
        <w:jc w:val="left"/>
        <w:rPr>
          <w:rFonts w:hint="eastAsia" w:ascii="宋体" w:hAnsi="宋体" w:eastAsia="宋体" w:cs="宋体"/>
          <w:b/>
          <w:color w:val="000000"/>
          <w:sz w:val="24"/>
          <w:szCs w:val="24"/>
          <w:lang w:eastAsia="zh-CN"/>
        </w:rPr>
      </w:pPr>
      <w:bookmarkStart w:id="245" w:name="_Toc343525530"/>
      <w:bookmarkStart w:id="246" w:name="_Toc468783614"/>
      <w:bookmarkStart w:id="247" w:name="_Toc383438618"/>
      <w:bookmarkStart w:id="248" w:name="_Toc426469896"/>
      <w:r>
        <w:rPr>
          <w:rFonts w:hint="eastAsia" w:ascii="宋体" w:hAnsi="宋体" w:eastAsia="宋体" w:cs="宋体"/>
          <w:b/>
          <w:color w:val="000000"/>
          <w:sz w:val="24"/>
          <w:szCs w:val="24"/>
        </w:rPr>
        <w:t>4.1响应文件的</w:t>
      </w:r>
      <w:bookmarkEnd w:id="238"/>
      <w:bookmarkEnd w:id="239"/>
      <w:bookmarkEnd w:id="240"/>
      <w:bookmarkEnd w:id="241"/>
      <w:bookmarkEnd w:id="242"/>
      <w:bookmarkEnd w:id="243"/>
      <w:bookmarkEnd w:id="244"/>
      <w:bookmarkEnd w:id="245"/>
      <w:bookmarkEnd w:id="246"/>
      <w:bookmarkEnd w:id="247"/>
      <w:bookmarkEnd w:id="248"/>
      <w:r>
        <w:rPr>
          <w:rFonts w:hint="eastAsia" w:ascii="宋体" w:hAnsi="宋体" w:eastAsia="宋体" w:cs="宋体"/>
          <w:b/>
          <w:color w:val="000000"/>
          <w:sz w:val="24"/>
          <w:szCs w:val="24"/>
          <w:lang w:val="en-US" w:eastAsia="zh-CN"/>
        </w:rPr>
        <w:t>开启</w:t>
      </w:r>
    </w:p>
    <w:p w14:paraId="3C590E77">
      <w:pPr>
        <w:pageBreakBefore w:val="0"/>
        <w:widowControl w:val="0"/>
        <w:spacing w:line="360" w:lineRule="auto"/>
        <w:ind w:firstLine="480"/>
        <w:rPr>
          <w:rFonts w:hint="eastAsia" w:ascii="宋体" w:hAnsi="宋体" w:eastAsia="宋体" w:cs="宋体"/>
          <w:sz w:val="24"/>
          <w:szCs w:val="24"/>
        </w:rPr>
      </w:pPr>
      <w:bookmarkStart w:id="249" w:name="_Toc246996201"/>
      <w:bookmarkStart w:id="250" w:name="_Toc246996944"/>
      <w:bookmarkStart w:id="251" w:name="_Toc152045557"/>
      <w:bookmarkStart w:id="252" w:name="_Toc144974525"/>
      <w:bookmarkStart w:id="253" w:name="_Toc152042333"/>
      <w:bookmarkStart w:id="254" w:name="_Toc247085715"/>
      <w:bookmarkStart w:id="255" w:name="_Toc343525531"/>
      <w:bookmarkStart w:id="256" w:name="_Toc179632575"/>
      <w:bookmarkStart w:id="257" w:name="_Toc383438619"/>
      <w:r>
        <w:rPr>
          <w:rFonts w:hint="eastAsia" w:ascii="宋体" w:hAnsi="宋体" w:eastAsia="宋体" w:cs="宋体"/>
          <w:b w:val="0"/>
          <w:bCs/>
          <w:sz w:val="24"/>
          <w:szCs w:val="24"/>
        </w:rPr>
        <w:t>4.1</w:t>
      </w:r>
      <w:r>
        <w:rPr>
          <w:rFonts w:hint="eastAsia" w:ascii="宋体" w:hAnsi="宋体" w:eastAsia="宋体" w:cs="宋体"/>
          <w:sz w:val="24"/>
          <w:szCs w:val="24"/>
          <w:highlight w:val="none"/>
        </w:rPr>
        <w:t>响应文件的开启将在“苏采云”系统“开标大厅”内公开进行，供应商应当按照《江苏省政府采购管理交易系统（苏采云）供应商操作手册》规定参加，并在规定的时间内解密响应文件</w:t>
      </w:r>
      <w:r>
        <w:rPr>
          <w:rFonts w:hint="eastAsia" w:ascii="宋体" w:hAnsi="宋体" w:eastAsia="宋体" w:cs="宋体"/>
          <w:sz w:val="24"/>
          <w:szCs w:val="24"/>
        </w:rPr>
        <w:t>。</w:t>
      </w:r>
    </w:p>
    <w:p w14:paraId="540703E7">
      <w:pPr>
        <w:pStyle w:val="237"/>
        <w:spacing w:before="0" w:after="0" w:line="360" w:lineRule="auto"/>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4.2 特殊情况的处置</w:t>
      </w:r>
    </w:p>
    <w:p w14:paraId="48F0D352">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4.2.1在提交响应文件截止时间后，不见面开标系统出现下列情况之一时，响应文件未开启的，暂停开启活动；正在开启的，立即暂停，待系统恢复正常后再组织。</w:t>
      </w:r>
    </w:p>
    <w:p w14:paraId="4B606736">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（1）系统服务器发生故障，无法访问或无法使用系统；</w:t>
      </w:r>
    </w:p>
    <w:p w14:paraId="4B9F36A3">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（2）系统的软件或数据库出现错误，不能进行正常操作；</w:t>
      </w:r>
    </w:p>
    <w:p w14:paraId="5FE99E9F">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（3）系统发现有安全漏洞，有潜在的泄密危险；</w:t>
      </w:r>
    </w:p>
    <w:p w14:paraId="56CC14F8">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（4）其他无法保证信息安全的情形。</w:t>
      </w:r>
    </w:p>
    <w:p w14:paraId="6A590F12">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4.2.2因供应商自身原因造成响应文件无法解密的，视为撤销响应文件。</w:t>
      </w:r>
    </w:p>
    <w:p w14:paraId="1A4CF91A">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4.2.3供应商对响应文件开启活动或开启结果等有疑义的，可向采购人提出。</w:t>
      </w:r>
    </w:p>
    <w:p w14:paraId="7F7EE9B5">
      <w:pPr>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sz w:val="24"/>
          <w:szCs w:val="24"/>
        </w:rPr>
        <w:t>4.2.4供应商未在系统中确认开启结果的，视同认可开启结果。</w:t>
      </w:r>
      <w:bookmarkEnd w:id="52"/>
      <w:bookmarkEnd w:id="249"/>
      <w:bookmarkEnd w:id="250"/>
      <w:bookmarkEnd w:id="251"/>
      <w:bookmarkEnd w:id="252"/>
      <w:bookmarkEnd w:id="253"/>
      <w:bookmarkEnd w:id="254"/>
      <w:bookmarkEnd w:id="255"/>
      <w:bookmarkEnd w:id="256"/>
      <w:bookmarkEnd w:id="257"/>
    </w:p>
    <w:p w14:paraId="31C9CCC5">
      <w:pPr>
        <w:pStyle w:val="235"/>
        <w:pageBreakBefore w:val="0"/>
        <w:numPr>
          <w:ilvl w:val="0"/>
          <w:numId w:val="3"/>
        </w:numPr>
        <w:spacing w:before="0" w:after="0" w:line="360" w:lineRule="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响应文件的解密与评审</w:t>
      </w:r>
    </w:p>
    <w:p w14:paraId="7E0C4363">
      <w:pPr>
        <w:pageBreakBefore w:val="0"/>
        <w:numPr>
          <w:ilvl w:val="1"/>
          <w:numId w:val="3"/>
        </w:numPr>
        <w:spacing w:line="360" w:lineRule="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响应文件解密</w:t>
      </w:r>
    </w:p>
    <w:p w14:paraId="58BF91E0">
      <w:pPr>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5.1</w:t>
      </w:r>
      <w:r>
        <w:rPr>
          <w:rFonts w:hint="eastAsia" w:ascii="宋体" w:hAnsi="宋体" w:eastAsia="宋体" w:cs="宋体"/>
          <w:color w:val="000000"/>
          <w:sz w:val="24"/>
          <w:szCs w:val="24"/>
        </w:rPr>
        <w:t>.1供应商应当按照《操作手册》规定，在苏采云系统规定的时间内对磋商响应文件进行解密。</w:t>
      </w:r>
    </w:p>
    <w:p w14:paraId="70B4DB72">
      <w:pPr>
        <w:pageBreakBefore w:val="0"/>
        <w:widowControl w:val="0"/>
        <w:spacing w:line="360" w:lineRule="auto"/>
        <w:ind w:firstLine="480"/>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5.1.2</w:t>
      </w:r>
      <w:r>
        <w:rPr>
          <w:rFonts w:hint="eastAsia" w:ascii="宋体" w:hAnsi="宋体" w:eastAsia="宋体" w:cs="宋体"/>
          <w:b w:val="0"/>
          <w:bCs/>
          <w:sz w:val="24"/>
          <w:szCs w:val="24"/>
        </w:rPr>
        <w:t>特殊情况的处置</w:t>
      </w:r>
    </w:p>
    <w:p w14:paraId="375DEFFC">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1</w:t>
      </w: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在</w:t>
      </w:r>
      <w:r>
        <w:rPr>
          <w:rFonts w:hint="eastAsia" w:ascii="宋体" w:hAnsi="宋体" w:eastAsia="宋体" w:cs="宋体"/>
          <w:sz w:val="24"/>
          <w:szCs w:val="24"/>
          <w:lang w:eastAsia="zh-CN"/>
        </w:rPr>
        <w:t>响应</w:t>
      </w:r>
      <w:r>
        <w:rPr>
          <w:rFonts w:hint="eastAsia" w:ascii="宋体" w:hAnsi="宋体" w:eastAsia="宋体" w:cs="宋体"/>
          <w:sz w:val="24"/>
          <w:szCs w:val="24"/>
        </w:rPr>
        <w:t>截止时间后，开标系统出现下列情况之一时，项目未开标的，暂停开标活动；正在开标的，立即暂停开标，待系统恢复正常后再组织开标。</w:t>
      </w:r>
    </w:p>
    <w:p w14:paraId="44E1B0F7">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（1）系统服务器发生故障，无法访问或无法使用系统； </w:t>
      </w:r>
    </w:p>
    <w:p w14:paraId="30E917D8">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（2）系统的软件或数据库出现错误，不能进行正常操作； </w:t>
      </w:r>
    </w:p>
    <w:p w14:paraId="78BF78F6">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（3）系统发现有安全漏洞，有潜在的泄密危险； </w:t>
      </w:r>
    </w:p>
    <w:p w14:paraId="4A8529CD">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（4）其他无法保证招</w:t>
      </w:r>
      <w:r>
        <w:rPr>
          <w:rFonts w:hint="eastAsia" w:ascii="宋体" w:hAnsi="宋体" w:eastAsia="宋体" w:cs="宋体"/>
          <w:sz w:val="24"/>
          <w:szCs w:val="24"/>
          <w:lang w:eastAsia="zh-CN"/>
        </w:rPr>
        <w:t>响应</w:t>
      </w:r>
      <w:r>
        <w:rPr>
          <w:rFonts w:hint="eastAsia" w:ascii="宋体" w:hAnsi="宋体" w:eastAsia="宋体" w:cs="宋体"/>
          <w:sz w:val="24"/>
          <w:szCs w:val="24"/>
        </w:rPr>
        <w:t>过程公平和信息安全的情形。</w:t>
      </w:r>
    </w:p>
    <w:p w14:paraId="7C02ABC1">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1.4</w:t>
      </w:r>
      <w:r>
        <w:rPr>
          <w:rFonts w:hint="eastAsia" w:ascii="宋体" w:hAnsi="宋体" w:eastAsia="宋体" w:cs="宋体"/>
          <w:sz w:val="24"/>
          <w:szCs w:val="24"/>
        </w:rPr>
        <w:t>因供应商自身原因造成</w:t>
      </w:r>
      <w:r>
        <w:rPr>
          <w:rFonts w:hint="eastAsia" w:ascii="宋体" w:hAnsi="宋体" w:eastAsia="宋体" w:cs="宋体"/>
          <w:sz w:val="24"/>
          <w:szCs w:val="24"/>
          <w:lang w:eastAsia="zh-CN"/>
        </w:rPr>
        <w:t>响应</w:t>
      </w:r>
      <w:r>
        <w:rPr>
          <w:rFonts w:hint="eastAsia" w:ascii="宋体" w:hAnsi="宋体" w:eastAsia="宋体" w:cs="宋体"/>
          <w:sz w:val="24"/>
          <w:szCs w:val="24"/>
        </w:rPr>
        <w:t>文件无法解密的，视为撤销</w:t>
      </w:r>
      <w:r>
        <w:rPr>
          <w:rFonts w:hint="eastAsia" w:ascii="宋体" w:hAnsi="宋体" w:eastAsia="宋体" w:cs="宋体"/>
          <w:sz w:val="24"/>
          <w:szCs w:val="24"/>
          <w:lang w:eastAsia="zh-CN"/>
        </w:rPr>
        <w:t>响应</w:t>
      </w:r>
      <w:r>
        <w:rPr>
          <w:rFonts w:hint="eastAsia" w:ascii="宋体" w:hAnsi="宋体" w:eastAsia="宋体" w:cs="宋体"/>
          <w:sz w:val="24"/>
          <w:szCs w:val="24"/>
        </w:rPr>
        <w:t>文件。</w:t>
      </w:r>
    </w:p>
    <w:p w14:paraId="4BF3F985">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1.5</w:t>
      </w:r>
      <w:r>
        <w:rPr>
          <w:rFonts w:hint="eastAsia" w:ascii="宋体" w:hAnsi="宋体" w:eastAsia="宋体" w:cs="宋体"/>
          <w:sz w:val="24"/>
          <w:szCs w:val="24"/>
        </w:rPr>
        <w:t>供应商对开标过程和开标记录有疑义的，可向</w:t>
      </w:r>
      <w:r>
        <w:rPr>
          <w:rFonts w:hint="eastAsia" w:ascii="宋体" w:hAnsi="宋体" w:eastAsia="宋体" w:cs="宋体"/>
          <w:sz w:val="24"/>
          <w:szCs w:val="24"/>
          <w:lang w:eastAsia="zh-CN"/>
        </w:rPr>
        <w:t>磋商</w:t>
      </w:r>
      <w:r>
        <w:rPr>
          <w:rFonts w:hint="eastAsia" w:ascii="宋体" w:hAnsi="宋体" w:eastAsia="宋体" w:cs="宋体"/>
          <w:sz w:val="24"/>
          <w:szCs w:val="24"/>
        </w:rPr>
        <w:t>人或者采购代理机构提出。</w:t>
      </w:r>
    </w:p>
    <w:p w14:paraId="3FC821BF">
      <w:pPr>
        <w:pageBreakBefore w:val="0"/>
        <w:widowControl w:val="0"/>
        <w:spacing w:line="360" w:lineRule="auto"/>
        <w:ind w:firstLine="480"/>
        <w:rPr>
          <w:rFonts w:hint="eastAsia" w:ascii="宋体" w:hAnsi="宋体" w:eastAsia="宋体" w:cs="宋体"/>
          <w:b/>
          <w:color w:val="000000"/>
          <w:sz w:val="24"/>
          <w:szCs w:val="24"/>
          <w:lang w:val="en-US" w:eastAsia="zh-CN" w:bidi="ar-SA"/>
        </w:rPr>
      </w:pPr>
      <w:r>
        <w:rPr>
          <w:rFonts w:hint="eastAsia" w:ascii="宋体" w:hAnsi="宋体" w:eastAsia="宋体" w:cs="宋体"/>
          <w:sz w:val="24"/>
          <w:szCs w:val="24"/>
        </w:rPr>
        <w:t>5.</w:t>
      </w:r>
      <w:r>
        <w:rPr>
          <w:rFonts w:hint="eastAsia" w:ascii="宋体" w:hAnsi="宋体" w:eastAsia="宋体" w:cs="宋体"/>
          <w:sz w:val="24"/>
          <w:szCs w:val="24"/>
          <w:lang w:val="en-US" w:eastAsia="zh-CN"/>
        </w:rPr>
        <w:t>1.6</w:t>
      </w:r>
      <w:r>
        <w:rPr>
          <w:rFonts w:hint="eastAsia" w:ascii="宋体" w:hAnsi="宋体" w:eastAsia="宋体" w:cs="宋体"/>
          <w:sz w:val="24"/>
          <w:szCs w:val="24"/>
        </w:rPr>
        <w:t>供应商未在开标系统中确认开标结果的，视同认可开标结果。</w:t>
      </w:r>
    </w:p>
    <w:p w14:paraId="4403F078">
      <w:pPr>
        <w:pStyle w:val="237"/>
        <w:pageBreakBefore w:val="0"/>
        <w:spacing w:before="0" w:after="0" w:line="360" w:lineRule="auto"/>
        <w:jc w:val="left"/>
        <w:rPr>
          <w:rFonts w:hint="eastAsia" w:ascii="宋体" w:hAnsi="宋体" w:eastAsia="宋体" w:cs="宋体"/>
          <w:b/>
          <w:color w:val="000000"/>
          <w:sz w:val="24"/>
          <w:szCs w:val="24"/>
        </w:rPr>
      </w:pPr>
      <w:bookmarkStart w:id="258" w:name="_Toc246996950"/>
      <w:bookmarkStart w:id="259" w:name="_Toc383438626"/>
      <w:bookmarkStart w:id="260" w:name="_Toc426469903"/>
      <w:bookmarkStart w:id="261" w:name="_Toc179632581"/>
      <w:bookmarkStart w:id="262" w:name="_Toc343525538"/>
      <w:bookmarkStart w:id="263" w:name="_Toc247085721"/>
      <w:bookmarkStart w:id="264" w:name="_Toc144974531"/>
      <w:bookmarkStart w:id="265" w:name="_Toc152045563"/>
      <w:bookmarkStart w:id="266" w:name="_Toc468783621"/>
      <w:bookmarkStart w:id="267" w:name="_Toc152042339"/>
      <w:bookmarkStart w:id="268" w:name="_Toc246996207"/>
      <w:r>
        <w:rPr>
          <w:rFonts w:hint="eastAsia" w:ascii="宋体" w:hAnsi="宋体" w:eastAsia="宋体" w:cs="宋体"/>
          <w:b/>
          <w:color w:val="000000"/>
          <w:sz w:val="24"/>
          <w:szCs w:val="24"/>
        </w:rPr>
        <w:t>5.</w:t>
      </w:r>
      <w:r>
        <w:rPr>
          <w:rFonts w:hint="eastAsia" w:ascii="宋体" w:hAnsi="宋体" w:eastAsia="宋体" w:cs="宋体"/>
          <w:b/>
          <w:color w:val="000000"/>
          <w:sz w:val="24"/>
          <w:szCs w:val="24"/>
          <w:lang w:val="en-US" w:eastAsia="zh-CN"/>
        </w:rPr>
        <w:t>2</w:t>
      </w:r>
      <w:r>
        <w:rPr>
          <w:rFonts w:hint="eastAsia" w:ascii="宋体" w:hAnsi="宋体" w:eastAsia="宋体" w:cs="宋体"/>
          <w:b/>
          <w:color w:val="000000"/>
          <w:sz w:val="24"/>
          <w:szCs w:val="24"/>
        </w:rPr>
        <w:t xml:space="preserve"> </w:t>
      </w:r>
      <w:bookmarkEnd w:id="258"/>
      <w:bookmarkEnd w:id="259"/>
      <w:bookmarkEnd w:id="260"/>
      <w:bookmarkEnd w:id="261"/>
      <w:bookmarkEnd w:id="262"/>
      <w:bookmarkEnd w:id="263"/>
      <w:bookmarkEnd w:id="264"/>
      <w:bookmarkEnd w:id="265"/>
      <w:bookmarkEnd w:id="266"/>
      <w:bookmarkEnd w:id="267"/>
      <w:bookmarkEnd w:id="268"/>
      <w:r>
        <w:rPr>
          <w:rFonts w:hint="eastAsia" w:ascii="宋体" w:hAnsi="宋体" w:eastAsia="宋体" w:cs="宋体"/>
          <w:b/>
          <w:color w:val="000000"/>
          <w:sz w:val="24"/>
          <w:szCs w:val="24"/>
        </w:rPr>
        <w:t>磋商小组</w:t>
      </w:r>
    </w:p>
    <w:p w14:paraId="6F7EDA2B">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5.</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.1 评审由采购人依法组建的磋商小组负责。磋商小组由采购人代表，以及有关方面的专家组成。具体人数见供应商须知前附表。</w:t>
      </w:r>
    </w:p>
    <w:p w14:paraId="6069C96F">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.2 磋商小组成员有下列情形之一的，应当回避：</w:t>
      </w:r>
    </w:p>
    <w:p w14:paraId="7B0FD0AA">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（1）供应商或供应商主要负责人的近亲属；</w:t>
      </w:r>
    </w:p>
    <w:p w14:paraId="57AABB4A">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（2）项目主管部门或者行政监督部门的人员；</w:t>
      </w:r>
    </w:p>
    <w:p w14:paraId="50ED2018">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（3）与供应商有经济利益关系；</w:t>
      </w:r>
    </w:p>
    <w:p w14:paraId="14117E19">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（4）曾因在招标、评标以及其他与招标投标有关活动中从事违法行为而受过行政处罚或刑事处罚的；</w:t>
      </w:r>
    </w:p>
    <w:p w14:paraId="446F79F9">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（5）与供应商有其他利害关系。</w:t>
      </w:r>
    </w:p>
    <w:p w14:paraId="03A2F2D4">
      <w:pPr>
        <w:pStyle w:val="237"/>
        <w:pageBreakBefore w:val="0"/>
        <w:spacing w:before="0" w:after="0" w:line="360" w:lineRule="auto"/>
        <w:jc w:val="left"/>
        <w:rPr>
          <w:rFonts w:hint="eastAsia" w:ascii="宋体" w:hAnsi="宋体" w:eastAsia="宋体" w:cs="宋体"/>
          <w:b/>
          <w:color w:val="000000"/>
          <w:sz w:val="24"/>
          <w:szCs w:val="24"/>
        </w:rPr>
      </w:pPr>
      <w:bookmarkStart w:id="269" w:name="_Toc383438627"/>
      <w:bookmarkStart w:id="270" w:name="_Toc343525539"/>
      <w:bookmarkStart w:id="271" w:name="_Toc247085722"/>
      <w:bookmarkStart w:id="272" w:name="_Toc426469904"/>
      <w:bookmarkStart w:id="273" w:name="_Toc152042340"/>
      <w:bookmarkStart w:id="274" w:name="_Toc468783622"/>
      <w:bookmarkStart w:id="275" w:name="_Toc179632582"/>
      <w:bookmarkStart w:id="276" w:name="_Toc144974532"/>
      <w:bookmarkStart w:id="277" w:name="_Toc246996208"/>
      <w:bookmarkStart w:id="278" w:name="_Toc152045564"/>
      <w:bookmarkStart w:id="279" w:name="_Toc246996951"/>
      <w:r>
        <w:rPr>
          <w:rFonts w:hint="eastAsia" w:ascii="宋体" w:hAnsi="宋体" w:eastAsia="宋体" w:cs="宋体"/>
          <w:b/>
          <w:color w:val="000000"/>
          <w:sz w:val="24"/>
          <w:szCs w:val="24"/>
        </w:rPr>
        <w:t>5.</w:t>
      </w:r>
      <w:r>
        <w:rPr>
          <w:rFonts w:hint="eastAsia" w:ascii="宋体" w:hAnsi="宋体" w:eastAsia="宋体" w:cs="宋体"/>
          <w:b/>
          <w:color w:val="000000"/>
          <w:sz w:val="24"/>
          <w:szCs w:val="24"/>
          <w:lang w:val="en-US" w:eastAsia="zh-CN"/>
        </w:rPr>
        <w:t>3</w:t>
      </w:r>
      <w:r>
        <w:rPr>
          <w:rFonts w:hint="eastAsia" w:ascii="宋体" w:hAnsi="宋体" w:eastAsia="宋体" w:cs="宋体"/>
          <w:b/>
          <w:color w:val="000000"/>
          <w:sz w:val="24"/>
          <w:szCs w:val="24"/>
        </w:rPr>
        <w:t xml:space="preserve"> 评审</w:t>
      </w:r>
      <w:bookmarkEnd w:id="269"/>
      <w:bookmarkEnd w:id="270"/>
      <w:bookmarkEnd w:id="271"/>
      <w:bookmarkEnd w:id="272"/>
      <w:bookmarkEnd w:id="273"/>
      <w:bookmarkEnd w:id="274"/>
      <w:bookmarkEnd w:id="275"/>
      <w:bookmarkEnd w:id="276"/>
      <w:bookmarkEnd w:id="277"/>
      <w:bookmarkEnd w:id="278"/>
      <w:bookmarkEnd w:id="279"/>
    </w:p>
    <w:p w14:paraId="51D59E63">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.1磋商小组将本着公平、公正、审慎的原则，严格按照法律法规和采购文件要求与各供应商进行评审。</w:t>
      </w:r>
    </w:p>
    <w:p w14:paraId="0C5C5443">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.2磋商小组按照第三章“评审办法”规定的方法、评审因素、标准和程序对</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进行评审。第三章“评审办法”没有规定的方法、评审因素和标准，不得作为评审依据。</w:t>
      </w:r>
    </w:p>
    <w:p w14:paraId="4D0AE4C6">
      <w:pPr>
        <w:pStyle w:val="235"/>
        <w:pageBreakBefore w:val="0"/>
        <w:spacing w:before="0" w:after="0" w:line="360" w:lineRule="auto"/>
        <w:rPr>
          <w:rFonts w:hint="eastAsia" w:ascii="宋体" w:hAnsi="宋体" w:eastAsia="宋体" w:cs="宋体"/>
          <w:b/>
          <w:color w:val="000000"/>
          <w:sz w:val="24"/>
          <w:szCs w:val="24"/>
        </w:rPr>
      </w:pPr>
      <w:bookmarkStart w:id="280" w:name="_Toc426469906"/>
      <w:bookmarkStart w:id="281" w:name="_Toc383438629"/>
      <w:bookmarkStart w:id="282" w:name="_Toc468783624"/>
      <w:r>
        <w:rPr>
          <w:rFonts w:hint="eastAsia" w:ascii="宋体" w:hAnsi="宋体" w:eastAsia="宋体" w:cs="宋体"/>
          <w:b/>
          <w:color w:val="000000"/>
          <w:sz w:val="24"/>
          <w:szCs w:val="24"/>
        </w:rPr>
        <w:t xml:space="preserve">6. </w:t>
      </w:r>
      <w:bookmarkEnd w:id="280"/>
      <w:bookmarkEnd w:id="281"/>
      <w:bookmarkEnd w:id="282"/>
      <w:r>
        <w:rPr>
          <w:rFonts w:hint="eastAsia" w:ascii="宋体" w:hAnsi="宋体" w:eastAsia="宋体" w:cs="宋体"/>
          <w:b/>
          <w:color w:val="000000"/>
          <w:sz w:val="24"/>
          <w:szCs w:val="24"/>
        </w:rPr>
        <w:t>确定成交人</w:t>
      </w:r>
    </w:p>
    <w:p w14:paraId="1BE820DB">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bCs/>
          <w:color w:val="000000"/>
          <w:sz w:val="24"/>
          <w:szCs w:val="24"/>
        </w:rPr>
        <w:t>6.1</w:t>
      </w:r>
      <w:r>
        <w:rPr>
          <w:rFonts w:hint="eastAsia" w:ascii="宋体" w:hAnsi="宋体" w:eastAsia="宋体" w:cs="宋体"/>
          <w:color w:val="000000"/>
          <w:sz w:val="24"/>
          <w:szCs w:val="24"/>
        </w:rPr>
        <w:t>采购人根据评审报告，确定排名第一的成交候选人为成交人。排名第一的成交候选人出现下列情形之一的，采购人将按照磋商小组提出的中标候选人名单排序依次确定其他成交候选人为成交人。</w:t>
      </w:r>
    </w:p>
    <w:p w14:paraId="6799CD71">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（1）因不可抗力或者自身原因不能履行合同的；</w:t>
      </w:r>
    </w:p>
    <w:p w14:paraId="0253D808">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（2）财政部门经过处理投诉举报、监督检查，认定中标结果无效的；</w:t>
      </w:r>
    </w:p>
    <w:p w14:paraId="31FD979F">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（3）中标人拒绝与采购人签订合同的。</w:t>
      </w:r>
    </w:p>
    <w:p w14:paraId="0C4ACEB2">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6.2成交人确定后，采购人将在供应商须知前附表规定的媒介上公告成交结果，并同时发出成交通知书。成交通知书对采购人和成交人具有同等法律效力。</w:t>
      </w:r>
    </w:p>
    <w:p w14:paraId="64F4123E">
      <w:pPr>
        <w:pStyle w:val="235"/>
        <w:spacing w:before="0" w:after="0" w:line="360" w:lineRule="auto"/>
        <w:rPr>
          <w:rFonts w:hint="eastAsia" w:ascii="宋体" w:hAnsi="宋体" w:eastAsia="宋体" w:cs="宋体"/>
          <w:b/>
          <w:sz w:val="24"/>
          <w:szCs w:val="24"/>
          <w:highlight w:val="none"/>
        </w:rPr>
      </w:pPr>
      <w:bookmarkStart w:id="283" w:name="_Toc468783625"/>
      <w:bookmarkStart w:id="284" w:name="_Toc426469907"/>
      <w:bookmarkStart w:id="285" w:name="_Toc152045587"/>
      <w:bookmarkStart w:id="286" w:name="_Toc247085745"/>
      <w:bookmarkStart w:id="287" w:name="_Toc246996973"/>
      <w:bookmarkStart w:id="288" w:name="_Toc152042364"/>
      <w:bookmarkStart w:id="289" w:name="_Toc144974554"/>
      <w:bookmarkStart w:id="290" w:name="_Toc179632605"/>
      <w:bookmarkStart w:id="291" w:name="_Toc383438646"/>
      <w:bookmarkStart w:id="292" w:name="_Toc246996230"/>
      <w:bookmarkStart w:id="293" w:name="_Toc343525562"/>
      <w:bookmarkStart w:id="294" w:name="_Toc383623673"/>
      <w:bookmarkStart w:id="295" w:name="_Toc390246906"/>
      <w:bookmarkStart w:id="296" w:name="_Toc383679747"/>
      <w:bookmarkStart w:id="297" w:name="_Toc383698648"/>
      <w:bookmarkStart w:id="298" w:name="_Toc383623945"/>
      <w:bookmarkStart w:id="299" w:name="_Toc383625994"/>
      <w:bookmarkStart w:id="300" w:name="_Toc390098841"/>
      <w:bookmarkStart w:id="301" w:name="_Toc390099019"/>
      <w:bookmarkStart w:id="302" w:name="_Toc383587457"/>
      <w:r>
        <w:rPr>
          <w:rFonts w:hint="eastAsia" w:ascii="宋体" w:hAnsi="宋体" w:eastAsia="宋体" w:cs="宋体"/>
          <w:b/>
          <w:sz w:val="24"/>
          <w:szCs w:val="24"/>
          <w:highlight w:val="none"/>
        </w:rPr>
        <w:t>7质疑</w:t>
      </w:r>
      <w:bookmarkEnd w:id="283"/>
      <w:bookmarkEnd w:id="284"/>
      <w:r>
        <w:rPr>
          <w:rFonts w:hint="eastAsia" w:ascii="宋体" w:hAnsi="宋体" w:eastAsia="宋体" w:cs="宋体"/>
          <w:b/>
          <w:sz w:val="24"/>
          <w:szCs w:val="24"/>
          <w:highlight w:val="none"/>
        </w:rPr>
        <w:t>和投诉</w:t>
      </w:r>
    </w:p>
    <w:p w14:paraId="725D31A9">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7.1按照《政府采购质疑和投诉办法》（财政部第94号令）处理</w:t>
      </w:r>
    </w:p>
    <w:p w14:paraId="745326F7">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7.2供应商认为竞争性磋商文件、招标过程和成交结果使自己的权益受到损害的，可以在知道或者应当知道其权益受到损害之日起七个工作日内，以书面形式向采购人提出质疑。</w:t>
      </w:r>
    </w:p>
    <w:p w14:paraId="66CA7DE8">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7.3采购人在收到供应商的书面质疑后，在七个工作日内对质疑内容作出答复，并以书面形式通知质疑供应商和其他有关的供应商。</w:t>
      </w:r>
    </w:p>
    <w:p w14:paraId="0655C096">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7.4质疑函应当包括但不限于以下内容：</w:t>
      </w:r>
    </w:p>
    <w:p w14:paraId="2C1426BF">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（1）质疑人的名称、地址、邮编、联系人、联系电话；</w:t>
      </w:r>
    </w:p>
    <w:p w14:paraId="5FEEEA73">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（2）具体的质疑事项及事实依据；</w:t>
      </w:r>
    </w:p>
    <w:p w14:paraId="5BE21103">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（3）认为自己的合法权益受到损害或者可能受到损害的相关证据材料；</w:t>
      </w:r>
    </w:p>
    <w:p w14:paraId="481347E7">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（4）提出质疑的日期；</w:t>
      </w:r>
    </w:p>
    <w:p w14:paraId="5E4281C2">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p>
    <w:p w14:paraId="00014182">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7.5有下列情形之一的质疑，采购人将不予受理：</w:t>
      </w:r>
    </w:p>
    <w:p w14:paraId="0AE81963">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（1）非在法定时间内提交的；</w:t>
      </w:r>
    </w:p>
    <w:p w14:paraId="351DFC5B">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（2）非书面形式（含传真、电子邮件等）提出的；</w:t>
      </w:r>
    </w:p>
    <w:p w14:paraId="40D12869">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（3）非参加本次招标活动的供应商；</w:t>
      </w:r>
    </w:p>
    <w:p w14:paraId="6938D624">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（4）质疑函的内容不符合本章8.3条规定的；</w:t>
      </w:r>
    </w:p>
    <w:p w14:paraId="0AC9A3B9">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（5）法律、行政法规规定的其他情形。</w:t>
      </w:r>
    </w:p>
    <w:p w14:paraId="510B832E">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7.6供应商对采购人的答复不满意或者采购人未在规定的时间内作出答复的，可以依法向政府采购监管部门提出投诉。</w:t>
      </w:r>
    </w:p>
    <w:p w14:paraId="1F2E92DA">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7.7供应商提出质疑必须有理、有据，不得恶意质疑或提交虚假质疑。否则，一经查实，采购人有权依据政府采购的有关规定，报请政府采购监管部门对该供应商进行相应的行政处罚。</w:t>
      </w:r>
    </w:p>
    <w:p w14:paraId="324C3650">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7.8供应商和其他利害关系人认为本次招标活动违反法律、法规和规章规定的，有权向财政部门投诉。</w:t>
      </w:r>
    </w:p>
    <w:p w14:paraId="57F646F3">
      <w:pPr>
        <w:pStyle w:val="235"/>
        <w:spacing w:before="0" w:after="0" w:line="360" w:lineRule="auto"/>
        <w:rPr>
          <w:rFonts w:hint="eastAsia" w:ascii="宋体" w:hAnsi="宋体" w:eastAsia="宋体" w:cs="宋体"/>
          <w:b/>
          <w:sz w:val="24"/>
          <w:szCs w:val="24"/>
          <w:highlight w:val="none"/>
        </w:rPr>
      </w:pPr>
      <w:bookmarkStart w:id="303" w:name="_Toc343525548"/>
      <w:bookmarkStart w:id="304" w:name="_Toc468783626"/>
      <w:bookmarkStart w:id="305" w:name="_Toc426469908"/>
      <w:bookmarkStart w:id="306" w:name="_Toc383438634"/>
      <w:r>
        <w:rPr>
          <w:rFonts w:hint="eastAsia" w:ascii="宋体" w:hAnsi="宋体" w:eastAsia="宋体" w:cs="宋体"/>
          <w:b/>
          <w:sz w:val="24"/>
          <w:szCs w:val="24"/>
          <w:highlight w:val="none"/>
        </w:rPr>
        <w:t>8. 合同</w:t>
      </w:r>
      <w:bookmarkEnd w:id="303"/>
      <w:bookmarkEnd w:id="304"/>
      <w:bookmarkEnd w:id="305"/>
      <w:bookmarkEnd w:id="306"/>
    </w:p>
    <w:p w14:paraId="016EF8E2">
      <w:pPr>
        <w:pStyle w:val="237"/>
        <w:spacing w:before="0" w:after="0" w:line="360" w:lineRule="auto"/>
        <w:jc w:val="left"/>
        <w:rPr>
          <w:rFonts w:hint="eastAsia" w:ascii="宋体" w:hAnsi="宋体" w:cs="宋体"/>
          <w:b/>
          <w:sz w:val="24"/>
          <w:szCs w:val="24"/>
          <w:highlight w:val="none"/>
        </w:rPr>
      </w:pPr>
      <w:bookmarkStart w:id="307" w:name="_Toc323716652"/>
      <w:bookmarkStart w:id="308" w:name="_Toc343525549"/>
      <w:bookmarkStart w:id="309" w:name="_Toc383438635"/>
      <w:bookmarkStart w:id="310" w:name="_Toc468783627"/>
      <w:bookmarkStart w:id="311" w:name="_Toc426469909"/>
      <w:r>
        <w:rPr>
          <w:rFonts w:hint="eastAsia" w:ascii="宋体" w:hAnsi="宋体" w:cs="宋体"/>
          <w:b/>
          <w:sz w:val="24"/>
          <w:szCs w:val="24"/>
          <w:highlight w:val="none"/>
        </w:rPr>
        <w:t>8.1 履约</w:t>
      </w:r>
      <w:bookmarkEnd w:id="307"/>
      <w:bookmarkEnd w:id="308"/>
      <w:r>
        <w:rPr>
          <w:rFonts w:hint="eastAsia" w:ascii="宋体" w:hAnsi="宋体" w:cs="宋体"/>
          <w:b/>
          <w:sz w:val="24"/>
          <w:szCs w:val="24"/>
          <w:highlight w:val="none"/>
        </w:rPr>
        <w:t>保证金</w:t>
      </w:r>
      <w:bookmarkEnd w:id="309"/>
      <w:bookmarkEnd w:id="310"/>
      <w:bookmarkEnd w:id="311"/>
    </w:p>
    <w:p w14:paraId="1420733F">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8.1.1成交供应商应按供应商须知前附表规定的履约保证金的形式、金额和提交时间向采购人提交履约保证金。</w:t>
      </w:r>
    </w:p>
    <w:p w14:paraId="5108E5C3">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8.1.2成交供应商不能按本竞争性磋商文件要求提交履约保证金的，视为放弃成交，给采购人造成的损失的，成交供应商还应当予以赔偿。</w:t>
      </w:r>
    </w:p>
    <w:p w14:paraId="754983DA">
      <w:pPr>
        <w:pStyle w:val="237"/>
        <w:spacing w:before="0" w:after="0" w:line="360" w:lineRule="auto"/>
        <w:jc w:val="left"/>
        <w:rPr>
          <w:rFonts w:hint="eastAsia" w:ascii="宋体" w:hAnsi="宋体" w:cs="宋体"/>
          <w:b/>
          <w:sz w:val="24"/>
          <w:szCs w:val="24"/>
          <w:highlight w:val="none"/>
        </w:rPr>
      </w:pPr>
      <w:bookmarkStart w:id="312" w:name="_Toc468783628"/>
      <w:bookmarkStart w:id="313" w:name="_Toc426469910"/>
      <w:bookmarkStart w:id="314" w:name="_Toc383438637"/>
      <w:bookmarkStart w:id="315" w:name="_Toc343525551"/>
      <w:r>
        <w:rPr>
          <w:rFonts w:hint="eastAsia" w:ascii="宋体" w:hAnsi="宋体" w:cs="宋体"/>
          <w:b/>
          <w:sz w:val="24"/>
          <w:szCs w:val="24"/>
          <w:highlight w:val="none"/>
        </w:rPr>
        <w:t>8.2签订合同</w:t>
      </w:r>
      <w:bookmarkEnd w:id="312"/>
      <w:bookmarkEnd w:id="313"/>
      <w:bookmarkEnd w:id="314"/>
      <w:bookmarkEnd w:id="315"/>
    </w:p>
    <w:p w14:paraId="534D500B">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8.2.1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p>
    <w:p w14:paraId="1358CC63">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8.2.2发出成交通知书后，采购人无正当理由拒签合同的，给成交供应商造成损失的，还应当赔偿损失。</w:t>
      </w:r>
    </w:p>
    <w:p w14:paraId="4D702F6D">
      <w:pPr>
        <w:pStyle w:val="235"/>
        <w:spacing w:before="0" w:after="0" w:line="360" w:lineRule="auto"/>
        <w:rPr>
          <w:rFonts w:hint="eastAsia" w:ascii="宋体" w:hAnsi="宋体" w:eastAsia="宋体" w:cs="宋体"/>
          <w:b/>
          <w:sz w:val="24"/>
          <w:szCs w:val="24"/>
          <w:highlight w:val="none"/>
        </w:rPr>
      </w:pPr>
      <w:bookmarkStart w:id="316" w:name="_Toc426469911"/>
      <w:bookmarkStart w:id="317" w:name="_Toc468783629"/>
      <w:r>
        <w:rPr>
          <w:rFonts w:hint="eastAsia" w:ascii="宋体" w:hAnsi="宋体" w:eastAsia="宋体" w:cs="宋体"/>
          <w:b/>
          <w:sz w:val="24"/>
          <w:szCs w:val="24"/>
          <w:highlight w:val="none"/>
        </w:rPr>
        <w:t>9.废标</w:t>
      </w:r>
      <w:bookmarkEnd w:id="316"/>
      <w:bookmarkEnd w:id="317"/>
    </w:p>
    <w:p w14:paraId="38A55A2F">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出现情形之一的，采购人将予以废标，并将废标理由通知所有供应商：</w:t>
      </w:r>
    </w:p>
    <w:p w14:paraId="6DE122EA">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（1）除财库【2014】214号文第二十一条第三款规定的情形外，符合专业条件的供应商或者对竞争性磋商文件作实质响应的供应商不足三家的；</w:t>
      </w:r>
    </w:p>
    <w:p w14:paraId="72469DE2">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（2）出现影响采购公正的违法、违规行为的；</w:t>
      </w:r>
    </w:p>
    <w:p w14:paraId="1FE66489">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（3）供应商的报价均超过了最高限价，采购人不能支付的；</w:t>
      </w:r>
    </w:p>
    <w:p w14:paraId="1DD118DD">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（4）因重大变故，采购任务取消的。</w:t>
      </w:r>
    </w:p>
    <w:p w14:paraId="25512524">
      <w:pPr>
        <w:pStyle w:val="235"/>
        <w:spacing w:before="0" w:after="0" w:line="360" w:lineRule="auto"/>
        <w:rPr>
          <w:rFonts w:hint="eastAsia" w:ascii="宋体" w:hAnsi="宋体" w:eastAsia="宋体" w:cs="宋体"/>
          <w:b/>
          <w:sz w:val="24"/>
          <w:szCs w:val="24"/>
          <w:highlight w:val="none"/>
        </w:rPr>
      </w:pPr>
      <w:bookmarkStart w:id="318" w:name="_Toc343525553"/>
      <w:bookmarkStart w:id="319" w:name="_Toc383438639"/>
      <w:bookmarkStart w:id="320" w:name="_Toc426469912"/>
      <w:bookmarkStart w:id="321" w:name="_Toc468783630"/>
      <w:r>
        <w:rPr>
          <w:rFonts w:hint="eastAsia" w:ascii="宋体" w:hAnsi="宋体" w:eastAsia="宋体" w:cs="宋体"/>
          <w:b/>
          <w:sz w:val="24"/>
          <w:szCs w:val="24"/>
          <w:highlight w:val="none"/>
        </w:rPr>
        <w:t>10. 纪律和监督</w:t>
      </w:r>
      <w:bookmarkEnd w:id="318"/>
      <w:bookmarkEnd w:id="319"/>
      <w:bookmarkEnd w:id="320"/>
      <w:bookmarkEnd w:id="321"/>
    </w:p>
    <w:p w14:paraId="799F7F18">
      <w:pPr>
        <w:pStyle w:val="237"/>
        <w:spacing w:before="0" w:after="0" w:line="360" w:lineRule="auto"/>
        <w:jc w:val="left"/>
        <w:rPr>
          <w:rFonts w:hint="eastAsia" w:ascii="宋体" w:hAnsi="宋体" w:cs="宋体"/>
          <w:b/>
          <w:sz w:val="24"/>
          <w:szCs w:val="24"/>
          <w:highlight w:val="none"/>
        </w:rPr>
      </w:pPr>
      <w:bookmarkStart w:id="322" w:name="_Toc383438640"/>
      <w:bookmarkStart w:id="323" w:name="_Toc152045575"/>
      <w:bookmarkStart w:id="324" w:name="_Toc179632593"/>
      <w:bookmarkStart w:id="325" w:name="_Toc426469913"/>
      <w:bookmarkStart w:id="326" w:name="_Toc468783631"/>
      <w:bookmarkStart w:id="327" w:name="_Toc246996219"/>
      <w:bookmarkStart w:id="328" w:name="_Toc343525554"/>
      <w:bookmarkStart w:id="329" w:name="_Toc246996962"/>
      <w:bookmarkStart w:id="330" w:name="_Toc144974543"/>
      <w:bookmarkStart w:id="331" w:name="_Toc296590983"/>
      <w:bookmarkStart w:id="332" w:name="_Toc247085733"/>
      <w:bookmarkStart w:id="333" w:name="_Toc152042351"/>
      <w:r>
        <w:rPr>
          <w:rFonts w:hint="eastAsia" w:ascii="宋体" w:hAnsi="宋体" w:cs="宋体"/>
          <w:b/>
          <w:sz w:val="24"/>
          <w:szCs w:val="24"/>
          <w:highlight w:val="none"/>
        </w:rPr>
        <w:t>10.1 对采购人的纪律要求</w:t>
      </w:r>
      <w:bookmarkEnd w:id="322"/>
      <w:bookmarkEnd w:id="323"/>
      <w:bookmarkEnd w:id="324"/>
      <w:bookmarkEnd w:id="325"/>
      <w:bookmarkEnd w:id="326"/>
      <w:bookmarkEnd w:id="327"/>
      <w:bookmarkEnd w:id="328"/>
      <w:bookmarkEnd w:id="329"/>
      <w:bookmarkEnd w:id="330"/>
      <w:bookmarkEnd w:id="331"/>
      <w:bookmarkEnd w:id="332"/>
      <w:bookmarkEnd w:id="333"/>
    </w:p>
    <w:p w14:paraId="51EDEC64">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采购人不得泄漏招标投标活动中应当保密的情况和资料，不得与供应商串通损害国家利益、社会公共利益或者他人合法权益。</w:t>
      </w:r>
    </w:p>
    <w:p w14:paraId="5EE74A90">
      <w:pPr>
        <w:pStyle w:val="237"/>
        <w:spacing w:before="0" w:after="0" w:line="360" w:lineRule="auto"/>
        <w:jc w:val="left"/>
        <w:rPr>
          <w:rFonts w:hint="eastAsia" w:ascii="宋体" w:hAnsi="宋体" w:cs="宋体"/>
          <w:b/>
          <w:sz w:val="24"/>
          <w:szCs w:val="24"/>
          <w:highlight w:val="none"/>
        </w:rPr>
      </w:pPr>
      <w:bookmarkStart w:id="334" w:name="_Toc246996963"/>
      <w:bookmarkStart w:id="335" w:name="_Toc468783632"/>
      <w:bookmarkStart w:id="336" w:name="_Toc179632594"/>
      <w:bookmarkStart w:id="337" w:name="_Toc247085734"/>
      <w:bookmarkStart w:id="338" w:name="_Toc383438641"/>
      <w:bookmarkStart w:id="339" w:name="_Toc343525555"/>
      <w:bookmarkStart w:id="340" w:name="_Toc426469914"/>
      <w:bookmarkStart w:id="341" w:name="_Toc144974544"/>
      <w:bookmarkStart w:id="342" w:name="_Toc152045576"/>
      <w:bookmarkStart w:id="343" w:name="_Toc152042352"/>
      <w:bookmarkStart w:id="344" w:name="_Toc246996220"/>
      <w:r>
        <w:rPr>
          <w:rFonts w:hint="eastAsia" w:ascii="宋体" w:hAnsi="宋体" w:cs="宋体"/>
          <w:b/>
          <w:sz w:val="24"/>
          <w:szCs w:val="24"/>
          <w:highlight w:val="none"/>
        </w:rPr>
        <w:t>10.2 对供应商的纪律要求</w:t>
      </w:r>
      <w:bookmarkEnd w:id="334"/>
      <w:bookmarkEnd w:id="335"/>
      <w:bookmarkEnd w:id="336"/>
      <w:bookmarkEnd w:id="337"/>
      <w:bookmarkEnd w:id="338"/>
      <w:bookmarkEnd w:id="339"/>
      <w:bookmarkEnd w:id="340"/>
      <w:bookmarkEnd w:id="341"/>
      <w:bookmarkEnd w:id="342"/>
      <w:bookmarkEnd w:id="343"/>
      <w:bookmarkEnd w:id="344"/>
    </w:p>
    <w:p w14:paraId="745AB174">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供应商不得相互串通投标或者与采购人串通投标，不得向采购人或者磋商小组成员行贿谋取成交，不得以他人名义投标或者以其他方式弄虚作假骗取成交；供应商不得以任何方式干扰、影响开、评标工作。</w:t>
      </w:r>
    </w:p>
    <w:p w14:paraId="44EED3B6">
      <w:pPr>
        <w:pStyle w:val="237"/>
        <w:spacing w:before="0" w:after="0" w:line="360" w:lineRule="auto"/>
        <w:jc w:val="left"/>
        <w:rPr>
          <w:rFonts w:hint="eastAsia" w:ascii="宋体" w:hAnsi="宋体" w:cs="宋体"/>
          <w:b/>
          <w:sz w:val="24"/>
          <w:szCs w:val="24"/>
          <w:highlight w:val="none"/>
        </w:rPr>
      </w:pPr>
      <w:bookmarkStart w:id="345" w:name="_Toc468783633"/>
      <w:bookmarkStart w:id="346" w:name="_Toc152042353"/>
      <w:bookmarkStart w:id="347" w:name="_Toc383438642"/>
      <w:bookmarkStart w:id="348" w:name="_Toc152045577"/>
      <w:bookmarkStart w:id="349" w:name="_Toc144974545"/>
      <w:bookmarkStart w:id="350" w:name="_Toc426469915"/>
      <w:bookmarkStart w:id="351" w:name="_Toc179632595"/>
      <w:bookmarkStart w:id="352" w:name="_Toc246996221"/>
      <w:bookmarkStart w:id="353" w:name="_Toc246996964"/>
      <w:bookmarkStart w:id="354" w:name="_Toc247085735"/>
      <w:bookmarkStart w:id="355" w:name="_Toc343525556"/>
      <w:r>
        <w:rPr>
          <w:rFonts w:hint="eastAsia" w:ascii="宋体" w:hAnsi="宋体" w:cs="宋体"/>
          <w:b/>
          <w:sz w:val="24"/>
          <w:szCs w:val="24"/>
          <w:highlight w:val="none"/>
        </w:rPr>
        <w:t>10.3 对磋商小组成员的纪律要求</w:t>
      </w:r>
      <w:bookmarkEnd w:id="345"/>
      <w:bookmarkEnd w:id="346"/>
      <w:bookmarkEnd w:id="347"/>
      <w:bookmarkEnd w:id="348"/>
      <w:bookmarkEnd w:id="349"/>
      <w:bookmarkEnd w:id="350"/>
      <w:bookmarkEnd w:id="351"/>
      <w:bookmarkEnd w:id="352"/>
      <w:bookmarkEnd w:id="353"/>
      <w:bookmarkEnd w:id="354"/>
      <w:bookmarkEnd w:id="355"/>
    </w:p>
    <w:p w14:paraId="40BFE946">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p>
    <w:p w14:paraId="5F51B778">
      <w:pPr>
        <w:pStyle w:val="237"/>
        <w:spacing w:before="0" w:after="0" w:line="360" w:lineRule="auto"/>
        <w:jc w:val="left"/>
        <w:rPr>
          <w:rFonts w:hint="eastAsia" w:ascii="宋体" w:hAnsi="宋体" w:cs="宋体"/>
          <w:b/>
          <w:sz w:val="24"/>
          <w:szCs w:val="24"/>
          <w:highlight w:val="none"/>
        </w:rPr>
      </w:pPr>
      <w:bookmarkStart w:id="356" w:name="_Toc152042354"/>
      <w:bookmarkStart w:id="357" w:name="_Toc246996222"/>
      <w:bookmarkStart w:id="358" w:name="_Toc247085736"/>
      <w:bookmarkStart w:id="359" w:name="_Toc343525557"/>
      <w:bookmarkStart w:id="360" w:name="_Toc179632596"/>
      <w:bookmarkStart w:id="361" w:name="_Toc468783634"/>
      <w:bookmarkStart w:id="362" w:name="_Toc426469916"/>
      <w:bookmarkStart w:id="363" w:name="_Toc152045578"/>
      <w:bookmarkStart w:id="364" w:name="_Toc246996965"/>
      <w:bookmarkStart w:id="365" w:name="_Toc383438643"/>
      <w:bookmarkStart w:id="366" w:name="_Toc144974546"/>
      <w:r>
        <w:rPr>
          <w:rFonts w:hint="eastAsia" w:ascii="宋体" w:hAnsi="宋体" w:cs="宋体"/>
          <w:b/>
          <w:sz w:val="24"/>
          <w:szCs w:val="24"/>
          <w:highlight w:val="none"/>
        </w:rPr>
        <w:t>10.4 对与评标活动有关的工作人员的纪律要求</w:t>
      </w:r>
      <w:bookmarkEnd w:id="356"/>
      <w:bookmarkEnd w:id="357"/>
      <w:bookmarkEnd w:id="358"/>
      <w:bookmarkEnd w:id="359"/>
      <w:bookmarkEnd w:id="360"/>
      <w:bookmarkEnd w:id="361"/>
      <w:bookmarkEnd w:id="362"/>
      <w:bookmarkEnd w:id="363"/>
      <w:bookmarkEnd w:id="364"/>
      <w:bookmarkEnd w:id="365"/>
    </w:p>
    <w:p w14:paraId="0E6CCA70">
      <w:pPr>
        <w:spacing w:line="360" w:lineRule="auto"/>
        <w:ind w:firstLine="480"/>
        <w:jc w:val="left"/>
        <w:rPr>
          <w:rFonts w:hint="eastAsia" w:ascii="宋体" w:hAnsi="宋体" w:cs="宋体"/>
          <w:sz w:val="24"/>
          <w:szCs w:val="24"/>
          <w:highlight w:val="none"/>
        </w:rPr>
      </w:pPr>
      <w:bookmarkStart w:id="367" w:name="_Toc152042355"/>
      <w:r>
        <w:rPr>
          <w:rFonts w:hint="eastAsia" w:ascii="宋体" w:hAnsi="宋体" w:cs="宋体"/>
          <w:sz w:val="24"/>
          <w:szCs w:val="24"/>
          <w:highlight w:val="none"/>
        </w:rPr>
        <w:t>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366"/>
      <w:bookmarkEnd w:id="367"/>
    </w:p>
    <w:p w14:paraId="6B17A60F">
      <w:pPr>
        <w:pStyle w:val="235"/>
        <w:spacing w:before="0" w:after="0" w:line="360" w:lineRule="auto"/>
        <w:rPr>
          <w:rFonts w:hint="eastAsia" w:ascii="宋体" w:hAnsi="宋体" w:eastAsia="宋体" w:cs="宋体"/>
          <w:b/>
          <w:sz w:val="24"/>
          <w:szCs w:val="24"/>
          <w:highlight w:val="none"/>
        </w:rPr>
      </w:pPr>
      <w:bookmarkStart w:id="368" w:name="_Toc383438645"/>
      <w:bookmarkStart w:id="369" w:name="_Toc152045580"/>
      <w:bookmarkStart w:id="370" w:name="_Toc179632598"/>
      <w:bookmarkStart w:id="371" w:name="_Toc246996224"/>
      <w:bookmarkStart w:id="372" w:name="_Toc144974547"/>
      <w:bookmarkStart w:id="373" w:name="_Toc468783636"/>
      <w:bookmarkStart w:id="374" w:name="_Toc426469918"/>
      <w:bookmarkStart w:id="375" w:name="_Toc343525559"/>
      <w:bookmarkStart w:id="376" w:name="_Toc152042357"/>
      <w:bookmarkStart w:id="377" w:name="_Toc247085738"/>
      <w:bookmarkStart w:id="378" w:name="_Toc246996967"/>
      <w:r>
        <w:rPr>
          <w:rFonts w:hint="eastAsia" w:ascii="宋体" w:hAnsi="宋体" w:eastAsia="宋体" w:cs="宋体"/>
          <w:b/>
          <w:sz w:val="24"/>
          <w:szCs w:val="24"/>
          <w:highlight w:val="none"/>
        </w:rPr>
        <w:t>11. 需要补充的其他内容</w:t>
      </w:r>
      <w:bookmarkEnd w:id="368"/>
      <w:bookmarkEnd w:id="369"/>
      <w:bookmarkEnd w:id="370"/>
      <w:bookmarkEnd w:id="371"/>
      <w:bookmarkEnd w:id="372"/>
      <w:bookmarkEnd w:id="373"/>
      <w:bookmarkEnd w:id="374"/>
      <w:bookmarkEnd w:id="375"/>
      <w:bookmarkEnd w:id="376"/>
      <w:bookmarkEnd w:id="377"/>
      <w:bookmarkEnd w:id="378"/>
    </w:p>
    <w:p w14:paraId="00097909">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需要补充的其他内容：见供应商须知前附表。</w:t>
      </w:r>
    </w:p>
    <w:p w14:paraId="7D2F6602">
      <w:pPr>
        <w:pStyle w:val="237"/>
        <w:spacing w:before="0" w:after="0" w:line="360" w:lineRule="auto"/>
        <w:jc w:val="left"/>
        <w:rPr>
          <w:rFonts w:hint="eastAsia" w:ascii="宋体" w:hAnsi="宋体" w:cs="宋体"/>
          <w:b/>
          <w:sz w:val="24"/>
          <w:szCs w:val="24"/>
          <w:highlight w:val="none"/>
        </w:rPr>
      </w:pPr>
      <w:bookmarkStart w:id="379" w:name="_Toc468783637"/>
      <w:bookmarkStart w:id="380" w:name="_Toc426469919"/>
      <w:r>
        <w:rPr>
          <w:rFonts w:hint="eastAsia" w:ascii="宋体" w:hAnsi="宋体" w:cs="宋体"/>
          <w:b/>
          <w:sz w:val="24"/>
          <w:szCs w:val="24"/>
          <w:highlight w:val="none"/>
        </w:rPr>
        <w:t>12.竞争性磋商文件的解释</w:t>
      </w:r>
      <w:bookmarkEnd w:id="379"/>
      <w:bookmarkEnd w:id="380"/>
    </w:p>
    <w:p w14:paraId="246975E0">
      <w:pPr>
        <w:spacing w:line="360" w:lineRule="auto"/>
        <w:ind w:firstLine="480"/>
        <w:jc w:val="left"/>
        <w:rPr>
          <w:rFonts w:hint="eastAsia" w:ascii="宋体" w:hAnsi="宋体" w:cs="宋体"/>
          <w:sz w:val="24"/>
          <w:szCs w:val="24"/>
          <w:highlight w:val="none"/>
        </w:rPr>
        <w:sectPr>
          <w:footerReference r:id="rId5" w:type="default"/>
          <w:pgSz w:w="11906" w:h="16838"/>
          <w:pgMar w:top="1440" w:right="1474" w:bottom="1440" w:left="1474" w:header="851" w:footer="992" w:gutter="0"/>
          <w:cols w:space="1701" w:num="1"/>
          <w:docGrid w:linePitch="360" w:charSpace="0"/>
        </w:sectPr>
      </w:pPr>
      <w:r>
        <w:rPr>
          <w:rFonts w:hint="eastAsia" w:ascii="宋体" w:hAnsi="宋体" w:cs="宋体"/>
          <w:sz w:val="24"/>
          <w:szCs w:val="24"/>
          <w:highlight w:val="none"/>
        </w:rPr>
        <w:t>本竞争性磋商文件的解释权属于采购人。</w:t>
      </w:r>
    </w:p>
    <w:p w14:paraId="2B6234EC">
      <w:pPr>
        <w:spacing w:line="500" w:lineRule="exact"/>
        <w:jc w:val="center"/>
        <w:outlineLvl w:val="0"/>
        <w:rPr>
          <w:b/>
          <w:color w:val="000000"/>
          <w:sz w:val="30"/>
          <w:szCs w:val="30"/>
        </w:rPr>
      </w:pPr>
      <w:bookmarkStart w:id="381" w:name="_Toc468783638"/>
      <w:r>
        <w:rPr>
          <w:rFonts w:hint="eastAsia"/>
          <w:b/>
          <w:color w:val="000000"/>
          <w:sz w:val="30"/>
          <w:szCs w:val="30"/>
        </w:rPr>
        <w:t xml:space="preserve">第三章 </w:t>
      </w:r>
      <w:r>
        <w:rPr>
          <w:b/>
          <w:color w:val="000000"/>
          <w:sz w:val="30"/>
          <w:szCs w:val="30"/>
        </w:rPr>
        <w:t xml:space="preserve"> </w:t>
      </w:r>
      <w:r>
        <w:rPr>
          <w:rFonts w:hint="eastAsia"/>
          <w:b/>
          <w:color w:val="000000"/>
          <w:sz w:val="30"/>
          <w:szCs w:val="30"/>
        </w:rPr>
        <w:t>评审办法</w:t>
      </w:r>
      <w:bookmarkEnd w:id="285"/>
      <w:bookmarkEnd w:id="286"/>
      <w:bookmarkEnd w:id="287"/>
      <w:bookmarkEnd w:id="288"/>
      <w:bookmarkEnd w:id="289"/>
      <w:bookmarkEnd w:id="290"/>
      <w:bookmarkEnd w:id="291"/>
      <w:bookmarkEnd w:id="292"/>
      <w:bookmarkEnd w:id="293"/>
      <w:bookmarkEnd w:id="381"/>
    </w:p>
    <w:p w14:paraId="75BA22FD">
      <w:pPr>
        <w:spacing w:line="360" w:lineRule="auto"/>
        <w:rPr>
          <w:rFonts w:ascii="宋体"/>
          <w:b/>
          <w:color w:val="000000"/>
          <w:sz w:val="24"/>
          <w:szCs w:val="24"/>
        </w:rPr>
      </w:pPr>
      <w:bookmarkStart w:id="382" w:name="_Toc360695596"/>
      <w:bookmarkStart w:id="383" w:name="_Toc468783640"/>
      <w:bookmarkStart w:id="384" w:name="_Toc343525564"/>
      <w:bookmarkStart w:id="385" w:name="_Toc246996975"/>
      <w:bookmarkStart w:id="386" w:name="_Toc144974556"/>
      <w:bookmarkStart w:id="387" w:name="_Toc152042366"/>
      <w:bookmarkStart w:id="388" w:name="_Toc152045589"/>
      <w:bookmarkStart w:id="389" w:name="_Toc246996232"/>
      <w:bookmarkStart w:id="390" w:name="_Toc179632607"/>
      <w:bookmarkStart w:id="391" w:name="_Toc426469921"/>
      <w:bookmarkStart w:id="392" w:name="_Toc247085747"/>
      <w:r>
        <w:rPr>
          <w:rFonts w:hint="eastAsia" w:ascii="宋体" w:hAnsi="宋体"/>
          <w:b/>
          <w:color w:val="000000"/>
          <w:sz w:val="24"/>
          <w:szCs w:val="24"/>
        </w:rPr>
        <w:t>一、评审准备</w:t>
      </w:r>
      <w:bookmarkEnd w:id="382"/>
    </w:p>
    <w:p w14:paraId="7C036F6D">
      <w:pPr>
        <w:spacing w:line="360" w:lineRule="auto"/>
        <w:rPr>
          <w:rFonts w:ascii="宋体"/>
          <w:color w:val="000000"/>
          <w:sz w:val="24"/>
          <w:szCs w:val="24"/>
        </w:rPr>
      </w:pPr>
      <w:r>
        <w:rPr>
          <w:rFonts w:ascii="宋体" w:hAnsi="宋体"/>
          <w:color w:val="000000"/>
          <w:sz w:val="24"/>
          <w:szCs w:val="24"/>
        </w:rPr>
        <w:t>1.1</w:t>
      </w:r>
      <w:r>
        <w:rPr>
          <w:rFonts w:hint="eastAsia" w:ascii="宋体" w:hAnsi="宋体"/>
          <w:color w:val="000000"/>
          <w:sz w:val="24"/>
          <w:szCs w:val="24"/>
        </w:rPr>
        <w:t>采购人的准备工作</w:t>
      </w:r>
    </w:p>
    <w:p w14:paraId="2A35C33B">
      <w:pPr>
        <w:spacing w:line="360" w:lineRule="auto"/>
        <w:ind w:firstLine="480"/>
        <w:rPr>
          <w:rFonts w:ascii="宋体"/>
          <w:color w:val="000000"/>
          <w:sz w:val="24"/>
          <w:szCs w:val="24"/>
        </w:rPr>
      </w:pPr>
      <w:r>
        <w:rPr>
          <w:rFonts w:hint="eastAsia" w:ascii="宋体" w:hAnsi="宋体"/>
          <w:color w:val="000000"/>
          <w:sz w:val="24"/>
          <w:szCs w:val="24"/>
        </w:rPr>
        <w:t>（1）采购人向磋商小组提供评标所需的信息和数据，包括采购文件等；</w:t>
      </w:r>
    </w:p>
    <w:p w14:paraId="23A215DA">
      <w:pPr>
        <w:spacing w:line="360" w:lineRule="auto"/>
        <w:ind w:firstLine="480"/>
        <w:rPr>
          <w:rFonts w:ascii="宋体"/>
          <w:color w:val="000000"/>
          <w:sz w:val="24"/>
          <w:szCs w:val="24"/>
        </w:rPr>
      </w:pPr>
      <w:r>
        <w:rPr>
          <w:rFonts w:hint="eastAsia" w:ascii="宋体" w:hAnsi="宋体"/>
          <w:color w:val="000000"/>
          <w:sz w:val="24"/>
          <w:szCs w:val="24"/>
        </w:rPr>
        <w:t>（2）有关的法律、法规、规章、国家标准以及磋商小组认为必要的其他信息和数据。</w:t>
      </w:r>
    </w:p>
    <w:p w14:paraId="6DDC3AF0">
      <w:pPr>
        <w:spacing w:line="360" w:lineRule="auto"/>
        <w:rPr>
          <w:rFonts w:ascii="宋体"/>
          <w:color w:val="000000"/>
          <w:sz w:val="24"/>
          <w:szCs w:val="24"/>
        </w:rPr>
      </w:pPr>
      <w:r>
        <w:rPr>
          <w:rFonts w:ascii="宋体" w:hAnsi="宋体"/>
          <w:color w:val="000000"/>
          <w:sz w:val="24"/>
          <w:szCs w:val="24"/>
        </w:rPr>
        <w:t>1.2</w:t>
      </w:r>
      <w:r>
        <w:rPr>
          <w:rFonts w:hint="eastAsia" w:ascii="宋体" w:hAnsi="宋体"/>
          <w:color w:val="000000"/>
          <w:sz w:val="24"/>
          <w:szCs w:val="24"/>
        </w:rPr>
        <w:t>磋商小组的准备工作</w:t>
      </w:r>
    </w:p>
    <w:p w14:paraId="3E9A08D3">
      <w:pPr>
        <w:spacing w:line="360" w:lineRule="auto"/>
        <w:ind w:firstLine="480"/>
        <w:rPr>
          <w:rFonts w:ascii="宋体"/>
          <w:b/>
          <w:color w:val="000000"/>
          <w:sz w:val="24"/>
          <w:szCs w:val="24"/>
        </w:rPr>
      </w:pPr>
      <w:r>
        <w:rPr>
          <w:rFonts w:hint="eastAsia" w:ascii="宋体" w:hAnsi="宋体"/>
          <w:color w:val="000000"/>
          <w:sz w:val="24"/>
          <w:szCs w:val="24"/>
        </w:rPr>
        <w:t>（1）磋商小组成员到达评标现场时，须填写评标专家回避确认表，以确认参加本次评标工作无需要回避的情况。</w:t>
      </w:r>
    </w:p>
    <w:p w14:paraId="56321041">
      <w:pPr>
        <w:spacing w:line="360" w:lineRule="auto"/>
        <w:ind w:firstLine="480"/>
        <w:rPr>
          <w:rFonts w:ascii="宋体"/>
          <w:color w:val="000000"/>
          <w:sz w:val="24"/>
          <w:szCs w:val="24"/>
        </w:rPr>
      </w:pPr>
      <w:r>
        <w:rPr>
          <w:rFonts w:hint="eastAsia" w:ascii="宋体" w:hAnsi="宋体"/>
          <w:color w:val="000000"/>
          <w:sz w:val="24"/>
          <w:szCs w:val="24"/>
        </w:rPr>
        <w:t>（2）推荐磋商小组主任。磋商小组主任由磋商小组推选。磋商小组主任负责评标活动的组织领导工作，具有与磋商小组其他成员同等的表决权。</w:t>
      </w:r>
    </w:p>
    <w:p w14:paraId="4E8BF790">
      <w:pPr>
        <w:spacing w:line="360" w:lineRule="auto"/>
        <w:ind w:firstLine="480"/>
        <w:rPr>
          <w:rFonts w:ascii="宋体"/>
          <w:color w:val="000000"/>
          <w:sz w:val="24"/>
          <w:szCs w:val="24"/>
        </w:rPr>
      </w:pPr>
      <w:r>
        <w:rPr>
          <w:rFonts w:hint="eastAsia" w:ascii="宋体" w:hAnsi="宋体"/>
          <w:color w:val="000000"/>
          <w:sz w:val="24"/>
          <w:szCs w:val="24"/>
        </w:rPr>
        <w:t>（3）磋商小组主任组织磋商小组成员认真研究采购文件，了解和熟悉招标目的、招标范围、主要合同条件、服务标准和要求、质量标准和合同履行期限要求等，掌握评标标准和方法，熟悉相关评标表格的使用，如果表格不能满足评标所需时，磋商小组应补充编制评标所需的表格。</w:t>
      </w:r>
      <w:bookmarkStart w:id="393" w:name="_Toc360695597"/>
    </w:p>
    <w:p w14:paraId="2E78CEB1">
      <w:pPr>
        <w:spacing w:line="360" w:lineRule="auto"/>
        <w:rPr>
          <w:rFonts w:ascii="宋体"/>
          <w:b/>
          <w:color w:val="000000"/>
          <w:sz w:val="24"/>
          <w:szCs w:val="24"/>
        </w:rPr>
      </w:pPr>
      <w:r>
        <w:rPr>
          <w:rFonts w:hint="eastAsia" w:ascii="宋体" w:hAnsi="宋体"/>
          <w:b/>
          <w:color w:val="000000"/>
          <w:sz w:val="24"/>
          <w:szCs w:val="24"/>
        </w:rPr>
        <w:t>二、</w:t>
      </w:r>
      <w:bookmarkEnd w:id="393"/>
      <w:r>
        <w:rPr>
          <w:rFonts w:hint="eastAsia" w:ascii="宋体" w:hAnsi="宋体"/>
          <w:b/>
          <w:color w:val="000000"/>
          <w:sz w:val="24"/>
          <w:szCs w:val="24"/>
        </w:rPr>
        <w:t>初步审查</w:t>
      </w:r>
    </w:p>
    <w:p w14:paraId="62E5D2FF">
      <w:pPr>
        <w:spacing w:line="360" w:lineRule="auto"/>
        <w:rPr>
          <w:rFonts w:ascii="宋体"/>
          <w:color w:val="000000"/>
          <w:sz w:val="24"/>
          <w:szCs w:val="24"/>
        </w:rPr>
      </w:pPr>
      <w:r>
        <w:rPr>
          <w:rFonts w:ascii="宋体" w:hAnsi="宋体"/>
          <w:color w:val="000000"/>
          <w:sz w:val="24"/>
          <w:szCs w:val="24"/>
        </w:rPr>
        <w:t>2.1</w:t>
      </w:r>
      <w:r>
        <w:rPr>
          <w:rFonts w:hint="eastAsia" w:ascii="宋体" w:hAnsi="宋体"/>
          <w:color w:val="000000"/>
          <w:sz w:val="24"/>
          <w:szCs w:val="24"/>
        </w:rPr>
        <w:t>资格性审查</w:t>
      </w:r>
    </w:p>
    <w:tbl>
      <w:tblPr>
        <w:tblStyle w:val="28"/>
        <w:tblW w:w="90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7"/>
        <w:gridCol w:w="717"/>
        <w:gridCol w:w="3014"/>
        <w:gridCol w:w="4744"/>
      </w:tblGrid>
      <w:tr w14:paraId="7CEDF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84" w:type="dxa"/>
            <w:gridSpan w:val="2"/>
            <w:noWrap w:val="0"/>
            <w:vAlign w:val="top"/>
          </w:tcPr>
          <w:p w14:paraId="4F4032F5">
            <w:pPr>
              <w:jc w:val="center"/>
              <w:rPr>
                <w:color w:val="000000"/>
                <w:sz w:val="24"/>
                <w:szCs w:val="24"/>
              </w:rPr>
            </w:pPr>
            <w:bookmarkStart w:id="394" w:name="_Hlk129156331"/>
            <w:r>
              <w:rPr>
                <w:color w:val="000000"/>
                <w:sz w:val="24"/>
                <w:szCs w:val="24"/>
              </w:rPr>
              <w:t>条款号</w:t>
            </w:r>
          </w:p>
        </w:tc>
        <w:tc>
          <w:tcPr>
            <w:tcW w:w="3014" w:type="dxa"/>
            <w:noWrap w:val="0"/>
            <w:vAlign w:val="top"/>
          </w:tcPr>
          <w:p w14:paraId="49FB8EEE">
            <w:pPr>
              <w:jc w:val="center"/>
              <w:rPr>
                <w:color w:val="000000"/>
                <w:sz w:val="24"/>
                <w:szCs w:val="24"/>
              </w:rPr>
            </w:pPr>
            <w:r>
              <w:rPr>
                <w:color w:val="000000"/>
                <w:sz w:val="24"/>
                <w:szCs w:val="24"/>
              </w:rPr>
              <w:t>评审因素</w:t>
            </w:r>
          </w:p>
        </w:tc>
        <w:tc>
          <w:tcPr>
            <w:tcW w:w="4744" w:type="dxa"/>
            <w:noWrap w:val="0"/>
            <w:vAlign w:val="top"/>
          </w:tcPr>
          <w:p w14:paraId="693010A7">
            <w:pPr>
              <w:jc w:val="center"/>
              <w:rPr>
                <w:color w:val="000000"/>
                <w:sz w:val="24"/>
                <w:szCs w:val="24"/>
              </w:rPr>
            </w:pPr>
            <w:r>
              <w:rPr>
                <w:color w:val="000000"/>
                <w:sz w:val="24"/>
                <w:szCs w:val="24"/>
              </w:rPr>
              <w:t>评审标准</w:t>
            </w:r>
          </w:p>
        </w:tc>
      </w:tr>
      <w:tr w14:paraId="594E3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jc w:val="center"/>
        </w:trPr>
        <w:tc>
          <w:tcPr>
            <w:tcW w:w="9042" w:type="dxa"/>
            <w:gridSpan w:val="4"/>
            <w:noWrap w:val="0"/>
            <w:vAlign w:val="top"/>
          </w:tcPr>
          <w:p w14:paraId="47C1CDC1">
            <w:pPr>
              <w:jc w:val="center"/>
              <w:rPr>
                <w:color w:val="000000"/>
                <w:sz w:val="24"/>
                <w:szCs w:val="24"/>
              </w:rPr>
            </w:pPr>
            <w:r>
              <w:rPr>
                <w:rFonts w:hint="eastAsia"/>
                <w:color w:val="000000"/>
                <w:sz w:val="24"/>
                <w:szCs w:val="24"/>
                <w:lang w:eastAsia="zh-CN"/>
              </w:rPr>
              <w:t>响应文件</w:t>
            </w:r>
            <w:r>
              <w:rPr>
                <w:color w:val="000000"/>
                <w:sz w:val="24"/>
                <w:szCs w:val="24"/>
              </w:rPr>
              <w:t>初审</w:t>
            </w:r>
          </w:p>
        </w:tc>
      </w:tr>
      <w:tr w14:paraId="52BAF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jc w:val="center"/>
        </w:trPr>
        <w:tc>
          <w:tcPr>
            <w:tcW w:w="567" w:type="dxa"/>
            <w:vMerge w:val="restart"/>
            <w:noWrap w:val="0"/>
            <w:vAlign w:val="center"/>
          </w:tcPr>
          <w:p w14:paraId="055ABA67">
            <w:pPr>
              <w:jc w:val="center"/>
              <w:rPr>
                <w:color w:val="000000"/>
                <w:sz w:val="24"/>
                <w:szCs w:val="24"/>
              </w:rPr>
            </w:pPr>
            <w:r>
              <w:rPr>
                <w:color w:val="000000"/>
                <w:sz w:val="24"/>
                <w:szCs w:val="24"/>
              </w:rPr>
              <w:t>2.1</w:t>
            </w:r>
          </w:p>
        </w:tc>
        <w:tc>
          <w:tcPr>
            <w:tcW w:w="717" w:type="dxa"/>
            <w:vMerge w:val="restart"/>
            <w:noWrap w:val="0"/>
            <w:vAlign w:val="center"/>
          </w:tcPr>
          <w:p w14:paraId="6F4F10D1">
            <w:pPr>
              <w:jc w:val="center"/>
              <w:rPr>
                <w:color w:val="000000"/>
                <w:sz w:val="24"/>
                <w:szCs w:val="24"/>
              </w:rPr>
            </w:pPr>
            <w:r>
              <w:rPr>
                <w:color w:val="000000"/>
                <w:sz w:val="24"/>
                <w:szCs w:val="24"/>
              </w:rPr>
              <w:t>资格性检查</w:t>
            </w:r>
          </w:p>
        </w:tc>
        <w:tc>
          <w:tcPr>
            <w:tcW w:w="3014" w:type="dxa"/>
            <w:noWrap w:val="0"/>
            <w:vAlign w:val="center"/>
          </w:tcPr>
          <w:p w14:paraId="7A779C16">
            <w:pPr>
              <w:spacing w:line="280" w:lineRule="exact"/>
              <w:rPr>
                <w:color w:val="000000"/>
                <w:sz w:val="24"/>
                <w:szCs w:val="24"/>
              </w:rPr>
            </w:pPr>
            <w:r>
              <w:rPr>
                <w:rFonts w:hint="eastAsia" w:ascii="Times New Roman" w:hAnsi="Times New Roman" w:cs="Times New Roman"/>
                <w:color w:val="000000"/>
                <w:sz w:val="24"/>
                <w:szCs w:val="24"/>
              </w:rPr>
              <w:t>基本资格条件的承诺</w:t>
            </w:r>
          </w:p>
        </w:tc>
        <w:tc>
          <w:tcPr>
            <w:tcW w:w="4744" w:type="dxa"/>
            <w:noWrap w:val="0"/>
            <w:vAlign w:val="center"/>
          </w:tcPr>
          <w:p w14:paraId="4D7ED8EC">
            <w:pPr>
              <w:spacing w:line="280" w:lineRule="exact"/>
              <w:rPr>
                <w:color w:val="000000"/>
                <w:sz w:val="24"/>
                <w:szCs w:val="24"/>
              </w:rPr>
            </w:pPr>
            <w:r>
              <w:rPr>
                <w:rFonts w:hint="eastAsia"/>
                <w:color w:val="000000"/>
                <w:sz w:val="24"/>
                <w:szCs w:val="24"/>
              </w:rPr>
              <w:t>根据基本资格条件的承诺(提供签字盖章完备的《供应商基本资格条件承诺书》)</w:t>
            </w:r>
          </w:p>
        </w:tc>
      </w:tr>
      <w:tr w14:paraId="081CD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7" w:hRule="atLeast"/>
          <w:jc w:val="center"/>
        </w:trPr>
        <w:tc>
          <w:tcPr>
            <w:tcW w:w="567" w:type="dxa"/>
            <w:vMerge w:val="continue"/>
            <w:noWrap w:val="0"/>
            <w:vAlign w:val="center"/>
          </w:tcPr>
          <w:p w14:paraId="6BB858FF">
            <w:pPr>
              <w:jc w:val="center"/>
              <w:rPr>
                <w:color w:val="000000"/>
                <w:sz w:val="24"/>
                <w:szCs w:val="24"/>
              </w:rPr>
            </w:pPr>
          </w:p>
        </w:tc>
        <w:tc>
          <w:tcPr>
            <w:tcW w:w="717" w:type="dxa"/>
            <w:vMerge w:val="continue"/>
            <w:noWrap w:val="0"/>
            <w:vAlign w:val="center"/>
          </w:tcPr>
          <w:p w14:paraId="32AC7E35">
            <w:pPr>
              <w:jc w:val="center"/>
              <w:rPr>
                <w:color w:val="000000"/>
                <w:sz w:val="24"/>
                <w:szCs w:val="24"/>
              </w:rPr>
            </w:pPr>
          </w:p>
        </w:tc>
        <w:tc>
          <w:tcPr>
            <w:tcW w:w="3014" w:type="dxa"/>
            <w:noWrap w:val="0"/>
            <w:vAlign w:val="center"/>
          </w:tcPr>
          <w:p w14:paraId="4AA9B783">
            <w:pPr>
              <w:spacing w:line="280" w:lineRule="exact"/>
              <w:rPr>
                <w:color w:val="000000"/>
                <w:sz w:val="24"/>
                <w:szCs w:val="24"/>
              </w:rPr>
            </w:pPr>
            <w:r>
              <w:rPr>
                <w:rFonts w:hint="eastAsia"/>
                <w:color w:val="000000"/>
                <w:sz w:val="24"/>
                <w:szCs w:val="24"/>
              </w:rPr>
              <w:t>采购人根据本项目特点，要求供应商具备的特定条件</w:t>
            </w:r>
          </w:p>
        </w:tc>
        <w:tc>
          <w:tcPr>
            <w:tcW w:w="4744" w:type="dxa"/>
            <w:noWrap w:val="0"/>
            <w:vAlign w:val="center"/>
          </w:tcPr>
          <w:p w14:paraId="170DE90B">
            <w:pPr>
              <w:spacing w:line="280" w:lineRule="exact"/>
              <w:jc w:val="left"/>
              <w:rPr>
                <w:color w:val="000000"/>
                <w:sz w:val="24"/>
                <w:szCs w:val="24"/>
              </w:rPr>
            </w:pPr>
            <w:r>
              <w:rPr>
                <w:rFonts w:hint="eastAsia"/>
                <w:color w:val="000000"/>
                <w:sz w:val="24"/>
                <w:szCs w:val="24"/>
              </w:rPr>
              <w:t>详见竞争性磋商公告</w:t>
            </w:r>
          </w:p>
        </w:tc>
      </w:tr>
      <w:tr w14:paraId="75DC8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jc w:val="center"/>
        </w:trPr>
        <w:tc>
          <w:tcPr>
            <w:tcW w:w="567" w:type="dxa"/>
            <w:vMerge w:val="continue"/>
            <w:noWrap w:val="0"/>
            <w:vAlign w:val="center"/>
          </w:tcPr>
          <w:p w14:paraId="70AB5F1C">
            <w:pPr>
              <w:jc w:val="center"/>
              <w:rPr>
                <w:color w:val="000000"/>
                <w:sz w:val="24"/>
                <w:szCs w:val="24"/>
              </w:rPr>
            </w:pPr>
          </w:p>
        </w:tc>
        <w:tc>
          <w:tcPr>
            <w:tcW w:w="717" w:type="dxa"/>
            <w:vMerge w:val="continue"/>
            <w:noWrap w:val="0"/>
            <w:vAlign w:val="center"/>
          </w:tcPr>
          <w:p w14:paraId="0DFBB64A">
            <w:pPr>
              <w:jc w:val="center"/>
              <w:rPr>
                <w:color w:val="000000"/>
                <w:sz w:val="24"/>
                <w:szCs w:val="24"/>
              </w:rPr>
            </w:pPr>
          </w:p>
        </w:tc>
        <w:tc>
          <w:tcPr>
            <w:tcW w:w="3014" w:type="dxa"/>
            <w:noWrap w:val="0"/>
            <w:vAlign w:val="center"/>
          </w:tcPr>
          <w:p w14:paraId="2E494C5C">
            <w:pPr>
              <w:jc w:val="left"/>
              <w:rPr>
                <w:rFonts w:hint="eastAsia"/>
                <w:color w:val="000000"/>
                <w:sz w:val="24"/>
                <w:szCs w:val="24"/>
              </w:rPr>
            </w:pPr>
            <w:r>
              <w:rPr>
                <w:rFonts w:hint="eastAsia" w:ascii="宋体" w:hAnsi="宋体"/>
                <w:color w:val="000000"/>
                <w:sz w:val="24"/>
                <w:szCs w:val="24"/>
              </w:rPr>
              <w:t>落实政府采购政策需满足的资格要求</w:t>
            </w:r>
          </w:p>
        </w:tc>
        <w:tc>
          <w:tcPr>
            <w:tcW w:w="4744" w:type="dxa"/>
            <w:noWrap w:val="0"/>
            <w:vAlign w:val="center"/>
          </w:tcPr>
          <w:p w14:paraId="0927FA63">
            <w:pPr>
              <w:jc w:val="left"/>
              <w:rPr>
                <w:rFonts w:hint="eastAsia"/>
                <w:color w:val="000000"/>
                <w:sz w:val="24"/>
                <w:szCs w:val="24"/>
              </w:rPr>
            </w:pPr>
            <w:r>
              <w:rPr>
                <w:rFonts w:hint="eastAsia" w:ascii="宋体" w:hAnsi="宋体"/>
                <w:color w:val="000000"/>
                <w:sz w:val="24"/>
                <w:szCs w:val="24"/>
              </w:rPr>
              <w:t>本项目为专门面向中小企业的项目。（供应商应为中小微企业、监狱企业、残疾人福利性单位，并提供相应证明资料</w:t>
            </w:r>
            <w:r>
              <w:rPr>
                <w:rFonts w:hint="eastAsia" w:ascii="宋体" w:hAnsi="宋体"/>
                <w:color w:val="000000"/>
                <w:sz w:val="24"/>
                <w:szCs w:val="24"/>
                <w:lang w:eastAsia="zh-CN"/>
              </w:rPr>
              <w:t>，</w:t>
            </w:r>
            <w:r>
              <w:rPr>
                <w:rFonts w:hint="eastAsia" w:ascii="宋体" w:hAnsi="宋体"/>
                <w:color w:val="000000"/>
                <w:sz w:val="24"/>
                <w:szCs w:val="24"/>
              </w:rPr>
              <w:t>如未按要求填写和提供有效证明或相关内容表述不清的，视作不满足此资格要求。）</w:t>
            </w:r>
          </w:p>
        </w:tc>
      </w:tr>
      <w:tr w14:paraId="268E7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9" w:hRule="atLeast"/>
          <w:jc w:val="center"/>
        </w:trPr>
        <w:tc>
          <w:tcPr>
            <w:tcW w:w="9042" w:type="dxa"/>
            <w:gridSpan w:val="4"/>
            <w:noWrap w:val="0"/>
            <w:vAlign w:val="center"/>
          </w:tcPr>
          <w:p w14:paraId="0385FB46">
            <w:pPr>
              <w:ind w:firstLine="240"/>
              <w:rPr>
                <w:rFonts w:ascii="宋体" w:hAnsi="宋体"/>
                <w:b/>
                <w:color w:val="000000"/>
                <w:sz w:val="24"/>
                <w:szCs w:val="24"/>
              </w:rPr>
            </w:pPr>
            <w:r>
              <w:rPr>
                <w:rFonts w:hint="eastAsia"/>
                <w:color w:val="000000"/>
                <w:sz w:val="24"/>
                <w:szCs w:val="24"/>
              </w:rPr>
              <w:t>资格性评审由磋商小组负责，响应文件不符合评审标准之一的，评审结论为不合格。</w:t>
            </w:r>
            <w:bookmarkEnd w:id="394"/>
          </w:p>
        </w:tc>
      </w:tr>
    </w:tbl>
    <w:p w14:paraId="66D96F94">
      <w:pPr>
        <w:spacing w:line="360" w:lineRule="auto"/>
        <w:rPr>
          <w:rFonts w:ascii="宋体"/>
          <w:color w:val="000000"/>
          <w:sz w:val="24"/>
          <w:szCs w:val="24"/>
        </w:rPr>
      </w:pPr>
      <w:r>
        <w:rPr>
          <w:rFonts w:ascii="宋体" w:hAnsi="宋体"/>
          <w:color w:val="000000"/>
          <w:sz w:val="24"/>
          <w:szCs w:val="24"/>
        </w:rPr>
        <w:t>2.2</w:t>
      </w:r>
      <w:r>
        <w:rPr>
          <w:rFonts w:hint="eastAsia" w:ascii="宋体" w:hAnsi="宋体"/>
          <w:color w:val="000000"/>
          <w:sz w:val="24"/>
          <w:szCs w:val="24"/>
        </w:rPr>
        <w:t>符合性审查</w:t>
      </w:r>
    </w:p>
    <w:tbl>
      <w:tblPr>
        <w:tblStyle w:val="28"/>
        <w:tblW w:w="90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8"/>
        <w:gridCol w:w="680"/>
        <w:gridCol w:w="2547"/>
        <w:gridCol w:w="5264"/>
      </w:tblGrid>
      <w:tr w14:paraId="29252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1248" w:type="dxa"/>
            <w:gridSpan w:val="2"/>
            <w:noWrap w:val="0"/>
            <w:vAlign w:val="center"/>
          </w:tcPr>
          <w:p w14:paraId="54D0309A">
            <w:pPr>
              <w:jc w:val="center"/>
              <w:rPr>
                <w:color w:val="000000"/>
                <w:sz w:val="24"/>
                <w:szCs w:val="24"/>
              </w:rPr>
            </w:pPr>
            <w:r>
              <w:rPr>
                <w:color w:val="000000"/>
                <w:sz w:val="24"/>
                <w:szCs w:val="24"/>
              </w:rPr>
              <w:t>条款号</w:t>
            </w:r>
          </w:p>
        </w:tc>
        <w:tc>
          <w:tcPr>
            <w:tcW w:w="2547" w:type="dxa"/>
            <w:noWrap w:val="0"/>
            <w:vAlign w:val="center"/>
          </w:tcPr>
          <w:p w14:paraId="3166ADF0">
            <w:pPr>
              <w:jc w:val="center"/>
              <w:rPr>
                <w:color w:val="000000"/>
                <w:sz w:val="24"/>
                <w:szCs w:val="24"/>
              </w:rPr>
            </w:pPr>
            <w:r>
              <w:rPr>
                <w:color w:val="000000"/>
                <w:sz w:val="24"/>
                <w:szCs w:val="24"/>
              </w:rPr>
              <w:t>评审因素</w:t>
            </w:r>
          </w:p>
        </w:tc>
        <w:tc>
          <w:tcPr>
            <w:tcW w:w="5264" w:type="dxa"/>
            <w:noWrap w:val="0"/>
            <w:vAlign w:val="center"/>
          </w:tcPr>
          <w:p w14:paraId="64677331">
            <w:pPr>
              <w:jc w:val="center"/>
              <w:rPr>
                <w:color w:val="000000"/>
                <w:sz w:val="24"/>
                <w:szCs w:val="24"/>
              </w:rPr>
            </w:pPr>
            <w:r>
              <w:rPr>
                <w:color w:val="000000"/>
                <w:sz w:val="24"/>
                <w:szCs w:val="24"/>
              </w:rPr>
              <w:t>评审标准</w:t>
            </w:r>
          </w:p>
        </w:tc>
      </w:tr>
      <w:tr w14:paraId="73BF8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8" w:hRule="atLeast"/>
          <w:jc w:val="center"/>
        </w:trPr>
        <w:tc>
          <w:tcPr>
            <w:tcW w:w="568" w:type="dxa"/>
            <w:vMerge w:val="restart"/>
            <w:noWrap w:val="0"/>
            <w:vAlign w:val="center"/>
          </w:tcPr>
          <w:p w14:paraId="1B046CA7">
            <w:pPr>
              <w:jc w:val="center"/>
              <w:rPr>
                <w:color w:val="000000"/>
                <w:sz w:val="24"/>
                <w:szCs w:val="24"/>
              </w:rPr>
            </w:pPr>
            <w:r>
              <w:rPr>
                <w:color w:val="000000"/>
                <w:sz w:val="24"/>
                <w:szCs w:val="24"/>
              </w:rPr>
              <w:t>2.2</w:t>
            </w:r>
          </w:p>
        </w:tc>
        <w:tc>
          <w:tcPr>
            <w:tcW w:w="680" w:type="dxa"/>
            <w:vMerge w:val="restart"/>
            <w:noWrap w:val="0"/>
            <w:vAlign w:val="center"/>
          </w:tcPr>
          <w:p w14:paraId="593A7A16">
            <w:pPr>
              <w:jc w:val="center"/>
              <w:rPr>
                <w:color w:val="000000"/>
                <w:sz w:val="24"/>
                <w:szCs w:val="24"/>
              </w:rPr>
            </w:pPr>
            <w:r>
              <w:rPr>
                <w:color w:val="000000"/>
                <w:sz w:val="24"/>
                <w:szCs w:val="24"/>
              </w:rPr>
              <w:t>符合性检查</w:t>
            </w:r>
          </w:p>
        </w:tc>
        <w:tc>
          <w:tcPr>
            <w:tcW w:w="2547" w:type="dxa"/>
            <w:noWrap w:val="0"/>
            <w:vAlign w:val="center"/>
          </w:tcPr>
          <w:p w14:paraId="7DFA9FE7">
            <w:pPr>
              <w:spacing w:line="300" w:lineRule="exact"/>
              <w:jc w:val="center"/>
              <w:rPr>
                <w:rFonts w:ascii="Times New Roman" w:hAnsi="Times New Roman" w:eastAsia="宋体" w:cs="Times New Roman"/>
                <w:color w:val="000000"/>
                <w:sz w:val="24"/>
                <w:szCs w:val="24"/>
                <w:lang w:val="en-US" w:eastAsia="zh-CN" w:bidi="ar-SA"/>
              </w:rPr>
            </w:pPr>
            <w:r>
              <w:rPr>
                <w:color w:val="000000"/>
                <w:sz w:val="24"/>
                <w:szCs w:val="24"/>
              </w:rPr>
              <w:t>报价</w:t>
            </w:r>
          </w:p>
        </w:tc>
        <w:tc>
          <w:tcPr>
            <w:tcW w:w="5264" w:type="dxa"/>
            <w:noWrap w:val="0"/>
            <w:vAlign w:val="center"/>
          </w:tcPr>
          <w:p w14:paraId="221B0753">
            <w:pPr>
              <w:spacing w:line="300" w:lineRule="exact"/>
              <w:rPr>
                <w:rFonts w:ascii="Times New Roman" w:hAnsi="Times New Roman" w:eastAsia="宋体" w:cs="Times New Roman"/>
                <w:color w:val="000000"/>
                <w:sz w:val="24"/>
                <w:szCs w:val="24"/>
                <w:lang w:val="en-US" w:eastAsia="zh-CN" w:bidi="ar-SA"/>
              </w:rPr>
            </w:pPr>
            <w:r>
              <w:rPr>
                <w:color w:val="000000"/>
                <w:sz w:val="24"/>
                <w:szCs w:val="24"/>
              </w:rPr>
              <w:t>有且只有一个有效报价</w:t>
            </w:r>
            <w:r>
              <w:rPr>
                <w:rFonts w:hint="eastAsia"/>
                <w:color w:val="000000"/>
                <w:sz w:val="24"/>
                <w:szCs w:val="24"/>
              </w:rPr>
              <w:t>，未超过最高限价；</w:t>
            </w:r>
          </w:p>
        </w:tc>
      </w:tr>
      <w:tr w14:paraId="73324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568" w:type="dxa"/>
            <w:vMerge w:val="continue"/>
            <w:noWrap w:val="0"/>
            <w:vAlign w:val="top"/>
          </w:tcPr>
          <w:p w14:paraId="4A264A8C">
            <w:pPr>
              <w:jc w:val="center"/>
              <w:rPr>
                <w:color w:val="000000"/>
                <w:sz w:val="24"/>
                <w:szCs w:val="24"/>
              </w:rPr>
            </w:pPr>
          </w:p>
        </w:tc>
        <w:tc>
          <w:tcPr>
            <w:tcW w:w="680" w:type="dxa"/>
            <w:vMerge w:val="continue"/>
            <w:noWrap w:val="0"/>
            <w:vAlign w:val="top"/>
          </w:tcPr>
          <w:p w14:paraId="3285DB37">
            <w:pPr>
              <w:jc w:val="left"/>
              <w:rPr>
                <w:color w:val="000000"/>
                <w:sz w:val="24"/>
                <w:szCs w:val="24"/>
              </w:rPr>
            </w:pPr>
          </w:p>
        </w:tc>
        <w:tc>
          <w:tcPr>
            <w:tcW w:w="2547" w:type="dxa"/>
            <w:noWrap w:val="0"/>
            <w:vAlign w:val="center"/>
          </w:tcPr>
          <w:p w14:paraId="382019F8">
            <w:pPr>
              <w:spacing w:line="400" w:lineRule="exact"/>
              <w:jc w:val="center"/>
              <w:rPr>
                <w:color w:val="000000"/>
                <w:sz w:val="24"/>
                <w:szCs w:val="24"/>
              </w:rPr>
            </w:pPr>
            <w:r>
              <w:rPr>
                <w:rFonts w:hint="eastAsia" w:ascii="宋体" w:hAnsi="宋体"/>
                <w:color w:val="0D0D0D"/>
                <w:sz w:val="22"/>
                <w:szCs w:val="22"/>
              </w:rPr>
              <w:t>技术要求响应</w:t>
            </w:r>
          </w:p>
        </w:tc>
        <w:tc>
          <w:tcPr>
            <w:tcW w:w="5264" w:type="dxa"/>
            <w:noWrap w:val="0"/>
            <w:vAlign w:val="center"/>
          </w:tcPr>
          <w:p w14:paraId="53E71589">
            <w:pPr>
              <w:spacing w:line="400" w:lineRule="exact"/>
              <w:jc w:val="left"/>
              <w:rPr>
                <w:color w:val="000000"/>
                <w:sz w:val="24"/>
                <w:szCs w:val="24"/>
              </w:rPr>
            </w:pPr>
            <w:r>
              <w:rPr>
                <w:rFonts w:hint="eastAsia" w:ascii="宋体" w:hAnsi="宋体"/>
                <w:sz w:val="22"/>
                <w:szCs w:val="22"/>
              </w:rPr>
              <w:t>如磋商后技术要求有变动的，按磋商后确定的</w:t>
            </w:r>
            <w:r>
              <w:rPr>
                <w:rFonts w:hint="eastAsia" w:ascii="宋体" w:hAnsi="宋体"/>
                <w:sz w:val="22"/>
                <w:szCs w:val="22"/>
                <w:lang w:val="en-US" w:eastAsia="zh-CN"/>
              </w:rPr>
              <w:t>技术</w:t>
            </w:r>
            <w:r>
              <w:rPr>
                <w:rFonts w:hint="eastAsia" w:ascii="宋体" w:hAnsi="宋体"/>
                <w:sz w:val="22"/>
                <w:szCs w:val="22"/>
              </w:rPr>
              <w:t>要求提供相应材料</w:t>
            </w:r>
          </w:p>
        </w:tc>
      </w:tr>
      <w:tr w14:paraId="0E7C6C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568" w:type="dxa"/>
            <w:vMerge w:val="continue"/>
            <w:noWrap w:val="0"/>
            <w:vAlign w:val="top"/>
          </w:tcPr>
          <w:p w14:paraId="754A070A">
            <w:pPr>
              <w:jc w:val="center"/>
              <w:rPr>
                <w:color w:val="000000"/>
                <w:sz w:val="24"/>
                <w:szCs w:val="24"/>
              </w:rPr>
            </w:pPr>
          </w:p>
        </w:tc>
        <w:tc>
          <w:tcPr>
            <w:tcW w:w="680" w:type="dxa"/>
            <w:vMerge w:val="continue"/>
            <w:noWrap w:val="0"/>
            <w:vAlign w:val="top"/>
          </w:tcPr>
          <w:p w14:paraId="73233851">
            <w:pPr>
              <w:jc w:val="left"/>
              <w:rPr>
                <w:color w:val="000000"/>
                <w:sz w:val="24"/>
                <w:szCs w:val="24"/>
              </w:rPr>
            </w:pPr>
          </w:p>
        </w:tc>
        <w:tc>
          <w:tcPr>
            <w:tcW w:w="2547" w:type="dxa"/>
            <w:noWrap w:val="0"/>
            <w:vAlign w:val="center"/>
          </w:tcPr>
          <w:p w14:paraId="3F3F8BDC">
            <w:pPr>
              <w:spacing w:line="400" w:lineRule="exact"/>
              <w:jc w:val="center"/>
              <w:rPr>
                <w:color w:val="000000"/>
                <w:sz w:val="24"/>
                <w:szCs w:val="24"/>
              </w:rPr>
            </w:pPr>
            <w:r>
              <w:rPr>
                <w:rFonts w:hint="eastAsia" w:ascii="宋体" w:hAnsi="宋体"/>
                <w:color w:val="0D0D0D"/>
                <w:sz w:val="22"/>
                <w:szCs w:val="22"/>
              </w:rPr>
              <w:t>商务要求响应</w:t>
            </w:r>
          </w:p>
        </w:tc>
        <w:tc>
          <w:tcPr>
            <w:tcW w:w="5264" w:type="dxa"/>
            <w:noWrap w:val="0"/>
            <w:vAlign w:val="center"/>
          </w:tcPr>
          <w:p w14:paraId="442459FD">
            <w:pPr>
              <w:spacing w:line="400" w:lineRule="exact"/>
              <w:jc w:val="left"/>
              <w:rPr>
                <w:color w:val="000000"/>
                <w:sz w:val="24"/>
                <w:szCs w:val="24"/>
              </w:rPr>
            </w:pPr>
            <w:r>
              <w:rPr>
                <w:rFonts w:hint="eastAsia" w:ascii="宋体" w:hAnsi="宋体"/>
                <w:color w:val="0D0D0D"/>
                <w:sz w:val="22"/>
                <w:szCs w:val="22"/>
              </w:rPr>
              <w:t>如磋商后商务要求有变动的，按磋商后确定的商务要求提供相应材料</w:t>
            </w:r>
          </w:p>
        </w:tc>
      </w:tr>
      <w:tr w14:paraId="08027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568" w:type="dxa"/>
            <w:vMerge w:val="continue"/>
            <w:noWrap w:val="0"/>
            <w:vAlign w:val="top"/>
          </w:tcPr>
          <w:p w14:paraId="66447652">
            <w:pPr>
              <w:jc w:val="left"/>
              <w:rPr>
                <w:color w:val="000000"/>
                <w:sz w:val="24"/>
                <w:szCs w:val="24"/>
              </w:rPr>
            </w:pPr>
          </w:p>
        </w:tc>
        <w:tc>
          <w:tcPr>
            <w:tcW w:w="680" w:type="dxa"/>
            <w:vMerge w:val="continue"/>
            <w:noWrap w:val="0"/>
            <w:vAlign w:val="top"/>
          </w:tcPr>
          <w:p w14:paraId="245F3A93">
            <w:pPr>
              <w:jc w:val="left"/>
              <w:rPr>
                <w:color w:val="000000"/>
                <w:sz w:val="24"/>
                <w:szCs w:val="24"/>
              </w:rPr>
            </w:pPr>
          </w:p>
        </w:tc>
        <w:tc>
          <w:tcPr>
            <w:tcW w:w="2547" w:type="dxa"/>
            <w:noWrap w:val="0"/>
            <w:vAlign w:val="center"/>
          </w:tcPr>
          <w:p w14:paraId="190F8628">
            <w:pPr>
              <w:spacing w:line="360" w:lineRule="exact"/>
              <w:jc w:val="center"/>
              <w:rPr>
                <w:color w:val="000000"/>
                <w:sz w:val="24"/>
                <w:szCs w:val="24"/>
              </w:rPr>
            </w:pPr>
            <w:r>
              <w:rPr>
                <w:rFonts w:hint="eastAsia" w:ascii="宋体" w:hAnsi="宋体"/>
                <w:color w:val="0D0D0D"/>
                <w:sz w:val="22"/>
                <w:szCs w:val="22"/>
              </w:rPr>
              <w:t>合同草案条款响应</w:t>
            </w:r>
          </w:p>
        </w:tc>
        <w:tc>
          <w:tcPr>
            <w:tcW w:w="5264" w:type="dxa"/>
            <w:noWrap w:val="0"/>
            <w:vAlign w:val="center"/>
          </w:tcPr>
          <w:p w14:paraId="1DB19147">
            <w:pPr>
              <w:spacing w:line="400" w:lineRule="exact"/>
              <w:jc w:val="left"/>
              <w:rPr>
                <w:color w:val="000000"/>
                <w:sz w:val="24"/>
                <w:szCs w:val="24"/>
              </w:rPr>
            </w:pPr>
            <w:r>
              <w:rPr>
                <w:rFonts w:hint="eastAsia" w:ascii="宋体" w:hAnsi="宋体"/>
                <w:color w:val="0D0D0D"/>
                <w:sz w:val="22"/>
                <w:szCs w:val="22"/>
              </w:rPr>
              <w:t>如磋商后合同草案条款有变动的，按磋商后确定的合同草案条款响应</w:t>
            </w:r>
          </w:p>
        </w:tc>
      </w:tr>
      <w:tr w14:paraId="4FDF5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9059" w:type="dxa"/>
            <w:gridSpan w:val="4"/>
            <w:noWrap w:val="0"/>
            <w:vAlign w:val="center"/>
          </w:tcPr>
          <w:p w14:paraId="10FDA778">
            <w:pPr>
              <w:jc w:val="both"/>
              <w:rPr>
                <w:color w:val="000000"/>
                <w:sz w:val="24"/>
                <w:szCs w:val="24"/>
              </w:rPr>
            </w:pPr>
            <w:r>
              <w:rPr>
                <w:rFonts w:hint="eastAsia"/>
                <w:color w:val="000000"/>
                <w:sz w:val="24"/>
                <w:szCs w:val="24"/>
              </w:rPr>
              <w:t>符合性评审由磋商小组负责，响应文件不符合评审标准之一的，评审结论为不合格。</w:t>
            </w:r>
          </w:p>
        </w:tc>
      </w:tr>
    </w:tbl>
    <w:p w14:paraId="59CAC920">
      <w:pPr>
        <w:spacing w:line="360" w:lineRule="auto"/>
        <w:rPr>
          <w:rFonts w:ascii="宋体" w:hAnsi="宋体"/>
          <w:b/>
          <w:bCs/>
          <w:color w:val="000000"/>
          <w:sz w:val="24"/>
          <w:szCs w:val="24"/>
        </w:rPr>
      </w:pPr>
      <w:r>
        <w:rPr>
          <w:rFonts w:hint="eastAsia" w:ascii="宋体" w:hAnsi="宋体"/>
          <w:b/>
          <w:bCs/>
          <w:color w:val="000000"/>
          <w:sz w:val="24"/>
          <w:szCs w:val="24"/>
        </w:rPr>
        <w:t>三、确定进入综合评审的供应商名单</w:t>
      </w:r>
    </w:p>
    <w:p w14:paraId="43D32986">
      <w:pPr>
        <w:spacing w:line="360" w:lineRule="auto"/>
        <w:ind w:firstLine="480"/>
        <w:rPr>
          <w:rFonts w:ascii="宋体" w:hAnsi="宋体"/>
          <w:color w:val="000000"/>
          <w:sz w:val="24"/>
          <w:szCs w:val="24"/>
        </w:rPr>
      </w:pPr>
      <w:r>
        <w:rPr>
          <w:rFonts w:hint="eastAsia" w:ascii="宋体" w:hAnsi="宋体"/>
          <w:color w:val="000000"/>
          <w:sz w:val="24"/>
          <w:szCs w:val="24"/>
        </w:rPr>
        <w:t>3.1初步评审中，资格审查和符合性评审的结果出现不合格的情形时，初步评审的结果为不合格，反之，初步评审的结果为合格。</w:t>
      </w:r>
    </w:p>
    <w:p w14:paraId="34C8AEDF">
      <w:pPr>
        <w:spacing w:line="360" w:lineRule="auto"/>
        <w:ind w:firstLine="480"/>
        <w:rPr>
          <w:rFonts w:ascii="宋体" w:hAnsi="宋体"/>
          <w:color w:val="000000"/>
          <w:sz w:val="24"/>
          <w:szCs w:val="24"/>
        </w:rPr>
      </w:pPr>
      <w:r>
        <w:rPr>
          <w:rFonts w:hint="eastAsia" w:ascii="宋体" w:hAnsi="宋体"/>
          <w:color w:val="000000"/>
          <w:sz w:val="24"/>
          <w:szCs w:val="24"/>
        </w:rPr>
        <w:t>3.2初步评审的结果为不合格的，作无效标处理，不再转入下步评审（综合评审）。</w:t>
      </w:r>
      <w:bookmarkEnd w:id="13"/>
      <w:bookmarkEnd w:id="14"/>
      <w:bookmarkEnd w:id="15"/>
      <w:bookmarkEnd w:id="16"/>
      <w:bookmarkEnd w:id="17"/>
      <w:bookmarkEnd w:id="18"/>
      <w:bookmarkEnd w:id="19"/>
      <w:bookmarkEnd w:id="20"/>
      <w:bookmarkEnd w:id="294"/>
      <w:bookmarkEnd w:id="295"/>
      <w:bookmarkEnd w:id="296"/>
      <w:bookmarkEnd w:id="297"/>
      <w:bookmarkEnd w:id="298"/>
      <w:bookmarkEnd w:id="299"/>
      <w:bookmarkEnd w:id="300"/>
      <w:bookmarkEnd w:id="301"/>
      <w:bookmarkEnd w:id="302"/>
      <w:bookmarkEnd w:id="383"/>
      <w:bookmarkEnd w:id="384"/>
      <w:bookmarkEnd w:id="385"/>
      <w:bookmarkEnd w:id="386"/>
      <w:bookmarkEnd w:id="387"/>
      <w:bookmarkEnd w:id="388"/>
      <w:bookmarkEnd w:id="389"/>
      <w:bookmarkEnd w:id="390"/>
      <w:bookmarkEnd w:id="391"/>
      <w:bookmarkEnd w:id="392"/>
    </w:p>
    <w:p w14:paraId="707F8540">
      <w:pPr>
        <w:spacing w:line="360" w:lineRule="auto"/>
        <w:rPr>
          <w:rFonts w:ascii="宋体" w:hAnsi="宋体"/>
          <w:b/>
          <w:bCs/>
          <w:color w:val="000000"/>
          <w:sz w:val="24"/>
          <w:szCs w:val="24"/>
        </w:rPr>
      </w:pPr>
      <w:bookmarkStart w:id="395" w:name="_Toc383623991"/>
      <w:bookmarkStart w:id="396" w:name="_Toc479757207"/>
      <w:bookmarkStart w:id="397" w:name="_Toc282446295"/>
      <w:bookmarkStart w:id="398" w:name="_Toc405388431"/>
      <w:bookmarkStart w:id="399" w:name="_Toc383626040"/>
      <w:bookmarkStart w:id="400" w:name="_Toc426469928"/>
      <w:bookmarkStart w:id="401" w:name="_Toc120614221"/>
      <w:bookmarkStart w:id="402" w:name="_Toc513029242"/>
      <w:bookmarkStart w:id="403" w:name="_Toc383623719"/>
      <w:bookmarkStart w:id="404" w:name="_Toc390098886"/>
      <w:bookmarkStart w:id="405" w:name="_Toc390099064"/>
      <w:bookmarkStart w:id="406" w:name="_Toc382813932"/>
      <w:bookmarkStart w:id="407" w:name="_Toc20823314"/>
      <w:bookmarkStart w:id="408" w:name="_Toc383698693"/>
      <w:bookmarkStart w:id="409" w:name="_Toc288030331"/>
      <w:bookmarkStart w:id="410" w:name="_Toc390246951"/>
      <w:bookmarkStart w:id="411" w:name="_Toc16938558"/>
      <w:bookmarkStart w:id="412" w:name="_Toc383679793"/>
      <w:bookmarkStart w:id="413" w:name="_Toc382812483"/>
      <w:bookmarkStart w:id="414" w:name="_Toc382814013"/>
      <w:bookmarkStart w:id="415" w:name="_Toc383587504"/>
      <w:r>
        <w:rPr>
          <w:rFonts w:hint="eastAsia" w:ascii="宋体" w:hAnsi="宋体"/>
          <w:b/>
          <w:bCs/>
          <w:color w:val="000000"/>
          <w:sz w:val="24"/>
          <w:szCs w:val="24"/>
        </w:rPr>
        <w:t>四、综合评审</w:t>
      </w:r>
    </w:p>
    <w:p w14:paraId="623EB2D7">
      <w:pPr>
        <w:spacing w:line="360" w:lineRule="auto"/>
        <w:ind w:firstLine="480"/>
        <w:rPr>
          <w:rFonts w:ascii="宋体" w:hAnsi="宋体"/>
          <w:color w:val="000000"/>
          <w:sz w:val="24"/>
          <w:szCs w:val="24"/>
        </w:rPr>
      </w:pPr>
      <w:r>
        <w:rPr>
          <w:rFonts w:ascii="宋体" w:hAnsi="宋体"/>
          <w:color w:val="000000"/>
          <w:sz w:val="24"/>
          <w:szCs w:val="24"/>
        </w:rPr>
        <w:t xml:space="preserve">4.1 </w:t>
      </w:r>
      <w:r>
        <w:rPr>
          <w:rFonts w:hint="eastAsia" w:ascii="宋体" w:hAnsi="宋体"/>
          <w:color w:val="000000"/>
          <w:sz w:val="24"/>
          <w:szCs w:val="24"/>
        </w:rPr>
        <w:t>本项目综合评审权重为</w:t>
      </w:r>
      <w:r>
        <w:rPr>
          <w:rFonts w:ascii="宋体" w:hAnsi="宋体"/>
          <w:color w:val="000000"/>
          <w:sz w:val="24"/>
          <w:szCs w:val="24"/>
        </w:rPr>
        <w:t>10</w:t>
      </w:r>
      <w:r>
        <w:rPr>
          <w:rFonts w:hint="eastAsia" w:ascii="宋体" w:hAnsi="宋体"/>
          <w:color w:val="000000"/>
          <w:sz w:val="24"/>
          <w:szCs w:val="24"/>
        </w:rPr>
        <w:t>0</w:t>
      </w:r>
      <w:r>
        <w:rPr>
          <w:rFonts w:ascii="宋体" w:hAnsi="宋体"/>
          <w:color w:val="000000"/>
          <w:sz w:val="24"/>
          <w:szCs w:val="24"/>
        </w:rPr>
        <w:t>%</w:t>
      </w:r>
      <w:r>
        <w:rPr>
          <w:rFonts w:hint="eastAsia" w:ascii="宋体" w:hAnsi="宋体"/>
          <w:color w:val="000000"/>
          <w:sz w:val="24"/>
          <w:szCs w:val="24"/>
        </w:rPr>
        <w:t>。</w:t>
      </w:r>
    </w:p>
    <w:p w14:paraId="008F7A73">
      <w:pPr>
        <w:spacing w:line="360" w:lineRule="auto"/>
        <w:ind w:firstLine="480"/>
        <w:rPr>
          <w:rFonts w:ascii="宋体" w:hAnsi="宋体"/>
          <w:color w:val="000000"/>
          <w:sz w:val="24"/>
          <w:szCs w:val="24"/>
        </w:rPr>
      </w:pPr>
      <w:r>
        <w:rPr>
          <w:rFonts w:ascii="宋体" w:hAnsi="宋体"/>
          <w:color w:val="000000"/>
          <w:sz w:val="24"/>
          <w:szCs w:val="24"/>
        </w:rPr>
        <w:t xml:space="preserve">4.2 </w:t>
      </w:r>
      <w:r>
        <w:rPr>
          <w:rFonts w:hint="eastAsia" w:ascii="宋体" w:hAnsi="宋体"/>
          <w:color w:val="000000"/>
          <w:sz w:val="24"/>
          <w:szCs w:val="24"/>
        </w:rPr>
        <w:t>评分步骤如下：</w:t>
      </w:r>
    </w:p>
    <w:p w14:paraId="6DFA3642">
      <w:pPr>
        <w:spacing w:line="360" w:lineRule="auto"/>
        <w:ind w:firstLine="480"/>
        <w:rPr>
          <w:rFonts w:ascii="宋体" w:hAnsi="宋体"/>
          <w:color w:val="000000"/>
          <w:sz w:val="24"/>
          <w:szCs w:val="24"/>
        </w:rPr>
      </w:pPr>
      <w:r>
        <w:rPr>
          <w:rFonts w:hint="eastAsia" w:ascii="宋体" w:hAnsi="宋体"/>
          <w:color w:val="000000"/>
          <w:sz w:val="24"/>
          <w:szCs w:val="24"/>
        </w:rPr>
        <w:t>（</w:t>
      </w:r>
      <w:r>
        <w:rPr>
          <w:rFonts w:ascii="宋体" w:hAnsi="宋体"/>
          <w:color w:val="000000"/>
          <w:sz w:val="24"/>
          <w:szCs w:val="24"/>
        </w:rPr>
        <w:t>1</w:t>
      </w:r>
      <w:r>
        <w:rPr>
          <w:rFonts w:hint="eastAsia" w:ascii="宋体" w:hAnsi="宋体"/>
          <w:color w:val="000000"/>
          <w:sz w:val="24"/>
          <w:szCs w:val="24"/>
        </w:rPr>
        <w:t>）综合评审得分</w:t>
      </w:r>
    </w:p>
    <w:p w14:paraId="59496194">
      <w:pPr>
        <w:spacing w:line="360" w:lineRule="auto"/>
        <w:ind w:firstLine="480"/>
        <w:rPr>
          <w:rFonts w:ascii="宋体" w:hAnsi="宋体"/>
          <w:color w:val="000000"/>
          <w:sz w:val="24"/>
          <w:szCs w:val="24"/>
        </w:rPr>
      </w:pPr>
      <w:r>
        <w:rPr>
          <w:rFonts w:hint="eastAsia" w:ascii="宋体" w:hAnsi="宋体"/>
          <w:color w:val="000000"/>
          <w:sz w:val="24"/>
          <w:szCs w:val="24"/>
        </w:rPr>
        <w:t>根据综合评审的细则，磋商小组应对进入综合评审的所有供应商进行评分，并分别填写综合评审表。</w:t>
      </w:r>
    </w:p>
    <w:p w14:paraId="717031DE">
      <w:pPr>
        <w:spacing w:line="360" w:lineRule="auto"/>
        <w:ind w:firstLine="480"/>
        <w:rPr>
          <w:rFonts w:ascii="宋体" w:hAnsi="宋体"/>
          <w:color w:val="000000"/>
          <w:sz w:val="24"/>
          <w:szCs w:val="24"/>
        </w:rPr>
      </w:pPr>
      <w:r>
        <w:rPr>
          <w:rFonts w:hint="eastAsia" w:ascii="宋体" w:hAnsi="宋体"/>
          <w:color w:val="000000"/>
          <w:sz w:val="24"/>
          <w:szCs w:val="24"/>
        </w:rPr>
        <w:t>综合评审汇总方法为：对某一供应商的每一个指标项得分，取各位评委评分之平均值，保留至小数点后两位数，得到该供应商该指标项的得分。再将供应商每个指标项得分进行汇总，得到该供应商的综合评审之和，即综合评审总得分。</w:t>
      </w:r>
    </w:p>
    <w:p w14:paraId="74F3A799">
      <w:pPr>
        <w:spacing w:line="360" w:lineRule="auto"/>
        <w:ind w:firstLine="480"/>
        <w:rPr>
          <w:rFonts w:ascii="宋体" w:hAnsi="宋体"/>
          <w:color w:val="000000"/>
          <w:sz w:val="24"/>
          <w:szCs w:val="24"/>
        </w:rPr>
      </w:pPr>
      <w:r>
        <w:rPr>
          <w:rFonts w:hint="eastAsia" w:ascii="宋体" w:hAnsi="宋体"/>
          <w:color w:val="000000"/>
          <w:sz w:val="24"/>
          <w:szCs w:val="24"/>
        </w:rPr>
        <w:t>综合评审指标详见下表：</w:t>
      </w:r>
    </w:p>
    <w:tbl>
      <w:tblPr>
        <w:tblStyle w:val="28"/>
        <w:tblW w:w="51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584"/>
        <w:gridCol w:w="1870"/>
        <w:gridCol w:w="6013"/>
        <w:gridCol w:w="550"/>
      </w:tblGrid>
      <w:tr w14:paraId="4B114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97" w:hRule="atLeast"/>
          <w:jc w:val="center"/>
        </w:trPr>
        <w:tc>
          <w:tcPr>
            <w:tcW w:w="587" w:type="dxa"/>
            <w:noWrap w:val="0"/>
            <w:tcMar>
              <w:top w:w="15" w:type="dxa"/>
              <w:left w:w="15" w:type="dxa"/>
              <w:bottom w:w="0" w:type="dxa"/>
              <w:right w:w="15" w:type="dxa"/>
            </w:tcMar>
            <w:vAlign w:val="center"/>
          </w:tcPr>
          <w:p w14:paraId="37569E99">
            <w:pPr>
              <w:keepNext w:val="0"/>
              <w:keepLines w:val="0"/>
              <w:pageBreakBefore w:val="0"/>
              <w:spacing w:line="240" w:lineRule="auto"/>
              <w:jc w:val="center"/>
              <w:rPr>
                <w:rFonts w:ascii="宋体" w:hAnsi="宋体" w:cs="宋体"/>
                <w:b/>
                <w:color w:val="000000"/>
                <w:sz w:val="24"/>
                <w:szCs w:val="24"/>
              </w:rPr>
            </w:pPr>
            <w:r>
              <w:rPr>
                <w:rFonts w:hint="eastAsia" w:ascii="宋体" w:hAnsi="宋体" w:cs="宋体"/>
                <w:b/>
                <w:color w:val="000000"/>
                <w:sz w:val="24"/>
                <w:szCs w:val="24"/>
              </w:rPr>
              <w:t>序号</w:t>
            </w:r>
          </w:p>
        </w:tc>
        <w:tc>
          <w:tcPr>
            <w:tcW w:w="1879" w:type="dxa"/>
            <w:noWrap w:val="0"/>
            <w:tcMar>
              <w:top w:w="15" w:type="dxa"/>
              <w:left w:w="15" w:type="dxa"/>
              <w:bottom w:w="0" w:type="dxa"/>
              <w:right w:w="15" w:type="dxa"/>
            </w:tcMar>
            <w:vAlign w:val="center"/>
          </w:tcPr>
          <w:p w14:paraId="7D574B34">
            <w:pPr>
              <w:keepNext w:val="0"/>
              <w:keepLines w:val="0"/>
              <w:pageBreakBefore w:val="0"/>
              <w:spacing w:line="240" w:lineRule="auto"/>
              <w:jc w:val="center"/>
              <w:rPr>
                <w:rFonts w:ascii="宋体" w:hAnsi="宋体" w:cs="宋体"/>
                <w:b/>
                <w:color w:val="000000"/>
                <w:sz w:val="24"/>
                <w:szCs w:val="24"/>
              </w:rPr>
            </w:pPr>
            <w:r>
              <w:rPr>
                <w:rFonts w:hint="eastAsia" w:ascii="宋体" w:hAnsi="宋体" w:cs="宋体"/>
                <w:b/>
                <w:color w:val="000000"/>
                <w:sz w:val="24"/>
                <w:szCs w:val="24"/>
              </w:rPr>
              <w:t>评审因素</w:t>
            </w:r>
          </w:p>
        </w:tc>
        <w:tc>
          <w:tcPr>
            <w:tcW w:w="6040" w:type="dxa"/>
            <w:noWrap w:val="0"/>
            <w:tcMar>
              <w:top w:w="15" w:type="dxa"/>
              <w:left w:w="15" w:type="dxa"/>
              <w:bottom w:w="0" w:type="dxa"/>
              <w:right w:w="15" w:type="dxa"/>
            </w:tcMar>
            <w:vAlign w:val="center"/>
          </w:tcPr>
          <w:p w14:paraId="3BD6FDFD">
            <w:pPr>
              <w:keepNext w:val="0"/>
              <w:keepLines w:val="0"/>
              <w:pageBreakBefore w:val="0"/>
              <w:spacing w:line="240" w:lineRule="auto"/>
              <w:jc w:val="center"/>
              <w:rPr>
                <w:rFonts w:ascii="宋体" w:hAnsi="宋体" w:cs="宋体"/>
                <w:b/>
                <w:color w:val="000000"/>
                <w:sz w:val="24"/>
                <w:szCs w:val="24"/>
              </w:rPr>
            </w:pPr>
            <w:r>
              <w:rPr>
                <w:rFonts w:hint="eastAsia" w:ascii="宋体" w:hAnsi="宋体" w:cs="宋体"/>
                <w:b/>
                <w:color w:val="000000"/>
                <w:sz w:val="24"/>
                <w:szCs w:val="24"/>
              </w:rPr>
              <w:t>评分标准说明</w:t>
            </w:r>
          </w:p>
        </w:tc>
        <w:tc>
          <w:tcPr>
            <w:tcW w:w="553" w:type="dxa"/>
            <w:noWrap w:val="0"/>
            <w:tcMar>
              <w:top w:w="15" w:type="dxa"/>
              <w:left w:w="15" w:type="dxa"/>
              <w:bottom w:w="0" w:type="dxa"/>
              <w:right w:w="15" w:type="dxa"/>
            </w:tcMar>
            <w:vAlign w:val="center"/>
          </w:tcPr>
          <w:p w14:paraId="68A3182A">
            <w:pPr>
              <w:keepNext w:val="0"/>
              <w:keepLines w:val="0"/>
              <w:pageBreakBefore w:val="0"/>
              <w:spacing w:line="240" w:lineRule="auto"/>
              <w:jc w:val="center"/>
              <w:rPr>
                <w:rFonts w:ascii="宋体" w:hAnsi="宋体" w:cs="宋体"/>
                <w:b/>
                <w:color w:val="000000"/>
                <w:sz w:val="24"/>
                <w:szCs w:val="24"/>
              </w:rPr>
            </w:pPr>
            <w:r>
              <w:rPr>
                <w:rFonts w:hint="eastAsia" w:ascii="宋体" w:hAnsi="宋体" w:cs="宋体"/>
                <w:b/>
                <w:color w:val="000000"/>
                <w:sz w:val="24"/>
                <w:szCs w:val="24"/>
              </w:rPr>
              <w:t>分值</w:t>
            </w:r>
          </w:p>
        </w:tc>
      </w:tr>
      <w:tr w14:paraId="30137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2" w:hRule="atLeast"/>
          <w:jc w:val="center"/>
        </w:trPr>
        <w:tc>
          <w:tcPr>
            <w:tcW w:w="587" w:type="dxa"/>
            <w:noWrap w:val="0"/>
            <w:tcMar>
              <w:top w:w="15" w:type="dxa"/>
              <w:left w:w="15" w:type="dxa"/>
              <w:bottom w:w="0" w:type="dxa"/>
              <w:right w:w="15" w:type="dxa"/>
            </w:tcMar>
            <w:vAlign w:val="center"/>
          </w:tcPr>
          <w:p w14:paraId="2CCC255B">
            <w:pPr>
              <w:keepNext w:val="0"/>
              <w:keepLines w:val="0"/>
              <w:pageBreakBefore w:val="0"/>
              <w:spacing w:line="240" w:lineRule="auto"/>
              <w:jc w:val="center"/>
              <w:rPr>
                <w:rFonts w:ascii="宋体" w:hAnsi="宋体" w:cs="宋体"/>
                <w:b/>
                <w:color w:val="000000"/>
                <w:sz w:val="24"/>
                <w:szCs w:val="24"/>
              </w:rPr>
            </w:pPr>
            <w:r>
              <w:rPr>
                <w:rFonts w:hint="eastAsia" w:ascii="宋体" w:hAnsi="宋体" w:cs="宋体"/>
                <w:b/>
                <w:color w:val="000000"/>
                <w:sz w:val="24"/>
                <w:szCs w:val="24"/>
              </w:rPr>
              <w:t>一</w:t>
            </w:r>
          </w:p>
        </w:tc>
        <w:tc>
          <w:tcPr>
            <w:tcW w:w="7919" w:type="dxa"/>
            <w:gridSpan w:val="2"/>
            <w:noWrap w:val="0"/>
            <w:tcMar>
              <w:top w:w="15" w:type="dxa"/>
              <w:left w:w="15" w:type="dxa"/>
              <w:bottom w:w="0" w:type="dxa"/>
              <w:right w:w="15" w:type="dxa"/>
            </w:tcMar>
            <w:vAlign w:val="center"/>
          </w:tcPr>
          <w:p w14:paraId="20A41FB5">
            <w:pPr>
              <w:keepNext w:val="0"/>
              <w:keepLines w:val="0"/>
              <w:pageBreakBefore w:val="0"/>
              <w:spacing w:line="240" w:lineRule="auto"/>
              <w:jc w:val="center"/>
              <w:rPr>
                <w:rFonts w:ascii="宋体" w:hAnsi="宋体" w:cs="宋体"/>
                <w:b/>
                <w:color w:val="000000"/>
                <w:sz w:val="24"/>
                <w:szCs w:val="24"/>
              </w:rPr>
            </w:pPr>
            <w:r>
              <w:rPr>
                <w:rFonts w:hint="eastAsia" w:ascii="宋体" w:hAnsi="宋体" w:cs="宋体"/>
                <w:b/>
                <w:color w:val="000000"/>
                <w:sz w:val="24"/>
                <w:szCs w:val="24"/>
              </w:rPr>
              <w:t>投标报价部分</w:t>
            </w:r>
          </w:p>
        </w:tc>
        <w:tc>
          <w:tcPr>
            <w:tcW w:w="553" w:type="dxa"/>
            <w:noWrap w:val="0"/>
            <w:tcMar>
              <w:top w:w="15" w:type="dxa"/>
              <w:left w:w="15" w:type="dxa"/>
              <w:bottom w:w="0" w:type="dxa"/>
              <w:right w:w="15" w:type="dxa"/>
            </w:tcMar>
            <w:vAlign w:val="center"/>
          </w:tcPr>
          <w:p w14:paraId="1438BDEC">
            <w:pPr>
              <w:keepNext w:val="0"/>
              <w:keepLines w:val="0"/>
              <w:pageBreakBefore w:val="0"/>
              <w:spacing w:line="240" w:lineRule="auto"/>
              <w:jc w:val="center"/>
              <w:rPr>
                <w:rFonts w:ascii="宋体" w:hAnsi="宋体" w:cs="宋体"/>
                <w:b/>
                <w:color w:val="000000"/>
                <w:sz w:val="24"/>
                <w:szCs w:val="24"/>
                <w:lang w:val="en-US"/>
              </w:rPr>
            </w:pPr>
            <w:r>
              <w:rPr>
                <w:rFonts w:hint="eastAsia" w:ascii="宋体" w:hAnsi="宋体" w:cs="宋体"/>
                <w:b/>
                <w:color w:val="000000"/>
                <w:sz w:val="24"/>
                <w:szCs w:val="24"/>
                <w:lang w:val="en-US" w:eastAsia="zh-CN"/>
              </w:rPr>
              <w:t>30</w:t>
            </w:r>
          </w:p>
        </w:tc>
      </w:tr>
      <w:tr w14:paraId="5BC45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091" w:hRule="atLeast"/>
          <w:jc w:val="center"/>
        </w:trPr>
        <w:tc>
          <w:tcPr>
            <w:tcW w:w="587" w:type="dxa"/>
            <w:noWrap w:val="0"/>
            <w:tcMar>
              <w:top w:w="15" w:type="dxa"/>
              <w:left w:w="15" w:type="dxa"/>
              <w:bottom w:w="0" w:type="dxa"/>
              <w:right w:w="15" w:type="dxa"/>
            </w:tcMar>
            <w:vAlign w:val="center"/>
          </w:tcPr>
          <w:p w14:paraId="0E2AEA2B">
            <w:pPr>
              <w:keepNext w:val="0"/>
              <w:keepLines w:val="0"/>
              <w:pageBreakBefore w:val="0"/>
              <w:spacing w:line="240" w:lineRule="auto"/>
              <w:jc w:val="center"/>
              <w:rPr>
                <w:rFonts w:ascii="宋体" w:hAnsi="宋体" w:cs="宋体"/>
                <w:color w:val="000000"/>
                <w:sz w:val="24"/>
                <w:szCs w:val="24"/>
              </w:rPr>
            </w:pPr>
            <w:r>
              <w:rPr>
                <w:rFonts w:hint="eastAsia" w:ascii="宋体" w:hAnsi="宋体" w:cs="宋体"/>
                <w:color w:val="000000"/>
                <w:sz w:val="24"/>
                <w:szCs w:val="24"/>
              </w:rPr>
              <w:t>1</w:t>
            </w:r>
          </w:p>
        </w:tc>
        <w:tc>
          <w:tcPr>
            <w:tcW w:w="1879" w:type="dxa"/>
            <w:noWrap w:val="0"/>
            <w:tcMar>
              <w:top w:w="15" w:type="dxa"/>
              <w:left w:w="15" w:type="dxa"/>
              <w:bottom w:w="0" w:type="dxa"/>
              <w:right w:w="15" w:type="dxa"/>
            </w:tcMar>
            <w:vAlign w:val="center"/>
          </w:tcPr>
          <w:p w14:paraId="27511B98">
            <w:pPr>
              <w:keepNext w:val="0"/>
              <w:keepLines w:val="0"/>
              <w:pageBreakBefore w:val="0"/>
              <w:spacing w:line="240" w:lineRule="auto"/>
              <w:jc w:val="center"/>
              <w:rPr>
                <w:rFonts w:ascii="宋体" w:hAnsi="宋体" w:cs="宋体"/>
                <w:color w:val="000000"/>
                <w:sz w:val="24"/>
                <w:szCs w:val="24"/>
              </w:rPr>
            </w:pPr>
            <w:r>
              <w:rPr>
                <w:rFonts w:hint="eastAsia" w:ascii="宋体" w:hAnsi="宋体" w:cs="宋体"/>
                <w:color w:val="000000"/>
                <w:sz w:val="24"/>
                <w:szCs w:val="24"/>
              </w:rPr>
              <w:t>投标报价</w:t>
            </w:r>
          </w:p>
        </w:tc>
        <w:tc>
          <w:tcPr>
            <w:tcW w:w="6040" w:type="dxa"/>
            <w:noWrap w:val="0"/>
            <w:tcMar>
              <w:top w:w="15" w:type="dxa"/>
              <w:left w:w="15" w:type="dxa"/>
              <w:bottom w:w="0" w:type="dxa"/>
              <w:right w:w="15" w:type="dxa"/>
            </w:tcMar>
            <w:vAlign w:val="center"/>
          </w:tcPr>
          <w:p w14:paraId="2263BB1A">
            <w:pPr>
              <w:widowControl/>
              <w:spacing w:line="360" w:lineRule="auto"/>
              <w:ind w:firstLine="210"/>
              <w:rPr>
                <w:rFonts w:hint="eastAsia" w:ascii="宋体" w:hAnsi="宋体" w:cs="宋体"/>
              </w:rPr>
            </w:pPr>
            <w:r>
              <w:rPr>
                <w:rFonts w:hint="eastAsia" w:ascii="宋体" w:hAnsi="宋体" w:cs="宋体"/>
              </w:rPr>
              <w:t>第一步：投标报价总价不高于最高限价的，为有效投标报价。高于最高限价的投标报价为无效投标报价，无效投标报价的投标文件不参与评审。</w:t>
            </w:r>
          </w:p>
          <w:p w14:paraId="07E244E1">
            <w:pPr>
              <w:widowControl/>
              <w:spacing w:line="360" w:lineRule="auto"/>
              <w:ind w:firstLine="210"/>
              <w:rPr>
                <w:color w:val="000000"/>
                <w:sz w:val="24"/>
                <w:szCs w:val="24"/>
              </w:rPr>
            </w:pPr>
            <w:r>
              <w:rPr>
                <w:rFonts w:hint="eastAsia" w:ascii="宋体" w:hAnsi="宋体" w:cs="宋体"/>
              </w:rPr>
              <w:t>第二步：以满足采购文件要求且最终磋商报价最低的供应商报价为评标基准价，其价格分为满分，其他供应商的价格分统一按照以下公式计算：投标报价得分=（评标基准价/该供应商的最终磋商报价）*</w:t>
            </w:r>
            <w:r>
              <w:rPr>
                <w:rFonts w:hint="eastAsia" w:ascii="宋体" w:hAnsi="宋体" w:cs="宋体"/>
                <w:lang w:val="en-US" w:eastAsia="zh-CN"/>
              </w:rPr>
              <w:t>30</w:t>
            </w:r>
            <w:r>
              <w:rPr>
                <w:rFonts w:hint="eastAsia" w:ascii="宋体" w:hAnsi="宋体" w:cs="宋体"/>
              </w:rPr>
              <w:t>（得分保留两位小数，第三位四舍五入）</w:t>
            </w:r>
          </w:p>
        </w:tc>
        <w:tc>
          <w:tcPr>
            <w:tcW w:w="553" w:type="dxa"/>
            <w:noWrap w:val="0"/>
            <w:tcMar>
              <w:top w:w="15" w:type="dxa"/>
              <w:left w:w="15" w:type="dxa"/>
              <w:bottom w:w="0" w:type="dxa"/>
              <w:right w:w="15" w:type="dxa"/>
            </w:tcMar>
            <w:vAlign w:val="center"/>
          </w:tcPr>
          <w:p w14:paraId="706CF151">
            <w:pPr>
              <w:keepNext w:val="0"/>
              <w:keepLines w:val="0"/>
              <w:pageBreakBefore w:val="0"/>
              <w:spacing w:line="240" w:lineRule="auto"/>
              <w:jc w:val="center"/>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30</w:t>
            </w:r>
          </w:p>
        </w:tc>
      </w:tr>
      <w:tr w14:paraId="00E72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10" w:hRule="atLeast"/>
          <w:jc w:val="center"/>
        </w:trPr>
        <w:tc>
          <w:tcPr>
            <w:tcW w:w="587" w:type="dxa"/>
            <w:noWrap w:val="0"/>
            <w:tcMar>
              <w:top w:w="15" w:type="dxa"/>
              <w:left w:w="15" w:type="dxa"/>
              <w:bottom w:w="0" w:type="dxa"/>
              <w:right w:w="15" w:type="dxa"/>
            </w:tcMar>
            <w:vAlign w:val="center"/>
          </w:tcPr>
          <w:p w14:paraId="010A3FC2">
            <w:pPr>
              <w:keepNext w:val="0"/>
              <w:keepLines w:val="0"/>
              <w:pageBreakBefore w:val="0"/>
              <w:spacing w:line="240" w:lineRule="auto"/>
              <w:jc w:val="center"/>
              <w:rPr>
                <w:rFonts w:ascii="宋体" w:hAnsi="宋体" w:cs="宋体"/>
                <w:b/>
                <w:color w:val="000000"/>
                <w:sz w:val="24"/>
                <w:szCs w:val="24"/>
              </w:rPr>
            </w:pPr>
            <w:r>
              <w:rPr>
                <w:rFonts w:hint="eastAsia" w:ascii="宋体" w:hAnsi="宋体" w:cs="宋体"/>
                <w:b/>
                <w:color w:val="000000"/>
                <w:sz w:val="24"/>
                <w:szCs w:val="24"/>
              </w:rPr>
              <w:t>二</w:t>
            </w:r>
          </w:p>
        </w:tc>
        <w:tc>
          <w:tcPr>
            <w:tcW w:w="7919" w:type="dxa"/>
            <w:gridSpan w:val="2"/>
            <w:noWrap w:val="0"/>
            <w:tcMar>
              <w:top w:w="15" w:type="dxa"/>
              <w:left w:w="15" w:type="dxa"/>
              <w:bottom w:w="0" w:type="dxa"/>
              <w:right w:w="15" w:type="dxa"/>
            </w:tcMar>
            <w:vAlign w:val="center"/>
          </w:tcPr>
          <w:p w14:paraId="6C0FB450">
            <w:pPr>
              <w:keepNext w:val="0"/>
              <w:keepLines w:val="0"/>
              <w:pageBreakBefore w:val="0"/>
              <w:spacing w:line="360" w:lineRule="auto"/>
              <w:jc w:val="center"/>
              <w:rPr>
                <w:rFonts w:ascii="宋体" w:hAnsi="宋体" w:cs="宋体"/>
                <w:b/>
                <w:color w:val="000000"/>
                <w:sz w:val="24"/>
                <w:szCs w:val="24"/>
              </w:rPr>
            </w:pPr>
            <w:r>
              <w:rPr>
                <w:rFonts w:hint="eastAsia" w:ascii="宋体" w:hAnsi="宋体" w:cs="宋体"/>
                <w:b/>
                <w:color w:val="000000"/>
                <w:sz w:val="24"/>
                <w:szCs w:val="24"/>
              </w:rPr>
              <w:t>商务部分</w:t>
            </w:r>
          </w:p>
        </w:tc>
        <w:tc>
          <w:tcPr>
            <w:tcW w:w="553" w:type="dxa"/>
            <w:noWrap w:val="0"/>
            <w:tcMar>
              <w:top w:w="15" w:type="dxa"/>
              <w:left w:w="15" w:type="dxa"/>
              <w:bottom w:w="0" w:type="dxa"/>
              <w:right w:w="15" w:type="dxa"/>
            </w:tcMar>
            <w:vAlign w:val="center"/>
          </w:tcPr>
          <w:p w14:paraId="57AC8060">
            <w:pPr>
              <w:keepNext w:val="0"/>
              <w:keepLines w:val="0"/>
              <w:pageBreakBefore w:val="0"/>
              <w:spacing w:line="240" w:lineRule="auto"/>
              <w:jc w:val="center"/>
              <w:rPr>
                <w:rFonts w:ascii="宋体" w:hAnsi="宋体" w:cs="宋体"/>
                <w:b/>
                <w:color w:val="000000"/>
                <w:sz w:val="24"/>
                <w:szCs w:val="24"/>
                <w:lang w:val="en-US"/>
              </w:rPr>
            </w:pPr>
            <w:r>
              <w:rPr>
                <w:rFonts w:hint="eastAsia" w:ascii="宋体" w:hAnsi="宋体" w:cs="宋体"/>
                <w:b/>
                <w:color w:val="000000"/>
                <w:sz w:val="24"/>
                <w:szCs w:val="24"/>
                <w:lang w:val="en-US" w:eastAsia="zh-CN"/>
              </w:rPr>
              <w:t>20</w:t>
            </w:r>
          </w:p>
        </w:tc>
      </w:tr>
      <w:tr w14:paraId="59AB19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76" w:hRule="atLeast"/>
          <w:jc w:val="center"/>
        </w:trPr>
        <w:tc>
          <w:tcPr>
            <w:tcW w:w="587" w:type="dxa"/>
            <w:noWrap w:val="0"/>
            <w:tcMar>
              <w:top w:w="15" w:type="dxa"/>
              <w:left w:w="15" w:type="dxa"/>
              <w:bottom w:w="0" w:type="dxa"/>
              <w:right w:w="15" w:type="dxa"/>
            </w:tcMar>
            <w:vAlign w:val="center"/>
          </w:tcPr>
          <w:p w14:paraId="4A6E3968">
            <w:pPr>
              <w:keepNext w:val="0"/>
              <w:keepLines w:val="0"/>
              <w:pageBreakBefore w:val="0"/>
              <w:spacing w:line="240" w:lineRule="auto"/>
              <w:jc w:val="center"/>
              <w:rPr>
                <w:rFonts w:ascii="宋体" w:hAnsi="宋体" w:cs="宋体"/>
                <w:color w:val="000000"/>
                <w:sz w:val="24"/>
                <w:szCs w:val="24"/>
              </w:rPr>
            </w:pPr>
            <w:r>
              <w:rPr>
                <w:rFonts w:hint="eastAsia" w:ascii="宋体" w:hAnsi="宋体" w:cs="宋体"/>
                <w:color w:val="000000"/>
                <w:sz w:val="24"/>
                <w:szCs w:val="24"/>
              </w:rPr>
              <w:t>1</w:t>
            </w:r>
          </w:p>
        </w:tc>
        <w:tc>
          <w:tcPr>
            <w:tcW w:w="1879" w:type="dxa"/>
            <w:noWrap w:val="0"/>
            <w:tcMar>
              <w:top w:w="15" w:type="dxa"/>
              <w:left w:w="15" w:type="dxa"/>
              <w:bottom w:w="0" w:type="dxa"/>
              <w:right w:w="15" w:type="dxa"/>
            </w:tcMar>
            <w:vAlign w:val="center"/>
          </w:tcPr>
          <w:p w14:paraId="071A196D">
            <w:pPr>
              <w:keepNext w:val="0"/>
              <w:keepLines w:val="0"/>
              <w:pageBreakBefore w:val="0"/>
              <w:spacing w:line="240" w:lineRule="auto"/>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rPr>
              <w:t>项目</w:t>
            </w:r>
            <w:r>
              <w:rPr>
                <w:rFonts w:hint="eastAsia" w:ascii="宋体" w:hAnsi="宋体" w:cs="宋体"/>
                <w:color w:val="000000"/>
                <w:sz w:val="24"/>
                <w:szCs w:val="24"/>
                <w:lang w:val="en-US" w:eastAsia="zh-CN"/>
              </w:rPr>
              <w:t>负责人</w:t>
            </w:r>
          </w:p>
        </w:tc>
        <w:tc>
          <w:tcPr>
            <w:tcW w:w="6040" w:type="dxa"/>
            <w:noWrap w:val="0"/>
            <w:tcMar>
              <w:top w:w="15" w:type="dxa"/>
              <w:left w:w="15" w:type="dxa"/>
              <w:bottom w:w="0" w:type="dxa"/>
              <w:right w:w="15" w:type="dxa"/>
            </w:tcMar>
            <w:vAlign w:val="center"/>
          </w:tcPr>
          <w:p w14:paraId="24058473">
            <w:pPr>
              <w:widowControl/>
              <w:spacing w:line="360" w:lineRule="auto"/>
              <w:ind w:firstLine="210"/>
              <w:rPr>
                <w:rFonts w:hint="eastAsia" w:ascii="宋体" w:hAnsi="宋体" w:cs="宋体"/>
              </w:rPr>
            </w:pPr>
            <w:r>
              <w:rPr>
                <w:rFonts w:hint="eastAsia" w:ascii="宋体" w:hAnsi="宋体" w:cs="宋体"/>
              </w:rPr>
              <w:t>供应商拟派项目负责人具备</w:t>
            </w:r>
            <w:r>
              <w:rPr>
                <w:rFonts w:hint="eastAsia" w:ascii="宋体" w:hAnsi="宋体" w:cs="宋体"/>
                <w:lang w:val="en-US" w:eastAsia="zh-CN"/>
              </w:rPr>
              <w:t>公路工程相关专业</w:t>
            </w:r>
            <w:r>
              <w:rPr>
                <w:rFonts w:hint="eastAsia" w:ascii="宋体" w:hAnsi="宋体" w:cs="宋体"/>
              </w:rPr>
              <w:t>中级</w:t>
            </w:r>
            <w:r>
              <w:rPr>
                <w:rFonts w:hint="eastAsia" w:ascii="宋体" w:hAnsi="宋体" w:cs="宋体"/>
                <w:lang w:val="en-US" w:eastAsia="zh-CN"/>
              </w:rPr>
              <w:t>及以上</w:t>
            </w:r>
            <w:r>
              <w:rPr>
                <w:rFonts w:hint="eastAsia" w:ascii="宋体" w:hAnsi="宋体" w:cs="宋体"/>
              </w:rPr>
              <w:t>工程师职称的，得</w:t>
            </w:r>
            <w:r>
              <w:rPr>
                <w:rFonts w:hint="eastAsia" w:ascii="宋体" w:hAnsi="宋体" w:cs="宋体"/>
                <w:lang w:val="en-US" w:eastAsia="zh-CN"/>
              </w:rPr>
              <w:t>2</w:t>
            </w:r>
            <w:r>
              <w:rPr>
                <w:rFonts w:hint="eastAsia" w:ascii="宋体" w:hAnsi="宋体" w:cs="宋体"/>
              </w:rPr>
              <w:t>分；</w:t>
            </w:r>
          </w:p>
          <w:p w14:paraId="3A18116E">
            <w:pPr>
              <w:spacing w:line="360" w:lineRule="auto"/>
              <w:ind w:firstLine="422"/>
            </w:pPr>
            <w:r>
              <w:rPr>
                <w:rFonts w:hint="eastAsia" w:ascii="宋体" w:hAnsi="宋体" w:cs="宋体"/>
                <w:b/>
                <w:bCs/>
              </w:rPr>
              <w:t>注：提供拟派项目负责人职称证及供应商为其缴纳的近三个月中任意一个月的社保证明复印件并加盖供应商公章。仅对供应商所报符合上述要求职称中的最高等次计分，且只计算一次，不重复累计。</w:t>
            </w:r>
          </w:p>
        </w:tc>
        <w:tc>
          <w:tcPr>
            <w:tcW w:w="553" w:type="dxa"/>
            <w:noWrap w:val="0"/>
            <w:tcMar>
              <w:top w:w="15" w:type="dxa"/>
              <w:left w:w="15" w:type="dxa"/>
              <w:bottom w:w="0" w:type="dxa"/>
              <w:right w:w="15" w:type="dxa"/>
            </w:tcMar>
            <w:vAlign w:val="center"/>
          </w:tcPr>
          <w:p w14:paraId="6F468067">
            <w:pPr>
              <w:keepNext w:val="0"/>
              <w:keepLines w:val="0"/>
              <w:pageBreakBefore w:val="0"/>
              <w:spacing w:line="240" w:lineRule="auto"/>
              <w:jc w:val="center"/>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2</w:t>
            </w:r>
          </w:p>
        </w:tc>
      </w:tr>
      <w:tr w14:paraId="58AF1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37" w:hRule="atLeast"/>
          <w:jc w:val="center"/>
        </w:trPr>
        <w:tc>
          <w:tcPr>
            <w:tcW w:w="587" w:type="dxa"/>
            <w:noWrap w:val="0"/>
            <w:tcMar>
              <w:top w:w="15" w:type="dxa"/>
              <w:left w:w="15" w:type="dxa"/>
              <w:bottom w:w="0" w:type="dxa"/>
              <w:right w:w="15" w:type="dxa"/>
            </w:tcMar>
            <w:vAlign w:val="center"/>
          </w:tcPr>
          <w:p w14:paraId="7501D944">
            <w:pPr>
              <w:keepNext w:val="0"/>
              <w:keepLines w:val="0"/>
              <w:pageBreakBefore w:val="0"/>
              <w:spacing w:line="240" w:lineRule="auto"/>
              <w:jc w:val="center"/>
              <w:rPr>
                <w:rFonts w:hint="eastAsia" w:ascii="宋体" w:hAnsi="宋体" w:cs="宋体"/>
                <w:color w:val="000000"/>
                <w:sz w:val="24"/>
                <w:szCs w:val="24"/>
              </w:rPr>
            </w:pPr>
          </w:p>
          <w:p w14:paraId="49A8CFE2">
            <w:pPr>
              <w:keepNext w:val="0"/>
              <w:keepLines w:val="0"/>
              <w:pageBreakBefore w:val="0"/>
              <w:spacing w:line="240" w:lineRule="auto"/>
              <w:jc w:val="center"/>
              <w:rPr>
                <w:rFonts w:hint="eastAsia" w:ascii="宋体" w:hAnsi="宋体" w:cs="宋体"/>
                <w:color w:val="000000"/>
                <w:sz w:val="24"/>
                <w:szCs w:val="24"/>
              </w:rPr>
            </w:pPr>
            <w:r>
              <w:rPr>
                <w:rFonts w:hint="eastAsia" w:ascii="宋体" w:hAnsi="宋体" w:cs="宋体"/>
                <w:color w:val="000000"/>
                <w:sz w:val="24"/>
                <w:szCs w:val="24"/>
              </w:rPr>
              <w:t>2</w:t>
            </w:r>
          </w:p>
        </w:tc>
        <w:tc>
          <w:tcPr>
            <w:tcW w:w="1879" w:type="dxa"/>
            <w:noWrap w:val="0"/>
            <w:tcMar>
              <w:top w:w="15" w:type="dxa"/>
              <w:left w:w="15" w:type="dxa"/>
              <w:bottom w:w="0" w:type="dxa"/>
              <w:right w:w="15" w:type="dxa"/>
            </w:tcMar>
            <w:vAlign w:val="center"/>
          </w:tcPr>
          <w:p w14:paraId="21A4D536">
            <w:pPr>
              <w:keepNext w:val="0"/>
              <w:keepLines w:val="0"/>
              <w:pageBreakBefore w:val="0"/>
              <w:spacing w:line="240" w:lineRule="auto"/>
              <w:jc w:val="center"/>
              <w:rPr>
                <w:rFonts w:ascii="宋体" w:hAnsi="宋体" w:cs="宋体"/>
                <w:color w:val="000000"/>
                <w:sz w:val="24"/>
                <w:szCs w:val="24"/>
                <w:lang w:val="zh-CN" w:bidi="zh-CN"/>
              </w:rPr>
            </w:pPr>
            <w:r>
              <w:rPr>
                <w:rFonts w:hint="eastAsia" w:ascii="宋体" w:hAnsi="宋体" w:cs="宋体"/>
                <w:color w:val="000000"/>
                <w:sz w:val="24"/>
                <w:szCs w:val="24"/>
                <w:lang w:val="zh-CN" w:bidi="zh-CN"/>
              </w:rPr>
              <w:t>供应商业绩</w:t>
            </w:r>
          </w:p>
        </w:tc>
        <w:tc>
          <w:tcPr>
            <w:tcW w:w="6040" w:type="dxa"/>
            <w:noWrap w:val="0"/>
            <w:tcMar>
              <w:top w:w="15" w:type="dxa"/>
              <w:left w:w="15" w:type="dxa"/>
              <w:bottom w:w="0" w:type="dxa"/>
              <w:right w:w="15" w:type="dxa"/>
            </w:tcMar>
            <w:vAlign w:val="center"/>
          </w:tcPr>
          <w:p w14:paraId="04F876E6">
            <w:pPr>
              <w:widowControl/>
              <w:spacing w:line="360" w:lineRule="auto"/>
              <w:ind w:firstLine="210"/>
              <w:rPr>
                <w:rFonts w:hint="eastAsia" w:ascii="宋体" w:hAnsi="宋体" w:cs="宋体"/>
              </w:rPr>
            </w:pPr>
            <w:r>
              <w:rPr>
                <w:rFonts w:hint="eastAsia" w:ascii="宋体" w:hAnsi="宋体" w:cs="宋体"/>
              </w:rPr>
              <w:t>供应商自202</w:t>
            </w:r>
            <w:r>
              <w:rPr>
                <w:rFonts w:hint="eastAsia" w:ascii="宋体" w:hAnsi="宋体" w:cs="宋体"/>
                <w:lang w:val="en-US" w:eastAsia="zh-CN"/>
              </w:rPr>
              <w:t>2</w:t>
            </w:r>
            <w:r>
              <w:rPr>
                <w:rFonts w:hint="eastAsia" w:ascii="宋体" w:hAnsi="宋体" w:cs="宋体"/>
              </w:rPr>
              <w:t>年1月1日至今（以竣工（完工）验收证明材料载明的日期为准）承接并完成过</w:t>
            </w:r>
            <w:r>
              <w:rPr>
                <w:rFonts w:hint="eastAsia" w:ascii="宋体" w:hAnsi="宋体" w:cs="宋体"/>
                <w:b/>
                <w:bCs/>
                <w:u w:val="single"/>
                <w:lang w:val="en-US" w:eastAsia="zh-CN"/>
              </w:rPr>
              <w:t>公路工程</w:t>
            </w:r>
            <w:r>
              <w:rPr>
                <w:rFonts w:hint="eastAsia" w:ascii="宋体" w:hAnsi="宋体" w:cs="宋体"/>
              </w:rPr>
              <w:t>业绩的；每有一个得</w:t>
            </w:r>
            <w:r>
              <w:rPr>
                <w:rFonts w:hint="eastAsia" w:ascii="宋体" w:hAnsi="宋体" w:cs="宋体"/>
                <w:lang w:val="en-US" w:eastAsia="zh-CN"/>
              </w:rPr>
              <w:t>4</w:t>
            </w:r>
            <w:r>
              <w:rPr>
                <w:rFonts w:hint="eastAsia" w:ascii="宋体" w:hAnsi="宋体" w:cs="宋体"/>
              </w:rPr>
              <w:t>分，本项最高得</w:t>
            </w:r>
            <w:r>
              <w:rPr>
                <w:rFonts w:hint="eastAsia" w:ascii="宋体" w:hAnsi="宋体" w:cs="宋体"/>
                <w:lang w:val="en-US" w:eastAsia="zh-CN"/>
              </w:rPr>
              <w:t>12</w:t>
            </w:r>
            <w:r>
              <w:rPr>
                <w:rFonts w:hint="eastAsia" w:ascii="宋体" w:hAnsi="宋体" w:cs="宋体"/>
              </w:rPr>
              <w:t>分。</w:t>
            </w:r>
          </w:p>
          <w:p w14:paraId="4659698E">
            <w:pPr>
              <w:keepNext w:val="0"/>
              <w:keepLines w:val="0"/>
              <w:pageBreakBefore w:val="0"/>
              <w:spacing w:line="360" w:lineRule="auto"/>
              <w:jc w:val="left"/>
            </w:pPr>
            <w:r>
              <w:rPr>
                <w:rFonts w:hint="eastAsia" w:ascii="宋体" w:hAnsi="宋体" w:cs="宋体"/>
                <w:b/>
                <w:bCs/>
              </w:rPr>
              <w:t>注：①业绩证明材料须同时提供成交通知书或</w:t>
            </w:r>
            <w:r>
              <w:rPr>
                <w:rFonts w:hint="eastAsia" w:ascii="宋体" w:hAnsi="宋体" w:cs="宋体"/>
                <w:b/>
                <w:bCs/>
                <w:lang w:val="en-US" w:eastAsia="zh-CN"/>
              </w:rPr>
              <w:t>中标</w:t>
            </w:r>
            <w:r>
              <w:rPr>
                <w:rFonts w:hint="eastAsia" w:ascii="宋体" w:hAnsi="宋体" w:cs="宋体"/>
                <w:b/>
                <w:bCs/>
              </w:rPr>
              <w:t>通知书（直接发包项目如没有成交通知书或</w:t>
            </w:r>
            <w:r>
              <w:rPr>
                <w:rFonts w:hint="eastAsia" w:ascii="宋体" w:hAnsi="宋体" w:cs="宋体"/>
                <w:b/>
                <w:bCs/>
                <w:lang w:val="en-US" w:eastAsia="zh-CN"/>
              </w:rPr>
              <w:t>中标</w:t>
            </w:r>
            <w:r>
              <w:rPr>
                <w:rFonts w:hint="eastAsia" w:ascii="宋体" w:hAnsi="宋体" w:cs="宋体"/>
                <w:b/>
                <w:bCs/>
              </w:rPr>
              <w:t>通知书，须提供采购方出具的加盖单位公章的直接发包证明）、施工合同及竣工验收证明材料复印件加盖供应商公章，缺一不可，否则不得分。②如业绩证明材料中的内容不能体现业绩内容的，则须提供其他相关佐证材料，如：业绩工程的预算（或招标控制价）或图纸或业绩采购方出具的加盖单位公章的证明等。</w:t>
            </w:r>
          </w:p>
        </w:tc>
        <w:tc>
          <w:tcPr>
            <w:tcW w:w="553" w:type="dxa"/>
            <w:noWrap w:val="0"/>
            <w:tcMar>
              <w:top w:w="15" w:type="dxa"/>
              <w:left w:w="15" w:type="dxa"/>
              <w:bottom w:w="0" w:type="dxa"/>
              <w:right w:w="15" w:type="dxa"/>
            </w:tcMar>
            <w:vAlign w:val="center"/>
          </w:tcPr>
          <w:p w14:paraId="7E77429B">
            <w:pPr>
              <w:keepNext w:val="0"/>
              <w:keepLines w:val="0"/>
              <w:pageBreakBefore w:val="0"/>
              <w:spacing w:line="240" w:lineRule="auto"/>
              <w:jc w:val="center"/>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12</w:t>
            </w:r>
          </w:p>
        </w:tc>
      </w:tr>
      <w:tr w14:paraId="1A93B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37" w:hRule="atLeast"/>
          <w:jc w:val="center"/>
        </w:trPr>
        <w:tc>
          <w:tcPr>
            <w:tcW w:w="587" w:type="dxa"/>
            <w:noWrap w:val="0"/>
            <w:tcMar>
              <w:top w:w="15" w:type="dxa"/>
              <w:left w:w="15" w:type="dxa"/>
              <w:bottom w:w="0" w:type="dxa"/>
              <w:right w:w="15" w:type="dxa"/>
            </w:tcMar>
            <w:vAlign w:val="center"/>
          </w:tcPr>
          <w:p w14:paraId="5BDAB3EA">
            <w:pPr>
              <w:keepNext w:val="0"/>
              <w:keepLines w:val="0"/>
              <w:pageBreakBefore w:val="0"/>
              <w:spacing w:line="240" w:lineRule="auto"/>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3</w:t>
            </w:r>
          </w:p>
        </w:tc>
        <w:tc>
          <w:tcPr>
            <w:tcW w:w="1879" w:type="dxa"/>
            <w:noWrap w:val="0"/>
            <w:tcMar>
              <w:top w:w="15" w:type="dxa"/>
              <w:left w:w="15" w:type="dxa"/>
              <w:bottom w:w="0" w:type="dxa"/>
              <w:right w:w="15" w:type="dxa"/>
            </w:tcMar>
            <w:vAlign w:val="center"/>
          </w:tcPr>
          <w:p w14:paraId="2322105C">
            <w:pPr>
              <w:keepNext w:val="0"/>
              <w:keepLines w:val="0"/>
              <w:pageBreakBefore w:val="0"/>
              <w:spacing w:line="240" w:lineRule="auto"/>
              <w:jc w:val="center"/>
              <w:rPr>
                <w:rFonts w:ascii="宋体" w:hAnsi="宋体" w:cs="宋体"/>
                <w:color w:val="000000"/>
                <w:sz w:val="24"/>
                <w:szCs w:val="24"/>
                <w:lang w:val="en-US" w:bidi="zh-CN"/>
              </w:rPr>
            </w:pPr>
            <w:r>
              <w:rPr>
                <w:rFonts w:hint="eastAsia" w:ascii="宋体" w:hAnsi="宋体" w:cs="宋体"/>
                <w:color w:val="000000"/>
                <w:sz w:val="24"/>
                <w:szCs w:val="24"/>
                <w:lang w:val="en-US" w:bidi="zh-CN"/>
              </w:rPr>
              <w:t>体系认证</w:t>
            </w:r>
          </w:p>
        </w:tc>
        <w:tc>
          <w:tcPr>
            <w:tcW w:w="6040" w:type="dxa"/>
            <w:noWrap w:val="0"/>
            <w:tcMar>
              <w:top w:w="15" w:type="dxa"/>
              <w:left w:w="15" w:type="dxa"/>
              <w:bottom w:w="0" w:type="dxa"/>
              <w:right w:w="15" w:type="dxa"/>
            </w:tcMar>
            <w:vAlign w:val="center"/>
          </w:tcPr>
          <w:p w14:paraId="51A24E61">
            <w:pPr>
              <w:keepNext w:val="0"/>
              <w:keepLines w:val="0"/>
              <w:pageBreakBefore w:val="0"/>
              <w:spacing w:line="360" w:lineRule="auto"/>
              <w:ind w:firstLine="211"/>
              <w:jc w:val="left"/>
              <w:rPr>
                <w:rFonts w:hint="eastAsia" w:ascii="宋体" w:hAnsi="宋体" w:cs="宋体"/>
                <w:b/>
                <w:bCs/>
              </w:rPr>
            </w:pPr>
            <w:r>
              <w:rPr>
                <w:rFonts w:hint="eastAsia" w:ascii="宋体" w:hAnsi="宋体" w:cs="宋体"/>
                <w:b/>
                <w:bCs/>
              </w:rPr>
              <w:t>供应商具有有效的质量管理体系认证、环境管理体系认证、职业健康安全管理体系认证证书的，每有一个得</w:t>
            </w:r>
            <w:r>
              <w:rPr>
                <w:rFonts w:hint="eastAsia" w:ascii="宋体" w:hAnsi="宋体" w:cs="宋体"/>
                <w:b/>
                <w:bCs/>
                <w:lang w:val="en-US" w:eastAsia="zh-CN"/>
              </w:rPr>
              <w:t>2</w:t>
            </w:r>
            <w:r>
              <w:rPr>
                <w:rFonts w:hint="eastAsia" w:ascii="宋体" w:hAnsi="宋体" w:cs="宋体"/>
                <w:b/>
                <w:bCs/>
              </w:rPr>
              <w:t>分，本项最多得</w:t>
            </w:r>
            <w:r>
              <w:rPr>
                <w:rFonts w:hint="eastAsia" w:ascii="宋体" w:hAnsi="宋体" w:cs="宋体"/>
                <w:b/>
                <w:bCs/>
                <w:lang w:val="en-US" w:eastAsia="zh-CN"/>
              </w:rPr>
              <w:t>6</w:t>
            </w:r>
            <w:r>
              <w:rPr>
                <w:rFonts w:hint="eastAsia" w:ascii="宋体" w:hAnsi="宋体" w:cs="宋体"/>
                <w:b/>
                <w:bCs/>
              </w:rPr>
              <w:t>分。</w:t>
            </w:r>
          </w:p>
          <w:p w14:paraId="52C5A67C">
            <w:pPr>
              <w:keepNext w:val="0"/>
              <w:keepLines w:val="0"/>
              <w:pageBreakBefore w:val="0"/>
              <w:spacing w:line="360" w:lineRule="auto"/>
              <w:jc w:val="left"/>
              <w:rPr>
                <w:rFonts w:hint="eastAsia" w:ascii="宋体" w:hAnsi="宋体" w:cs="宋体"/>
                <w:b/>
                <w:bCs/>
              </w:rPr>
            </w:pPr>
            <w:r>
              <w:rPr>
                <w:rFonts w:hint="eastAsia" w:ascii="宋体" w:hAnsi="宋体" w:cs="宋体"/>
                <w:b/>
                <w:bCs/>
              </w:rPr>
              <w:t>注：证书均必须在有效期内并能够在国家认证认可监督管理委员会网址可查询且查询状态为有效。查询网址：http://cx.cnca.cn/CertECloud/index/index/page，并提供相应证书原件及查询的网页截图复印件加盖公章/扫描件，否则不得分。</w:t>
            </w:r>
          </w:p>
        </w:tc>
        <w:tc>
          <w:tcPr>
            <w:tcW w:w="553" w:type="dxa"/>
            <w:noWrap w:val="0"/>
            <w:tcMar>
              <w:top w:w="15" w:type="dxa"/>
              <w:left w:w="15" w:type="dxa"/>
              <w:bottom w:w="0" w:type="dxa"/>
              <w:right w:w="15" w:type="dxa"/>
            </w:tcMar>
            <w:vAlign w:val="center"/>
          </w:tcPr>
          <w:p w14:paraId="3C8B89E4">
            <w:pPr>
              <w:keepNext w:val="0"/>
              <w:keepLines w:val="0"/>
              <w:pageBreakBefore w:val="0"/>
              <w:spacing w:line="240" w:lineRule="auto"/>
              <w:jc w:val="center"/>
              <w:rPr>
                <w:rFonts w:ascii="宋体" w:hAnsi="宋体" w:cs="宋体"/>
                <w:color w:val="000000"/>
                <w:sz w:val="24"/>
                <w:szCs w:val="24"/>
                <w:lang w:val="en-US" w:eastAsia="zh-CN"/>
              </w:rPr>
            </w:pPr>
            <w:r>
              <w:rPr>
                <w:rFonts w:hint="eastAsia" w:ascii="宋体" w:hAnsi="宋体" w:cs="宋体"/>
                <w:color w:val="000000"/>
                <w:sz w:val="24"/>
                <w:szCs w:val="24"/>
                <w:lang w:val="en-US" w:eastAsia="zh-CN"/>
              </w:rPr>
              <w:t>6</w:t>
            </w:r>
          </w:p>
        </w:tc>
      </w:tr>
      <w:tr w14:paraId="2B5F4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72" w:hRule="atLeast"/>
          <w:jc w:val="center"/>
        </w:trPr>
        <w:tc>
          <w:tcPr>
            <w:tcW w:w="587" w:type="dxa"/>
            <w:noWrap w:val="0"/>
            <w:tcMar>
              <w:top w:w="15" w:type="dxa"/>
              <w:left w:w="15" w:type="dxa"/>
              <w:bottom w:w="0" w:type="dxa"/>
              <w:right w:w="15" w:type="dxa"/>
            </w:tcMar>
            <w:vAlign w:val="center"/>
          </w:tcPr>
          <w:p w14:paraId="17ACB8B0">
            <w:pPr>
              <w:keepNext w:val="0"/>
              <w:keepLines w:val="0"/>
              <w:pageBreakBefore w:val="0"/>
              <w:spacing w:line="240" w:lineRule="auto"/>
              <w:jc w:val="center"/>
              <w:rPr>
                <w:rFonts w:ascii="宋体" w:hAnsi="宋体" w:cs="宋体"/>
                <w:color w:val="000000"/>
                <w:sz w:val="24"/>
                <w:szCs w:val="24"/>
              </w:rPr>
            </w:pPr>
            <w:r>
              <w:rPr>
                <w:rFonts w:hint="eastAsia" w:ascii="宋体" w:hAnsi="宋体" w:cs="宋体"/>
                <w:color w:val="000000"/>
                <w:sz w:val="24"/>
                <w:szCs w:val="24"/>
              </w:rPr>
              <w:t>三</w:t>
            </w:r>
          </w:p>
        </w:tc>
        <w:tc>
          <w:tcPr>
            <w:tcW w:w="7919" w:type="dxa"/>
            <w:gridSpan w:val="2"/>
            <w:noWrap w:val="0"/>
            <w:tcMar>
              <w:top w:w="15" w:type="dxa"/>
              <w:left w:w="15" w:type="dxa"/>
              <w:bottom w:w="0" w:type="dxa"/>
              <w:right w:w="15" w:type="dxa"/>
            </w:tcMar>
            <w:vAlign w:val="center"/>
          </w:tcPr>
          <w:p w14:paraId="3C5B7CA3">
            <w:pPr>
              <w:keepNext w:val="0"/>
              <w:keepLines w:val="0"/>
              <w:pageBreakBefore w:val="0"/>
              <w:widowControl/>
              <w:spacing w:line="360" w:lineRule="auto"/>
              <w:jc w:val="center"/>
              <w:rPr>
                <w:rFonts w:ascii="宋体" w:hAnsi="宋体" w:cs="宋体"/>
                <w:b/>
                <w:color w:val="000000"/>
                <w:sz w:val="24"/>
                <w:szCs w:val="24"/>
              </w:rPr>
            </w:pPr>
            <w:r>
              <w:rPr>
                <w:rFonts w:hint="eastAsia" w:ascii="宋体" w:hAnsi="宋体" w:cs="宋体"/>
                <w:b/>
                <w:color w:val="000000"/>
                <w:sz w:val="24"/>
                <w:szCs w:val="24"/>
              </w:rPr>
              <w:t>技术部分</w:t>
            </w:r>
          </w:p>
        </w:tc>
        <w:tc>
          <w:tcPr>
            <w:tcW w:w="553" w:type="dxa"/>
            <w:noWrap w:val="0"/>
            <w:tcMar>
              <w:top w:w="15" w:type="dxa"/>
              <w:left w:w="15" w:type="dxa"/>
              <w:bottom w:w="0" w:type="dxa"/>
              <w:right w:w="15" w:type="dxa"/>
            </w:tcMar>
            <w:vAlign w:val="center"/>
          </w:tcPr>
          <w:p w14:paraId="3E88B6B5">
            <w:pPr>
              <w:keepNext w:val="0"/>
              <w:keepLines w:val="0"/>
              <w:pageBreakBefore w:val="0"/>
              <w:spacing w:line="240" w:lineRule="auto"/>
              <w:jc w:val="center"/>
              <w:rPr>
                <w:rFonts w:ascii="宋体" w:hAnsi="宋体" w:eastAsia="宋体" w:cs="宋体"/>
                <w:b/>
                <w:color w:val="000000"/>
                <w:sz w:val="24"/>
                <w:szCs w:val="24"/>
                <w:lang w:val="en-US" w:eastAsia="zh-CN"/>
              </w:rPr>
            </w:pPr>
            <w:r>
              <w:rPr>
                <w:rFonts w:hint="eastAsia" w:ascii="宋体" w:hAnsi="宋体" w:cs="宋体"/>
                <w:b/>
                <w:color w:val="000000"/>
                <w:sz w:val="24"/>
                <w:szCs w:val="24"/>
                <w:lang w:val="en-US" w:eastAsia="zh-CN"/>
              </w:rPr>
              <w:t>50</w:t>
            </w:r>
          </w:p>
        </w:tc>
      </w:tr>
      <w:tr w14:paraId="6BC63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87" w:type="dxa"/>
            <w:noWrap w:val="0"/>
            <w:tcMar>
              <w:top w:w="15" w:type="dxa"/>
              <w:left w:w="15" w:type="dxa"/>
              <w:bottom w:w="0" w:type="dxa"/>
              <w:right w:w="15" w:type="dxa"/>
            </w:tcMar>
            <w:vAlign w:val="center"/>
          </w:tcPr>
          <w:p w14:paraId="305CFB56">
            <w:pPr>
              <w:spacing w:line="360" w:lineRule="exact"/>
              <w:jc w:val="center"/>
              <w:rPr>
                <w:rFonts w:ascii="宋体" w:hAnsi="宋体" w:cs="宋体"/>
                <w:color w:val="000000"/>
                <w:sz w:val="24"/>
                <w:szCs w:val="24"/>
              </w:rPr>
            </w:pPr>
            <w:r>
              <w:rPr>
                <w:rFonts w:hint="eastAsia" w:ascii="宋体" w:hAnsi="宋体" w:cs="宋体"/>
                <w:color w:val="000000"/>
                <w:sz w:val="24"/>
                <w:szCs w:val="24"/>
              </w:rPr>
              <w:t>1</w:t>
            </w:r>
          </w:p>
        </w:tc>
        <w:tc>
          <w:tcPr>
            <w:tcW w:w="1879" w:type="dxa"/>
            <w:noWrap w:val="0"/>
            <w:tcMar>
              <w:top w:w="15" w:type="dxa"/>
              <w:left w:w="15" w:type="dxa"/>
              <w:bottom w:w="0" w:type="dxa"/>
              <w:right w:w="15" w:type="dxa"/>
            </w:tcMar>
            <w:vAlign w:val="center"/>
          </w:tcPr>
          <w:p w14:paraId="086CF509">
            <w:pPr>
              <w:widowControl/>
              <w:spacing w:line="288" w:lineRule="auto"/>
              <w:jc w:val="center"/>
              <w:rPr>
                <w:rFonts w:hint="eastAsia" w:ascii="宋体" w:hAnsi="宋体" w:cs="宋体"/>
              </w:rPr>
            </w:pPr>
            <w:r>
              <w:rPr>
                <w:rFonts w:hint="eastAsia" w:ascii="宋体" w:hAnsi="宋体" w:cs="宋体"/>
              </w:rPr>
              <w:t>工程概述、总体安排、及施工部署等</w:t>
            </w:r>
          </w:p>
          <w:p w14:paraId="08283C42">
            <w:pPr>
              <w:widowControl/>
              <w:spacing w:line="288" w:lineRule="auto"/>
              <w:jc w:val="center"/>
              <w:rPr>
                <w:rFonts w:ascii="宋体" w:hAnsi="宋体" w:cs="宋体"/>
                <w:color w:val="000000"/>
                <w:sz w:val="24"/>
                <w:szCs w:val="24"/>
              </w:rPr>
            </w:pPr>
            <w:r>
              <w:rPr>
                <w:rFonts w:hint="eastAsia" w:ascii="宋体" w:hAnsi="宋体" w:cs="宋体"/>
              </w:rPr>
              <w:t>（</w:t>
            </w:r>
            <w:r>
              <w:rPr>
                <w:rFonts w:hint="eastAsia" w:ascii="宋体" w:hAnsi="宋体" w:cs="宋体"/>
                <w:lang w:val="en-US" w:eastAsia="zh-CN"/>
              </w:rPr>
              <w:t>10</w:t>
            </w:r>
            <w:r>
              <w:rPr>
                <w:rFonts w:hint="eastAsia" w:ascii="宋体" w:hAnsi="宋体" w:cs="宋体"/>
              </w:rPr>
              <w:t>分）</w:t>
            </w:r>
          </w:p>
        </w:tc>
        <w:tc>
          <w:tcPr>
            <w:tcW w:w="6040" w:type="dxa"/>
            <w:noWrap w:val="0"/>
            <w:vAlign w:val="center"/>
          </w:tcPr>
          <w:p w14:paraId="781BE1A8">
            <w:pPr>
              <w:widowControl/>
              <w:spacing w:line="360" w:lineRule="auto"/>
              <w:jc w:val="left"/>
              <w:rPr>
                <w:rFonts w:ascii="宋体" w:hAnsi="宋体" w:cs="宋体"/>
                <w:color w:val="000000"/>
                <w:sz w:val="24"/>
                <w:szCs w:val="24"/>
              </w:rPr>
            </w:pPr>
            <w:r>
              <w:rPr>
                <w:rFonts w:hint="eastAsia" w:ascii="宋体" w:hAnsi="宋体" w:cs="宋体"/>
              </w:rPr>
              <w:t>根据投标人提供的本工程的工程概述、总体安排、及施工部署等内容进行评分：细致全面、合理、完全响应需求，技术可行性强得</w:t>
            </w:r>
            <w:r>
              <w:rPr>
                <w:rFonts w:hint="eastAsia" w:ascii="宋体" w:hAnsi="宋体" w:cs="宋体"/>
                <w:lang w:val="en-US" w:eastAsia="zh-CN"/>
              </w:rPr>
              <w:t>10</w:t>
            </w:r>
            <w:r>
              <w:rPr>
                <w:rFonts w:hint="eastAsia" w:ascii="宋体" w:hAnsi="宋体" w:cs="宋体"/>
              </w:rPr>
              <w:t>分；较为完整、基本响应需求的得</w:t>
            </w:r>
            <w:r>
              <w:rPr>
                <w:rFonts w:hint="eastAsia" w:ascii="宋体" w:hAnsi="宋体" w:cs="宋体"/>
                <w:lang w:val="en-US" w:eastAsia="zh-CN"/>
              </w:rPr>
              <w:t>7</w:t>
            </w:r>
            <w:r>
              <w:rPr>
                <w:rFonts w:hint="eastAsia" w:ascii="宋体" w:hAnsi="宋体" w:cs="宋体"/>
              </w:rPr>
              <w:t>分；不完全、响应度低、技术可行性低得</w:t>
            </w:r>
            <w:r>
              <w:rPr>
                <w:rFonts w:hint="eastAsia" w:ascii="宋体" w:hAnsi="宋体" w:cs="宋体"/>
                <w:lang w:val="en-US" w:eastAsia="zh-CN"/>
              </w:rPr>
              <w:t>4分</w:t>
            </w:r>
            <w:bookmarkStart w:id="479" w:name="_GoBack"/>
            <w:bookmarkEnd w:id="479"/>
            <w:r>
              <w:rPr>
                <w:rFonts w:hint="eastAsia" w:ascii="宋体" w:hAnsi="宋体" w:cs="宋体"/>
              </w:rPr>
              <w:t>；不提供不得分。</w:t>
            </w:r>
          </w:p>
        </w:tc>
        <w:tc>
          <w:tcPr>
            <w:tcW w:w="553" w:type="dxa"/>
            <w:noWrap w:val="0"/>
            <w:tcMar>
              <w:top w:w="15" w:type="dxa"/>
              <w:left w:w="15" w:type="dxa"/>
              <w:bottom w:w="0" w:type="dxa"/>
              <w:right w:w="15" w:type="dxa"/>
            </w:tcMar>
            <w:vAlign w:val="center"/>
          </w:tcPr>
          <w:p w14:paraId="64336B6A">
            <w:pPr>
              <w:spacing w:line="360" w:lineRule="exact"/>
              <w:jc w:val="center"/>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10</w:t>
            </w:r>
          </w:p>
        </w:tc>
      </w:tr>
      <w:tr w14:paraId="53C6B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87" w:type="dxa"/>
            <w:noWrap w:val="0"/>
            <w:tcMar>
              <w:top w:w="15" w:type="dxa"/>
              <w:left w:w="15" w:type="dxa"/>
              <w:bottom w:w="0" w:type="dxa"/>
              <w:right w:w="15" w:type="dxa"/>
            </w:tcMar>
            <w:vAlign w:val="center"/>
          </w:tcPr>
          <w:p w14:paraId="4F0410E9">
            <w:pPr>
              <w:spacing w:line="360" w:lineRule="exact"/>
              <w:jc w:val="center"/>
              <w:rPr>
                <w:rFonts w:ascii="宋体" w:hAnsi="宋体" w:cs="宋体"/>
                <w:color w:val="000000"/>
                <w:sz w:val="24"/>
                <w:szCs w:val="24"/>
              </w:rPr>
            </w:pPr>
            <w:r>
              <w:rPr>
                <w:rFonts w:hint="eastAsia" w:ascii="宋体" w:hAnsi="宋体" w:cs="宋体"/>
                <w:color w:val="000000"/>
                <w:sz w:val="24"/>
                <w:szCs w:val="24"/>
              </w:rPr>
              <w:t>2</w:t>
            </w:r>
          </w:p>
        </w:tc>
        <w:tc>
          <w:tcPr>
            <w:tcW w:w="1879" w:type="dxa"/>
            <w:noWrap w:val="0"/>
            <w:tcMar>
              <w:top w:w="15" w:type="dxa"/>
              <w:left w:w="15" w:type="dxa"/>
              <w:bottom w:w="0" w:type="dxa"/>
              <w:right w:w="15" w:type="dxa"/>
            </w:tcMar>
            <w:vAlign w:val="center"/>
          </w:tcPr>
          <w:p w14:paraId="29C626F1">
            <w:pPr>
              <w:widowControl/>
              <w:spacing w:line="288" w:lineRule="auto"/>
              <w:jc w:val="center"/>
              <w:rPr>
                <w:rFonts w:ascii="宋体" w:hAnsi="宋体" w:cs="宋体"/>
                <w:color w:val="000000"/>
                <w:sz w:val="24"/>
                <w:szCs w:val="24"/>
              </w:rPr>
            </w:pPr>
            <w:r>
              <w:rPr>
                <w:rFonts w:hint="eastAsia" w:ascii="宋体" w:hAnsi="宋体" w:cs="宋体"/>
              </w:rPr>
              <w:t>关于本工程施工进度计划的描述，以及为完成该计划所定措施（</w:t>
            </w:r>
            <w:r>
              <w:rPr>
                <w:rFonts w:hint="eastAsia" w:ascii="宋体" w:hAnsi="宋体" w:cs="宋体"/>
                <w:lang w:val="en-US" w:eastAsia="zh-CN"/>
              </w:rPr>
              <w:t>10</w:t>
            </w:r>
            <w:r>
              <w:rPr>
                <w:rFonts w:hint="eastAsia" w:ascii="宋体" w:hAnsi="宋体" w:cs="宋体"/>
              </w:rPr>
              <w:t>分）</w:t>
            </w:r>
          </w:p>
        </w:tc>
        <w:tc>
          <w:tcPr>
            <w:tcW w:w="6040" w:type="dxa"/>
            <w:noWrap w:val="0"/>
            <w:vAlign w:val="center"/>
          </w:tcPr>
          <w:p w14:paraId="162B2602">
            <w:pPr>
              <w:widowControl/>
              <w:spacing w:line="360" w:lineRule="auto"/>
              <w:jc w:val="left"/>
              <w:rPr>
                <w:rFonts w:ascii="宋体" w:hAnsi="宋体" w:cs="宋体"/>
                <w:color w:val="000000"/>
                <w:sz w:val="24"/>
                <w:szCs w:val="24"/>
              </w:rPr>
            </w:pPr>
            <w:r>
              <w:rPr>
                <w:rFonts w:hint="eastAsia" w:ascii="宋体" w:hAnsi="宋体" w:cs="宋体"/>
              </w:rPr>
              <w:t>根据本工程施工进度计划的描述，以及为完成该计划所定措施等内容进行评分：细致全面、合理、完全响应需求，技术可行性强得</w:t>
            </w:r>
            <w:r>
              <w:rPr>
                <w:rFonts w:hint="eastAsia" w:ascii="宋体" w:hAnsi="宋体" w:cs="宋体"/>
                <w:lang w:val="en-US" w:eastAsia="zh-CN"/>
              </w:rPr>
              <w:t>10</w:t>
            </w:r>
            <w:r>
              <w:rPr>
                <w:rFonts w:hint="eastAsia" w:ascii="宋体" w:hAnsi="宋体" w:cs="宋体"/>
              </w:rPr>
              <w:t>分；较为完整、基本响应需求的得</w:t>
            </w:r>
            <w:r>
              <w:rPr>
                <w:rFonts w:hint="eastAsia" w:ascii="宋体" w:hAnsi="宋体" w:cs="宋体"/>
                <w:lang w:val="en-US" w:eastAsia="zh-CN"/>
              </w:rPr>
              <w:t>7</w:t>
            </w:r>
            <w:r>
              <w:rPr>
                <w:rFonts w:hint="eastAsia" w:ascii="宋体" w:hAnsi="宋体" w:cs="宋体"/>
              </w:rPr>
              <w:t>分；不完全、响应度低、技术可行性低得</w:t>
            </w:r>
            <w:r>
              <w:rPr>
                <w:rFonts w:hint="eastAsia" w:ascii="宋体" w:hAnsi="宋体" w:cs="宋体"/>
                <w:lang w:val="en-US" w:eastAsia="zh-CN"/>
              </w:rPr>
              <w:t>4</w:t>
            </w:r>
            <w:r>
              <w:rPr>
                <w:rFonts w:hint="eastAsia" w:ascii="宋体" w:hAnsi="宋体" w:cs="宋体"/>
              </w:rPr>
              <w:t>分；不提供不得分。</w:t>
            </w:r>
          </w:p>
        </w:tc>
        <w:tc>
          <w:tcPr>
            <w:tcW w:w="553" w:type="dxa"/>
            <w:noWrap w:val="0"/>
            <w:tcMar>
              <w:top w:w="15" w:type="dxa"/>
              <w:left w:w="15" w:type="dxa"/>
              <w:bottom w:w="0" w:type="dxa"/>
              <w:right w:w="15" w:type="dxa"/>
            </w:tcMar>
            <w:vAlign w:val="center"/>
          </w:tcPr>
          <w:p w14:paraId="7ACA09C6">
            <w:pPr>
              <w:spacing w:line="360" w:lineRule="exact"/>
              <w:jc w:val="center"/>
              <w:rPr>
                <w:rFonts w:ascii="宋体" w:hAnsi="宋体" w:cs="宋体"/>
                <w:color w:val="000000"/>
                <w:sz w:val="24"/>
                <w:szCs w:val="24"/>
                <w:lang w:val="en-US"/>
              </w:rPr>
            </w:pPr>
            <w:r>
              <w:rPr>
                <w:rFonts w:hint="eastAsia" w:ascii="宋体" w:hAnsi="宋体" w:cs="宋体"/>
                <w:color w:val="000000"/>
                <w:sz w:val="24"/>
                <w:szCs w:val="24"/>
                <w:lang w:val="en-US" w:eastAsia="zh-CN"/>
              </w:rPr>
              <w:t>10</w:t>
            </w:r>
          </w:p>
        </w:tc>
      </w:tr>
      <w:tr w14:paraId="3742E0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82" w:hRule="atLeast"/>
          <w:jc w:val="center"/>
        </w:trPr>
        <w:tc>
          <w:tcPr>
            <w:tcW w:w="587" w:type="dxa"/>
            <w:noWrap w:val="0"/>
            <w:tcMar>
              <w:top w:w="15" w:type="dxa"/>
              <w:left w:w="15" w:type="dxa"/>
              <w:bottom w:w="0" w:type="dxa"/>
              <w:right w:w="15" w:type="dxa"/>
            </w:tcMar>
            <w:vAlign w:val="center"/>
          </w:tcPr>
          <w:p w14:paraId="7109A736">
            <w:pPr>
              <w:spacing w:line="360" w:lineRule="exact"/>
              <w:jc w:val="center"/>
              <w:rPr>
                <w:rFonts w:ascii="宋体" w:hAnsi="宋体" w:cs="宋体"/>
                <w:color w:val="000000"/>
                <w:sz w:val="24"/>
                <w:szCs w:val="24"/>
              </w:rPr>
            </w:pPr>
            <w:r>
              <w:rPr>
                <w:rFonts w:hint="eastAsia" w:ascii="宋体" w:hAnsi="宋体" w:cs="宋体"/>
                <w:color w:val="000000"/>
                <w:sz w:val="24"/>
                <w:szCs w:val="24"/>
              </w:rPr>
              <w:t>3</w:t>
            </w:r>
          </w:p>
        </w:tc>
        <w:tc>
          <w:tcPr>
            <w:tcW w:w="1879" w:type="dxa"/>
            <w:noWrap w:val="0"/>
            <w:tcMar>
              <w:top w:w="15" w:type="dxa"/>
              <w:left w:w="15" w:type="dxa"/>
              <w:bottom w:w="0" w:type="dxa"/>
              <w:right w:w="15" w:type="dxa"/>
            </w:tcMar>
            <w:vAlign w:val="center"/>
          </w:tcPr>
          <w:p w14:paraId="7862B16F">
            <w:pPr>
              <w:widowControl/>
              <w:spacing w:line="288" w:lineRule="auto"/>
              <w:jc w:val="center"/>
              <w:rPr>
                <w:rFonts w:hint="eastAsia" w:ascii="宋体" w:hAnsi="宋体" w:cs="宋体"/>
              </w:rPr>
            </w:pPr>
            <w:r>
              <w:rPr>
                <w:rFonts w:hint="eastAsia" w:ascii="宋体" w:hAnsi="宋体" w:cs="宋体"/>
              </w:rPr>
              <w:t>工程分部分项工程的施工方案、关键施工技术、工艺及工程项目实施的重点、难点和解决方案、具体施工技术措施</w:t>
            </w:r>
          </w:p>
          <w:p w14:paraId="33D3F2A0">
            <w:pPr>
              <w:widowControl/>
              <w:spacing w:line="288" w:lineRule="auto"/>
              <w:jc w:val="center"/>
              <w:rPr>
                <w:rFonts w:ascii="宋体" w:hAnsi="宋体" w:cs="宋体"/>
                <w:color w:val="000000"/>
                <w:sz w:val="24"/>
                <w:szCs w:val="24"/>
              </w:rPr>
            </w:pPr>
            <w:r>
              <w:rPr>
                <w:rFonts w:hint="eastAsia" w:ascii="宋体" w:hAnsi="宋体" w:cs="宋体"/>
              </w:rPr>
              <w:t>（</w:t>
            </w:r>
            <w:r>
              <w:rPr>
                <w:rFonts w:hint="eastAsia" w:ascii="宋体" w:hAnsi="宋体" w:cs="宋体"/>
                <w:lang w:val="en-US" w:eastAsia="zh-CN"/>
              </w:rPr>
              <w:t>10</w:t>
            </w:r>
            <w:r>
              <w:rPr>
                <w:rFonts w:hint="eastAsia" w:ascii="宋体" w:hAnsi="宋体" w:cs="宋体"/>
              </w:rPr>
              <w:t>分）</w:t>
            </w:r>
          </w:p>
        </w:tc>
        <w:tc>
          <w:tcPr>
            <w:tcW w:w="6040" w:type="dxa"/>
            <w:noWrap w:val="0"/>
            <w:vAlign w:val="center"/>
          </w:tcPr>
          <w:p w14:paraId="78DD31C2">
            <w:pPr>
              <w:widowControl/>
              <w:spacing w:line="360" w:lineRule="auto"/>
              <w:jc w:val="left"/>
              <w:rPr>
                <w:rFonts w:ascii="宋体" w:hAnsi="宋体" w:cs="宋体"/>
                <w:color w:val="000000"/>
                <w:sz w:val="24"/>
                <w:szCs w:val="24"/>
              </w:rPr>
            </w:pPr>
            <w:r>
              <w:rPr>
                <w:rFonts w:hint="eastAsia" w:ascii="宋体" w:hAnsi="宋体" w:cs="宋体"/>
              </w:rPr>
              <w:t>根据投标人提供的本工程的施工方案、关键施工技术、工艺及工程项目实施的重点、难点和解决方案、具体施工技术措施等内容进行评分：细致全面、合理、完全响应需求，技术可行性强得</w:t>
            </w:r>
            <w:r>
              <w:rPr>
                <w:rFonts w:hint="eastAsia" w:ascii="宋体" w:hAnsi="宋体" w:cs="宋体"/>
                <w:lang w:val="en-US" w:eastAsia="zh-CN"/>
              </w:rPr>
              <w:t>10</w:t>
            </w:r>
            <w:r>
              <w:rPr>
                <w:rFonts w:hint="eastAsia" w:ascii="宋体" w:hAnsi="宋体" w:cs="宋体"/>
              </w:rPr>
              <w:t>分；较为完整、基本响应需求的得</w:t>
            </w:r>
            <w:r>
              <w:rPr>
                <w:rFonts w:hint="eastAsia" w:ascii="宋体" w:hAnsi="宋体" w:cs="宋体"/>
                <w:lang w:val="en-US" w:eastAsia="zh-CN"/>
              </w:rPr>
              <w:t>7分</w:t>
            </w:r>
            <w:r>
              <w:rPr>
                <w:rFonts w:hint="eastAsia" w:ascii="宋体" w:hAnsi="宋体" w:cs="宋体"/>
              </w:rPr>
              <w:t>；不完全、响应度低、技术可行性低得</w:t>
            </w:r>
            <w:r>
              <w:rPr>
                <w:rFonts w:hint="eastAsia" w:ascii="宋体" w:hAnsi="宋体" w:cs="宋体"/>
                <w:lang w:val="en-US" w:eastAsia="zh-CN"/>
              </w:rPr>
              <w:t>4</w:t>
            </w:r>
            <w:r>
              <w:rPr>
                <w:rFonts w:hint="eastAsia" w:ascii="宋体" w:hAnsi="宋体" w:cs="宋体"/>
              </w:rPr>
              <w:t>分；不提供不得分。</w:t>
            </w:r>
          </w:p>
        </w:tc>
        <w:tc>
          <w:tcPr>
            <w:tcW w:w="553" w:type="dxa"/>
            <w:noWrap w:val="0"/>
            <w:tcMar>
              <w:top w:w="15" w:type="dxa"/>
              <w:left w:w="15" w:type="dxa"/>
              <w:bottom w:w="0" w:type="dxa"/>
              <w:right w:w="15" w:type="dxa"/>
            </w:tcMar>
            <w:vAlign w:val="center"/>
          </w:tcPr>
          <w:p w14:paraId="0EC04CCB">
            <w:pPr>
              <w:spacing w:line="360" w:lineRule="exact"/>
              <w:jc w:val="center"/>
              <w:rPr>
                <w:rFonts w:ascii="宋体" w:hAnsi="宋体" w:cs="宋体"/>
                <w:color w:val="000000"/>
                <w:sz w:val="24"/>
                <w:szCs w:val="24"/>
                <w:lang w:val="en-US"/>
              </w:rPr>
            </w:pPr>
            <w:r>
              <w:rPr>
                <w:rFonts w:hint="eastAsia" w:ascii="宋体" w:hAnsi="宋体" w:cs="宋体"/>
                <w:color w:val="000000"/>
                <w:sz w:val="24"/>
                <w:szCs w:val="24"/>
                <w:lang w:val="en-US" w:eastAsia="zh-CN"/>
              </w:rPr>
              <w:t>10</w:t>
            </w:r>
          </w:p>
        </w:tc>
      </w:tr>
      <w:tr w14:paraId="1E9CD6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87" w:type="dxa"/>
            <w:noWrap w:val="0"/>
            <w:tcMar>
              <w:top w:w="15" w:type="dxa"/>
              <w:left w:w="15" w:type="dxa"/>
              <w:bottom w:w="0" w:type="dxa"/>
              <w:right w:w="15" w:type="dxa"/>
            </w:tcMar>
            <w:vAlign w:val="center"/>
          </w:tcPr>
          <w:p w14:paraId="1F2B7684">
            <w:pPr>
              <w:spacing w:line="360" w:lineRule="exact"/>
              <w:jc w:val="center"/>
              <w:rPr>
                <w:rFonts w:ascii="宋体" w:hAnsi="宋体" w:cs="宋体"/>
                <w:color w:val="000000"/>
                <w:sz w:val="24"/>
                <w:szCs w:val="24"/>
              </w:rPr>
            </w:pPr>
            <w:r>
              <w:rPr>
                <w:rFonts w:hint="eastAsia" w:ascii="宋体" w:hAnsi="宋体" w:cs="宋体"/>
                <w:color w:val="000000"/>
                <w:sz w:val="24"/>
                <w:szCs w:val="24"/>
              </w:rPr>
              <w:t>4</w:t>
            </w:r>
          </w:p>
        </w:tc>
        <w:tc>
          <w:tcPr>
            <w:tcW w:w="1879" w:type="dxa"/>
            <w:noWrap w:val="0"/>
            <w:tcMar>
              <w:top w:w="15" w:type="dxa"/>
              <w:left w:w="15" w:type="dxa"/>
              <w:bottom w:w="0" w:type="dxa"/>
              <w:right w:w="15" w:type="dxa"/>
            </w:tcMar>
            <w:vAlign w:val="center"/>
          </w:tcPr>
          <w:p w14:paraId="05143D96">
            <w:pPr>
              <w:widowControl/>
              <w:spacing w:line="288" w:lineRule="auto"/>
              <w:jc w:val="center"/>
              <w:rPr>
                <w:rFonts w:hint="eastAsia" w:ascii="宋体" w:hAnsi="宋体" w:cs="宋体"/>
              </w:rPr>
            </w:pPr>
            <w:r>
              <w:rPr>
                <w:rFonts w:hint="eastAsia" w:ascii="宋体" w:hAnsi="宋体" w:cs="宋体"/>
              </w:rPr>
              <w:t>安全文明施工、施工现场扬尘污染防治措施及环境保护方面的措施</w:t>
            </w:r>
          </w:p>
          <w:p w14:paraId="19C325F3">
            <w:pPr>
              <w:widowControl/>
              <w:spacing w:line="288" w:lineRule="auto"/>
              <w:jc w:val="center"/>
              <w:rPr>
                <w:rFonts w:ascii="宋体" w:hAnsi="宋体" w:cs="宋体"/>
                <w:color w:val="000000"/>
                <w:sz w:val="24"/>
                <w:szCs w:val="24"/>
              </w:rPr>
            </w:pPr>
            <w:r>
              <w:rPr>
                <w:rFonts w:hint="eastAsia" w:ascii="宋体" w:hAnsi="宋体" w:cs="宋体"/>
              </w:rPr>
              <w:t>（</w:t>
            </w:r>
            <w:r>
              <w:rPr>
                <w:rFonts w:hint="eastAsia" w:ascii="宋体" w:hAnsi="宋体" w:cs="宋体"/>
                <w:lang w:val="en-US" w:eastAsia="zh-CN"/>
              </w:rPr>
              <w:t>10</w:t>
            </w:r>
            <w:r>
              <w:rPr>
                <w:rFonts w:hint="eastAsia" w:ascii="宋体" w:hAnsi="宋体" w:cs="宋体"/>
              </w:rPr>
              <w:t>分）</w:t>
            </w:r>
          </w:p>
        </w:tc>
        <w:tc>
          <w:tcPr>
            <w:tcW w:w="6040" w:type="dxa"/>
            <w:noWrap w:val="0"/>
            <w:vAlign w:val="center"/>
          </w:tcPr>
          <w:p w14:paraId="1EC92D18">
            <w:pPr>
              <w:widowControl/>
              <w:spacing w:line="360" w:lineRule="auto"/>
              <w:jc w:val="left"/>
              <w:rPr>
                <w:rFonts w:ascii="宋体" w:hAnsi="宋体" w:cs="宋体"/>
                <w:color w:val="000000"/>
                <w:sz w:val="24"/>
                <w:szCs w:val="24"/>
              </w:rPr>
            </w:pPr>
            <w:r>
              <w:rPr>
                <w:rFonts w:hint="eastAsia" w:ascii="宋体" w:hAnsi="宋体" w:cs="宋体"/>
              </w:rPr>
              <w:t>根据投标人提供的本工程的安全文明施工、施工现场扬尘污染防治措施及环境保护方面的措施进行评分：细致全面、合理、完全响应需求，技术可行性强得</w:t>
            </w:r>
            <w:r>
              <w:rPr>
                <w:rFonts w:hint="eastAsia" w:ascii="宋体" w:hAnsi="宋体" w:cs="宋体"/>
                <w:lang w:val="en-US" w:eastAsia="zh-CN"/>
              </w:rPr>
              <w:t>10</w:t>
            </w:r>
            <w:r>
              <w:rPr>
                <w:rFonts w:hint="eastAsia" w:ascii="宋体" w:hAnsi="宋体" w:cs="宋体"/>
              </w:rPr>
              <w:t>分；较为完整、基本响应需求的得</w:t>
            </w:r>
            <w:r>
              <w:rPr>
                <w:rFonts w:hint="eastAsia" w:ascii="宋体" w:hAnsi="宋体" w:cs="宋体"/>
                <w:lang w:val="en-US" w:eastAsia="zh-CN"/>
              </w:rPr>
              <w:t>7</w:t>
            </w:r>
            <w:r>
              <w:rPr>
                <w:rFonts w:hint="eastAsia" w:ascii="宋体" w:hAnsi="宋体" w:cs="宋体"/>
              </w:rPr>
              <w:t>分；不完全、响应度低、技术可行性低得</w:t>
            </w:r>
            <w:r>
              <w:rPr>
                <w:rFonts w:hint="eastAsia" w:ascii="宋体" w:hAnsi="宋体" w:cs="宋体"/>
                <w:lang w:val="en-US" w:eastAsia="zh-CN"/>
              </w:rPr>
              <w:t>4</w:t>
            </w:r>
            <w:r>
              <w:rPr>
                <w:rFonts w:hint="eastAsia" w:ascii="宋体" w:hAnsi="宋体" w:cs="宋体"/>
              </w:rPr>
              <w:t>分；不提供不得分。</w:t>
            </w:r>
          </w:p>
        </w:tc>
        <w:tc>
          <w:tcPr>
            <w:tcW w:w="553" w:type="dxa"/>
            <w:noWrap w:val="0"/>
            <w:tcMar>
              <w:top w:w="15" w:type="dxa"/>
              <w:left w:w="15" w:type="dxa"/>
              <w:bottom w:w="0" w:type="dxa"/>
              <w:right w:w="15" w:type="dxa"/>
            </w:tcMar>
            <w:vAlign w:val="center"/>
          </w:tcPr>
          <w:p w14:paraId="64650F92">
            <w:pPr>
              <w:spacing w:line="360" w:lineRule="exact"/>
              <w:jc w:val="center"/>
              <w:rPr>
                <w:rFonts w:ascii="宋体" w:hAnsi="宋体" w:cs="宋体"/>
                <w:color w:val="000000"/>
                <w:sz w:val="24"/>
                <w:szCs w:val="24"/>
                <w:lang w:val="en-US"/>
              </w:rPr>
            </w:pPr>
            <w:r>
              <w:rPr>
                <w:rFonts w:hint="eastAsia" w:ascii="宋体" w:hAnsi="宋体" w:cs="宋体"/>
                <w:color w:val="000000"/>
                <w:sz w:val="24"/>
                <w:szCs w:val="24"/>
                <w:lang w:val="en-US" w:eastAsia="zh-CN"/>
              </w:rPr>
              <w:t>10</w:t>
            </w:r>
          </w:p>
        </w:tc>
      </w:tr>
      <w:tr w14:paraId="3426A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87" w:type="dxa"/>
            <w:noWrap w:val="0"/>
            <w:tcMar>
              <w:top w:w="15" w:type="dxa"/>
              <w:left w:w="15" w:type="dxa"/>
              <w:bottom w:w="0" w:type="dxa"/>
              <w:right w:w="15" w:type="dxa"/>
            </w:tcMar>
            <w:vAlign w:val="center"/>
          </w:tcPr>
          <w:p w14:paraId="3CB29722">
            <w:pPr>
              <w:spacing w:line="360" w:lineRule="exact"/>
              <w:jc w:val="center"/>
              <w:rPr>
                <w:rFonts w:hint="eastAsia" w:ascii="宋体" w:hAnsi="宋体" w:cs="宋体"/>
                <w:color w:val="000000"/>
                <w:sz w:val="24"/>
                <w:szCs w:val="24"/>
              </w:rPr>
            </w:pPr>
            <w:r>
              <w:rPr>
                <w:rFonts w:hint="eastAsia" w:ascii="宋体" w:hAnsi="宋体" w:cs="宋体"/>
                <w:color w:val="000000"/>
                <w:sz w:val="24"/>
                <w:szCs w:val="24"/>
              </w:rPr>
              <w:t>5</w:t>
            </w:r>
          </w:p>
        </w:tc>
        <w:tc>
          <w:tcPr>
            <w:tcW w:w="1879" w:type="dxa"/>
            <w:noWrap w:val="0"/>
            <w:tcMar>
              <w:top w:w="15" w:type="dxa"/>
              <w:left w:w="15" w:type="dxa"/>
              <w:bottom w:w="0" w:type="dxa"/>
              <w:right w:w="15" w:type="dxa"/>
            </w:tcMar>
            <w:vAlign w:val="center"/>
          </w:tcPr>
          <w:p w14:paraId="5ABBCB07">
            <w:pPr>
              <w:widowControl/>
              <w:spacing w:line="288" w:lineRule="auto"/>
              <w:jc w:val="center"/>
              <w:rPr>
                <w:rFonts w:hint="eastAsia" w:ascii="宋体" w:hAnsi="宋体" w:cs="宋体"/>
              </w:rPr>
            </w:pPr>
            <w:r>
              <w:rPr>
                <w:rFonts w:hint="eastAsia" w:ascii="宋体" w:hAnsi="宋体" w:cs="宋体"/>
              </w:rPr>
              <w:t>保证项目实施的劳动力、机械设备和材料投入</w:t>
            </w:r>
          </w:p>
          <w:p w14:paraId="4E2DFC39">
            <w:pPr>
              <w:widowControl/>
              <w:spacing w:line="288" w:lineRule="auto"/>
              <w:jc w:val="center"/>
              <w:rPr>
                <w:rFonts w:ascii="宋体" w:hAnsi="宋体"/>
                <w:color w:val="000000"/>
                <w:sz w:val="24"/>
                <w:szCs w:val="24"/>
              </w:rPr>
            </w:pPr>
            <w:r>
              <w:rPr>
                <w:rFonts w:hint="eastAsia" w:ascii="宋体" w:hAnsi="宋体" w:cs="宋体"/>
              </w:rPr>
              <w:t>（</w:t>
            </w:r>
            <w:r>
              <w:rPr>
                <w:rFonts w:hint="eastAsia" w:ascii="宋体" w:hAnsi="宋体" w:cs="宋体"/>
                <w:lang w:val="en-US" w:eastAsia="zh-CN"/>
              </w:rPr>
              <w:t>10</w:t>
            </w:r>
            <w:r>
              <w:rPr>
                <w:rFonts w:hint="eastAsia" w:ascii="宋体" w:hAnsi="宋体" w:cs="宋体"/>
              </w:rPr>
              <w:t>分）</w:t>
            </w:r>
          </w:p>
        </w:tc>
        <w:tc>
          <w:tcPr>
            <w:tcW w:w="6040" w:type="dxa"/>
            <w:noWrap w:val="0"/>
            <w:vAlign w:val="center"/>
          </w:tcPr>
          <w:p w14:paraId="0BA7B905">
            <w:pPr>
              <w:widowControl/>
              <w:spacing w:line="360" w:lineRule="auto"/>
              <w:jc w:val="left"/>
              <w:rPr>
                <w:rFonts w:hint="eastAsia" w:ascii="宋体" w:hAnsi="宋体"/>
                <w:color w:val="000000"/>
                <w:sz w:val="24"/>
                <w:szCs w:val="24"/>
              </w:rPr>
            </w:pPr>
            <w:r>
              <w:rPr>
                <w:rFonts w:hint="eastAsia" w:ascii="宋体" w:hAnsi="宋体" w:cs="宋体"/>
              </w:rPr>
              <w:t>根据投标人提供的本工程的保证项目实施的劳动力、机械设备和材料安排进行评分：细致全面、合理、完全响应需求，技术可行性强得</w:t>
            </w:r>
            <w:r>
              <w:rPr>
                <w:rFonts w:hint="eastAsia" w:ascii="宋体" w:hAnsi="宋体" w:cs="宋体"/>
                <w:lang w:val="en-US" w:eastAsia="zh-CN"/>
              </w:rPr>
              <w:t>10</w:t>
            </w:r>
            <w:r>
              <w:rPr>
                <w:rFonts w:hint="eastAsia" w:ascii="宋体" w:hAnsi="宋体" w:cs="宋体"/>
              </w:rPr>
              <w:t>分；较为完整、基本响应需求的得</w:t>
            </w:r>
            <w:r>
              <w:rPr>
                <w:rFonts w:hint="eastAsia" w:ascii="宋体" w:hAnsi="宋体" w:cs="宋体"/>
                <w:lang w:val="en-US" w:eastAsia="zh-CN"/>
              </w:rPr>
              <w:t>7</w:t>
            </w:r>
            <w:r>
              <w:rPr>
                <w:rFonts w:hint="eastAsia" w:ascii="宋体" w:hAnsi="宋体" w:cs="宋体"/>
              </w:rPr>
              <w:t>分；不完全、响应度低、技术可行性低得</w:t>
            </w:r>
            <w:r>
              <w:rPr>
                <w:rFonts w:hint="eastAsia" w:ascii="宋体" w:hAnsi="宋体" w:cs="宋体"/>
                <w:lang w:val="en-US" w:eastAsia="zh-CN"/>
              </w:rPr>
              <w:t>4</w:t>
            </w:r>
            <w:r>
              <w:rPr>
                <w:rFonts w:hint="eastAsia" w:ascii="宋体" w:hAnsi="宋体" w:cs="宋体"/>
              </w:rPr>
              <w:t>分；不提供不得分。</w:t>
            </w:r>
          </w:p>
        </w:tc>
        <w:tc>
          <w:tcPr>
            <w:tcW w:w="553" w:type="dxa"/>
            <w:noWrap w:val="0"/>
            <w:tcMar>
              <w:top w:w="15" w:type="dxa"/>
              <w:left w:w="15" w:type="dxa"/>
              <w:bottom w:w="0" w:type="dxa"/>
              <w:right w:w="15" w:type="dxa"/>
            </w:tcMar>
            <w:vAlign w:val="center"/>
          </w:tcPr>
          <w:p w14:paraId="72524AD8">
            <w:pPr>
              <w:spacing w:line="360" w:lineRule="exact"/>
              <w:jc w:val="center"/>
              <w:rPr>
                <w:rFonts w:ascii="宋体" w:hAnsi="宋体" w:cs="宋体"/>
                <w:color w:val="000000"/>
                <w:sz w:val="24"/>
                <w:szCs w:val="24"/>
                <w:lang w:val="en-US"/>
              </w:rPr>
            </w:pPr>
            <w:r>
              <w:rPr>
                <w:rFonts w:hint="eastAsia" w:ascii="宋体" w:hAnsi="宋体" w:cs="宋体"/>
                <w:color w:val="000000"/>
                <w:sz w:val="24"/>
                <w:szCs w:val="24"/>
                <w:lang w:val="en-US" w:eastAsia="zh-CN"/>
              </w:rPr>
              <w:t>10</w:t>
            </w:r>
          </w:p>
        </w:tc>
      </w:tr>
    </w:tbl>
    <w:p w14:paraId="6625F050">
      <w:pPr>
        <w:spacing w:line="360" w:lineRule="auto"/>
        <w:ind w:firstLine="482"/>
        <w:rPr>
          <w:b/>
          <w:color w:val="000000"/>
          <w:sz w:val="24"/>
          <w:szCs w:val="24"/>
        </w:rPr>
      </w:pPr>
      <w:r>
        <w:rPr>
          <w:b/>
          <w:color w:val="000000"/>
          <w:sz w:val="24"/>
          <w:szCs w:val="24"/>
        </w:rPr>
        <w:t>采购人</w:t>
      </w:r>
      <w:r>
        <w:rPr>
          <w:rFonts w:hint="eastAsia"/>
          <w:b/>
          <w:color w:val="000000"/>
          <w:sz w:val="24"/>
          <w:szCs w:val="24"/>
        </w:rPr>
        <w:t>有权</w:t>
      </w:r>
      <w:r>
        <w:rPr>
          <w:b/>
          <w:color w:val="000000"/>
          <w:sz w:val="24"/>
          <w:szCs w:val="24"/>
        </w:rPr>
        <w:t>对第一</w:t>
      </w:r>
      <w:r>
        <w:rPr>
          <w:rFonts w:hint="eastAsia"/>
          <w:b/>
          <w:color w:val="000000"/>
          <w:sz w:val="24"/>
          <w:szCs w:val="24"/>
        </w:rPr>
        <w:t>成交</w:t>
      </w:r>
      <w:r>
        <w:rPr>
          <w:b/>
          <w:color w:val="000000"/>
          <w:sz w:val="24"/>
          <w:szCs w:val="24"/>
        </w:rPr>
        <w:t>候选人提交的所有资料</w:t>
      </w:r>
      <w:r>
        <w:rPr>
          <w:rFonts w:hint="eastAsia"/>
          <w:b/>
          <w:color w:val="000000"/>
          <w:sz w:val="24"/>
          <w:szCs w:val="24"/>
        </w:rPr>
        <w:t>（含原件）</w:t>
      </w:r>
      <w:r>
        <w:rPr>
          <w:b/>
          <w:color w:val="000000"/>
          <w:sz w:val="24"/>
          <w:szCs w:val="24"/>
        </w:rPr>
        <w:t>进行考察、核实，若发现弄虚作假的，取消中标资格，并进行公示等相关处罚。</w:t>
      </w:r>
    </w:p>
    <w:p w14:paraId="56CD8314">
      <w:pPr>
        <w:keepNext w:val="0"/>
        <w:keepLines w:val="0"/>
        <w:pageBreakBefore w:val="0"/>
        <w:widowControl w:val="0"/>
        <w:shd w:val="clear" w:color="auto" w:fill="FFFFFF"/>
        <w:spacing w:line="360" w:lineRule="auto"/>
        <w:ind w:firstLine="480"/>
        <w:jc w:val="left"/>
        <w:rPr>
          <w:rFonts w:ascii="宋体" w:hAnsi="宋体" w:cs="宋体"/>
          <w:bCs/>
          <w:color w:val="000000"/>
          <w:sz w:val="24"/>
          <w:szCs w:val="24"/>
        </w:rPr>
      </w:pPr>
      <w:r>
        <w:rPr>
          <w:rFonts w:hint="eastAsia" w:ascii="宋体" w:hAnsi="宋体" w:cs="宋体"/>
          <w:bCs/>
          <w:color w:val="000000"/>
          <w:sz w:val="24"/>
          <w:szCs w:val="24"/>
        </w:rPr>
        <w:t>本项目采用综合评分法，评分统计方法采用百分制（满分100分），将全部评委评分直接进行算术平均，小数点后保留2位。按评审后得分由高到低顺序排列，得分相同的，按投标报价从低到高顺序排列，由磋商小组在评标现场确定中标供应商。</w:t>
      </w:r>
    </w:p>
    <w:p w14:paraId="016A39D0">
      <w:pPr>
        <w:keepNext w:val="0"/>
        <w:keepLines w:val="0"/>
        <w:pageBreakBefore w:val="0"/>
        <w:widowControl w:val="0"/>
        <w:spacing w:line="360" w:lineRule="auto"/>
        <w:ind w:firstLine="480"/>
        <w:rPr>
          <w:rFonts w:ascii="宋体"/>
          <w:color w:val="000000"/>
          <w:sz w:val="24"/>
          <w:szCs w:val="24"/>
        </w:rPr>
      </w:pPr>
      <w:r>
        <w:rPr>
          <w:rFonts w:ascii="宋体" w:hAnsi="宋体"/>
          <w:color w:val="000000"/>
          <w:sz w:val="24"/>
          <w:szCs w:val="24"/>
        </w:rPr>
        <w:t xml:space="preserve">4.4 </w:t>
      </w:r>
      <w:r>
        <w:rPr>
          <w:rFonts w:hint="eastAsia" w:ascii="宋体" w:hAnsi="宋体"/>
          <w:color w:val="000000"/>
          <w:sz w:val="24"/>
          <w:szCs w:val="24"/>
        </w:rPr>
        <w:t>评标报告</w:t>
      </w:r>
    </w:p>
    <w:p w14:paraId="03E6DBEB">
      <w:pPr>
        <w:keepNext w:val="0"/>
        <w:keepLines w:val="0"/>
        <w:pageBreakBefore w:val="0"/>
        <w:widowControl w:val="0"/>
        <w:spacing w:line="360" w:lineRule="auto"/>
        <w:ind w:firstLine="480"/>
        <w:rPr>
          <w:rFonts w:ascii="宋体"/>
          <w:color w:val="000000"/>
          <w:sz w:val="24"/>
          <w:szCs w:val="24"/>
        </w:rPr>
      </w:pPr>
      <w:r>
        <w:rPr>
          <w:rFonts w:hint="eastAsia" w:ascii="宋体" w:hAnsi="宋体"/>
          <w:color w:val="000000"/>
          <w:sz w:val="24"/>
          <w:szCs w:val="24"/>
        </w:rPr>
        <w:t>综合评审结束后，磋商小组负责编写评标报告。磋商小组将合格供应商的得分汇总以后得到供应商的最终评审总得分，按照最终评审得分由高到低排出成交候选顺序。</w:t>
      </w:r>
    </w:p>
    <w:p w14:paraId="02FEF42B">
      <w:pPr>
        <w:keepNext w:val="0"/>
        <w:keepLines w:val="0"/>
        <w:pageBreakBefore w:val="0"/>
        <w:widowControl w:val="0"/>
        <w:spacing w:line="360" w:lineRule="auto"/>
        <w:ind w:firstLine="480"/>
        <w:rPr>
          <w:rFonts w:ascii="宋体"/>
          <w:color w:val="000000"/>
          <w:sz w:val="24"/>
          <w:szCs w:val="24"/>
        </w:rPr>
      </w:pPr>
      <w:r>
        <w:rPr>
          <w:rFonts w:ascii="宋体" w:hAnsi="宋体"/>
          <w:color w:val="000000"/>
          <w:sz w:val="24"/>
          <w:szCs w:val="24"/>
        </w:rPr>
        <w:t xml:space="preserve">4.5 </w:t>
      </w:r>
      <w:r>
        <w:rPr>
          <w:rFonts w:hint="eastAsia" w:ascii="宋体" w:hAnsi="宋体"/>
          <w:color w:val="000000"/>
          <w:sz w:val="24"/>
          <w:szCs w:val="24"/>
        </w:rPr>
        <w:t>为保证磋商活动顺利进行，供应商可派相关技术人员进行现场答疑；</w:t>
      </w:r>
    </w:p>
    <w:p w14:paraId="3D5872B2">
      <w:pPr>
        <w:keepNext w:val="0"/>
        <w:keepLines w:val="0"/>
        <w:pageBreakBefore w:val="0"/>
        <w:widowControl w:val="0"/>
        <w:spacing w:line="360" w:lineRule="auto"/>
        <w:ind w:firstLine="480"/>
        <w:rPr>
          <w:rFonts w:ascii="宋体"/>
          <w:color w:val="000000"/>
          <w:sz w:val="24"/>
          <w:szCs w:val="24"/>
        </w:rPr>
      </w:pPr>
      <w:r>
        <w:rPr>
          <w:rFonts w:ascii="宋体" w:hAnsi="宋体"/>
          <w:color w:val="000000"/>
          <w:sz w:val="24"/>
          <w:szCs w:val="24"/>
        </w:rPr>
        <w:t xml:space="preserve">4.6 </w:t>
      </w:r>
      <w:r>
        <w:rPr>
          <w:rFonts w:hint="eastAsia" w:ascii="宋体" w:hAnsi="宋体"/>
          <w:color w:val="000000"/>
          <w:sz w:val="24"/>
          <w:szCs w:val="24"/>
        </w:rPr>
        <w:t>磋商小组根据与供应商磋商情况可能实质性变动磋商文件的内容，包括采购需求中的技术、服务要求以及合同草案条款。磋商文件有实质性变动的，经采购人代表确认作为磋商文件的有效组成部分，磋商小组将以书面形式通知所有参加磋商的供应商。</w:t>
      </w:r>
    </w:p>
    <w:p w14:paraId="15434069">
      <w:pPr>
        <w:keepNext w:val="0"/>
        <w:keepLines w:val="0"/>
        <w:pageBreakBefore w:val="0"/>
        <w:widowControl w:val="0"/>
        <w:spacing w:line="360" w:lineRule="auto"/>
        <w:ind w:firstLine="482"/>
        <w:jc w:val="left"/>
        <w:rPr>
          <w:rFonts w:hint="eastAsia" w:ascii="宋体" w:hAnsi="宋体" w:eastAsia="宋体" w:cs="宋体"/>
          <w:b/>
          <w:bCs/>
          <w:color w:val="000000"/>
          <w:sz w:val="24"/>
          <w:szCs w:val="24"/>
        </w:rPr>
      </w:pPr>
      <w:r>
        <w:rPr>
          <w:rFonts w:hint="eastAsia" w:ascii="宋体" w:hAnsi="宋体" w:eastAsia="宋体" w:cs="宋体"/>
          <w:b/>
          <w:bCs/>
          <w:color w:val="FF0000"/>
          <w:sz w:val="24"/>
          <w:szCs w:val="24"/>
        </w:rPr>
        <w:t>4.7 异常低价的处理</w:t>
      </w:r>
    </w:p>
    <w:p w14:paraId="7CA0BDAE">
      <w:pPr>
        <w:keepNext w:val="0"/>
        <w:keepLines w:val="0"/>
        <w:pageBreakBefore w:val="0"/>
        <w:widowControl w:val="0"/>
        <w:spacing w:line="360" w:lineRule="auto"/>
        <w:ind w:firstLine="482"/>
        <w:jc w:val="lef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依据《江苏省财政厅转发财政部关于推动解决政府采购异常低价问题的通知》(苏财购〔2026〕36号)规定：</w:t>
      </w:r>
    </w:p>
    <w:p w14:paraId="005BC32D">
      <w:pPr>
        <w:keepNext w:val="0"/>
        <w:keepLines w:val="0"/>
        <w:pageBreakBefore w:val="0"/>
        <w:widowControl w:val="0"/>
        <w:spacing w:line="360" w:lineRule="auto"/>
        <w:ind w:firstLine="482"/>
        <w:jc w:val="lef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（一）评审过程中出现下列情形之一的，询价小组应当启动异常低价投标（响应）审查程序： </w:t>
      </w:r>
    </w:p>
    <w:p w14:paraId="7361097A">
      <w:pPr>
        <w:keepNext w:val="0"/>
        <w:keepLines w:val="0"/>
        <w:pageBreakBefore w:val="0"/>
        <w:widowControl w:val="0"/>
        <w:spacing w:line="360" w:lineRule="auto"/>
        <w:ind w:firstLine="482"/>
        <w:jc w:val="lef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1.投标(响应)报价低于全部通过符合性审查供应商投标(响应)报价平均值50%的，即投标(响应)报价&lt;全部通过符合性审查供应商投标(响应)报价平均值×50%；</w:t>
      </w:r>
    </w:p>
    <w:p w14:paraId="001ECBA7">
      <w:pPr>
        <w:keepNext w:val="0"/>
        <w:keepLines w:val="0"/>
        <w:pageBreakBefore w:val="0"/>
        <w:widowControl w:val="0"/>
        <w:spacing w:line="360" w:lineRule="auto"/>
        <w:ind w:firstLine="482"/>
        <w:jc w:val="lef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2.投标(响应)报价低于通过符合性审查的次低报价供应商投标(响应)报价50%的，即投标(响应)报价&lt;通过符合性审查的次低报价供应商投标(响应)报价×50%；</w:t>
      </w:r>
    </w:p>
    <w:p w14:paraId="7580E76A">
      <w:pPr>
        <w:keepNext w:val="0"/>
        <w:keepLines w:val="0"/>
        <w:pageBreakBefore w:val="0"/>
        <w:widowControl w:val="0"/>
        <w:spacing w:line="360" w:lineRule="auto"/>
        <w:ind w:firstLine="482"/>
        <w:jc w:val="lef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3.投标(响应)报价低于采购项目最高限价45%的，即投标(响应)报价&lt;采购项目最高限价×45%；</w:t>
      </w:r>
    </w:p>
    <w:p w14:paraId="780E6D1B">
      <w:pPr>
        <w:keepNext w:val="0"/>
        <w:keepLines w:val="0"/>
        <w:pageBreakBefore w:val="0"/>
        <w:widowControl w:val="0"/>
        <w:spacing w:line="360" w:lineRule="auto"/>
        <w:ind w:firstLine="482"/>
        <w:jc w:val="lef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4.评审委员会基于专业判断，认为供应商报价过低，有可能影响产品质量或者不能诚信履约的其他情形。</w:t>
      </w:r>
    </w:p>
    <w:p w14:paraId="079F3D4B">
      <w:pPr>
        <w:keepNext w:val="0"/>
        <w:keepLines w:val="0"/>
        <w:pageBreakBefore w:val="0"/>
        <w:widowControl w:val="0"/>
        <w:tabs>
          <w:tab w:val="left" w:pos="735"/>
        </w:tabs>
        <w:spacing w:line="360" w:lineRule="auto"/>
        <w:ind w:firstLine="482"/>
        <w:jc w:val="left"/>
        <w:outlineLvl w:val="1"/>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9844ACD">
      <w:pPr>
        <w:keepNext w:val="0"/>
        <w:keepLines w:val="0"/>
        <w:pageBreakBefore w:val="0"/>
        <w:widowControl w:val="0"/>
        <w:spacing w:line="360" w:lineRule="auto"/>
        <w:ind w:firstLine="480"/>
        <w:rPr>
          <w:rFonts w:ascii="宋体"/>
          <w:color w:val="000000"/>
          <w:sz w:val="24"/>
          <w:szCs w:val="24"/>
        </w:rPr>
      </w:pPr>
      <w:r>
        <w:rPr>
          <w:rFonts w:hint="eastAsia" w:ascii="宋体" w:hAnsi="宋体" w:eastAsia="宋体" w:cs="宋体"/>
          <w:b/>
          <w:bCs/>
          <w:color w:val="FF0000"/>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1512923">
      <w:pPr>
        <w:keepNext w:val="0"/>
        <w:keepLines w:val="0"/>
        <w:pageBreakBefore w:val="0"/>
        <w:widowControl w:val="0"/>
        <w:spacing w:line="360" w:lineRule="auto"/>
        <w:rPr>
          <w:rFonts w:ascii="宋体" w:hAnsi="宋体"/>
          <w:b/>
          <w:color w:val="000000"/>
          <w:sz w:val="24"/>
          <w:szCs w:val="24"/>
        </w:rPr>
      </w:pPr>
      <w:r>
        <w:rPr>
          <w:rFonts w:hint="eastAsia" w:ascii="宋体" w:hAnsi="宋体"/>
          <w:b/>
          <w:color w:val="000000"/>
          <w:sz w:val="24"/>
          <w:szCs w:val="24"/>
        </w:rPr>
        <w:t>五、磋商、评审及成交</w:t>
      </w:r>
    </w:p>
    <w:p w14:paraId="4FE41ECC">
      <w:pPr>
        <w:keepNext w:val="0"/>
        <w:keepLines w:val="0"/>
        <w:pageBreakBefore w:val="0"/>
        <w:widowControl w:val="0"/>
        <w:spacing w:line="360" w:lineRule="auto"/>
        <w:rPr>
          <w:rFonts w:ascii="宋体" w:hAnsi="宋体"/>
          <w:b/>
          <w:color w:val="000000"/>
          <w:sz w:val="24"/>
          <w:szCs w:val="24"/>
        </w:rPr>
      </w:pPr>
      <w:r>
        <w:rPr>
          <w:rFonts w:hint="eastAsia" w:ascii="宋体" w:hAnsi="宋体"/>
          <w:b/>
          <w:color w:val="000000"/>
          <w:sz w:val="24"/>
          <w:szCs w:val="24"/>
        </w:rPr>
        <w:t>1、对响应文件响应性的审查和确定</w:t>
      </w:r>
    </w:p>
    <w:p w14:paraId="178E67B9">
      <w:pPr>
        <w:pStyle w:val="372"/>
        <w:keepNext w:val="0"/>
        <w:keepLines w:val="0"/>
        <w:pageBreakBefore w:val="0"/>
        <w:widowControl w:val="0"/>
        <w:spacing w:before="0" w:after="0" w:line="360" w:lineRule="auto"/>
        <w:ind w:firstLine="480"/>
        <w:rPr>
          <w:rFonts w:ascii="宋体" w:hAnsi="宋体" w:eastAsia="宋体" w:cs="仿宋"/>
          <w:b w:val="0"/>
          <w:color w:val="000000"/>
          <w:sz w:val="24"/>
          <w:szCs w:val="24"/>
        </w:rPr>
      </w:pPr>
      <w:r>
        <w:rPr>
          <w:rFonts w:ascii="宋体" w:hAnsi="宋体" w:eastAsia="宋体" w:cs="仿宋"/>
          <w:b w:val="0"/>
          <w:color w:val="000000"/>
          <w:sz w:val="24"/>
          <w:szCs w:val="24"/>
        </w:rPr>
        <w:t>1.1</w:t>
      </w:r>
      <w:r>
        <w:rPr>
          <w:rFonts w:hint="eastAsia" w:ascii="宋体" w:hAnsi="宋体" w:eastAsia="宋体" w:cs="仿宋"/>
          <w:b w:val="0"/>
          <w:color w:val="000000"/>
          <w:sz w:val="24"/>
          <w:szCs w:val="24"/>
        </w:rPr>
        <w:t>磋商小组将对响应文件进行审查、质疑、询问、评估、比较和评定。</w:t>
      </w:r>
    </w:p>
    <w:p w14:paraId="7FA6BED4">
      <w:pPr>
        <w:pStyle w:val="372"/>
        <w:keepNext w:val="0"/>
        <w:keepLines w:val="0"/>
        <w:pageBreakBefore w:val="0"/>
        <w:widowControl w:val="0"/>
        <w:spacing w:before="0" w:after="0" w:line="360" w:lineRule="auto"/>
        <w:ind w:firstLine="480"/>
        <w:rPr>
          <w:rFonts w:ascii="宋体" w:hAnsi="宋体" w:eastAsia="宋体" w:cs="仿宋"/>
          <w:b w:val="0"/>
          <w:color w:val="000000"/>
          <w:sz w:val="24"/>
          <w:szCs w:val="24"/>
        </w:rPr>
      </w:pPr>
      <w:r>
        <w:rPr>
          <w:rFonts w:ascii="宋体" w:hAnsi="宋体" w:eastAsia="宋体" w:cs="仿宋"/>
          <w:b w:val="0"/>
          <w:color w:val="000000"/>
          <w:sz w:val="24"/>
          <w:szCs w:val="24"/>
        </w:rPr>
        <w:t>1.2</w:t>
      </w:r>
      <w:r>
        <w:rPr>
          <w:rFonts w:hint="eastAsia" w:ascii="宋体" w:hAnsi="宋体" w:eastAsia="宋体" w:cs="仿宋"/>
          <w:b w:val="0"/>
          <w:color w:val="000000"/>
          <w:sz w:val="24"/>
          <w:szCs w:val="24"/>
        </w:rPr>
        <w:t>磋商小组将依据法律法规和采购文件的规定</w:t>
      </w:r>
      <w:r>
        <w:rPr>
          <w:rFonts w:ascii="宋体" w:hAnsi="宋体" w:eastAsia="宋体" w:cs="仿宋"/>
          <w:b w:val="0"/>
          <w:color w:val="000000"/>
          <w:sz w:val="24"/>
          <w:szCs w:val="24"/>
        </w:rPr>
        <w:t>,</w:t>
      </w:r>
      <w:r>
        <w:rPr>
          <w:rFonts w:hint="eastAsia" w:ascii="宋体" w:hAnsi="宋体" w:eastAsia="宋体" w:cs="仿宋"/>
          <w:b w:val="0"/>
          <w:color w:val="000000"/>
          <w:sz w:val="24"/>
          <w:szCs w:val="24"/>
        </w:rPr>
        <w:t>对供应商响应文件进行资格性检查和符合性检查</w:t>
      </w:r>
      <w:r>
        <w:rPr>
          <w:rFonts w:ascii="宋体" w:hAnsi="宋体" w:eastAsia="宋体" w:cs="仿宋"/>
          <w:b w:val="0"/>
          <w:color w:val="000000"/>
          <w:sz w:val="24"/>
          <w:szCs w:val="24"/>
        </w:rPr>
        <w:t>,</w:t>
      </w:r>
      <w:r>
        <w:rPr>
          <w:rFonts w:hint="eastAsia" w:ascii="宋体" w:hAnsi="宋体" w:eastAsia="宋体" w:cs="仿宋"/>
          <w:b w:val="0"/>
          <w:color w:val="000000"/>
          <w:sz w:val="24"/>
          <w:szCs w:val="24"/>
        </w:rPr>
        <w:t>审查标准详见评标办法前附表，以确定是否符合参加磋商的资格和实质性响应采购文件的要求。</w:t>
      </w:r>
    </w:p>
    <w:p w14:paraId="1AC889B8">
      <w:pPr>
        <w:pStyle w:val="372"/>
        <w:keepNext w:val="0"/>
        <w:keepLines w:val="0"/>
        <w:pageBreakBefore w:val="0"/>
        <w:widowControl w:val="0"/>
        <w:spacing w:before="0" w:after="0" w:line="360" w:lineRule="auto"/>
        <w:ind w:firstLine="480"/>
        <w:rPr>
          <w:rFonts w:ascii="宋体" w:hAnsi="宋体" w:eastAsia="宋体" w:cs="仿宋"/>
          <w:b w:val="0"/>
          <w:color w:val="000000"/>
          <w:sz w:val="24"/>
          <w:szCs w:val="24"/>
        </w:rPr>
      </w:pPr>
      <w:r>
        <w:rPr>
          <w:rFonts w:ascii="宋体" w:hAnsi="宋体" w:eastAsia="宋体" w:cs="仿宋"/>
          <w:b w:val="0"/>
          <w:color w:val="000000"/>
          <w:sz w:val="24"/>
          <w:szCs w:val="24"/>
        </w:rPr>
        <w:t>1.3</w:t>
      </w:r>
      <w:r>
        <w:rPr>
          <w:rFonts w:hint="eastAsia" w:ascii="宋体" w:hAnsi="宋体" w:eastAsia="宋体" w:cs="仿宋"/>
          <w:b w:val="0"/>
          <w:color w:val="000000"/>
          <w:sz w:val="24"/>
          <w:szCs w:val="24"/>
        </w:rPr>
        <w:t>磋商小组将审查响应文件是否对磋商采购文件做出了实质性响应而没有重大偏离。重大偏离的认定需经过磋商小组三分之二及以上成员的认定。</w:t>
      </w:r>
    </w:p>
    <w:p w14:paraId="7813687D">
      <w:pPr>
        <w:pStyle w:val="372"/>
        <w:keepNext w:val="0"/>
        <w:keepLines w:val="0"/>
        <w:pageBreakBefore w:val="0"/>
        <w:widowControl w:val="0"/>
        <w:spacing w:before="0" w:after="0" w:line="360" w:lineRule="auto"/>
        <w:ind w:firstLine="480"/>
        <w:rPr>
          <w:rFonts w:ascii="宋体" w:hAnsi="宋体" w:eastAsia="宋体" w:cs="仿宋"/>
          <w:b w:val="0"/>
          <w:color w:val="000000"/>
          <w:sz w:val="24"/>
          <w:szCs w:val="24"/>
        </w:rPr>
      </w:pPr>
      <w:r>
        <w:rPr>
          <w:rFonts w:ascii="宋体" w:hAnsi="宋体" w:eastAsia="宋体" w:cs="仿宋"/>
          <w:b w:val="0"/>
          <w:color w:val="000000"/>
          <w:sz w:val="24"/>
          <w:szCs w:val="24"/>
        </w:rPr>
        <w:t>1.4</w:t>
      </w:r>
      <w:r>
        <w:rPr>
          <w:rFonts w:hint="eastAsia" w:ascii="宋体" w:hAnsi="宋体" w:eastAsia="宋体" w:cs="仿宋"/>
          <w:b w:val="0"/>
          <w:color w:val="000000"/>
          <w:sz w:val="24"/>
          <w:szCs w:val="24"/>
        </w:rPr>
        <w:t>被认定为非响应性的响应文件的情形：</w:t>
      </w:r>
    </w:p>
    <w:p w14:paraId="09BB990F">
      <w:pPr>
        <w:pStyle w:val="372"/>
        <w:keepNext w:val="0"/>
        <w:keepLines w:val="0"/>
        <w:pageBreakBefore w:val="0"/>
        <w:widowControl w:val="0"/>
        <w:spacing w:before="0" w:after="0" w:line="360" w:lineRule="auto"/>
        <w:ind w:firstLine="480"/>
        <w:rPr>
          <w:rFonts w:ascii="宋体" w:hAnsi="宋体" w:eastAsia="宋体" w:cs="仿宋"/>
          <w:b w:val="0"/>
          <w:color w:val="000000"/>
          <w:sz w:val="24"/>
          <w:szCs w:val="24"/>
        </w:rPr>
      </w:pPr>
      <w:r>
        <w:rPr>
          <w:rFonts w:hint="eastAsia" w:ascii="宋体" w:hAnsi="宋体" w:eastAsia="宋体" w:cs="仿宋"/>
          <w:b w:val="0"/>
          <w:color w:val="000000"/>
          <w:sz w:val="24"/>
          <w:szCs w:val="24"/>
        </w:rPr>
        <w:t>（</w:t>
      </w:r>
      <w:r>
        <w:rPr>
          <w:rFonts w:ascii="宋体" w:hAnsi="宋体" w:eastAsia="宋体" w:cs="仿宋"/>
          <w:b w:val="0"/>
          <w:color w:val="000000"/>
          <w:sz w:val="24"/>
          <w:szCs w:val="24"/>
        </w:rPr>
        <w:t>1</w:t>
      </w:r>
      <w:r>
        <w:rPr>
          <w:rFonts w:hint="eastAsia" w:ascii="宋体" w:hAnsi="宋体" w:eastAsia="宋体" w:cs="仿宋"/>
          <w:b w:val="0"/>
          <w:color w:val="000000"/>
          <w:sz w:val="24"/>
          <w:szCs w:val="24"/>
        </w:rPr>
        <w:t>）资格性审查、符合性审查未通过的；</w:t>
      </w:r>
    </w:p>
    <w:p w14:paraId="0EB860C2">
      <w:pPr>
        <w:pStyle w:val="372"/>
        <w:keepNext w:val="0"/>
        <w:keepLines w:val="0"/>
        <w:pageBreakBefore w:val="0"/>
        <w:widowControl w:val="0"/>
        <w:spacing w:before="0" w:after="0" w:line="360" w:lineRule="auto"/>
        <w:ind w:firstLine="480"/>
        <w:rPr>
          <w:rFonts w:ascii="宋体" w:hAnsi="宋体" w:eastAsia="宋体" w:cs="仿宋"/>
          <w:b w:val="0"/>
          <w:color w:val="000000"/>
          <w:sz w:val="24"/>
          <w:szCs w:val="24"/>
        </w:rPr>
      </w:pPr>
      <w:r>
        <w:rPr>
          <w:rFonts w:hint="eastAsia" w:ascii="宋体" w:hAnsi="宋体" w:eastAsia="宋体" w:cs="仿宋"/>
          <w:b w:val="0"/>
          <w:color w:val="000000"/>
          <w:sz w:val="24"/>
          <w:szCs w:val="24"/>
        </w:rPr>
        <w:t>（2）不符合法律、法规和采购文件中规定的实质性要求的；</w:t>
      </w:r>
    </w:p>
    <w:p w14:paraId="57A176B2">
      <w:pPr>
        <w:pStyle w:val="372"/>
        <w:keepNext w:val="0"/>
        <w:keepLines w:val="0"/>
        <w:pageBreakBefore w:val="0"/>
        <w:widowControl w:val="0"/>
        <w:spacing w:before="0" w:after="0" w:line="360" w:lineRule="auto"/>
        <w:ind w:firstLine="480"/>
        <w:rPr>
          <w:rFonts w:ascii="宋体" w:hAnsi="宋体" w:eastAsia="宋体" w:cs="仿宋"/>
          <w:b w:val="0"/>
          <w:bCs w:val="0"/>
          <w:color w:val="000000"/>
          <w:sz w:val="24"/>
          <w:szCs w:val="24"/>
        </w:rPr>
      </w:pPr>
      <w:r>
        <w:rPr>
          <w:rFonts w:hint="eastAsia" w:ascii="宋体" w:hAnsi="宋体" w:eastAsia="宋体" w:cs="仿宋"/>
          <w:b w:val="0"/>
          <w:color w:val="000000"/>
          <w:sz w:val="24"/>
          <w:szCs w:val="24"/>
        </w:rPr>
        <w:t>（</w:t>
      </w:r>
      <w:r>
        <w:rPr>
          <w:rFonts w:ascii="宋体" w:hAnsi="宋体" w:eastAsia="宋体" w:cs="仿宋"/>
          <w:b w:val="0"/>
          <w:color w:val="000000"/>
          <w:sz w:val="24"/>
          <w:szCs w:val="24"/>
        </w:rPr>
        <w:t>3</w:t>
      </w:r>
      <w:r>
        <w:rPr>
          <w:rFonts w:hint="eastAsia" w:ascii="宋体" w:hAnsi="宋体" w:eastAsia="宋体" w:cs="仿宋"/>
          <w:b w:val="0"/>
          <w:color w:val="000000"/>
          <w:sz w:val="24"/>
          <w:szCs w:val="24"/>
        </w:rPr>
        <w:t>）其他法律、法规及本采购文件规定的以及与本采购文件所规定的技术和商务条款经磋</w:t>
      </w:r>
      <w:r>
        <w:rPr>
          <w:rFonts w:hint="eastAsia" w:ascii="宋体" w:hAnsi="宋体" w:eastAsia="宋体" w:cs="仿宋"/>
          <w:b w:val="0"/>
          <w:bCs w:val="0"/>
          <w:caps/>
          <w:color w:val="000000"/>
          <w:sz w:val="24"/>
          <w:szCs w:val="24"/>
        </w:rPr>
        <w:t>商小组三分之二以上成员认定出现重大负偏离的情形。</w:t>
      </w:r>
    </w:p>
    <w:p w14:paraId="06F2B5E9">
      <w:pPr>
        <w:keepNext w:val="0"/>
        <w:keepLines w:val="0"/>
        <w:pageBreakBefore w:val="0"/>
        <w:widowControl w:val="0"/>
        <w:spacing w:line="360" w:lineRule="auto"/>
        <w:rPr>
          <w:rFonts w:ascii="宋体" w:cs="仿宋"/>
          <w:b/>
          <w:bCs/>
          <w:color w:val="000000"/>
          <w:sz w:val="24"/>
          <w:szCs w:val="24"/>
        </w:rPr>
      </w:pPr>
      <w:r>
        <w:rPr>
          <w:rFonts w:ascii="宋体" w:hAnsi="宋体" w:cs="仿宋"/>
          <w:b/>
          <w:bCs/>
          <w:color w:val="000000"/>
          <w:sz w:val="24"/>
          <w:szCs w:val="24"/>
        </w:rPr>
        <w:t>2</w:t>
      </w:r>
      <w:r>
        <w:rPr>
          <w:rFonts w:hint="eastAsia" w:ascii="宋体" w:hAnsi="宋体" w:cs="仿宋"/>
          <w:b/>
          <w:bCs/>
          <w:color w:val="000000"/>
          <w:sz w:val="24"/>
          <w:szCs w:val="24"/>
        </w:rPr>
        <w:t>、响应文件内容的澄清和修改</w:t>
      </w:r>
    </w:p>
    <w:p w14:paraId="3A089F17">
      <w:pPr>
        <w:pStyle w:val="372"/>
        <w:keepNext w:val="0"/>
        <w:keepLines w:val="0"/>
        <w:pageBreakBefore w:val="0"/>
        <w:widowControl w:val="0"/>
        <w:spacing w:before="0" w:after="0" w:line="360" w:lineRule="auto"/>
        <w:ind w:firstLine="480"/>
        <w:rPr>
          <w:rFonts w:ascii="宋体" w:hAnsi="宋体" w:eastAsia="宋体" w:cs="仿宋"/>
          <w:b w:val="0"/>
          <w:color w:val="000000"/>
          <w:sz w:val="24"/>
          <w:szCs w:val="24"/>
        </w:rPr>
      </w:pPr>
      <w:r>
        <w:rPr>
          <w:rFonts w:ascii="宋体" w:hAnsi="宋体" w:eastAsia="宋体" w:cs="仿宋"/>
          <w:b w:val="0"/>
          <w:color w:val="000000"/>
          <w:sz w:val="24"/>
          <w:szCs w:val="24"/>
        </w:rPr>
        <w:t>2.1</w:t>
      </w:r>
      <w:r>
        <w:rPr>
          <w:rFonts w:hint="eastAsia" w:ascii="宋体" w:hAnsi="宋体" w:eastAsia="宋体" w:cs="仿宋"/>
          <w:b w:val="0"/>
          <w:color w:val="000000"/>
          <w:sz w:val="24"/>
          <w:szCs w:val="24"/>
        </w:rPr>
        <w:t>磋商小组在磋商时将会要求供应商对其响应文件内容进行澄清或修改。磋商小组将允许修正响应文件中不构成重大偏离的、微小的、非正规的、不一致的或不规则的地方，但这些修改不能影响任何供应商相应的名次排列。</w:t>
      </w:r>
    </w:p>
    <w:p w14:paraId="3E4F1EFC">
      <w:pPr>
        <w:pStyle w:val="372"/>
        <w:keepNext w:val="0"/>
        <w:keepLines w:val="0"/>
        <w:pageBreakBefore w:val="0"/>
        <w:widowControl w:val="0"/>
        <w:spacing w:before="0" w:after="0" w:line="360" w:lineRule="auto"/>
        <w:ind w:firstLine="480"/>
        <w:rPr>
          <w:rFonts w:ascii="宋体" w:hAnsi="宋体" w:eastAsia="宋体" w:cs="仿宋"/>
          <w:b w:val="0"/>
          <w:color w:val="000000"/>
          <w:sz w:val="24"/>
          <w:szCs w:val="24"/>
        </w:rPr>
      </w:pPr>
      <w:r>
        <w:rPr>
          <w:rFonts w:ascii="宋体" w:hAnsi="宋体" w:eastAsia="宋体" w:cs="仿宋"/>
          <w:b w:val="0"/>
          <w:color w:val="000000"/>
          <w:sz w:val="24"/>
          <w:szCs w:val="24"/>
        </w:rPr>
        <w:t>2.2</w:t>
      </w:r>
      <w:r>
        <w:rPr>
          <w:rFonts w:hint="eastAsia" w:ascii="宋体" w:hAnsi="宋体" w:eastAsia="宋体" w:cs="仿宋"/>
          <w:b w:val="0"/>
          <w:color w:val="000000"/>
          <w:sz w:val="24"/>
          <w:szCs w:val="24"/>
        </w:rPr>
        <w:t>供应商所作的重要承诺均应补充以书面形式确认，并由其法定代表人或授权代表签署，作为响应文件的一部分，对供应商有约束力。</w:t>
      </w:r>
    </w:p>
    <w:p w14:paraId="739127F0">
      <w:pPr>
        <w:pStyle w:val="372"/>
        <w:keepNext w:val="0"/>
        <w:keepLines w:val="0"/>
        <w:pageBreakBefore w:val="0"/>
        <w:widowControl w:val="0"/>
        <w:spacing w:before="0" w:after="0" w:line="360" w:lineRule="auto"/>
        <w:ind w:firstLine="480"/>
        <w:rPr>
          <w:rFonts w:ascii="宋体" w:hAnsi="宋体" w:eastAsia="宋体" w:cs="仿宋"/>
          <w:b w:val="0"/>
          <w:color w:val="000000"/>
          <w:sz w:val="24"/>
          <w:szCs w:val="24"/>
        </w:rPr>
      </w:pPr>
      <w:r>
        <w:rPr>
          <w:rFonts w:ascii="宋体" w:hAnsi="宋体" w:eastAsia="宋体" w:cs="仿宋"/>
          <w:b w:val="0"/>
          <w:color w:val="000000"/>
          <w:sz w:val="24"/>
          <w:szCs w:val="24"/>
        </w:rPr>
        <w:t>2.3</w:t>
      </w:r>
      <w:r>
        <w:rPr>
          <w:rFonts w:hint="eastAsia" w:ascii="宋体" w:hAnsi="宋体" w:eastAsia="宋体" w:cs="仿宋"/>
          <w:b w:val="0"/>
          <w:color w:val="000000"/>
          <w:sz w:val="24"/>
          <w:szCs w:val="24"/>
        </w:rPr>
        <w:t>供应商必须对磋商小组的澄清和修改要求做出明确响应，否则由此产生的任何不利于供应商的后果由其自行承担。</w:t>
      </w:r>
    </w:p>
    <w:p w14:paraId="11F58F53">
      <w:pPr>
        <w:pStyle w:val="372"/>
        <w:keepNext w:val="0"/>
        <w:keepLines w:val="0"/>
        <w:pageBreakBefore w:val="0"/>
        <w:widowControl w:val="0"/>
        <w:spacing w:before="0" w:after="0" w:line="360" w:lineRule="auto"/>
        <w:ind w:firstLine="480"/>
        <w:rPr>
          <w:rFonts w:hint="eastAsia" w:ascii="宋体" w:hAnsi="宋体" w:eastAsia="宋体" w:cs="仿宋"/>
          <w:b w:val="0"/>
          <w:color w:val="000000"/>
          <w:sz w:val="24"/>
          <w:szCs w:val="24"/>
        </w:rPr>
      </w:pPr>
      <w:r>
        <w:rPr>
          <w:rFonts w:ascii="宋体" w:hAnsi="宋体" w:eastAsia="宋体" w:cs="仿宋"/>
          <w:b w:val="0"/>
          <w:color w:val="000000"/>
          <w:sz w:val="24"/>
          <w:szCs w:val="24"/>
        </w:rPr>
        <w:t>2.4</w:t>
      </w:r>
      <w:r>
        <w:rPr>
          <w:rFonts w:hint="eastAsia" w:ascii="宋体" w:hAnsi="宋体" w:eastAsia="宋体" w:cs="仿宋"/>
          <w:b w:val="0"/>
          <w:color w:val="000000"/>
          <w:sz w:val="24"/>
          <w:szCs w:val="24"/>
        </w:rPr>
        <w:t>除非磋商小组主动要求，磋商以外的任何时候供应商均不得就磋商事宜与磋商小组联系。</w:t>
      </w:r>
    </w:p>
    <w:p w14:paraId="36F2491A">
      <w:pPr>
        <w:pStyle w:val="372"/>
        <w:keepNext w:val="0"/>
        <w:keepLines w:val="0"/>
        <w:pageBreakBefore w:val="0"/>
        <w:widowControl w:val="0"/>
        <w:spacing w:before="0" w:after="0" w:line="360" w:lineRule="auto"/>
        <w:ind w:firstLine="482"/>
        <w:rPr>
          <w:rFonts w:hint="eastAsia" w:ascii="宋体" w:hAnsi="宋体" w:eastAsia="宋体" w:cs="仿宋"/>
          <w:b/>
          <w:bCs/>
          <w:caps/>
          <w:color w:val="000000"/>
          <w:sz w:val="24"/>
          <w:szCs w:val="24"/>
          <w:lang w:val="en-US" w:eastAsia="zh-CN"/>
        </w:rPr>
      </w:pPr>
      <w:r>
        <w:rPr>
          <w:rFonts w:hint="eastAsia" w:ascii="宋体" w:hAnsi="宋体" w:eastAsia="宋体" w:cs="仿宋"/>
          <w:b/>
          <w:bCs/>
          <w:caps/>
          <w:color w:val="000000"/>
          <w:sz w:val="24"/>
          <w:szCs w:val="24"/>
          <w:lang w:val="en-US" w:eastAsia="zh-CN"/>
        </w:rPr>
        <w:t>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31EB16F1">
      <w:pPr>
        <w:pStyle w:val="372"/>
        <w:keepNext w:val="0"/>
        <w:keepLines w:val="0"/>
        <w:pageBreakBefore w:val="0"/>
        <w:widowControl w:val="0"/>
        <w:spacing w:before="0" w:after="0" w:line="360" w:lineRule="auto"/>
        <w:ind w:firstLine="482"/>
        <w:rPr>
          <w:rFonts w:hint="eastAsia" w:ascii="宋体" w:hAnsi="宋体" w:eastAsia="宋体" w:cs="仿宋"/>
          <w:b/>
          <w:bCs/>
          <w:caps/>
          <w:color w:val="000000"/>
          <w:sz w:val="24"/>
          <w:szCs w:val="24"/>
          <w:lang w:val="en-US" w:eastAsia="zh-CN"/>
        </w:rPr>
      </w:pPr>
      <w:r>
        <w:rPr>
          <w:rFonts w:hint="eastAsia" w:ascii="宋体" w:hAnsi="宋体" w:eastAsia="宋体" w:cs="仿宋"/>
          <w:b/>
          <w:bCs/>
          <w:caps/>
          <w:color w:val="000000"/>
          <w:sz w:val="24"/>
          <w:szCs w:val="24"/>
          <w:lang w:val="en-US" w:eastAsia="zh-CN"/>
        </w:rPr>
        <w:t>5.4.3接到磋商小组澄清、说明和更正要求的供应商如未按规定做出澄清、说明和更正，其风险由供应商自行承担。</w:t>
      </w:r>
    </w:p>
    <w:p w14:paraId="1B218E06">
      <w:pPr>
        <w:keepNext w:val="0"/>
        <w:keepLines w:val="0"/>
        <w:pageBreakBefore w:val="0"/>
        <w:widowControl w:val="0"/>
        <w:spacing w:line="360" w:lineRule="auto"/>
        <w:rPr>
          <w:rFonts w:ascii="宋体" w:hAnsi="宋体"/>
          <w:b/>
          <w:color w:val="000000"/>
          <w:sz w:val="24"/>
          <w:szCs w:val="24"/>
        </w:rPr>
      </w:pPr>
      <w:bookmarkStart w:id="416" w:name="_Toc468783649"/>
      <w:r>
        <w:rPr>
          <w:rFonts w:hint="eastAsia" w:ascii="宋体" w:hAnsi="宋体"/>
          <w:b/>
          <w:color w:val="000000"/>
          <w:sz w:val="24"/>
          <w:szCs w:val="24"/>
        </w:rPr>
        <w:t>3、成交原则</w:t>
      </w:r>
    </w:p>
    <w:p w14:paraId="1B507356">
      <w:pPr>
        <w:keepNext w:val="0"/>
        <w:keepLines w:val="0"/>
        <w:pageBreakBefore w:val="0"/>
        <w:widowControl w:val="0"/>
        <w:spacing w:line="360" w:lineRule="auto"/>
        <w:ind w:firstLine="480"/>
        <w:rPr>
          <w:bCs/>
          <w:color w:val="000000"/>
          <w:sz w:val="24"/>
          <w:szCs w:val="24"/>
        </w:rPr>
      </w:pPr>
      <w:r>
        <w:rPr>
          <w:rFonts w:hint="eastAsia"/>
          <w:color w:val="000000"/>
          <w:sz w:val="24"/>
          <w:szCs w:val="24"/>
        </w:rPr>
        <w:t>3.1</w:t>
      </w:r>
      <w:r>
        <w:rPr>
          <w:rFonts w:hint="eastAsia" w:ascii="宋体" w:hAnsi="宋体" w:eastAsia="宋体" w:cs="Times New Roman"/>
          <w:b/>
          <w:bCs/>
          <w:color w:val="000000"/>
          <w:sz w:val="24"/>
          <w:szCs w:val="24"/>
        </w:rPr>
        <w:t>采购代理机构或采购人代表将通过苏采云采购系统提示符合要求的投标供应商进行</w:t>
      </w:r>
      <w:r>
        <w:rPr>
          <w:rFonts w:hint="eastAsia" w:ascii="宋体" w:hAnsi="宋体" w:eastAsia="宋体" w:cs="Times New Roman"/>
          <w:b/>
          <w:bCs/>
          <w:color w:val="000000"/>
          <w:sz w:val="24"/>
          <w:szCs w:val="24"/>
          <w:lang w:eastAsia="zh-CN"/>
        </w:rPr>
        <w:t>最终报价</w:t>
      </w:r>
      <w:r>
        <w:rPr>
          <w:rFonts w:hint="eastAsia" w:ascii="宋体" w:hAnsi="宋体" w:eastAsia="宋体" w:cs="Times New Roman"/>
          <w:b/>
          <w:bCs/>
          <w:color w:val="000000"/>
          <w:sz w:val="24"/>
          <w:szCs w:val="24"/>
        </w:rPr>
        <w:t>(二</w:t>
      </w:r>
      <w:r>
        <w:rPr>
          <w:rFonts w:hint="eastAsia" w:ascii="宋体" w:hAnsi="宋体" w:cs="Times New Roman"/>
          <w:b/>
          <w:bCs/>
          <w:color w:val="000000"/>
          <w:sz w:val="24"/>
          <w:szCs w:val="24"/>
          <w:lang w:val="en-US" w:eastAsia="zh-CN"/>
        </w:rPr>
        <w:t>轮</w:t>
      </w:r>
      <w:r>
        <w:rPr>
          <w:rFonts w:hint="eastAsia" w:ascii="宋体" w:hAnsi="宋体" w:eastAsia="宋体" w:cs="Times New Roman"/>
          <w:b/>
          <w:bCs/>
          <w:color w:val="000000"/>
          <w:sz w:val="24"/>
          <w:szCs w:val="24"/>
        </w:rPr>
        <w:t>报价)</w:t>
      </w:r>
      <w:r>
        <w:rPr>
          <w:rFonts w:hint="eastAsia"/>
          <w:b/>
          <w:color w:val="000000"/>
          <w:sz w:val="24"/>
          <w:szCs w:val="24"/>
        </w:rPr>
        <w:t>。</w:t>
      </w:r>
    </w:p>
    <w:p w14:paraId="5DC02640">
      <w:pPr>
        <w:pStyle w:val="281"/>
        <w:keepNext w:val="0"/>
        <w:keepLines w:val="0"/>
        <w:pageBreakBefore w:val="0"/>
        <w:widowControl w:val="0"/>
        <w:spacing w:before="0" w:after="0" w:line="360" w:lineRule="auto"/>
        <w:ind w:firstLine="480"/>
        <w:rPr>
          <w:bCs w:val="0"/>
          <w:color w:val="000000"/>
          <w:sz w:val="24"/>
          <w:szCs w:val="24"/>
        </w:rPr>
      </w:pPr>
      <w:r>
        <w:rPr>
          <w:rFonts w:hint="eastAsia"/>
          <w:b w:val="0"/>
          <w:color w:val="000000"/>
          <w:sz w:val="24"/>
          <w:szCs w:val="24"/>
        </w:rPr>
        <w:t xml:space="preserve">3.2 </w:t>
      </w:r>
      <w:r>
        <w:rPr>
          <w:rFonts w:hint="eastAsia"/>
          <w:bCs w:val="0"/>
          <w:color w:val="000000"/>
          <w:sz w:val="24"/>
          <w:szCs w:val="24"/>
        </w:rPr>
        <w:t>磋商最终报价将作为评审确定中标的依据。磋商承诺及书面报价均须由法定代表人或其授权代表签字确认。</w:t>
      </w:r>
    </w:p>
    <w:p w14:paraId="3FB28F25">
      <w:pPr>
        <w:pStyle w:val="281"/>
        <w:keepNext w:val="0"/>
        <w:keepLines w:val="0"/>
        <w:pageBreakBefore w:val="0"/>
        <w:widowControl w:val="0"/>
        <w:spacing w:before="0" w:after="0" w:line="360" w:lineRule="auto"/>
        <w:ind w:firstLine="482"/>
        <w:rPr>
          <w:bCs w:val="0"/>
          <w:color w:val="000000"/>
          <w:sz w:val="24"/>
          <w:szCs w:val="24"/>
        </w:rPr>
      </w:pPr>
      <w:r>
        <w:rPr>
          <w:rFonts w:hint="eastAsia"/>
          <w:bCs w:val="0"/>
          <w:color w:val="000000"/>
          <w:sz w:val="24"/>
          <w:szCs w:val="24"/>
        </w:rPr>
        <w:t>3.3 供应商</w:t>
      </w:r>
      <w:r>
        <w:rPr>
          <w:rFonts w:hint="eastAsia"/>
          <w:bCs w:val="0"/>
          <w:color w:val="000000"/>
          <w:sz w:val="24"/>
          <w:szCs w:val="24"/>
          <w:lang w:val="en-US" w:eastAsia="zh-CN"/>
        </w:rPr>
        <w:t>最</w:t>
      </w:r>
      <w:r>
        <w:rPr>
          <w:rFonts w:hint="eastAsia"/>
          <w:bCs w:val="0"/>
          <w:color w:val="000000"/>
          <w:sz w:val="24"/>
          <w:szCs w:val="24"/>
        </w:rPr>
        <w:t>后一次报价或最终报价应在工程数量、要求、服务等方面不降低的情况下，不得高于前一次报价。否则，磋商小组有权拒绝该磋商报价并不再给予报价补救机会。</w:t>
      </w:r>
    </w:p>
    <w:p w14:paraId="7EC56542">
      <w:pPr>
        <w:pStyle w:val="281"/>
        <w:keepNext w:val="0"/>
        <w:keepLines w:val="0"/>
        <w:pageBreakBefore w:val="0"/>
        <w:widowControl w:val="0"/>
        <w:spacing w:before="0" w:after="0" w:line="360" w:lineRule="auto"/>
        <w:ind w:firstLine="480"/>
        <w:rPr>
          <w:b w:val="0"/>
          <w:color w:val="000000"/>
          <w:sz w:val="24"/>
          <w:szCs w:val="24"/>
        </w:rPr>
      </w:pPr>
      <w:r>
        <w:rPr>
          <w:rFonts w:hint="eastAsia"/>
          <w:b w:val="0"/>
          <w:color w:val="000000"/>
          <w:sz w:val="24"/>
          <w:szCs w:val="24"/>
        </w:rPr>
        <w:t>3.4不符合资格性和符合性审查的供应商，不论是否已经参加了后续磋商报价，均不得授予中标资格。</w:t>
      </w:r>
    </w:p>
    <w:p w14:paraId="0F0D36B5">
      <w:pPr>
        <w:pStyle w:val="281"/>
        <w:keepNext w:val="0"/>
        <w:keepLines w:val="0"/>
        <w:pageBreakBefore w:val="0"/>
        <w:widowControl w:val="0"/>
        <w:spacing w:before="0" w:after="0" w:line="360" w:lineRule="auto"/>
        <w:ind w:firstLine="480"/>
        <w:rPr>
          <w:rFonts w:cs="宋体"/>
          <w:b w:val="0"/>
          <w:color w:val="000000"/>
          <w:sz w:val="24"/>
          <w:szCs w:val="24"/>
          <w:lang w:val="zh-CN"/>
        </w:rPr>
      </w:pPr>
      <w:r>
        <w:rPr>
          <w:rFonts w:hint="eastAsia"/>
          <w:b w:val="0"/>
          <w:color w:val="000000"/>
          <w:sz w:val="24"/>
          <w:szCs w:val="24"/>
        </w:rPr>
        <w:t>3.5磋商后，磋商小组根据</w:t>
      </w:r>
      <w:r>
        <w:rPr>
          <w:rFonts w:hint="eastAsia"/>
          <w:b w:val="0"/>
          <w:bCs w:val="0"/>
          <w:color w:val="000000"/>
          <w:sz w:val="24"/>
          <w:szCs w:val="24"/>
        </w:rPr>
        <w:t>评标办法</w:t>
      </w:r>
      <w:r>
        <w:rPr>
          <w:rFonts w:hint="eastAsia"/>
          <w:b w:val="0"/>
          <w:color w:val="000000"/>
          <w:sz w:val="24"/>
          <w:szCs w:val="24"/>
          <w:u w:val="none"/>
        </w:rPr>
        <w:t>进行评审，</w:t>
      </w:r>
      <w:r>
        <w:rPr>
          <w:rFonts w:hint="eastAsia" w:cs="宋体"/>
          <w:b w:val="0"/>
          <w:color w:val="000000"/>
          <w:sz w:val="24"/>
          <w:szCs w:val="24"/>
          <w:lang w:val="zh-CN"/>
        </w:rPr>
        <w:t>供应商的最终得分为</w:t>
      </w:r>
      <w:r>
        <w:rPr>
          <w:rFonts w:hint="eastAsia"/>
          <w:b w:val="0"/>
          <w:color w:val="000000"/>
          <w:sz w:val="24"/>
          <w:szCs w:val="24"/>
        </w:rPr>
        <w:t>磋商小组</w:t>
      </w:r>
      <w:r>
        <w:rPr>
          <w:rFonts w:hint="eastAsia" w:cs="宋体"/>
          <w:b w:val="0"/>
          <w:color w:val="000000"/>
          <w:sz w:val="24"/>
          <w:szCs w:val="24"/>
          <w:lang w:val="zh-CN"/>
        </w:rPr>
        <w:t>所有评委评分的算术平均值，</w:t>
      </w:r>
      <w:r>
        <w:rPr>
          <w:rFonts w:hint="eastAsia" w:cs="宋体"/>
          <w:b w:val="0"/>
          <w:color w:val="000000"/>
          <w:sz w:val="24"/>
          <w:szCs w:val="24"/>
        </w:rPr>
        <w:t>保留小数点后两位。</w:t>
      </w:r>
    </w:p>
    <w:p w14:paraId="13D318E9">
      <w:pPr>
        <w:pStyle w:val="358"/>
        <w:keepNext w:val="0"/>
        <w:keepLines w:val="0"/>
        <w:pageBreakBefore w:val="0"/>
        <w:widowControl w:val="0"/>
        <w:spacing w:line="360" w:lineRule="auto"/>
        <w:ind w:firstLine="480"/>
        <w:rPr>
          <w:rFonts w:ascii="Times New Roman" w:eastAsia="宋体"/>
          <w:sz w:val="24"/>
          <w:szCs w:val="24"/>
        </w:rPr>
      </w:pPr>
      <w:r>
        <w:rPr>
          <w:rFonts w:hint="eastAsia" w:ascii="Times New Roman" w:eastAsia="宋体"/>
          <w:sz w:val="24"/>
          <w:szCs w:val="24"/>
        </w:rPr>
        <w:t>3.6定标</w:t>
      </w:r>
    </w:p>
    <w:p w14:paraId="16091711">
      <w:pPr>
        <w:pStyle w:val="358"/>
        <w:keepNext w:val="0"/>
        <w:keepLines w:val="0"/>
        <w:pageBreakBefore w:val="0"/>
        <w:widowControl w:val="0"/>
        <w:spacing w:line="360" w:lineRule="auto"/>
        <w:ind w:firstLine="480"/>
        <w:rPr>
          <w:rFonts w:ascii="Times New Roman" w:eastAsia="宋体"/>
          <w:sz w:val="24"/>
          <w:szCs w:val="24"/>
        </w:rPr>
      </w:pPr>
      <w:r>
        <w:rPr>
          <w:rFonts w:hint="eastAsia" w:ascii="Times New Roman" w:eastAsia="宋体"/>
          <w:sz w:val="24"/>
          <w:szCs w:val="24"/>
        </w:rPr>
        <w:t>磋商小组完成评标后，应当向采购人提出书面评标报告，阐明磋商小组对各</w:t>
      </w:r>
      <w:r>
        <w:rPr>
          <w:rFonts w:hint="eastAsia" w:ascii="Times New Roman" w:eastAsia="宋体"/>
          <w:sz w:val="24"/>
          <w:szCs w:val="24"/>
          <w:lang w:eastAsia="zh-CN"/>
        </w:rPr>
        <w:t>响应文件</w:t>
      </w:r>
      <w:r>
        <w:rPr>
          <w:rFonts w:hint="eastAsia" w:ascii="Times New Roman" w:eastAsia="宋体"/>
          <w:sz w:val="24"/>
          <w:szCs w:val="24"/>
        </w:rPr>
        <w:t>的评审和比较意见，并按照竞争性磋商文件中规定的评审方法，按照排序推荐3名合格的中标候选人。</w:t>
      </w:r>
    </w:p>
    <w:p w14:paraId="0585ACC9">
      <w:pPr>
        <w:pStyle w:val="358"/>
        <w:keepNext w:val="0"/>
        <w:keepLines w:val="0"/>
        <w:pageBreakBefore w:val="0"/>
        <w:widowControl w:val="0"/>
        <w:spacing w:line="360" w:lineRule="auto"/>
        <w:ind w:firstLine="480"/>
        <w:rPr>
          <w:rFonts w:ascii="Times New Roman" w:eastAsia="宋体"/>
          <w:sz w:val="24"/>
          <w:szCs w:val="24"/>
        </w:rPr>
      </w:pPr>
      <w:r>
        <w:rPr>
          <w:rFonts w:hint="eastAsia" w:ascii="Times New Roman" w:eastAsia="宋体"/>
          <w:sz w:val="24"/>
          <w:szCs w:val="24"/>
        </w:rPr>
        <w:t>排序原则：（1）按得分高低从高到低进行排序；（2）当得分相同时，取报价低者优先；（3）当得分、报价均相同时，则现场抽签决定排序。</w:t>
      </w:r>
    </w:p>
    <w:p w14:paraId="37BA0774">
      <w:pPr>
        <w:keepNext w:val="0"/>
        <w:keepLines w:val="0"/>
        <w:pageBreakBefore w:val="0"/>
        <w:widowControl w:val="0"/>
        <w:spacing w:line="360" w:lineRule="auto"/>
        <w:ind w:firstLine="480"/>
        <w:outlineLvl w:val="0"/>
        <w:rPr>
          <w:color w:val="000000"/>
          <w:sz w:val="24"/>
          <w:szCs w:val="24"/>
        </w:rPr>
      </w:pPr>
      <w:r>
        <w:rPr>
          <w:rFonts w:hint="eastAsia"/>
          <w:color w:val="000000"/>
          <w:sz w:val="24"/>
          <w:szCs w:val="24"/>
        </w:rPr>
        <w:t>确定成交人的原则：采购人按照磋商小组的书面评标报告确定排序第一为中标人。</w:t>
      </w:r>
    </w:p>
    <w:p w14:paraId="2C014CB0">
      <w:pPr>
        <w:spacing w:line="500" w:lineRule="exact"/>
        <w:ind w:firstLine="210"/>
        <w:jc w:val="center"/>
        <w:outlineLvl w:val="0"/>
        <w:rPr>
          <w:color w:val="000000"/>
          <w:szCs w:val="21"/>
        </w:rPr>
      </w:pPr>
    </w:p>
    <w:p w14:paraId="438C014B">
      <w:pPr>
        <w:spacing w:line="500" w:lineRule="exact"/>
        <w:ind w:firstLine="210"/>
        <w:jc w:val="center"/>
        <w:outlineLvl w:val="0"/>
        <w:rPr>
          <w:color w:val="000000"/>
          <w:szCs w:val="21"/>
        </w:rPr>
      </w:pPr>
    </w:p>
    <w:p w14:paraId="03DDAA15">
      <w:pPr>
        <w:spacing w:line="500" w:lineRule="exact"/>
        <w:ind w:firstLine="301"/>
        <w:jc w:val="center"/>
        <w:outlineLvl w:val="0"/>
        <w:rPr>
          <w:rFonts w:hint="eastAsia"/>
          <w:b/>
          <w:color w:val="000000"/>
          <w:sz w:val="30"/>
          <w:szCs w:val="30"/>
        </w:rPr>
        <w:sectPr>
          <w:footerReference r:id="rId6" w:type="default"/>
          <w:pgSz w:w="11906" w:h="16838"/>
          <w:pgMar w:top="1985" w:right="1418" w:bottom="1440" w:left="1701" w:header="851" w:footer="992" w:gutter="0"/>
          <w:cols w:space="1701" w:num="1"/>
          <w:docGrid w:linePitch="360" w:charSpace="0"/>
        </w:sectPr>
      </w:pPr>
    </w:p>
    <w:p w14:paraId="70CF0F69">
      <w:pPr>
        <w:spacing w:line="500" w:lineRule="exact"/>
        <w:jc w:val="center"/>
        <w:outlineLvl w:val="0"/>
        <w:rPr>
          <w:b/>
          <w:color w:val="000000"/>
          <w:sz w:val="30"/>
          <w:szCs w:val="30"/>
        </w:rPr>
      </w:pPr>
      <w:r>
        <w:rPr>
          <w:rFonts w:hint="eastAsia"/>
          <w:b/>
          <w:color w:val="000000"/>
          <w:sz w:val="32"/>
          <w:szCs w:val="32"/>
        </w:rPr>
        <w:t>第四章</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Start w:id="417" w:name="_Toc49090575"/>
      <w:bookmarkStart w:id="418" w:name="_Toc120614281"/>
      <w:bookmarkStart w:id="419" w:name="_Toc288030358"/>
      <w:bookmarkStart w:id="420" w:name="_Toc26554093"/>
      <w:bookmarkStart w:id="421" w:name="_Toc282446330"/>
      <w:bookmarkStart w:id="422" w:name="_Toc390246997"/>
      <w:bookmarkStart w:id="423" w:name="_Toc382813956"/>
      <w:bookmarkStart w:id="424" w:name="_Toc383626068"/>
      <w:bookmarkStart w:id="425" w:name="_Toc390099110"/>
      <w:bookmarkStart w:id="426" w:name="_Toc468783656"/>
      <w:bookmarkStart w:id="427" w:name="_Toc383679821"/>
      <w:bookmarkStart w:id="428" w:name="_Toc382814037"/>
      <w:bookmarkStart w:id="429" w:name="_Toc383623748"/>
      <w:bookmarkStart w:id="430" w:name="_Toc383587528"/>
      <w:bookmarkStart w:id="431" w:name="_Toc382812506"/>
      <w:bookmarkStart w:id="432" w:name="_Toc383698721"/>
      <w:bookmarkStart w:id="433" w:name="_Toc426469931"/>
      <w:bookmarkStart w:id="434" w:name="_Toc390098914"/>
      <w:bookmarkStart w:id="435" w:name="_Toc383624020"/>
      <w:bookmarkStart w:id="436" w:name="_Toc462564139"/>
      <w:bookmarkStart w:id="437" w:name="_Toc479757211"/>
      <w:r>
        <w:rPr>
          <w:rFonts w:hint="eastAsia"/>
          <w:b/>
          <w:color w:val="000000"/>
          <w:sz w:val="32"/>
          <w:szCs w:val="32"/>
        </w:rPr>
        <w:t xml:space="preserve"> </w:t>
      </w:r>
      <w:r>
        <w:rPr>
          <w:b/>
          <w:color w:val="000000"/>
          <w:sz w:val="32"/>
          <w:szCs w:val="32"/>
        </w:rPr>
        <w:t xml:space="preserve"> </w:t>
      </w:r>
      <w:r>
        <w:rPr>
          <w:rFonts w:hint="eastAsia"/>
          <w:b/>
          <w:color w:val="000000"/>
          <w:sz w:val="32"/>
          <w:szCs w:val="32"/>
        </w:rPr>
        <w:t>采购需求</w:t>
      </w:r>
    </w:p>
    <w:p w14:paraId="3AD2D1A0">
      <w:pPr>
        <w:spacing w:line="360" w:lineRule="auto"/>
        <w:rPr>
          <w:rFonts w:hint="eastAsia" w:ascii="宋体" w:hAnsi="宋体" w:cs="宋体"/>
          <w:color w:val="000000"/>
          <w:sz w:val="24"/>
          <w:szCs w:val="24"/>
        </w:rPr>
      </w:pPr>
      <w:r>
        <w:rPr>
          <w:rFonts w:hint="eastAsia" w:ascii="宋体" w:hAnsi="宋体" w:cs="宋体"/>
          <w:b/>
          <w:bCs/>
          <w:color w:val="000000"/>
          <w:sz w:val="24"/>
          <w:szCs w:val="24"/>
        </w:rPr>
        <w:t>一、项目概况</w:t>
      </w:r>
    </w:p>
    <w:p w14:paraId="789A9CA2">
      <w:pPr>
        <w:spacing w:line="360" w:lineRule="auto"/>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（一）项目名称：</w:t>
      </w:r>
      <w:r>
        <w:rPr>
          <w:rFonts w:hint="eastAsia" w:ascii="宋体" w:hAnsi="宋体" w:cs="宋体"/>
          <w:color w:val="000000"/>
          <w:sz w:val="24"/>
          <w:szCs w:val="24"/>
          <w:lang w:eastAsia="zh-CN"/>
        </w:rPr>
        <w:t>2026年古溪镇交通强市四好农村路危桥改建项目（二）</w:t>
      </w:r>
    </w:p>
    <w:p w14:paraId="69F393D8">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（二）主要建设内容：</w:t>
      </w:r>
      <w:r>
        <w:rPr>
          <w:rFonts w:hint="eastAsia" w:ascii="宋体" w:hAnsi="宋体" w:cs="宋体"/>
          <w:color w:val="000000"/>
          <w:sz w:val="24"/>
          <w:szCs w:val="24"/>
          <w:lang w:eastAsia="zh-CN"/>
        </w:rPr>
        <w:t>2026年古溪镇交通强市四好农村路危桥改建项目</w:t>
      </w:r>
      <w:r>
        <w:rPr>
          <w:rFonts w:hint="eastAsia" w:ascii="宋体" w:hAnsi="宋体" w:cs="宋体"/>
          <w:color w:val="000000"/>
          <w:sz w:val="24"/>
          <w:szCs w:val="24"/>
        </w:rPr>
        <w:t>，主要包括刁网村江浙独支纪念馆前星火路改造，尹垛王庄中心大道改造，具体详见控制价清单。</w:t>
      </w:r>
    </w:p>
    <w:p w14:paraId="0F587D86">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（三）现场条件及周边环境情况：</w:t>
      </w:r>
      <w:r>
        <w:rPr>
          <w:rFonts w:hint="eastAsia" w:ascii="宋体" w:hAnsi="宋体" w:cs="宋体"/>
          <w:b/>
          <w:bCs/>
          <w:color w:val="000000"/>
          <w:sz w:val="24"/>
          <w:szCs w:val="24"/>
        </w:rPr>
        <w:t>供应商自行踏勘</w:t>
      </w:r>
      <w:r>
        <w:rPr>
          <w:rFonts w:hint="eastAsia" w:ascii="宋体" w:hAnsi="宋体" w:cs="宋体"/>
          <w:color w:val="000000"/>
          <w:sz w:val="24"/>
          <w:szCs w:val="24"/>
        </w:rPr>
        <w:t>。</w:t>
      </w:r>
    </w:p>
    <w:p w14:paraId="68B2D60C">
      <w:pPr>
        <w:spacing w:line="360" w:lineRule="auto"/>
        <w:rPr>
          <w:rFonts w:hint="eastAsia" w:ascii="宋体" w:hAnsi="宋体" w:cs="宋体"/>
          <w:color w:val="000000"/>
          <w:sz w:val="24"/>
          <w:szCs w:val="24"/>
        </w:rPr>
      </w:pPr>
      <w:r>
        <w:rPr>
          <w:rFonts w:hint="eastAsia" w:ascii="宋体" w:hAnsi="宋体" w:cs="宋体"/>
          <w:b/>
          <w:bCs/>
          <w:color w:val="000000"/>
          <w:sz w:val="24"/>
          <w:szCs w:val="24"/>
        </w:rPr>
        <w:t>二、工程量清单</w:t>
      </w:r>
    </w:p>
    <w:p w14:paraId="408B8E4A">
      <w:pPr>
        <w:keepNext w:val="0"/>
        <w:keepLines w:val="0"/>
        <w:pageBreakBefore w:val="0"/>
        <w:widowControl w:val="0"/>
        <w:spacing w:line="360" w:lineRule="auto"/>
        <w:ind w:left="0" w:firstLine="480"/>
        <w:rPr>
          <w:rFonts w:hint="eastAsia" w:ascii="宋体" w:hAnsi="宋体" w:cs="宋体"/>
          <w:color w:val="000000"/>
          <w:sz w:val="24"/>
          <w:szCs w:val="24"/>
        </w:rPr>
      </w:pPr>
      <w:r>
        <w:rPr>
          <w:rFonts w:hint="eastAsia" w:ascii="宋体" w:hAnsi="宋体" w:cs="宋体"/>
          <w:color w:val="000000"/>
          <w:sz w:val="24"/>
          <w:szCs w:val="24"/>
        </w:rPr>
        <w:t>工程量清单请各供应商从江苏省政府采购网自行下载。</w:t>
      </w:r>
    </w:p>
    <w:p w14:paraId="31612308">
      <w:pPr>
        <w:pStyle w:val="98"/>
        <w:keepNext w:val="0"/>
        <w:keepLines w:val="0"/>
        <w:pageBreakBefore w:val="0"/>
        <w:widowControl w:val="0"/>
        <w:spacing w:after="0"/>
        <w:ind w:left="0" w:firstLine="480"/>
        <w:rPr>
          <w:rFonts w:hint="eastAsia"/>
          <w:color w:val="000000"/>
          <w:sz w:val="24"/>
          <w:szCs w:val="24"/>
        </w:rPr>
      </w:pPr>
      <w:r>
        <w:rPr>
          <w:rFonts w:hint="eastAsia"/>
          <w:color w:val="000000"/>
          <w:sz w:val="24"/>
          <w:szCs w:val="24"/>
        </w:rPr>
        <w:t>供应商无须编制已标价的工程量清单，结算时各单价直接将预算价按照中标下浮率（特指实际下浮率，安全文明措施费、暂列金额、专业工程暂估价等不可竞争费用不下浮）同步下浮执行。结算时以审计后的实际工程量为准，按实结算。</w:t>
      </w:r>
    </w:p>
    <w:p w14:paraId="26DA04BA">
      <w:pPr>
        <w:pStyle w:val="98"/>
        <w:keepNext w:val="0"/>
        <w:keepLines w:val="0"/>
        <w:pageBreakBefore w:val="0"/>
        <w:widowControl w:val="0"/>
        <w:spacing w:after="0"/>
        <w:ind w:left="0" w:firstLine="480"/>
        <w:rPr>
          <w:rFonts w:hint="eastAsia"/>
          <w:color w:val="000000"/>
          <w:sz w:val="24"/>
          <w:szCs w:val="24"/>
        </w:rPr>
      </w:pPr>
      <w:r>
        <w:rPr>
          <w:rFonts w:hint="eastAsia"/>
          <w:color w:val="000000"/>
          <w:sz w:val="24"/>
          <w:szCs w:val="24"/>
        </w:rPr>
        <w:t>下浮率={1-[成交价-（暂列金额+暂估价（其中：材料（工程设备）暂估价应包括总价措施项目费））×（1+规费费率）×（1+税金费率）]/[招标控制价-（暂列金额+暂估价（其中：材料（工程设备）暂估价应包括总价措施项目费））×（1+规费费率）×（1+税金费率）]}X100%；其中：暂估价和暂列金额作为减数时，必须乘以（1+规费费率）×（1+税金费率）后计算下浮率。</w:t>
      </w:r>
    </w:p>
    <w:p w14:paraId="12713C3D">
      <w:pPr>
        <w:spacing w:line="360" w:lineRule="auto"/>
        <w:rPr>
          <w:rFonts w:hint="eastAsia" w:ascii="宋体" w:hAnsi="宋体" w:cs="宋体"/>
          <w:color w:val="000000"/>
          <w:sz w:val="24"/>
          <w:szCs w:val="24"/>
        </w:rPr>
      </w:pPr>
      <w:r>
        <w:rPr>
          <w:rFonts w:hint="eastAsia" w:ascii="宋体" w:hAnsi="宋体" w:cs="宋体"/>
          <w:b/>
          <w:bCs/>
          <w:color w:val="000000"/>
          <w:sz w:val="24"/>
          <w:szCs w:val="24"/>
        </w:rPr>
        <w:t>三、技术规范</w:t>
      </w:r>
    </w:p>
    <w:p w14:paraId="45A94838">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本工程采用的技术规范：执行国家现行标准规范和现行技术工艺要求。</w:t>
      </w:r>
    </w:p>
    <w:p w14:paraId="206A1870">
      <w:pPr>
        <w:spacing w:line="360" w:lineRule="auto"/>
        <w:rPr>
          <w:rFonts w:hint="eastAsia" w:ascii="宋体" w:hAnsi="宋体" w:cs="宋体"/>
          <w:color w:val="000000"/>
          <w:sz w:val="24"/>
          <w:szCs w:val="24"/>
        </w:rPr>
      </w:pPr>
      <w:r>
        <w:rPr>
          <w:rFonts w:hint="eastAsia" w:ascii="宋体" w:hAnsi="宋体" w:cs="宋体"/>
          <w:b/>
          <w:bCs/>
          <w:color w:val="000000"/>
          <w:sz w:val="24"/>
          <w:szCs w:val="24"/>
        </w:rPr>
        <w:t>四、商务部分</w:t>
      </w:r>
    </w:p>
    <w:p w14:paraId="7823D7A7">
      <w:pPr>
        <w:spacing w:line="360" w:lineRule="auto"/>
        <w:ind w:firstLine="480"/>
        <w:rPr>
          <w:rFonts w:hint="eastAsia" w:ascii="宋体" w:hAnsi="宋体" w:cs="宋体"/>
          <w:color w:val="FF0000"/>
          <w:sz w:val="24"/>
          <w:szCs w:val="24"/>
        </w:rPr>
      </w:pPr>
      <w:r>
        <w:rPr>
          <w:rFonts w:hint="eastAsia" w:ascii="宋体" w:hAnsi="宋体" w:cs="宋体"/>
          <w:color w:val="FF0000"/>
          <w:sz w:val="24"/>
          <w:szCs w:val="24"/>
        </w:rPr>
        <w:t>1、工期：</w:t>
      </w:r>
      <w:r>
        <w:rPr>
          <w:rFonts w:hint="eastAsia" w:ascii="宋体" w:hAnsi="宋体" w:cs="宋体"/>
          <w:color w:val="FF0000"/>
          <w:sz w:val="24"/>
          <w:szCs w:val="24"/>
          <w:lang w:val="en-US" w:eastAsia="zh-CN"/>
        </w:rPr>
        <w:t>60日历天</w:t>
      </w:r>
    </w:p>
    <w:p w14:paraId="747293DB">
      <w:pPr>
        <w:spacing w:line="360" w:lineRule="auto"/>
        <w:ind w:firstLine="480"/>
        <w:rPr>
          <w:rFonts w:hint="eastAsia" w:ascii="宋体" w:hAnsi="宋体" w:cs="宋体"/>
          <w:color w:val="FF0000"/>
          <w:sz w:val="24"/>
          <w:szCs w:val="24"/>
        </w:rPr>
      </w:pPr>
      <w:r>
        <w:rPr>
          <w:rFonts w:hint="eastAsia" w:ascii="宋体" w:hAnsi="宋体" w:cs="宋体"/>
          <w:color w:val="FF0000"/>
          <w:sz w:val="24"/>
          <w:szCs w:val="24"/>
        </w:rPr>
        <w:t xml:space="preserve">2、质量标准：合格； </w:t>
      </w:r>
    </w:p>
    <w:p w14:paraId="20D2345B">
      <w:pPr>
        <w:spacing w:line="360" w:lineRule="auto"/>
        <w:ind w:firstLine="480"/>
        <w:rPr>
          <w:rFonts w:hint="eastAsia" w:ascii="宋体" w:hAnsi="宋体" w:eastAsia="宋体" w:cs="宋体"/>
          <w:color w:val="FF0000"/>
          <w:sz w:val="24"/>
          <w:szCs w:val="24"/>
          <w:lang w:eastAsia="zh-CN"/>
        </w:rPr>
      </w:pPr>
      <w:r>
        <w:rPr>
          <w:rFonts w:hint="eastAsia" w:ascii="宋体" w:hAnsi="宋体" w:cs="宋体"/>
          <w:color w:val="FF0000"/>
          <w:sz w:val="24"/>
          <w:szCs w:val="24"/>
        </w:rPr>
        <w:t>3、付款方式：工程竣工验收合格并经审计后付至审计价的40%，2027年底付至审计价的70%，工程竣工验收合格满两年且无质量缺陷按审计价付清余款</w:t>
      </w:r>
      <w:r>
        <w:rPr>
          <w:rFonts w:hint="eastAsia" w:ascii="宋体" w:hAnsi="宋体" w:cs="宋体"/>
          <w:color w:val="FF0000"/>
          <w:sz w:val="24"/>
          <w:szCs w:val="24"/>
          <w:lang w:eastAsia="zh-CN"/>
        </w:rPr>
        <w:t>。</w:t>
      </w:r>
    </w:p>
    <w:p w14:paraId="76C767E1">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五、本项目采购标的对应的中小企业划分标准所属行业为建筑业。</w:t>
      </w:r>
    </w:p>
    <w:p w14:paraId="7633571B">
      <w:pPr>
        <w:spacing w:line="360" w:lineRule="auto"/>
        <w:rPr>
          <w:rFonts w:hint="eastAsia" w:ascii="宋体" w:hAnsi="宋体" w:cs="宋体"/>
          <w:color w:val="000000"/>
          <w:sz w:val="24"/>
          <w:szCs w:val="24"/>
        </w:rPr>
      </w:pPr>
      <w:r>
        <w:rPr>
          <w:rFonts w:hint="eastAsia" w:ascii="宋体" w:hAnsi="宋体" w:cs="宋体"/>
          <w:b/>
          <w:bCs/>
          <w:color w:val="000000"/>
          <w:sz w:val="24"/>
          <w:szCs w:val="24"/>
        </w:rPr>
        <w:t>六、其他说明</w:t>
      </w:r>
    </w:p>
    <w:p w14:paraId="5AF75DEA">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6.1本工程施工必须符合国家相关规范要求，确保通过验收。</w:t>
      </w:r>
    </w:p>
    <w:p w14:paraId="165AFF5E">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6.2建筑垃圾外运、材料运输、机械设备进退场等工作中，出现与交通运输、城市管理有关的矛盾由成交人自行解决，产生的任何费用由供应商在投标报价时自行考虑；</w:t>
      </w:r>
    </w:p>
    <w:p w14:paraId="37FE9ECE">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6.3.施工过程中不得污染周边环境，不得对周边环境造成影响，否则一切责任由承包人承担，由此造成的一切损失由成交人承担。</w:t>
      </w:r>
    </w:p>
    <w:p w14:paraId="231E5E05">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6.4安全生产</w:t>
      </w:r>
    </w:p>
    <w:p w14:paraId="3EF229AE">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6.4.1施工现场内及周边须设置防护设施、临时警示标牌标志、警示灯、夜间照明、夜间交通指示灯（夜间必须正常显示）以及施工现场内、外的临时交通安全设施等。</w:t>
      </w:r>
    </w:p>
    <w:p w14:paraId="625A235F">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6.4.2交通安全设施的设置方案须符合交警、城管部门、发包人的要求，施工车辆进出场地必须减速慢行，出入口必须有专人看护，确保出入口的交通安全。</w:t>
      </w:r>
    </w:p>
    <w:p w14:paraId="1FD4417D">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6.5承包人须做好现场环境保护，做好防尘、降噪等措施，费用已包含在投标报价中；</w:t>
      </w:r>
    </w:p>
    <w:p w14:paraId="3673643F">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6.6承包人搭建的临时设施和材料堆场必须服从发包人和监理单位的统一安排。如承包人不服从，发包人有权根据项目管理规定对承包人进行处罚。</w:t>
      </w:r>
    </w:p>
    <w:p w14:paraId="30275C94">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6.7在国家规定的工程合理使用期限内，承包人确保该项目工程的质量。因承包人原因致使工程在合理使用期限内造成人身和财产损害的，承包人应承担损害赔偿责任。</w:t>
      </w:r>
    </w:p>
    <w:p w14:paraId="140663CD">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6.8发生须紧急抢修事故，承包人接到事故通知后，应立即到达事故现场抢修。</w:t>
      </w:r>
    </w:p>
    <w:p w14:paraId="5AA58314">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6.9本工程在施工中执行现行的国家、省级及工程所在地颁发的环保、节能、电器安装、防雷、安全、消防等有关规定。</w:t>
      </w:r>
    </w:p>
    <w:p w14:paraId="02143E33">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6.10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p>
    <w:p w14:paraId="453E55B3">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6.11承包人不得借资质投标，不得挂靠有资质的单位参加投标，承包人不得将</w:t>
      </w:r>
      <w:r>
        <w:rPr>
          <w:rFonts w:hint="eastAsia" w:ascii="宋体" w:hAnsi="宋体" w:cs="宋体"/>
          <w:color w:val="000000"/>
          <w:sz w:val="24"/>
          <w:szCs w:val="24"/>
          <w:lang w:val="en-US" w:eastAsia="zh-CN"/>
        </w:rPr>
        <w:t>整体</w:t>
      </w:r>
      <w:r>
        <w:rPr>
          <w:rFonts w:hint="eastAsia" w:ascii="宋体" w:hAnsi="宋体" w:cs="宋体"/>
          <w:color w:val="000000"/>
          <w:sz w:val="24"/>
          <w:szCs w:val="24"/>
        </w:rPr>
        <w:t>工程转包或者分包。发包人发现承包人有上述情况，将终止施工合同，责令成交人立即退场，因此造成的一切损失均由承包人承担，今后禁止该单位参加建设方的一切招标活动。</w:t>
      </w:r>
    </w:p>
    <w:p w14:paraId="2B7D89E5">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6.12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10万元，由承包人承担由此产生的一切后果。</w:t>
      </w:r>
    </w:p>
    <w:p w14:paraId="3D9AA949">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6.13承包人必须根据发包人的要求在发包人规定的时间内拆除临时设施、施工机械及其基础，并将其垃圾运离施工现场，所发生的费用由承包人承担，清理完成后承包人须报监理、招标人验收确认；施工场地外围5米范围内必须与施工场地内一样整洁、干净、文明施工；若发包人安排人员完成上述工作，所发生的费用将双倍从工程款中扣除。</w:t>
      </w:r>
    </w:p>
    <w:p w14:paraId="40776228">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6.14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p>
    <w:p w14:paraId="4A8138CD">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6.15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p>
    <w:p w14:paraId="5EFE7C13">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6.16供应商必须认真踏勘现场，考虑行人、行车干扰，相关费用已包含在供应商投标报价中。</w:t>
      </w:r>
    </w:p>
    <w:p w14:paraId="7F14670B">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6.17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p>
    <w:p w14:paraId="58A268B0">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6.18本工程发生工程变更或产生签证引起工程造价增减的，最终价格以“工程竣工结算核对并经发包人、承包人双方确认签字”的文件为准。</w:t>
      </w:r>
    </w:p>
    <w:p w14:paraId="3902A59C">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6.19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p>
    <w:p w14:paraId="101DA248">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6.20供应商要充分了解项目情况，对招标控制价（即最高限价）如有异议，供应商需按采购文件约定的时间提出异议，如供应商在投标期间无异议，那供应商成交后不得再以任何理由向招标人提出任何费用。</w:t>
      </w:r>
    </w:p>
    <w:p w14:paraId="6890846B">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6.21农民工工资支付及担保按照国家、省市相关规定执行。</w:t>
      </w:r>
    </w:p>
    <w:p w14:paraId="35427932">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6.22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p>
    <w:p w14:paraId="716A5463">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6.23供应商自行勘察现场，应充分了解本工程的施工现场条件及本工程的施工难度，根据现场情况及自身的施工方法自主报价。</w:t>
      </w:r>
    </w:p>
    <w:p w14:paraId="63FCCFE6">
      <w:pPr>
        <w:pStyle w:val="268"/>
        <w:tabs>
          <w:tab w:val="left" w:pos="525"/>
          <w:tab w:val="left" w:pos="735"/>
        </w:tabs>
        <w:spacing w:line="360" w:lineRule="auto"/>
        <w:jc w:val="left"/>
        <w:rPr>
          <w:rFonts w:hint="eastAsia" w:hAnsi="宋体"/>
          <w:b w:val="0"/>
          <w:bCs w:val="0"/>
          <w:color w:val="000000"/>
          <w:sz w:val="24"/>
          <w:szCs w:val="24"/>
        </w:rPr>
      </w:pPr>
      <w:r>
        <w:rPr>
          <w:rFonts w:hint="eastAsia" w:hAnsi="宋体"/>
          <w:b/>
          <w:bCs/>
          <w:color w:val="000000"/>
          <w:sz w:val="24"/>
          <w:szCs w:val="24"/>
          <w:lang w:val="en-US" w:eastAsia="zh-CN"/>
        </w:rPr>
        <w:t>七</w:t>
      </w:r>
      <w:r>
        <w:rPr>
          <w:rFonts w:hint="eastAsia" w:hAnsi="宋体"/>
          <w:b/>
          <w:bCs/>
          <w:color w:val="000000"/>
          <w:sz w:val="24"/>
          <w:szCs w:val="24"/>
        </w:rPr>
        <w:t>、投标报价说明</w:t>
      </w:r>
    </w:p>
    <w:p w14:paraId="52CF43E8">
      <w:pPr>
        <w:pStyle w:val="268"/>
        <w:tabs>
          <w:tab w:val="left" w:pos="525"/>
          <w:tab w:val="left" w:pos="735"/>
        </w:tabs>
        <w:spacing w:line="360" w:lineRule="auto"/>
        <w:ind w:firstLine="480"/>
        <w:jc w:val="left"/>
        <w:rPr>
          <w:rFonts w:hint="eastAsia" w:hAnsi="宋体"/>
          <w:b/>
          <w:bCs/>
          <w:color w:val="000000"/>
          <w:sz w:val="24"/>
          <w:szCs w:val="24"/>
        </w:rPr>
      </w:pPr>
      <w:r>
        <w:rPr>
          <w:rFonts w:hint="eastAsia" w:hAnsi="宋体"/>
          <w:color w:val="000000"/>
          <w:sz w:val="24"/>
          <w:szCs w:val="24"/>
        </w:rPr>
        <w:t>本项目无需供应商编制工程量清单。最终确定的承包价格按招标控制价总价下浮率同比下浮到各个子目形成综合单价，作为结算依据；其中，本工程预算清单中不可竞争费（暂估价、暂列金额）不参与下浮。</w:t>
      </w:r>
    </w:p>
    <w:p w14:paraId="24EBF5D4">
      <w:pPr>
        <w:spacing w:line="500" w:lineRule="exact"/>
        <w:outlineLvl w:val="0"/>
        <w:rPr>
          <w:b/>
          <w:color w:val="000000"/>
          <w:sz w:val="44"/>
          <w:szCs w:val="44"/>
        </w:rPr>
      </w:pPr>
    </w:p>
    <w:p w14:paraId="5A0A7240">
      <w:pPr>
        <w:spacing w:line="500" w:lineRule="exact"/>
        <w:outlineLvl w:val="0"/>
        <w:rPr>
          <w:b/>
          <w:color w:val="000000"/>
          <w:sz w:val="44"/>
          <w:szCs w:val="44"/>
        </w:rPr>
      </w:pPr>
    </w:p>
    <w:p w14:paraId="24406D43">
      <w:pPr>
        <w:spacing w:line="500" w:lineRule="exact"/>
        <w:ind w:firstLine="301"/>
        <w:jc w:val="center"/>
        <w:outlineLvl w:val="0"/>
        <w:rPr>
          <w:b/>
          <w:color w:val="000000"/>
          <w:sz w:val="30"/>
          <w:szCs w:val="30"/>
        </w:rPr>
      </w:pPr>
      <w:r>
        <w:rPr>
          <w:rFonts w:hint="eastAsia"/>
          <w:b/>
          <w:color w:val="000000"/>
          <w:sz w:val="30"/>
          <w:szCs w:val="30"/>
        </w:rPr>
        <w:br w:type="page" w:clear="all"/>
      </w:r>
      <w:r>
        <w:rPr>
          <w:rFonts w:hint="eastAsia"/>
          <w:b/>
          <w:color w:val="000000"/>
          <w:sz w:val="30"/>
          <w:szCs w:val="30"/>
        </w:rPr>
        <w:t>第五章</w:t>
      </w:r>
      <w:bookmarkEnd w:id="417"/>
      <w:bookmarkEnd w:id="418"/>
      <w:bookmarkEnd w:id="419"/>
      <w:bookmarkEnd w:id="420"/>
      <w:bookmarkEnd w:id="421"/>
      <w:r>
        <w:rPr>
          <w:rFonts w:hint="eastAsia"/>
          <w:b/>
          <w:color w:val="000000"/>
          <w:sz w:val="30"/>
          <w:szCs w:val="30"/>
        </w:rPr>
        <w:t xml:space="preserve"> </w:t>
      </w:r>
      <w:r>
        <w:rPr>
          <w:b/>
          <w:color w:val="000000"/>
          <w:sz w:val="30"/>
          <w:szCs w:val="30"/>
        </w:rPr>
        <w:t xml:space="preserve"> </w:t>
      </w:r>
      <w:r>
        <w:rPr>
          <w:rFonts w:hint="eastAsia"/>
          <w:b/>
          <w:color w:val="000000"/>
          <w:sz w:val="30"/>
          <w:szCs w:val="30"/>
        </w:rPr>
        <w:t>响应文件的编制及格式</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Start w:id="438" w:name="_Hlt26955039"/>
      <w:bookmarkEnd w:id="438"/>
      <w:bookmarkStart w:id="439" w:name="_Hlt26671244"/>
      <w:bookmarkEnd w:id="439"/>
      <w:bookmarkStart w:id="440" w:name="_Toc120614282"/>
      <w:bookmarkStart w:id="441" w:name="_Toc26554094"/>
      <w:bookmarkStart w:id="442" w:name="_Toc49090576"/>
      <w:bookmarkStart w:id="443" w:name="_Toc288030359"/>
      <w:bookmarkStart w:id="444" w:name="_Toc282446331"/>
    </w:p>
    <w:p w14:paraId="4B5C18F3">
      <w:pPr>
        <w:pStyle w:val="237"/>
        <w:spacing w:before="0" w:after="0" w:line="500" w:lineRule="exact"/>
        <w:jc w:val="left"/>
        <w:rPr>
          <w:b/>
          <w:color w:val="000000"/>
          <w:sz w:val="24"/>
          <w:szCs w:val="24"/>
        </w:rPr>
      </w:pPr>
      <w:bookmarkStart w:id="445" w:name="_Toc426469932"/>
      <w:bookmarkStart w:id="446" w:name="_Toc468783657"/>
      <w:r>
        <w:rPr>
          <w:rFonts w:hint="eastAsia"/>
          <w:b/>
          <w:color w:val="000000"/>
          <w:sz w:val="24"/>
          <w:szCs w:val="24"/>
        </w:rPr>
        <w:t>1.响应文件的构成</w:t>
      </w:r>
      <w:bookmarkEnd w:id="445"/>
      <w:bookmarkEnd w:id="446"/>
    </w:p>
    <w:p w14:paraId="0EBEFE9C">
      <w:pPr>
        <w:pStyle w:val="345"/>
        <w:spacing w:line="420" w:lineRule="exact"/>
        <w:ind w:firstLine="480"/>
        <w:rPr>
          <w:rFonts w:hint="eastAsia" w:eastAsia="宋体" w:cs="宋体"/>
          <w:color w:val="000000"/>
          <w:sz w:val="24"/>
          <w:szCs w:val="24"/>
        </w:rPr>
      </w:pPr>
      <w:r>
        <w:rPr>
          <w:rFonts w:hint="eastAsia" w:eastAsia="宋体" w:cs="宋体"/>
          <w:color w:val="000000"/>
          <w:sz w:val="24"/>
          <w:szCs w:val="24"/>
        </w:rPr>
        <w:t>（1）磋商报价表</w:t>
      </w:r>
    </w:p>
    <w:p w14:paraId="1957A8CB">
      <w:pPr>
        <w:pStyle w:val="345"/>
        <w:spacing w:line="420" w:lineRule="exact"/>
        <w:ind w:firstLine="480"/>
        <w:rPr>
          <w:rFonts w:eastAsia="宋体" w:cs="宋体"/>
          <w:color w:val="000000"/>
          <w:sz w:val="24"/>
          <w:szCs w:val="24"/>
        </w:rPr>
      </w:pPr>
      <w:r>
        <w:rPr>
          <w:rFonts w:hint="eastAsia" w:eastAsia="宋体" w:cs="宋体"/>
          <w:color w:val="000000"/>
          <w:sz w:val="24"/>
          <w:szCs w:val="24"/>
        </w:rPr>
        <w:t>（2）响应函</w:t>
      </w:r>
    </w:p>
    <w:p w14:paraId="315E9C0A">
      <w:pPr>
        <w:pStyle w:val="345"/>
        <w:spacing w:line="420" w:lineRule="exact"/>
        <w:ind w:firstLine="480"/>
        <w:rPr>
          <w:rFonts w:eastAsia="宋体" w:cs="宋体"/>
          <w:color w:val="000000"/>
          <w:sz w:val="24"/>
          <w:szCs w:val="24"/>
        </w:rPr>
      </w:pPr>
      <w:r>
        <w:rPr>
          <w:rFonts w:hint="eastAsia" w:eastAsia="宋体" w:cs="宋体"/>
          <w:color w:val="000000"/>
          <w:sz w:val="24"/>
          <w:szCs w:val="24"/>
        </w:rPr>
        <w:t>（3）资格及资信证明文件</w:t>
      </w:r>
    </w:p>
    <w:p w14:paraId="781039B1">
      <w:pPr>
        <w:spacing w:line="440" w:lineRule="exact"/>
        <w:ind w:firstLine="480"/>
        <w:rPr>
          <w:rFonts w:ascii="宋体" w:hAnsi="宋体" w:cs="宋体"/>
          <w:color w:val="000000"/>
          <w:sz w:val="24"/>
          <w:szCs w:val="24"/>
        </w:rPr>
      </w:pPr>
      <w:r>
        <w:rPr>
          <w:rFonts w:hint="eastAsia" w:ascii="宋体" w:hAnsi="宋体"/>
          <w:color w:val="000000"/>
          <w:sz w:val="24"/>
          <w:szCs w:val="24"/>
        </w:rPr>
        <w:t>·法定代表人授权委托书（法定代表人参加投标的提供法定代表人身份证明书，格式附后）</w:t>
      </w:r>
    </w:p>
    <w:p w14:paraId="486FCC9C">
      <w:pPr>
        <w:spacing w:line="440" w:lineRule="exact"/>
        <w:ind w:firstLine="480"/>
        <w:rPr>
          <w:rFonts w:ascii="宋体" w:hAnsi="宋体"/>
          <w:color w:val="000000"/>
          <w:sz w:val="24"/>
          <w:szCs w:val="24"/>
        </w:rPr>
      </w:pPr>
      <w:r>
        <w:rPr>
          <w:rFonts w:hint="eastAsia" w:ascii="宋体" w:hAnsi="宋体"/>
          <w:color w:val="000000"/>
          <w:sz w:val="24"/>
          <w:szCs w:val="24"/>
        </w:rPr>
        <w:t>·供应商营业执照复印件加盖公章</w:t>
      </w:r>
    </w:p>
    <w:p w14:paraId="0CF953ED">
      <w:pPr>
        <w:spacing w:line="440" w:lineRule="exact"/>
        <w:ind w:firstLine="480"/>
        <w:rPr>
          <w:rFonts w:ascii="宋体" w:hAnsi="宋体"/>
          <w:color w:val="000000"/>
          <w:sz w:val="24"/>
          <w:szCs w:val="24"/>
        </w:rPr>
      </w:pPr>
      <w:r>
        <w:rPr>
          <w:rFonts w:hint="eastAsia" w:ascii="宋体" w:hAnsi="宋体"/>
          <w:color w:val="000000"/>
          <w:sz w:val="24"/>
          <w:szCs w:val="24"/>
        </w:rPr>
        <w:t>·供应商资质证书复印件加盖公章</w:t>
      </w:r>
    </w:p>
    <w:p w14:paraId="2C2E274C">
      <w:pPr>
        <w:spacing w:line="440" w:lineRule="exact"/>
        <w:ind w:firstLine="480"/>
        <w:rPr>
          <w:rFonts w:ascii="宋体" w:hAnsi="宋体"/>
          <w:color w:val="000000"/>
          <w:sz w:val="24"/>
          <w:szCs w:val="24"/>
        </w:rPr>
      </w:pPr>
      <w:r>
        <w:rPr>
          <w:rFonts w:hint="eastAsia" w:ascii="宋体" w:hAnsi="宋体"/>
          <w:color w:val="000000"/>
          <w:sz w:val="24"/>
          <w:szCs w:val="24"/>
        </w:rPr>
        <w:t>·供应商安全生产许可证复印件加盖公章</w:t>
      </w:r>
    </w:p>
    <w:p w14:paraId="4F75615F">
      <w:pPr>
        <w:spacing w:line="440" w:lineRule="exact"/>
        <w:ind w:firstLine="480"/>
        <w:rPr>
          <w:rFonts w:ascii="宋体" w:hAnsi="宋体"/>
          <w:color w:val="000000"/>
          <w:sz w:val="24"/>
          <w:szCs w:val="24"/>
        </w:rPr>
      </w:pPr>
      <w:r>
        <w:rPr>
          <w:rFonts w:hint="eastAsia" w:ascii="宋体" w:hAnsi="宋体"/>
          <w:color w:val="000000"/>
          <w:sz w:val="24"/>
          <w:szCs w:val="24"/>
        </w:rPr>
        <w:t>·拟派</w:t>
      </w:r>
      <w:r>
        <w:rPr>
          <w:rFonts w:hint="eastAsia" w:ascii="宋体" w:hAnsi="宋体"/>
          <w:color w:val="000000"/>
          <w:sz w:val="24"/>
          <w:szCs w:val="24"/>
          <w:lang w:eastAsia="zh-CN"/>
        </w:rPr>
        <w:t>项目负责人</w:t>
      </w:r>
      <w:r>
        <w:rPr>
          <w:rFonts w:hint="eastAsia" w:ascii="宋体" w:hAnsi="宋体"/>
          <w:color w:val="000000"/>
          <w:sz w:val="24"/>
          <w:szCs w:val="24"/>
        </w:rPr>
        <w:t>注册建造师证书复印件加盖公章</w:t>
      </w:r>
    </w:p>
    <w:p w14:paraId="12C40F47">
      <w:pPr>
        <w:spacing w:line="440" w:lineRule="exact"/>
        <w:ind w:firstLine="480"/>
        <w:rPr>
          <w:rFonts w:ascii="宋体" w:hAnsi="宋体"/>
          <w:color w:val="000000"/>
          <w:sz w:val="24"/>
          <w:szCs w:val="24"/>
        </w:rPr>
      </w:pPr>
      <w:r>
        <w:rPr>
          <w:rFonts w:hint="eastAsia" w:ascii="宋体" w:hAnsi="宋体"/>
          <w:color w:val="000000"/>
          <w:sz w:val="24"/>
          <w:szCs w:val="24"/>
        </w:rPr>
        <w:t>·拟派</w:t>
      </w:r>
      <w:r>
        <w:rPr>
          <w:rFonts w:hint="eastAsia" w:ascii="宋体" w:hAnsi="宋体"/>
          <w:color w:val="000000"/>
          <w:sz w:val="24"/>
          <w:szCs w:val="24"/>
          <w:lang w:eastAsia="zh-CN"/>
        </w:rPr>
        <w:t>项目负责人</w:t>
      </w:r>
      <w:r>
        <w:rPr>
          <w:rFonts w:hint="eastAsia" w:ascii="宋体" w:hAnsi="宋体"/>
          <w:color w:val="000000"/>
          <w:sz w:val="24"/>
          <w:szCs w:val="24"/>
        </w:rPr>
        <w:t>安全生产考核合格证书复印件加盖公章</w:t>
      </w:r>
    </w:p>
    <w:p w14:paraId="564C708B">
      <w:pPr>
        <w:spacing w:line="440" w:lineRule="exact"/>
        <w:ind w:firstLine="480"/>
        <w:rPr>
          <w:rFonts w:ascii="宋体" w:hAnsi="宋体"/>
          <w:color w:val="000000"/>
          <w:sz w:val="24"/>
          <w:szCs w:val="24"/>
        </w:rPr>
      </w:pPr>
      <w:r>
        <w:rPr>
          <w:rFonts w:hint="eastAsia" w:ascii="宋体" w:hAnsi="宋体"/>
          <w:color w:val="000000"/>
          <w:sz w:val="24"/>
          <w:szCs w:val="24"/>
        </w:rPr>
        <w:t>·供应商为</w:t>
      </w:r>
      <w:r>
        <w:rPr>
          <w:rFonts w:hint="eastAsia" w:ascii="宋体" w:hAnsi="宋体"/>
          <w:color w:val="000000"/>
          <w:sz w:val="24"/>
          <w:szCs w:val="24"/>
          <w:lang w:eastAsia="zh-CN"/>
        </w:rPr>
        <w:t>项目负责人</w:t>
      </w:r>
      <w:r>
        <w:rPr>
          <w:rFonts w:hint="eastAsia" w:ascii="宋体" w:hAnsi="宋体"/>
          <w:color w:val="000000"/>
          <w:sz w:val="24"/>
          <w:szCs w:val="24"/>
        </w:rPr>
        <w:t>缴纳养老保险的复印件加盖公章（具体要求见评审办法）</w:t>
      </w:r>
    </w:p>
    <w:p w14:paraId="4B939503">
      <w:pPr>
        <w:spacing w:line="440" w:lineRule="exact"/>
        <w:ind w:firstLine="480"/>
        <w:rPr>
          <w:rFonts w:ascii="宋体" w:hAnsi="宋体"/>
          <w:color w:val="000000"/>
          <w:sz w:val="24"/>
          <w:szCs w:val="24"/>
        </w:rPr>
      </w:pPr>
      <w:r>
        <w:rPr>
          <w:rFonts w:hint="eastAsia" w:ascii="宋体" w:hAnsi="宋体"/>
          <w:color w:val="000000"/>
          <w:sz w:val="24"/>
          <w:szCs w:val="24"/>
        </w:rPr>
        <w:t>·</w:t>
      </w:r>
      <w:r>
        <w:rPr>
          <w:rFonts w:hint="eastAsia"/>
          <w:color w:val="000000"/>
          <w:sz w:val="24"/>
          <w:szCs w:val="24"/>
        </w:rPr>
        <w:t>《无在建承诺书》</w:t>
      </w:r>
      <w:r>
        <w:rPr>
          <w:rFonts w:hint="eastAsia" w:ascii="宋体" w:hAnsi="宋体"/>
          <w:color w:val="000000"/>
          <w:sz w:val="24"/>
          <w:szCs w:val="24"/>
        </w:rPr>
        <w:t>（格式附后）</w:t>
      </w:r>
    </w:p>
    <w:p w14:paraId="4706A04B">
      <w:pPr>
        <w:spacing w:line="440" w:lineRule="exact"/>
        <w:ind w:firstLine="480"/>
        <w:rPr>
          <w:rFonts w:hint="eastAsia" w:ascii="宋体" w:hAnsi="宋体"/>
          <w:color w:val="000000"/>
          <w:sz w:val="24"/>
          <w:szCs w:val="24"/>
        </w:rPr>
      </w:pPr>
      <w:r>
        <w:rPr>
          <w:rFonts w:hint="eastAsia" w:ascii="宋体" w:hAnsi="宋体"/>
          <w:color w:val="000000"/>
          <w:sz w:val="24"/>
          <w:szCs w:val="24"/>
        </w:rPr>
        <w:t>·供应商基本资格条件承诺书</w:t>
      </w:r>
    </w:p>
    <w:p w14:paraId="10518960">
      <w:pPr>
        <w:spacing w:line="440" w:lineRule="exact"/>
        <w:ind w:firstLine="480"/>
        <w:rPr>
          <w:rFonts w:ascii="宋体" w:hAnsi="宋体"/>
          <w:color w:val="000000"/>
          <w:sz w:val="24"/>
          <w:szCs w:val="24"/>
        </w:rPr>
      </w:pPr>
      <w:r>
        <w:rPr>
          <w:rFonts w:hint="eastAsia" w:ascii="宋体" w:hAnsi="宋体"/>
          <w:color w:val="000000"/>
          <w:sz w:val="24"/>
          <w:szCs w:val="24"/>
        </w:rPr>
        <w:t>·诚信投标承诺书</w:t>
      </w:r>
    </w:p>
    <w:p w14:paraId="5FD8D1A2">
      <w:pPr>
        <w:spacing w:line="440" w:lineRule="exact"/>
        <w:ind w:firstLine="480"/>
        <w:rPr>
          <w:rFonts w:hint="eastAsia" w:ascii="宋体" w:hAnsi="宋体"/>
          <w:color w:val="000000"/>
          <w:sz w:val="24"/>
          <w:szCs w:val="24"/>
        </w:rPr>
      </w:pPr>
      <w:r>
        <w:rPr>
          <w:rFonts w:hint="eastAsia" w:ascii="宋体" w:hAnsi="宋体"/>
          <w:color w:val="000000"/>
          <w:sz w:val="24"/>
          <w:szCs w:val="24"/>
        </w:rPr>
        <w:t>·供应商认为需要提供的其他资格及资信证明文件</w:t>
      </w:r>
    </w:p>
    <w:p w14:paraId="29B771CB">
      <w:pPr>
        <w:pStyle w:val="345"/>
        <w:spacing w:line="420" w:lineRule="exact"/>
        <w:ind w:firstLine="480"/>
        <w:rPr>
          <w:rFonts w:eastAsia="宋体" w:cs="宋体"/>
          <w:color w:val="000000"/>
          <w:sz w:val="24"/>
          <w:szCs w:val="24"/>
        </w:rPr>
      </w:pPr>
      <w:r>
        <w:rPr>
          <w:rFonts w:hint="eastAsia" w:eastAsia="宋体" w:cs="宋体"/>
          <w:color w:val="000000"/>
          <w:sz w:val="24"/>
          <w:szCs w:val="24"/>
        </w:rPr>
        <w:t>（4）中小企业声明函</w:t>
      </w:r>
    </w:p>
    <w:p w14:paraId="2E25B4E4">
      <w:pPr>
        <w:pStyle w:val="345"/>
        <w:spacing w:line="420" w:lineRule="exact"/>
        <w:ind w:firstLine="480"/>
        <w:rPr>
          <w:rFonts w:eastAsia="宋体" w:cs="宋体"/>
          <w:color w:val="000000"/>
          <w:sz w:val="24"/>
          <w:szCs w:val="24"/>
        </w:rPr>
      </w:pPr>
      <w:r>
        <w:rPr>
          <w:rFonts w:hint="eastAsia" w:eastAsia="宋体" w:cs="宋体"/>
          <w:color w:val="000000"/>
          <w:sz w:val="24"/>
          <w:szCs w:val="24"/>
        </w:rPr>
        <w:t>（5）采购需求响应表</w:t>
      </w:r>
    </w:p>
    <w:p w14:paraId="383CCE80">
      <w:pPr>
        <w:pStyle w:val="345"/>
        <w:spacing w:line="420" w:lineRule="exact"/>
        <w:ind w:firstLine="480"/>
        <w:rPr>
          <w:rFonts w:eastAsia="宋体" w:cs="宋体"/>
          <w:color w:val="000000"/>
          <w:sz w:val="24"/>
          <w:szCs w:val="24"/>
        </w:rPr>
      </w:pPr>
      <w:r>
        <w:rPr>
          <w:rFonts w:hint="eastAsia" w:eastAsia="宋体" w:cs="宋体"/>
          <w:color w:val="000000"/>
          <w:sz w:val="24"/>
          <w:szCs w:val="24"/>
        </w:rPr>
        <w:t>（6）供应商综合实力证明文件</w:t>
      </w:r>
    </w:p>
    <w:p w14:paraId="55519E11">
      <w:pPr>
        <w:pStyle w:val="345"/>
        <w:spacing w:line="420" w:lineRule="exact"/>
        <w:ind w:firstLine="480"/>
        <w:rPr>
          <w:rFonts w:eastAsia="宋体" w:cs="宋体"/>
          <w:color w:val="000000"/>
          <w:sz w:val="24"/>
          <w:szCs w:val="24"/>
        </w:rPr>
      </w:pPr>
      <w:r>
        <w:rPr>
          <w:rFonts w:hint="eastAsia" w:eastAsia="宋体" w:cs="宋体"/>
          <w:color w:val="000000"/>
          <w:sz w:val="24"/>
          <w:szCs w:val="24"/>
        </w:rPr>
        <w:t>（</w:t>
      </w:r>
      <w:r>
        <w:rPr>
          <w:rFonts w:eastAsia="宋体" w:cs="宋体"/>
          <w:color w:val="000000"/>
          <w:sz w:val="24"/>
          <w:szCs w:val="24"/>
        </w:rPr>
        <w:t>7</w:t>
      </w:r>
      <w:r>
        <w:rPr>
          <w:rFonts w:hint="eastAsia" w:eastAsia="宋体" w:cs="宋体"/>
          <w:color w:val="000000"/>
          <w:sz w:val="24"/>
          <w:szCs w:val="24"/>
        </w:rPr>
        <w:t>）技术标</w:t>
      </w:r>
    </w:p>
    <w:p w14:paraId="0F727100">
      <w:pPr>
        <w:pStyle w:val="345"/>
        <w:spacing w:line="420" w:lineRule="exact"/>
        <w:ind w:firstLine="480"/>
        <w:rPr>
          <w:rFonts w:eastAsia="宋体"/>
          <w:color w:val="000000"/>
          <w:sz w:val="24"/>
          <w:szCs w:val="24"/>
        </w:rPr>
      </w:pPr>
      <w:r>
        <w:rPr>
          <w:rFonts w:hint="eastAsia" w:eastAsia="宋体" w:cs="宋体"/>
          <w:color w:val="000000"/>
          <w:sz w:val="24"/>
          <w:szCs w:val="24"/>
        </w:rPr>
        <w:t>（</w:t>
      </w:r>
      <w:r>
        <w:rPr>
          <w:rFonts w:eastAsia="宋体" w:cs="宋体"/>
          <w:color w:val="000000"/>
          <w:sz w:val="24"/>
          <w:szCs w:val="24"/>
        </w:rPr>
        <w:t>8</w:t>
      </w:r>
      <w:r>
        <w:rPr>
          <w:rFonts w:hint="eastAsia" w:eastAsia="宋体" w:cs="宋体"/>
          <w:color w:val="000000"/>
          <w:sz w:val="24"/>
          <w:szCs w:val="24"/>
        </w:rPr>
        <w:t>）根据评标办法应列入</w:t>
      </w:r>
      <w:r>
        <w:rPr>
          <w:rFonts w:hint="eastAsia" w:eastAsia="宋体" w:cs="宋体"/>
          <w:color w:val="000000"/>
          <w:sz w:val="24"/>
          <w:szCs w:val="24"/>
          <w:lang w:eastAsia="zh-CN"/>
        </w:rPr>
        <w:t>响应文件</w:t>
      </w:r>
      <w:r>
        <w:rPr>
          <w:rFonts w:hint="eastAsia" w:eastAsia="宋体" w:cs="宋体"/>
          <w:color w:val="000000"/>
          <w:sz w:val="24"/>
          <w:szCs w:val="24"/>
        </w:rPr>
        <w:t>的其他材料</w:t>
      </w:r>
    </w:p>
    <w:p w14:paraId="1042216E">
      <w:pPr>
        <w:pStyle w:val="237"/>
        <w:spacing w:before="0" w:after="0" w:line="500" w:lineRule="exact"/>
        <w:jc w:val="left"/>
        <w:rPr>
          <w:b/>
          <w:color w:val="000000"/>
          <w:sz w:val="24"/>
          <w:szCs w:val="24"/>
        </w:rPr>
      </w:pPr>
      <w:bookmarkStart w:id="447" w:name="_Toc468783658"/>
      <w:bookmarkStart w:id="448" w:name="_Toc426469933"/>
      <w:r>
        <w:rPr>
          <w:rFonts w:hint="eastAsia"/>
          <w:b/>
          <w:color w:val="000000"/>
          <w:sz w:val="24"/>
          <w:szCs w:val="24"/>
        </w:rPr>
        <w:t>2.响应文件的编制内容及编制要求</w:t>
      </w:r>
      <w:bookmarkEnd w:id="447"/>
      <w:bookmarkEnd w:id="448"/>
    </w:p>
    <w:p w14:paraId="73E0D1AB">
      <w:pPr>
        <w:spacing w:line="500" w:lineRule="exact"/>
        <w:jc w:val="left"/>
        <w:rPr>
          <w:rFonts w:hint="eastAsia"/>
          <w:b/>
          <w:bCs/>
          <w:color w:val="000000"/>
          <w:sz w:val="24"/>
          <w:szCs w:val="24"/>
        </w:rPr>
      </w:pPr>
      <w:r>
        <w:rPr>
          <w:rFonts w:hint="eastAsia"/>
          <w:b/>
          <w:bCs/>
          <w:color w:val="000000"/>
          <w:sz w:val="24"/>
          <w:szCs w:val="24"/>
        </w:rPr>
        <w:t>2.1磋商报价表</w:t>
      </w:r>
    </w:p>
    <w:p w14:paraId="75CB108A">
      <w:pPr>
        <w:spacing w:line="500" w:lineRule="exact"/>
        <w:ind w:firstLine="480"/>
        <w:jc w:val="left"/>
        <w:rPr>
          <w:bCs/>
          <w:color w:val="000000"/>
          <w:sz w:val="24"/>
          <w:szCs w:val="24"/>
        </w:rPr>
      </w:pPr>
      <w:r>
        <w:rPr>
          <w:rFonts w:hint="eastAsia"/>
          <w:bCs/>
          <w:color w:val="000000"/>
          <w:sz w:val="24"/>
          <w:szCs w:val="24"/>
        </w:rPr>
        <w:t>2.1.1 供应商必须按表中规定格式完整、清晰、正确填写；</w:t>
      </w:r>
    </w:p>
    <w:p w14:paraId="11318947">
      <w:pPr>
        <w:spacing w:line="500" w:lineRule="exact"/>
        <w:ind w:firstLine="480"/>
        <w:jc w:val="left"/>
        <w:rPr>
          <w:bCs/>
          <w:color w:val="000000"/>
          <w:sz w:val="24"/>
          <w:szCs w:val="24"/>
        </w:rPr>
      </w:pPr>
      <w:r>
        <w:rPr>
          <w:rFonts w:hint="eastAsia"/>
          <w:bCs/>
          <w:color w:val="000000"/>
          <w:sz w:val="24"/>
          <w:szCs w:val="24"/>
        </w:rPr>
        <w:t>2.1.2磋商报价表中的价格应与响应文件中响应函中的价格一致。响应文件的价格及其它相关内容与磋商报价表中的内容不一致的，评标时一律以磋商报价表为准。</w:t>
      </w:r>
    </w:p>
    <w:p w14:paraId="0B0C3138">
      <w:pPr>
        <w:spacing w:line="500" w:lineRule="exact"/>
        <w:ind w:firstLine="480"/>
        <w:jc w:val="left"/>
        <w:rPr>
          <w:bCs/>
          <w:color w:val="000000"/>
          <w:sz w:val="24"/>
          <w:szCs w:val="24"/>
        </w:rPr>
      </w:pPr>
      <w:r>
        <w:rPr>
          <w:rFonts w:hint="eastAsia"/>
          <w:bCs/>
          <w:color w:val="000000"/>
          <w:sz w:val="24"/>
          <w:szCs w:val="24"/>
        </w:rPr>
        <w:t>2.1.3磋商报价表格式见附件。</w:t>
      </w:r>
    </w:p>
    <w:p w14:paraId="6FF22651">
      <w:pPr>
        <w:spacing w:line="500" w:lineRule="exact"/>
        <w:jc w:val="left"/>
        <w:rPr>
          <w:b/>
          <w:bCs/>
          <w:color w:val="000000"/>
          <w:sz w:val="24"/>
          <w:szCs w:val="24"/>
        </w:rPr>
      </w:pPr>
      <w:r>
        <w:rPr>
          <w:rFonts w:hint="eastAsia"/>
          <w:b/>
          <w:bCs/>
          <w:color w:val="000000"/>
          <w:sz w:val="24"/>
          <w:szCs w:val="24"/>
        </w:rPr>
        <w:t>2.2 响应函</w:t>
      </w:r>
    </w:p>
    <w:p w14:paraId="1C1BCA3F">
      <w:pPr>
        <w:spacing w:line="500" w:lineRule="exact"/>
        <w:ind w:firstLine="480"/>
        <w:jc w:val="left"/>
        <w:rPr>
          <w:bCs/>
          <w:color w:val="000000"/>
          <w:sz w:val="24"/>
          <w:szCs w:val="24"/>
        </w:rPr>
      </w:pPr>
      <w:r>
        <w:rPr>
          <w:rFonts w:hint="eastAsia"/>
          <w:bCs/>
          <w:color w:val="000000"/>
          <w:sz w:val="24"/>
          <w:szCs w:val="24"/>
        </w:rPr>
        <w:t>2.2.1供应商必须按表中规定格式完整、清晰、正确填写；</w:t>
      </w:r>
    </w:p>
    <w:p w14:paraId="40CC6C5B">
      <w:pPr>
        <w:spacing w:line="500" w:lineRule="exact"/>
        <w:ind w:firstLine="480"/>
        <w:jc w:val="left"/>
        <w:rPr>
          <w:bCs/>
          <w:color w:val="000000"/>
          <w:sz w:val="24"/>
          <w:szCs w:val="24"/>
        </w:rPr>
      </w:pPr>
      <w:r>
        <w:rPr>
          <w:rFonts w:hint="eastAsia"/>
          <w:bCs/>
          <w:color w:val="000000"/>
          <w:sz w:val="24"/>
          <w:szCs w:val="24"/>
        </w:rPr>
        <w:t>2.2.2响应函应加盖供应商法人公章并经法定代表人或经其正式授权的代表签字或签章。授权代表签字或签章时，须将《法定代表人授权书》附在</w:t>
      </w:r>
      <w:r>
        <w:rPr>
          <w:rFonts w:hint="eastAsia"/>
          <w:bCs/>
          <w:color w:val="000000"/>
          <w:sz w:val="24"/>
          <w:szCs w:val="24"/>
          <w:lang w:eastAsia="zh-CN"/>
        </w:rPr>
        <w:t>响应文件</w:t>
      </w:r>
      <w:r>
        <w:rPr>
          <w:rFonts w:hint="eastAsia"/>
          <w:bCs/>
          <w:color w:val="000000"/>
          <w:sz w:val="24"/>
          <w:szCs w:val="24"/>
        </w:rPr>
        <w:t>中。</w:t>
      </w:r>
    </w:p>
    <w:p w14:paraId="43286CE7">
      <w:pPr>
        <w:spacing w:line="500" w:lineRule="exact"/>
        <w:ind w:firstLine="480"/>
        <w:jc w:val="left"/>
        <w:rPr>
          <w:bCs/>
          <w:color w:val="000000"/>
          <w:sz w:val="24"/>
          <w:szCs w:val="24"/>
        </w:rPr>
      </w:pPr>
      <w:r>
        <w:rPr>
          <w:rFonts w:hint="eastAsia"/>
          <w:bCs/>
          <w:color w:val="000000"/>
          <w:sz w:val="24"/>
          <w:szCs w:val="24"/>
        </w:rPr>
        <w:t>2.2.3响应函和法定代表人授权书的格式见附件。</w:t>
      </w:r>
    </w:p>
    <w:p w14:paraId="63DF2EE5">
      <w:pPr>
        <w:spacing w:line="500" w:lineRule="exact"/>
        <w:jc w:val="left"/>
        <w:rPr>
          <w:b/>
          <w:bCs/>
          <w:color w:val="000000"/>
          <w:sz w:val="24"/>
          <w:szCs w:val="24"/>
        </w:rPr>
      </w:pPr>
      <w:r>
        <w:rPr>
          <w:rFonts w:hint="eastAsia"/>
          <w:b/>
          <w:bCs/>
          <w:color w:val="000000"/>
          <w:sz w:val="24"/>
          <w:szCs w:val="24"/>
        </w:rPr>
        <w:t>2.3 投标报价明细表及分析说明（如有时）</w:t>
      </w:r>
    </w:p>
    <w:p w14:paraId="11E741E3">
      <w:pPr>
        <w:spacing w:line="500" w:lineRule="exact"/>
        <w:ind w:firstLine="480"/>
        <w:jc w:val="left"/>
        <w:rPr>
          <w:bCs/>
          <w:color w:val="000000"/>
          <w:sz w:val="24"/>
          <w:szCs w:val="24"/>
        </w:rPr>
      </w:pPr>
      <w:r>
        <w:rPr>
          <w:rFonts w:hint="eastAsia"/>
          <w:bCs/>
          <w:color w:val="000000"/>
          <w:sz w:val="24"/>
          <w:szCs w:val="24"/>
        </w:rPr>
        <w:t>2.3.1供应商必须按表中规定格式完整、清晰、正确填写，表格中各项可进一步细分，栏数不够可自行添加。</w:t>
      </w:r>
    </w:p>
    <w:p w14:paraId="3BA904D0">
      <w:pPr>
        <w:spacing w:line="500" w:lineRule="exact"/>
        <w:ind w:firstLine="480"/>
        <w:jc w:val="left"/>
        <w:rPr>
          <w:bCs/>
          <w:color w:val="000000"/>
          <w:sz w:val="24"/>
          <w:szCs w:val="24"/>
        </w:rPr>
      </w:pPr>
      <w:r>
        <w:rPr>
          <w:rFonts w:hint="eastAsia"/>
          <w:bCs/>
          <w:color w:val="000000"/>
          <w:sz w:val="24"/>
          <w:szCs w:val="24"/>
        </w:rPr>
        <w:t>2.3.2投标报价构成表及分析说明见附件。</w:t>
      </w:r>
    </w:p>
    <w:p w14:paraId="5CAA895D">
      <w:pPr>
        <w:spacing w:line="500" w:lineRule="exact"/>
        <w:jc w:val="left"/>
        <w:rPr>
          <w:b/>
          <w:bCs/>
          <w:color w:val="000000"/>
          <w:sz w:val="24"/>
          <w:szCs w:val="24"/>
        </w:rPr>
      </w:pPr>
      <w:r>
        <w:rPr>
          <w:rFonts w:hint="eastAsia"/>
          <w:b/>
          <w:bCs/>
          <w:color w:val="000000"/>
          <w:sz w:val="24"/>
          <w:szCs w:val="24"/>
        </w:rPr>
        <w:t>2.4 资格及资信证明文件</w:t>
      </w:r>
    </w:p>
    <w:p w14:paraId="0069F23B">
      <w:pPr>
        <w:spacing w:line="500" w:lineRule="exact"/>
        <w:ind w:firstLine="480"/>
        <w:jc w:val="left"/>
        <w:rPr>
          <w:bCs/>
          <w:color w:val="000000"/>
          <w:sz w:val="24"/>
          <w:szCs w:val="24"/>
        </w:rPr>
      </w:pPr>
      <w:r>
        <w:rPr>
          <w:rFonts w:hint="eastAsia"/>
          <w:bCs/>
          <w:color w:val="000000"/>
          <w:sz w:val="24"/>
          <w:szCs w:val="24"/>
        </w:rPr>
        <w:t>2.4.1该部分内容是资格性审查和综合评分的依据，供应商应根据第三章评审办法的评审内容和评审标准提供相应的材料。</w:t>
      </w:r>
    </w:p>
    <w:p w14:paraId="3EBE57A4">
      <w:pPr>
        <w:spacing w:line="500" w:lineRule="exact"/>
        <w:ind w:firstLine="480"/>
        <w:jc w:val="left"/>
        <w:rPr>
          <w:bCs/>
          <w:color w:val="000000"/>
          <w:sz w:val="24"/>
          <w:szCs w:val="24"/>
        </w:rPr>
      </w:pPr>
      <w:r>
        <w:rPr>
          <w:rFonts w:hint="eastAsia"/>
          <w:bCs/>
          <w:color w:val="000000"/>
          <w:sz w:val="24"/>
          <w:szCs w:val="24"/>
        </w:rPr>
        <w:t>2.4.2资格及资信证明文件应包括而不限于以下内容：</w:t>
      </w:r>
    </w:p>
    <w:p w14:paraId="0156838D">
      <w:pPr>
        <w:spacing w:line="440" w:lineRule="exact"/>
        <w:ind w:firstLine="480"/>
        <w:rPr>
          <w:rFonts w:ascii="宋体" w:hAnsi="宋体" w:cs="宋体"/>
          <w:color w:val="000000"/>
          <w:sz w:val="24"/>
          <w:szCs w:val="24"/>
        </w:rPr>
      </w:pPr>
      <w:r>
        <w:rPr>
          <w:rFonts w:hint="eastAsia" w:ascii="宋体" w:hAnsi="宋体"/>
          <w:color w:val="000000"/>
          <w:sz w:val="24"/>
          <w:szCs w:val="24"/>
        </w:rPr>
        <w:t>·法定代表人授权委托书（法定代表人参加投标的提供法定代表人身份证明书，格式附后）</w:t>
      </w:r>
    </w:p>
    <w:p w14:paraId="3CD47BA0">
      <w:pPr>
        <w:spacing w:line="440" w:lineRule="exact"/>
        <w:ind w:firstLine="480"/>
        <w:rPr>
          <w:rFonts w:ascii="宋体" w:hAnsi="宋体"/>
          <w:color w:val="000000"/>
          <w:sz w:val="24"/>
          <w:szCs w:val="24"/>
        </w:rPr>
      </w:pPr>
      <w:r>
        <w:rPr>
          <w:rFonts w:hint="eastAsia" w:ascii="宋体" w:hAnsi="宋体"/>
          <w:color w:val="000000"/>
          <w:sz w:val="24"/>
          <w:szCs w:val="24"/>
        </w:rPr>
        <w:t>·</w:t>
      </w:r>
      <w:bookmarkStart w:id="449" w:name="_Hlk130917169"/>
      <w:r>
        <w:rPr>
          <w:rFonts w:hint="eastAsia" w:ascii="宋体" w:hAnsi="宋体"/>
          <w:color w:val="000000"/>
          <w:sz w:val="24"/>
          <w:szCs w:val="24"/>
        </w:rPr>
        <w:t>供应商</w:t>
      </w:r>
      <w:bookmarkEnd w:id="449"/>
      <w:r>
        <w:rPr>
          <w:rFonts w:hint="eastAsia" w:ascii="宋体" w:hAnsi="宋体"/>
          <w:color w:val="000000"/>
          <w:sz w:val="24"/>
          <w:szCs w:val="24"/>
        </w:rPr>
        <w:t>营业执照复印件加盖公章</w:t>
      </w:r>
    </w:p>
    <w:p w14:paraId="1DFA5C2B">
      <w:pPr>
        <w:spacing w:line="440" w:lineRule="exact"/>
        <w:ind w:firstLine="480"/>
        <w:rPr>
          <w:rFonts w:ascii="宋体" w:hAnsi="宋体"/>
          <w:color w:val="000000"/>
          <w:sz w:val="24"/>
          <w:szCs w:val="24"/>
        </w:rPr>
      </w:pPr>
      <w:r>
        <w:rPr>
          <w:rFonts w:hint="eastAsia" w:ascii="宋体" w:hAnsi="宋体"/>
          <w:color w:val="000000"/>
          <w:sz w:val="24"/>
          <w:szCs w:val="24"/>
        </w:rPr>
        <w:t>·供应商资质证书复印件加盖公章</w:t>
      </w:r>
    </w:p>
    <w:p w14:paraId="2E62D645">
      <w:pPr>
        <w:spacing w:line="440" w:lineRule="exact"/>
        <w:ind w:firstLine="480"/>
        <w:rPr>
          <w:rFonts w:ascii="宋体" w:hAnsi="宋体"/>
          <w:color w:val="000000"/>
          <w:sz w:val="24"/>
          <w:szCs w:val="24"/>
        </w:rPr>
      </w:pPr>
      <w:r>
        <w:rPr>
          <w:rFonts w:hint="eastAsia" w:ascii="宋体" w:hAnsi="宋体"/>
          <w:color w:val="000000"/>
          <w:sz w:val="24"/>
          <w:szCs w:val="24"/>
        </w:rPr>
        <w:t>·供应商安全生产许可证复印件加盖公章</w:t>
      </w:r>
    </w:p>
    <w:p w14:paraId="27C0CD92">
      <w:pPr>
        <w:spacing w:line="440" w:lineRule="exact"/>
        <w:ind w:firstLine="480"/>
        <w:rPr>
          <w:rFonts w:ascii="宋体" w:hAnsi="宋体"/>
          <w:color w:val="000000"/>
          <w:sz w:val="24"/>
          <w:szCs w:val="24"/>
        </w:rPr>
      </w:pPr>
      <w:r>
        <w:rPr>
          <w:rFonts w:hint="eastAsia" w:ascii="宋体" w:hAnsi="宋体"/>
          <w:color w:val="000000"/>
          <w:sz w:val="24"/>
          <w:szCs w:val="24"/>
        </w:rPr>
        <w:t>·拟派</w:t>
      </w:r>
      <w:r>
        <w:rPr>
          <w:rFonts w:hint="eastAsia" w:ascii="宋体" w:hAnsi="宋体"/>
          <w:color w:val="000000"/>
          <w:sz w:val="24"/>
          <w:szCs w:val="24"/>
          <w:lang w:eastAsia="zh-CN"/>
        </w:rPr>
        <w:t>项目负责人</w:t>
      </w:r>
      <w:r>
        <w:rPr>
          <w:rFonts w:hint="eastAsia" w:ascii="宋体" w:hAnsi="宋体"/>
          <w:color w:val="000000"/>
          <w:sz w:val="24"/>
          <w:szCs w:val="24"/>
        </w:rPr>
        <w:t>注册建造师证书复印件加盖公章</w:t>
      </w:r>
    </w:p>
    <w:p w14:paraId="4DE81281">
      <w:pPr>
        <w:spacing w:line="440" w:lineRule="exact"/>
        <w:ind w:firstLine="480"/>
        <w:rPr>
          <w:rFonts w:ascii="宋体" w:hAnsi="宋体"/>
          <w:color w:val="000000"/>
          <w:sz w:val="24"/>
          <w:szCs w:val="24"/>
        </w:rPr>
      </w:pPr>
      <w:r>
        <w:rPr>
          <w:rFonts w:hint="eastAsia" w:ascii="宋体" w:hAnsi="宋体"/>
          <w:color w:val="000000"/>
          <w:sz w:val="24"/>
          <w:szCs w:val="24"/>
        </w:rPr>
        <w:t>·拟派</w:t>
      </w:r>
      <w:r>
        <w:rPr>
          <w:rFonts w:hint="eastAsia" w:ascii="宋体" w:hAnsi="宋体"/>
          <w:color w:val="000000"/>
          <w:sz w:val="24"/>
          <w:szCs w:val="24"/>
          <w:lang w:eastAsia="zh-CN"/>
        </w:rPr>
        <w:t>项目负责人</w:t>
      </w:r>
      <w:r>
        <w:rPr>
          <w:rFonts w:hint="eastAsia" w:ascii="宋体" w:hAnsi="宋体"/>
          <w:color w:val="000000"/>
          <w:sz w:val="24"/>
          <w:szCs w:val="24"/>
        </w:rPr>
        <w:t>安全生产考核合格证书复印件加盖公章</w:t>
      </w:r>
    </w:p>
    <w:p w14:paraId="40D056AF">
      <w:pPr>
        <w:spacing w:line="440" w:lineRule="exact"/>
        <w:ind w:firstLine="480"/>
        <w:rPr>
          <w:rFonts w:ascii="宋体" w:hAnsi="宋体"/>
          <w:color w:val="000000"/>
          <w:sz w:val="24"/>
          <w:szCs w:val="24"/>
        </w:rPr>
      </w:pPr>
      <w:r>
        <w:rPr>
          <w:rFonts w:hint="eastAsia" w:ascii="宋体" w:hAnsi="宋体"/>
          <w:color w:val="000000"/>
          <w:sz w:val="24"/>
          <w:szCs w:val="24"/>
        </w:rPr>
        <w:t>·供应商为</w:t>
      </w:r>
      <w:r>
        <w:rPr>
          <w:rFonts w:hint="eastAsia" w:ascii="宋体" w:hAnsi="宋体"/>
          <w:color w:val="000000"/>
          <w:sz w:val="24"/>
          <w:szCs w:val="24"/>
          <w:lang w:eastAsia="zh-CN"/>
        </w:rPr>
        <w:t>项目负责人</w:t>
      </w:r>
      <w:r>
        <w:rPr>
          <w:rFonts w:hint="eastAsia" w:ascii="宋体" w:hAnsi="宋体"/>
          <w:color w:val="000000"/>
          <w:sz w:val="24"/>
          <w:szCs w:val="24"/>
        </w:rPr>
        <w:t>缴纳养老保险的复印件加盖公章（具体要求见评审办法）</w:t>
      </w:r>
    </w:p>
    <w:p w14:paraId="0A5D2320">
      <w:pPr>
        <w:spacing w:line="440" w:lineRule="exact"/>
        <w:ind w:firstLine="480"/>
        <w:rPr>
          <w:rFonts w:ascii="宋体" w:hAnsi="宋体"/>
          <w:color w:val="000000"/>
          <w:sz w:val="24"/>
          <w:szCs w:val="24"/>
        </w:rPr>
      </w:pPr>
      <w:r>
        <w:rPr>
          <w:rFonts w:hint="eastAsia" w:ascii="宋体" w:hAnsi="宋体"/>
          <w:color w:val="000000"/>
          <w:sz w:val="24"/>
          <w:szCs w:val="24"/>
        </w:rPr>
        <w:t>·</w:t>
      </w:r>
      <w:r>
        <w:rPr>
          <w:rFonts w:hint="eastAsia"/>
          <w:color w:val="000000"/>
          <w:sz w:val="24"/>
          <w:szCs w:val="24"/>
        </w:rPr>
        <w:t>《无在建承诺书》</w:t>
      </w:r>
      <w:r>
        <w:rPr>
          <w:rFonts w:hint="eastAsia" w:ascii="宋体" w:hAnsi="宋体"/>
          <w:color w:val="000000"/>
          <w:sz w:val="24"/>
          <w:szCs w:val="24"/>
        </w:rPr>
        <w:t>（格式附后）</w:t>
      </w:r>
    </w:p>
    <w:p w14:paraId="7393AA50">
      <w:pPr>
        <w:spacing w:line="440" w:lineRule="exact"/>
        <w:ind w:firstLine="480"/>
        <w:rPr>
          <w:rFonts w:ascii="宋体" w:hAnsi="宋体"/>
          <w:color w:val="000000"/>
          <w:sz w:val="24"/>
          <w:szCs w:val="24"/>
        </w:rPr>
      </w:pPr>
      <w:r>
        <w:rPr>
          <w:rFonts w:hint="eastAsia" w:ascii="宋体" w:hAnsi="宋体"/>
          <w:color w:val="000000"/>
          <w:sz w:val="24"/>
          <w:szCs w:val="24"/>
        </w:rPr>
        <w:t>·供应商《全国企业信用信息公示系统》截图信息</w:t>
      </w:r>
    </w:p>
    <w:p w14:paraId="268F329B">
      <w:pPr>
        <w:spacing w:line="440" w:lineRule="exact"/>
        <w:ind w:firstLine="480"/>
        <w:rPr>
          <w:rFonts w:ascii="宋体" w:hAnsi="宋体"/>
          <w:color w:val="000000"/>
          <w:sz w:val="24"/>
          <w:szCs w:val="24"/>
        </w:rPr>
      </w:pPr>
      <w:r>
        <w:rPr>
          <w:rFonts w:hint="eastAsia" w:ascii="宋体" w:hAnsi="宋体"/>
          <w:color w:val="000000"/>
          <w:sz w:val="24"/>
          <w:szCs w:val="24"/>
        </w:rPr>
        <w:t>·供应商参加本项目准备活动前三年内无重大违法记录声明（格式附后）</w:t>
      </w:r>
    </w:p>
    <w:p w14:paraId="2CB25456">
      <w:pPr>
        <w:spacing w:line="440" w:lineRule="exact"/>
        <w:ind w:firstLine="480"/>
        <w:rPr>
          <w:rFonts w:ascii="宋体" w:hAnsi="宋体"/>
          <w:color w:val="000000"/>
          <w:sz w:val="24"/>
          <w:szCs w:val="24"/>
        </w:rPr>
      </w:pPr>
      <w:r>
        <w:rPr>
          <w:rFonts w:hint="eastAsia" w:ascii="宋体" w:hAnsi="宋体"/>
          <w:color w:val="000000"/>
          <w:sz w:val="24"/>
          <w:szCs w:val="24"/>
        </w:rPr>
        <w:t>·供应商</w:t>
      </w:r>
      <w:r>
        <w:rPr>
          <w:rFonts w:ascii="宋体" w:hAnsi="宋体"/>
          <w:color w:val="000000"/>
          <w:sz w:val="24"/>
          <w:szCs w:val="24"/>
        </w:rPr>
        <w:t>依法缴纳税收</w:t>
      </w:r>
      <w:r>
        <w:rPr>
          <w:rFonts w:hint="eastAsia" w:ascii="宋体" w:hAnsi="宋体"/>
          <w:color w:val="000000"/>
          <w:sz w:val="24"/>
          <w:szCs w:val="24"/>
        </w:rPr>
        <w:t>的证明文件</w:t>
      </w:r>
    </w:p>
    <w:p w14:paraId="16CD0F7E">
      <w:pPr>
        <w:spacing w:line="440" w:lineRule="exact"/>
        <w:ind w:firstLine="480"/>
        <w:rPr>
          <w:rFonts w:ascii="宋体" w:hAnsi="宋体"/>
          <w:color w:val="000000"/>
          <w:sz w:val="24"/>
          <w:szCs w:val="24"/>
        </w:rPr>
      </w:pPr>
      <w:r>
        <w:rPr>
          <w:rFonts w:hint="eastAsia" w:ascii="宋体" w:hAnsi="宋体"/>
          <w:color w:val="000000"/>
          <w:sz w:val="24"/>
          <w:szCs w:val="24"/>
        </w:rPr>
        <w:t>·供应商</w:t>
      </w:r>
      <w:r>
        <w:rPr>
          <w:rFonts w:ascii="宋体" w:hAnsi="宋体"/>
          <w:color w:val="000000"/>
          <w:sz w:val="24"/>
          <w:szCs w:val="24"/>
        </w:rPr>
        <w:t>依法缴纳社会保障金</w:t>
      </w:r>
      <w:r>
        <w:rPr>
          <w:rFonts w:hint="eastAsia" w:ascii="宋体" w:hAnsi="宋体"/>
          <w:color w:val="000000"/>
          <w:sz w:val="24"/>
          <w:szCs w:val="24"/>
        </w:rPr>
        <w:t>的证明文件</w:t>
      </w:r>
    </w:p>
    <w:p w14:paraId="6522AA7C">
      <w:pPr>
        <w:spacing w:line="440" w:lineRule="exact"/>
        <w:ind w:firstLine="480"/>
        <w:rPr>
          <w:rFonts w:hint="eastAsia" w:ascii="宋体" w:hAnsi="宋体"/>
          <w:color w:val="000000"/>
          <w:sz w:val="24"/>
          <w:szCs w:val="24"/>
        </w:rPr>
      </w:pPr>
      <w:r>
        <w:rPr>
          <w:rFonts w:hint="eastAsia" w:ascii="宋体" w:hAnsi="宋体"/>
          <w:color w:val="000000"/>
          <w:sz w:val="24"/>
          <w:szCs w:val="24"/>
        </w:rPr>
        <w:t>·供应商信用查询截图</w:t>
      </w:r>
    </w:p>
    <w:p w14:paraId="246CB022">
      <w:pPr>
        <w:spacing w:line="440" w:lineRule="exact"/>
        <w:ind w:firstLine="480"/>
        <w:rPr>
          <w:rFonts w:ascii="宋体" w:hAnsi="宋体"/>
          <w:color w:val="000000"/>
          <w:sz w:val="24"/>
          <w:szCs w:val="24"/>
        </w:rPr>
      </w:pPr>
      <w:r>
        <w:rPr>
          <w:rFonts w:hint="eastAsia" w:ascii="宋体" w:hAnsi="宋体"/>
          <w:color w:val="000000"/>
          <w:sz w:val="24"/>
          <w:szCs w:val="24"/>
        </w:rPr>
        <w:t>·诚信投标承诺书</w:t>
      </w:r>
    </w:p>
    <w:p w14:paraId="3E6195BD">
      <w:pPr>
        <w:spacing w:line="500" w:lineRule="exact"/>
        <w:ind w:firstLine="480"/>
        <w:jc w:val="left"/>
        <w:rPr>
          <w:bCs/>
          <w:color w:val="000000"/>
          <w:sz w:val="24"/>
          <w:szCs w:val="24"/>
        </w:rPr>
      </w:pPr>
      <w:r>
        <w:rPr>
          <w:rFonts w:hint="eastAsia" w:ascii="宋体" w:hAnsi="宋体"/>
          <w:color w:val="000000"/>
          <w:sz w:val="24"/>
          <w:szCs w:val="24"/>
        </w:rPr>
        <w:t>·供应商认为需要提供的其他资格及资信证明文件</w:t>
      </w:r>
    </w:p>
    <w:p w14:paraId="0EF3CDDE">
      <w:pPr>
        <w:spacing w:line="500" w:lineRule="exact"/>
        <w:jc w:val="left"/>
        <w:rPr>
          <w:rFonts w:ascii="宋体" w:hAnsi="宋体"/>
          <w:b/>
          <w:bCs/>
          <w:color w:val="000000"/>
          <w:sz w:val="24"/>
          <w:szCs w:val="24"/>
        </w:rPr>
      </w:pPr>
      <w:r>
        <w:rPr>
          <w:rFonts w:hint="eastAsia"/>
          <w:b/>
          <w:bCs/>
          <w:color w:val="000000"/>
          <w:sz w:val="24"/>
          <w:szCs w:val="24"/>
        </w:rPr>
        <w:t>2.5</w:t>
      </w:r>
      <w:r>
        <w:rPr>
          <w:rFonts w:hint="eastAsia" w:ascii="宋体" w:hAnsi="宋体"/>
          <w:b/>
          <w:bCs/>
          <w:color w:val="000000"/>
          <w:sz w:val="24"/>
          <w:szCs w:val="24"/>
        </w:rPr>
        <w:t>采购需求响应表</w:t>
      </w:r>
    </w:p>
    <w:p w14:paraId="4241E69B">
      <w:pPr>
        <w:spacing w:line="500" w:lineRule="exact"/>
        <w:ind w:firstLine="480"/>
        <w:jc w:val="left"/>
        <w:rPr>
          <w:rFonts w:ascii="宋体" w:hAnsi="宋体"/>
          <w:bCs/>
          <w:color w:val="000000"/>
          <w:sz w:val="24"/>
          <w:szCs w:val="24"/>
        </w:rPr>
      </w:pPr>
      <w:r>
        <w:rPr>
          <w:rFonts w:hint="eastAsia" w:ascii="宋体" w:hAnsi="宋体"/>
          <w:bCs/>
          <w:color w:val="000000"/>
          <w:sz w:val="24"/>
          <w:szCs w:val="24"/>
        </w:rPr>
        <w:t>供应商应仔细阅读招标文件第四章采购需求，</w:t>
      </w:r>
      <w:r>
        <w:rPr>
          <w:rFonts w:hint="eastAsia"/>
          <w:bCs/>
          <w:color w:val="000000"/>
          <w:sz w:val="24"/>
          <w:szCs w:val="24"/>
        </w:rPr>
        <w:t>并对照第三章评标办法中的</w:t>
      </w:r>
      <w:r>
        <w:rPr>
          <w:rFonts w:hint="eastAsia"/>
          <w:color w:val="000000"/>
          <w:sz w:val="24"/>
          <w:szCs w:val="24"/>
        </w:rPr>
        <w:t>综合评分中的评审因素，针对本招标项目特点，编</w:t>
      </w:r>
      <w:r>
        <w:rPr>
          <w:rFonts w:hint="eastAsia"/>
          <w:bCs/>
          <w:color w:val="000000"/>
          <w:sz w:val="24"/>
          <w:szCs w:val="24"/>
        </w:rPr>
        <w:t>制采购需求响应表。</w:t>
      </w:r>
    </w:p>
    <w:p w14:paraId="7CF98DF0">
      <w:pPr>
        <w:spacing w:line="500" w:lineRule="exact"/>
        <w:jc w:val="left"/>
        <w:rPr>
          <w:b/>
          <w:bCs/>
          <w:color w:val="000000"/>
          <w:sz w:val="24"/>
          <w:szCs w:val="24"/>
        </w:rPr>
      </w:pPr>
      <w:r>
        <w:rPr>
          <w:rFonts w:hint="eastAsia"/>
          <w:b/>
          <w:bCs/>
          <w:color w:val="000000"/>
          <w:sz w:val="24"/>
          <w:szCs w:val="24"/>
        </w:rPr>
        <w:t>2.</w:t>
      </w:r>
      <w:r>
        <w:rPr>
          <w:b/>
          <w:bCs/>
          <w:color w:val="000000"/>
          <w:sz w:val="24"/>
          <w:szCs w:val="24"/>
        </w:rPr>
        <w:t>6</w:t>
      </w:r>
      <w:r>
        <w:rPr>
          <w:rFonts w:hint="eastAsia"/>
          <w:b/>
          <w:bCs/>
          <w:color w:val="000000"/>
          <w:sz w:val="24"/>
          <w:szCs w:val="24"/>
        </w:rPr>
        <w:t>技术标</w:t>
      </w:r>
    </w:p>
    <w:p w14:paraId="26F219AB">
      <w:pPr>
        <w:spacing w:line="500" w:lineRule="exact"/>
        <w:ind w:firstLine="480"/>
        <w:rPr>
          <w:color w:val="000000"/>
          <w:sz w:val="24"/>
          <w:szCs w:val="24"/>
        </w:rPr>
      </w:pPr>
      <w:r>
        <w:rPr>
          <w:rFonts w:hint="eastAsia"/>
          <w:color w:val="000000"/>
          <w:sz w:val="24"/>
          <w:szCs w:val="24"/>
        </w:rPr>
        <w:t>对照第三章评标办法中的综合评分中的评审因素，针对本招标项目特点，自行编制。</w:t>
      </w:r>
    </w:p>
    <w:p w14:paraId="0643A73F">
      <w:pPr>
        <w:spacing w:line="500" w:lineRule="exact"/>
        <w:jc w:val="left"/>
        <w:rPr>
          <w:b/>
          <w:bCs/>
          <w:color w:val="000000"/>
          <w:sz w:val="24"/>
          <w:szCs w:val="24"/>
        </w:rPr>
      </w:pPr>
      <w:r>
        <w:rPr>
          <w:rFonts w:hint="eastAsia"/>
          <w:b/>
          <w:bCs/>
          <w:color w:val="000000"/>
          <w:sz w:val="24"/>
          <w:szCs w:val="24"/>
        </w:rPr>
        <w:t>2.</w:t>
      </w:r>
      <w:r>
        <w:rPr>
          <w:b/>
          <w:bCs/>
          <w:color w:val="000000"/>
          <w:sz w:val="24"/>
          <w:szCs w:val="24"/>
        </w:rPr>
        <w:t>7</w:t>
      </w:r>
      <w:r>
        <w:rPr>
          <w:rFonts w:hint="eastAsia"/>
          <w:b/>
          <w:bCs/>
          <w:color w:val="000000"/>
          <w:sz w:val="24"/>
          <w:szCs w:val="24"/>
        </w:rPr>
        <w:t>企业综合实力证明材料</w:t>
      </w:r>
    </w:p>
    <w:p w14:paraId="04BB88AA">
      <w:pPr>
        <w:spacing w:line="500" w:lineRule="exact"/>
        <w:ind w:firstLine="480"/>
        <w:rPr>
          <w:b/>
          <w:bCs/>
          <w:color w:val="000000"/>
          <w:sz w:val="24"/>
          <w:szCs w:val="24"/>
        </w:rPr>
      </w:pPr>
      <w:r>
        <w:rPr>
          <w:rFonts w:hint="eastAsia"/>
          <w:color w:val="000000"/>
          <w:sz w:val="24"/>
          <w:szCs w:val="24"/>
        </w:rPr>
        <w:t>对照第三章评标办法中的综合评分中的评审因素，针对本招标项目特点，自行编制。</w:t>
      </w:r>
    </w:p>
    <w:p w14:paraId="17B11522">
      <w:pPr>
        <w:spacing w:line="500" w:lineRule="exact"/>
        <w:jc w:val="left"/>
        <w:rPr>
          <w:b/>
          <w:bCs/>
          <w:color w:val="000000"/>
          <w:sz w:val="24"/>
          <w:szCs w:val="24"/>
        </w:rPr>
      </w:pPr>
      <w:r>
        <w:rPr>
          <w:rFonts w:hint="eastAsia"/>
          <w:b/>
          <w:bCs/>
          <w:color w:val="000000"/>
          <w:sz w:val="24"/>
          <w:szCs w:val="24"/>
        </w:rPr>
        <w:t>2.</w:t>
      </w:r>
      <w:r>
        <w:rPr>
          <w:b/>
          <w:bCs/>
          <w:color w:val="000000"/>
          <w:sz w:val="24"/>
          <w:szCs w:val="24"/>
        </w:rPr>
        <w:t>8</w:t>
      </w:r>
      <w:r>
        <w:rPr>
          <w:rFonts w:hint="eastAsia"/>
          <w:b/>
          <w:bCs/>
          <w:color w:val="000000"/>
          <w:sz w:val="24"/>
          <w:szCs w:val="24"/>
        </w:rPr>
        <w:t>根据评审办法应列入</w:t>
      </w:r>
      <w:r>
        <w:rPr>
          <w:rFonts w:hint="eastAsia"/>
          <w:b/>
          <w:bCs/>
          <w:color w:val="000000"/>
          <w:sz w:val="24"/>
          <w:szCs w:val="24"/>
          <w:lang w:eastAsia="zh-CN"/>
        </w:rPr>
        <w:t>响应文件</w:t>
      </w:r>
      <w:r>
        <w:rPr>
          <w:rFonts w:hint="eastAsia"/>
          <w:b/>
          <w:bCs/>
          <w:color w:val="000000"/>
          <w:sz w:val="24"/>
          <w:szCs w:val="24"/>
        </w:rPr>
        <w:t>的其他材料</w:t>
      </w:r>
      <w:bookmarkStart w:id="450" w:name="_Toc426469934"/>
    </w:p>
    <w:p w14:paraId="67A9C2B5">
      <w:pPr>
        <w:pStyle w:val="242"/>
        <w:rPr>
          <w:color w:val="000000"/>
        </w:rPr>
      </w:pPr>
    </w:p>
    <w:p w14:paraId="252253E8">
      <w:pPr>
        <w:pStyle w:val="242"/>
        <w:rPr>
          <w:color w:val="000000"/>
        </w:rPr>
      </w:pPr>
    </w:p>
    <w:p w14:paraId="1DBC86A2">
      <w:pPr>
        <w:pStyle w:val="242"/>
        <w:rPr>
          <w:color w:val="000000"/>
        </w:rPr>
      </w:pPr>
    </w:p>
    <w:p w14:paraId="7E6A6912">
      <w:pPr>
        <w:pStyle w:val="242"/>
        <w:rPr>
          <w:color w:val="000000"/>
        </w:rPr>
      </w:pPr>
    </w:p>
    <w:p w14:paraId="031A87B6">
      <w:pPr>
        <w:pStyle w:val="242"/>
        <w:rPr>
          <w:color w:val="000000"/>
        </w:rPr>
      </w:pPr>
    </w:p>
    <w:p w14:paraId="101418B8">
      <w:pPr>
        <w:pStyle w:val="242"/>
        <w:rPr>
          <w:color w:val="000000"/>
        </w:rPr>
      </w:pPr>
    </w:p>
    <w:p w14:paraId="5798D112">
      <w:pPr>
        <w:pStyle w:val="242"/>
        <w:rPr>
          <w:color w:val="000000"/>
        </w:rPr>
      </w:pPr>
    </w:p>
    <w:p w14:paraId="47B347E5">
      <w:pPr>
        <w:pStyle w:val="242"/>
        <w:rPr>
          <w:color w:val="000000"/>
        </w:rPr>
      </w:pPr>
    </w:p>
    <w:p w14:paraId="523F4AEC">
      <w:pPr>
        <w:pStyle w:val="242"/>
        <w:rPr>
          <w:color w:val="000000"/>
        </w:rPr>
      </w:pPr>
    </w:p>
    <w:p w14:paraId="7393C6FD">
      <w:pPr>
        <w:pStyle w:val="242"/>
        <w:rPr>
          <w:color w:val="000000"/>
        </w:rPr>
      </w:pPr>
    </w:p>
    <w:p w14:paraId="50D45EDF">
      <w:pPr>
        <w:pStyle w:val="242"/>
        <w:rPr>
          <w:color w:val="000000"/>
        </w:rPr>
      </w:pPr>
    </w:p>
    <w:p w14:paraId="4B519756">
      <w:pPr>
        <w:pStyle w:val="242"/>
        <w:rPr>
          <w:color w:val="000000"/>
        </w:rPr>
      </w:pPr>
    </w:p>
    <w:p w14:paraId="01F76A56">
      <w:pPr>
        <w:pStyle w:val="242"/>
        <w:rPr>
          <w:color w:val="000000"/>
        </w:rPr>
      </w:pPr>
    </w:p>
    <w:p w14:paraId="2075609B">
      <w:pPr>
        <w:pStyle w:val="242"/>
        <w:rPr>
          <w:color w:val="000000"/>
        </w:rPr>
      </w:pPr>
    </w:p>
    <w:p w14:paraId="2C3AD088">
      <w:pPr>
        <w:pStyle w:val="242"/>
        <w:rPr>
          <w:color w:val="000000"/>
        </w:rPr>
      </w:pPr>
    </w:p>
    <w:p w14:paraId="77695963">
      <w:pPr>
        <w:pStyle w:val="242"/>
        <w:rPr>
          <w:color w:val="000000"/>
        </w:rPr>
      </w:pPr>
    </w:p>
    <w:p w14:paraId="19ADC6BD">
      <w:pPr>
        <w:pStyle w:val="242"/>
        <w:rPr>
          <w:color w:val="000000"/>
        </w:rPr>
      </w:pPr>
    </w:p>
    <w:p w14:paraId="782556CB">
      <w:pPr>
        <w:pStyle w:val="242"/>
        <w:rPr>
          <w:color w:val="000000"/>
        </w:rPr>
      </w:pPr>
    </w:p>
    <w:p w14:paraId="27CF0679">
      <w:pPr>
        <w:pStyle w:val="242"/>
        <w:rPr>
          <w:color w:val="000000"/>
        </w:rPr>
      </w:pPr>
    </w:p>
    <w:p w14:paraId="24D5F5F3">
      <w:pPr>
        <w:pStyle w:val="242"/>
        <w:rPr>
          <w:color w:val="000000"/>
        </w:rPr>
      </w:pPr>
    </w:p>
    <w:p w14:paraId="2E5EF9D9">
      <w:pPr>
        <w:pStyle w:val="242"/>
        <w:rPr>
          <w:color w:val="000000"/>
        </w:rPr>
      </w:pPr>
    </w:p>
    <w:p w14:paraId="5873017A">
      <w:pPr>
        <w:pStyle w:val="242"/>
        <w:rPr>
          <w:color w:val="000000"/>
        </w:rPr>
      </w:pPr>
    </w:p>
    <w:p w14:paraId="12F30670">
      <w:pPr>
        <w:pStyle w:val="242"/>
        <w:rPr>
          <w:color w:val="000000"/>
        </w:rPr>
      </w:pPr>
    </w:p>
    <w:p w14:paraId="708F0C42">
      <w:pPr>
        <w:rPr>
          <w:color w:val="000000"/>
        </w:rPr>
      </w:pPr>
    </w:p>
    <w:p w14:paraId="4308B8CE">
      <w:pPr>
        <w:rPr>
          <w:color w:val="000000"/>
        </w:rPr>
      </w:pPr>
    </w:p>
    <w:p w14:paraId="3F7A9394">
      <w:pPr>
        <w:pStyle w:val="242"/>
        <w:rPr>
          <w:color w:val="000000"/>
        </w:rPr>
      </w:pPr>
    </w:p>
    <w:p w14:paraId="651E016C">
      <w:pPr>
        <w:rPr>
          <w:rFonts w:hint="eastAsia"/>
          <w:b/>
          <w:color w:val="000000"/>
          <w:sz w:val="24"/>
        </w:rPr>
      </w:pPr>
      <w:r>
        <w:rPr>
          <w:rFonts w:hint="eastAsia"/>
          <w:b/>
          <w:color w:val="000000"/>
          <w:sz w:val="24"/>
        </w:rPr>
        <w:br w:type="page" w:clear="all"/>
      </w:r>
    </w:p>
    <w:p w14:paraId="15717E76">
      <w:pPr>
        <w:pStyle w:val="237"/>
        <w:spacing w:before="0" w:after="0" w:line="500" w:lineRule="exact"/>
        <w:jc w:val="left"/>
        <w:rPr>
          <w:b/>
          <w:color w:val="000000"/>
          <w:sz w:val="24"/>
        </w:rPr>
      </w:pPr>
      <w:r>
        <w:rPr>
          <w:rFonts w:hint="eastAsia"/>
          <w:b/>
          <w:color w:val="000000"/>
          <w:sz w:val="24"/>
        </w:rPr>
        <w:t>3. 响应文件参考格式</w:t>
      </w:r>
      <w:bookmarkEnd w:id="450"/>
    </w:p>
    <w:p w14:paraId="55C6F9EF">
      <w:pPr>
        <w:pStyle w:val="237"/>
        <w:spacing w:before="156" w:after="156" w:line="360" w:lineRule="exact"/>
        <w:rPr>
          <w:color w:val="000000"/>
          <w:sz w:val="30"/>
          <w:szCs w:val="30"/>
        </w:rPr>
      </w:pPr>
      <w:r>
        <w:rPr>
          <w:rFonts w:hint="eastAsia"/>
          <w:color w:val="000000"/>
          <w:sz w:val="30"/>
          <w:szCs w:val="30"/>
        </w:rPr>
        <w:t xml:space="preserve">3.1 </w:t>
      </w:r>
      <w:bookmarkStart w:id="451" w:name="_Toc426469936"/>
      <w:bookmarkStart w:id="452" w:name="_Toc468783661"/>
      <w:r>
        <w:rPr>
          <w:rFonts w:hint="eastAsia"/>
          <w:color w:val="000000"/>
          <w:sz w:val="30"/>
          <w:szCs w:val="30"/>
        </w:rPr>
        <w:t>响应文件封面格式</w:t>
      </w:r>
      <w:bookmarkEnd w:id="451"/>
      <w:bookmarkEnd w:id="452"/>
    </w:p>
    <w:p w14:paraId="3421DCAA">
      <w:pPr>
        <w:spacing w:line="360" w:lineRule="exact"/>
        <w:ind w:firstLine="600"/>
        <w:jc w:val="center"/>
        <w:rPr>
          <w:color w:val="000000"/>
          <w:sz w:val="30"/>
          <w:szCs w:val="30"/>
        </w:rPr>
      </w:pPr>
    </w:p>
    <w:p w14:paraId="707CEA99">
      <w:pPr>
        <w:spacing w:line="360" w:lineRule="exact"/>
        <w:ind w:firstLine="480"/>
        <w:jc w:val="center"/>
        <w:rPr>
          <w:color w:val="000000"/>
          <w:sz w:val="24"/>
        </w:rPr>
      </w:pPr>
    </w:p>
    <w:p w14:paraId="53C080B9">
      <w:pPr>
        <w:jc w:val="center"/>
        <w:rPr>
          <w:b/>
          <w:color w:val="000000"/>
          <w:sz w:val="48"/>
          <w:szCs w:val="48"/>
        </w:rPr>
      </w:pPr>
      <w:r>
        <w:rPr>
          <w:rFonts w:hint="eastAsia"/>
          <w:b/>
          <w:color w:val="000000"/>
          <w:sz w:val="48"/>
          <w:szCs w:val="48"/>
        </w:rPr>
        <w:t>响应文件</w:t>
      </w:r>
    </w:p>
    <w:p w14:paraId="2E9FB823">
      <w:pPr>
        <w:jc w:val="center"/>
        <w:rPr>
          <w:color w:val="000000"/>
          <w:sz w:val="48"/>
          <w:szCs w:val="48"/>
        </w:rPr>
      </w:pPr>
      <w:r>
        <w:rPr>
          <w:rFonts w:hint="eastAsia"/>
          <w:color w:val="000000"/>
          <w:sz w:val="48"/>
          <w:szCs w:val="48"/>
        </w:rPr>
        <w:t>【正</w:t>
      </w:r>
      <w:r>
        <w:rPr>
          <w:color w:val="000000"/>
          <w:sz w:val="48"/>
          <w:szCs w:val="48"/>
        </w:rPr>
        <w:t>/</w:t>
      </w:r>
      <w:r>
        <w:rPr>
          <w:rFonts w:hint="eastAsia"/>
          <w:color w:val="000000"/>
          <w:sz w:val="48"/>
          <w:szCs w:val="48"/>
        </w:rPr>
        <w:t>副本】</w:t>
      </w:r>
    </w:p>
    <w:p w14:paraId="56D60B4B">
      <w:pPr>
        <w:spacing w:line="360" w:lineRule="exact"/>
        <w:ind w:firstLine="480"/>
        <w:rPr>
          <w:color w:val="000000"/>
          <w:sz w:val="24"/>
        </w:rPr>
      </w:pPr>
    </w:p>
    <w:p w14:paraId="38C01306">
      <w:pPr>
        <w:spacing w:line="360" w:lineRule="exact"/>
        <w:ind w:firstLine="480"/>
        <w:rPr>
          <w:color w:val="000000"/>
          <w:sz w:val="24"/>
        </w:rPr>
      </w:pPr>
    </w:p>
    <w:p w14:paraId="1F11F4F7">
      <w:pPr>
        <w:spacing w:line="360" w:lineRule="exact"/>
        <w:ind w:firstLine="480"/>
        <w:rPr>
          <w:color w:val="000000"/>
          <w:sz w:val="24"/>
        </w:rPr>
      </w:pPr>
    </w:p>
    <w:p w14:paraId="5170109A">
      <w:pPr>
        <w:spacing w:line="360" w:lineRule="exact"/>
        <w:ind w:firstLine="480"/>
        <w:rPr>
          <w:color w:val="000000"/>
          <w:sz w:val="24"/>
        </w:rPr>
      </w:pPr>
    </w:p>
    <w:p w14:paraId="6FC50B19">
      <w:pPr>
        <w:spacing w:line="360" w:lineRule="exact"/>
        <w:ind w:firstLine="1080"/>
        <w:rPr>
          <w:color w:val="000000"/>
          <w:sz w:val="24"/>
        </w:rPr>
      </w:pPr>
      <w:r>
        <w:rPr>
          <w:rFonts w:hint="eastAsia"/>
          <w:color w:val="000000"/>
          <w:sz w:val="24"/>
        </w:rPr>
        <w:t>采购项目名称：</w:t>
      </w:r>
    </w:p>
    <w:p w14:paraId="41141ED0">
      <w:pPr>
        <w:pStyle w:val="351"/>
        <w:spacing w:line="360" w:lineRule="exact"/>
        <w:ind w:firstLine="456"/>
        <w:rPr>
          <w:rFonts w:ascii="Times New Roman" w:hAnsi="Times New Roman"/>
          <w:bCs/>
          <w:color w:val="000000"/>
          <w:spacing w:val="-6"/>
        </w:rPr>
      </w:pPr>
    </w:p>
    <w:p w14:paraId="6E84577E">
      <w:pPr>
        <w:spacing w:line="360" w:lineRule="exact"/>
        <w:ind w:left="1050" w:firstLine="480"/>
        <w:rPr>
          <w:color w:val="000000"/>
          <w:sz w:val="24"/>
        </w:rPr>
      </w:pPr>
    </w:p>
    <w:p w14:paraId="512ED50D">
      <w:pPr>
        <w:spacing w:line="360" w:lineRule="exact"/>
        <w:ind w:firstLine="480"/>
        <w:rPr>
          <w:color w:val="000000"/>
          <w:sz w:val="24"/>
        </w:rPr>
      </w:pPr>
    </w:p>
    <w:p w14:paraId="4318072F">
      <w:pPr>
        <w:spacing w:line="360" w:lineRule="exact"/>
        <w:ind w:firstLine="480"/>
        <w:rPr>
          <w:color w:val="000000"/>
          <w:sz w:val="24"/>
        </w:rPr>
      </w:pPr>
    </w:p>
    <w:p w14:paraId="0C90CB33">
      <w:pPr>
        <w:tabs>
          <w:tab w:val="left" w:pos="2700"/>
        </w:tabs>
        <w:spacing w:line="720" w:lineRule="auto"/>
        <w:ind w:firstLine="2340"/>
        <w:rPr>
          <w:color w:val="000000"/>
          <w:sz w:val="24"/>
          <w:u w:val="single"/>
        </w:rPr>
      </w:pPr>
      <w:r>
        <w:rPr>
          <w:rFonts w:hint="eastAsia"/>
          <w:color w:val="000000"/>
          <w:sz w:val="24"/>
        </w:rPr>
        <w:t>供应商名称：</w:t>
      </w:r>
      <w:r>
        <w:rPr>
          <w:rFonts w:hint="eastAsia"/>
          <w:color w:val="000000"/>
          <w:sz w:val="24"/>
          <w:u w:val="single"/>
        </w:rPr>
        <w:t>（</w:t>
      </w:r>
      <w:r>
        <w:rPr>
          <w:rFonts w:hint="eastAsia"/>
          <w:color w:val="000000"/>
          <w:sz w:val="24"/>
          <w:u w:val="single"/>
          <w:lang w:val="en-US" w:eastAsia="zh-CN"/>
        </w:rPr>
        <w:t>加盖CA电子公章</w:t>
      </w:r>
      <w:r>
        <w:rPr>
          <w:rFonts w:hint="eastAsia"/>
          <w:color w:val="000000"/>
          <w:sz w:val="24"/>
          <w:u w:val="single"/>
        </w:rPr>
        <w:t>）</w:t>
      </w:r>
    </w:p>
    <w:p w14:paraId="2FE7D3F9">
      <w:pPr>
        <w:tabs>
          <w:tab w:val="left" w:pos="2700"/>
        </w:tabs>
        <w:spacing w:line="720" w:lineRule="auto"/>
        <w:ind w:firstLine="2340"/>
        <w:rPr>
          <w:color w:val="000000"/>
          <w:sz w:val="24"/>
          <w:u w:val="single"/>
        </w:rPr>
      </w:pPr>
      <w:r>
        <w:rPr>
          <w:rFonts w:hint="eastAsia"/>
          <w:color w:val="000000"/>
          <w:sz w:val="24"/>
        </w:rPr>
        <w:t>联系人：</w:t>
      </w:r>
    </w:p>
    <w:p w14:paraId="0DDA4C76">
      <w:pPr>
        <w:tabs>
          <w:tab w:val="left" w:pos="2700"/>
        </w:tabs>
        <w:spacing w:line="720" w:lineRule="auto"/>
        <w:ind w:firstLine="2340"/>
        <w:rPr>
          <w:color w:val="000000"/>
          <w:sz w:val="24"/>
          <w:u w:val="single"/>
        </w:rPr>
      </w:pPr>
      <w:r>
        <w:rPr>
          <w:rFonts w:hint="eastAsia"/>
          <w:color w:val="000000"/>
          <w:sz w:val="24"/>
        </w:rPr>
        <w:t>联系电话：</w:t>
      </w:r>
    </w:p>
    <w:p w14:paraId="298AF40D">
      <w:pPr>
        <w:tabs>
          <w:tab w:val="left" w:pos="2700"/>
        </w:tabs>
        <w:spacing w:line="720" w:lineRule="auto"/>
        <w:ind w:firstLine="2340"/>
        <w:rPr>
          <w:rFonts w:hint="eastAsia"/>
          <w:color w:val="000000"/>
          <w:sz w:val="24"/>
        </w:rPr>
      </w:pPr>
      <w:r>
        <w:rPr>
          <w:rFonts w:hint="eastAsia"/>
          <w:color w:val="000000"/>
          <w:sz w:val="24"/>
        </w:rPr>
        <w:t>日期：</w:t>
      </w:r>
      <w:r>
        <w:rPr>
          <w:color w:val="000000"/>
          <w:sz w:val="24"/>
        </w:rPr>
        <w:t>______</w:t>
      </w:r>
      <w:r>
        <w:rPr>
          <w:rFonts w:hint="eastAsia"/>
          <w:color w:val="000000"/>
          <w:sz w:val="24"/>
        </w:rPr>
        <w:t>年</w:t>
      </w:r>
      <w:r>
        <w:rPr>
          <w:color w:val="000000"/>
          <w:sz w:val="24"/>
        </w:rPr>
        <w:t>____</w:t>
      </w:r>
      <w:r>
        <w:rPr>
          <w:rFonts w:hint="eastAsia"/>
          <w:color w:val="000000"/>
          <w:sz w:val="24"/>
        </w:rPr>
        <w:t>月</w:t>
      </w:r>
      <w:r>
        <w:rPr>
          <w:color w:val="000000"/>
          <w:sz w:val="24"/>
        </w:rPr>
        <w:t>____</w:t>
      </w:r>
      <w:r>
        <w:rPr>
          <w:rFonts w:hint="eastAsia"/>
          <w:color w:val="000000"/>
          <w:sz w:val="24"/>
        </w:rPr>
        <w:t>日</w:t>
      </w:r>
      <w:bookmarkEnd w:id="440"/>
      <w:bookmarkEnd w:id="441"/>
      <w:bookmarkEnd w:id="442"/>
      <w:bookmarkEnd w:id="443"/>
      <w:bookmarkEnd w:id="444"/>
      <w:r>
        <w:rPr>
          <w:rFonts w:hint="eastAsia"/>
          <w:color w:val="000000"/>
        </w:rPr>
        <w:br w:type="page" w:clear="all"/>
      </w:r>
      <w:bookmarkStart w:id="453" w:name="_Toc426469937"/>
      <w:bookmarkStart w:id="454" w:name="_Toc390098915"/>
      <w:bookmarkStart w:id="455" w:name="_Toc383587529"/>
      <w:bookmarkStart w:id="456" w:name="_Toc382813957"/>
      <w:bookmarkStart w:id="457" w:name="_Toc383623749"/>
      <w:bookmarkStart w:id="458" w:name="_Toc390246998"/>
      <w:bookmarkStart w:id="459" w:name="_Toc383624021"/>
      <w:bookmarkStart w:id="460" w:name="_Toc383679822"/>
      <w:bookmarkStart w:id="461" w:name="_Toc382812316"/>
      <w:bookmarkStart w:id="462" w:name="_Toc382814038"/>
      <w:bookmarkStart w:id="463" w:name="_Toc383626069"/>
      <w:bookmarkStart w:id="464" w:name="_Toc390099111"/>
      <w:bookmarkStart w:id="465" w:name="_Toc382811202"/>
      <w:bookmarkStart w:id="466" w:name="_Toc382812507"/>
      <w:bookmarkStart w:id="467" w:name="_Toc382811607"/>
      <w:bookmarkStart w:id="468" w:name="_Toc383698722"/>
      <w:r>
        <w:rPr>
          <w:rFonts w:hint="eastAsia"/>
          <w:color w:val="000000"/>
          <w:sz w:val="32"/>
          <w:szCs w:val="32"/>
        </w:rPr>
        <w:t xml:space="preserve">3.2 </w:t>
      </w:r>
      <w:bookmarkEnd w:id="453"/>
      <w:r>
        <w:rPr>
          <w:rFonts w:hint="eastAsia"/>
          <w:color w:val="000000"/>
          <w:sz w:val="32"/>
          <w:szCs w:val="32"/>
        </w:rPr>
        <w:t>磋商报价表</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p>
    <w:p w14:paraId="508F688B">
      <w:pPr>
        <w:pStyle w:val="35"/>
        <w:keepNext w:val="0"/>
        <w:keepLines w:val="0"/>
        <w:widowControl/>
        <w:suppressLineNumbers w:val="0"/>
        <w:jc w:val="center"/>
      </w:pPr>
      <w:bookmarkStart w:id="469" w:name="_Toc382811203"/>
      <w:bookmarkStart w:id="470" w:name="_Toc26554097"/>
      <w:bookmarkStart w:id="471" w:name="_Toc382812317"/>
      <w:bookmarkStart w:id="472" w:name="_Toc382811608"/>
      <w:bookmarkStart w:id="473" w:name="_Toc120614286"/>
      <w:bookmarkStart w:id="474" w:name="_Toc288030361"/>
      <w:bookmarkStart w:id="475" w:name="_Toc23828480"/>
      <w:bookmarkStart w:id="476" w:name="_Toc49090579"/>
      <w:bookmarkStart w:id="477" w:name="_Toc282446333"/>
      <w:bookmarkStart w:id="478" w:name="_Toc382812508"/>
      <w:r>
        <w:rPr>
          <w:rStyle w:val="82"/>
        </w:rPr>
        <w:t>磋商报价表</w:t>
      </w:r>
    </w:p>
    <w:p w14:paraId="0A1D9CE3">
      <w:pPr>
        <w:spacing w:line="360" w:lineRule="auto"/>
        <w:ind w:firstLine="360"/>
        <w:jc w:val="left"/>
        <w:rPr>
          <w:rFonts w:ascii="宋体" w:hAnsi="宋体" w:cs="宋体"/>
          <w:color w:val="FF0000"/>
          <w:sz w:val="32"/>
          <w:szCs w:val="32"/>
        </w:rPr>
      </w:pPr>
      <w:r>
        <w:rPr>
          <w:rFonts w:hint="eastAsia"/>
          <w:color w:val="FF0000"/>
          <w:sz w:val="24"/>
          <w:szCs w:val="32"/>
        </w:rPr>
        <w:t>按“江苏省政府采购管理交易系统(苏采云)”中格式填写。</w:t>
      </w:r>
    </w:p>
    <w:p w14:paraId="45246E09">
      <w:pPr>
        <w:spacing w:line="360" w:lineRule="auto"/>
        <w:ind w:firstLine="360"/>
        <w:jc w:val="right"/>
        <w:rPr>
          <w:rFonts w:ascii="宋体" w:hAnsi="宋体" w:cs="宋体"/>
          <w:color w:val="000000"/>
          <w:sz w:val="24"/>
        </w:rPr>
      </w:pPr>
    </w:p>
    <w:p w14:paraId="4B6BBE8F">
      <w:pPr>
        <w:spacing w:line="360" w:lineRule="auto"/>
        <w:ind w:firstLine="360"/>
        <w:jc w:val="right"/>
        <w:rPr>
          <w:rFonts w:ascii="宋体" w:hAnsi="宋体" w:cs="宋体"/>
          <w:color w:val="000000"/>
          <w:sz w:val="24"/>
        </w:rPr>
      </w:pPr>
    </w:p>
    <w:p w14:paraId="5F540C1C">
      <w:pPr>
        <w:spacing w:line="360" w:lineRule="auto"/>
        <w:jc w:val="both"/>
        <w:rPr>
          <w:rFonts w:ascii="宋体" w:hAnsi="宋体" w:cs="宋体"/>
          <w:color w:val="000000"/>
          <w:sz w:val="24"/>
        </w:rPr>
      </w:pPr>
    </w:p>
    <w:p w14:paraId="381E4E42">
      <w:pPr>
        <w:pStyle w:val="237"/>
        <w:pageBreakBefore/>
        <w:spacing w:before="156" w:after="156" w:line="360" w:lineRule="exact"/>
        <w:rPr>
          <w:rFonts w:hint="eastAsia" w:ascii="Times New Roman" w:hAnsi="Times New Roman" w:eastAsia="宋体" w:cs="Times New Roman"/>
          <w:color w:val="000000"/>
        </w:rPr>
      </w:pPr>
      <w:r>
        <w:rPr>
          <w:rFonts w:hint="eastAsia"/>
          <w:color w:val="000000"/>
        </w:rPr>
        <w:t>3.3 响应函</w:t>
      </w:r>
      <w:r>
        <w:rPr>
          <w:rFonts w:hint="eastAsia" w:ascii="Times New Roman" w:hAnsi="Times New Roman" w:eastAsia="宋体" w:cs="Times New Roman"/>
          <w:color w:val="000000"/>
        </w:rPr>
        <w:t>格式</w:t>
      </w:r>
    </w:p>
    <w:p w14:paraId="6DAD03B6">
      <w:pPr>
        <w:spacing w:line="500" w:lineRule="exact"/>
        <w:jc w:val="center"/>
        <w:rPr>
          <w:rFonts w:ascii="宋体" w:hAnsi="宋体" w:cs="宋体"/>
          <w:sz w:val="32"/>
          <w:szCs w:val="32"/>
        </w:rPr>
      </w:pPr>
      <w:r>
        <w:rPr>
          <w:rFonts w:hint="eastAsia" w:ascii="宋体" w:hAnsi="宋体" w:cs="宋体"/>
          <w:sz w:val="32"/>
          <w:szCs w:val="32"/>
        </w:rPr>
        <w:t>响 应 函</w:t>
      </w:r>
    </w:p>
    <w:p w14:paraId="77210581">
      <w:pPr>
        <w:spacing w:line="360" w:lineRule="exact"/>
        <w:ind w:firstLine="560"/>
        <w:jc w:val="center"/>
        <w:rPr>
          <w:rFonts w:ascii="宋体" w:hAnsi="宋体" w:cs="宋体"/>
          <w:szCs w:val="21"/>
        </w:rPr>
      </w:pPr>
    </w:p>
    <w:p w14:paraId="17E61A2C">
      <w:pPr>
        <w:spacing w:line="360" w:lineRule="auto"/>
        <w:rPr>
          <w:rFonts w:ascii="宋体" w:hAnsi="宋体"/>
          <w:bCs/>
        </w:rPr>
      </w:pPr>
      <w:r>
        <w:rPr>
          <w:rFonts w:hint="eastAsia" w:ascii="宋体" w:hAnsi="宋体"/>
          <w:bCs/>
        </w:rPr>
        <w:t>致</w:t>
      </w:r>
      <w:r>
        <w:rPr>
          <w:rFonts w:hint="eastAsia" w:ascii="宋体" w:hAnsi="宋体"/>
          <w:bCs/>
          <w:u w:val="single"/>
          <w:lang w:eastAsia="zh-CN"/>
        </w:rPr>
        <w:t>泰兴市</w:t>
      </w:r>
      <w:r>
        <w:rPr>
          <w:rFonts w:hint="eastAsia" w:ascii="宋体" w:hAnsi="宋体"/>
          <w:bCs/>
          <w:u w:val="single"/>
          <w:lang w:val="en-US" w:eastAsia="zh-CN"/>
        </w:rPr>
        <w:t>古溪</w:t>
      </w:r>
      <w:r>
        <w:rPr>
          <w:rFonts w:hint="eastAsia" w:ascii="宋体" w:hAnsi="宋体"/>
          <w:bCs/>
          <w:u w:val="single"/>
          <w:lang w:eastAsia="zh-CN"/>
        </w:rPr>
        <w:t>镇人民政府</w:t>
      </w:r>
      <w:r>
        <w:rPr>
          <w:rFonts w:hint="eastAsia" w:ascii="宋体" w:hAnsi="宋体"/>
          <w:bCs/>
        </w:rPr>
        <w:t>：</w:t>
      </w:r>
    </w:p>
    <w:p w14:paraId="4CA5897B">
      <w:pPr>
        <w:spacing w:line="360" w:lineRule="auto"/>
        <w:ind w:firstLine="480"/>
        <w:rPr>
          <w:rFonts w:ascii="宋体" w:hAnsi="宋体"/>
          <w:bCs/>
        </w:rPr>
      </w:pPr>
      <w:r>
        <w:rPr>
          <w:rFonts w:hint="eastAsia" w:ascii="宋体" w:hAnsi="宋体"/>
          <w:bCs/>
        </w:rPr>
        <w:t>我方收到贵方编号</w:t>
      </w:r>
      <w:r>
        <w:rPr>
          <w:rFonts w:hint="eastAsia" w:ascii="宋体" w:hAnsi="宋体"/>
          <w:bCs/>
          <w:u w:val="single"/>
          <w:lang w:val="en-US" w:eastAsia="zh-CN"/>
        </w:rPr>
        <w:t xml:space="preserve">                        </w:t>
      </w:r>
      <w:r>
        <w:rPr>
          <w:rFonts w:hint="eastAsia" w:ascii="宋体" w:hAnsi="宋体"/>
          <w:bCs/>
        </w:rPr>
        <w:t>采购文件，经仔细阅读和研究，我方决定参加此项目的报价。</w:t>
      </w:r>
    </w:p>
    <w:p w14:paraId="72CAA780">
      <w:pPr>
        <w:numPr>
          <w:ilvl w:val="0"/>
          <w:numId w:val="2"/>
        </w:numPr>
        <w:tabs>
          <w:tab w:val="left" w:pos="315"/>
          <w:tab w:val="left" w:pos="735"/>
          <w:tab w:val="left" w:pos="840"/>
          <w:tab w:val="left" w:pos="945"/>
          <w:tab w:val="left" w:pos="1050"/>
        </w:tabs>
        <w:spacing w:line="360" w:lineRule="auto"/>
        <w:ind w:left="0" w:firstLine="525"/>
        <w:rPr>
          <w:rFonts w:ascii="宋体" w:hAnsi="宋体"/>
          <w:bCs/>
        </w:rPr>
      </w:pPr>
      <w:r>
        <w:rPr>
          <w:rFonts w:hint="eastAsia" w:ascii="宋体" w:hAnsi="宋体"/>
          <w:bCs/>
        </w:rPr>
        <w:t>我方愿意按照采购文件的一切要求，提供本项目的报价，总报价见《磋商报价表》。</w:t>
      </w:r>
    </w:p>
    <w:p w14:paraId="571C4831">
      <w:pPr>
        <w:numPr>
          <w:ilvl w:val="0"/>
          <w:numId w:val="2"/>
        </w:numPr>
        <w:tabs>
          <w:tab w:val="left" w:pos="0"/>
          <w:tab w:val="left" w:pos="315"/>
          <w:tab w:val="left" w:pos="525"/>
          <w:tab w:val="left" w:pos="840"/>
          <w:tab w:val="left" w:pos="945"/>
          <w:tab w:val="left" w:pos="1050"/>
        </w:tabs>
        <w:spacing w:line="360" w:lineRule="auto"/>
        <w:ind w:left="0" w:firstLine="523"/>
        <w:rPr>
          <w:rStyle w:val="45"/>
          <w:bCs/>
        </w:rPr>
      </w:pPr>
      <w:r>
        <w:rPr>
          <w:rFonts w:hint="eastAsia" w:ascii="宋体" w:hAnsi="宋体"/>
          <w:bCs/>
        </w:rPr>
        <w:t>我方愿意提供</w:t>
      </w:r>
      <w:r>
        <w:rPr>
          <w:rFonts w:hint="eastAsia" w:ascii="宋体" w:hAnsi="宋体"/>
          <w:bCs/>
          <w:lang w:val="en-US" w:eastAsia="zh-CN"/>
        </w:rPr>
        <w:t>江苏聿鹏建设项目管理有限公司</w:t>
      </w:r>
      <w:r>
        <w:rPr>
          <w:rFonts w:hint="eastAsia" w:ascii="宋体" w:hAnsi="宋体"/>
          <w:bCs/>
        </w:rPr>
        <w:t>在采购文件中要求的文件、资料。</w:t>
      </w:r>
    </w:p>
    <w:p w14:paraId="04FC50A9">
      <w:pPr>
        <w:numPr>
          <w:ilvl w:val="0"/>
          <w:numId w:val="2"/>
        </w:numPr>
        <w:tabs>
          <w:tab w:val="left" w:pos="0"/>
          <w:tab w:val="left" w:pos="315"/>
          <w:tab w:val="left" w:pos="525"/>
          <w:tab w:val="left" w:pos="630"/>
          <w:tab w:val="left" w:pos="945"/>
          <w:tab w:val="left" w:pos="1050"/>
        </w:tabs>
        <w:spacing w:line="360" w:lineRule="auto"/>
        <w:ind w:left="0" w:firstLine="523"/>
        <w:rPr>
          <w:rFonts w:ascii="宋体" w:hAnsi="宋体"/>
          <w:bCs/>
        </w:rPr>
      </w:pPr>
      <w:r>
        <w:rPr>
          <w:rFonts w:hint="eastAsia" w:ascii="宋体" w:hAnsi="宋体"/>
          <w:bCs/>
        </w:rPr>
        <w:t>我方同意按采购文件中的规定，本响应文件报价的有效期限为报价截止之日起</w:t>
      </w:r>
      <w:r>
        <w:rPr>
          <w:rFonts w:hint="eastAsia" w:ascii="宋体" w:hAnsi="宋体"/>
          <w:bCs/>
          <w:lang w:val="en-US" w:eastAsia="zh-CN"/>
        </w:rPr>
        <w:t>6</w:t>
      </w:r>
      <w:r>
        <w:rPr>
          <w:rFonts w:hint="eastAsia" w:ascii="宋体" w:hAnsi="宋体"/>
          <w:bCs/>
        </w:rPr>
        <w:t>0天。</w:t>
      </w:r>
    </w:p>
    <w:p w14:paraId="46D7C993">
      <w:pPr>
        <w:numPr>
          <w:ilvl w:val="0"/>
          <w:numId w:val="2"/>
        </w:numPr>
        <w:tabs>
          <w:tab w:val="left" w:pos="0"/>
          <w:tab w:val="left" w:pos="315"/>
          <w:tab w:val="left" w:pos="525"/>
          <w:tab w:val="left" w:pos="945"/>
          <w:tab w:val="left" w:pos="1050"/>
        </w:tabs>
        <w:spacing w:line="360" w:lineRule="auto"/>
        <w:ind w:left="0" w:firstLine="523"/>
        <w:rPr>
          <w:rFonts w:ascii="宋体" w:hAnsi="宋体"/>
          <w:bCs/>
        </w:rPr>
      </w:pPr>
      <w:r>
        <w:rPr>
          <w:rFonts w:hint="eastAsia" w:ascii="宋体" w:hAnsi="宋体"/>
          <w:bCs/>
        </w:rPr>
        <w:t>如果我方的响应文件被接受，我方将履行采购文件中规定的每一项要求，按期、按质、按量，完成采购文件要求的所有工作内容。</w:t>
      </w:r>
    </w:p>
    <w:p w14:paraId="46E9FB69">
      <w:pPr>
        <w:numPr>
          <w:ilvl w:val="0"/>
          <w:numId w:val="2"/>
        </w:numPr>
        <w:tabs>
          <w:tab w:val="left" w:pos="0"/>
          <w:tab w:val="left" w:pos="315"/>
          <w:tab w:val="left" w:pos="525"/>
          <w:tab w:val="left" w:pos="945"/>
          <w:tab w:val="left" w:pos="1050"/>
        </w:tabs>
        <w:spacing w:line="360" w:lineRule="auto"/>
        <w:ind w:left="0" w:firstLine="523"/>
        <w:rPr>
          <w:rFonts w:ascii="宋体" w:hAnsi="宋体"/>
          <w:bCs/>
        </w:rPr>
      </w:pPr>
      <w:r>
        <w:rPr>
          <w:rFonts w:hint="eastAsia" w:ascii="宋体" w:hAnsi="宋体"/>
          <w:bCs/>
        </w:rPr>
        <w:t>我方愿意遵守《中华人民共和国政府采购法》，并按《中华人民共和国民法典》和合同条款履行自己的全部责任。</w:t>
      </w:r>
    </w:p>
    <w:p w14:paraId="4C71A97F">
      <w:pPr>
        <w:numPr>
          <w:ilvl w:val="0"/>
          <w:numId w:val="2"/>
        </w:numPr>
        <w:tabs>
          <w:tab w:val="left" w:pos="0"/>
          <w:tab w:val="left" w:pos="315"/>
          <w:tab w:val="left" w:pos="525"/>
          <w:tab w:val="left" w:pos="945"/>
          <w:tab w:val="left" w:pos="1050"/>
        </w:tabs>
        <w:spacing w:line="360" w:lineRule="auto"/>
        <w:ind w:left="0" w:firstLine="523"/>
        <w:rPr>
          <w:rFonts w:ascii="宋体" w:hAnsi="宋体"/>
          <w:bCs/>
        </w:rPr>
      </w:pPr>
      <w:r>
        <w:rPr>
          <w:rFonts w:hint="eastAsia" w:ascii="宋体" w:hAnsi="宋体"/>
          <w:bCs/>
        </w:rPr>
        <w:t>我方认可并保证遵守采购文件的所有规定，放弃对采购文件提出质疑的权利。</w:t>
      </w:r>
    </w:p>
    <w:p w14:paraId="52FBF863">
      <w:pPr>
        <w:numPr>
          <w:ilvl w:val="0"/>
          <w:numId w:val="2"/>
        </w:numPr>
        <w:tabs>
          <w:tab w:val="left" w:pos="0"/>
          <w:tab w:val="left" w:pos="315"/>
          <w:tab w:val="left" w:pos="525"/>
          <w:tab w:val="left" w:pos="945"/>
          <w:tab w:val="left" w:pos="1050"/>
        </w:tabs>
        <w:spacing w:line="360" w:lineRule="auto"/>
        <w:ind w:left="0" w:firstLine="523"/>
        <w:rPr>
          <w:rFonts w:ascii="宋体" w:hAnsi="宋体"/>
          <w:bCs/>
        </w:rPr>
      </w:pPr>
      <w:r>
        <w:rPr>
          <w:rFonts w:hint="eastAsia" w:ascii="宋体" w:hAnsi="宋体"/>
          <w:bCs/>
        </w:rPr>
        <w:t>如果我方被确定为成交供应商，我方愿意</w:t>
      </w:r>
      <w:r>
        <w:rPr>
          <w:rFonts w:hint="eastAsia" w:ascii="宋体" w:hAnsi="宋体"/>
        </w:rPr>
        <w:t>按照要求缴纳履约保证金</w:t>
      </w:r>
      <w:r>
        <w:rPr>
          <w:rFonts w:hint="eastAsia" w:ascii="宋体" w:hAnsi="宋体"/>
          <w:bCs/>
        </w:rPr>
        <w:t>。且我方如无不可抗力，又未履行采购文件、响应文件和合同条款的，一经查实，我方愿意赔偿由此而造成的一切损失，并同意接受按采购文件的相关要求对我方进行的处理。</w:t>
      </w:r>
    </w:p>
    <w:p w14:paraId="098B8F68">
      <w:pPr>
        <w:spacing w:line="360" w:lineRule="auto"/>
        <w:ind w:firstLine="720"/>
        <w:rPr>
          <w:rFonts w:ascii="宋体" w:hAnsi="宋体"/>
          <w:bCs/>
        </w:rPr>
      </w:pPr>
    </w:p>
    <w:p w14:paraId="6736E98B">
      <w:pPr>
        <w:spacing w:line="400" w:lineRule="exact"/>
        <w:ind w:firstLine="480"/>
        <w:rPr>
          <w:rFonts w:ascii="宋体" w:hAnsi="宋体"/>
          <w:bCs/>
        </w:rPr>
      </w:pPr>
      <w:r>
        <w:rPr>
          <w:rFonts w:hint="eastAsia" w:ascii="宋体" w:hAnsi="宋体"/>
          <w:bCs/>
        </w:rPr>
        <w:t>供应商名称（盖章）：</w:t>
      </w:r>
    </w:p>
    <w:p w14:paraId="04D60566">
      <w:pPr>
        <w:spacing w:line="400" w:lineRule="exact"/>
        <w:ind w:firstLine="480"/>
        <w:rPr>
          <w:rFonts w:ascii="宋体" w:hAnsi="宋体"/>
          <w:bCs/>
        </w:rPr>
      </w:pPr>
      <w:r>
        <w:rPr>
          <w:rFonts w:hint="eastAsia" w:ascii="宋体" w:hAnsi="宋体"/>
          <w:bCs/>
        </w:rPr>
        <w:t>法定代表人（签字或盖章）：</w:t>
      </w:r>
    </w:p>
    <w:p w14:paraId="4FDD6B2C">
      <w:pPr>
        <w:spacing w:line="400" w:lineRule="exact"/>
        <w:ind w:firstLine="480"/>
        <w:rPr>
          <w:rFonts w:ascii="宋体" w:hAnsi="宋体"/>
          <w:bCs/>
        </w:rPr>
      </w:pPr>
      <w:r>
        <w:rPr>
          <w:rFonts w:hint="eastAsia" w:ascii="宋体" w:hAnsi="宋体"/>
          <w:bCs/>
        </w:rPr>
        <w:t>电话：                              传真：</w:t>
      </w:r>
    </w:p>
    <w:p w14:paraId="0E3CAF75">
      <w:pPr>
        <w:spacing w:line="400" w:lineRule="exact"/>
        <w:ind w:firstLine="480"/>
        <w:rPr>
          <w:rFonts w:ascii="宋体" w:hAnsi="宋体"/>
          <w:bCs/>
        </w:rPr>
      </w:pPr>
      <w:r>
        <w:rPr>
          <w:rFonts w:hint="eastAsia" w:ascii="宋体" w:hAnsi="宋体"/>
          <w:bCs/>
        </w:rPr>
        <w:t>通讯地址：                          邮编：</w:t>
      </w:r>
    </w:p>
    <w:p w14:paraId="71745CDB">
      <w:pPr>
        <w:spacing w:line="400" w:lineRule="exact"/>
        <w:ind w:firstLine="480"/>
      </w:pPr>
      <w:r>
        <w:t>邮箱：</w:t>
      </w:r>
    </w:p>
    <w:p w14:paraId="4C5B865C">
      <w:pPr>
        <w:jc w:val="center"/>
        <w:rPr>
          <w:rFonts w:eastAsia="黑体"/>
        </w:rPr>
      </w:pPr>
      <w:r>
        <w:rPr>
          <w:rFonts w:ascii="宋体" w:hAnsi="宋体"/>
          <w:b/>
          <w:bCs/>
          <w:szCs w:val="21"/>
          <w:highlight w:val="yellow"/>
        </w:rPr>
        <w:br w:type="page" w:clear="all"/>
      </w:r>
      <w:r>
        <w:rPr>
          <w:rFonts w:hint="eastAsia" w:ascii="黑体" w:eastAsia="黑体"/>
          <w:bCs/>
          <w:sz w:val="28"/>
          <w:szCs w:val="28"/>
        </w:rPr>
        <w:t>响应函附录</w:t>
      </w:r>
    </w:p>
    <w:p w14:paraId="16AAD130">
      <w:pPr>
        <w:pStyle w:val="394"/>
      </w:pPr>
    </w:p>
    <w:tbl>
      <w:tblPr>
        <w:tblStyle w:val="28"/>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7"/>
        <w:gridCol w:w="2521"/>
        <w:gridCol w:w="5589"/>
      </w:tblGrid>
      <w:tr w14:paraId="130DA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1" w:hRule="atLeast"/>
          <w:jc w:val="center"/>
        </w:trPr>
        <w:tc>
          <w:tcPr>
            <w:tcW w:w="847" w:type="dxa"/>
            <w:noWrap w:val="0"/>
            <w:vAlign w:val="center"/>
          </w:tcPr>
          <w:p w14:paraId="69C35B3B">
            <w:pPr>
              <w:spacing w:line="440" w:lineRule="exact"/>
              <w:jc w:val="center"/>
              <w:rPr>
                <w:rFonts w:ascii="宋体" w:hAnsi="宋体" w:cs="宋体"/>
                <w:color w:val="000000"/>
              </w:rPr>
            </w:pPr>
            <w:r>
              <w:rPr>
                <w:rFonts w:hint="eastAsia" w:ascii="宋体" w:hAnsi="宋体" w:cs="宋体"/>
                <w:color w:val="000000"/>
              </w:rPr>
              <w:t>1</w:t>
            </w:r>
          </w:p>
        </w:tc>
        <w:tc>
          <w:tcPr>
            <w:tcW w:w="2521" w:type="dxa"/>
            <w:noWrap w:val="0"/>
            <w:vAlign w:val="center"/>
          </w:tcPr>
          <w:p w14:paraId="5B8885ED">
            <w:pPr>
              <w:spacing w:line="440" w:lineRule="exact"/>
              <w:jc w:val="center"/>
              <w:rPr>
                <w:rFonts w:ascii="宋体" w:hAnsi="宋体" w:cs="宋体"/>
                <w:color w:val="000000"/>
              </w:rPr>
            </w:pPr>
            <w:r>
              <w:rPr>
                <w:rFonts w:hint="eastAsia" w:ascii="宋体" w:hAnsi="宋体" w:cs="宋体"/>
                <w:color w:val="000000"/>
              </w:rPr>
              <w:t>项目</w:t>
            </w:r>
            <w:r>
              <w:rPr>
                <w:rFonts w:hint="eastAsia" w:ascii="宋体" w:hAnsi="宋体" w:cs="宋体"/>
                <w:color w:val="000000"/>
                <w:lang w:eastAsia="zh-CN"/>
              </w:rPr>
              <w:t>（</w:t>
            </w:r>
            <w:r>
              <w:rPr>
                <w:rFonts w:hint="eastAsia" w:ascii="宋体" w:hAnsi="宋体" w:cs="宋体"/>
                <w:color w:val="000000"/>
                <w:lang w:val="en-US" w:eastAsia="zh-CN"/>
              </w:rPr>
              <w:t>标包</w:t>
            </w:r>
            <w:r>
              <w:rPr>
                <w:rFonts w:hint="eastAsia" w:ascii="宋体" w:hAnsi="宋体" w:cs="宋体"/>
                <w:color w:val="000000"/>
                <w:lang w:eastAsia="zh-CN"/>
              </w:rPr>
              <w:t>）</w:t>
            </w:r>
            <w:r>
              <w:rPr>
                <w:rFonts w:hint="eastAsia" w:ascii="宋体" w:hAnsi="宋体" w:cs="宋体"/>
                <w:color w:val="000000"/>
              </w:rPr>
              <w:t>名称</w:t>
            </w:r>
          </w:p>
        </w:tc>
        <w:tc>
          <w:tcPr>
            <w:tcW w:w="5589" w:type="dxa"/>
            <w:noWrap w:val="0"/>
            <w:vAlign w:val="center"/>
          </w:tcPr>
          <w:p w14:paraId="3531793A">
            <w:pPr>
              <w:keepNext w:val="0"/>
              <w:keepLines w:val="0"/>
              <w:pageBreakBefore w:val="0"/>
              <w:widowControl w:val="0"/>
              <w:spacing w:line="440" w:lineRule="exact"/>
              <w:ind w:firstLine="1470"/>
              <w:jc w:val="left"/>
              <w:rPr>
                <w:rFonts w:ascii="宋体" w:hAnsi="宋体" w:eastAsia="宋体" w:cs="宋体"/>
                <w:color w:val="000000"/>
                <w:lang w:val="en-US" w:eastAsia="zh-CN"/>
              </w:rPr>
            </w:pPr>
          </w:p>
        </w:tc>
      </w:tr>
      <w:tr w14:paraId="667D45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noWrap w:val="0"/>
            <w:vAlign w:val="center"/>
          </w:tcPr>
          <w:p w14:paraId="5DE42615">
            <w:pPr>
              <w:spacing w:line="440" w:lineRule="exact"/>
              <w:jc w:val="center"/>
              <w:rPr>
                <w:rFonts w:ascii="宋体" w:hAnsi="宋体" w:cs="宋体"/>
                <w:color w:val="000000"/>
              </w:rPr>
            </w:pPr>
            <w:r>
              <w:rPr>
                <w:rFonts w:hint="eastAsia" w:ascii="宋体" w:hAnsi="宋体" w:cs="宋体"/>
                <w:color w:val="000000"/>
              </w:rPr>
              <w:t>2</w:t>
            </w:r>
          </w:p>
        </w:tc>
        <w:tc>
          <w:tcPr>
            <w:tcW w:w="2521" w:type="dxa"/>
            <w:noWrap w:val="0"/>
            <w:vAlign w:val="center"/>
          </w:tcPr>
          <w:p w14:paraId="2A874043">
            <w:pPr>
              <w:spacing w:line="440" w:lineRule="exact"/>
              <w:jc w:val="center"/>
              <w:rPr>
                <w:rFonts w:ascii="宋体" w:hAnsi="宋体" w:cs="宋体"/>
                <w:color w:val="000000"/>
              </w:rPr>
            </w:pPr>
            <w:r>
              <w:rPr>
                <w:rFonts w:hint="eastAsia" w:ascii="宋体" w:hAnsi="宋体" w:cs="宋体"/>
                <w:color w:val="000000"/>
              </w:rPr>
              <w:t>项目编号</w:t>
            </w:r>
          </w:p>
        </w:tc>
        <w:tc>
          <w:tcPr>
            <w:tcW w:w="5589" w:type="dxa"/>
            <w:noWrap w:val="0"/>
            <w:vAlign w:val="center"/>
          </w:tcPr>
          <w:p w14:paraId="48526E8F">
            <w:pPr>
              <w:spacing w:line="440" w:lineRule="exact"/>
              <w:jc w:val="center"/>
              <w:rPr>
                <w:rFonts w:hint="eastAsia" w:ascii="宋体" w:hAnsi="宋体" w:eastAsia="宋体" w:cs="宋体"/>
                <w:color w:val="000000"/>
                <w:lang w:eastAsia="zh-CN"/>
              </w:rPr>
            </w:pPr>
          </w:p>
        </w:tc>
      </w:tr>
      <w:tr w14:paraId="53396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noWrap w:val="0"/>
            <w:vAlign w:val="center"/>
          </w:tcPr>
          <w:p w14:paraId="1D32EAA8">
            <w:pPr>
              <w:spacing w:line="440" w:lineRule="exact"/>
              <w:jc w:val="center"/>
              <w:rPr>
                <w:rFonts w:ascii="宋体" w:hAnsi="宋体" w:cs="宋体"/>
                <w:color w:val="000000"/>
              </w:rPr>
            </w:pPr>
            <w:r>
              <w:rPr>
                <w:rFonts w:hint="eastAsia" w:ascii="宋体" w:hAnsi="宋体" w:cs="宋体"/>
                <w:color w:val="000000"/>
              </w:rPr>
              <w:t>3</w:t>
            </w:r>
          </w:p>
        </w:tc>
        <w:tc>
          <w:tcPr>
            <w:tcW w:w="2521" w:type="dxa"/>
            <w:noWrap w:val="0"/>
            <w:vAlign w:val="center"/>
          </w:tcPr>
          <w:p w14:paraId="3B00A745">
            <w:pPr>
              <w:spacing w:line="440" w:lineRule="exact"/>
              <w:jc w:val="center"/>
              <w:rPr>
                <w:rFonts w:ascii="宋体" w:hAnsi="宋体" w:cs="宋体"/>
                <w:color w:val="000000"/>
              </w:rPr>
            </w:pPr>
            <w:r>
              <w:rPr>
                <w:rFonts w:hint="eastAsia" w:ascii="宋体" w:hAnsi="宋体" w:cs="宋体"/>
                <w:color w:val="000000"/>
              </w:rPr>
              <w:t>投标总报价</w:t>
            </w:r>
          </w:p>
        </w:tc>
        <w:tc>
          <w:tcPr>
            <w:tcW w:w="5589" w:type="dxa"/>
            <w:noWrap w:val="0"/>
            <w:vAlign w:val="center"/>
          </w:tcPr>
          <w:p w14:paraId="0ADFA231">
            <w:pPr>
              <w:spacing w:line="440" w:lineRule="exact"/>
              <w:jc w:val="center"/>
              <w:rPr>
                <w:rFonts w:ascii="宋体" w:hAnsi="宋体" w:cs="宋体"/>
              </w:rPr>
            </w:pPr>
            <w:r>
              <w:rPr>
                <w:rFonts w:hint="eastAsia" w:ascii="宋体" w:hAnsi="宋体" w:cs="宋体"/>
              </w:rPr>
              <w:t>以苏采云系统中提交的最终报价为准</w:t>
            </w:r>
          </w:p>
        </w:tc>
      </w:tr>
      <w:tr w14:paraId="090CA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noWrap w:val="0"/>
            <w:vAlign w:val="center"/>
          </w:tcPr>
          <w:p w14:paraId="33AE4E63">
            <w:pPr>
              <w:spacing w:line="440" w:lineRule="exact"/>
              <w:jc w:val="center"/>
              <w:rPr>
                <w:rFonts w:ascii="宋体" w:hAnsi="宋体" w:cs="宋体"/>
                <w:color w:val="000000"/>
              </w:rPr>
            </w:pPr>
            <w:r>
              <w:rPr>
                <w:rFonts w:hint="eastAsia" w:ascii="宋体" w:hAnsi="宋体" w:cs="宋体"/>
                <w:color w:val="000000"/>
              </w:rPr>
              <w:t>4</w:t>
            </w:r>
          </w:p>
        </w:tc>
        <w:tc>
          <w:tcPr>
            <w:tcW w:w="2521" w:type="dxa"/>
            <w:noWrap w:val="0"/>
            <w:vAlign w:val="center"/>
          </w:tcPr>
          <w:p w14:paraId="26026F34">
            <w:pPr>
              <w:spacing w:line="440" w:lineRule="exact"/>
              <w:jc w:val="center"/>
              <w:rPr>
                <w:rFonts w:ascii="宋体" w:hAnsi="宋体" w:cs="宋体"/>
                <w:color w:val="000000"/>
              </w:rPr>
            </w:pPr>
            <w:r>
              <w:rPr>
                <w:rFonts w:hint="eastAsia" w:ascii="宋体" w:hAnsi="宋体" w:cs="宋体"/>
                <w:color w:val="000000"/>
              </w:rPr>
              <w:t>拟派项目负责人</w:t>
            </w:r>
          </w:p>
        </w:tc>
        <w:tc>
          <w:tcPr>
            <w:tcW w:w="5589" w:type="dxa"/>
            <w:noWrap w:val="0"/>
            <w:vAlign w:val="center"/>
          </w:tcPr>
          <w:p w14:paraId="3E53B117">
            <w:pPr>
              <w:spacing w:line="440" w:lineRule="exact"/>
              <w:jc w:val="center"/>
              <w:rPr>
                <w:rFonts w:ascii="宋体" w:hAnsi="宋体" w:cs="宋体"/>
                <w:color w:val="000000"/>
              </w:rPr>
            </w:pPr>
            <w:r>
              <w:rPr>
                <w:rFonts w:hint="eastAsia" w:ascii="宋体" w:hAnsi="宋体" w:cs="宋体"/>
                <w:color w:val="000000"/>
              </w:rPr>
              <w:t>姓名：</w:t>
            </w:r>
          </w:p>
        </w:tc>
      </w:tr>
      <w:tr w14:paraId="6D1A4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noWrap w:val="0"/>
            <w:vAlign w:val="center"/>
          </w:tcPr>
          <w:p w14:paraId="28733BA5">
            <w:pPr>
              <w:spacing w:line="440" w:lineRule="exact"/>
              <w:jc w:val="center"/>
              <w:rPr>
                <w:rFonts w:ascii="宋体" w:hAnsi="宋体" w:cs="宋体"/>
                <w:color w:val="000000"/>
              </w:rPr>
            </w:pPr>
            <w:r>
              <w:rPr>
                <w:rFonts w:hint="eastAsia" w:ascii="宋体" w:hAnsi="宋体" w:cs="宋体"/>
                <w:color w:val="000000"/>
              </w:rPr>
              <w:t>5</w:t>
            </w:r>
          </w:p>
        </w:tc>
        <w:tc>
          <w:tcPr>
            <w:tcW w:w="2521" w:type="dxa"/>
            <w:noWrap w:val="0"/>
            <w:vAlign w:val="center"/>
          </w:tcPr>
          <w:p w14:paraId="0868E494">
            <w:pPr>
              <w:spacing w:line="440" w:lineRule="exact"/>
              <w:jc w:val="center"/>
              <w:rPr>
                <w:rFonts w:ascii="宋体" w:hAnsi="宋体" w:cs="宋体"/>
                <w:color w:val="000000"/>
              </w:rPr>
            </w:pPr>
            <w:r>
              <w:rPr>
                <w:rFonts w:hint="eastAsia" w:ascii="宋体" w:hAnsi="宋体" w:cs="宋体"/>
              </w:rPr>
              <w:t>合同履行期限</w:t>
            </w:r>
          </w:p>
        </w:tc>
        <w:tc>
          <w:tcPr>
            <w:tcW w:w="5589" w:type="dxa"/>
            <w:noWrap w:val="0"/>
            <w:vAlign w:val="center"/>
          </w:tcPr>
          <w:p w14:paraId="414F35F7">
            <w:pPr>
              <w:spacing w:line="440" w:lineRule="exact"/>
              <w:jc w:val="center"/>
              <w:rPr>
                <w:rFonts w:ascii="宋体" w:hAnsi="宋体" w:eastAsia="宋体" w:cs="宋体"/>
                <w:color w:val="000000"/>
                <w:lang w:val="en-US" w:eastAsia="zh-CN"/>
              </w:rPr>
            </w:pPr>
            <w:r>
              <w:rPr>
                <w:rFonts w:hint="eastAsia" w:ascii="宋体" w:hAnsi="宋体" w:cs="宋体"/>
                <w:color w:val="000000"/>
                <w:highlight w:val="none"/>
                <w:lang w:val="en-US" w:eastAsia="zh-CN"/>
              </w:rPr>
              <w:t xml:space="preserve">  </w:t>
            </w:r>
            <w:r>
              <w:rPr>
                <w:rFonts w:hint="eastAsia" w:ascii="宋体" w:hAnsi="宋体" w:cs="宋体"/>
                <w:color w:val="000000"/>
                <w:lang w:val="en-US" w:eastAsia="zh-CN"/>
              </w:rPr>
              <w:t>日历天</w:t>
            </w:r>
          </w:p>
        </w:tc>
      </w:tr>
      <w:tr w14:paraId="0273C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noWrap w:val="0"/>
            <w:vAlign w:val="center"/>
          </w:tcPr>
          <w:p w14:paraId="660FA5FD">
            <w:pPr>
              <w:spacing w:line="440" w:lineRule="exact"/>
              <w:jc w:val="center"/>
              <w:rPr>
                <w:rFonts w:ascii="宋体" w:hAnsi="宋体" w:cs="宋体"/>
                <w:color w:val="000000"/>
              </w:rPr>
            </w:pPr>
            <w:r>
              <w:rPr>
                <w:rFonts w:hint="eastAsia" w:ascii="宋体" w:hAnsi="宋体" w:cs="宋体"/>
                <w:color w:val="000000"/>
              </w:rPr>
              <w:t>6</w:t>
            </w:r>
          </w:p>
        </w:tc>
        <w:tc>
          <w:tcPr>
            <w:tcW w:w="2521" w:type="dxa"/>
            <w:noWrap w:val="0"/>
            <w:vAlign w:val="center"/>
          </w:tcPr>
          <w:p w14:paraId="7D49A0A1">
            <w:pPr>
              <w:spacing w:line="440" w:lineRule="exact"/>
              <w:jc w:val="center"/>
              <w:rPr>
                <w:rFonts w:ascii="宋体" w:hAnsi="宋体" w:cs="宋体"/>
              </w:rPr>
            </w:pPr>
            <w:r>
              <w:rPr>
                <w:rFonts w:hint="eastAsia" w:ascii="宋体" w:hAnsi="宋体" w:cs="宋体"/>
              </w:rPr>
              <w:t>质量标准</w:t>
            </w:r>
          </w:p>
        </w:tc>
        <w:tc>
          <w:tcPr>
            <w:tcW w:w="5589" w:type="dxa"/>
            <w:noWrap w:val="0"/>
            <w:vAlign w:val="center"/>
          </w:tcPr>
          <w:p w14:paraId="76BA9452">
            <w:pPr>
              <w:spacing w:line="440" w:lineRule="exact"/>
              <w:jc w:val="center"/>
              <w:rPr>
                <w:rFonts w:hint="eastAsia" w:ascii="宋体" w:hAnsi="宋体" w:eastAsia="宋体" w:cs="宋体"/>
                <w:color w:val="000000"/>
                <w:lang w:val="en-US" w:eastAsia="zh-CN"/>
              </w:rPr>
            </w:pPr>
            <w:r>
              <w:rPr>
                <w:rFonts w:hint="eastAsia" w:ascii="宋体" w:hAnsi="宋体" w:cs="宋体"/>
                <w:color w:val="000000"/>
                <w:lang w:val="en-US" w:eastAsia="zh-CN"/>
              </w:rPr>
              <w:t>合格</w:t>
            </w:r>
          </w:p>
        </w:tc>
      </w:tr>
    </w:tbl>
    <w:p w14:paraId="3BB72E1D">
      <w:pPr>
        <w:spacing w:line="400" w:lineRule="exact"/>
        <w:ind w:firstLine="480"/>
        <w:jc w:val="left"/>
        <w:rPr>
          <w:rFonts w:ascii="宋体" w:hAnsi="宋体"/>
          <w:color w:val="000000"/>
        </w:rPr>
      </w:pPr>
    </w:p>
    <w:p w14:paraId="1EB93064">
      <w:pPr>
        <w:spacing w:line="400" w:lineRule="exact"/>
        <w:ind w:firstLine="480"/>
        <w:jc w:val="left"/>
        <w:rPr>
          <w:rFonts w:ascii="宋体" w:hAnsi="宋体"/>
          <w:color w:val="000000"/>
        </w:rPr>
      </w:pPr>
    </w:p>
    <w:p w14:paraId="225CF3D3">
      <w:pPr>
        <w:spacing w:line="400" w:lineRule="exact"/>
        <w:ind w:firstLine="480"/>
        <w:jc w:val="left"/>
        <w:rPr>
          <w:rFonts w:ascii="宋体" w:hAnsi="宋体"/>
          <w:color w:val="000000"/>
        </w:rPr>
      </w:pPr>
    </w:p>
    <w:p w14:paraId="349119F9">
      <w:pPr>
        <w:spacing w:line="400" w:lineRule="exact"/>
        <w:ind w:firstLine="480"/>
        <w:jc w:val="left"/>
        <w:rPr>
          <w:rFonts w:ascii="宋体" w:hAnsi="宋体"/>
          <w:color w:val="000000"/>
        </w:rPr>
      </w:pPr>
    </w:p>
    <w:p w14:paraId="08586522">
      <w:pPr>
        <w:spacing w:line="400" w:lineRule="exact"/>
        <w:ind w:firstLine="480"/>
        <w:jc w:val="left"/>
        <w:rPr>
          <w:rFonts w:ascii="宋体" w:hAnsi="宋体"/>
          <w:color w:val="000000"/>
        </w:rPr>
      </w:pPr>
      <w:r>
        <w:rPr>
          <w:rFonts w:hint="eastAsia" w:ascii="宋体" w:hAnsi="宋体"/>
          <w:color w:val="000000"/>
        </w:rPr>
        <w:t>供应商名称：        （盖章）</w:t>
      </w:r>
    </w:p>
    <w:p w14:paraId="61DF566E">
      <w:pPr>
        <w:spacing w:line="400" w:lineRule="exact"/>
        <w:ind w:firstLine="480"/>
        <w:jc w:val="left"/>
        <w:rPr>
          <w:rFonts w:ascii="宋体" w:hAnsi="宋体"/>
          <w:color w:val="000000"/>
        </w:rPr>
      </w:pPr>
    </w:p>
    <w:p w14:paraId="3A8911F8">
      <w:pPr>
        <w:spacing w:line="400" w:lineRule="exact"/>
        <w:ind w:firstLine="480"/>
        <w:jc w:val="left"/>
        <w:rPr>
          <w:rFonts w:ascii="宋体" w:hAnsi="宋体"/>
          <w:color w:val="000000"/>
        </w:rPr>
      </w:pPr>
      <w:r>
        <w:rPr>
          <w:rFonts w:hint="eastAsia" w:ascii="宋体" w:hAnsi="宋体"/>
          <w:color w:val="000000"/>
        </w:rPr>
        <w:t>法定代表人或授权代表（签字或盖章）：</w:t>
      </w:r>
    </w:p>
    <w:p w14:paraId="70B2EE16">
      <w:pPr>
        <w:spacing w:line="400" w:lineRule="exact"/>
        <w:ind w:firstLine="480"/>
        <w:jc w:val="left"/>
        <w:rPr>
          <w:rFonts w:ascii="宋体" w:hAnsi="宋体"/>
          <w:color w:val="000000"/>
        </w:rPr>
      </w:pPr>
    </w:p>
    <w:p w14:paraId="6F4BFC61">
      <w:pPr>
        <w:spacing w:line="400" w:lineRule="exact"/>
        <w:ind w:firstLine="480"/>
        <w:jc w:val="left"/>
        <w:rPr>
          <w:rFonts w:hint="eastAsia" w:ascii="宋体" w:hAnsi="宋体" w:eastAsia="宋体" w:cs="Times New Roman"/>
          <w:color w:val="000000"/>
        </w:rPr>
      </w:pPr>
      <w:r>
        <w:rPr>
          <w:rFonts w:hint="eastAsia" w:ascii="宋体" w:hAnsi="宋体" w:eastAsia="宋体" w:cs="Times New Roman"/>
          <w:color w:val="000000"/>
        </w:rPr>
        <w:t>日期：</w:t>
      </w:r>
    </w:p>
    <w:p w14:paraId="0B408A40">
      <w:pPr>
        <w:pStyle w:val="237"/>
        <w:spacing w:before="0" w:after="0" w:line="360" w:lineRule="auto"/>
        <w:rPr>
          <w:rFonts w:cs="宋体"/>
          <w:color w:val="000000"/>
          <w:sz w:val="24"/>
          <w:szCs w:val="24"/>
        </w:rPr>
      </w:pPr>
      <w:r>
        <w:rPr>
          <w:rFonts w:ascii="宋体" w:hAnsi="宋体"/>
          <w:b/>
          <w:bCs/>
          <w:szCs w:val="21"/>
          <w:highlight w:val="yellow"/>
        </w:rPr>
        <w:br w:type="page" w:clear="all"/>
      </w:r>
      <w:r>
        <w:rPr>
          <w:rFonts w:hint="eastAsia" w:cs="宋体"/>
          <w:color w:val="000000"/>
          <w:sz w:val="24"/>
          <w:szCs w:val="24"/>
        </w:rPr>
        <w:t>3.</w:t>
      </w:r>
      <w:r>
        <w:rPr>
          <w:rFonts w:hint="eastAsia"/>
          <w:color w:val="000000"/>
          <w:sz w:val="24"/>
          <w:szCs w:val="24"/>
        </w:rPr>
        <w:t>4</w:t>
      </w:r>
      <w:r>
        <w:rPr>
          <w:rFonts w:hint="eastAsia"/>
          <w:b/>
          <w:bCs/>
          <w:color w:val="000000"/>
          <w:sz w:val="24"/>
          <w:szCs w:val="24"/>
        </w:rPr>
        <w:t>投标报价明细表及分析说明（</w:t>
      </w:r>
      <w:r>
        <w:rPr>
          <w:rFonts w:hint="eastAsia"/>
          <w:bCs/>
          <w:color w:val="000000"/>
          <w:sz w:val="24"/>
          <w:szCs w:val="24"/>
        </w:rPr>
        <w:t>工程量清单</w:t>
      </w:r>
      <w:r>
        <w:rPr>
          <w:rFonts w:hint="eastAsia"/>
          <w:b/>
          <w:bCs/>
          <w:color w:val="000000"/>
          <w:sz w:val="24"/>
          <w:szCs w:val="24"/>
        </w:rPr>
        <w:t>）</w:t>
      </w:r>
    </w:p>
    <w:p w14:paraId="08541013">
      <w:pPr>
        <w:pStyle w:val="268"/>
        <w:spacing w:line="360" w:lineRule="auto"/>
        <w:ind w:firstLine="482"/>
        <w:rPr>
          <w:rFonts w:hint="eastAsia" w:hAnsi="宋体" w:cs="宋体"/>
          <w:b/>
          <w:bCs/>
          <w:color w:val="000000"/>
          <w:sz w:val="24"/>
          <w:szCs w:val="24"/>
        </w:rPr>
      </w:pPr>
    </w:p>
    <w:p w14:paraId="76BE0E87">
      <w:pPr>
        <w:pStyle w:val="268"/>
        <w:spacing w:line="360" w:lineRule="auto"/>
        <w:ind w:firstLine="482"/>
        <w:rPr>
          <w:rFonts w:ascii="Times New Roman" w:hAnsi="Times New Roman"/>
          <w:color w:val="000000"/>
          <w:sz w:val="24"/>
          <w:szCs w:val="24"/>
        </w:rPr>
      </w:pPr>
      <w:r>
        <w:rPr>
          <w:rFonts w:hint="eastAsia" w:hAnsi="宋体" w:cs="宋体"/>
          <w:b/>
          <w:bCs/>
          <w:color w:val="000000"/>
          <w:sz w:val="24"/>
          <w:szCs w:val="24"/>
        </w:rPr>
        <w:t>本项目无需供应商编制工程量清单。最终确定的承包价格按招标控制价总价下浮率同比下浮到各个子目形成综合单价，作为结算依据；其中，不可竞争费不参与下浮。</w:t>
      </w:r>
    </w:p>
    <w:p w14:paraId="3BD87899">
      <w:pPr>
        <w:pStyle w:val="268"/>
        <w:spacing w:before="156" w:line="360" w:lineRule="auto"/>
        <w:rPr>
          <w:rFonts w:ascii="Times New Roman" w:hAnsi="Times New Roman"/>
          <w:color w:val="000000"/>
          <w:sz w:val="24"/>
          <w:szCs w:val="24"/>
        </w:rPr>
      </w:pPr>
    </w:p>
    <w:p w14:paraId="5F0537C4">
      <w:pPr>
        <w:pStyle w:val="268"/>
        <w:spacing w:before="156" w:line="360" w:lineRule="auto"/>
        <w:rPr>
          <w:rFonts w:ascii="Times New Roman" w:hAnsi="Times New Roman"/>
          <w:color w:val="000000"/>
          <w:sz w:val="24"/>
          <w:szCs w:val="24"/>
        </w:rPr>
      </w:pPr>
    </w:p>
    <w:p w14:paraId="2859B96D">
      <w:pPr>
        <w:pStyle w:val="268"/>
        <w:spacing w:before="156" w:line="360" w:lineRule="auto"/>
        <w:rPr>
          <w:rFonts w:ascii="Times New Roman" w:hAnsi="Times New Roman"/>
          <w:color w:val="000000"/>
          <w:sz w:val="24"/>
          <w:szCs w:val="24"/>
        </w:rPr>
      </w:pPr>
    </w:p>
    <w:p w14:paraId="3F05DCCF">
      <w:pPr>
        <w:pStyle w:val="268"/>
        <w:spacing w:before="156" w:line="360" w:lineRule="auto"/>
        <w:rPr>
          <w:rFonts w:ascii="Times New Roman" w:hAnsi="Times New Roman"/>
          <w:color w:val="000000"/>
          <w:sz w:val="24"/>
          <w:szCs w:val="24"/>
        </w:rPr>
      </w:pPr>
      <w:r>
        <w:rPr>
          <w:rFonts w:hint="eastAsia" w:ascii="Times New Roman" w:hAnsi="Times New Roman"/>
          <w:color w:val="000000"/>
          <w:sz w:val="24"/>
          <w:szCs w:val="24"/>
        </w:rPr>
        <w:t>供应商名称(</w:t>
      </w:r>
      <w:r>
        <w:rPr>
          <w:rFonts w:hint="eastAsia" w:ascii="Times New Roman" w:hAnsi="Times New Roman"/>
          <w:color w:val="000000"/>
          <w:sz w:val="24"/>
          <w:szCs w:val="24"/>
          <w:lang w:val="en-US" w:eastAsia="zh-CN"/>
        </w:rPr>
        <w:t>加盖CA电子公章</w:t>
      </w:r>
      <w:r>
        <w:rPr>
          <w:rFonts w:hint="eastAsia" w:ascii="Times New Roman" w:hAnsi="Times New Roman"/>
          <w:color w:val="000000"/>
          <w:sz w:val="24"/>
          <w:szCs w:val="24"/>
        </w:rPr>
        <w:t>)：</w:t>
      </w:r>
    </w:p>
    <w:p w14:paraId="6EAB20D5">
      <w:pPr>
        <w:spacing w:before="156" w:line="360" w:lineRule="auto"/>
        <w:rPr>
          <w:color w:val="000000"/>
          <w:sz w:val="24"/>
          <w:szCs w:val="24"/>
          <w:u w:val="single"/>
        </w:rPr>
      </w:pPr>
      <w:r>
        <w:rPr>
          <w:rFonts w:hint="eastAsia"/>
          <w:color w:val="000000"/>
          <w:sz w:val="24"/>
          <w:szCs w:val="24"/>
        </w:rPr>
        <w:t>法定代表人或其授权的代理人(签字或签章)：</w:t>
      </w:r>
    </w:p>
    <w:p w14:paraId="1DB7920D">
      <w:pPr>
        <w:spacing w:before="156" w:line="360" w:lineRule="auto"/>
        <w:rPr>
          <w:color w:val="000000"/>
          <w:szCs w:val="21"/>
        </w:rPr>
      </w:pPr>
      <w:r>
        <w:rPr>
          <w:rFonts w:hint="eastAsia"/>
          <w:color w:val="000000"/>
          <w:sz w:val="24"/>
          <w:szCs w:val="24"/>
        </w:rPr>
        <w:t>日期：年月日</w:t>
      </w:r>
    </w:p>
    <w:p w14:paraId="5F37D155">
      <w:pPr>
        <w:rPr>
          <w:color w:val="000000"/>
        </w:rPr>
      </w:pPr>
    </w:p>
    <w:p w14:paraId="699BDB5C">
      <w:pPr>
        <w:pStyle w:val="242"/>
        <w:rPr>
          <w:color w:val="000000"/>
        </w:rPr>
      </w:pPr>
    </w:p>
    <w:p w14:paraId="7DCD2829">
      <w:pPr>
        <w:pStyle w:val="242"/>
        <w:rPr>
          <w:color w:val="000000"/>
        </w:rPr>
      </w:pPr>
    </w:p>
    <w:p w14:paraId="656B8330">
      <w:pPr>
        <w:pStyle w:val="237"/>
        <w:pageBreakBefore/>
        <w:spacing w:before="156" w:after="156" w:line="360" w:lineRule="exact"/>
        <w:jc w:val="left"/>
        <w:rPr>
          <w:bCs/>
          <w:color w:val="000000"/>
          <w:sz w:val="24"/>
          <w:szCs w:val="24"/>
        </w:rPr>
      </w:pPr>
      <w:r>
        <w:rPr>
          <w:rFonts w:hint="eastAsia"/>
          <w:color w:val="000000"/>
          <w:sz w:val="24"/>
          <w:szCs w:val="24"/>
        </w:rPr>
        <w:t>3.5</w:t>
      </w:r>
      <w:r>
        <w:rPr>
          <w:rFonts w:hint="eastAsia"/>
          <w:bCs/>
          <w:color w:val="000000"/>
          <w:sz w:val="24"/>
          <w:szCs w:val="24"/>
        </w:rPr>
        <w:t>资格及资信证明文件</w:t>
      </w:r>
    </w:p>
    <w:p w14:paraId="59180819">
      <w:pPr>
        <w:keepNext w:val="0"/>
        <w:keepLines w:val="0"/>
        <w:pageBreakBefore w:val="0"/>
        <w:widowControl w:val="0"/>
        <w:spacing w:line="360" w:lineRule="auto"/>
        <w:ind w:firstLine="600"/>
        <w:rPr>
          <w:bCs/>
          <w:color w:val="000000"/>
          <w:sz w:val="24"/>
          <w:szCs w:val="24"/>
        </w:rPr>
      </w:pPr>
      <w:r>
        <w:rPr>
          <w:rFonts w:hint="eastAsia"/>
          <w:bCs/>
          <w:color w:val="000000"/>
          <w:sz w:val="24"/>
          <w:szCs w:val="24"/>
        </w:rPr>
        <w:t>资格及资信证明文件应包括而不限于以下内容：</w:t>
      </w:r>
    </w:p>
    <w:p w14:paraId="28158722">
      <w:pPr>
        <w:pStyle w:val="242"/>
        <w:keepNext w:val="0"/>
        <w:keepLines w:val="0"/>
        <w:pageBreakBefore w:val="0"/>
        <w:widowControl w:val="0"/>
        <w:spacing w:line="360" w:lineRule="auto"/>
        <w:ind w:firstLine="480"/>
        <w:rPr>
          <w:bCs/>
          <w:color w:val="000000"/>
          <w:sz w:val="24"/>
          <w:szCs w:val="24"/>
        </w:rPr>
      </w:pPr>
      <w:r>
        <w:rPr>
          <w:rFonts w:hint="eastAsia"/>
          <w:bCs/>
          <w:color w:val="000000"/>
          <w:sz w:val="24"/>
          <w:szCs w:val="24"/>
        </w:rPr>
        <w:t>·法定代表人授权委托书（法定代表人参加投标的提供法定代表人身份证明书，格式附后）</w:t>
      </w:r>
    </w:p>
    <w:p w14:paraId="775F4744">
      <w:pPr>
        <w:pStyle w:val="242"/>
        <w:keepNext w:val="0"/>
        <w:keepLines w:val="0"/>
        <w:pageBreakBefore w:val="0"/>
        <w:widowControl w:val="0"/>
        <w:spacing w:line="360" w:lineRule="auto"/>
        <w:ind w:firstLine="480"/>
        <w:rPr>
          <w:bCs/>
          <w:color w:val="000000"/>
          <w:sz w:val="24"/>
          <w:szCs w:val="24"/>
        </w:rPr>
      </w:pPr>
      <w:r>
        <w:rPr>
          <w:rFonts w:hint="eastAsia"/>
          <w:bCs/>
          <w:color w:val="000000"/>
          <w:sz w:val="24"/>
          <w:szCs w:val="24"/>
        </w:rPr>
        <w:t>·供应商营业执照复印件加盖公章</w:t>
      </w:r>
    </w:p>
    <w:p w14:paraId="41AE272C">
      <w:pPr>
        <w:pStyle w:val="242"/>
        <w:keepNext w:val="0"/>
        <w:keepLines w:val="0"/>
        <w:pageBreakBefore w:val="0"/>
        <w:widowControl w:val="0"/>
        <w:spacing w:line="360" w:lineRule="auto"/>
        <w:ind w:firstLine="480"/>
        <w:rPr>
          <w:bCs/>
          <w:color w:val="000000"/>
          <w:sz w:val="24"/>
          <w:szCs w:val="24"/>
        </w:rPr>
      </w:pPr>
      <w:r>
        <w:rPr>
          <w:rFonts w:hint="eastAsia"/>
          <w:bCs/>
          <w:color w:val="000000"/>
          <w:sz w:val="24"/>
          <w:szCs w:val="24"/>
        </w:rPr>
        <w:t>·供应商资质证书复印件加盖公章</w:t>
      </w:r>
    </w:p>
    <w:p w14:paraId="5933D251">
      <w:pPr>
        <w:pStyle w:val="242"/>
        <w:keepNext w:val="0"/>
        <w:keepLines w:val="0"/>
        <w:pageBreakBefore w:val="0"/>
        <w:widowControl w:val="0"/>
        <w:spacing w:line="360" w:lineRule="auto"/>
        <w:ind w:firstLine="480"/>
        <w:rPr>
          <w:bCs/>
          <w:color w:val="000000"/>
          <w:sz w:val="24"/>
          <w:szCs w:val="24"/>
        </w:rPr>
      </w:pPr>
      <w:r>
        <w:rPr>
          <w:rFonts w:hint="eastAsia"/>
          <w:bCs/>
          <w:color w:val="000000"/>
          <w:sz w:val="24"/>
          <w:szCs w:val="24"/>
        </w:rPr>
        <w:t>·供应商安全生产许可证复印件加盖公章</w:t>
      </w:r>
    </w:p>
    <w:p w14:paraId="13618A15">
      <w:pPr>
        <w:pStyle w:val="242"/>
        <w:keepNext w:val="0"/>
        <w:keepLines w:val="0"/>
        <w:pageBreakBefore w:val="0"/>
        <w:widowControl w:val="0"/>
        <w:spacing w:line="360" w:lineRule="auto"/>
        <w:ind w:firstLine="480"/>
        <w:rPr>
          <w:bCs/>
          <w:color w:val="000000"/>
          <w:sz w:val="24"/>
          <w:szCs w:val="24"/>
        </w:rPr>
      </w:pPr>
      <w:r>
        <w:rPr>
          <w:rFonts w:hint="eastAsia"/>
          <w:bCs/>
          <w:color w:val="000000"/>
          <w:sz w:val="24"/>
          <w:szCs w:val="24"/>
        </w:rPr>
        <w:t>·拟派</w:t>
      </w:r>
      <w:r>
        <w:rPr>
          <w:rFonts w:hint="eastAsia"/>
          <w:bCs/>
          <w:color w:val="000000"/>
          <w:sz w:val="24"/>
          <w:szCs w:val="24"/>
          <w:lang w:eastAsia="zh-CN"/>
        </w:rPr>
        <w:t>项目负责人</w:t>
      </w:r>
      <w:r>
        <w:rPr>
          <w:rFonts w:hint="eastAsia"/>
          <w:bCs/>
          <w:color w:val="000000"/>
          <w:sz w:val="24"/>
          <w:szCs w:val="24"/>
        </w:rPr>
        <w:t>注册建造师证书复印件加盖公章</w:t>
      </w:r>
    </w:p>
    <w:p w14:paraId="4B8029CB">
      <w:pPr>
        <w:pStyle w:val="242"/>
        <w:keepNext w:val="0"/>
        <w:keepLines w:val="0"/>
        <w:pageBreakBefore w:val="0"/>
        <w:widowControl w:val="0"/>
        <w:spacing w:line="360" w:lineRule="auto"/>
        <w:ind w:firstLine="480"/>
        <w:rPr>
          <w:bCs/>
          <w:color w:val="000000"/>
          <w:sz w:val="24"/>
          <w:szCs w:val="24"/>
        </w:rPr>
      </w:pPr>
      <w:r>
        <w:rPr>
          <w:rFonts w:hint="eastAsia"/>
          <w:bCs/>
          <w:color w:val="000000"/>
          <w:sz w:val="24"/>
          <w:szCs w:val="24"/>
        </w:rPr>
        <w:t>·拟派</w:t>
      </w:r>
      <w:r>
        <w:rPr>
          <w:rFonts w:hint="eastAsia"/>
          <w:bCs/>
          <w:color w:val="000000"/>
          <w:sz w:val="24"/>
          <w:szCs w:val="24"/>
          <w:lang w:eastAsia="zh-CN"/>
        </w:rPr>
        <w:t>项目负责人</w:t>
      </w:r>
      <w:r>
        <w:rPr>
          <w:rFonts w:hint="eastAsia"/>
          <w:bCs/>
          <w:color w:val="000000"/>
          <w:sz w:val="24"/>
          <w:szCs w:val="24"/>
        </w:rPr>
        <w:t>安全生产考核合格证书复印件加盖公章</w:t>
      </w:r>
    </w:p>
    <w:p w14:paraId="0664E37F">
      <w:pPr>
        <w:pStyle w:val="242"/>
        <w:keepNext w:val="0"/>
        <w:keepLines w:val="0"/>
        <w:pageBreakBefore w:val="0"/>
        <w:widowControl w:val="0"/>
        <w:spacing w:line="360" w:lineRule="auto"/>
        <w:ind w:firstLine="480"/>
        <w:rPr>
          <w:bCs/>
          <w:color w:val="000000"/>
          <w:sz w:val="24"/>
          <w:szCs w:val="24"/>
        </w:rPr>
      </w:pPr>
      <w:r>
        <w:rPr>
          <w:rFonts w:hint="eastAsia"/>
          <w:bCs/>
          <w:color w:val="000000"/>
          <w:sz w:val="24"/>
          <w:szCs w:val="24"/>
        </w:rPr>
        <w:t>·供应商为</w:t>
      </w:r>
      <w:r>
        <w:rPr>
          <w:rFonts w:hint="eastAsia"/>
          <w:bCs/>
          <w:color w:val="000000"/>
          <w:sz w:val="24"/>
          <w:szCs w:val="24"/>
          <w:lang w:eastAsia="zh-CN"/>
        </w:rPr>
        <w:t>项目负责人</w:t>
      </w:r>
      <w:r>
        <w:rPr>
          <w:rFonts w:hint="eastAsia"/>
          <w:bCs/>
          <w:color w:val="000000"/>
          <w:sz w:val="24"/>
          <w:szCs w:val="24"/>
        </w:rPr>
        <w:t>缴纳养老保险的复印件加盖公章（具体要求见评审办法）</w:t>
      </w:r>
    </w:p>
    <w:p w14:paraId="1CB16A6D">
      <w:pPr>
        <w:pStyle w:val="242"/>
        <w:keepNext w:val="0"/>
        <w:keepLines w:val="0"/>
        <w:pageBreakBefore w:val="0"/>
        <w:widowControl w:val="0"/>
        <w:spacing w:line="360" w:lineRule="auto"/>
        <w:ind w:firstLine="480"/>
        <w:rPr>
          <w:bCs/>
          <w:color w:val="000000"/>
          <w:sz w:val="24"/>
          <w:szCs w:val="24"/>
        </w:rPr>
      </w:pPr>
      <w:r>
        <w:rPr>
          <w:rFonts w:hint="eastAsia"/>
          <w:bCs/>
          <w:color w:val="000000"/>
          <w:sz w:val="24"/>
          <w:szCs w:val="24"/>
        </w:rPr>
        <w:t>·《无在建承诺书》（格式附后）</w:t>
      </w:r>
    </w:p>
    <w:p w14:paraId="5AB95689">
      <w:pPr>
        <w:pStyle w:val="242"/>
        <w:keepNext w:val="0"/>
        <w:keepLines w:val="0"/>
        <w:pageBreakBefore w:val="0"/>
        <w:widowControl w:val="0"/>
        <w:spacing w:line="360" w:lineRule="auto"/>
        <w:ind w:firstLine="480"/>
        <w:rPr>
          <w:rFonts w:hint="eastAsia"/>
          <w:bCs/>
          <w:color w:val="000000"/>
          <w:sz w:val="24"/>
          <w:szCs w:val="24"/>
        </w:rPr>
      </w:pPr>
      <w:r>
        <w:rPr>
          <w:rFonts w:hint="eastAsia"/>
          <w:bCs/>
          <w:color w:val="000000"/>
          <w:sz w:val="24"/>
          <w:szCs w:val="24"/>
        </w:rPr>
        <w:t>·供应商基本资格条件承诺书</w:t>
      </w:r>
    </w:p>
    <w:p w14:paraId="49BA4BB0">
      <w:pPr>
        <w:keepNext w:val="0"/>
        <w:keepLines w:val="0"/>
        <w:pageBreakBefore w:val="0"/>
        <w:widowControl w:val="0"/>
        <w:spacing w:line="360" w:lineRule="auto"/>
        <w:ind w:firstLine="480"/>
        <w:rPr>
          <w:rFonts w:hint="eastAsia"/>
        </w:rPr>
      </w:pPr>
      <w:r>
        <w:rPr>
          <w:rFonts w:hint="eastAsia" w:ascii="宋体" w:hAnsi="宋体"/>
          <w:color w:val="000000"/>
          <w:sz w:val="24"/>
          <w:szCs w:val="24"/>
        </w:rPr>
        <w:t>·诚信投标承诺书</w:t>
      </w:r>
    </w:p>
    <w:p w14:paraId="2EE8AA22">
      <w:pPr>
        <w:pStyle w:val="242"/>
        <w:keepNext w:val="0"/>
        <w:keepLines w:val="0"/>
        <w:pageBreakBefore w:val="0"/>
        <w:widowControl w:val="0"/>
        <w:spacing w:line="360" w:lineRule="auto"/>
        <w:ind w:firstLine="480"/>
        <w:rPr>
          <w:rFonts w:hint="eastAsia"/>
          <w:bCs/>
          <w:color w:val="000000"/>
          <w:sz w:val="24"/>
          <w:szCs w:val="24"/>
        </w:rPr>
      </w:pPr>
      <w:r>
        <w:rPr>
          <w:rFonts w:hint="eastAsia"/>
          <w:bCs/>
          <w:color w:val="000000"/>
          <w:sz w:val="24"/>
          <w:szCs w:val="24"/>
        </w:rPr>
        <w:t>·供应商认为需要提供的其他资格及资信证明文件</w:t>
      </w:r>
    </w:p>
    <w:p w14:paraId="1C1EA214"/>
    <w:p w14:paraId="3DAF8830">
      <w:pPr>
        <w:pStyle w:val="242"/>
        <w:spacing w:line="400" w:lineRule="exact"/>
        <w:rPr>
          <w:bCs/>
          <w:color w:val="000000"/>
          <w:szCs w:val="24"/>
        </w:rPr>
      </w:pPr>
    </w:p>
    <w:p w14:paraId="4B25DA1F">
      <w:pPr>
        <w:pStyle w:val="242"/>
        <w:spacing w:line="400" w:lineRule="exact"/>
        <w:rPr>
          <w:bCs/>
          <w:color w:val="000000"/>
          <w:szCs w:val="24"/>
        </w:rPr>
      </w:pPr>
    </w:p>
    <w:p w14:paraId="7775C62F">
      <w:pPr>
        <w:pStyle w:val="242"/>
        <w:spacing w:line="400" w:lineRule="exact"/>
        <w:rPr>
          <w:bCs/>
          <w:color w:val="000000"/>
          <w:szCs w:val="24"/>
        </w:rPr>
      </w:pPr>
    </w:p>
    <w:p w14:paraId="6B9E001E">
      <w:pPr>
        <w:pStyle w:val="242"/>
        <w:spacing w:line="400" w:lineRule="exact"/>
        <w:rPr>
          <w:bCs/>
          <w:color w:val="000000"/>
          <w:szCs w:val="24"/>
        </w:rPr>
      </w:pPr>
    </w:p>
    <w:p w14:paraId="7E5336B2">
      <w:pPr>
        <w:pStyle w:val="242"/>
        <w:spacing w:line="400" w:lineRule="exact"/>
        <w:rPr>
          <w:bCs/>
          <w:color w:val="000000"/>
          <w:szCs w:val="24"/>
        </w:rPr>
      </w:pPr>
    </w:p>
    <w:p w14:paraId="508575A7">
      <w:pPr>
        <w:pStyle w:val="242"/>
        <w:spacing w:line="400" w:lineRule="exact"/>
        <w:rPr>
          <w:bCs/>
          <w:color w:val="000000"/>
          <w:szCs w:val="24"/>
        </w:rPr>
      </w:pPr>
    </w:p>
    <w:p w14:paraId="2BDDA19D"/>
    <w:p w14:paraId="55A531C5">
      <w:pPr>
        <w:pStyle w:val="242"/>
        <w:spacing w:line="400" w:lineRule="exact"/>
        <w:rPr>
          <w:bCs/>
          <w:color w:val="000000"/>
          <w:szCs w:val="24"/>
        </w:rPr>
      </w:pPr>
    </w:p>
    <w:p w14:paraId="2BBABBCB">
      <w:pPr>
        <w:pStyle w:val="242"/>
        <w:spacing w:line="400" w:lineRule="exact"/>
        <w:rPr>
          <w:bCs/>
          <w:color w:val="000000"/>
          <w:szCs w:val="24"/>
        </w:rPr>
      </w:pPr>
    </w:p>
    <w:p w14:paraId="128A4247">
      <w:pPr>
        <w:pStyle w:val="242"/>
        <w:spacing w:line="400" w:lineRule="exact"/>
        <w:rPr>
          <w:bCs/>
          <w:color w:val="000000"/>
          <w:szCs w:val="24"/>
        </w:rPr>
      </w:pPr>
    </w:p>
    <w:p w14:paraId="739F3B3E">
      <w:pPr>
        <w:pStyle w:val="242"/>
        <w:spacing w:line="400" w:lineRule="exact"/>
        <w:rPr>
          <w:bCs/>
          <w:color w:val="000000"/>
          <w:szCs w:val="24"/>
        </w:rPr>
      </w:pPr>
    </w:p>
    <w:p w14:paraId="3B514A42">
      <w:pPr>
        <w:pStyle w:val="242"/>
        <w:spacing w:line="400" w:lineRule="exact"/>
        <w:rPr>
          <w:bCs/>
          <w:color w:val="000000"/>
          <w:szCs w:val="24"/>
        </w:rPr>
      </w:pPr>
    </w:p>
    <w:p w14:paraId="205FA667">
      <w:pPr>
        <w:pStyle w:val="242"/>
        <w:spacing w:line="400" w:lineRule="exact"/>
        <w:rPr>
          <w:bCs/>
          <w:color w:val="000000"/>
          <w:szCs w:val="24"/>
        </w:rPr>
      </w:pPr>
    </w:p>
    <w:p w14:paraId="3F1AF7B1">
      <w:pPr>
        <w:pStyle w:val="242"/>
        <w:spacing w:line="400" w:lineRule="exact"/>
        <w:rPr>
          <w:bCs/>
          <w:color w:val="000000"/>
          <w:szCs w:val="24"/>
        </w:rPr>
      </w:pPr>
    </w:p>
    <w:p w14:paraId="0834B5D3">
      <w:pPr>
        <w:pStyle w:val="242"/>
        <w:spacing w:line="400" w:lineRule="exact"/>
        <w:rPr>
          <w:bCs/>
          <w:color w:val="000000"/>
          <w:szCs w:val="24"/>
        </w:rPr>
      </w:pPr>
    </w:p>
    <w:p w14:paraId="69B02008">
      <w:pPr>
        <w:pStyle w:val="242"/>
        <w:rPr>
          <w:color w:val="000000"/>
        </w:rPr>
      </w:pPr>
    </w:p>
    <w:p w14:paraId="4CC7D575">
      <w:pPr>
        <w:pStyle w:val="242"/>
        <w:rPr>
          <w:color w:val="000000"/>
        </w:rPr>
      </w:pPr>
    </w:p>
    <w:p w14:paraId="54D87657">
      <w:pPr>
        <w:spacing w:line="500" w:lineRule="exact"/>
        <w:jc w:val="center"/>
      </w:pPr>
      <w:r>
        <w:rPr>
          <w:rFonts w:hint="eastAsia"/>
          <w:color w:val="000000"/>
          <w:sz w:val="32"/>
          <w:szCs w:val="32"/>
        </w:rPr>
        <w:br w:type="page" w:clear="all"/>
      </w:r>
      <w:r>
        <w:rPr>
          <w:rFonts w:hint="eastAsia"/>
          <w:color w:val="000000"/>
          <w:sz w:val="32"/>
          <w:szCs w:val="32"/>
        </w:rPr>
        <w:t>法定代表人身份证明书</w:t>
      </w:r>
    </w:p>
    <w:p w14:paraId="2BBACDB0">
      <w:pPr>
        <w:spacing w:line="500" w:lineRule="exact"/>
      </w:pPr>
    </w:p>
    <w:p w14:paraId="170747F9">
      <w:pPr>
        <w:spacing w:line="720" w:lineRule="auto"/>
        <w:ind w:firstLine="612"/>
      </w:pPr>
      <w:r>
        <w:rPr>
          <w:rFonts w:hint="eastAsia"/>
          <w:color w:val="000000"/>
          <w:sz w:val="24"/>
          <w:szCs w:val="24"/>
        </w:rPr>
        <w:t>单位名称：</w:t>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p>
    <w:p w14:paraId="41FC3A2B">
      <w:pPr>
        <w:spacing w:line="720" w:lineRule="auto"/>
        <w:ind w:firstLine="610"/>
      </w:pPr>
      <w:r>
        <w:rPr>
          <w:rFonts w:hint="eastAsia"/>
          <w:color w:val="000000"/>
          <w:sz w:val="24"/>
          <w:szCs w:val="24"/>
        </w:rPr>
        <w:t>单位性质：</w:t>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p>
    <w:p w14:paraId="7997FBB4">
      <w:pPr>
        <w:spacing w:line="720" w:lineRule="auto"/>
        <w:ind w:firstLine="610"/>
      </w:pPr>
      <w:r>
        <w:rPr>
          <w:rFonts w:hint="eastAsia"/>
          <w:color w:val="000000"/>
          <w:sz w:val="24"/>
          <w:szCs w:val="24"/>
        </w:rPr>
        <w:t>地址：</w:t>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color w:val="000000"/>
          <w:sz w:val="24"/>
          <w:szCs w:val="24"/>
          <w:u w:val="single"/>
        </w:rPr>
        <w:t xml:space="preserve">       </w:t>
      </w:r>
      <w:r>
        <w:rPr>
          <w:rFonts w:hint="eastAsia"/>
          <w:color w:val="000000"/>
          <w:sz w:val="24"/>
          <w:szCs w:val="24"/>
          <w:u w:val="single"/>
        </w:rPr>
        <w:tab/>
      </w:r>
    </w:p>
    <w:p w14:paraId="4A283773">
      <w:pPr>
        <w:spacing w:line="720" w:lineRule="auto"/>
        <w:ind w:firstLine="610"/>
      </w:pPr>
      <w:r>
        <w:rPr>
          <w:rFonts w:hint="eastAsia"/>
          <w:color w:val="000000"/>
          <w:sz w:val="24"/>
          <w:szCs w:val="24"/>
        </w:rPr>
        <w:t xml:space="preserve">成立时间： </w:t>
      </w:r>
      <w:r>
        <w:rPr>
          <w:color w:val="000000"/>
          <w:sz w:val="24"/>
          <w:szCs w:val="24"/>
        </w:rPr>
        <w:t xml:space="preserve">  </w:t>
      </w:r>
      <w:r>
        <w:rPr>
          <w:rFonts w:hint="eastAsia"/>
          <w:color w:val="000000"/>
          <w:sz w:val="24"/>
          <w:szCs w:val="24"/>
        </w:rPr>
        <w:t xml:space="preserve">年 </w:t>
      </w:r>
      <w:r>
        <w:rPr>
          <w:color w:val="000000"/>
          <w:sz w:val="24"/>
          <w:szCs w:val="24"/>
        </w:rPr>
        <w:t xml:space="preserve">  </w:t>
      </w:r>
      <w:r>
        <w:rPr>
          <w:rFonts w:hint="eastAsia"/>
          <w:color w:val="000000"/>
          <w:sz w:val="24"/>
          <w:szCs w:val="24"/>
        </w:rPr>
        <w:t xml:space="preserve">月 </w:t>
      </w:r>
      <w:r>
        <w:rPr>
          <w:color w:val="000000"/>
          <w:sz w:val="24"/>
          <w:szCs w:val="24"/>
        </w:rPr>
        <w:t xml:space="preserve"> </w:t>
      </w:r>
      <w:r>
        <w:rPr>
          <w:rFonts w:hint="eastAsia"/>
          <w:color w:val="000000"/>
          <w:sz w:val="24"/>
          <w:szCs w:val="24"/>
        </w:rPr>
        <w:t>日</w:t>
      </w:r>
    </w:p>
    <w:p w14:paraId="35C76B2A">
      <w:pPr>
        <w:spacing w:line="720" w:lineRule="auto"/>
        <w:ind w:firstLine="610"/>
      </w:pPr>
      <w:r>
        <w:rPr>
          <w:rFonts w:hint="eastAsia"/>
          <w:color w:val="000000"/>
          <w:sz w:val="24"/>
          <w:szCs w:val="24"/>
        </w:rPr>
        <w:t>经营期限：</w:t>
      </w:r>
      <w:r>
        <w:rPr>
          <w:rFonts w:hint="eastAsia"/>
          <w:color w:val="000000"/>
          <w:sz w:val="24"/>
          <w:szCs w:val="24"/>
          <w:u w:val="single"/>
        </w:rPr>
        <w:tab/>
      </w:r>
      <w:r>
        <w:rPr>
          <w:rFonts w:hint="eastAsia"/>
          <w:color w:val="000000"/>
          <w:sz w:val="24"/>
          <w:szCs w:val="24"/>
          <w:u w:val="single"/>
        </w:rPr>
        <w:tab/>
      </w:r>
      <w:r>
        <w:rPr>
          <w:color w:val="000000"/>
          <w:sz w:val="24"/>
          <w:szCs w:val="24"/>
          <w:u w:val="single"/>
        </w:rPr>
        <w:t xml:space="preserve">                           </w:t>
      </w:r>
    </w:p>
    <w:p w14:paraId="0F2CD2E3">
      <w:pPr>
        <w:spacing w:line="720" w:lineRule="auto"/>
        <w:ind w:firstLine="610"/>
      </w:pPr>
      <w:r>
        <w:rPr>
          <w:rFonts w:hint="eastAsia"/>
          <w:color w:val="000000"/>
          <w:sz w:val="24"/>
          <w:szCs w:val="24"/>
        </w:rPr>
        <w:t>姓名：性别：年龄：</w:t>
      </w:r>
    </w:p>
    <w:p w14:paraId="0ACB84A2">
      <w:pPr>
        <w:spacing w:line="720" w:lineRule="auto"/>
        <w:ind w:firstLine="610"/>
      </w:pPr>
      <w:r>
        <w:rPr>
          <w:rFonts w:hint="eastAsia"/>
          <w:color w:val="000000"/>
          <w:sz w:val="24"/>
          <w:szCs w:val="24"/>
        </w:rPr>
        <w:t>身份证号码：</w:t>
      </w:r>
    </w:p>
    <w:p w14:paraId="4077FA60">
      <w:pPr>
        <w:spacing w:line="720" w:lineRule="auto"/>
        <w:ind w:firstLine="610"/>
      </w:pPr>
      <w:r>
        <w:rPr>
          <w:rFonts w:hint="eastAsia"/>
          <w:color w:val="000000"/>
          <w:sz w:val="24"/>
          <w:szCs w:val="24"/>
        </w:rPr>
        <w:t>系</w:t>
      </w:r>
      <w:r>
        <w:rPr>
          <w:rFonts w:hint="eastAsia"/>
          <w:color w:val="000000"/>
          <w:sz w:val="24"/>
          <w:szCs w:val="24"/>
          <w:u w:val="single"/>
        </w:rPr>
        <w:t>（供应商单位名称）</w:t>
      </w:r>
      <w:r>
        <w:rPr>
          <w:rFonts w:hint="eastAsia"/>
          <w:color w:val="000000"/>
          <w:sz w:val="24"/>
          <w:szCs w:val="24"/>
        </w:rPr>
        <w:t>的法定代表人。</w:t>
      </w:r>
    </w:p>
    <w:p w14:paraId="597E1038">
      <w:pPr>
        <w:spacing w:line="720" w:lineRule="auto"/>
        <w:ind w:firstLine="610"/>
      </w:pPr>
      <w:r>
        <w:rPr>
          <w:rFonts w:hint="eastAsia"/>
          <w:color w:val="000000"/>
          <w:sz w:val="24"/>
          <w:szCs w:val="24"/>
        </w:rPr>
        <w:t>特此证明。</w:t>
      </w:r>
    </w:p>
    <w:p w14:paraId="0D7206E1">
      <w:pPr>
        <w:tabs>
          <w:tab w:val="left" w:pos="720"/>
          <w:tab w:val="left" w:pos="900"/>
        </w:tabs>
        <w:spacing w:line="720" w:lineRule="auto"/>
        <w:ind w:firstLine="480"/>
      </w:pPr>
      <w:r>
        <w:rPr>
          <w:rFonts w:hint="eastAsia"/>
          <w:color w:val="000000"/>
          <w:sz w:val="24"/>
          <w:szCs w:val="24"/>
          <w:u w:val="single"/>
        </w:rPr>
        <w:t>（须附身份证复印件）</w:t>
      </w:r>
    </w:p>
    <w:p w14:paraId="4BAA36B6">
      <w:pPr>
        <w:tabs>
          <w:tab w:val="left" w:pos="720"/>
          <w:tab w:val="left" w:pos="900"/>
        </w:tabs>
        <w:spacing w:line="720" w:lineRule="auto"/>
        <w:ind w:firstLine="4440"/>
      </w:pPr>
      <w:r>
        <w:rPr>
          <w:rFonts w:hint="eastAsia"/>
          <w:color w:val="000000"/>
          <w:sz w:val="24"/>
          <w:szCs w:val="24"/>
        </w:rPr>
        <w:t>供应商：</w:t>
      </w:r>
      <w:r>
        <w:rPr>
          <w:rFonts w:hint="eastAsia"/>
          <w:color w:val="000000"/>
          <w:sz w:val="24"/>
          <w:szCs w:val="24"/>
          <w:u w:val="single"/>
        </w:rPr>
        <w:t>（</w:t>
      </w:r>
      <w:r>
        <w:rPr>
          <w:rFonts w:hint="eastAsia"/>
          <w:color w:val="000000"/>
          <w:sz w:val="24"/>
          <w:szCs w:val="24"/>
          <w:u w:val="single"/>
          <w:lang w:val="en-US" w:eastAsia="zh-CN"/>
        </w:rPr>
        <w:t>加盖CA电子公章</w:t>
      </w:r>
      <w:r>
        <w:rPr>
          <w:rFonts w:hint="eastAsia"/>
          <w:color w:val="000000"/>
          <w:sz w:val="24"/>
          <w:szCs w:val="24"/>
          <w:u w:val="single"/>
        </w:rPr>
        <w:t>）</w:t>
      </w:r>
    </w:p>
    <w:p w14:paraId="6A352529">
      <w:pPr>
        <w:tabs>
          <w:tab w:val="left" w:pos="720"/>
          <w:tab w:val="left" w:pos="900"/>
        </w:tabs>
        <w:spacing w:line="720" w:lineRule="auto"/>
        <w:ind w:firstLine="4440"/>
      </w:pPr>
      <w:r>
        <w:rPr>
          <w:rFonts w:hint="eastAsia"/>
          <w:color w:val="000000"/>
          <w:sz w:val="24"/>
          <w:szCs w:val="24"/>
        </w:rPr>
        <w:t>法定代表人签名或盖章</w:t>
      </w:r>
      <w:r>
        <w:rPr>
          <w:rFonts w:hint="eastAsia"/>
          <w:color w:val="000000"/>
          <w:sz w:val="24"/>
          <w:szCs w:val="24"/>
          <w:u w:val="single"/>
        </w:rPr>
        <w:t>：</w:t>
      </w:r>
    </w:p>
    <w:p w14:paraId="4756C9C8">
      <w:pPr>
        <w:tabs>
          <w:tab w:val="left" w:pos="720"/>
          <w:tab w:val="left" w:pos="900"/>
        </w:tabs>
        <w:spacing w:line="720" w:lineRule="auto"/>
        <w:ind w:firstLine="4440"/>
      </w:pPr>
      <w:r>
        <w:rPr>
          <w:rFonts w:hint="eastAsia"/>
          <w:color w:val="000000"/>
          <w:sz w:val="24"/>
          <w:szCs w:val="24"/>
        </w:rPr>
        <w:t xml:space="preserve">日期： </w:t>
      </w:r>
      <w:r>
        <w:rPr>
          <w:color w:val="000000"/>
          <w:sz w:val="24"/>
          <w:szCs w:val="24"/>
        </w:rPr>
        <w:t xml:space="preserve">  </w:t>
      </w:r>
      <w:r>
        <w:rPr>
          <w:rFonts w:hint="eastAsia"/>
          <w:color w:val="000000"/>
          <w:sz w:val="24"/>
          <w:szCs w:val="24"/>
        </w:rPr>
        <w:t xml:space="preserve">年 </w:t>
      </w:r>
      <w:r>
        <w:rPr>
          <w:color w:val="000000"/>
          <w:sz w:val="24"/>
          <w:szCs w:val="24"/>
        </w:rPr>
        <w:t xml:space="preserve"> </w:t>
      </w:r>
      <w:r>
        <w:rPr>
          <w:rFonts w:hint="eastAsia"/>
          <w:color w:val="000000"/>
          <w:sz w:val="24"/>
          <w:szCs w:val="24"/>
        </w:rPr>
        <w:t xml:space="preserve">月 </w:t>
      </w:r>
      <w:r>
        <w:rPr>
          <w:color w:val="000000"/>
          <w:sz w:val="24"/>
          <w:szCs w:val="24"/>
        </w:rPr>
        <w:t xml:space="preserve"> </w:t>
      </w:r>
      <w:r>
        <w:rPr>
          <w:rFonts w:hint="eastAsia"/>
          <w:color w:val="000000"/>
          <w:sz w:val="24"/>
          <w:szCs w:val="24"/>
        </w:rPr>
        <w:t>日</w:t>
      </w:r>
    </w:p>
    <w:p w14:paraId="5DA8B018">
      <w:pPr>
        <w:spacing w:before="312" w:after="100" w:afterAutospacing="1" w:line="360" w:lineRule="auto"/>
        <w:jc w:val="center"/>
      </w:pPr>
      <w:r>
        <w:rPr>
          <w:rFonts w:hint="eastAsia"/>
          <w:color w:val="000000"/>
          <w:sz w:val="32"/>
          <w:szCs w:val="32"/>
        </w:rPr>
        <w:br w:type="page" w:clear="all"/>
      </w:r>
      <w:r>
        <w:rPr>
          <w:rFonts w:hint="eastAsia"/>
          <w:color w:val="000000"/>
          <w:sz w:val="32"/>
          <w:szCs w:val="32"/>
        </w:rPr>
        <w:t>授权委托书</w:t>
      </w:r>
    </w:p>
    <w:p w14:paraId="3ED2AB7C">
      <w:pPr>
        <w:spacing w:line="500" w:lineRule="exact"/>
        <w:ind w:firstLine="435"/>
      </w:pPr>
      <w:r>
        <w:rPr>
          <w:rFonts w:hint="eastAsia"/>
          <w:color w:val="000000"/>
          <w:sz w:val="24"/>
          <w:szCs w:val="24"/>
        </w:rPr>
        <w:t>委托人（供应商）：</w:t>
      </w:r>
    </w:p>
    <w:p w14:paraId="06E2AA56">
      <w:pPr>
        <w:spacing w:line="500" w:lineRule="exact"/>
        <w:ind w:firstLine="435"/>
      </w:pPr>
      <w:r>
        <w:rPr>
          <w:rFonts w:hint="eastAsia"/>
          <w:color w:val="000000"/>
          <w:sz w:val="24"/>
          <w:szCs w:val="24"/>
        </w:rPr>
        <w:t>地址：</w:t>
      </w:r>
    </w:p>
    <w:p w14:paraId="12F23123">
      <w:pPr>
        <w:spacing w:line="500" w:lineRule="exact"/>
        <w:ind w:firstLine="435"/>
      </w:pPr>
      <w:r>
        <w:rPr>
          <w:rFonts w:hint="eastAsia"/>
          <w:color w:val="000000"/>
          <w:sz w:val="24"/>
          <w:szCs w:val="24"/>
        </w:rPr>
        <w:t>法定代表人：</w:t>
      </w:r>
    </w:p>
    <w:p w14:paraId="18B891B2">
      <w:pPr>
        <w:spacing w:line="500" w:lineRule="exact"/>
        <w:ind w:firstLine="435"/>
      </w:pPr>
      <w:r>
        <w:rPr>
          <w:rFonts w:hint="eastAsia"/>
          <w:color w:val="000000"/>
          <w:sz w:val="24"/>
          <w:szCs w:val="24"/>
        </w:rPr>
        <w:t>受委托人：</w:t>
      </w:r>
    </w:p>
    <w:p w14:paraId="450D5EDC">
      <w:pPr>
        <w:spacing w:line="500" w:lineRule="exact"/>
        <w:ind w:firstLine="435"/>
      </w:pPr>
      <w:r>
        <w:rPr>
          <w:rFonts w:hint="eastAsia"/>
          <w:color w:val="000000"/>
          <w:sz w:val="24"/>
          <w:szCs w:val="24"/>
        </w:rPr>
        <w:t>受委托人身份证号码：</w:t>
      </w:r>
    </w:p>
    <w:p w14:paraId="35512AE8">
      <w:pPr>
        <w:spacing w:line="500" w:lineRule="exact"/>
        <w:ind w:firstLine="435"/>
      </w:pPr>
      <w:r>
        <w:rPr>
          <w:rFonts w:hint="eastAsia"/>
          <w:color w:val="000000"/>
          <w:sz w:val="24"/>
          <w:szCs w:val="24"/>
        </w:rPr>
        <w:t>受委托人电话：</w:t>
      </w:r>
    </w:p>
    <w:p w14:paraId="381FF601">
      <w:pPr>
        <w:spacing w:line="500" w:lineRule="exact"/>
        <w:ind w:firstLine="435"/>
      </w:pPr>
      <w:r>
        <w:rPr>
          <w:rFonts w:hint="eastAsia"/>
          <w:color w:val="000000"/>
          <w:sz w:val="24"/>
          <w:szCs w:val="24"/>
        </w:rPr>
        <w:t>现委托上述受委托人在</w:t>
      </w:r>
      <w:r>
        <w:rPr>
          <w:rFonts w:hint="eastAsia"/>
          <w:color w:val="000000"/>
          <w:sz w:val="24"/>
          <w:szCs w:val="24"/>
          <w:u w:val="single"/>
        </w:rPr>
        <w:t>（采购项目名称）</w:t>
      </w:r>
      <w:r>
        <w:rPr>
          <w:rFonts w:hint="eastAsia"/>
          <w:color w:val="000000"/>
          <w:sz w:val="24"/>
          <w:szCs w:val="24"/>
        </w:rPr>
        <w:t>招标投标活动中，作为委托人的授权委托人。</w:t>
      </w:r>
    </w:p>
    <w:p w14:paraId="35AAB75D">
      <w:pPr>
        <w:spacing w:line="500" w:lineRule="exact"/>
        <w:ind w:firstLine="435"/>
      </w:pPr>
      <w:r>
        <w:rPr>
          <w:rFonts w:hint="eastAsia"/>
          <w:color w:val="000000"/>
          <w:sz w:val="24"/>
          <w:szCs w:val="24"/>
        </w:rPr>
        <w:t>委托权限：领取竞争性磋商文件、与采购人（采购代理机构）接洽各项投标事宜，编制、签署、递交、澄清、说明、补正</w:t>
      </w:r>
      <w:r>
        <w:rPr>
          <w:rFonts w:hint="eastAsia"/>
          <w:color w:val="000000"/>
          <w:sz w:val="24"/>
          <w:szCs w:val="24"/>
          <w:lang w:eastAsia="zh-CN"/>
        </w:rPr>
        <w:t>响应文件</w:t>
      </w:r>
      <w:r>
        <w:rPr>
          <w:rFonts w:hint="eastAsia"/>
          <w:color w:val="000000"/>
          <w:sz w:val="24"/>
          <w:szCs w:val="24"/>
        </w:rPr>
        <w:t>，参加开标，签订合同和处理有关事宜等特别授权。受委托人联独立行使的委托权限，其法律后果由委托人承担。</w:t>
      </w:r>
    </w:p>
    <w:p w14:paraId="489FF21B">
      <w:pPr>
        <w:spacing w:line="500" w:lineRule="exact"/>
        <w:ind w:firstLine="480"/>
      </w:pPr>
      <w:r>
        <w:rPr>
          <w:rFonts w:hint="eastAsia"/>
          <w:color w:val="000000"/>
          <w:sz w:val="24"/>
          <w:szCs w:val="24"/>
        </w:rPr>
        <w:t>授权委托人无转委托权。采购人（采购代理机构）有权拒绝其他任何代表委托人行使的投标事宜，以及超出本授权范围的其他事宜。</w:t>
      </w:r>
    </w:p>
    <w:p w14:paraId="4071A303">
      <w:pPr>
        <w:spacing w:line="500" w:lineRule="exact"/>
        <w:ind w:firstLine="435"/>
      </w:pPr>
      <w:r>
        <w:rPr>
          <w:rFonts w:hint="eastAsia"/>
          <w:color w:val="000000"/>
          <w:sz w:val="24"/>
          <w:szCs w:val="24"/>
        </w:rPr>
        <w:t>委托期限自年月日起，至年月日止。</w:t>
      </w:r>
    </w:p>
    <w:p w14:paraId="76728CCC">
      <w:pPr>
        <w:spacing w:line="500" w:lineRule="exact"/>
        <w:ind w:firstLine="3290"/>
      </w:pPr>
    </w:p>
    <w:p w14:paraId="54EAC667">
      <w:pPr>
        <w:spacing w:line="500" w:lineRule="exact"/>
        <w:ind w:firstLine="3290"/>
      </w:pPr>
    </w:p>
    <w:p w14:paraId="0E358613">
      <w:pPr>
        <w:tabs>
          <w:tab w:val="left" w:pos="720"/>
          <w:tab w:val="left" w:pos="900"/>
        </w:tabs>
        <w:spacing w:line="500" w:lineRule="exact"/>
        <w:ind w:firstLine="480"/>
      </w:pPr>
      <w:r>
        <w:rPr>
          <w:rFonts w:hint="eastAsia"/>
          <w:color w:val="000000"/>
          <w:sz w:val="24"/>
          <w:szCs w:val="24"/>
          <w:u w:val="single"/>
        </w:rPr>
        <w:t>（须附法定代表人、受委托人身份证复印件）</w:t>
      </w:r>
    </w:p>
    <w:p w14:paraId="2D14E6BB">
      <w:pPr>
        <w:spacing w:line="500" w:lineRule="exact"/>
        <w:ind w:firstLine="3290"/>
      </w:pPr>
    </w:p>
    <w:p w14:paraId="2A7B6DDA">
      <w:pPr>
        <w:spacing w:line="500" w:lineRule="exact"/>
        <w:ind w:firstLine="3290"/>
      </w:pPr>
      <w:r>
        <w:rPr>
          <w:rFonts w:hint="eastAsia"/>
          <w:color w:val="000000"/>
          <w:sz w:val="24"/>
          <w:szCs w:val="24"/>
        </w:rPr>
        <w:t>委托人：（</w:t>
      </w:r>
      <w:r>
        <w:rPr>
          <w:rFonts w:hint="eastAsia"/>
          <w:color w:val="000000"/>
          <w:sz w:val="24"/>
          <w:szCs w:val="24"/>
          <w:lang w:val="en-US" w:eastAsia="zh-CN"/>
        </w:rPr>
        <w:t>加盖CA电子公章</w:t>
      </w:r>
      <w:r>
        <w:rPr>
          <w:rFonts w:hint="eastAsia"/>
          <w:color w:val="000000"/>
          <w:sz w:val="24"/>
          <w:szCs w:val="24"/>
        </w:rPr>
        <w:t>）</w:t>
      </w:r>
    </w:p>
    <w:p w14:paraId="58F5BF36">
      <w:pPr>
        <w:spacing w:line="500" w:lineRule="exact"/>
        <w:ind w:firstLine="3290"/>
      </w:pPr>
      <w:r>
        <w:rPr>
          <w:rFonts w:hint="eastAsia"/>
          <w:color w:val="000000"/>
          <w:sz w:val="24"/>
          <w:szCs w:val="24"/>
        </w:rPr>
        <w:t>法定代表人：（签字）</w:t>
      </w:r>
    </w:p>
    <w:p w14:paraId="7AFA9274">
      <w:pPr>
        <w:spacing w:line="500" w:lineRule="exact"/>
        <w:ind w:firstLine="3290"/>
      </w:pPr>
      <w:r>
        <w:rPr>
          <w:rFonts w:hint="eastAsia"/>
          <w:color w:val="000000"/>
          <w:sz w:val="24"/>
          <w:szCs w:val="24"/>
        </w:rPr>
        <w:t>受委托人：（签字）</w:t>
      </w:r>
    </w:p>
    <w:p w14:paraId="4207854D">
      <w:pPr>
        <w:spacing w:line="500" w:lineRule="exact"/>
        <w:jc w:val="right"/>
        <w:rPr>
          <w:rFonts w:ascii="Times New Roman" w:hAnsi="Times New Roman"/>
          <w:b/>
          <w:bCs/>
          <w:color w:val="000000"/>
          <w:sz w:val="24"/>
          <w:szCs w:val="24"/>
          <w:u w:val="single"/>
        </w:rPr>
      </w:pPr>
      <w:r>
        <w:rPr>
          <w:rFonts w:hint="eastAsia"/>
          <w:color w:val="000000"/>
          <w:sz w:val="24"/>
          <w:szCs w:val="24"/>
        </w:rPr>
        <w:t>年月日</w:t>
      </w:r>
    </w:p>
    <w:p w14:paraId="01A8A9C2">
      <w:pPr>
        <w:rPr>
          <w:rFonts w:hint="eastAsia"/>
          <w:b/>
          <w:bCs/>
          <w:color w:val="000000"/>
          <w:sz w:val="30"/>
          <w:szCs w:val="30"/>
        </w:rPr>
      </w:pPr>
      <w:r>
        <w:rPr>
          <w:rFonts w:hint="eastAsia"/>
          <w:b/>
          <w:bCs/>
          <w:color w:val="000000"/>
          <w:sz w:val="30"/>
          <w:szCs w:val="30"/>
        </w:rPr>
        <w:br w:type="page" w:clear="all"/>
      </w:r>
    </w:p>
    <w:p w14:paraId="6729056A">
      <w:pPr>
        <w:pStyle w:val="242"/>
        <w:jc w:val="center"/>
        <w:rPr>
          <w:rFonts w:hint="eastAsia" w:ascii="宋体" w:hAnsi="宋体" w:eastAsia="宋体" w:cs="宋体"/>
          <w:bCs/>
          <w:color w:val="000000"/>
          <w:sz w:val="30"/>
          <w:szCs w:val="30"/>
          <w:highlight w:val="none"/>
        </w:rPr>
      </w:pPr>
      <w:r>
        <w:rPr>
          <w:rFonts w:hint="eastAsia" w:ascii="宋体" w:hAnsi="宋体" w:eastAsia="宋体" w:cs="宋体"/>
          <w:b/>
          <w:bCs/>
          <w:color w:val="000000"/>
          <w:sz w:val="30"/>
          <w:szCs w:val="30"/>
          <w:highlight w:val="none"/>
        </w:rPr>
        <w:t>供应商基本资格条件承诺书</w:t>
      </w:r>
    </w:p>
    <w:p w14:paraId="273C8B36">
      <w:pPr>
        <w:pStyle w:val="242"/>
        <w:rPr>
          <w:rFonts w:hint="eastAsia" w:ascii="宋体" w:hAnsi="宋体" w:eastAsia="宋体" w:cs="宋体"/>
          <w:bCs/>
          <w:color w:val="000000"/>
          <w:highlight w:val="none"/>
        </w:rPr>
      </w:pPr>
    </w:p>
    <w:p w14:paraId="75A61746">
      <w:pPr>
        <w:shd w:val="clear" w:color="auto" w:fill="auto"/>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一、按照《政府采购法》第二十二条规定的供应商基本资格条件，我公司郑重承诺如下：</w:t>
      </w:r>
    </w:p>
    <w:p w14:paraId="538DBDCF">
      <w:pPr>
        <w:shd w:val="clear" w:color="auto" w:fill="auto"/>
        <w:spacing w:line="560" w:lineRule="exact"/>
        <w:ind w:firstLine="480"/>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rPr>
        <w:t>1.我公司具有</w:t>
      </w:r>
      <w:r>
        <w:rPr>
          <w:rFonts w:hint="eastAsia" w:ascii="宋体" w:hAnsi="宋体" w:eastAsia="宋体" w:cs="宋体"/>
          <w:sz w:val="24"/>
          <w:szCs w:val="24"/>
          <w:highlight w:val="none"/>
          <w:shd w:val="clear" w:color="auto" w:fill="FFFFFF"/>
        </w:rPr>
        <w:t>良好的商业信誉和健全的财务制度；</w:t>
      </w:r>
    </w:p>
    <w:p w14:paraId="0050CAE2">
      <w:pPr>
        <w:shd w:val="clear" w:color="auto" w:fill="auto"/>
        <w:spacing w:line="560" w:lineRule="exact"/>
        <w:ind w:firstLine="480"/>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2.我公司具有履行合同所必须的设备和专业技术能力；</w:t>
      </w:r>
    </w:p>
    <w:p w14:paraId="0461AF0B">
      <w:pPr>
        <w:shd w:val="clear" w:color="auto" w:fill="auto"/>
        <w:spacing w:line="560" w:lineRule="exact"/>
        <w:ind w:firstLine="480"/>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3.我公司具有依法缴纳税收和社会保障资金的良好记录；</w:t>
      </w:r>
    </w:p>
    <w:p w14:paraId="239D2ED8">
      <w:pPr>
        <w:shd w:val="clear" w:color="auto" w:fill="auto"/>
        <w:spacing w:line="560" w:lineRule="exact"/>
        <w:ind w:firstLine="480"/>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4.我公司参加政府采购活动前三年内，在经营活动中没有重大违法记录；</w:t>
      </w:r>
    </w:p>
    <w:p w14:paraId="2377AF3D">
      <w:pPr>
        <w:shd w:val="clear" w:color="auto" w:fill="auto"/>
        <w:spacing w:line="560" w:lineRule="exact"/>
        <w:ind w:firstLine="480"/>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hint="eastAsia" w:ascii="宋体" w:hAnsi="宋体" w:eastAsia="宋体" w:cs="宋体"/>
          <w:sz w:val="24"/>
          <w:szCs w:val="24"/>
          <w:highlight w:val="none"/>
        </w:rPr>
        <w:t>。</w:t>
      </w:r>
    </w:p>
    <w:p w14:paraId="42DADE5C">
      <w:pPr>
        <w:shd w:val="clear" w:color="auto" w:fill="auto"/>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rPr>
        <w:t>二、</w:t>
      </w:r>
      <w:r>
        <w:rPr>
          <w:rFonts w:hint="eastAsia" w:ascii="宋体" w:hAnsi="宋体" w:eastAsia="宋体" w:cs="宋体"/>
          <w:sz w:val="24"/>
          <w:szCs w:val="24"/>
          <w:highlight w:val="none"/>
        </w:rPr>
        <w:t>我公司承诺：在本次投标过程中，我公司不存在本项目采购文件第二章第1.4.3条所列情形之一。</w:t>
      </w:r>
    </w:p>
    <w:p w14:paraId="2001380B">
      <w:pPr>
        <w:shd w:val="clear" w:color="auto" w:fill="auto"/>
        <w:spacing w:before="120" w:line="560" w:lineRule="exact"/>
        <w:ind w:firstLine="3360"/>
        <w:rPr>
          <w:rFonts w:hint="eastAsia" w:ascii="宋体" w:hAnsi="宋体" w:eastAsia="宋体" w:cs="宋体"/>
          <w:sz w:val="24"/>
          <w:szCs w:val="24"/>
          <w:highlight w:val="none"/>
        </w:rPr>
      </w:pPr>
    </w:p>
    <w:p w14:paraId="649CCBD8">
      <w:pPr>
        <w:shd w:val="clear" w:color="auto" w:fill="auto"/>
        <w:spacing w:before="120" w:line="560" w:lineRule="exact"/>
        <w:ind w:firstLine="3360"/>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供应商名称(盖法人章)：</w:t>
      </w:r>
    </w:p>
    <w:p w14:paraId="06F7A2F9">
      <w:pPr>
        <w:shd w:val="clear" w:color="auto" w:fill="auto"/>
        <w:spacing w:before="120" w:line="560" w:lineRule="exact"/>
        <w:ind w:firstLine="3360"/>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法定代表人(签字或</w:t>
      </w:r>
      <w:r>
        <w:rPr>
          <w:rFonts w:hint="eastAsia" w:ascii="宋体" w:hAnsi="宋体" w:eastAsia="宋体" w:cs="宋体"/>
          <w:sz w:val="24"/>
          <w:szCs w:val="24"/>
          <w:highlight w:val="none"/>
          <w:lang w:eastAsia="zh-CN"/>
        </w:rPr>
        <w:t>盖</w:t>
      </w:r>
      <w:r>
        <w:rPr>
          <w:rFonts w:hint="eastAsia" w:ascii="宋体" w:hAnsi="宋体" w:eastAsia="宋体" w:cs="宋体"/>
          <w:sz w:val="24"/>
          <w:szCs w:val="24"/>
          <w:highlight w:val="none"/>
        </w:rPr>
        <w:t>章)：</w:t>
      </w:r>
    </w:p>
    <w:p w14:paraId="53094814">
      <w:pPr>
        <w:shd w:val="clear" w:color="auto" w:fill="auto"/>
        <w:spacing w:before="120" w:line="560" w:lineRule="exact"/>
        <w:ind w:firstLine="3360"/>
        <w:rPr>
          <w:color w:val="000000"/>
          <w:u w:val="single"/>
        </w:rPr>
      </w:pPr>
      <w:r>
        <w:rPr>
          <w:rFonts w:hint="eastAsia" w:ascii="宋体" w:hAnsi="宋体" w:eastAsia="宋体" w:cs="宋体"/>
          <w:sz w:val="24"/>
          <w:szCs w:val="24"/>
          <w:highlight w:val="none"/>
        </w:rPr>
        <w:t>日期：   年  月  日</w:t>
      </w:r>
    </w:p>
    <w:p w14:paraId="7F5D3E79">
      <w:pPr>
        <w:pStyle w:val="242"/>
        <w:rPr>
          <w:color w:val="000000"/>
        </w:rPr>
      </w:pPr>
    </w:p>
    <w:p w14:paraId="0C90F6CF">
      <w:pPr>
        <w:pStyle w:val="242"/>
        <w:rPr>
          <w:color w:val="000000"/>
        </w:rPr>
      </w:pPr>
    </w:p>
    <w:p w14:paraId="79F46BD0">
      <w:pPr>
        <w:pStyle w:val="242"/>
        <w:rPr>
          <w:color w:val="000000"/>
        </w:rPr>
      </w:pPr>
    </w:p>
    <w:p w14:paraId="00ED8073">
      <w:pPr>
        <w:pStyle w:val="242"/>
        <w:rPr>
          <w:color w:val="000000"/>
        </w:rPr>
      </w:pPr>
    </w:p>
    <w:p w14:paraId="4F218069">
      <w:pPr>
        <w:pStyle w:val="242"/>
        <w:rPr>
          <w:color w:val="000000"/>
        </w:rPr>
      </w:pPr>
    </w:p>
    <w:p w14:paraId="31AAADB4">
      <w:pPr>
        <w:pStyle w:val="242"/>
        <w:rPr>
          <w:color w:val="000000"/>
        </w:rPr>
      </w:pPr>
    </w:p>
    <w:p w14:paraId="4B66C42A">
      <w:pPr>
        <w:pStyle w:val="242"/>
        <w:rPr>
          <w:color w:val="000000"/>
        </w:rPr>
      </w:pPr>
    </w:p>
    <w:p w14:paraId="26F88512">
      <w:pPr>
        <w:pStyle w:val="242"/>
        <w:rPr>
          <w:color w:val="000000"/>
        </w:rPr>
      </w:pPr>
    </w:p>
    <w:p w14:paraId="4DD0902F">
      <w:pPr>
        <w:pStyle w:val="242"/>
        <w:rPr>
          <w:color w:val="000000"/>
        </w:rPr>
      </w:pPr>
    </w:p>
    <w:p w14:paraId="47DEFEFF">
      <w:pPr>
        <w:pStyle w:val="242"/>
        <w:rPr>
          <w:color w:val="000000"/>
        </w:rPr>
      </w:pPr>
    </w:p>
    <w:p w14:paraId="3BAA941B">
      <w:pPr>
        <w:pStyle w:val="242"/>
        <w:rPr>
          <w:color w:val="000000"/>
        </w:rPr>
      </w:pPr>
    </w:p>
    <w:p w14:paraId="2AFC8471">
      <w:pPr>
        <w:pStyle w:val="242"/>
        <w:rPr>
          <w:color w:val="000000"/>
        </w:rPr>
      </w:pPr>
    </w:p>
    <w:p w14:paraId="53F271DF">
      <w:pPr>
        <w:pStyle w:val="242"/>
        <w:rPr>
          <w:color w:val="000000"/>
        </w:rPr>
      </w:pPr>
    </w:p>
    <w:p w14:paraId="3A570AE6">
      <w:pPr>
        <w:pStyle w:val="242"/>
        <w:rPr>
          <w:color w:val="000000"/>
        </w:rPr>
      </w:pPr>
    </w:p>
    <w:p w14:paraId="03B758EA">
      <w:pPr>
        <w:spacing w:line="360" w:lineRule="auto"/>
        <w:jc w:val="center"/>
        <w:rPr>
          <w:rFonts w:ascii="宋体" w:hAnsi="宋体" w:eastAsia="宋体" w:cs="宋体"/>
          <w:b/>
          <w:color w:val="000000"/>
          <w:sz w:val="32"/>
          <w:szCs w:val="32"/>
          <w:lang w:val="en-US" w:eastAsia="zh-CN"/>
        </w:rPr>
      </w:pPr>
      <w:r>
        <w:rPr>
          <w:rFonts w:hint="eastAsia" w:ascii="宋体" w:hAnsi="宋体" w:cs="宋体"/>
          <w:b/>
          <w:color w:val="000000"/>
          <w:sz w:val="32"/>
          <w:szCs w:val="32"/>
        </w:rPr>
        <w:br w:type="page" w:clear="all"/>
      </w:r>
      <w:r>
        <w:rPr>
          <w:rFonts w:hint="eastAsia" w:ascii="宋体" w:hAnsi="宋体" w:cs="宋体"/>
          <w:b/>
          <w:color w:val="000000"/>
          <w:sz w:val="32"/>
          <w:szCs w:val="32"/>
          <w:lang w:eastAsia="zh-CN"/>
        </w:rPr>
        <w:t>项目负责人</w:t>
      </w:r>
      <w:r>
        <w:rPr>
          <w:rFonts w:hint="eastAsia" w:ascii="宋体" w:hAnsi="宋体" w:cs="宋体"/>
          <w:b/>
          <w:color w:val="000000"/>
          <w:sz w:val="32"/>
          <w:szCs w:val="32"/>
          <w:lang w:val="en-US" w:eastAsia="zh-CN"/>
        </w:rPr>
        <w:t>简历表</w:t>
      </w:r>
    </w:p>
    <w:p w14:paraId="6838AFA6">
      <w:pPr>
        <w:tabs>
          <w:tab w:val="left" w:pos="709"/>
        </w:tabs>
        <w:rPr>
          <w:rFonts w:ascii="宋体" w:hAnsi="宋体" w:cs="宋体"/>
          <w:color w:val="000000"/>
          <w:sz w:val="24"/>
        </w:rPr>
      </w:pPr>
    </w:p>
    <w:tbl>
      <w:tblPr>
        <w:tblStyle w:val="28"/>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86"/>
        <w:gridCol w:w="1079"/>
        <w:gridCol w:w="927"/>
        <w:gridCol w:w="1065"/>
        <w:gridCol w:w="1969"/>
        <w:gridCol w:w="161"/>
        <w:gridCol w:w="2135"/>
      </w:tblGrid>
      <w:tr w14:paraId="2FB930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jc w:val="center"/>
        </w:trPr>
        <w:tc>
          <w:tcPr>
            <w:tcW w:w="1186" w:type="dxa"/>
            <w:noWrap w:val="0"/>
            <w:vAlign w:val="center"/>
          </w:tcPr>
          <w:p w14:paraId="0AD756C3">
            <w:pPr>
              <w:spacing w:line="440" w:lineRule="exact"/>
              <w:jc w:val="center"/>
              <w:rPr>
                <w:rFonts w:ascii="宋体" w:hAnsi="宋体" w:cs="宋体"/>
                <w:color w:val="000000"/>
                <w:szCs w:val="21"/>
              </w:rPr>
            </w:pPr>
            <w:r>
              <w:rPr>
                <w:rFonts w:hint="eastAsia" w:ascii="宋体" w:hAnsi="宋体" w:cs="宋体"/>
                <w:color w:val="000000"/>
                <w:szCs w:val="21"/>
              </w:rPr>
              <w:t>姓名</w:t>
            </w:r>
          </w:p>
        </w:tc>
        <w:tc>
          <w:tcPr>
            <w:tcW w:w="1079" w:type="dxa"/>
            <w:noWrap w:val="0"/>
            <w:vAlign w:val="center"/>
          </w:tcPr>
          <w:p w14:paraId="2DFD53BB">
            <w:pPr>
              <w:spacing w:line="440" w:lineRule="exact"/>
              <w:jc w:val="center"/>
              <w:rPr>
                <w:rFonts w:ascii="宋体" w:hAnsi="宋体" w:cs="宋体"/>
                <w:color w:val="000000"/>
                <w:szCs w:val="21"/>
              </w:rPr>
            </w:pPr>
          </w:p>
        </w:tc>
        <w:tc>
          <w:tcPr>
            <w:tcW w:w="927" w:type="dxa"/>
            <w:noWrap w:val="0"/>
            <w:vAlign w:val="center"/>
          </w:tcPr>
          <w:p w14:paraId="4F58B52D">
            <w:pPr>
              <w:spacing w:line="440" w:lineRule="exact"/>
              <w:jc w:val="center"/>
              <w:rPr>
                <w:rFonts w:ascii="宋体" w:hAnsi="宋体" w:cs="宋体"/>
                <w:color w:val="000000"/>
                <w:szCs w:val="21"/>
              </w:rPr>
            </w:pPr>
            <w:r>
              <w:rPr>
                <w:rFonts w:hint="eastAsia" w:ascii="宋体" w:hAnsi="宋体" w:cs="宋体"/>
                <w:color w:val="000000"/>
                <w:szCs w:val="21"/>
              </w:rPr>
              <w:t>年龄</w:t>
            </w:r>
          </w:p>
        </w:tc>
        <w:tc>
          <w:tcPr>
            <w:tcW w:w="1065" w:type="dxa"/>
            <w:noWrap w:val="0"/>
            <w:vAlign w:val="center"/>
          </w:tcPr>
          <w:p w14:paraId="04FE8E5D">
            <w:pPr>
              <w:spacing w:line="440" w:lineRule="exact"/>
              <w:jc w:val="center"/>
              <w:rPr>
                <w:rFonts w:ascii="宋体" w:hAnsi="宋体" w:cs="宋体"/>
                <w:color w:val="000000"/>
                <w:szCs w:val="21"/>
              </w:rPr>
            </w:pPr>
          </w:p>
        </w:tc>
        <w:tc>
          <w:tcPr>
            <w:tcW w:w="2130" w:type="dxa"/>
            <w:gridSpan w:val="2"/>
            <w:noWrap w:val="0"/>
            <w:vAlign w:val="center"/>
          </w:tcPr>
          <w:p w14:paraId="06A45008">
            <w:pPr>
              <w:spacing w:line="440" w:lineRule="exact"/>
              <w:jc w:val="center"/>
              <w:rPr>
                <w:rFonts w:ascii="宋体" w:hAnsi="宋体" w:cs="宋体"/>
                <w:color w:val="000000"/>
                <w:szCs w:val="21"/>
              </w:rPr>
            </w:pPr>
            <w:r>
              <w:rPr>
                <w:rFonts w:hint="eastAsia" w:ascii="宋体" w:hAnsi="宋体" w:cs="宋体"/>
                <w:color w:val="000000"/>
                <w:szCs w:val="21"/>
              </w:rPr>
              <w:t>身份证号</w:t>
            </w:r>
          </w:p>
        </w:tc>
        <w:tc>
          <w:tcPr>
            <w:tcW w:w="2135" w:type="dxa"/>
            <w:noWrap w:val="0"/>
            <w:vAlign w:val="center"/>
          </w:tcPr>
          <w:p w14:paraId="10D19B73">
            <w:pPr>
              <w:spacing w:line="440" w:lineRule="exact"/>
              <w:jc w:val="center"/>
              <w:rPr>
                <w:rFonts w:ascii="宋体" w:hAnsi="宋体" w:cs="宋体"/>
                <w:color w:val="000000"/>
                <w:szCs w:val="21"/>
              </w:rPr>
            </w:pPr>
          </w:p>
        </w:tc>
      </w:tr>
      <w:tr w14:paraId="43124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86" w:type="dxa"/>
            <w:noWrap w:val="0"/>
            <w:vAlign w:val="center"/>
          </w:tcPr>
          <w:p w14:paraId="7CEB5462">
            <w:pPr>
              <w:spacing w:line="440" w:lineRule="exact"/>
              <w:jc w:val="center"/>
              <w:rPr>
                <w:rFonts w:ascii="宋体" w:hAnsi="宋体" w:cs="宋体"/>
                <w:color w:val="000000"/>
                <w:szCs w:val="21"/>
              </w:rPr>
            </w:pPr>
            <w:r>
              <w:rPr>
                <w:rFonts w:hint="eastAsia" w:ascii="宋体" w:hAnsi="宋体" w:cs="宋体"/>
                <w:color w:val="000000"/>
                <w:szCs w:val="21"/>
              </w:rPr>
              <w:t>学历</w:t>
            </w:r>
          </w:p>
        </w:tc>
        <w:tc>
          <w:tcPr>
            <w:tcW w:w="1079" w:type="dxa"/>
            <w:noWrap w:val="0"/>
            <w:vAlign w:val="center"/>
          </w:tcPr>
          <w:p w14:paraId="2404FDE6">
            <w:pPr>
              <w:spacing w:line="440" w:lineRule="exact"/>
              <w:jc w:val="center"/>
              <w:rPr>
                <w:rFonts w:ascii="宋体" w:hAnsi="宋体" w:cs="宋体"/>
                <w:color w:val="000000"/>
                <w:szCs w:val="21"/>
              </w:rPr>
            </w:pPr>
          </w:p>
        </w:tc>
        <w:tc>
          <w:tcPr>
            <w:tcW w:w="927" w:type="dxa"/>
            <w:noWrap w:val="0"/>
            <w:vAlign w:val="center"/>
          </w:tcPr>
          <w:p w14:paraId="12D60844">
            <w:pPr>
              <w:spacing w:line="440" w:lineRule="exact"/>
              <w:jc w:val="center"/>
              <w:rPr>
                <w:rFonts w:ascii="宋体" w:hAnsi="宋体" w:cs="宋体"/>
                <w:color w:val="000000"/>
                <w:szCs w:val="21"/>
              </w:rPr>
            </w:pPr>
            <w:r>
              <w:rPr>
                <w:rFonts w:hint="eastAsia" w:ascii="宋体" w:hAnsi="宋体" w:cs="宋体"/>
                <w:color w:val="000000"/>
                <w:szCs w:val="21"/>
              </w:rPr>
              <w:t>职称</w:t>
            </w:r>
          </w:p>
        </w:tc>
        <w:tc>
          <w:tcPr>
            <w:tcW w:w="1065" w:type="dxa"/>
            <w:noWrap w:val="0"/>
            <w:vAlign w:val="center"/>
          </w:tcPr>
          <w:p w14:paraId="45A554DB">
            <w:pPr>
              <w:spacing w:line="440" w:lineRule="exact"/>
              <w:jc w:val="center"/>
              <w:rPr>
                <w:rFonts w:ascii="宋体" w:hAnsi="宋体" w:cs="宋体"/>
                <w:color w:val="000000"/>
                <w:szCs w:val="21"/>
              </w:rPr>
            </w:pPr>
          </w:p>
        </w:tc>
        <w:tc>
          <w:tcPr>
            <w:tcW w:w="2130" w:type="dxa"/>
            <w:gridSpan w:val="2"/>
            <w:noWrap w:val="0"/>
            <w:vAlign w:val="center"/>
          </w:tcPr>
          <w:p w14:paraId="41D43B85">
            <w:pPr>
              <w:spacing w:line="440" w:lineRule="exact"/>
              <w:jc w:val="center"/>
              <w:rPr>
                <w:rFonts w:ascii="宋体" w:hAnsi="宋体" w:cs="宋体"/>
                <w:color w:val="000000"/>
                <w:szCs w:val="21"/>
              </w:rPr>
            </w:pPr>
            <w:r>
              <w:rPr>
                <w:rFonts w:hint="eastAsia" w:ascii="宋体" w:hAnsi="宋体" w:cs="宋体"/>
                <w:color w:val="000000"/>
                <w:szCs w:val="21"/>
              </w:rPr>
              <w:t>职务</w:t>
            </w:r>
          </w:p>
        </w:tc>
        <w:tc>
          <w:tcPr>
            <w:tcW w:w="2135" w:type="dxa"/>
            <w:noWrap w:val="0"/>
            <w:vAlign w:val="center"/>
          </w:tcPr>
          <w:p w14:paraId="74DE1EC8">
            <w:pPr>
              <w:spacing w:line="440" w:lineRule="exact"/>
              <w:jc w:val="center"/>
              <w:rPr>
                <w:rFonts w:ascii="宋体" w:hAnsi="宋体" w:cs="宋体"/>
                <w:color w:val="000000"/>
                <w:szCs w:val="21"/>
              </w:rPr>
            </w:pPr>
          </w:p>
        </w:tc>
      </w:tr>
      <w:tr w14:paraId="3DE9EE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92" w:type="dxa"/>
            <w:gridSpan w:val="3"/>
            <w:noWrap w:val="0"/>
            <w:vAlign w:val="center"/>
          </w:tcPr>
          <w:p w14:paraId="0E0B8B1C">
            <w:pPr>
              <w:spacing w:line="440" w:lineRule="exact"/>
              <w:jc w:val="center"/>
              <w:rPr>
                <w:rFonts w:ascii="宋体" w:hAnsi="宋体" w:cs="宋体"/>
                <w:color w:val="000000"/>
                <w:szCs w:val="21"/>
              </w:rPr>
            </w:pPr>
            <w:r>
              <w:rPr>
                <w:rFonts w:hint="eastAsia" w:ascii="宋体" w:hAnsi="宋体" w:cs="宋体"/>
                <w:color w:val="000000"/>
                <w:szCs w:val="21"/>
              </w:rPr>
              <w:t>注册建造师执业资格等级</w:t>
            </w:r>
          </w:p>
        </w:tc>
        <w:tc>
          <w:tcPr>
            <w:tcW w:w="1065" w:type="dxa"/>
            <w:noWrap w:val="0"/>
            <w:vAlign w:val="center"/>
          </w:tcPr>
          <w:p w14:paraId="6C4D8533">
            <w:pPr>
              <w:spacing w:line="440" w:lineRule="exact"/>
              <w:ind w:firstLine="420"/>
              <w:rPr>
                <w:rFonts w:ascii="宋体" w:hAnsi="宋体" w:cs="宋体"/>
                <w:color w:val="000000"/>
                <w:szCs w:val="21"/>
              </w:rPr>
            </w:pPr>
            <w:r>
              <w:rPr>
                <w:rFonts w:hint="eastAsia" w:ascii="宋体" w:hAnsi="宋体" w:cs="宋体"/>
                <w:color w:val="000000"/>
                <w:szCs w:val="21"/>
              </w:rPr>
              <w:t>级</w:t>
            </w:r>
          </w:p>
        </w:tc>
        <w:tc>
          <w:tcPr>
            <w:tcW w:w="2130" w:type="dxa"/>
            <w:gridSpan w:val="2"/>
            <w:noWrap w:val="0"/>
            <w:vAlign w:val="center"/>
          </w:tcPr>
          <w:p w14:paraId="6084E3DC">
            <w:pPr>
              <w:spacing w:line="440" w:lineRule="exact"/>
              <w:jc w:val="center"/>
              <w:rPr>
                <w:rFonts w:ascii="宋体" w:hAnsi="宋体" w:cs="宋体"/>
                <w:color w:val="000000"/>
                <w:szCs w:val="21"/>
              </w:rPr>
            </w:pPr>
            <w:r>
              <w:rPr>
                <w:rFonts w:hint="eastAsia" w:ascii="宋体" w:hAnsi="宋体" w:cs="宋体"/>
                <w:color w:val="000000"/>
                <w:szCs w:val="21"/>
              </w:rPr>
              <w:t>建造师专业</w:t>
            </w:r>
          </w:p>
        </w:tc>
        <w:tc>
          <w:tcPr>
            <w:tcW w:w="2135" w:type="dxa"/>
            <w:noWrap w:val="0"/>
            <w:vAlign w:val="center"/>
          </w:tcPr>
          <w:p w14:paraId="4B710E99">
            <w:pPr>
              <w:spacing w:line="440" w:lineRule="exact"/>
              <w:jc w:val="center"/>
              <w:rPr>
                <w:rFonts w:ascii="宋体" w:hAnsi="宋体" w:cs="宋体"/>
                <w:color w:val="000000"/>
                <w:szCs w:val="21"/>
              </w:rPr>
            </w:pPr>
          </w:p>
        </w:tc>
      </w:tr>
      <w:tr w14:paraId="056C8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92" w:type="dxa"/>
            <w:gridSpan w:val="3"/>
            <w:noWrap w:val="0"/>
            <w:vAlign w:val="center"/>
          </w:tcPr>
          <w:p w14:paraId="67B7976A">
            <w:pPr>
              <w:spacing w:line="440" w:lineRule="exact"/>
              <w:jc w:val="center"/>
              <w:rPr>
                <w:rFonts w:ascii="宋体" w:hAnsi="宋体" w:cs="宋体"/>
                <w:color w:val="000000"/>
                <w:szCs w:val="21"/>
              </w:rPr>
            </w:pPr>
            <w:r>
              <w:rPr>
                <w:rFonts w:hint="eastAsia" w:ascii="宋体" w:hAnsi="宋体" w:cs="宋体"/>
                <w:color w:val="000000"/>
                <w:szCs w:val="21"/>
              </w:rPr>
              <w:t>安全生产考核合格证书</w:t>
            </w:r>
          </w:p>
        </w:tc>
        <w:tc>
          <w:tcPr>
            <w:tcW w:w="5330" w:type="dxa"/>
            <w:gridSpan w:val="4"/>
            <w:noWrap w:val="0"/>
            <w:vAlign w:val="center"/>
          </w:tcPr>
          <w:p w14:paraId="34E78C82">
            <w:pPr>
              <w:spacing w:line="440" w:lineRule="exact"/>
              <w:rPr>
                <w:rFonts w:ascii="宋体" w:hAnsi="宋体" w:cs="宋体"/>
                <w:color w:val="000000"/>
                <w:szCs w:val="21"/>
              </w:rPr>
            </w:pPr>
          </w:p>
        </w:tc>
      </w:tr>
      <w:tr w14:paraId="0600C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86" w:type="dxa"/>
            <w:noWrap w:val="0"/>
            <w:vAlign w:val="center"/>
          </w:tcPr>
          <w:p w14:paraId="7F941B31">
            <w:pPr>
              <w:spacing w:line="440" w:lineRule="exact"/>
              <w:jc w:val="center"/>
              <w:rPr>
                <w:rFonts w:ascii="宋体" w:hAnsi="宋体" w:cs="宋体"/>
                <w:color w:val="000000"/>
                <w:szCs w:val="21"/>
              </w:rPr>
            </w:pPr>
            <w:r>
              <w:rPr>
                <w:rFonts w:hint="eastAsia" w:ascii="宋体" w:hAnsi="宋体" w:cs="宋体"/>
                <w:color w:val="000000"/>
                <w:szCs w:val="21"/>
              </w:rPr>
              <w:t>毕业学校</w:t>
            </w:r>
          </w:p>
        </w:tc>
        <w:tc>
          <w:tcPr>
            <w:tcW w:w="7336" w:type="dxa"/>
            <w:gridSpan w:val="6"/>
            <w:noWrap w:val="0"/>
            <w:vAlign w:val="top"/>
          </w:tcPr>
          <w:p w14:paraId="31B9F534">
            <w:pPr>
              <w:spacing w:line="440" w:lineRule="exact"/>
              <w:rPr>
                <w:rFonts w:ascii="宋体" w:hAnsi="宋体" w:cs="宋体"/>
                <w:color w:val="000000"/>
                <w:szCs w:val="21"/>
              </w:rPr>
            </w:pPr>
            <w:r>
              <w:rPr>
                <w:rFonts w:hint="eastAsia" w:ascii="宋体" w:hAnsi="宋体" w:cs="宋体"/>
                <w:color w:val="000000"/>
                <w:szCs w:val="21"/>
              </w:rPr>
              <w:t>年毕业于学校专业</w:t>
            </w:r>
          </w:p>
        </w:tc>
      </w:tr>
      <w:tr w14:paraId="570C0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22" w:type="dxa"/>
            <w:gridSpan w:val="7"/>
            <w:noWrap w:val="0"/>
            <w:vAlign w:val="center"/>
          </w:tcPr>
          <w:p w14:paraId="68274F8B">
            <w:pPr>
              <w:spacing w:line="440" w:lineRule="exact"/>
              <w:jc w:val="center"/>
              <w:rPr>
                <w:rFonts w:ascii="宋体" w:hAnsi="宋体" w:cs="宋体"/>
                <w:color w:val="000000"/>
                <w:szCs w:val="21"/>
              </w:rPr>
            </w:pPr>
            <w:r>
              <w:rPr>
                <w:rFonts w:hint="eastAsia" w:ascii="宋体" w:hAnsi="宋体" w:cs="宋体"/>
                <w:color w:val="000000"/>
                <w:szCs w:val="21"/>
              </w:rPr>
              <w:t>主要工作经历</w:t>
            </w:r>
          </w:p>
        </w:tc>
      </w:tr>
      <w:tr w14:paraId="1D762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186" w:type="dxa"/>
            <w:noWrap w:val="0"/>
            <w:vAlign w:val="center"/>
          </w:tcPr>
          <w:p w14:paraId="57A40CAE">
            <w:pPr>
              <w:spacing w:line="440" w:lineRule="exact"/>
              <w:jc w:val="center"/>
              <w:rPr>
                <w:rFonts w:ascii="宋体" w:hAnsi="宋体" w:cs="宋体"/>
                <w:color w:val="000000"/>
                <w:szCs w:val="21"/>
              </w:rPr>
            </w:pPr>
            <w:r>
              <w:rPr>
                <w:rFonts w:hint="eastAsia" w:ascii="宋体" w:hAnsi="宋体" w:cs="宋体"/>
                <w:color w:val="000000"/>
                <w:szCs w:val="21"/>
              </w:rPr>
              <w:t>时间</w:t>
            </w:r>
          </w:p>
        </w:tc>
        <w:tc>
          <w:tcPr>
            <w:tcW w:w="3071" w:type="dxa"/>
            <w:gridSpan w:val="3"/>
            <w:noWrap w:val="0"/>
            <w:vAlign w:val="center"/>
          </w:tcPr>
          <w:p w14:paraId="36409D76">
            <w:pPr>
              <w:spacing w:line="440" w:lineRule="exact"/>
              <w:jc w:val="center"/>
              <w:rPr>
                <w:rFonts w:ascii="宋体" w:hAnsi="宋体" w:cs="宋体"/>
                <w:color w:val="000000"/>
                <w:szCs w:val="21"/>
              </w:rPr>
            </w:pPr>
            <w:r>
              <w:rPr>
                <w:rFonts w:hint="eastAsia" w:ascii="宋体" w:hAnsi="宋体" w:cs="宋体"/>
                <w:color w:val="000000"/>
                <w:szCs w:val="21"/>
              </w:rPr>
              <w:t>参加过的类似项目名称</w:t>
            </w:r>
          </w:p>
        </w:tc>
        <w:tc>
          <w:tcPr>
            <w:tcW w:w="1969" w:type="dxa"/>
            <w:noWrap w:val="0"/>
            <w:vAlign w:val="center"/>
          </w:tcPr>
          <w:p w14:paraId="0CDB4268">
            <w:pPr>
              <w:spacing w:line="440" w:lineRule="exact"/>
              <w:jc w:val="center"/>
              <w:rPr>
                <w:rFonts w:ascii="宋体" w:hAnsi="宋体" w:cs="宋体"/>
                <w:color w:val="000000"/>
                <w:szCs w:val="21"/>
              </w:rPr>
            </w:pPr>
            <w:r>
              <w:rPr>
                <w:rFonts w:hint="eastAsia" w:ascii="宋体" w:hAnsi="宋体" w:cs="宋体"/>
                <w:color w:val="000000"/>
                <w:szCs w:val="21"/>
              </w:rPr>
              <w:t>工程概况说明</w:t>
            </w:r>
          </w:p>
        </w:tc>
        <w:tc>
          <w:tcPr>
            <w:tcW w:w="2296" w:type="dxa"/>
            <w:gridSpan w:val="2"/>
            <w:noWrap w:val="0"/>
            <w:vAlign w:val="center"/>
          </w:tcPr>
          <w:p w14:paraId="3C52CDB0">
            <w:pPr>
              <w:spacing w:line="440" w:lineRule="exact"/>
              <w:jc w:val="center"/>
              <w:rPr>
                <w:rFonts w:ascii="宋体" w:hAnsi="宋体" w:cs="宋体"/>
                <w:color w:val="000000"/>
                <w:szCs w:val="21"/>
              </w:rPr>
            </w:pPr>
            <w:r>
              <w:rPr>
                <w:rFonts w:hint="eastAsia" w:ascii="宋体" w:hAnsi="宋体" w:cs="宋体"/>
                <w:color w:val="000000"/>
                <w:szCs w:val="21"/>
              </w:rPr>
              <w:t>发包人及联系电话</w:t>
            </w:r>
          </w:p>
        </w:tc>
      </w:tr>
      <w:tr w14:paraId="794BE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top"/>
          </w:tcPr>
          <w:p w14:paraId="0A0EEFD1">
            <w:pPr>
              <w:spacing w:line="440" w:lineRule="exact"/>
              <w:rPr>
                <w:rFonts w:ascii="宋体" w:hAnsi="宋体" w:cs="宋体"/>
                <w:color w:val="000000"/>
                <w:szCs w:val="21"/>
              </w:rPr>
            </w:pPr>
          </w:p>
        </w:tc>
        <w:tc>
          <w:tcPr>
            <w:tcW w:w="3071" w:type="dxa"/>
            <w:gridSpan w:val="3"/>
            <w:noWrap w:val="0"/>
            <w:vAlign w:val="top"/>
          </w:tcPr>
          <w:p w14:paraId="59C7285A">
            <w:pPr>
              <w:spacing w:line="440" w:lineRule="exact"/>
              <w:rPr>
                <w:rFonts w:ascii="宋体" w:hAnsi="宋体" w:cs="宋体"/>
                <w:color w:val="000000"/>
                <w:szCs w:val="21"/>
              </w:rPr>
            </w:pPr>
          </w:p>
        </w:tc>
        <w:tc>
          <w:tcPr>
            <w:tcW w:w="1969" w:type="dxa"/>
            <w:noWrap w:val="0"/>
            <w:vAlign w:val="top"/>
          </w:tcPr>
          <w:p w14:paraId="3938681A">
            <w:pPr>
              <w:spacing w:line="440" w:lineRule="exact"/>
              <w:rPr>
                <w:rFonts w:ascii="宋体" w:hAnsi="宋体" w:cs="宋体"/>
                <w:color w:val="000000"/>
                <w:szCs w:val="21"/>
              </w:rPr>
            </w:pPr>
          </w:p>
        </w:tc>
        <w:tc>
          <w:tcPr>
            <w:tcW w:w="2296" w:type="dxa"/>
            <w:gridSpan w:val="2"/>
            <w:noWrap w:val="0"/>
            <w:vAlign w:val="top"/>
          </w:tcPr>
          <w:p w14:paraId="73CCAD2F">
            <w:pPr>
              <w:spacing w:line="440" w:lineRule="exact"/>
              <w:rPr>
                <w:rFonts w:ascii="宋体" w:hAnsi="宋体" w:cs="宋体"/>
                <w:color w:val="000000"/>
                <w:szCs w:val="21"/>
              </w:rPr>
            </w:pPr>
          </w:p>
        </w:tc>
      </w:tr>
      <w:tr w14:paraId="2F3B5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top"/>
          </w:tcPr>
          <w:p w14:paraId="77C92DDD">
            <w:pPr>
              <w:spacing w:line="440" w:lineRule="exact"/>
              <w:rPr>
                <w:rFonts w:ascii="宋体" w:hAnsi="宋体" w:cs="宋体"/>
                <w:color w:val="000000"/>
                <w:szCs w:val="21"/>
              </w:rPr>
            </w:pPr>
          </w:p>
        </w:tc>
        <w:tc>
          <w:tcPr>
            <w:tcW w:w="3071" w:type="dxa"/>
            <w:gridSpan w:val="3"/>
            <w:noWrap w:val="0"/>
            <w:vAlign w:val="top"/>
          </w:tcPr>
          <w:p w14:paraId="35CBD0E1">
            <w:pPr>
              <w:spacing w:line="440" w:lineRule="exact"/>
              <w:rPr>
                <w:rFonts w:ascii="宋体" w:hAnsi="宋体" w:cs="宋体"/>
                <w:color w:val="000000"/>
                <w:szCs w:val="21"/>
              </w:rPr>
            </w:pPr>
          </w:p>
        </w:tc>
        <w:tc>
          <w:tcPr>
            <w:tcW w:w="1969" w:type="dxa"/>
            <w:noWrap w:val="0"/>
            <w:vAlign w:val="top"/>
          </w:tcPr>
          <w:p w14:paraId="13F28F27">
            <w:pPr>
              <w:spacing w:line="440" w:lineRule="exact"/>
              <w:rPr>
                <w:rFonts w:ascii="宋体" w:hAnsi="宋体" w:cs="宋体"/>
                <w:color w:val="000000"/>
                <w:szCs w:val="21"/>
              </w:rPr>
            </w:pPr>
          </w:p>
        </w:tc>
        <w:tc>
          <w:tcPr>
            <w:tcW w:w="2296" w:type="dxa"/>
            <w:gridSpan w:val="2"/>
            <w:noWrap w:val="0"/>
            <w:vAlign w:val="top"/>
          </w:tcPr>
          <w:p w14:paraId="452618FC">
            <w:pPr>
              <w:spacing w:line="440" w:lineRule="exact"/>
              <w:rPr>
                <w:rFonts w:ascii="宋体" w:hAnsi="宋体" w:cs="宋体"/>
                <w:color w:val="000000"/>
                <w:szCs w:val="21"/>
              </w:rPr>
            </w:pPr>
          </w:p>
        </w:tc>
      </w:tr>
      <w:tr w14:paraId="4616F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top"/>
          </w:tcPr>
          <w:p w14:paraId="4D81CBA3">
            <w:pPr>
              <w:spacing w:line="440" w:lineRule="exact"/>
              <w:rPr>
                <w:rFonts w:ascii="宋体" w:hAnsi="宋体" w:cs="宋体"/>
                <w:color w:val="000000"/>
                <w:szCs w:val="21"/>
              </w:rPr>
            </w:pPr>
          </w:p>
        </w:tc>
        <w:tc>
          <w:tcPr>
            <w:tcW w:w="3071" w:type="dxa"/>
            <w:gridSpan w:val="3"/>
            <w:noWrap w:val="0"/>
            <w:vAlign w:val="top"/>
          </w:tcPr>
          <w:p w14:paraId="36E03472">
            <w:pPr>
              <w:spacing w:line="440" w:lineRule="exact"/>
              <w:rPr>
                <w:rFonts w:ascii="宋体" w:hAnsi="宋体" w:cs="宋体"/>
                <w:color w:val="000000"/>
                <w:szCs w:val="21"/>
              </w:rPr>
            </w:pPr>
          </w:p>
        </w:tc>
        <w:tc>
          <w:tcPr>
            <w:tcW w:w="1969" w:type="dxa"/>
            <w:noWrap w:val="0"/>
            <w:vAlign w:val="top"/>
          </w:tcPr>
          <w:p w14:paraId="1F8E4DDF">
            <w:pPr>
              <w:spacing w:line="440" w:lineRule="exact"/>
              <w:rPr>
                <w:rFonts w:ascii="宋体" w:hAnsi="宋体" w:cs="宋体"/>
                <w:color w:val="000000"/>
                <w:szCs w:val="21"/>
              </w:rPr>
            </w:pPr>
          </w:p>
        </w:tc>
        <w:tc>
          <w:tcPr>
            <w:tcW w:w="2296" w:type="dxa"/>
            <w:gridSpan w:val="2"/>
            <w:noWrap w:val="0"/>
            <w:vAlign w:val="top"/>
          </w:tcPr>
          <w:p w14:paraId="5FFF23A4">
            <w:pPr>
              <w:spacing w:line="440" w:lineRule="exact"/>
              <w:rPr>
                <w:rFonts w:ascii="宋体" w:hAnsi="宋体" w:cs="宋体"/>
                <w:color w:val="000000"/>
                <w:szCs w:val="21"/>
              </w:rPr>
            </w:pPr>
          </w:p>
        </w:tc>
      </w:tr>
      <w:tr w14:paraId="76DC5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6F3440F4">
            <w:pPr>
              <w:spacing w:line="440" w:lineRule="exact"/>
              <w:rPr>
                <w:rFonts w:ascii="宋体" w:hAnsi="宋体" w:cs="宋体"/>
                <w:color w:val="000000"/>
                <w:szCs w:val="21"/>
              </w:rPr>
            </w:pPr>
          </w:p>
        </w:tc>
        <w:tc>
          <w:tcPr>
            <w:tcW w:w="3071" w:type="dxa"/>
            <w:gridSpan w:val="3"/>
            <w:noWrap w:val="0"/>
            <w:vAlign w:val="center"/>
          </w:tcPr>
          <w:p w14:paraId="25E60C15">
            <w:pPr>
              <w:spacing w:line="440" w:lineRule="exact"/>
              <w:rPr>
                <w:rFonts w:ascii="宋体" w:hAnsi="宋体" w:cs="宋体"/>
                <w:color w:val="000000"/>
                <w:szCs w:val="21"/>
              </w:rPr>
            </w:pPr>
          </w:p>
        </w:tc>
        <w:tc>
          <w:tcPr>
            <w:tcW w:w="1969" w:type="dxa"/>
            <w:noWrap w:val="0"/>
            <w:vAlign w:val="center"/>
          </w:tcPr>
          <w:p w14:paraId="56476681">
            <w:pPr>
              <w:spacing w:line="440" w:lineRule="exact"/>
              <w:rPr>
                <w:rFonts w:ascii="宋体" w:hAnsi="宋体" w:cs="宋体"/>
                <w:color w:val="000000"/>
                <w:szCs w:val="21"/>
              </w:rPr>
            </w:pPr>
          </w:p>
        </w:tc>
        <w:tc>
          <w:tcPr>
            <w:tcW w:w="2296" w:type="dxa"/>
            <w:gridSpan w:val="2"/>
            <w:noWrap w:val="0"/>
            <w:vAlign w:val="center"/>
          </w:tcPr>
          <w:p w14:paraId="30199CE3">
            <w:pPr>
              <w:spacing w:line="440" w:lineRule="exact"/>
              <w:rPr>
                <w:rFonts w:ascii="宋体" w:hAnsi="宋体" w:cs="宋体"/>
                <w:color w:val="000000"/>
                <w:szCs w:val="21"/>
              </w:rPr>
            </w:pPr>
          </w:p>
        </w:tc>
      </w:tr>
      <w:tr w14:paraId="35159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05A75013">
            <w:pPr>
              <w:spacing w:line="440" w:lineRule="exact"/>
              <w:rPr>
                <w:rFonts w:ascii="宋体" w:hAnsi="宋体" w:cs="宋体"/>
                <w:color w:val="000000"/>
                <w:szCs w:val="21"/>
              </w:rPr>
            </w:pPr>
          </w:p>
        </w:tc>
        <w:tc>
          <w:tcPr>
            <w:tcW w:w="3071" w:type="dxa"/>
            <w:gridSpan w:val="3"/>
            <w:noWrap w:val="0"/>
            <w:vAlign w:val="center"/>
          </w:tcPr>
          <w:p w14:paraId="198DAFC4">
            <w:pPr>
              <w:spacing w:line="440" w:lineRule="exact"/>
              <w:rPr>
                <w:rFonts w:ascii="宋体" w:hAnsi="宋体" w:cs="宋体"/>
                <w:color w:val="000000"/>
                <w:szCs w:val="21"/>
              </w:rPr>
            </w:pPr>
          </w:p>
        </w:tc>
        <w:tc>
          <w:tcPr>
            <w:tcW w:w="1969" w:type="dxa"/>
            <w:noWrap w:val="0"/>
            <w:vAlign w:val="center"/>
          </w:tcPr>
          <w:p w14:paraId="00B9808D">
            <w:pPr>
              <w:spacing w:line="440" w:lineRule="exact"/>
              <w:rPr>
                <w:rFonts w:ascii="宋体" w:hAnsi="宋体" w:cs="宋体"/>
                <w:color w:val="000000"/>
                <w:szCs w:val="21"/>
              </w:rPr>
            </w:pPr>
          </w:p>
        </w:tc>
        <w:tc>
          <w:tcPr>
            <w:tcW w:w="2296" w:type="dxa"/>
            <w:gridSpan w:val="2"/>
            <w:noWrap w:val="0"/>
            <w:vAlign w:val="center"/>
          </w:tcPr>
          <w:p w14:paraId="20FF2B8E">
            <w:pPr>
              <w:spacing w:line="440" w:lineRule="exact"/>
              <w:rPr>
                <w:rFonts w:ascii="宋体" w:hAnsi="宋体" w:cs="宋体"/>
                <w:color w:val="000000"/>
                <w:szCs w:val="21"/>
              </w:rPr>
            </w:pPr>
          </w:p>
        </w:tc>
      </w:tr>
      <w:tr w14:paraId="55707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7287648A">
            <w:pPr>
              <w:spacing w:line="440" w:lineRule="exact"/>
              <w:rPr>
                <w:rFonts w:ascii="宋体" w:hAnsi="宋体" w:cs="宋体"/>
                <w:color w:val="000000"/>
                <w:szCs w:val="21"/>
              </w:rPr>
            </w:pPr>
          </w:p>
        </w:tc>
        <w:tc>
          <w:tcPr>
            <w:tcW w:w="3071" w:type="dxa"/>
            <w:gridSpan w:val="3"/>
            <w:noWrap w:val="0"/>
            <w:vAlign w:val="center"/>
          </w:tcPr>
          <w:p w14:paraId="7EE2BDED">
            <w:pPr>
              <w:spacing w:line="440" w:lineRule="exact"/>
              <w:rPr>
                <w:rFonts w:ascii="宋体" w:hAnsi="宋体" w:cs="宋体"/>
                <w:color w:val="000000"/>
                <w:szCs w:val="21"/>
              </w:rPr>
            </w:pPr>
          </w:p>
        </w:tc>
        <w:tc>
          <w:tcPr>
            <w:tcW w:w="1969" w:type="dxa"/>
            <w:noWrap w:val="0"/>
            <w:vAlign w:val="center"/>
          </w:tcPr>
          <w:p w14:paraId="06650025">
            <w:pPr>
              <w:spacing w:line="440" w:lineRule="exact"/>
              <w:rPr>
                <w:rFonts w:ascii="宋体" w:hAnsi="宋体" w:cs="宋体"/>
                <w:color w:val="000000"/>
                <w:szCs w:val="21"/>
              </w:rPr>
            </w:pPr>
          </w:p>
        </w:tc>
        <w:tc>
          <w:tcPr>
            <w:tcW w:w="2296" w:type="dxa"/>
            <w:gridSpan w:val="2"/>
            <w:noWrap w:val="0"/>
            <w:vAlign w:val="center"/>
          </w:tcPr>
          <w:p w14:paraId="70423769">
            <w:pPr>
              <w:spacing w:line="440" w:lineRule="exact"/>
              <w:rPr>
                <w:rFonts w:ascii="宋体" w:hAnsi="宋体" w:cs="宋体"/>
                <w:color w:val="000000"/>
                <w:szCs w:val="21"/>
              </w:rPr>
            </w:pPr>
          </w:p>
        </w:tc>
      </w:tr>
      <w:tr w14:paraId="4395F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53B720FD">
            <w:pPr>
              <w:spacing w:line="440" w:lineRule="exact"/>
              <w:rPr>
                <w:rFonts w:ascii="宋体" w:hAnsi="宋体" w:cs="宋体"/>
                <w:color w:val="000000"/>
                <w:szCs w:val="21"/>
              </w:rPr>
            </w:pPr>
          </w:p>
        </w:tc>
        <w:tc>
          <w:tcPr>
            <w:tcW w:w="3071" w:type="dxa"/>
            <w:gridSpan w:val="3"/>
            <w:noWrap w:val="0"/>
            <w:vAlign w:val="center"/>
          </w:tcPr>
          <w:p w14:paraId="0B88E1F8">
            <w:pPr>
              <w:spacing w:line="440" w:lineRule="exact"/>
              <w:rPr>
                <w:rFonts w:ascii="宋体" w:hAnsi="宋体" w:cs="宋体"/>
                <w:color w:val="000000"/>
                <w:szCs w:val="21"/>
              </w:rPr>
            </w:pPr>
          </w:p>
        </w:tc>
        <w:tc>
          <w:tcPr>
            <w:tcW w:w="1969" w:type="dxa"/>
            <w:noWrap w:val="0"/>
            <w:vAlign w:val="center"/>
          </w:tcPr>
          <w:p w14:paraId="0C88E0D3">
            <w:pPr>
              <w:spacing w:line="440" w:lineRule="exact"/>
              <w:rPr>
                <w:rFonts w:ascii="宋体" w:hAnsi="宋体" w:cs="宋体"/>
                <w:color w:val="000000"/>
                <w:szCs w:val="21"/>
              </w:rPr>
            </w:pPr>
          </w:p>
        </w:tc>
        <w:tc>
          <w:tcPr>
            <w:tcW w:w="2296" w:type="dxa"/>
            <w:gridSpan w:val="2"/>
            <w:noWrap w:val="0"/>
            <w:vAlign w:val="center"/>
          </w:tcPr>
          <w:p w14:paraId="04FAEF69">
            <w:pPr>
              <w:spacing w:line="440" w:lineRule="exact"/>
              <w:rPr>
                <w:rFonts w:ascii="宋体" w:hAnsi="宋体" w:cs="宋体"/>
                <w:color w:val="000000"/>
                <w:szCs w:val="21"/>
              </w:rPr>
            </w:pPr>
          </w:p>
        </w:tc>
      </w:tr>
      <w:tr w14:paraId="45D85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5FF63C12">
            <w:pPr>
              <w:spacing w:line="440" w:lineRule="exact"/>
              <w:rPr>
                <w:rFonts w:ascii="宋体" w:hAnsi="宋体" w:cs="宋体"/>
                <w:color w:val="000000"/>
                <w:szCs w:val="21"/>
              </w:rPr>
            </w:pPr>
          </w:p>
        </w:tc>
        <w:tc>
          <w:tcPr>
            <w:tcW w:w="3071" w:type="dxa"/>
            <w:gridSpan w:val="3"/>
            <w:noWrap w:val="0"/>
            <w:vAlign w:val="center"/>
          </w:tcPr>
          <w:p w14:paraId="74DC14B5">
            <w:pPr>
              <w:spacing w:line="440" w:lineRule="exact"/>
              <w:rPr>
                <w:rFonts w:ascii="宋体" w:hAnsi="宋体" w:cs="宋体"/>
                <w:color w:val="000000"/>
                <w:szCs w:val="21"/>
              </w:rPr>
            </w:pPr>
          </w:p>
        </w:tc>
        <w:tc>
          <w:tcPr>
            <w:tcW w:w="1969" w:type="dxa"/>
            <w:noWrap w:val="0"/>
            <w:vAlign w:val="center"/>
          </w:tcPr>
          <w:p w14:paraId="136C373C">
            <w:pPr>
              <w:spacing w:line="440" w:lineRule="exact"/>
              <w:rPr>
                <w:rFonts w:ascii="宋体" w:hAnsi="宋体" w:cs="宋体"/>
                <w:color w:val="000000"/>
                <w:szCs w:val="21"/>
              </w:rPr>
            </w:pPr>
          </w:p>
        </w:tc>
        <w:tc>
          <w:tcPr>
            <w:tcW w:w="2296" w:type="dxa"/>
            <w:gridSpan w:val="2"/>
            <w:noWrap w:val="0"/>
            <w:vAlign w:val="center"/>
          </w:tcPr>
          <w:p w14:paraId="0B132647">
            <w:pPr>
              <w:spacing w:line="440" w:lineRule="exact"/>
              <w:rPr>
                <w:rFonts w:ascii="宋体" w:hAnsi="宋体" w:cs="宋体"/>
                <w:color w:val="000000"/>
                <w:szCs w:val="21"/>
              </w:rPr>
            </w:pPr>
          </w:p>
        </w:tc>
      </w:tr>
      <w:tr w14:paraId="48D57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6EE64096">
            <w:pPr>
              <w:spacing w:line="440" w:lineRule="exact"/>
              <w:rPr>
                <w:rFonts w:ascii="宋体" w:hAnsi="宋体" w:cs="宋体"/>
                <w:color w:val="000000"/>
                <w:szCs w:val="21"/>
              </w:rPr>
            </w:pPr>
          </w:p>
        </w:tc>
        <w:tc>
          <w:tcPr>
            <w:tcW w:w="3071" w:type="dxa"/>
            <w:gridSpan w:val="3"/>
            <w:noWrap w:val="0"/>
            <w:vAlign w:val="center"/>
          </w:tcPr>
          <w:p w14:paraId="2387BA9E">
            <w:pPr>
              <w:spacing w:line="440" w:lineRule="exact"/>
              <w:rPr>
                <w:rFonts w:ascii="宋体" w:hAnsi="宋体" w:cs="宋体"/>
                <w:color w:val="000000"/>
                <w:szCs w:val="21"/>
              </w:rPr>
            </w:pPr>
          </w:p>
        </w:tc>
        <w:tc>
          <w:tcPr>
            <w:tcW w:w="1969" w:type="dxa"/>
            <w:noWrap w:val="0"/>
            <w:vAlign w:val="center"/>
          </w:tcPr>
          <w:p w14:paraId="49645F8C">
            <w:pPr>
              <w:spacing w:line="440" w:lineRule="exact"/>
              <w:rPr>
                <w:rFonts w:ascii="宋体" w:hAnsi="宋体" w:cs="宋体"/>
                <w:color w:val="000000"/>
                <w:szCs w:val="21"/>
              </w:rPr>
            </w:pPr>
          </w:p>
        </w:tc>
        <w:tc>
          <w:tcPr>
            <w:tcW w:w="2296" w:type="dxa"/>
            <w:gridSpan w:val="2"/>
            <w:noWrap w:val="0"/>
            <w:vAlign w:val="center"/>
          </w:tcPr>
          <w:p w14:paraId="165DB1E8">
            <w:pPr>
              <w:spacing w:line="440" w:lineRule="exact"/>
              <w:rPr>
                <w:rFonts w:ascii="宋体" w:hAnsi="宋体" w:cs="宋体"/>
                <w:color w:val="000000"/>
                <w:szCs w:val="21"/>
              </w:rPr>
            </w:pPr>
          </w:p>
        </w:tc>
      </w:tr>
      <w:tr w14:paraId="3298D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0F9307B8">
            <w:pPr>
              <w:spacing w:line="440" w:lineRule="exact"/>
              <w:rPr>
                <w:rFonts w:ascii="宋体" w:hAnsi="宋体" w:cs="宋体"/>
                <w:color w:val="000000"/>
                <w:szCs w:val="21"/>
              </w:rPr>
            </w:pPr>
          </w:p>
        </w:tc>
        <w:tc>
          <w:tcPr>
            <w:tcW w:w="3071" w:type="dxa"/>
            <w:gridSpan w:val="3"/>
            <w:noWrap w:val="0"/>
            <w:vAlign w:val="center"/>
          </w:tcPr>
          <w:p w14:paraId="551EDE65">
            <w:pPr>
              <w:spacing w:line="440" w:lineRule="exact"/>
              <w:rPr>
                <w:rFonts w:ascii="宋体" w:hAnsi="宋体" w:cs="宋体"/>
                <w:color w:val="000000"/>
                <w:szCs w:val="21"/>
              </w:rPr>
            </w:pPr>
          </w:p>
        </w:tc>
        <w:tc>
          <w:tcPr>
            <w:tcW w:w="1969" w:type="dxa"/>
            <w:noWrap w:val="0"/>
            <w:vAlign w:val="center"/>
          </w:tcPr>
          <w:p w14:paraId="6E7385F2">
            <w:pPr>
              <w:spacing w:line="440" w:lineRule="exact"/>
              <w:rPr>
                <w:rFonts w:ascii="宋体" w:hAnsi="宋体" w:cs="宋体"/>
                <w:color w:val="000000"/>
                <w:szCs w:val="21"/>
              </w:rPr>
            </w:pPr>
          </w:p>
        </w:tc>
        <w:tc>
          <w:tcPr>
            <w:tcW w:w="2296" w:type="dxa"/>
            <w:gridSpan w:val="2"/>
            <w:noWrap w:val="0"/>
            <w:vAlign w:val="center"/>
          </w:tcPr>
          <w:p w14:paraId="3661F6D7">
            <w:pPr>
              <w:spacing w:line="440" w:lineRule="exact"/>
              <w:rPr>
                <w:rFonts w:ascii="宋体" w:hAnsi="宋体" w:cs="宋体"/>
                <w:color w:val="000000"/>
                <w:szCs w:val="21"/>
              </w:rPr>
            </w:pPr>
          </w:p>
        </w:tc>
      </w:tr>
    </w:tbl>
    <w:p w14:paraId="119102BE">
      <w:pPr>
        <w:spacing w:line="360" w:lineRule="auto"/>
        <w:ind w:left="480"/>
        <w:rPr>
          <w:rFonts w:ascii="宋体" w:hAnsi="宋体" w:cs="宋体"/>
          <w:color w:val="000000"/>
          <w:sz w:val="24"/>
        </w:rPr>
      </w:pPr>
    </w:p>
    <w:p w14:paraId="62EA1FF8">
      <w:pPr>
        <w:spacing w:line="360" w:lineRule="auto"/>
        <w:ind w:left="3600"/>
        <w:rPr>
          <w:rFonts w:ascii="宋体" w:hAnsi="宋体" w:cs="宋体"/>
          <w:color w:val="000000"/>
          <w:sz w:val="24"/>
        </w:rPr>
      </w:pPr>
      <w:r>
        <w:rPr>
          <w:rFonts w:hint="eastAsia" w:ascii="宋体" w:hAnsi="宋体" w:cs="宋体"/>
          <w:color w:val="000000"/>
          <w:sz w:val="24"/>
        </w:rPr>
        <w:t>供应商（</w:t>
      </w:r>
      <w:r>
        <w:rPr>
          <w:rFonts w:hint="eastAsia" w:ascii="宋体" w:hAnsi="宋体" w:cs="宋体"/>
          <w:color w:val="000000"/>
          <w:sz w:val="24"/>
          <w:lang w:val="en-US" w:eastAsia="zh-CN"/>
        </w:rPr>
        <w:t>加盖CA电子公章</w:t>
      </w:r>
      <w:r>
        <w:rPr>
          <w:rFonts w:hint="eastAsia" w:ascii="宋体" w:hAnsi="宋体" w:cs="宋体"/>
          <w:color w:val="000000"/>
          <w:sz w:val="24"/>
        </w:rPr>
        <w:t>）：</w:t>
      </w:r>
    </w:p>
    <w:p w14:paraId="04C91FBC">
      <w:pPr>
        <w:spacing w:line="360" w:lineRule="auto"/>
        <w:ind w:left="3600"/>
        <w:rPr>
          <w:rFonts w:ascii="宋体" w:hAnsi="宋体" w:cs="宋体"/>
          <w:color w:val="000000"/>
          <w:sz w:val="24"/>
        </w:rPr>
      </w:pPr>
      <w:r>
        <w:rPr>
          <w:rFonts w:hint="eastAsia" w:ascii="宋体" w:hAnsi="宋体" w:cs="宋体"/>
          <w:color w:val="000000"/>
          <w:sz w:val="24"/>
        </w:rPr>
        <w:t>法定代表人或授权委托人（签字或盖章）：</w:t>
      </w:r>
    </w:p>
    <w:p w14:paraId="5E30B64C">
      <w:pPr>
        <w:spacing w:line="360" w:lineRule="auto"/>
        <w:ind w:left="3600"/>
        <w:rPr>
          <w:rFonts w:ascii="宋体" w:hAnsi="宋体" w:cs="宋体"/>
          <w:color w:val="000000"/>
          <w:sz w:val="24"/>
        </w:rPr>
      </w:pPr>
    </w:p>
    <w:p w14:paraId="4EE64726">
      <w:pPr>
        <w:spacing w:line="360" w:lineRule="auto"/>
        <w:ind w:left="480"/>
        <w:jc w:val="right"/>
        <w:rPr>
          <w:rFonts w:ascii="宋体" w:hAnsi="宋体" w:cs="宋体"/>
          <w:color w:val="000000"/>
          <w:sz w:val="24"/>
        </w:rPr>
      </w:pPr>
      <w:r>
        <w:rPr>
          <w:rFonts w:hint="eastAsia" w:ascii="宋体" w:hAnsi="宋体" w:cs="宋体"/>
          <w:color w:val="000000"/>
          <w:sz w:val="24"/>
        </w:rPr>
        <w:t>日期：年月日</w:t>
      </w:r>
    </w:p>
    <w:p w14:paraId="5539DF29">
      <w:pPr>
        <w:spacing w:line="360" w:lineRule="auto"/>
        <w:jc w:val="center"/>
        <w:rPr>
          <w:rFonts w:ascii="宋体" w:hAnsi="宋体" w:cs="宋体"/>
          <w:b/>
          <w:color w:val="000000"/>
          <w:sz w:val="32"/>
          <w:szCs w:val="32"/>
        </w:rPr>
      </w:pPr>
    </w:p>
    <w:p w14:paraId="02915BDB">
      <w:pPr>
        <w:spacing w:line="360" w:lineRule="auto"/>
        <w:jc w:val="center"/>
        <w:rPr>
          <w:rFonts w:ascii="宋体" w:hAnsi="宋体" w:cs="宋体"/>
          <w:b/>
          <w:color w:val="000000"/>
          <w:sz w:val="32"/>
          <w:szCs w:val="32"/>
        </w:rPr>
      </w:pPr>
      <w:r>
        <w:rPr>
          <w:rFonts w:hint="eastAsia" w:ascii="宋体" w:hAnsi="宋体" w:cs="宋体"/>
          <w:b/>
          <w:color w:val="000000"/>
          <w:sz w:val="32"/>
          <w:szCs w:val="32"/>
        </w:rPr>
        <w:t>无在建工程承诺书</w:t>
      </w:r>
    </w:p>
    <w:p w14:paraId="37E4F12D">
      <w:pPr>
        <w:pStyle w:val="264"/>
        <w:ind w:left="420" w:firstLine="600"/>
        <w:rPr>
          <w:rFonts w:ascii="宋体" w:hAnsi="宋体" w:cs="宋体"/>
          <w:color w:val="000000"/>
        </w:rPr>
      </w:pPr>
    </w:p>
    <w:p w14:paraId="14208A7B">
      <w:pPr>
        <w:spacing w:line="360" w:lineRule="auto"/>
        <w:rPr>
          <w:rFonts w:ascii="宋体" w:hAnsi="宋体" w:cs="宋体"/>
          <w:color w:val="000000"/>
          <w:sz w:val="24"/>
          <w:szCs w:val="24"/>
        </w:rPr>
      </w:pPr>
      <w:r>
        <w:rPr>
          <w:rFonts w:hint="eastAsia" w:ascii="宋体" w:hAnsi="宋体" w:cs="宋体"/>
          <w:color w:val="000000"/>
          <w:sz w:val="24"/>
          <w:szCs w:val="24"/>
        </w:rPr>
        <w:t>致：</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（采购人名称） </w:t>
      </w:r>
      <w:r>
        <w:rPr>
          <w:rFonts w:ascii="宋体" w:hAnsi="宋体" w:cs="宋体"/>
          <w:color w:val="000000"/>
          <w:sz w:val="24"/>
          <w:szCs w:val="24"/>
          <w:u w:val="single"/>
        </w:rPr>
        <w:t xml:space="preserve">      </w:t>
      </w:r>
    </w:p>
    <w:p w14:paraId="7CC80C33">
      <w:pPr>
        <w:spacing w:line="360" w:lineRule="auto"/>
        <w:ind w:firstLine="480"/>
        <w:rPr>
          <w:rFonts w:ascii="宋体" w:hAnsi="宋体" w:cs="宋体"/>
          <w:color w:val="000000"/>
          <w:sz w:val="24"/>
          <w:szCs w:val="24"/>
        </w:rPr>
      </w:pPr>
      <w:r>
        <w:rPr>
          <w:rFonts w:hint="eastAsia" w:ascii="宋体" w:hAnsi="宋体" w:cs="宋体"/>
          <w:color w:val="000000"/>
          <w:sz w:val="24"/>
          <w:szCs w:val="24"/>
        </w:rPr>
        <w:t>我公司自愿参加贵单位</w:t>
      </w:r>
      <w:r>
        <w:rPr>
          <w:rFonts w:hint="eastAsia" w:ascii="宋体" w:hAnsi="宋体" w:cs="宋体"/>
          <w:color w:val="000000"/>
          <w:sz w:val="24"/>
          <w:szCs w:val="24"/>
          <w:u w:val="single"/>
          <w:lang w:eastAsia="zh-CN"/>
        </w:rPr>
        <w:t>2026年古溪镇交通强市四好农村路危桥改建项目（二）</w:t>
      </w:r>
      <w:r>
        <w:rPr>
          <w:rFonts w:hint="eastAsia" w:ascii="宋体" w:hAnsi="宋体" w:cs="宋体"/>
          <w:color w:val="000000"/>
          <w:sz w:val="24"/>
          <w:szCs w:val="24"/>
          <w:u w:val="single"/>
        </w:rPr>
        <w:t>（编号：                ）</w:t>
      </w:r>
      <w:r>
        <w:rPr>
          <w:rFonts w:hint="eastAsia" w:ascii="宋体" w:hAnsi="宋体" w:cs="宋体"/>
          <w:color w:val="000000"/>
          <w:sz w:val="24"/>
          <w:szCs w:val="24"/>
        </w:rPr>
        <w:t>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p>
    <w:p w14:paraId="230D4221">
      <w:pPr>
        <w:spacing w:line="360" w:lineRule="auto"/>
        <w:ind w:firstLine="480"/>
        <w:rPr>
          <w:rFonts w:ascii="宋体" w:hAnsi="宋体" w:cs="宋体"/>
          <w:color w:val="000000"/>
          <w:sz w:val="24"/>
          <w:szCs w:val="24"/>
        </w:rPr>
      </w:pPr>
      <w:r>
        <w:rPr>
          <w:rFonts w:hint="eastAsia" w:ascii="宋体" w:hAnsi="宋体" w:cs="宋体"/>
          <w:color w:val="000000"/>
          <w:sz w:val="24"/>
          <w:szCs w:val="24"/>
        </w:rPr>
        <w:t>拟任项目负责人</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身份证号码</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注册证书号</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p>
    <w:p w14:paraId="710D808B">
      <w:pPr>
        <w:spacing w:line="360" w:lineRule="auto"/>
        <w:rPr>
          <w:rFonts w:ascii="宋体" w:hAnsi="宋体" w:cs="宋体"/>
          <w:color w:val="000000"/>
          <w:sz w:val="24"/>
          <w:szCs w:val="24"/>
        </w:rPr>
      </w:pPr>
    </w:p>
    <w:p w14:paraId="3FA30DB7">
      <w:pPr>
        <w:pStyle w:val="271"/>
        <w:widowControl/>
        <w:spacing w:line="360" w:lineRule="auto"/>
        <w:jc w:val="left"/>
        <w:rPr>
          <w:rFonts w:ascii="宋体" w:hAnsi="宋体" w:cs="宋体"/>
          <w:color w:val="000000"/>
          <w:sz w:val="24"/>
          <w:szCs w:val="24"/>
        </w:rPr>
      </w:pPr>
      <w:r>
        <w:rPr>
          <w:rFonts w:hint="eastAsia" w:ascii="宋体" w:hAnsi="宋体" w:cs="宋体"/>
          <w:color w:val="000000"/>
          <w:sz w:val="24"/>
          <w:szCs w:val="24"/>
        </w:rPr>
        <w:t>供应商名称：（</w:t>
      </w:r>
      <w:r>
        <w:rPr>
          <w:rFonts w:hint="eastAsia" w:ascii="宋体" w:hAnsi="宋体" w:cs="宋体"/>
          <w:color w:val="000000"/>
          <w:sz w:val="24"/>
          <w:szCs w:val="24"/>
          <w:lang w:val="en-US" w:eastAsia="zh-CN"/>
        </w:rPr>
        <w:t>加盖CA电子公章</w:t>
      </w:r>
      <w:r>
        <w:rPr>
          <w:rFonts w:hint="eastAsia" w:ascii="宋体" w:hAnsi="宋体" w:cs="宋体"/>
          <w:color w:val="000000"/>
          <w:sz w:val="24"/>
          <w:szCs w:val="24"/>
        </w:rPr>
        <w:t>）</w:t>
      </w:r>
    </w:p>
    <w:p w14:paraId="7D264E79">
      <w:pPr>
        <w:spacing w:line="360" w:lineRule="auto"/>
        <w:rPr>
          <w:rFonts w:ascii="宋体" w:hAnsi="宋体" w:cs="宋体"/>
          <w:color w:val="000000"/>
          <w:sz w:val="24"/>
          <w:szCs w:val="24"/>
        </w:rPr>
      </w:pPr>
      <w:r>
        <w:rPr>
          <w:rFonts w:hint="eastAsia" w:ascii="宋体" w:hAnsi="宋体" w:cs="宋体"/>
          <w:color w:val="000000"/>
          <w:sz w:val="24"/>
          <w:szCs w:val="24"/>
        </w:rPr>
        <w:t xml:space="preserve">                                          项目负责人签名：</w:t>
      </w:r>
    </w:p>
    <w:p w14:paraId="7AA0A151">
      <w:pPr>
        <w:pStyle w:val="264"/>
        <w:ind w:left="420" w:firstLine="4680"/>
        <w:rPr>
          <w:rFonts w:ascii="宋体" w:hAnsi="宋体" w:eastAsia="宋体" w:cs="宋体"/>
          <w:color w:val="000000"/>
          <w:sz w:val="24"/>
          <w:szCs w:val="21"/>
        </w:rPr>
      </w:pPr>
      <w:r>
        <w:rPr>
          <w:rFonts w:hint="eastAsia" w:ascii="宋体" w:hAnsi="宋体" w:eastAsia="宋体" w:cs="宋体"/>
          <w:color w:val="000000"/>
          <w:sz w:val="24"/>
          <w:szCs w:val="24"/>
        </w:rPr>
        <w:t>日期：</w:t>
      </w:r>
    </w:p>
    <w:p w14:paraId="33D53C74">
      <w:pPr>
        <w:spacing w:line="360" w:lineRule="auto"/>
        <w:rPr>
          <w:rFonts w:ascii="宋体" w:hAnsi="宋体" w:cs="宋体"/>
          <w:color w:val="000000"/>
          <w:sz w:val="24"/>
        </w:rPr>
      </w:pPr>
    </w:p>
    <w:p w14:paraId="46BBC1AF">
      <w:pPr>
        <w:spacing w:line="360" w:lineRule="auto"/>
        <w:rPr>
          <w:rFonts w:ascii="宋体" w:hAnsi="宋体" w:cs="宋体"/>
          <w:color w:val="000000"/>
          <w:sz w:val="24"/>
        </w:rPr>
      </w:pPr>
    </w:p>
    <w:p w14:paraId="5980648C">
      <w:pPr>
        <w:spacing w:line="360" w:lineRule="auto"/>
        <w:rPr>
          <w:rFonts w:ascii="宋体" w:hAnsi="宋体" w:cs="宋体"/>
          <w:color w:val="000000"/>
          <w:sz w:val="24"/>
        </w:rPr>
      </w:pPr>
    </w:p>
    <w:p w14:paraId="0D67D173">
      <w:pPr>
        <w:rPr>
          <w:rFonts w:ascii="宋体" w:hAnsi="宋体" w:cs="宋体"/>
          <w:color w:val="000000"/>
          <w:sz w:val="24"/>
        </w:rPr>
      </w:pPr>
      <w:r>
        <w:rPr>
          <w:rFonts w:ascii="宋体" w:hAnsi="宋体" w:cs="宋体"/>
          <w:color w:val="000000"/>
          <w:sz w:val="24"/>
        </w:rPr>
        <w:br w:type="page" w:clear="all"/>
      </w:r>
    </w:p>
    <w:p w14:paraId="40F03C60">
      <w:pPr>
        <w:tabs>
          <w:tab w:val="left" w:pos="2783"/>
          <w:tab w:val="center" w:pos="4932"/>
        </w:tabs>
        <w:spacing w:before="156" w:after="156" w:line="420" w:lineRule="exact"/>
        <w:jc w:val="center"/>
        <w:rPr>
          <w:rFonts w:hint="eastAsia" w:ascii="宋体" w:hAnsi="宋体" w:cs="宋体"/>
          <w:b/>
          <w:bCs/>
          <w:sz w:val="28"/>
          <w:szCs w:val="28"/>
          <w:lang w:val="en-US" w:eastAsia="zh-CN"/>
        </w:rPr>
      </w:pPr>
      <w:r>
        <w:rPr>
          <w:rFonts w:hint="eastAsia" w:ascii="宋体" w:hAnsi="宋体" w:cs="宋体"/>
          <w:b/>
          <w:bCs/>
          <w:sz w:val="28"/>
          <w:szCs w:val="28"/>
          <w:lang w:val="en-US" w:eastAsia="zh-CN"/>
        </w:rPr>
        <w:t>拟分包项目情况表</w:t>
      </w:r>
    </w:p>
    <w:tbl>
      <w:tblPr>
        <w:tblStyle w:val="28"/>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36"/>
        <w:gridCol w:w="2336"/>
        <w:gridCol w:w="2336"/>
        <w:gridCol w:w="2336"/>
      </w:tblGrid>
      <w:tr w14:paraId="11A12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336" w:type="dxa"/>
            <w:noWrap w:val="0"/>
            <w:vAlign w:val="center"/>
          </w:tcPr>
          <w:p w14:paraId="058857A0">
            <w:pPr>
              <w:widowControl/>
              <w:jc w:val="center"/>
              <w:rPr>
                <w:rFonts w:hint="eastAsia" w:ascii="宋体" w:hAnsi="宋体" w:eastAsia="宋体" w:cs="宋体"/>
                <w:sz w:val="24"/>
                <w:szCs w:val="24"/>
              </w:rPr>
            </w:pPr>
            <w:r>
              <w:rPr>
                <w:rFonts w:hint="eastAsia" w:ascii="宋体" w:hAnsi="宋体" w:eastAsia="宋体" w:cs="宋体"/>
                <w:sz w:val="24"/>
                <w:szCs w:val="24"/>
              </w:rPr>
              <w:t>拟分包的工程项目</w:t>
            </w:r>
          </w:p>
        </w:tc>
        <w:tc>
          <w:tcPr>
            <w:tcW w:w="2336" w:type="dxa"/>
            <w:noWrap w:val="0"/>
            <w:vAlign w:val="center"/>
          </w:tcPr>
          <w:p w14:paraId="0AE75B6E">
            <w:pPr>
              <w:widowControl/>
              <w:jc w:val="center"/>
              <w:rPr>
                <w:rFonts w:hint="eastAsia" w:ascii="宋体" w:hAnsi="宋体" w:eastAsia="宋体" w:cs="宋体"/>
                <w:sz w:val="24"/>
                <w:szCs w:val="24"/>
              </w:rPr>
            </w:pPr>
            <w:r>
              <w:rPr>
                <w:rFonts w:hint="eastAsia" w:ascii="宋体" w:hAnsi="宋体" w:eastAsia="宋体" w:cs="宋体"/>
                <w:sz w:val="24"/>
                <w:szCs w:val="24"/>
              </w:rPr>
              <w:t>主要工程内容</w:t>
            </w:r>
          </w:p>
        </w:tc>
        <w:tc>
          <w:tcPr>
            <w:tcW w:w="2336" w:type="dxa"/>
            <w:noWrap w:val="0"/>
            <w:vAlign w:val="center"/>
          </w:tcPr>
          <w:p w14:paraId="5018F4AF">
            <w:pPr>
              <w:widowControl/>
              <w:jc w:val="center"/>
              <w:rPr>
                <w:rFonts w:hint="eastAsia" w:ascii="宋体" w:hAnsi="宋体" w:eastAsia="宋体" w:cs="宋体"/>
                <w:sz w:val="24"/>
                <w:szCs w:val="24"/>
              </w:rPr>
            </w:pPr>
            <w:r>
              <w:rPr>
                <w:rFonts w:hint="eastAsia" w:ascii="宋体" w:hAnsi="宋体" w:eastAsia="宋体" w:cs="宋体"/>
                <w:sz w:val="24"/>
                <w:szCs w:val="24"/>
              </w:rPr>
              <w:t>预计造价（万元）</w:t>
            </w:r>
          </w:p>
        </w:tc>
        <w:tc>
          <w:tcPr>
            <w:tcW w:w="2336" w:type="dxa"/>
            <w:noWrap w:val="0"/>
            <w:vAlign w:val="center"/>
          </w:tcPr>
          <w:p w14:paraId="041D1CA9">
            <w:pPr>
              <w:widowControl/>
              <w:jc w:val="center"/>
              <w:rPr>
                <w:rFonts w:hint="eastAsia" w:ascii="宋体" w:hAnsi="宋体" w:eastAsia="宋体" w:cs="宋体"/>
                <w:sz w:val="24"/>
                <w:szCs w:val="24"/>
              </w:rPr>
            </w:pPr>
            <w:r>
              <w:rPr>
                <w:rFonts w:hint="eastAsia" w:ascii="宋体" w:hAnsi="宋体" w:eastAsia="宋体" w:cs="宋体"/>
                <w:sz w:val="24"/>
                <w:szCs w:val="24"/>
              </w:rPr>
              <w:t>备注</w:t>
            </w:r>
          </w:p>
        </w:tc>
      </w:tr>
      <w:tr w14:paraId="7E090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336" w:type="dxa"/>
            <w:noWrap w:val="0"/>
            <w:vAlign w:val="center"/>
          </w:tcPr>
          <w:p w14:paraId="223DB84C">
            <w:pPr>
              <w:widowControl/>
              <w:jc w:val="center"/>
              <w:rPr>
                <w:rFonts w:hint="eastAsia" w:ascii="宋体" w:hAnsi="宋体" w:eastAsia="宋体" w:cs="宋体"/>
                <w:sz w:val="24"/>
                <w:szCs w:val="24"/>
              </w:rPr>
            </w:pPr>
          </w:p>
        </w:tc>
        <w:tc>
          <w:tcPr>
            <w:tcW w:w="2336" w:type="dxa"/>
            <w:noWrap w:val="0"/>
            <w:vAlign w:val="center"/>
          </w:tcPr>
          <w:p w14:paraId="0088AA4F">
            <w:pPr>
              <w:widowControl/>
              <w:jc w:val="center"/>
              <w:rPr>
                <w:rFonts w:hint="eastAsia" w:ascii="宋体" w:hAnsi="宋体" w:eastAsia="宋体" w:cs="宋体"/>
                <w:sz w:val="24"/>
                <w:szCs w:val="24"/>
              </w:rPr>
            </w:pPr>
          </w:p>
        </w:tc>
        <w:tc>
          <w:tcPr>
            <w:tcW w:w="2336" w:type="dxa"/>
            <w:noWrap w:val="0"/>
            <w:vAlign w:val="center"/>
          </w:tcPr>
          <w:p w14:paraId="7277AA1A">
            <w:pPr>
              <w:widowControl/>
              <w:jc w:val="center"/>
              <w:rPr>
                <w:rFonts w:hint="eastAsia" w:ascii="宋体" w:hAnsi="宋体" w:eastAsia="宋体" w:cs="宋体"/>
                <w:sz w:val="24"/>
                <w:szCs w:val="24"/>
              </w:rPr>
            </w:pPr>
          </w:p>
        </w:tc>
        <w:tc>
          <w:tcPr>
            <w:tcW w:w="2336" w:type="dxa"/>
            <w:vMerge w:val="restart"/>
            <w:noWrap w:val="0"/>
            <w:vAlign w:val="top"/>
          </w:tcPr>
          <w:p w14:paraId="5484AAD6">
            <w:pPr>
              <w:widowControl/>
              <w:rPr>
                <w:rFonts w:hint="eastAsia" w:ascii="宋体" w:hAnsi="宋体" w:eastAsia="宋体" w:cs="宋体"/>
                <w:sz w:val="24"/>
                <w:szCs w:val="24"/>
              </w:rPr>
            </w:pPr>
            <w:r>
              <w:rPr>
                <w:rFonts w:hint="eastAsia" w:ascii="宋体" w:hAnsi="宋体" w:eastAsia="宋体" w:cs="宋体"/>
                <w:sz w:val="24"/>
                <w:szCs w:val="24"/>
              </w:rPr>
              <w:t>注:若无分包计划，则投标人应在本表填写“无。”</w:t>
            </w:r>
          </w:p>
        </w:tc>
      </w:tr>
      <w:tr w14:paraId="311F8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336" w:type="dxa"/>
            <w:noWrap w:val="0"/>
            <w:vAlign w:val="center"/>
          </w:tcPr>
          <w:p w14:paraId="565A6398">
            <w:pPr>
              <w:widowControl/>
              <w:jc w:val="center"/>
              <w:rPr>
                <w:rFonts w:hint="eastAsia" w:ascii="宋体" w:hAnsi="宋体" w:eastAsia="宋体" w:cs="宋体"/>
                <w:sz w:val="24"/>
                <w:szCs w:val="24"/>
              </w:rPr>
            </w:pPr>
          </w:p>
        </w:tc>
        <w:tc>
          <w:tcPr>
            <w:tcW w:w="2336" w:type="dxa"/>
            <w:noWrap w:val="0"/>
            <w:vAlign w:val="center"/>
          </w:tcPr>
          <w:p w14:paraId="638C1054">
            <w:pPr>
              <w:widowControl/>
              <w:jc w:val="center"/>
              <w:rPr>
                <w:rFonts w:hint="eastAsia" w:ascii="宋体" w:hAnsi="宋体" w:eastAsia="宋体" w:cs="宋体"/>
                <w:sz w:val="24"/>
                <w:szCs w:val="24"/>
              </w:rPr>
            </w:pPr>
          </w:p>
        </w:tc>
        <w:tc>
          <w:tcPr>
            <w:tcW w:w="2336" w:type="dxa"/>
            <w:noWrap w:val="0"/>
            <w:vAlign w:val="center"/>
          </w:tcPr>
          <w:p w14:paraId="3EC04534">
            <w:pPr>
              <w:widowControl/>
              <w:jc w:val="center"/>
              <w:rPr>
                <w:rFonts w:hint="eastAsia" w:ascii="宋体" w:hAnsi="宋体" w:eastAsia="宋体" w:cs="宋体"/>
                <w:sz w:val="24"/>
                <w:szCs w:val="24"/>
              </w:rPr>
            </w:pPr>
          </w:p>
        </w:tc>
        <w:tc>
          <w:tcPr>
            <w:tcW w:w="2336" w:type="dxa"/>
            <w:vMerge w:val="continue"/>
            <w:noWrap w:val="0"/>
            <w:vAlign w:val="center"/>
          </w:tcPr>
          <w:p w14:paraId="6F633BE9">
            <w:pPr>
              <w:widowControl/>
              <w:jc w:val="left"/>
              <w:rPr>
                <w:rFonts w:hint="eastAsia" w:ascii="宋体" w:hAnsi="宋体" w:eastAsia="宋体" w:cs="宋体"/>
                <w:sz w:val="24"/>
                <w:szCs w:val="24"/>
              </w:rPr>
            </w:pPr>
          </w:p>
        </w:tc>
      </w:tr>
      <w:tr w14:paraId="75D5E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336" w:type="dxa"/>
            <w:noWrap w:val="0"/>
            <w:vAlign w:val="center"/>
          </w:tcPr>
          <w:p w14:paraId="5BBE1425">
            <w:pPr>
              <w:widowControl/>
              <w:jc w:val="center"/>
              <w:rPr>
                <w:rFonts w:hint="eastAsia" w:ascii="宋体" w:hAnsi="宋体" w:eastAsia="宋体" w:cs="宋体"/>
                <w:sz w:val="24"/>
                <w:szCs w:val="24"/>
              </w:rPr>
            </w:pPr>
          </w:p>
        </w:tc>
        <w:tc>
          <w:tcPr>
            <w:tcW w:w="2336" w:type="dxa"/>
            <w:noWrap w:val="0"/>
            <w:vAlign w:val="center"/>
          </w:tcPr>
          <w:p w14:paraId="5EAD2592">
            <w:pPr>
              <w:widowControl/>
              <w:jc w:val="center"/>
              <w:rPr>
                <w:rFonts w:hint="eastAsia" w:ascii="宋体" w:hAnsi="宋体" w:eastAsia="宋体" w:cs="宋体"/>
                <w:sz w:val="24"/>
                <w:szCs w:val="24"/>
              </w:rPr>
            </w:pPr>
          </w:p>
        </w:tc>
        <w:tc>
          <w:tcPr>
            <w:tcW w:w="2336" w:type="dxa"/>
            <w:noWrap w:val="0"/>
            <w:vAlign w:val="center"/>
          </w:tcPr>
          <w:p w14:paraId="01F31635">
            <w:pPr>
              <w:widowControl/>
              <w:jc w:val="center"/>
              <w:rPr>
                <w:rFonts w:hint="eastAsia" w:ascii="宋体" w:hAnsi="宋体" w:eastAsia="宋体" w:cs="宋体"/>
                <w:sz w:val="24"/>
                <w:szCs w:val="24"/>
              </w:rPr>
            </w:pPr>
          </w:p>
        </w:tc>
        <w:tc>
          <w:tcPr>
            <w:tcW w:w="2336" w:type="dxa"/>
            <w:vMerge w:val="continue"/>
            <w:noWrap w:val="0"/>
            <w:vAlign w:val="center"/>
          </w:tcPr>
          <w:p w14:paraId="690BAA31">
            <w:pPr>
              <w:widowControl/>
              <w:jc w:val="left"/>
              <w:rPr>
                <w:rFonts w:hint="eastAsia" w:ascii="宋体" w:hAnsi="宋体" w:eastAsia="宋体" w:cs="宋体"/>
                <w:sz w:val="24"/>
                <w:szCs w:val="24"/>
              </w:rPr>
            </w:pPr>
          </w:p>
        </w:tc>
      </w:tr>
      <w:tr w14:paraId="39A9A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336" w:type="dxa"/>
            <w:noWrap w:val="0"/>
            <w:vAlign w:val="center"/>
          </w:tcPr>
          <w:p w14:paraId="5A0580D5">
            <w:pPr>
              <w:widowControl/>
              <w:jc w:val="center"/>
              <w:rPr>
                <w:rFonts w:hint="eastAsia" w:ascii="宋体" w:hAnsi="宋体" w:eastAsia="宋体" w:cs="宋体"/>
                <w:sz w:val="24"/>
                <w:szCs w:val="24"/>
              </w:rPr>
            </w:pPr>
          </w:p>
        </w:tc>
        <w:tc>
          <w:tcPr>
            <w:tcW w:w="2336" w:type="dxa"/>
            <w:noWrap w:val="0"/>
            <w:vAlign w:val="center"/>
          </w:tcPr>
          <w:p w14:paraId="46CFB1D4">
            <w:pPr>
              <w:widowControl/>
              <w:jc w:val="center"/>
              <w:rPr>
                <w:rFonts w:hint="eastAsia" w:ascii="宋体" w:hAnsi="宋体" w:eastAsia="宋体" w:cs="宋体"/>
                <w:sz w:val="24"/>
                <w:szCs w:val="24"/>
              </w:rPr>
            </w:pPr>
          </w:p>
        </w:tc>
        <w:tc>
          <w:tcPr>
            <w:tcW w:w="2336" w:type="dxa"/>
            <w:noWrap w:val="0"/>
            <w:vAlign w:val="center"/>
          </w:tcPr>
          <w:p w14:paraId="0E9F0213">
            <w:pPr>
              <w:widowControl/>
              <w:jc w:val="center"/>
              <w:rPr>
                <w:rFonts w:hint="eastAsia" w:ascii="宋体" w:hAnsi="宋体" w:eastAsia="宋体" w:cs="宋体"/>
                <w:sz w:val="24"/>
                <w:szCs w:val="24"/>
              </w:rPr>
            </w:pPr>
          </w:p>
        </w:tc>
        <w:tc>
          <w:tcPr>
            <w:tcW w:w="2336" w:type="dxa"/>
            <w:vMerge w:val="continue"/>
            <w:noWrap w:val="0"/>
            <w:vAlign w:val="center"/>
          </w:tcPr>
          <w:p w14:paraId="23FC57E8">
            <w:pPr>
              <w:widowControl/>
              <w:jc w:val="left"/>
              <w:rPr>
                <w:rFonts w:hint="eastAsia" w:ascii="宋体" w:hAnsi="宋体" w:eastAsia="宋体" w:cs="宋体"/>
                <w:sz w:val="24"/>
                <w:szCs w:val="24"/>
              </w:rPr>
            </w:pPr>
          </w:p>
        </w:tc>
      </w:tr>
      <w:tr w14:paraId="6EDE9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336" w:type="dxa"/>
            <w:noWrap w:val="0"/>
            <w:vAlign w:val="center"/>
          </w:tcPr>
          <w:p w14:paraId="24A2FC9D">
            <w:pPr>
              <w:widowControl/>
              <w:jc w:val="center"/>
              <w:rPr>
                <w:rFonts w:hint="eastAsia" w:ascii="宋体" w:hAnsi="宋体" w:eastAsia="宋体" w:cs="宋体"/>
                <w:sz w:val="24"/>
                <w:szCs w:val="24"/>
              </w:rPr>
            </w:pPr>
          </w:p>
        </w:tc>
        <w:tc>
          <w:tcPr>
            <w:tcW w:w="2336" w:type="dxa"/>
            <w:noWrap w:val="0"/>
            <w:vAlign w:val="center"/>
          </w:tcPr>
          <w:p w14:paraId="3138FF85">
            <w:pPr>
              <w:widowControl/>
              <w:jc w:val="center"/>
              <w:rPr>
                <w:rFonts w:hint="eastAsia" w:ascii="宋体" w:hAnsi="宋体" w:eastAsia="宋体" w:cs="宋体"/>
                <w:sz w:val="24"/>
                <w:szCs w:val="24"/>
              </w:rPr>
            </w:pPr>
          </w:p>
        </w:tc>
        <w:tc>
          <w:tcPr>
            <w:tcW w:w="2336" w:type="dxa"/>
            <w:noWrap w:val="0"/>
            <w:vAlign w:val="center"/>
          </w:tcPr>
          <w:p w14:paraId="28AFF65E">
            <w:pPr>
              <w:widowControl/>
              <w:jc w:val="center"/>
              <w:rPr>
                <w:rFonts w:hint="eastAsia" w:ascii="宋体" w:hAnsi="宋体" w:eastAsia="宋体" w:cs="宋体"/>
                <w:sz w:val="24"/>
                <w:szCs w:val="24"/>
              </w:rPr>
            </w:pPr>
          </w:p>
        </w:tc>
        <w:tc>
          <w:tcPr>
            <w:tcW w:w="2336" w:type="dxa"/>
            <w:vMerge w:val="continue"/>
            <w:noWrap w:val="0"/>
            <w:vAlign w:val="center"/>
          </w:tcPr>
          <w:p w14:paraId="241E1D67">
            <w:pPr>
              <w:widowControl/>
              <w:jc w:val="left"/>
              <w:rPr>
                <w:rFonts w:hint="eastAsia" w:ascii="宋体" w:hAnsi="宋体" w:eastAsia="宋体" w:cs="宋体"/>
                <w:sz w:val="24"/>
                <w:szCs w:val="24"/>
              </w:rPr>
            </w:pPr>
          </w:p>
        </w:tc>
      </w:tr>
      <w:tr w14:paraId="33014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336" w:type="dxa"/>
            <w:noWrap w:val="0"/>
            <w:vAlign w:val="center"/>
          </w:tcPr>
          <w:p w14:paraId="15FA2A9E">
            <w:pPr>
              <w:widowControl/>
              <w:jc w:val="center"/>
              <w:rPr>
                <w:rFonts w:hint="eastAsia" w:ascii="宋体" w:hAnsi="宋体" w:eastAsia="宋体" w:cs="宋体"/>
                <w:sz w:val="24"/>
                <w:szCs w:val="24"/>
              </w:rPr>
            </w:pPr>
          </w:p>
        </w:tc>
        <w:tc>
          <w:tcPr>
            <w:tcW w:w="2336" w:type="dxa"/>
            <w:noWrap w:val="0"/>
            <w:vAlign w:val="center"/>
          </w:tcPr>
          <w:p w14:paraId="28671001">
            <w:pPr>
              <w:widowControl/>
              <w:jc w:val="center"/>
              <w:rPr>
                <w:rFonts w:hint="eastAsia" w:ascii="宋体" w:hAnsi="宋体" w:eastAsia="宋体" w:cs="宋体"/>
                <w:sz w:val="24"/>
                <w:szCs w:val="24"/>
              </w:rPr>
            </w:pPr>
          </w:p>
        </w:tc>
        <w:tc>
          <w:tcPr>
            <w:tcW w:w="2336" w:type="dxa"/>
            <w:noWrap w:val="0"/>
            <w:vAlign w:val="center"/>
          </w:tcPr>
          <w:p w14:paraId="05CB221D">
            <w:pPr>
              <w:widowControl/>
              <w:jc w:val="center"/>
              <w:rPr>
                <w:rFonts w:hint="eastAsia" w:ascii="宋体" w:hAnsi="宋体" w:eastAsia="宋体" w:cs="宋体"/>
                <w:sz w:val="24"/>
                <w:szCs w:val="24"/>
              </w:rPr>
            </w:pPr>
          </w:p>
        </w:tc>
        <w:tc>
          <w:tcPr>
            <w:tcW w:w="2336" w:type="dxa"/>
            <w:vMerge w:val="continue"/>
            <w:noWrap w:val="0"/>
            <w:vAlign w:val="center"/>
          </w:tcPr>
          <w:p w14:paraId="2093BB9C">
            <w:pPr>
              <w:widowControl/>
              <w:jc w:val="left"/>
              <w:rPr>
                <w:rFonts w:hint="eastAsia" w:ascii="宋体" w:hAnsi="宋体" w:eastAsia="宋体" w:cs="宋体"/>
                <w:sz w:val="24"/>
                <w:szCs w:val="24"/>
              </w:rPr>
            </w:pPr>
          </w:p>
        </w:tc>
      </w:tr>
      <w:tr w14:paraId="29306B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336" w:type="dxa"/>
            <w:noWrap w:val="0"/>
            <w:vAlign w:val="center"/>
          </w:tcPr>
          <w:p w14:paraId="60F73A70">
            <w:pPr>
              <w:widowControl/>
              <w:jc w:val="center"/>
              <w:rPr>
                <w:rFonts w:hint="eastAsia" w:ascii="宋体" w:hAnsi="宋体" w:eastAsia="宋体" w:cs="宋体"/>
                <w:sz w:val="24"/>
                <w:szCs w:val="24"/>
              </w:rPr>
            </w:pPr>
          </w:p>
        </w:tc>
        <w:tc>
          <w:tcPr>
            <w:tcW w:w="2336" w:type="dxa"/>
            <w:noWrap w:val="0"/>
            <w:vAlign w:val="center"/>
          </w:tcPr>
          <w:p w14:paraId="3F735004">
            <w:pPr>
              <w:widowControl/>
              <w:jc w:val="center"/>
              <w:rPr>
                <w:rFonts w:hint="eastAsia" w:ascii="宋体" w:hAnsi="宋体" w:eastAsia="宋体" w:cs="宋体"/>
                <w:sz w:val="24"/>
                <w:szCs w:val="24"/>
              </w:rPr>
            </w:pPr>
          </w:p>
        </w:tc>
        <w:tc>
          <w:tcPr>
            <w:tcW w:w="2336" w:type="dxa"/>
            <w:noWrap w:val="0"/>
            <w:vAlign w:val="center"/>
          </w:tcPr>
          <w:p w14:paraId="322B096B">
            <w:pPr>
              <w:widowControl/>
              <w:jc w:val="center"/>
              <w:rPr>
                <w:rFonts w:hint="eastAsia" w:ascii="宋体" w:hAnsi="宋体" w:eastAsia="宋体" w:cs="宋体"/>
                <w:sz w:val="24"/>
                <w:szCs w:val="24"/>
              </w:rPr>
            </w:pPr>
          </w:p>
        </w:tc>
        <w:tc>
          <w:tcPr>
            <w:tcW w:w="2336" w:type="dxa"/>
            <w:vMerge w:val="continue"/>
            <w:noWrap w:val="0"/>
            <w:vAlign w:val="center"/>
          </w:tcPr>
          <w:p w14:paraId="093CBF37">
            <w:pPr>
              <w:widowControl/>
              <w:jc w:val="center"/>
              <w:rPr>
                <w:rFonts w:hint="eastAsia" w:ascii="宋体" w:hAnsi="宋体" w:eastAsia="宋体" w:cs="宋体"/>
                <w:sz w:val="24"/>
                <w:szCs w:val="24"/>
              </w:rPr>
            </w:pPr>
          </w:p>
        </w:tc>
      </w:tr>
      <w:tr w14:paraId="39768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336" w:type="dxa"/>
            <w:noWrap w:val="0"/>
            <w:vAlign w:val="center"/>
          </w:tcPr>
          <w:p w14:paraId="6F5864D3">
            <w:pPr>
              <w:widowControl/>
              <w:jc w:val="center"/>
              <w:rPr>
                <w:rFonts w:hint="eastAsia" w:ascii="宋体" w:hAnsi="宋体" w:eastAsia="宋体" w:cs="宋体"/>
                <w:sz w:val="24"/>
                <w:szCs w:val="24"/>
              </w:rPr>
            </w:pPr>
          </w:p>
        </w:tc>
        <w:tc>
          <w:tcPr>
            <w:tcW w:w="2336" w:type="dxa"/>
            <w:noWrap w:val="0"/>
            <w:vAlign w:val="center"/>
          </w:tcPr>
          <w:p w14:paraId="5DE89A88">
            <w:pPr>
              <w:widowControl/>
              <w:jc w:val="center"/>
              <w:rPr>
                <w:rFonts w:hint="eastAsia" w:ascii="宋体" w:hAnsi="宋体" w:eastAsia="宋体" w:cs="宋体"/>
                <w:sz w:val="24"/>
                <w:szCs w:val="24"/>
              </w:rPr>
            </w:pPr>
          </w:p>
        </w:tc>
        <w:tc>
          <w:tcPr>
            <w:tcW w:w="2336" w:type="dxa"/>
            <w:noWrap w:val="0"/>
            <w:vAlign w:val="center"/>
          </w:tcPr>
          <w:p w14:paraId="6F23333B">
            <w:pPr>
              <w:widowControl/>
              <w:jc w:val="center"/>
              <w:rPr>
                <w:rFonts w:hint="eastAsia" w:ascii="宋体" w:hAnsi="宋体" w:eastAsia="宋体" w:cs="宋体"/>
                <w:sz w:val="24"/>
                <w:szCs w:val="24"/>
              </w:rPr>
            </w:pPr>
          </w:p>
        </w:tc>
        <w:tc>
          <w:tcPr>
            <w:tcW w:w="2336" w:type="dxa"/>
            <w:vMerge w:val="continue"/>
            <w:noWrap w:val="0"/>
            <w:vAlign w:val="center"/>
          </w:tcPr>
          <w:p w14:paraId="2975C12F">
            <w:pPr>
              <w:widowControl/>
              <w:jc w:val="center"/>
              <w:rPr>
                <w:rFonts w:hint="eastAsia" w:ascii="宋体" w:hAnsi="宋体" w:eastAsia="宋体" w:cs="宋体"/>
                <w:sz w:val="24"/>
                <w:szCs w:val="24"/>
              </w:rPr>
            </w:pPr>
          </w:p>
        </w:tc>
      </w:tr>
      <w:tr w14:paraId="0EE16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336" w:type="dxa"/>
            <w:noWrap w:val="0"/>
            <w:vAlign w:val="center"/>
          </w:tcPr>
          <w:p w14:paraId="32B3CFB9">
            <w:pPr>
              <w:widowControl/>
              <w:jc w:val="center"/>
              <w:rPr>
                <w:rFonts w:hint="eastAsia" w:ascii="宋体" w:hAnsi="宋体" w:eastAsia="宋体" w:cs="宋体"/>
                <w:sz w:val="24"/>
                <w:szCs w:val="24"/>
              </w:rPr>
            </w:pPr>
          </w:p>
        </w:tc>
        <w:tc>
          <w:tcPr>
            <w:tcW w:w="2336" w:type="dxa"/>
            <w:noWrap w:val="0"/>
            <w:vAlign w:val="center"/>
          </w:tcPr>
          <w:p w14:paraId="6B815ADD">
            <w:pPr>
              <w:widowControl/>
              <w:jc w:val="center"/>
              <w:rPr>
                <w:rFonts w:hint="eastAsia" w:ascii="宋体" w:hAnsi="宋体" w:eastAsia="宋体" w:cs="宋体"/>
                <w:sz w:val="24"/>
                <w:szCs w:val="24"/>
              </w:rPr>
            </w:pPr>
          </w:p>
        </w:tc>
        <w:tc>
          <w:tcPr>
            <w:tcW w:w="2336" w:type="dxa"/>
            <w:noWrap w:val="0"/>
            <w:vAlign w:val="center"/>
          </w:tcPr>
          <w:p w14:paraId="015BC9E0">
            <w:pPr>
              <w:widowControl/>
              <w:jc w:val="center"/>
              <w:rPr>
                <w:rFonts w:hint="eastAsia" w:ascii="宋体" w:hAnsi="宋体" w:eastAsia="宋体" w:cs="宋体"/>
                <w:sz w:val="24"/>
                <w:szCs w:val="24"/>
              </w:rPr>
            </w:pPr>
          </w:p>
        </w:tc>
        <w:tc>
          <w:tcPr>
            <w:tcW w:w="2336" w:type="dxa"/>
            <w:vMerge w:val="continue"/>
            <w:noWrap w:val="0"/>
            <w:vAlign w:val="center"/>
          </w:tcPr>
          <w:p w14:paraId="1FA3AAC1">
            <w:pPr>
              <w:widowControl/>
              <w:jc w:val="center"/>
              <w:rPr>
                <w:rFonts w:hint="eastAsia" w:ascii="宋体" w:hAnsi="宋体" w:eastAsia="宋体" w:cs="宋体"/>
                <w:sz w:val="24"/>
                <w:szCs w:val="24"/>
              </w:rPr>
            </w:pPr>
          </w:p>
        </w:tc>
      </w:tr>
      <w:tr w14:paraId="7BA24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336" w:type="dxa"/>
            <w:noWrap w:val="0"/>
            <w:vAlign w:val="center"/>
          </w:tcPr>
          <w:p w14:paraId="11EC7FCB">
            <w:pPr>
              <w:widowControl/>
              <w:jc w:val="center"/>
              <w:rPr>
                <w:rFonts w:hint="eastAsia" w:ascii="宋体" w:hAnsi="宋体" w:eastAsia="宋体" w:cs="宋体"/>
                <w:sz w:val="24"/>
                <w:szCs w:val="24"/>
              </w:rPr>
            </w:pPr>
          </w:p>
        </w:tc>
        <w:tc>
          <w:tcPr>
            <w:tcW w:w="2336" w:type="dxa"/>
            <w:noWrap w:val="0"/>
            <w:vAlign w:val="center"/>
          </w:tcPr>
          <w:p w14:paraId="628C2A3F">
            <w:pPr>
              <w:widowControl/>
              <w:jc w:val="center"/>
              <w:rPr>
                <w:rFonts w:hint="eastAsia" w:ascii="宋体" w:hAnsi="宋体" w:eastAsia="宋体" w:cs="宋体"/>
                <w:sz w:val="24"/>
                <w:szCs w:val="24"/>
              </w:rPr>
            </w:pPr>
          </w:p>
        </w:tc>
        <w:tc>
          <w:tcPr>
            <w:tcW w:w="2336" w:type="dxa"/>
            <w:noWrap w:val="0"/>
            <w:vAlign w:val="center"/>
          </w:tcPr>
          <w:p w14:paraId="0B64CD2E">
            <w:pPr>
              <w:widowControl/>
              <w:jc w:val="center"/>
              <w:rPr>
                <w:rFonts w:hint="eastAsia" w:ascii="宋体" w:hAnsi="宋体" w:eastAsia="宋体" w:cs="宋体"/>
                <w:sz w:val="24"/>
                <w:szCs w:val="24"/>
              </w:rPr>
            </w:pPr>
          </w:p>
        </w:tc>
        <w:tc>
          <w:tcPr>
            <w:tcW w:w="2336" w:type="dxa"/>
            <w:vMerge w:val="continue"/>
            <w:noWrap w:val="0"/>
            <w:vAlign w:val="center"/>
          </w:tcPr>
          <w:p w14:paraId="57E26C9D">
            <w:pPr>
              <w:widowControl/>
              <w:jc w:val="center"/>
              <w:rPr>
                <w:rFonts w:hint="eastAsia" w:ascii="宋体" w:hAnsi="宋体" w:eastAsia="宋体" w:cs="宋体"/>
                <w:sz w:val="24"/>
                <w:szCs w:val="24"/>
              </w:rPr>
            </w:pPr>
          </w:p>
        </w:tc>
      </w:tr>
      <w:tr w14:paraId="08DF7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336" w:type="dxa"/>
            <w:noWrap w:val="0"/>
            <w:vAlign w:val="center"/>
          </w:tcPr>
          <w:p w14:paraId="7FD069B4">
            <w:pPr>
              <w:widowControl/>
              <w:jc w:val="center"/>
              <w:rPr>
                <w:rFonts w:hint="eastAsia" w:ascii="宋体" w:hAnsi="宋体" w:eastAsia="宋体" w:cs="宋体"/>
                <w:sz w:val="24"/>
                <w:szCs w:val="24"/>
              </w:rPr>
            </w:pPr>
          </w:p>
        </w:tc>
        <w:tc>
          <w:tcPr>
            <w:tcW w:w="2336" w:type="dxa"/>
            <w:noWrap w:val="0"/>
            <w:vAlign w:val="center"/>
          </w:tcPr>
          <w:p w14:paraId="719B4BC4">
            <w:pPr>
              <w:widowControl/>
              <w:jc w:val="center"/>
              <w:rPr>
                <w:rFonts w:hint="eastAsia" w:ascii="宋体" w:hAnsi="宋体" w:eastAsia="宋体" w:cs="宋体"/>
                <w:sz w:val="24"/>
                <w:szCs w:val="24"/>
              </w:rPr>
            </w:pPr>
          </w:p>
        </w:tc>
        <w:tc>
          <w:tcPr>
            <w:tcW w:w="2336" w:type="dxa"/>
            <w:noWrap w:val="0"/>
            <w:vAlign w:val="center"/>
          </w:tcPr>
          <w:p w14:paraId="250C696A">
            <w:pPr>
              <w:widowControl/>
              <w:jc w:val="center"/>
              <w:rPr>
                <w:rFonts w:hint="eastAsia" w:ascii="宋体" w:hAnsi="宋体" w:eastAsia="宋体" w:cs="宋体"/>
                <w:sz w:val="24"/>
                <w:szCs w:val="24"/>
              </w:rPr>
            </w:pPr>
          </w:p>
        </w:tc>
        <w:tc>
          <w:tcPr>
            <w:tcW w:w="2336" w:type="dxa"/>
            <w:vMerge w:val="continue"/>
            <w:noWrap w:val="0"/>
            <w:vAlign w:val="center"/>
          </w:tcPr>
          <w:p w14:paraId="50870451">
            <w:pPr>
              <w:widowControl/>
              <w:jc w:val="center"/>
              <w:rPr>
                <w:rFonts w:hint="eastAsia" w:ascii="宋体" w:hAnsi="宋体" w:eastAsia="宋体" w:cs="宋体"/>
                <w:sz w:val="24"/>
                <w:szCs w:val="24"/>
              </w:rPr>
            </w:pPr>
          </w:p>
        </w:tc>
      </w:tr>
      <w:tr w14:paraId="53CC1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336" w:type="dxa"/>
            <w:noWrap w:val="0"/>
            <w:vAlign w:val="center"/>
          </w:tcPr>
          <w:p w14:paraId="4E77E658">
            <w:pPr>
              <w:widowControl/>
              <w:jc w:val="center"/>
              <w:rPr>
                <w:rFonts w:hint="eastAsia" w:ascii="宋体" w:hAnsi="宋体" w:eastAsia="宋体" w:cs="宋体"/>
                <w:sz w:val="24"/>
                <w:szCs w:val="24"/>
              </w:rPr>
            </w:pPr>
          </w:p>
        </w:tc>
        <w:tc>
          <w:tcPr>
            <w:tcW w:w="2336" w:type="dxa"/>
            <w:noWrap w:val="0"/>
            <w:vAlign w:val="center"/>
          </w:tcPr>
          <w:p w14:paraId="5A855C04">
            <w:pPr>
              <w:widowControl/>
              <w:jc w:val="center"/>
              <w:rPr>
                <w:rFonts w:hint="eastAsia" w:ascii="宋体" w:hAnsi="宋体" w:eastAsia="宋体" w:cs="宋体"/>
                <w:sz w:val="24"/>
                <w:szCs w:val="24"/>
              </w:rPr>
            </w:pPr>
          </w:p>
        </w:tc>
        <w:tc>
          <w:tcPr>
            <w:tcW w:w="2336" w:type="dxa"/>
            <w:noWrap w:val="0"/>
            <w:vAlign w:val="center"/>
          </w:tcPr>
          <w:p w14:paraId="3472A613">
            <w:pPr>
              <w:widowControl/>
              <w:jc w:val="center"/>
              <w:rPr>
                <w:rFonts w:hint="eastAsia" w:ascii="宋体" w:hAnsi="宋体" w:eastAsia="宋体" w:cs="宋体"/>
                <w:sz w:val="24"/>
                <w:szCs w:val="24"/>
              </w:rPr>
            </w:pPr>
          </w:p>
        </w:tc>
        <w:tc>
          <w:tcPr>
            <w:tcW w:w="2336" w:type="dxa"/>
            <w:vMerge w:val="continue"/>
            <w:noWrap w:val="0"/>
            <w:vAlign w:val="center"/>
          </w:tcPr>
          <w:p w14:paraId="4AF1AB5A">
            <w:pPr>
              <w:widowControl/>
              <w:jc w:val="center"/>
              <w:rPr>
                <w:rFonts w:hint="eastAsia" w:ascii="宋体" w:hAnsi="宋体" w:eastAsia="宋体" w:cs="宋体"/>
                <w:sz w:val="24"/>
                <w:szCs w:val="24"/>
              </w:rPr>
            </w:pPr>
          </w:p>
        </w:tc>
      </w:tr>
      <w:tr w14:paraId="7E4B3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336" w:type="dxa"/>
            <w:noWrap w:val="0"/>
            <w:vAlign w:val="center"/>
          </w:tcPr>
          <w:p w14:paraId="791D2AA2">
            <w:pPr>
              <w:widowControl/>
              <w:jc w:val="center"/>
              <w:rPr>
                <w:rFonts w:hint="eastAsia" w:ascii="宋体" w:hAnsi="宋体" w:eastAsia="宋体" w:cs="宋体"/>
                <w:sz w:val="24"/>
                <w:szCs w:val="24"/>
              </w:rPr>
            </w:pPr>
          </w:p>
        </w:tc>
        <w:tc>
          <w:tcPr>
            <w:tcW w:w="2336" w:type="dxa"/>
            <w:noWrap w:val="0"/>
            <w:vAlign w:val="center"/>
          </w:tcPr>
          <w:p w14:paraId="2B228BFC">
            <w:pPr>
              <w:widowControl/>
              <w:jc w:val="center"/>
              <w:rPr>
                <w:rFonts w:hint="eastAsia" w:ascii="宋体" w:hAnsi="宋体" w:eastAsia="宋体" w:cs="宋体"/>
                <w:sz w:val="24"/>
                <w:szCs w:val="24"/>
              </w:rPr>
            </w:pPr>
          </w:p>
        </w:tc>
        <w:tc>
          <w:tcPr>
            <w:tcW w:w="2336" w:type="dxa"/>
            <w:noWrap w:val="0"/>
            <w:vAlign w:val="center"/>
          </w:tcPr>
          <w:p w14:paraId="04474D72">
            <w:pPr>
              <w:widowControl/>
              <w:jc w:val="center"/>
              <w:rPr>
                <w:rFonts w:hint="eastAsia" w:ascii="宋体" w:hAnsi="宋体" w:eastAsia="宋体" w:cs="宋体"/>
                <w:sz w:val="24"/>
                <w:szCs w:val="24"/>
              </w:rPr>
            </w:pPr>
          </w:p>
        </w:tc>
        <w:tc>
          <w:tcPr>
            <w:tcW w:w="2336" w:type="dxa"/>
            <w:vMerge w:val="continue"/>
            <w:noWrap w:val="0"/>
            <w:vAlign w:val="center"/>
          </w:tcPr>
          <w:p w14:paraId="036ABD2B">
            <w:pPr>
              <w:widowControl/>
              <w:jc w:val="center"/>
              <w:rPr>
                <w:rFonts w:hint="eastAsia" w:ascii="宋体" w:hAnsi="宋体" w:eastAsia="宋体" w:cs="宋体"/>
                <w:sz w:val="24"/>
                <w:szCs w:val="24"/>
              </w:rPr>
            </w:pPr>
          </w:p>
        </w:tc>
      </w:tr>
      <w:tr w14:paraId="7A6D2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672" w:type="dxa"/>
            <w:gridSpan w:val="2"/>
            <w:noWrap w:val="0"/>
            <w:vAlign w:val="center"/>
          </w:tcPr>
          <w:p w14:paraId="6B44008A">
            <w:pPr>
              <w:widowControl/>
              <w:jc w:val="center"/>
              <w:rPr>
                <w:rFonts w:hint="eastAsia" w:ascii="宋体" w:hAnsi="宋体" w:eastAsia="宋体" w:cs="宋体"/>
                <w:sz w:val="24"/>
                <w:szCs w:val="24"/>
              </w:rPr>
            </w:pPr>
            <w:r>
              <w:rPr>
                <w:rFonts w:hint="eastAsia" w:ascii="宋体" w:hAnsi="宋体" w:eastAsia="宋体" w:cs="宋体"/>
                <w:sz w:val="24"/>
                <w:szCs w:val="24"/>
              </w:rPr>
              <w:t>拟分包工程造价合计(万元)</w:t>
            </w:r>
          </w:p>
        </w:tc>
        <w:tc>
          <w:tcPr>
            <w:tcW w:w="2336" w:type="dxa"/>
            <w:noWrap w:val="0"/>
            <w:vAlign w:val="top"/>
          </w:tcPr>
          <w:p w14:paraId="34E75CD6">
            <w:pPr>
              <w:pStyle w:val="78"/>
              <w:keepLines w:val="0"/>
              <w:widowControl w:val="0"/>
              <w:spacing w:before="0" w:after="120"/>
              <w:jc w:val="center"/>
              <w:rPr>
                <w:rFonts w:hint="eastAsia" w:ascii="宋体" w:hAnsi="宋体" w:eastAsia="宋体" w:cs="宋体"/>
                <w:bCs w:val="0"/>
                <w:color w:val="000000"/>
                <w:sz w:val="24"/>
                <w:szCs w:val="24"/>
              </w:rPr>
            </w:pPr>
          </w:p>
        </w:tc>
        <w:tc>
          <w:tcPr>
            <w:tcW w:w="2336" w:type="dxa"/>
            <w:vMerge w:val="continue"/>
            <w:noWrap w:val="0"/>
            <w:vAlign w:val="center"/>
          </w:tcPr>
          <w:p w14:paraId="447B1C8B">
            <w:pPr>
              <w:widowControl/>
              <w:jc w:val="left"/>
              <w:rPr>
                <w:rFonts w:hint="eastAsia" w:ascii="宋体" w:hAnsi="宋体" w:eastAsia="宋体" w:cs="宋体"/>
                <w:sz w:val="24"/>
                <w:szCs w:val="24"/>
              </w:rPr>
            </w:pPr>
          </w:p>
        </w:tc>
      </w:tr>
    </w:tbl>
    <w:p w14:paraId="31F102C6">
      <w:pPr>
        <w:ind w:firstLine="482"/>
        <w:rPr>
          <w:rFonts w:hint="eastAsia" w:ascii="宋体" w:hAnsi="宋体" w:eastAsia="宋体" w:cs="宋体"/>
          <w:b/>
          <w:sz w:val="24"/>
          <w:szCs w:val="24"/>
        </w:rPr>
      </w:pPr>
    </w:p>
    <w:p w14:paraId="72F6E627">
      <w:pPr>
        <w:pStyle w:val="74"/>
        <w:spacing w:line="360" w:lineRule="auto"/>
        <w:ind w:left="0"/>
        <w:rPr>
          <w:rFonts w:ascii="宋体" w:hAnsi="宋体" w:cs="宋体"/>
          <w:b/>
          <w:bCs/>
          <w:color w:val="FF0000"/>
          <w:sz w:val="24"/>
          <w:szCs w:val="24"/>
          <w:lang w:val="en-US" w:eastAsia="zh-CN"/>
        </w:rPr>
      </w:pPr>
      <w:r>
        <w:rPr>
          <w:rFonts w:hint="eastAsia" w:ascii="宋体" w:hAnsi="宋体" w:cs="宋体"/>
          <w:b/>
          <w:bCs/>
          <w:color w:val="FF0000"/>
          <w:sz w:val="24"/>
          <w:szCs w:val="24"/>
          <w:lang w:val="en-US" w:eastAsia="zh-CN"/>
        </w:rPr>
        <w:t>注：本项目允许专业分包的工程范围仅限负面清单以外的部分单位工程、分部工程或者分项工程，并遵循《省交通运输厅关于贯彻落实交通运输部 &lt;公路工程施工分包管理办法&gt;的通知 》（苏交建函〔2024〕53号文）、《交通运输部关于印发&lt;公路工程施工分包管理办法&gt;的通知》（交公路规〔2024〕2号）、《交通运输部办公厅关于印发&lt;公路工程施工分包负面清单（2024年版）&gt;的通知》（交办公路〔2024〕6号）、</w:t>
      </w:r>
      <w:r>
        <w:rPr>
          <w:rFonts w:hint="eastAsia" w:ascii="宋体" w:hAnsi="宋体" w:eastAsia="宋体" w:cs="宋体"/>
          <w:b/>
          <w:bCs/>
          <w:color w:val="FF0000"/>
          <w:sz w:val="24"/>
          <w:szCs w:val="24"/>
          <w:lang w:val="en-US" w:eastAsia="zh-CN" w:bidi="ar"/>
        </w:rPr>
        <w:t>《江苏省公路工程施工分包管理实施细则》（苏交规〔2015〕2号）、</w:t>
      </w:r>
      <w:r>
        <w:rPr>
          <w:rFonts w:hint="eastAsia" w:ascii="宋体" w:hAnsi="宋体" w:cs="宋体"/>
          <w:b/>
          <w:bCs/>
          <w:color w:val="FF0000"/>
          <w:sz w:val="24"/>
          <w:szCs w:val="24"/>
          <w:lang w:val="en-US" w:eastAsia="zh-CN"/>
        </w:rPr>
        <w:t>《关于贯彻执行&lt;江苏省公路工程施工分包管理实施细则&gt;的意见》（苏交建工〔2015〕22号文）等</w:t>
      </w:r>
      <w:r>
        <w:rPr>
          <w:rFonts w:hint="eastAsia" w:ascii="宋体" w:hAnsi="宋体" w:eastAsia="宋体" w:cs="宋体"/>
          <w:b/>
          <w:bCs/>
          <w:color w:val="FF0000"/>
          <w:sz w:val="24"/>
          <w:szCs w:val="24"/>
          <w:lang w:val="en-US" w:eastAsia="zh-CN" w:bidi="ar"/>
        </w:rPr>
        <w:t>有关施工分包、劳务合作管理的要求</w:t>
      </w:r>
      <w:r>
        <w:rPr>
          <w:rFonts w:hint="eastAsia" w:ascii="宋体" w:hAnsi="宋体" w:cs="宋体"/>
          <w:b/>
          <w:bCs/>
          <w:color w:val="FF0000"/>
          <w:sz w:val="24"/>
          <w:szCs w:val="24"/>
          <w:lang w:val="en-US" w:eastAsia="zh-CN"/>
        </w:rPr>
        <w:t>执行.如相关要求有不一致之处，以发布时间在后的为准。承包人任何分包最终需经建设管理单位批准同意。</w:t>
      </w:r>
    </w:p>
    <w:p w14:paraId="22514472">
      <w:pPr>
        <w:pStyle w:val="242"/>
        <w:rPr>
          <w:color w:val="000000"/>
        </w:rPr>
      </w:pPr>
    </w:p>
    <w:p w14:paraId="023911AC">
      <w:pPr>
        <w:rPr>
          <w:rFonts w:hint="eastAsia" w:ascii="宋体" w:hAnsi="宋体" w:cs="宋体"/>
          <w:color w:val="000000"/>
          <w:sz w:val="24"/>
          <w:szCs w:val="24"/>
        </w:rPr>
      </w:pPr>
      <w:r>
        <w:rPr>
          <w:rFonts w:hint="eastAsia" w:ascii="宋体" w:hAnsi="宋体" w:cs="宋体"/>
          <w:color w:val="000000"/>
          <w:sz w:val="24"/>
          <w:szCs w:val="24"/>
        </w:rPr>
        <w:br w:type="page"/>
      </w:r>
    </w:p>
    <w:p w14:paraId="2C745779">
      <w:pPr>
        <w:spacing w:line="360" w:lineRule="auto"/>
        <w:rPr>
          <w:rFonts w:ascii="宋体" w:hAnsi="宋体" w:cs="宋体"/>
          <w:color w:val="000000"/>
          <w:sz w:val="24"/>
          <w:szCs w:val="24"/>
        </w:rPr>
      </w:pPr>
      <w:r>
        <w:rPr>
          <w:rFonts w:hint="eastAsia" w:ascii="宋体" w:hAnsi="宋体" w:cs="宋体"/>
          <w:color w:val="000000"/>
          <w:sz w:val="24"/>
          <w:szCs w:val="24"/>
        </w:rPr>
        <w:t>中小企业声明函、监狱企业证明、残疾人福利性单位声明函格式（格式）：</w:t>
      </w:r>
    </w:p>
    <w:p w14:paraId="5FA2429F">
      <w:pPr>
        <w:pStyle w:val="343"/>
        <w:spacing w:line="400" w:lineRule="exact"/>
        <w:ind w:firstLine="602"/>
        <w:jc w:val="center"/>
        <w:rPr>
          <w:rFonts w:hint="eastAsia" w:ascii="宋体" w:hAnsi="宋体" w:cs="宋体"/>
          <w:b/>
          <w:bCs/>
          <w:sz w:val="30"/>
          <w:szCs w:val="30"/>
          <w:highlight w:val="none"/>
        </w:rPr>
      </w:pPr>
      <w:r>
        <w:rPr>
          <w:rFonts w:hint="eastAsia" w:ascii="宋体" w:hAnsi="宋体" w:cs="宋体"/>
          <w:b/>
          <w:bCs/>
          <w:sz w:val="30"/>
          <w:szCs w:val="30"/>
          <w:highlight w:val="none"/>
        </w:rPr>
        <w:t>中小企业声明函（工程）</w:t>
      </w:r>
    </w:p>
    <w:p w14:paraId="0F8222F7">
      <w:pPr>
        <w:pStyle w:val="343"/>
        <w:spacing w:line="400" w:lineRule="exact"/>
        <w:ind w:firstLine="480"/>
        <w:jc w:val="center"/>
        <w:rPr>
          <w:rFonts w:hint="eastAsia" w:ascii="宋体" w:hAnsi="宋体" w:cs="宋体"/>
          <w:sz w:val="24"/>
          <w:szCs w:val="24"/>
          <w:highlight w:val="none"/>
        </w:rPr>
      </w:pPr>
      <w:r>
        <w:rPr>
          <w:rFonts w:hint="eastAsia"/>
          <w:sz w:val="24"/>
          <w:szCs w:val="24"/>
          <w:highlight w:val="none"/>
        </w:rPr>
        <w:t>（注：符合条件的请提供本函，不符合的不提供本函）</w:t>
      </w:r>
    </w:p>
    <w:p w14:paraId="589916EA">
      <w:pPr>
        <w:pStyle w:val="343"/>
        <w:spacing w:line="400" w:lineRule="exact"/>
        <w:ind w:firstLine="420"/>
        <w:rPr>
          <w:rFonts w:hint="eastAsia" w:ascii="宋体" w:hAnsi="宋体" w:cs="宋体"/>
          <w:sz w:val="24"/>
          <w:szCs w:val="24"/>
          <w:highlight w:val="none"/>
        </w:rPr>
      </w:pPr>
    </w:p>
    <w:p w14:paraId="29BA6308">
      <w:pPr>
        <w:pStyle w:val="343"/>
        <w:spacing w:line="400" w:lineRule="exact"/>
        <w:ind w:firstLine="420"/>
        <w:rPr>
          <w:rFonts w:hint="eastAsia" w:ascii="宋体" w:hAnsi="宋体" w:cs="宋体"/>
          <w:sz w:val="24"/>
          <w:szCs w:val="24"/>
          <w:highlight w:val="none"/>
        </w:rPr>
      </w:pPr>
      <w:r>
        <w:rPr>
          <w:rFonts w:hint="eastAsia" w:ascii="宋体" w:hAnsi="宋体" w:cs="宋体"/>
          <w:sz w:val="24"/>
          <w:szCs w:val="24"/>
          <w:highlight w:val="none"/>
        </w:rPr>
        <w:t>本公司（联合体）郑重声明，根据《政府采购促进中小企业发展管理办法》（财库﹝2020﹞46 号）的规定，本公司（联合体）参加</w:t>
      </w:r>
      <w:r>
        <w:rPr>
          <w:rFonts w:hint="eastAsia" w:ascii="宋体" w:hAnsi="宋体" w:cs="宋体"/>
          <w:sz w:val="24"/>
          <w:szCs w:val="24"/>
          <w:highlight w:val="none"/>
          <w:u w:val="single"/>
        </w:rPr>
        <w:t>（单位名称）</w:t>
      </w:r>
      <w:r>
        <w:rPr>
          <w:rFonts w:hint="eastAsia" w:ascii="宋体" w:hAnsi="宋体" w:cs="宋体"/>
          <w:sz w:val="24"/>
          <w:szCs w:val="24"/>
          <w:highlight w:val="none"/>
        </w:rPr>
        <w:t>的</w:t>
      </w:r>
      <w:r>
        <w:rPr>
          <w:rFonts w:hint="eastAsia" w:ascii="宋体" w:hAnsi="宋体" w:cs="宋体"/>
          <w:sz w:val="24"/>
          <w:szCs w:val="24"/>
          <w:highlight w:val="none"/>
          <w:u w:val="single"/>
        </w:rPr>
        <w:t>（项目名称）</w:t>
      </w:r>
      <w:r>
        <w:rPr>
          <w:rFonts w:hint="eastAsia" w:ascii="宋体" w:hAnsi="宋体" w:cs="宋体"/>
          <w:sz w:val="24"/>
          <w:szCs w:val="24"/>
          <w:highlight w:val="none"/>
        </w:rPr>
        <w:t>采购活动，工程的施工单位全部为符合政策要求的中小微企业。相关企业（含联合体中的中小企业、签订分包意向协议的中小企业）的具体情况如下：</w:t>
      </w:r>
    </w:p>
    <w:p w14:paraId="3A3B3A70">
      <w:pPr>
        <w:pStyle w:val="343"/>
        <w:spacing w:line="400" w:lineRule="exact"/>
        <w:ind w:firstLine="420"/>
        <w:rPr>
          <w:rFonts w:hint="eastAsia" w:ascii="宋体" w:hAnsi="宋体" w:cs="宋体"/>
          <w:sz w:val="24"/>
          <w:szCs w:val="24"/>
          <w:highlight w:val="none"/>
        </w:rPr>
      </w:pPr>
      <w:r>
        <w:rPr>
          <w:rFonts w:hint="eastAsia" w:ascii="宋体" w:hAnsi="宋体" w:cs="宋体"/>
          <w:sz w:val="24"/>
          <w:szCs w:val="24"/>
          <w:highlight w:val="none"/>
        </w:rPr>
        <w:t xml:space="preserve">1. </w:t>
      </w:r>
      <w:r>
        <w:rPr>
          <w:rFonts w:hint="eastAsia" w:ascii="宋体" w:hAnsi="宋体" w:cs="宋体"/>
          <w:sz w:val="24"/>
          <w:szCs w:val="24"/>
          <w:highlight w:val="none"/>
          <w:u w:val="single"/>
        </w:rPr>
        <w:t xml:space="preserve">（标的名称） </w:t>
      </w:r>
      <w:r>
        <w:rPr>
          <w:rFonts w:hint="eastAsia" w:ascii="宋体" w:hAnsi="宋体" w:cs="宋体"/>
          <w:sz w:val="24"/>
          <w:szCs w:val="24"/>
          <w:highlight w:val="none"/>
        </w:rPr>
        <w:t>，属于</w:t>
      </w:r>
      <w:r>
        <w:rPr>
          <w:rFonts w:hint="eastAsia" w:ascii="宋体" w:hAnsi="宋体" w:cs="宋体"/>
          <w:sz w:val="24"/>
          <w:szCs w:val="24"/>
          <w:highlight w:val="none"/>
          <w:u w:val="single"/>
        </w:rPr>
        <w:t xml:space="preserve">   建筑业   </w:t>
      </w:r>
      <w:r>
        <w:rPr>
          <w:rFonts w:hint="eastAsia" w:ascii="宋体" w:hAnsi="宋体" w:cs="宋体"/>
          <w:sz w:val="24"/>
          <w:szCs w:val="24"/>
          <w:highlight w:val="none"/>
        </w:rPr>
        <w:t>；承建企业为</w:t>
      </w:r>
      <w:r>
        <w:rPr>
          <w:rFonts w:hint="eastAsia" w:ascii="宋体" w:hAnsi="宋体" w:cs="宋体"/>
          <w:sz w:val="24"/>
          <w:szCs w:val="24"/>
          <w:highlight w:val="none"/>
          <w:u w:val="single"/>
        </w:rPr>
        <w:t>（企业名称）</w:t>
      </w:r>
      <w:r>
        <w:rPr>
          <w:rFonts w:hint="eastAsia" w:ascii="宋体" w:hAnsi="宋体" w:cs="宋体"/>
          <w:sz w:val="24"/>
          <w:szCs w:val="24"/>
          <w:highlight w:val="none"/>
        </w:rPr>
        <w:t>，从业人员人，营业收入为万元，资产总额为万元，属于</w:t>
      </w:r>
      <w:r>
        <w:rPr>
          <w:rFonts w:hint="eastAsia" w:ascii="宋体" w:hAnsi="宋体" w:cs="宋体"/>
          <w:sz w:val="24"/>
          <w:szCs w:val="24"/>
          <w:highlight w:val="none"/>
          <w:u w:val="single"/>
        </w:rPr>
        <w:t>（中型企业、小型企业、微型企业）</w:t>
      </w:r>
      <w:r>
        <w:rPr>
          <w:rFonts w:hint="eastAsia" w:ascii="宋体" w:hAnsi="宋体" w:cs="宋体"/>
          <w:sz w:val="24"/>
          <w:szCs w:val="24"/>
          <w:highlight w:val="none"/>
        </w:rPr>
        <w:t>；</w:t>
      </w:r>
    </w:p>
    <w:p w14:paraId="00EC0CCF">
      <w:pPr>
        <w:pStyle w:val="343"/>
        <w:spacing w:line="400" w:lineRule="exact"/>
        <w:ind w:firstLine="420"/>
        <w:rPr>
          <w:rFonts w:hint="eastAsia"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u w:val="single"/>
        </w:rPr>
        <w:t xml:space="preserve"> （标的名称）</w:t>
      </w:r>
      <w:r>
        <w:rPr>
          <w:rFonts w:hint="eastAsia" w:ascii="宋体" w:hAnsi="宋体" w:cs="宋体"/>
          <w:sz w:val="24"/>
          <w:szCs w:val="24"/>
          <w:highlight w:val="none"/>
        </w:rPr>
        <w:t xml:space="preserve"> ，属于</w:t>
      </w:r>
      <w:r>
        <w:rPr>
          <w:rFonts w:hint="eastAsia" w:ascii="宋体" w:hAnsi="宋体" w:cs="宋体"/>
          <w:sz w:val="24"/>
          <w:szCs w:val="24"/>
          <w:highlight w:val="none"/>
          <w:u w:val="single"/>
        </w:rPr>
        <w:t xml:space="preserve">   建筑业   </w:t>
      </w:r>
      <w:r>
        <w:rPr>
          <w:rFonts w:hint="eastAsia" w:ascii="宋体" w:hAnsi="宋体" w:cs="宋体"/>
          <w:sz w:val="24"/>
          <w:szCs w:val="24"/>
          <w:highlight w:val="none"/>
        </w:rPr>
        <w:t>；承建企业为</w:t>
      </w:r>
      <w:r>
        <w:rPr>
          <w:rFonts w:hint="eastAsia" w:ascii="宋体" w:hAnsi="宋体" w:cs="宋体"/>
          <w:sz w:val="24"/>
          <w:szCs w:val="24"/>
          <w:highlight w:val="none"/>
          <w:u w:val="single"/>
        </w:rPr>
        <w:t>（企业名称）</w:t>
      </w:r>
      <w:r>
        <w:rPr>
          <w:rFonts w:hint="eastAsia" w:ascii="宋体" w:hAnsi="宋体" w:cs="宋体"/>
          <w:sz w:val="24"/>
          <w:szCs w:val="24"/>
          <w:highlight w:val="none"/>
        </w:rPr>
        <w:t>，从业人员人，营业收入为万元，资产总额为万元，属于</w:t>
      </w:r>
      <w:r>
        <w:rPr>
          <w:rFonts w:hint="eastAsia" w:ascii="宋体" w:hAnsi="宋体" w:cs="宋体"/>
          <w:sz w:val="24"/>
          <w:szCs w:val="24"/>
          <w:highlight w:val="none"/>
          <w:u w:val="single"/>
        </w:rPr>
        <w:t>（中型企业、小型企业、微型企业</w:t>
      </w:r>
      <w:r>
        <w:rPr>
          <w:rFonts w:hint="eastAsia" w:ascii="宋体" w:hAnsi="宋体" w:cs="宋体"/>
          <w:sz w:val="24"/>
          <w:szCs w:val="24"/>
          <w:highlight w:val="none"/>
        </w:rPr>
        <w:t>）；</w:t>
      </w:r>
    </w:p>
    <w:p w14:paraId="1B4F7724">
      <w:pPr>
        <w:pStyle w:val="343"/>
        <w:spacing w:line="400" w:lineRule="exact"/>
        <w:ind w:firstLine="420"/>
        <w:rPr>
          <w:rFonts w:hint="eastAsia" w:ascii="宋体" w:hAnsi="宋体" w:cs="宋体"/>
          <w:sz w:val="24"/>
          <w:szCs w:val="24"/>
          <w:highlight w:val="none"/>
        </w:rPr>
      </w:pPr>
      <w:r>
        <w:rPr>
          <w:rFonts w:hint="eastAsia" w:ascii="宋体" w:hAnsi="宋体" w:cs="宋体"/>
          <w:sz w:val="24"/>
          <w:szCs w:val="24"/>
          <w:highlight w:val="none"/>
        </w:rPr>
        <w:t>……</w:t>
      </w:r>
    </w:p>
    <w:p w14:paraId="2EF77DB8">
      <w:pPr>
        <w:pStyle w:val="343"/>
        <w:spacing w:line="400" w:lineRule="exact"/>
        <w:ind w:firstLine="420"/>
        <w:rPr>
          <w:rFonts w:hint="eastAsia" w:ascii="宋体" w:hAnsi="宋体" w:cs="宋体"/>
          <w:sz w:val="24"/>
          <w:szCs w:val="24"/>
          <w:highlight w:val="none"/>
        </w:rPr>
      </w:pPr>
      <w:r>
        <w:rPr>
          <w:rFonts w:hint="eastAsia" w:ascii="宋体" w:hAnsi="宋体" w:cs="宋体"/>
          <w:sz w:val="24"/>
          <w:szCs w:val="24"/>
          <w:highlight w:val="none"/>
        </w:rPr>
        <w:t>以上企业，不属于大企业的分支机构，不存在控股股东为大企业的情形，也不存在与大企业的负责人为同一人的情形。</w:t>
      </w:r>
    </w:p>
    <w:p w14:paraId="47EFD635">
      <w:pPr>
        <w:pStyle w:val="343"/>
        <w:spacing w:line="400" w:lineRule="exact"/>
        <w:ind w:firstLine="420"/>
        <w:rPr>
          <w:rFonts w:hint="eastAsia" w:ascii="宋体" w:hAnsi="宋体" w:cs="宋体"/>
          <w:sz w:val="24"/>
          <w:szCs w:val="24"/>
          <w:highlight w:val="none"/>
        </w:rPr>
      </w:pPr>
      <w:r>
        <w:rPr>
          <w:rFonts w:hint="eastAsia" w:ascii="宋体" w:hAnsi="宋体" w:cs="宋体"/>
          <w:sz w:val="24"/>
          <w:szCs w:val="24"/>
          <w:highlight w:val="none"/>
        </w:rPr>
        <w:t>本企业对上述声明内容的真实性负责。如有虚假，将依法承担相应责任。</w:t>
      </w:r>
    </w:p>
    <w:p w14:paraId="7875A72D">
      <w:pPr>
        <w:pStyle w:val="343"/>
        <w:spacing w:line="400" w:lineRule="exact"/>
        <w:ind w:firstLine="420"/>
        <w:rPr>
          <w:rFonts w:hint="eastAsia" w:ascii="宋体" w:hAnsi="宋体" w:cs="宋体"/>
          <w:sz w:val="24"/>
          <w:szCs w:val="24"/>
          <w:highlight w:val="none"/>
        </w:rPr>
      </w:pPr>
    </w:p>
    <w:p w14:paraId="31E5DF67">
      <w:pPr>
        <w:pStyle w:val="343"/>
        <w:spacing w:line="400" w:lineRule="exact"/>
        <w:ind w:firstLine="420"/>
        <w:rPr>
          <w:rFonts w:hint="eastAsia" w:ascii="宋体" w:hAnsi="宋体" w:cs="宋体"/>
          <w:sz w:val="24"/>
          <w:szCs w:val="24"/>
          <w:highlight w:val="none"/>
        </w:rPr>
      </w:pPr>
      <w:r>
        <w:rPr>
          <w:rFonts w:hint="eastAsia" w:ascii="宋体" w:hAnsi="宋体" w:cs="宋体"/>
          <w:sz w:val="24"/>
          <w:szCs w:val="24"/>
          <w:highlight w:val="none"/>
        </w:rPr>
        <w:t>企业名称（盖章）：</w:t>
      </w:r>
    </w:p>
    <w:p w14:paraId="325CA9FF">
      <w:pPr>
        <w:pStyle w:val="343"/>
        <w:spacing w:line="400" w:lineRule="exact"/>
        <w:ind w:firstLine="420"/>
        <w:rPr>
          <w:rFonts w:hint="eastAsia" w:ascii="宋体" w:hAnsi="宋体" w:cs="宋体"/>
          <w:sz w:val="24"/>
          <w:szCs w:val="24"/>
          <w:highlight w:val="none"/>
        </w:rPr>
      </w:pPr>
      <w:r>
        <w:rPr>
          <w:rFonts w:hint="eastAsia" w:ascii="宋体" w:hAnsi="宋体" w:cs="宋体"/>
          <w:sz w:val="24"/>
          <w:szCs w:val="24"/>
          <w:highlight w:val="none"/>
        </w:rPr>
        <w:t>日期：</w:t>
      </w:r>
    </w:p>
    <w:p w14:paraId="6EA2C6B4">
      <w:pPr>
        <w:pStyle w:val="343"/>
        <w:spacing w:line="400" w:lineRule="exact"/>
        <w:ind w:firstLine="420"/>
        <w:rPr>
          <w:rFonts w:hint="eastAsia" w:ascii="宋体" w:hAnsi="宋体" w:cs="宋体"/>
          <w:sz w:val="24"/>
          <w:szCs w:val="24"/>
          <w:highlight w:val="none"/>
        </w:rPr>
      </w:pPr>
    </w:p>
    <w:p w14:paraId="630B423E">
      <w:pPr>
        <w:pStyle w:val="343"/>
        <w:spacing w:line="400" w:lineRule="exact"/>
        <w:rPr>
          <w:rFonts w:hint="eastAsia" w:ascii="宋体" w:hAnsi="宋体" w:cs="宋体"/>
          <w:sz w:val="24"/>
          <w:szCs w:val="24"/>
          <w:highlight w:val="none"/>
        </w:rPr>
      </w:pPr>
      <w:r>
        <w:rPr>
          <w:rFonts w:hint="eastAsia" w:ascii="宋体" w:hAnsi="宋体" w:cs="宋体"/>
          <w:sz w:val="24"/>
          <w:szCs w:val="24"/>
          <w:highlight w:val="none"/>
        </w:rPr>
        <w:t>注：1 从业人员、营业收入、资产总额填报上一年度数据，无上一年度数据的新成立企业可不填报。</w:t>
      </w:r>
    </w:p>
    <w:p w14:paraId="6168FCD9">
      <w:pPr>
        <w:pStyle w:val="343"/>
        <w:spacing w:line="400" w:lineRule="exact"/>
        <w:ind w:firstLine="400"/>
        <w:rPr>
          <w:rFonts w:hint="eastAsia" w:ascii="宋体" w:hAnsi="宋体" w:cs="宋体"/>
          <w:sz w:val="24"/>
          <w:szCs w:val="24"/>
          <w:highlight w:val="none"/>
        </w:rPr>
      </w:pPr>
      <w:r>
        <w:rPr>
          <w:rFonts w:hint="eastAsia" w:ascii="宋体" w:hAnsi="宋体" w:cs="宋体"/>
          <w:sz w:val="24"/>
          <w:szCs w:val="24"/>
          <w:highlight w:val="none"/>
        </w:rPr>
        <w:t>2、中小企业划分标准详见“工信部联企业〔2011〕300号通知中的《中小企业划型标准规定》。</w:t>
      </w:r>
    </w:p>
    <w:p w14:paraId="0220809F">
      <w:pPr>
        <w:spacing w:line="400" w:lineRule="exact"/>
        <w:ind w:firstLine="400"/>
        <w:rPr>
          <w:rFonts w:hint="eastAsia" w:ascii="宋体" w:hAnsi="宋体" w:cs="宋体"/>
          <w:highlight w:val="none"/>
        </w:rPr>
      </w:pPr>
      <w:r>
        <w:rPr>
          <w:rFonts w:hint="eastAsia" w:ascii="宋体" w:hAnsi="宋体" w:cs="宋体"/>
          <w:highlight w:val="none"/>
        </w:rPr>
        <w:t>3、中标、成交供应商享受中小企业扶持政策的，采购人、采购代理机构应当随中标、成交结果公开中标、成交产品制造商的《中小企业声明函》。</w:t>
      </w:r>
    </w:p>
    <w:p w14:paraId="27778E5C">
      <w:pPr>
        <w:spacing w:line="500" w:lineRule="exact"/>
        <w:ind w:firstLine="400"/>
        <w:rPr>
          <w:rFonts w:hint="eastAsia" w:ascii="宋体" w:hAnsi="宋体" w:cs="宋体"/>
          <w:highlight w:val="none"/>
        </w:rPr>
      </w:pPr>
      <w:r>
        <w:rPr>
          <w:rFonts w:hint="eastAsia" w:ascii="宋体" w:hAnsi="宋体" w:cs="宋体"/>
          <w:highlight w:val="none"/>
        </w:rPr>
        <w:t>4、供应商提供的声明函内容不实的，属于提供虚假材料谋取中标、成交，依照《中华人民共和国政府采购法》等国家有关规定追究相应责任。</w:t>
      </w:r>
    </w:p>
    <w:p w14:paraId="2AAC5D24">
      <w:pPr>
        <w:spacing w:line="400" w:lineRule="exact"/>
        <w:outlineLvl w:val="2"/>
        <w:rPr>
          <w:rFonts w:hint="eastAsia" w:hAnsi="宋体"/>
          <w:sz w:val="32"/>
          <w:szCs w:val="32"/>
          <w:highlight w:val="none"/>
        </w:rPr>
      </w:pPr>
    </w:p>
    <w:p w14:paraId="60888367">
      <w:pPr>
        <w:pStyle w:val="262"/>
        <w:rPr>
          <w:rFonts w:hint="eastAsia" w:hAnsi="宋体"/>
          <w:sz w:val="32"/>
          <w:szCs w:val="32"/>
          <w:highlight w:val="none"/>
        </w:rPr>
      </w:pPr>
    </w:p>
    <w:p w14:paraId="03690D89">
      <w:pPr>
        <w:pStyle w:val="262"/>
        <w:rPr>
          <w:rFonts w:hint="eastAsia" w:hAnsi="宋体"/>
          <w:sz w:val="32"/>
          <w:szCs w:val="32"/>
          <w:highlight w:val="none"/>
        </w:rPr>
      </w:pPr>
    </w:p>
    <w:p w14:paraId="520E6C3C">
      <w:pPr>
        <w:rPr>
          <w:rFonts w:hint="eastAsia" w:hAnsi="宋体"/>
          <w:b/>
          <w:bCs/>
          <w:sz w:val="32"/>
          <w:szCs w:val="32"/>
          <w:highlight w:val="none"/>
        </w:rPr>
      </w:pPr>
    </w:p>
    <w:p w14:paraId="2F94516A">
      <w:pPr>
        <w:spacing w:line="400" w:lineRule="exact"/>
        <w:jc w:val="center"/>
        <w:outlineLvl w:val="2"/>
        <w:rPr>
          <w:rFonts w:hint="eastAsia" w:hAnsi="宋体"/>
          <w:b/>
          <w:bCs/>
          <w:sz w:val="32"/>
          <w:szCs w:val="32"/>
          <w:highlight w:val="none"/>
        </w:rPr>
      </w:pPr>
      <w:r>
        <w:rPr>
          <w:rFonts w:hint="eastAsia" w:hAnsi="宋体"/>
          <w:b/>
          <w:bCs/>
          <w:sz w:val="32"/>
          <w:szCs w:val="32"/>
          <w:highlight w:val="none"/>
        </w:rPr>
        <w:t>监狱和戒毒企业（监狱企业）证明</w:t>
      </w:r>
    </w:p>
    <w:p w14:paraId="20E58D14">
      <w:pPr>
        <w:spacing w:line="400" w:lineRule="exact"/>
        <w:jc w:val="center"/>
        <w:rPr>
          <w:highlight w:val="none"/>
        </w:rPr>
      </w:pPr>
      <w:r>
        <w:rPr>
          <w:rFonts w:hint="eastAsia"/>
          <w:highlight w:val="none"/>
        </w:rPr>
        <w:t>（注：符合条件的监狱企业请提供，不符合的不提供）</w:t>
      </w:r>
    </w:p>
    <w:p w14:paraId="551CCC1E">
      <w:pPr>
        <w:pStyle w:val="408"/>
        <w:spacing w:before="156" w:line="400" w:lineRule="exact"/>
        <w:rPr>
          <w:rFonts w:hint="eastAsia" w:hAnsi="宋体" w:cs="宋体"/>
          <w:b/>
          <w:bCs/>
          <w:szCs w:val="24"/>
          <w:highlight w:val="none"/>
        </w:rPr>
      </w:pPr>
      <w:r>
        <w:rPr>
          <w:rFonts w:hint="eastAsia" w:hAnsi="宋体" w:cs="宋体"/>
          <w:b/>
          <w:bCs/>
          <w:szCs w:val="24"/>
          <w:highlight w:val="none"/>
        </w:rPr>
        <w:t>提供由省级以上监狱管理局、戒毒管理局（含新疆生产建设兵团）出具的属于监狱企业的证明文件。</w:t>
      </w:r>
    </w:p>
    <w:p w14:paraId="6E001AD5">
      <w:pPr>
        <w:spacing w:line="400" w:lineRule="exact"/>
        <w:outlineLvl w:val="2"/>
        <w:rPr>
          <w:rFonts w:hint="eastAsia" w:hAnsi="宋体"/>
          <w:highlight w:val="none"/>
        </w:rPr>
      </w:pPr>
    </w:p>
    <w:p w14:paraId="099B7AF4">
      <w:pPr>
        <w:pStyle w:val="262"/>
        <w:rPr>
          <w:rFonts w:hint="eastAsia" w:hAnsi="宋体"/>
          <w:sz w:val="32"/>
          <w:szCs w:val="32"/>
          <w:highlight w:val="none"/>
        </w:rPr>
      </w:pPr>
    </w:p>
    <w:p w14:paraId="00004408">
      <w:pPr>
        <w:rPr>
          <w:highlight w:val="none"/>
        </w:rPr>
      </w:pPr>
    </w:p>
    <w:p w14:paraId="66E8BF40">
      <w:pPr>
        <w:spacing w:line="400" w:lineRule="exact"/>
        <w:jc w:val="center"/>
        <w:outlineLvl w:val="2"/>
        <w:rPr>
          <w:rFonts w:hint="eastAsia" w:hAnsi="宋体"/>
          <w:b/>
          <w:bCs/>
          <w:sz w:val="32"/>
          <w:szCs w:val="32"/>
          <w:highlight w:val="none"/>
        </w:rPr>
      </w:pPr>
      <w:r>
        <w:rPr>
          <w:rFonts w:hint="eastAsia" w:hAnsi="宋体"/>
          <w:b/>
          <w:bCs/>
          <w:sz w:val="32"/>
          <w:szCs w:val="32"/>
          <w:highlight w:val="none"/>
        </w:rPr>
        <w:t>残疾人福利性单位声明函</w:t>
      </w:r>
    </w:p>
    <w:p w14:paraId="5865A229">
      <w:pPr>
        <w:spacing w:line="400" w:lineRule="exact"/>
        <w:jc w:val="center"/>
        <w:rPr>
          <w:highlight w:val="none"/>
        </w:rPr>
      </w:pPr>
      <w:r>
        <w:rPr>
          <w:rFonts w:hint="eastAsia"/>
          <w:highlight w:val="none"/>
        </w:rPr>
        <w:t>（注：符合条件的残疾人福利性单位请提供本函，不符合的不提供本函）</w:t>
      </w:r>
    </w:p>
    <w:p w14:paraId="04B8C873">
      <w:pPr>
        <w:spacing w:line="400" w:lineRule="exact"/>
        <w:rPr>
          <w:highlight w:val="none"/>
        </w:rPr>
      </w:pPr>
    </w:p>
    <w:p w14:paraId="7B91CABD">
      <w:pPr>
        <w:spacing w:line="400" w:lineRule="exact"/>
        <w:rPr>
          <w:highlight w:val="none"/>
        </w:rPr>
      </w:pPr>
    </w:p>
    <w:p w14:paraId="32DDBDFE">
      <w:pPr>
        <w:spacing w:line="400" w:lineRule="exact"/>
        <w:ind w:firstLine="420"/>
        <w:rPr>
          <w:highlight w:val="none"/>
        </w:rPr>
      </w:pPr>
      <w:r>
        <w:rPr>
          <w:rFonts w:hint="eastAsia"/>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F827EC4">
      <w:pPr>
        <w:spacing w:line="400" w:lineRule="exact"/>
        <w:ind w:firstLine="420"/>
        <w:rPr>
          <w:highlight w:val="none"/>
        </w:rPr>
      </w:pPr>
    </w:p>
    <w:p w14:paraId="64FE79F5">
      <w:pPr>
        <w:spacing w:line="400" w:lineRule="exact"/>
        <w:ind w:firstLine="420"/>
        <w:rPr>
          <w:highlight w:val="none"/>
        </w:rPr>
      </w:pPr>
      <w:r>
        <w:rPr>
          <w:rFonts w:hint="eastAsia"/>
          <w:highlight w:val="none"/>
        </w:rPr>
        <w:t>本单位对上述声明的真实性负责。如有虚假，将依法承担相应责任。</w:t>
      </w:r>
    </w:p>
    <w:p w14:paraId="672C6A69">
      <w:pPr>
        <w:spacing w:line="400" w:lineRule="exact"/>
        <w:ind w:firstLine="420"/>
        <w:rPr>
          <w:highlight w:val="none"/>
        </w:rPr>
      </w:pPr>
    </w:p>
    <w:p w14:paraId="2B84597A">
      <w:pPr>
        <w:spacing w:line="400" w:lineRule="exact"/>
        <w:ind w:firstLine="420"/>
        <w:rPr>
          <w:highlight w:val="none"/>
        </w:rPr>
      </w:pPr>
    </w:p>
    <w:p w14:paraId="43A46B89">
      <w:pPr>
        <w:spacing w:line="400" w:lineRule="exact"/>
        <w:rPr>
          <w:highlight w:val="none"/>
        </w:rPr>
      </w:pPr>
    </w:p>
    <w:p w14:paraId="57227CC9">
      <w:pPr>
        <w:spacing w:line="400" w:lineRule="exact"/>
        <w:ind w:firstLine="4620"/>
        <w:rPr>
          <w:rFonts w:hint="eastAsia"/>
          <w:highlight w:val="none"/>
        </w:rPr>
      </w:pPr>
      <w:r>
        <w:rPr>
          <w:rFonts w:hint="eastAsia"/>
          <w:highlight w:val="none"/>
        </w:rPr>
        <w:t>单位名称（盖章）：</w:t>
      </w:r>
    </w:p>
    <w:p w14:paraId="181F5B50">
      <w:pPr>
        <w:spacing w:line="400" w:lineRule="exact"/>
        <w:ind w:firstLine="4620"/>
        <w:rPr>
          <w:color w:val="000000"/>
        </w:rPr>
      </w:pPr>
      <w:r>
        <w:rPr>
          <w:rFonts w:hint="eastAsia"/>
          <w:highlight w:val="none"/>
        </w:rPr>
        <w:t>日  期：</w:t>
      </w:r>
    </w:p>
    <w:p w14:paraId="2F9C71B6">
      <w:pPr>
        <w:pStyle w:val="242"/>
        <w:rPr>
          <w:color w:val="000000"/>
        </w:rPr>
      </w:pPr>
    </w:p>
    <w:p w14:paraId="78533C18">
      <w:pPr>
        <w:pStyle w:val="237"/>
        <w:spacing w:before="156" w:after="156" w:line="360" w:lineRule="exact"/>
        <w:rPr>
          <w:rFonts w:hint="eastAsia" w:ascii="宋体" w:hAnsi="宋体"/>
          <w:color w:val="000000"/>
          <w:sz w:val="24"/>
          <w:szCs w:val="24"/>
        </w:rPr>
      </w:pPr>
    </w:p>
    <w:p w14:paraId="32EA36D5">
      <w:pPr>
        <w:rPr>
          <w:rFonts w:hint="eastAsia" w:ascii="宋体" w:hAnsi="宋体"/>
          <w:color w:val="000000"/>
          <w:sz w:val="24"/>
          <w:szCs w:val="24"/>
        </w:rPr>
      </w:pPr>
      <w:r>
        <w:rPr>
          <w:rFonts w:hint="eastAsia" w:ascii="宋体" w:hAnsi="宋体"/>
          <w:color w:val="000000"/>
          <w:sz w:val="24"/>
          <w:szCs w:val="24"/>
        </w:rPr>
        <w:br w:type="page" w:clear="all"/>
      </w:r>
    </w:p>
    <w:p w14:paraId="23877F69">
      <w:pPr>
        <w:pStyle w:val="237"/>
        <w:spacing w:before="156" w:after="156" w:line="360" w:lineRule="exact"/>
        <w:rPr>
          <w:rFonts w:ascii="宋体" w:hAnsi="宋体" w:cs="宋体"/>
          <w:color w:val="000000"/>
          <w:sz w:val="24"/>
          <w:szCs w:val="24"/>
        </w:rPr>
      </w:pPr>
      <w:r>
        <w:rPr>
          <w:rFonts w:hint="eastAsia" w:ascii="宋体" w:hAnsi="宋体"/>
          <w:color w:val="000000"/>
          <w:sz w:val="24"/>
          <w:szCs w:val="24"/>
        </w:rPr>
        <w:t>3.6</w:t>
      </w:r>
      <w:r>
        <w:rPr>
          <w:rFonts w:hint="eastAsia" w:ascii="宋体" w:hAnsi="宋体"/>
          <w:bCs/>
          <w:color w:val="000000"/>
          <w:sz w:val="24"/>
          <w:szCs w:val="24"/>
        </w:rPr>
        <w:t>采购需求响应表</w:t>
      </w:r>
    </w:p>
    <w:p w14:paraId="5FCCD608">
      <w:pPr>
        <w:spacing w:line="400" w:lineRule="exact"/>
        <w:jc w:val="center"/>
        <w:outlineLvl w:val="0"/>
        <w:rPr>
          <w:rFonts w:ascii="宋体" w:hAnsi="宋体" w:cs="宋体"/>
          <w:bCs/>
          <w:color w:val="000000"/>
          <w:sz w:val="24"/>
          <w:szCs w:val="24"/>
        </w:rPr>
      </w:pPr>
    </w:p>
    <w:tbl>
      <w:tblPr>
        <w:tblStyle w:val="28"/>
        <w:tblW w:w="8662" w:type="dxa"/>
        <w:tblInd w:w="-30" w:type="dxa"/>
        <w:tblLayout w:type="fixed"/>
        <w:tblCellMar>
          <w:top w:w="15" w:type="dxa"/>
          <w:left w:w="15" w:type="dxa"/>
          <w:bottom w:w="0" w:type="dxa"/>
          <w:right w:w="15" w:type="dxa"/>
        </w:tblCellMar>
      </w:tblPr>
      <w:tblGrid>
        <w:gridCol w:w="2165"/>
        <w:gridCol w:w="2166"/>
        <w:gridCol w:w="2165"/>
        <w:gridCol w:w="2166"/>
      </w:tblGrid>
      <w:tr w14:paraId="7E5B0056">
        <w:tblPrEx>
          <w:tblCellMar>
            <w:top w:w="15" w:type="dxa"/>
            <w:left w:w="15" w:type="dxa"/>
            <w:bottom w:w="0" w:type="dxa"/>
            <w:right w:w="15" w:type="dxa"/>
          </w:tblCellMar>
        </w:tblPrEx>
        <w:trPr>
          <w:cantSplit/>
          <w:trHeight w:val="555" w:hRule="atLeast"/>
        </w:trPr>
        <w:tc>
          <w:tcPr>
            <w:tcW w:w="216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8D0D4ED">
            <w:pPr>
              <w:jc w:val="center"/>
              <w:rPr>
                <w:rFonts w:ascii="宋体" w:hAnsi="宋体" w:cs="宋体"/>
                <w:b/>
                <w:bCs/>
                <w:color w:val="000000"/>
                <w:sz w:val="24"/>
                <w:szCs w:val="24"/>
              </w:rPr>
            </w:pPr>
            <w:r>
              <w:rPr>
                <w:rFonts w:hint="eastAsia" w:ascii="宋体" w:hAnsi="宋体" w:cs="宋体"/>
                <w:b/>
                <w:bCs/>
                <w:color w:val="000000"/>
                <w:sz w:val="24"/>
                <w:szCs w:val="24"/>
              </w:rPr>
              <w:t>项目名称</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51AEB02">
            <w:pPr>
              <w:jc w:val="center"/>
              <w:rPr>
                <w:rFonts w:ascii="宋体" w:hAnsi="宋体" w:cs="宋体"/>
                <w:b/>
                <w:bCs/>
                <w:color w:val="000000"/>
                <w:sz w:val="24"/>
                <w:szCs w:val="24"/>
              </w:rPr>
            </w:pPr>
            <w:r>
              <w:rPr>
                <w:rFonts w:hint="eastAsia" w:ascii="宋体" w:hAnsi="宋体" w:cs="宋体"/>
                <w:b/>
                <w:bCs/>
                <w:color w:val="000000"/>
                <w:sz w:val="24"/>
                <w:szCs w:val="24"/>
              </w:rPr>
              <w:t>采购要求</w:t>
            </w:r>
          </w:p>
        </w:tc>
        <w:tc>
          <w:tcPr>
            <w:tcW w:w="2165" w:type="dxa"/>
            <w:tcBorders>
              <w:top w:val="single" w:color="000000" w:sz="4" w:space="0"/>
              <w:left w:val="single" w:color="000000" w:sz="4" w:space="0"/>
              <w:bottom w:val="single" w:color="000000" w:sz="4" w:space="0"/>
              <w:right w:val="single" w:color="000000" w:sz="4" w:space="0"/>
            </w:tcBorders>
            <w:noWrap w:val="0"/>
            <w:vAlign w:val="center"/>
          </w:tcPr>
          <w:p w14:paraId="75E13CBC">
            <w:pPr>
              <w:jc w:val="center"/>
              <w:rPr>
                <w:rFonts w:ascii="宋体" w:hAnsi="宋体" w:cs="宋体"/>
                <w:b/>
                <w:bCs/>
                <w:color w:val="000000"/>
                <w:sz w:val="24"/>
                <w:szCs w:val="24"/>
              </w:rPr>
            </w:pPr>
            <w:r>
              <w:rPr>
                <w:rFonts w:hint="eastAsia" w:ascii="宋体" w:hAnsi="宋体" w:cs="宋体"/>
                <w:b/>
                <w:bCs/>
                <w:color w:val="000000"/>
                <w:sz w:val="24"/>
                <w:szCs w:val="24"/>
              </w:rPr>
              <w:t>实报内容</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09C0703">
            <w:pPr>
              <w:jc w:val="center"/>
              <w:rPr>
                <w:rFonts w:ascii="宋体" w:hAnsi="宋体" w:cs="宋体"/>
                <w:b/>
                <w:bCs/>
                <w:color w:val="000000"/>
                <w:sz w:val="24"/>
                <w:szCs w:val="24"/>
              </w:rPr>
            </w:pPr>
            <w:r>
              <w:rPr>
                <w:rFonts w:hint="eastAsia" w:ascii="宋体" w:hAnsi="宋体" w:cs="宋体"/>
                <w:b/>
                <w:bCs/>
                <w:color w:val="000000"/>
                <w:sz w:val="24"/>
                <w:szCs w:val="24"/>
              </w:rPr>
              <w:t>偏离说明</w:t>
            </w:r>
          </w:p>
        </w:tc>
      </w:tr>
      <w:tr w14:paraId="3E8259B5">
        <w:tblPrEx>
          <w:tblCellMar>
            <w:top w:w="15" w:type="dxa"/>
            <w:left w:w="15" w:type="dxa"/>
            <w:bottom w:w="0" w:type="dxa"/>
            <w:right w:w="15" w:type="dxa"/>
          </w:tblCellMar>
        </w:tblPrEx>
        <w:trPr>
          <w:cantSplit/>
          <w:trHeight w:val="510" w:hRule="atLeast"/>
        </w:trPr>
        <w:tc>
          <w:tcPr>
            <w:tcW w:w="216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7481B5D">
            <w:pPr>
              <w:jc w:val="center"/>
              <w:rPr>
                <w:rFonts w:ascii="宋体" w:hAnsi="宋体" w:cs="宋体"/>
                <w:bCs/>
                <w:color w:val="000000"/>
                <w:sz w:val="24"/>
                <w:szCs w:val="24"/>
              </w:rPr>
            </w:pP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E8FCCF0">
            <w:pPr>
              <w:jc w:val="center"/>
              <w:rPr>
                <w:rFonts w:ascii="宋体" w:hAnsi="宋体" w:cs="宋体"/>
                <w:bCs/>
                <w:color w:val="000000"/>
                <w:sz w:val="24"/>
                <w:szCs w:val="24"/>
              </w:rPr>
            </w:pPr>
          </w:p>
        </w:tc>
        <w:tc>
          <w:tcPr>
            <w:tcW w:w="2165" w:type="dxa"/>
            <w:tcBorders>
              <w:top w:val="single" w:color="000000" w:sz="4" w:space="0"/>
              <w:left w:val="single" w:color="000000" w:sz="4" w:space="0"/>
              <w:bottom w:val="single" w:color="000000" w:sz="4" w:space="0"/>
              <w:right w:val="single" w:color="000000" w:sz="4" w:space="0"/>
            </w:tcBorders>
            <w:noWrap w:val="0"/>
            <w:vAlign w:val="center"/>
          </w:tcPr>
          <w:p w14:paraId="4F11158F">
            <w:pPr>
              <w:jc w:val="center"/>
              <w:rPr>
                <w:rFonts w:ascii="宋体" w:hAnsi="宋体" w:cs="宋体"/>
                <w:bCs/>
                <w:color w:val="000000"/>
                <w:sz w:val="24"/>
                <w:szCs w:val="24"/>
              </w:rPr>
            </w:pP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D9F0D18">
            <w:pPr>
              <w:jc w:val="center"/>
              <w:rPr>
                <w:rFonts w:ascii="宋体" w:hAnsi="宋体" w:cs="宋体"/>
                <w:bCs/>
                <w:color w:val="000000"/>
                <w:sz w:val="24"/>
                <w:szCs w:val="24"/>
              </w:rPr>
            </w:pPr>
          </w:p>
        </w:tc>
      </w:tr>
    </w:tbl>
    <w:p w14:paraId="1622636F">
      <w:pPr>
        <w:rPr>
          <w:rFonts w:ascii="宋体" w:hAnsi="宋体" w:cs="宋体"/>
          <w:b/>
          <w:color w:val="000000"/>
          <w:sz w:val="24"/>
          <w:szCs w:val="24"/>
        </w:rPr>
      </w:pPr>
    </w:p>
    <w:p w14:paraId="4784FAAD">
      <w:pPr>
        <w:spacing w:line="360" w:lineRule="auto"/>
        <w:ind w:left="3600"/>
        <w:rPr>
          <w:rFonts w:ascii="宋体" w:hAnsi="宋体" w:cs="宋体"/>
          <w:color w:val="000000"/>
          <w:sz w:val="24"/>
          <w:szCs w:val="24"/>
        </w:rPr>
      </w:pPr>
      <w:r>
        <w:rPr>
          <w:rFonts w:hint="eastAsia" w:ascii="宋体" w:hAnsi="宋体" w:cs="宋体"/>
          <w:color w:val="000000"/>
          <w:sz w:val="24"/>
          <w:szCs w:val="24"/>
        </w:rPr>
        <w:t>供应商（</w:t>
      </w:r>
      <w:r>
        <w:rPr>
          <w:rFonts w:hint="eastAsia" w:ascii="宋体" w:hAnsi="宋体" w:cs="宋体"/>
          <w:color w:val="000000"/>
          <w:sz w:val="24"/>
          <w:szCs w:val="24"/>
          <w:lang w:val="en-US" w:eastAsia="zh-CN"/>
        </w:rPr>
        <w:t>加盖CA电子公章</w:t>
      </w:r>
      <w:r>
        <w:rPr>
          <w:rFonts w:hint="eastAsia" w:ascii="宋体" w:hAnsi="宋体" w:cs="宋体"/>
          <w:color w:val="000000"/>
          <w:sz w:val="24"/>
          <w:szCs w:val="24"/>
        </w:rPr>
        <w:t>）：</w:t>
      </w:r>
    </w:p>
    <w:p w14:paraId="0E3AF7DE">
      <w:pPr>
        <w:spacing w:line="360" w:lineRule="auto"/>
        <w:ind w:left="3600"/>
        <w:rPr>
          <w:rFonts w:ascii="宋体" w:hAnsi="宋体" w:cs="宋体"/>
          <w:color w:val="000000"/>
          <w:sz w:val="24"/>
          <w:szCs w:val="24"/>
        </w:rPr>
      </w:pPr>
      <w:r>
        <w:rPr>
          <w:rFonts w:hint="eastAsia" w:ascii="宋体" w:hAnsi="宋体" w:cs="宋体"/>
          <w:color w:val="000000"/>
          <w:sz w:val="24"/>
          <w:szCs w:val="24"/>
        </w:rPr>
        <w:t>法定代表人或授权委托人（签字或盖章）：</w:t>
      </w:r>
    </w:p>
    <w:p w14:paraId="08C17AC0">
      <w:pPr>
        <w:spacing w:line="360" w:lineRule="auto"/>
        <w:ind w:left="3600"/>
        <w:rPr>
          <w:rFonts w:ascii="宋体" w:hAnsi="宋体" w:cs="宋体"/>
          <w:color w:val="000000"/>
          <w:sz w:val="24"/>
          <w:szCs w:val="24"/>
        </w:rPr>
      </w:pPr>
    </w:p>
    <w:p w14:paraId="2E31F34D">
      <w:pPr>
        <w:spacing w:line="360" w:lineRule="auto"/>
        <w:ind w:left="480"/>
        <w:jc w:val="right"/>
        <w:rPr>
          <w:rFonts w:ascii="宋体" w:hAnsi="宋体" w:cs="宋体"/>
          <w:color w:val="000000"/>
          <w:sz w:val="24"/>
          <w:szCs w:val="24"/>
        </w:rPr>
      </w:pPr>
      <w:r>
        <w:rPr>
          <w:rFonts w:hint="eastAsia" w:ascii="宋体" w:hAnsi="宋体" w:cs="宋体"/>
          <w:color w:val="000000"/>
          <w:sz w:val="24"/>
          <w:szCs w:val="24"/>
        </w:rPr>
        <w:t xml:space="preserve">日期： </w:t>
      </w:r>
      <w:r>
        <w:rPr>
          <w:rFonts w:ascii="宋体" w:hAnsi="宋体" w:cs="宋体"/>
          <w:color w:val="000000"/>
          <w:sz w:val="24"/>
          <w:szCs w:val="24"/>
        </w:rPr>
        <w:t xml:space="preserve">  </w:t>
      </w:r>
      <w:r>
        <w:rPr>
          <w:rFonts w:hint="eastAsia" w:ascii="宋体" w:hAnsi="宋体" w:cs="宋体"/>
          <w:color w:val="000000"/>
          <w:sz w:val="24"/>
          <w:szCs w:val="24"/>
        </w:rPr>
        <w:t xml:space="preserve">年 </w:t>
      </w:r>
      <w:r>
        <w:rPr>
          <w:rFonts w:ascii="宋体" w:hAnsi="宋体" w:cs="宋体"/>
          <w:color w:val="000000"/>
          <w:sz w:val="24"/>
          <w:szCs w:val="24"/>
        </w:rPr>
        <w:t xml:space="preserve"> </w:t>
      </w:r>
      <w:r>
        <w:rPr>
          <w:rFonts w:hint="eastAsia" w:ascii="宋体" w:hAnsi="宋体" w:cs="宋体"/>
          <w:color w:val="000000"/>
          <w:sz w:val="24"/>
          <w:szCs w:val="24"/>
        </w:rPr>
        <w:t xml:space="preserve">月 </w:t>
      </w:r>
      <w:r>
        <w:rPr>
          <w:rFonts w:ascii="宋体" w:hAnsi="宋体" w:cs="宋体"/>
          <w:color w:val="000000"/>
          <w:sz w:val="24"/>
          <w:szCs w:val="24"/>
        </w:rPr>
        <w:t xml:space="preserve"> </w:t>
      </w:r>
      <w:r>
        <w:rPr>
          <w:rFonts w:hint="eastAsia" w:ascii="宋体" w:hAnsi="宋体" w:cs="宋体"/>
          <w:color w:val="000000"/>
          <w:sz w:val="24"/>
          <w:szCs w:val="24"/>
        </w:rPr>
        <w:t>日</w:t>
      </w:r>
    </w:p>
    <w:p w14:paraId="745F938E">
      <w:pPr>
        <w:spacing w:line="520" w:lineRule="exact"/>
        <w:ind w:firstLine="480"/>
        <w:rPr>
          <w:rFonts w:ascii="宋体" w:hAnsi="宋体" w:cs="宋体"/>
          <w:bCs/>
          <w:color w:val="000000"/>
          <w:sz w:val="24"/>
          <w:szCs w:val="24"/>
        </w:rPr>
      </w:pPr>
      <w:r>
        <w:rPr>
          <w:rFonts w:hint="eastAsia" w:ascii="宋体" w:hAnsi="宋体" w:cs="宋体"/>
          <w:bCs/>
          <w:color w:val="000000"/>
          <w:sz w:val="24"/>
          <w:szCs w:val="24"/>
        </w:rPr>
        <w:t>注：（1）本表不得删除；</w:t>
      </w:r>
    </w:p>
    <w:p w14:paraId="0C376FD2">
      <w:pPr>
        <w:spacing w:line="520" w:lineRule="exact"/>
        <w:ind w:firstLine="480"/>
        <w:rPr>
          <w:rFonts w:ascii="宋体" w:hAnsi="宋体" w:cs="宋体"/>
          <w:bCs/>
          <w:color w:val="000000"/>
          <w:sz w:val="24"/>
          <w:szCs w:val="24"/>
        </w:rPr>
      </w:pPr>
      <w:r>
        <w:rPr>
          <w:rFonts w:hint="eastAsia" w:ascii="宋体" w:hAnsi="宋体" w:cs="宋体"/>
          <w:bCs/>
          <w:color w:val="000000"/>
          <w:sz w:val="24"/>
          <w:szCs w:val="24"/>
        </w:rPr>
        <w:t xml:space="preserve">   （2）如无任何偏离，请于本表 “偏离说明”中注明“无偏离”；</w:t>
      </w:r>
    </w:p>
    <w:p w14:paraId="4A9780C5">
      <w:pPr>
        <w:spacing w:line="520" w:lineRule="exact"/>
        <w:ind w:firstLine="480"/>
        <w:rPr>
          <w:rFonts w:ascii="宋体" w:hAnsi="宋体" w:cs="宋体"/>
          <w:bCs/>
          <w:color w:val="000000"/>
          <w:sz w:val="24"/>
          <w:szCs w:val="24"/>
        </w:rPr>
      </w:pPr>
      <w:r>
        <w:rPr>
          <w:rFonts w:hint="eastAsia" w:ascii="宋体" w:hAnsi="宋体" w:cs="宋体"/>
          <w:bCs/>
          <w:color w:val="000000"/>
          <w:sz w:val="24"/>
          <w:szCs w:val="24"/>
        </w:rPr>
        <w:t xml:space="preserve">   （3）如有偏离项，请于本表中列明偏离内容，如需要可自行延长，其余无偏离内容不须赘述。</w:t>
      </w:r>
    </w:p>
    <w:p w14:paraId="05A97F02">
      <w:pPr>
        <w:rPr>
          <w:rFonts w:ascii="宋体" w:hAnsi="宋体" w:cs="Arial Unicode MS"/>
          <w:color w:val="000000"/>
          <w:sz w:val="24"/>
          <w:szCs w:val="24"/>
        </w:rPr>
      </w:pPr>
    </w:p>
    <w:p w14:paraId="633000B9">
      <w:pPr>
        <w:pStyle w:val="242"/>
        <w:ind w:firstLine="0"/>
        <w:rPr>
          <w:rFonts w:eastAsia="宋体"/>
          <w:color w:val="000000"/>
          <w:sz w:val="24"/>
          <w:szCs w:val="24"/>
          <w:lang w:val="en-US" w:eastAsia="zh-CN"/>
        </w:rPr>
      </w:pPr>
    </w:p>
    <w:p w14:paraId="263934F2">
      <w:pPr>
        <w:rPr>
          <w:rFonts w:hint="eastAsia" w:ascii="宋体" w:hAnsi="宋体" w:cs="宋体"/>
          <w:color w:val="000000"/>
          <w:sz w:val="24"/>
          <w:szCs w:val="24"/>
        </w:rPr>
      </w:pPr>
      <w:r>
        <w:rPr>
          <w:rFonts w:hint="eastAsia" w:ascii="宋体" w:hAnsi="宋体" w:cs="宋体"/>
          <w:color w:val="000000"/>
          <w:sz w:val="24"/>
          <w:szCs w:val="24"/>
        </w:rPr>
        <w:br w:type="page" w:clear="all"/>
      </w:r>
    </w:p>
    <w:p w14:paraId="46873BB0">
      <w:pPr>
        <w:pStyle w:val="36"/>
        <w:jc w:val="left"/>
        <w:rPr>
          <w:rFonts w:hint="eastAsia" w:ascii="宋体" w:hAnsi="宋体" w:cs="宋体"/>
          <w:color w:val="000000"/>
          <w:sz w:val="24"/>
          <w:szCs w:val="24"/>
        </w:rPr>
      </w:pPr>
      <w:r>
        <w:rPr>
          <w:rFonts w:hint="eastAsia" w:ascii="宋体" w:hAnsi="宋体" w:cs="宋体"/>
          <w:color w:val="000000"/>
          <w:sz w:val="24"/>
          <w:szCs w:val="24"/>
        </w:rPr>
        <w:t>3.</w:t>
      </w:r>
      <w:r>
        <w:rPr>
          <w:rFonts w:ascii="宋体" w:hAnsi="宋体" w:cs="宋体"/>
          <w:color w:val="000000"/>
          <w:sz w:val="24"/>
          <w:szCs w:val="24"/>
        </w:rPr>
        <w:t>7</w:t>
      </w:r>
      <w:r>
        <w:rPr>
          <w:rFonts w:hint="eastAsia" w:ascii="宋体" w:hAnsi="宋体" w:cs="宋体"/>
          <w:color w:val="000000"/>
          <w:sz w:val="24"/>
          <w:szCs w:val="24"/>
        </w:rPr>
        <w:t>诚信投标承诺书</w:t>
      </w:r>
    </w:p>
    <w:p w14:paraId="780CA6FA">
      <w:pPr>
        <w:pStyle w:val="36"/>
        <w:jc w:val="center"/>
        <w:rPr>
          <w:b/>
          <w:bCs/>
        </w:rPr>
      </w:pPr>
      <w:r>
        <w:rPr>
          <w:rFonts w:hint="eastAsia"/>
          <w:b/>
          <w:bCs/>
        </w:rPr>
        <w:t>诚信投标承诺书</w:t>
      </w:r>
    </w:p>
    <w:p w14:paraId="67E95657">
      <w:pPr>
        <w:spacing w:line="360" w:lineRule="auto"/>
        <w:jc w:val="left"/>
        <w:rPr>
          <w:rFonts w:ascii="宋体" w:hAnsi="宋体"/>
        </w:rPr>
      </w:pPr>
      <w:r>
        <w:rPr>
          <w:rFonts w:hint="eastAsia" w:ascii="宋体" w:hAnsi="宋体"/>
          <w:szCs w:val="21"/>
          <w:u w:val="single"/>
        </w:rPr>
        <w:t xml:space="preserve">     </w:t>
      </w:r>
      <w:r>
        <w:rPr>
          <w:rFonts w:hint="eastAsia" w:ascii="宋体" w:hAnsi="宋体"/>
          <w:u w:val="single"/>
        </w:rPr>
        <w:t>（</w:t>
      </w:r>
      <w:r>
        <w:rPr>
          <w:rFonts w:hint="eastAsia"/>
          <w:highlight w:val="white"/>
          <w:u w:val="single"/>
        </w:rPr>
        <w:t>采购人</w:t>
      </w:r>
      <w:r>
        <w:rPr>
          <w:rFonts w:hint="eastAsia" w:ascii="宋体" w:hAnsi="宋体"/>
          <w:u w:val="single"/>
        </w:rPr>
        <w:t>）</w:t>
      </w:r>
      <w:r>
        <w:rPr>
          <w:rFonts w:hint="eastAsia" w:ascii="宋体" w:hAnsi="宋体"/>
          <w:u w:val="single"/>
          <w:lang w:val="en-US" w:eastAsia="zh-CN"/>
        </w:rPr>
        <w:t xml:space="preserve">    </w:t>
      </w:r>
      <w:r>
        <w:rPr>
          <w:rFonts w:hint="eastAsia" w:ascii="宋体" w:hAnsi="宋体"/>
        </w:rPr>
        <w:t>：</w:t>
      </w:r>
    </w:p>
    <w:p w14:paraId="25159C56">
      <w:pPr>
        <w:spacing w:line="360" w:lineRule="auto"/>
        <w:ind w:firstLine="420"/>
        <w:rPr>
          <w:rFonts w:ascii="宋体" w:hAnsi="宋体"/>
        </w:rPr>
      </w:pPr>
      <w:r>
        <w:rPr>
          <w:rFonts w:hint="eastAsia" w:ascii="宋体" w:hAnsi="宋体"/>
          <w:szCs w:val="21"/>
          <w:u w:val="single"/>
        </w:rPr>
        <w:t xml:space="preserve">       （供应商名称）</w:t>
      </w:r>
      <w:r>
        <w:rPr>
          <w:rFonts w:hint="eastAsia" w:ascii="宋体" w:hAnsi="宋体"/>
        </w:rPr>
        <w:t>自愿参加</w:t>
      </w:r>
      <w:r>
        <w:rPr>
          <w:rFonts w:hint="eastAsia" w:ascii="宋体" w:hAnsi="宋体"/>
          <w:u w:val="single"/>
          <w:lang w:val="en-US" w:eastAsia="zh-CN"/>
        </w:rPr>
        <w:t xml:space="preserve">              （项目名称）</w:t>
      </w:r>
      <w:r>
        <w:rPr>
          <w:rFonts w:hint="eastAsia" w:ascii="宋体" w:hAnsi="宋体"/>
        </w:rPr>
        <w:t>的竞争性磋商活动，并做如下承诺：</w:t>
      </w:r>
    </w:p>
    <w:p w14:paraId="6ECC834A">
      <w:pPr>
        <w:spacing w:line="360" w:lineRule="auto"/>
        <w:ind w:firstLine="420"/>
        <w:rPr>
          <w:rFonts w:ascii="宋体" w:hAnsi="宋体"/>
        </w:rPr>
      </w:pPr>
      <w:r>
        <w:rPr>
          <w:rFonts w:hint="eastAsia" w:ascii="宋体" w:hAnsi="宋体"/>
        </w:rPr>
        <w:t>1.在本项目的竞争性磋商活动中，自觉遵守相关法律法规的规定，遵循诚实信用的原则。</w:t>
      </w:r>
    </w:p>
    <w:p w14:paraId="750CD18B">
      <w:pPr>
        <w:spacing w:line="360" w:lineRule="auto"/>
        <w:ind w:firstLine="420"/>
        <w:rPr>
          <w:rFonts w:ascii="宋体" w:hAnsi="宋体"/>
        </w:rPr>
      </w:pPr>
      <w:r>
        <w:rPr>
          <w:rFonts w:hint="eastAsia" w:ascii="宋体" w:hAnsi="宋体"/>
        </w:rPr>
        <w:t>2.响应文件中所有内容均为我单位真实意思表达，且均已核实并保证真实有效。</w:t>
      </w:r>
    </w:p>
    <w:p w14:paraId="1A579573">
      <w:pPr>
        <w:spacing w:line="360" w:lineRule="auto"/>
        <w:ind w:firstLine="420"/>
        <w:rPr>
          <w:rFonts w:ascii="宋体" w:hAnsi="宋体"/>
        </w:rPr>
      </w:pPr>
      <w:r>
        <w:rPr>
          <w:rFonts w:hint="eastAsia" w:ascii="宋体" w:hAnsi="宋体"/>
        </w:rPr>
        <w:t>3.无法律、法规及磋商文件中规定的限制参加投标的行为。</w:t>
      </w:r>
    </w:p>
    <w:p w14:paraId="72A5FC9E">
      <w:pPr>
        <w:spacing w:line="360" w:lineRule="auto"/>
        <w:ind w:firstLine="420"/>
        <w:rPr>
          <w:rFonts w:ascii="宋体" w:hAnsi="宋体"/>
        </w:rPr>
      </w:pPr>
      <w:r>
        <w:rPr>
          <w:rFonts w:hint="eastAsia" w:ascii="宋体" w:hAnsi="宋体"/>
        </w:rPr>
        <w:t>4.不以他人名义投标或者以其他方式弄虚作假，骗取中标。</w:t>
      </w:r>
    </w:p>
    <w:p w14:paraId="31F8B346">
      <w:pPr>
        <w:spacing w:line="360" w:lineRule="auto"/>
        <w:ind w:firstLine="420"/>
        <w:rPr>
          <w:rFonts w:ascii="宋体" w:hAnsi="宋体"/>
        </w:rPr>
      </w:pPr>
      <w:r>
        <w:rPr>
          <w:rFonts w:hint="eastAsia" w:ascii="宋体" w:hAnsi="宋体"/>
        </w:rPr>
        <w:t>5.不与采购人（招标代理）或其他供应商相互串通投标，损害国家利益、社会公共利益或者他人的合法权益。</w:t>
      </w:r>
    </w:p>
    <w:p w14:paraId="68C9594D">
      <w:pPr>
        <w:spacing w:line="360" w:lineRule="auto"/>
        <w:ind w:firstLine="420"/>
        <w:rPr>
          <w:rFonts w:ascii="宋体" w:hAnsi="宋体"/>
        </w:rPr>
      </w:pPr>
      <w:r>
        <w:rPr>
          <w:rFonts w:hint="eastAsia" w:ascii="宋体" w:hAnsi="宋体"/>
        </w:rPr>
        <w:t>6.公平竞争，不背后搞小动作，无恶意投诉、诋毁、排挤其他供应商的行为。</w:t>
      </w:r>
    </w:p>
    <w:p w14:paraId="408573E9">
      <w:pPr>
        <w:spacing w:line="360" w:lineRule="auto"/>
        <w:ind w:firstLine="420"/>
        <w:rPr>
          <w:rFonts w:ascii="宋体" w:hAnsi="宋体"/>
        </w:rPr>
      </w:pPr>
      <w:r>
        <w:rPr>
          <w:rFonts w:hint="eastAsia" w:ascii="宋体" w:hAnsi="宋体"/>
        </w:rPr>
        <w:t>7.不向采购人（招标代理）或者</w:t>
      </w:r>
      <w:r>
        <w:rPr>
          <w:rFonts w:hint="eastAsia" w:ascii="宋体" w:hAnsi="宋体"/>
          <w:lang w:eastAsia="zh-CN"/>
        </w:rPr>
        <w:t>磋商小组</w:t>
      </w:r>
      <w:r>
        <w:rPr>
          <w:rFonts w:hint="eastAsia" w:ascii="宋体" w:hAnsi="宋体"/>
        </w:rPr>
        <w:t>成员行贿、打招呼，以谋取中标。</w:t>
      </w:r>
    </w:p>
    <w:p w14:paraId="148DC962">
      <w:pPr>
        <w:spacing w:line="360" w:lineRule="auto"/>
        <w:ind w:firstLine="420"/>
        <w:rPr>
          <w:rFonts w:ascii="宋体" w:hAnsi="宋体"/>
        </w:rPr>
      </w:pPr>
      <w:r>
        <w:rPr>
          <w:rFonts w:hint="eastAsia" w:ascii="宋体" w:hAnsi="宋体"/>
        </w:rPr>
        <w:t>8.中标后在响应文件规定的时间内依法与</w:t>
      </w:r>
      <w:r>
        <w:rPr>
          <w:rFonts w:hint="eastAsia"/>
          <w:highlight w:val="white"/>
        </w:rPr>
        <w:t>采购人</w:t>
      </w:r>
      <w:r>
        <w:rPr>
          <w:rFonts w:hint="eastAsia" w:ascii="宋体" w:hAnsi="宋体"/>
        </w:rPr>
        <w:t>签订合同。</w:t>
      </w:r>
    </w:p>
    <w:p w14:paraId="2877AFD0">
      <w:pPr>
        <w:spacing w:line="360" w:lineRule="auto"/>
        <w:ind w:firstLine="420"/>
        <w:rPr>
          <w:rFonts w:ascii="宋体" w:hAnsi="宋体"/>
        </w:rPr>
      </w:pPr>
      <w:r>
        <w:rPr>
          <w:rFonts w:hint="eastAsia" w:ascii="宋体" w:hAnsi="宋体"/>
        </w:rPr>
        <w:t>9.不进行缺乏事实根据或法律依据的投诉。</w:t>
      </w:r>
    </w:p>
    <w:p w14:paraId="45BE4945">
      <w:pPr>
        <w:spacing w:line="360" w:lineRule="auto"/>
        <w:ind w:firstLine="420"/>
        <w:rPr>
          <w:rFonts w:ascii="宋体" w:hAnsi="宋体"/>
        </w:rPr>
      </w:pPr>
      <w:r>
        <w:rPr>
          <w:rFonts w:hint="eastAsia" w:ascii="宋体" w:hAnsi="宋体"/>
        </w:rPr>
        <w:t>10.本公司拟派往本工程的项目负责人现阶段没有担任其他在建工程项目的</w:t>
      </w:r>
      <w:r>
        <w:rPr>
          <w:rFonts w:hint="eastAsia" w:ascii="宋体" w:hAnsi="宋体"/>
          <w:lang w:eastAsia="zh-CN"/>
        </w:rPr>
        <w:t>项目负责人</w:t>
      </w:r>
      <w:r>
        <w:rPr>
          <w:rFonts w:hint="eastAsia" w:ascii="宋体" w:hAnsi="宋体"/>
        </w:rPr>
        <w:t>。</w:t>
      </w:r>
    </w:p>
    <w:p w14:paraId="7B98E3AC">
      <w:pPr>
        <w:spacing w:line="360" w:lineRule="auto"/>
        <w:ind w:firstLine="420"/>
        <w:rPr>
          <w:rFonts w:ascii="宋体" w:hAnsi="宋体"/>
        </w:rPr>
      </w:pPr>
      <w:r>
        <w:rPr>
          <w:rFonts w:hint="eastAsia" w:ascii="宋体" w:hAnsi="宋体"/>
        </w:rPr>
        <w:t>11.本公司拟派往本工程的项目负责人未同时在两个或者两个以上单位受聘或者执业。</w:t>
      </w:r>
    </w:p>
    <w:p w14:paraId="54C934F9">
      <w:pPr>
        <w:spacing w:line="360" w:lineRule="auto"/>
        <w:ind w:firstLine="420"/>
        <w:rPr>
          <w:rFonts w:ascii="宋体" w:hAnsi="宋体"/>
        </w:rPr>
      </w:pPr>
      <w:r>
        <w:rPr>
          <w:rFonts w:hint="eastAsia" w:ascii="宋体" w:hAnsi="宋体"/>
        </w:rPr>
        <w:t>12.无建筑市场不良行为在江苏建设工程招标网、泰州市住房和城乡建设局官网、泰州市公共资源交易平台上被曝光。</w:t>
      </w:r>
    </w:p>
    <w:p w14:paraId="718A3D75">
      <w:pPr>
        <w:spacing w:line="360" w:lineRule="auto"/>
        <w:ind w:firstLine="420"/>
        <w:rPr>
          <w:rFonts w:ascii="宋体" w:hAnsi="宋体"/>
        </w:rPr>
      </w:pPr>
      <w:r>
        <w:rPr>
          <w:rFonts w:hint="eastAsia" w:ascii="宋体" w:hAnsi="宋体"/>
        </w:rPr>
        <w:t>13.不存在竞争性磋商文件第二章供应商须知第1.4.</w:t>
      </w:r>
      <w:r>
        <w:rPr>
          <w:rFonts w:hint="eastAsia" w:ascii="宋体" w:hAnsi="宋体"/>
          <w:lang w:val="en-US" w:eastAsia="zh-CN"/>
        </w:rPr>
        <w:t>4</w:t>
      </w:r>
      <w:r>
        <w:rPr>
          <w:rFonts w:hint="eastAsia" w:ascii="宋体" w:hAnsi="宋体"/>
        </w:rPr>
        <w:t>项规定的情形。</w:t>
      </w:r>
    </w:p>
    <w:p w14:paraId="2E49F570">
      <w:pPr>
        <w:spacing w:line="360" w:lineRule="auto"/>
        <w:ind w:firstLine="420"/>
        <w:rPr>
          <w:rFonts w:ascii="宋体" w:hAnsi="宋体"/>
        </w:rPr>
      </w:pPr>
      <w:r>
        <w:rPr>
          <w:rFonts w:hint="eastAsia" w:ascii="宋体" w:hAnsi="宋体"/>
        </w:rPr>
        <w:t>14.符合竞争性磋商公告</w:t>
      </w:r>
      <w:r>
        <w:rPr>
          <w:rFonts w:hint="eastAsia" w:ascii="宋体" w:hAnsi="宋体"/>
          <w:lang w:val="en-US" w:eastAsia="zh-CN"/>
        </w:rPr>
        <w:t>二</w:t>
      </w:r>
      <w:r>
        <w:rPr>
          <w:rFonts w:hint="eastAsia" w:ascii="宋体" w:hAnsi="宋体"/>
        </w:rPr>
        <w:t>.3</w:t>
      </w:r>
      <w:r>
        <w:rPr>
          <w:rFonts w:hint="eastAsia" w:ascii="宋体" w:hAnsi="宋体"/>
          <w:lang w:val="en-US" w:eastAsia="zh-CN"/>
        </w:rPr>
        <w:t>.</w:t>
      </w:r>
      <w:r>
        <w:rPr>
          <w:rFonts w:hint="eastAsia" w:ascii="宋体" w:hAnsi="宋体"/>
        </w:rPr>
        <w:t>（</w:t>
      </w:r>
      <w:r>
        <w:rPr>
          <w:rFonts w:hint="eastAsia" w:ascii="宋体" w:hAnsi="宋体"/>
          <w:lang w:val="en-US" w:eastAsia="zh-CN"/>
        </w:rPr>
        <w:t>4</w:t>
      </w:r>
      <w:r>
        <w:rPr>
          <w:rFonts w:hint="eastAsia" w:ascii="宋体" w:hAnsi="宋体"/>
        </w:rPr>
        <w:t>）、</w:t>
      </w:r>
      <w:r>
        <w:rPr>
          <w:rFonts w:hint="eastAsia" w:ascii="宋体" w:hAnsi="宋体"/>
          <w:lang w:val="en-US" w:eastAsia="zh-CN"/>
        </w:rPr>
        <w:t>二</w:t>
      </w:r>
      <w:r>
        <w:rPr>
          <w:rFonts w:hint="eastAsia" w:ascii="宋体" w:hAnsi="宋体"/>
        </w:rPr>
        <w:t>.3</w:t>
      </w:r>
      <w:r>
        <w:rPr>
          <w:rFonts w:hint="eastAsia" w:ascii="宋体" w:hAnsi="宋体"/>
          <w:lang w:val="en-US" w:eastAsia="zh-CN"/>
        </w:rPr>
        <w:t>.</w:t>
      </w:r>
      <w:r>
        <w:rPr>
          <w:rFonts w:hint="eastAsia" w:ascii="宋体" w:hAnsi="宋体"/>
        </w:rPr>
        <w:t>（</w:t>
      </w:r>
      <w:r>
        <w:rPr>
          <w:rFonts w:hint="eastAsia" w:ascii="宋体" w:hAnsi="宋体"/>
          <w:lang w:val="en-US" w:eastAsia="zh-CN"/>
        </w:rPr>
        <w:t>6</w:t>
      </w:r>
      <w:r>
        <w:rPr>
          <w:rFonts w:hint="eastAsia" w:ascii="宋体" w:hAnsi="宋体"/>
        </w:rPr>
        <w:t>）</w:t>
      </w:r>
      <w:r>
        <w:rPr>
          <w:rFonts w:hint="eastAsia" w:ascii="宋体" w:hAnsi="宋体"/>
          <w:lang w:val="en-US" w:eastAsia="zh-CN"/>
        </w:rPr>
        <w:t>.①②</w:t>
      </w:r>
      <w:r>
        <w:rPr>
          <w:rFonts w:hint="eastAsia" w:ascii="宋体" w:hAnsi="宋体"/>
        </w:rPr>
        <w:t>、</w:t>
      </w:r>
      <w:r>
        <w:rPr>
          <w:rFonts w:hint="eastAsia" w:ascii="宋体" w:hAnsi="宋体"/>
          <w:lang w:val="en-US" w:eastAsia="zh-CN"/>
        </w:rPr>
        <w:t>二</w:t>
      </w:r>
      <w:r>
        <w:rPr>
          <w:rFonts w:hint="eastAsia" w:ascii="宋体" w:hAnsi="宋体"/>
        </w:rPr>
        <w:t>.3</w:t>
      </w:r>
      <w:r>
        <w:rPr>
          <w:rFonts w:hint="eastAsia" w:ascii="宋体" w:hAnsi="宋体"/>
          <w:lang w:val="en-US" w:eastAsia="zh-CN"/>
        </w:rPr>
        <w:t>.</w:t>
      </w:r>
      <w:r>
        <w:rPr>
          <w:rFonts w:hint="eastAsia" w:ascii="宋体" w:hAnsi="宋体"/>
        </w:rPr>
        <w:t>（</w:t>
      </w:r>
      <w:r>
        <w:rPr>
          <w:rFonts w:hint="eastAsia" w:ascii="宋体" w:hAnsi="宋体"/>
          <w:lang w:val="en-US" w:eastAsia="zh-CN"/>
        </w:rPr>
        <w:t>7</w:t>
      </w:r>
      <w:r>
        <w:rPr>
          <w:rFonts w:hint="eastAsia" w:ascii="宋体" w:hAnsi="宋体"/>
        </w:rPr>
        <w:t>）的规定。</w:t>
      </w:r>
    </w:p>
    <w:p w14:paraId="4005BF58">
      <w:pPr>
        <w:spacing w:line="360" w:lineRule="auto"/>
        <w:ind w:firstLine="420"/>
        <w:rPr>
          <w:rFonts w:ascii="宋体" w:hAnsi="宋体"/>
        </w:rPr>
      </w:pPr>
      <w:r>
        <w:rPr>
          <w:rFonts w:hint="eastAsia" w:ascii="宋体" w:hAnsi="宋体"/>
        </w:rPr>
        <w:t>如我单位违反上述承诺内容，自愿接受采购人、主管部门调查处理，并承担由此引发的一切后果。</w:t>
      </w:r>
    </w:p>
    <w:p w14:paraId="4F2BD6FF">
      <w:pPr>
        <w:spacing w:line="360" w:lineRule="auto"/>
        <w:ind w:firstLine="420"/>
        <w:rPr>
          <w:rFonts w:ascii="宋体" w:hAnsi="宋体"/>
          <w:u w:val="single"/>
        </w:rPr>
      </w:pPr>
      <w:r>
        <w:rPr>
          <w:rFonts w:hint="eastAsia" w:ascii="宋体" w:hAnsi="宋体" w:cs="宋体"/>
          <w:szCs w:val="21"/>
          <w:lang w:val="en-US" w:eastAsia="zh-CN"/>
        </w:rPr>
        <w:t>承诺人</w:t>
      </w:r>
      <w:r>
        <w:rPr>
          <w:rFonts w:hint="eastAsia" w:ascii="宋体" w:hAnsi="宋体" w:cs="宋体"/>
          <w:szCs w:val="21"/>
        </w:rPr>
        <w:t>（盖法人公章）</w:t>
      </w:r>
      <w:r>
        <w:rPr>
          <w:rFonts w:hint="eastAsia" w:ascii="宋体" w:hAnsi="宋体"/>
        </w:rPr>
        <w:t>：</w:t>
      </w:r>
    </w:p>
    <w:p w14:paraId="6A70D7A7">
      <w:pPr>
        <w:spacing w:line="360" w:lineRule="auto"/>
        <w:ind w:firstLine="420"/>
        <w:rPr>
          <w:rFonts w:ascii="宋体" w:hAnsi="宋体"/>
        </w:rPr>
      </w:pPr>
      <w:r>
        <w:rPr>
          <w:rFonts w:hint="eastAsia" w:ascii="宋体" w:hAnsi="宋体"/>
        </w:rPr>
        <w:t>法定代表人或其委托代理人（签字或盖章）：</w:t>
      </w:r>
    </w:p>
    <w:p w14:paraId="4B90E51B">
      <w:pPr>
        <w:spacing w:line="360" w:lineRule="auto"/>
        <w:ind w:left="3" w:right="1" w:firstLine="420"/>
        <w:jc w:val="both"/>
        <w:rPr>
          <w:rFonts w:ascii="宋体" w:hAnsi="宋体"/>
          <w:szCs w:val="21"/>
          <w:u w:val="single"/>
        </w:rPr>
      </w:pPr>
      <w:r>
        <w:rPr>
          <w:rFonts w:hint="eastAsia" w:ascii="宋体" w:hAnsi="宋体" w:cs="宋体"/>
          <w:szCs w:val="21"/>
        </w:rPr>
        <w:t xml:space="preserve">年    月    日 </w:t>
      </w:r>
    </w:p>
    <w:p w14:paraId="223C7C0F">
      <w:pPr>
        <w:spacing w:after="60"/>
        <w:rPr>
          <w:rFonts w:hint="eastAsia" w:ascii="宋体" w:hAnsi="宋体" w:cs="宋体"/>
          <w:color w:val="000000"/>
          <w:sz w:val="24"/>
          <w:szCs w:val="24"/>
          <w:lang w:val="en-US" w:eastAsia="zh-CN"/>
        </w:rPr>
      </w:pPr>
    </w:p>
    <w:p w14:paraId="1E73CD85">
      <w:pPr>
        <w:spacing w:after="60"/>
        <w:rPr>
          <w:rFonts w:hint="eastAsia" w:ascii="宋体" w:hAnsi="宋体" w:cs="宋体"/>
          <w:color w:val="000000"/>
          <w:sz w:val="24"/>
          <w:szCs w:val="24"/>
          <w:lang w:val="en-US" w:eastAsia="zh-CN"/>
        </w:rPr>
      </w:pPr>
    </w:p>
    <w:p w14:paraId="6742EEBC">
      <w:pPr>
        <w:spacing w:after="60"/>
        <w:rPr>
          <w:rFonts w:ascii="宋体" w:hAnsi="宋体" w:cs="宋体"/>
          <w:color w:val="000000"/>
          <w:sz w:val="24"/>
          <w:szCs w:val="24"/>
        </w:rPr>
      </w:pPr>
      <w:r>
        <w:rPr>
          <w:rFonts w:hint="eastAsia" w:ascii="宋体" w:hAnsi="宋体" w:cs="宋体"/>
          <w:color w:val="000000"/>
          <w:sz w:val="24"/>
          <w:szCs w:val="24"/>
          <w:lang w:val="en-US" w:eastAsia="zh-CN"/>
        </w:rPr>
        <w:t>3.8</w:t>
      </w:r>
      <w:r>
        <w:rPr>
          <w:rFonts w:hint="eastAsia" w:ascii="宋体" w:hAnsi="宋体" w:cs="宋体"/>
          <w:color w:val="000000"/>
          <w:sz w:val="24"/>
          <w:szCs w:val="24"/>
        </w:rPr>
        <w:t>企业综合实力证明材料</w:t>
      </w:r>
    </w:p>
    <w:p w14:paraId="71B8EED5">
      <w:pPr>
        <w:pStyle w:val="237"/>
        <w:spacing w:before="156" w:after="156" w:line="360" w:lineRule="exact"/>
        <w:rPr>
          <w:rFonts w:ascii="宋体" w:hAnsi="宋体" w:cs="宋体"/>
          <w:color w:val="000000"/>
          <w:sz w:val="24"/>
          <w:szCs w:val="24"/>
        </w:rPr>
      </w:pPr>
      <w:r>
        <w:rPr>
          <w:rFonts w:hint="eastAsia" w:ascii="宋体" w:hAnsi="宋体" w:cs="宋体"/>
          <w:color w:val="000000"/>
          <w:sz w:val="24"/>
          <w:szCs w:val="24"/>
        </w:rPr>
        <w:t>3.</w:t>
      </w:r>
      <w:r>
        <w:rPr>
          <w:rFonts w:hint="eastAsia" w:ascii="宋体" w:hAnsi="宋体" w:cs="宋体"/>
          <w:color w:val="000000"/>
          <w:sz w:val="24"/>
          <w:szCs w:val="24"/>
          <w:lang w:val="en-US" w:eastAsia="zh-CN"/>
        </w:rPr>
        <w:t>9</w:t>
      </w:r>
      <w:r>
        <w:rPr>
          <w:rFonts w:hint="eastAsia" w:ascii="宋体" w:hAnsi="宋体" w:cs="宋体"/>
          <w:color w:val="000000"/>
          <w:sz w:val="24"/>
          <w:szCs w:val="24"/>
        </w:rPr>
        <w:t xml:space="preserve"> 技术标</w:t>
      </w:r>
    </w:p>
    <w:p w14:paraId="62213995">
      <w:pPr>
        <w:pStyle w:val="237"/>
        <w:spacing w:before="156" w:after="156" w:line="360" w:lineRule="exact"/>
        <w:rPr>
          <w:rFonts w:ascii="宋体" w:hAnsi="宋体" w:cs="宋体"/>
          <w:color w:val="000000"/>
          <w:sz w:val="24"/>
          <w:szCs w:val="24"/>
        </w:rPr>
      </w:pPr>
      <w:r>
        <w:rPr>
          <w:rFonts w:ascii="宋体" w:hAnsi="宋体" w:cs="宋体"/>
          <w:color w:val="000000"/>
          <w:sz w:val="24"/>
          <w:szCs w:val="24"/>
        </w:rPr>
        <w:t>3.</w:t>
      </w:r>
      <w:r>
        <w:rPr>
          <w:rFonts w:hint="eastAsia" w:ascii="宋体" w:hAnsi="宋体" w:cs="宋体"/>
          <w:color w:val="000000"/>
          <w:sz w:val="24"/>
          <w:szCs w:val="24"/>
          <w:lang w:val="en-US" w:eastAsia="zh-CN"/>
        </w:rPr>
        <w:t>10</w:t>
      </w:r>
      <w:r>
        <w:rPr>
          <w:rFonts w:hint="eastAsia" w:ascii="宋体" w:hAnsi="宋体" w:cs="宋体"/>
          <w:color w:val="000000"/>
          <w:sz w:val="24"/>
          <w:szCs w:val="24"/>
        </w:rPr>
        <w:t>供应商认为应列入</w:t>
      </w:r>
      <w:r>
        <w:rPr>
          <w:rFonts w:hint="eastAsia" w:ascii="宋体" w:hAnsi="宋体" w:cs="宋体"/>
          <w:color w:val="000000"/>
          <w:sz w:val="24"/>
          <w:szCs w:val="24"/>
          <w:lang w:eastAsia="zh-CN"/>
        </w:rPr>
        <w:t>响应文件</w:t>
      </w:r>
      <w:r>
        <w:rPr>
          <w:rFonts w:hint="eastAsia" w:ascii="宋体" w:hAnsi="宋体" w:cs="宋体"/>
          <w:color w:val="000000"/>
          <w:sz w:val="24"/>
          <w:szCs w:val="24"/>
        </w:rPr>
        <w:t>的其他材料</w:t>
      </w:r>
    </w:p>
    <w:p w14:paraId="6DC09119">
      <w:pPr>
        <w:rPr>
          <w:rFonts w:hint="eastAsia" w:ascii="宋体" w:hAnsi="宋体" w:cs="宋体"/>
          <w:b/>
          <w:bCs/>
          <w:sz w:val="28"/>
          <w:szCs w:val="28"/>
          <w:lang w:val="en-US" w:eastAsia="zh-CN"/>
        </w:rPr>
      </w:pPr>
      <w:r>
        <w:rPr>
          <w:rFonts w:hint="eastAsia" w:ascii="宋体" w:hAnsi="宋体" w:cs="宋体"/>
          <w:b/>
          <w:bCs/>
          <w:sz w:val="28"/>
          <w:szCs w:val="28"/>
          <w:lang w:val="en-US" w:eastAsia="zh-CN"/>
        </w:rPr>
        <w:br w:type="page" w:clear="all"/>
      </w:r>
      <w:bookmarkEnd w:id="436"/>
      <w:bookmarkEnd w:id="437"/>
      <w:bookmarkEnd w:id="469"/>
      <w:bookmarkEnd w:id="470"/>
      <w:bookmarkEnd w:id="471"/>
      <w:bookmarkEnd w:id="472"/>
      <w:bookmarkEnd w:id="473"/>
      <w:bookmarkEnd w:id="474"/>
      <w:bookmarkEnd w:id="475"/>
      <w:bookmarkEnd w:id="476"/>
      <w:bookmarkEnd w:id="477"/>
      <w:bookmarkEnd w:id="478"/>
    </w:p>
    <w:p w14:paraId="56C393A0">
      <w:pPr>
        <w:pStyle w:val="242"/>
        <w:rPr>
          <w:color w:val="000000"/>
        </w:rPr>
      </w:pPr>
    </w:p>
    <w:p w14:paraId="63C7F215">
      <w:pPr>
        <w:jc w:val="center"/>
        <w:rPr>
          <w:rFonts w:ascii="宋体" w:hAnsi="宋体" w:cs="宋体"/>
          <w:b/>
          <w:color w:val="000000"/>
          <w:sz w:val="36"/>
          <w:szCs w:val="28"/>
        </w:rPr>
      </w:pPr>
    </w:p>
    <w:p w14:paraId="198F5308">
      <w:pPr>
        <w:spacing w:before="156" w:after="156" w:line="360" w:lineRule="auto"/>
        <w:jc w:val="center"/>
        <w:outlineLvl w:val="0"/>
        <w:rPr>
          <w:rFonts w:ascii="Times New Roman" w:hAnsi="Times New Roman" w:eastAsia="华文中宋"/>
          <w:b/>
          <w:color w:val="000000"/>
          <w:sz w:val="72"/>
          <w:szCs w:val="52"/>
        </w:rPr>
      </w:pPr>
      <w:r>
        <w:rPr>
          <w:rFonts w:hint="eastAsia" w:ascii="宋体" w:hAnsi="宋体" w:cs="宋体"/>
          <w:b/>
          <w:bCs/>
          <w:color w:val="000000"/>
          <w:sz w:val="30"/>
          <w:szCs w:val="30"/>
        </w:rPr>
        <w:t>第六章 合同条款及格式</w:t>
      </w:r>
    </w:p>
    <w:p w14:paraId="7FFAD498">
      <w:pPr>
        <w:rPr>
          <w:rFonts w:ascii="仿宋_GB2312" w:hAnsi="Calibri" w:eastAsia="仿宋_GB2312"/>
          <w:b/>
          <w:bCs/>
          <w:sz w:val="52"/>
          <w:szCs w:val="52"/>
        </w:rPr>
      </w:pPr>
    </w:p>
    <w:p w14:paraId="0394CD2E">
      <w:pPr>
        <w:jc w:val="center"/>
        <w:rPr>
          <w:rFonts w:ascii="宋体" w:hAnsi="宋体"/>
          <w:b/>
          <w:bCs/>
          <w:sz w:val="52"/>
          <w:szCs w:val="52"/>
        </w:rPr>
      </w:pPr>
      <w:r>
        <w:rPr>
          <w:rFonts w:hint="eastAsia" w:ascii="宋体" w:hAnsi="宋体"/>
          <w:b/>
          <w:bCs/>
          <w:sz w:val="52"/>
          <w:szCs w:val="52"/>
        </w:rPr>
        <w:t>泰兴市交通建设工程</w:t>
      </w:r>
    </w:p>
    <w:p w14:paraId="7921BEAC">
      <w:pPr>
        <w:jc w:val="center"/>
        <w:rPr>
          <w:rFonts w:ascii="宋体" w:hAnsi="宋体"/>
          <w:b/>
          <w:bCs/>
          <w:spacing w:val="40"/>
          <w:sz w:val="66"/>
          <w:szCs w:val="66"/>
        </w:rPr>
      </w:pPr>
      <w:r>
        <w:rPr>
          <w:rFonts w:hint="eastAsia" w:ascii="宋体" w:hAnsi="宋体"/>
          <w:b/>
          <w:bCs/>
          <w:spacing w:val="40"/>
          <w:sz w:val="66"/>
          <w:szCs w:val="66"/>
        </w:rPr>
        <w:t>施工合同协议书</w:t>
      </w:r>
    </w:p>
    <w:p w14:paraId="36E6344D">
      <w:pPr>
        <w:jc w:val="center"/>
        <w:rPr>
          <w:rFonts w:ascii="宋体" w:hAnsi="宋体"/>
          <w:b/>
          <w:bCs/>
          <w:sz w:val="32"/>
          <w:szCs w:val="32"/>
        </w:rPr>
      </w:pPr>
      <w:r>
        <w:rPr>
          <w:rFonts w:hint="eastAsia" w:ascii="宋体" w:hAnsi="宋体"/>
          <w:b/>
          <w:bCs/>
          <w:sz w:val="32"/>
          <w:szCs w:val="32"/>
        </w:rPr>
        <w:t>（初稿）</w:t>
      </w:r>
    </w:p>
    <w:p w14:paraId="6E66AD5E">
      <w:pPr>
        <w:rPr>
          <w:rFonts w:ascii="宋体" w:hAnsi="宋体"/>
          <w:sz w:val="32"/>
          <w:szCs w:val="32"/>
        </w:rPr>
      </w:pPr>
    </w:p>
    <w:p w14:paraId="36446208">
      <w:pPr>
        <w:rPr>
          <w:rFonts w:ascii="宋体" w:hAnsi="宋体"/>
          <w:sz w:val="32"/>
          <w:szCs w:val="32"/>
        </w:rPr>
      </w:pPr>
    </w:p>
    <w:tbl>
      <w:tblPr>
        <w:tblStyle w:val="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08"/>
        <w:gridCol w:w="6300"/>
      </w:tblGrid>
      <w:tr w14:paraId="0C6F9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trPr>
        <w:tc>
          <w:tcPr>
            <w:tcW w:w="1908" w:type="dxa"/>
            <w:noWrap w:val="0"/>
            <w:vAlign w:val="center"/>
          </w:tcPr>
          <w:p w14:paraId="572146AC">
            <w:pPr>
              <w:spacing w:line="1160" w:lineRule="exact"/>
              <w:jc w:val="center"/>
              <w:rPr>
                <w:rFonts w:ascii="宋体" w:hAnsi="宋体" w:cs="Calibri"/>
                <w:b/>
                <w:bCs/>
                <w:spacing w:val="-20"/>
                <w:sz w:val="32"/>
                <w:szCs w:val="32"/>
              </w:rPr>
            </w:pPr>
            <w:r>
              <w:rPr>
                <w:rFonts w:hint="eastAsia" w:ascii="宋体" w:hAnsi="宋体"/>
                <w:b/>
                <w:bCs/>
                <w:sz w:val="32"/>
                <w:szCs w:val="32"/>
              </w:rPr>
              <w:t>工程名称：</w:t>
            </w:r>
          </w:p>
        </w:tc>
        <w:tc>
          <w:tcPr>
            <w:tcW w:w="6300" w:type="dxa"/>
            <w:noWrap w:val="0"/>
            <w:vAlign w:val="center"/>
          </w:tcPr>
          <w:p w14:paraId="58D101CA">
            <w:pPr>
              <w:pStyle w:val="351"/>
              <w:keepNext w:val="0"/>
              <w:keepLines w:val="0"/>
              <w:pageBreakBefore w:val="0"/>
              <w:widowControl w:val="0"/>
              <w:spacing w:before="0" w:after="0" w:line="360" w:lineRule="exact"/>
              <w:ind w:left="0" w:firstLine="0"/>
              <w:jc w:val="center"/>
              <w:rPr>
                <w:rFonts w:ascii="宋体" w:hAnsi="宋体" w:cs="Calibri"/>
                <w:b/>
                <w:bCs/>
                <w:spacing w:val="-10"/>
                <w:sz w:val="32"/>
                <w:szCs w:val="32"/>
              </w:rPr>
            </w:pPr>
            <w:r>
              <w:rPr>
                <w:rFonts w:hint="eastAsia" w:ascii="Times New Roman" w:hAnsi="Times New Roman"/>
                <w:b/>
                <w:bCs/>
                <w:color w:val="000000"/>
                <w:sz w:val="30"/>
                <w:szCs w:val="30"/>
                <w:lang w:eastAsia="zh-CN"/>
              </w:rPr>
              <w:t>2026年古溪镇交通强市四好农村路危桥改建项目（二）</w:t>
            </w:r>
          </w:p>
        </w:tc>
      </w:tr>
      <w:tr w14:paraId="0B0BC2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08" w:type="dxa"/>
            <w:noWrap w:val="0"/>
            <w:vAlign w:val="bottom"/>
          </w:tcPr>
          <w:p w14:paraId="385D6134">
            <w:pPr>
              <w:spacing w:line="1160" w:lineRule="exact"/>
              <w:jc w:val="center"/>
              <w:rPr>
                <w:rFonts w:ascii="宋体" w:hAnsi="宋体" w:cs="Calibri"/>
                <w:b/>
                <w:bCs/>
                <w:spacing w:val="-20"/>
                <w:sz w:val="32"/>
                <w:szCs w:val="32"/>
              </w:rPr>
            </w:pPr>
            <w:r>
              <w:rPr>
                <w:rFonts w:hint="eastAsia" w:ascii="宋体" w:hAnsi="宋体"/>
                <w:b/>
                <w:bCs/>
                <w:sz w:val="32"/>
                <w:szCs w:val="32"/>
              </w:rPr>
              <w:t>合同编号：</w:t>
            </w:r>
          </w:p>
        </w:tc>
        <w:tc>
          <w:tcPr>
            <w:tcW w:w="6300" w:type="dxa"/>
            <w:noWrap w:val="0"/>
            <w:vAlign w:val="bottom"/>
          </w:tcPr>
          <w:p w14:paraId="303FE91A">
            <w:pPr>
              <w:spacing w:line="1160" w:lineRule="exact"/>
              <w:jc w:val="center"/>
              <w:rPr>
                <w:rFonts w:ascii="宋体" w:hAnsi="宋体" w:cs="Calibri"/>
                <w:b/>
                <w:bCs/>
                <w:sz w:val="32"/>
                <w:szCs w:val="32"/>
              </w:rPr>
            </w:pPr>
          </w:p>
        </w:tc>
      </w:tr>
      <w:tr w14:paraId="55C99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08" w:type="dxa"/>
            <w:noWrap w:val="0"/>
            <w:vAlign w:val="bottom"/>
          </w:tcPr>
          <w:p w14:paraId="086AD9DF">
            <w:pPr>
              <w:spacing w:line="1160" w:lineRule="exact"/>
              <w:jc w:val="center"/>
              <w:rPr>
                <w:rFonts w:ascii="宋体" w:hAnsi="宋体" w:cs="Calibri"/>
                <w:b/>
                <w:bCs/>
                <w:spacing w:val="-20"/>
                <w:sz w:val="32"/>
                <w:szCs w:val="32"/>
              </w:rPr>
            </w:pPr>
            <w:r>
              <w:rPr>
                <w:rFonts w:hint="eastAsia" w:ascii="宋体" w:hAnsi="宋体"/>
                <w:b/>
                <w:bCs/>
                <w:spacing w:val="50"/>
                <w:sz w:val="32"/>
                <w:szCs w:val="32"/>
              </w:rPr>
              <w:t>发包人</w:t>
            </w:r>
            <w:r>
              <w:rPr>
                <w:rFonts w:hint="eastAsia" w:ascii="宋体" w:hAnsi="宋体"/>
                <w:b/>
                <w:bCs/>
                <w:sz w:val="32"/>
                <w:szCs w:val="32"/>
              </w:rPr>
              <w:t>：</w:t>
            </w:r>
          </w:p>
        </w:tc>
        <w:tc>
          <w:tcPr>
            <w:tcW w:w="6300" w:type="dxa"/>
            <w:noWrap w:val="0"/>
            <w:vAlign w:val="bottom"/>
          </w:tcPr>
          <w:p w14:paraId="4561F6E2">
            <w:pPr>
              <w:spacing w:line="1160" w:lineRule="exact"/>
              <w:jc w:val="center"/>
              <w:rPr>
                <w:rFonts w:hint="eastAsia" w:ascii="宋体" w:hAnsi="宋体" w:eastAsia="宋体" w:cs="Calibri"/>
                <w:b/>
                <w:bCs/>
                <w:spacing w:val="-10"/>
                <w:sz w:val="32"/>
                <w:szCs w:val="32"/>
                <w:lang w:eastAsia="zh-CN"/>
              </w:rPr>
            </w:pPr>
            <w:r>
              <w:rPr>
                <w:rFonts w:hint="eastAsia" w:ascii="宋体" w:hAnsi="宋体"/>
                <w:b/>
                <w:bCs/>
                <w:spacing w:val="-10"/>
                <w:sz w:val="32"/>
                <w:szCs w:val="32"/>
                <w:lang w:eastAsia="zh-CN"/>
              </w:rPr>
              <w:t>泰兴市古溪镇人民政府</w:t>
            </w:r>
          </w:p>
        </w:tc>
      </w:tr>
      <w:tr w14:paraId="6BD8F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08" w:type="dxa"/>
            <w:noWrap w:val="0"/>
            <w:vAlign w:val="bottom"/>
          </w:tcPr>
          <w:p w14:paraId="412D71CF">
            <w:pPr>
              <w:spacing w:line="1160" w:lineRule="exact"/>
              <w:jc w:val="center"/>
              <w:rPr>
                <w:rFonts w:ascii="宋体" w:hAnsi="宋体" w:cs="Calibri"/>
                <w:b/>
                <w:bCs/>
                <w:spacing w:val="-20"/>
                <w:sz w:val="32"/>
                <w:szCs w:val="32"/>
              </w:rPr>
            </w:pPr>
            <w:r>
              <w:rPr>
                <w:rFonts w:hint="eastAsia" w:ascii="宋体" w:hAnsi="宋体"/>
                <w:b/>
                <w:bCs/>
                <w:spacing w:val="50"/>
                <w:sz w:val="32"/>
                <w:szCs w:val="32"/>
              </w:rPr>
              <w:t>承包人</w:t>
            </w:r>
            <w:r>
              <w:rPr>
                <w:rFonts w:hint="eastAsia" w:ascii="宋体" w:hAnsi="宋体"/>
                <w:b/>
                <w:bCs/>
                <w:sz w:val="32"/>
                <w:szCs w:val="32"/>
              </w:rPr>
              <w:t>：</w:t>
            </w:r>
          </w:p>
        </w:tc>
        <w:tc>
          <w:tcPr>
            <w:tcW w:w="6300" w:type="dxa"/>
            <w:noWrap w:val="0"/>
            <w:vAlign w:val="bottom"/>
          </w:tcPr>
          <w:p w14:paraId="2380838D">
            <w:pPr>
              <w:spacing w:line="1160" w:lineRule="exact"/>
              <w:jc w:val="center"/>
              <w:rPr>
                <w:rFonts w:ascii="宋体" w:hAnsi="宋体" w:cs="Calibri"/>
                <w:b/>
                <w:bCs/>
                <w:sz w:val="32"/>
                <w:szCs w:val="32"/>
              </w:rPr>
            </w:pPr>
          </w:p>
        </w:tc>
      </w:tr>
      <w:tr w14:paraId="511371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08" w:type="dxa"/>
            <w:noWrap w:val="0"/>
            <w:vAlign w:val="bottom"/>
          </w:tcPr>
          <w:p w14:paraId="2428F1C3">
            <w:pPr>
              <w:spacing w:line="1160" w:lineRule="exact"/>
              <w:jc w:val="center"/>
              <w:rPr>
                <w:rFonts w:ascii="宋体" w:hAnsi="宋体" w:cs="Calibri"/>
                <w:b/>
                <w:bCs/>
                <w:spacing w:val="-20"/>
                <w:sz w:val="32"/>
                <w:szCs w:val="32"/>
              </w:rPr>
            </w:pPr>
            <w:r>
              <w:rPr>
                <w:rFonts w:hint="eastAsia" w:ascii="宋体" w:hAnsi="宋体"/>
                <w:b/>
                <w:bCs/>
                <w:sz w:val="32"/>
                <w:szCs w:val="32"/>
              </w:rPr>
              <w:t>签订日期：</w:t>
            </w:r>
          </w:p>
        </w:tc>
        <w:tc>
          <w:tcPr>
            <w:tcW w:w="6300" w:type="dxa"/>
            <w:noWrap w:val="0"/>
            <w:vAlign w:val="bottom"/>
          </w:tcPr>
          <w:p w14:paraId="18E2EA84">
            <w:pPr>
              <w:spacing w:line="1160" w:lineRule="exact"/>
              <w:jc w:val="center"/>
              <w:rPr>
                <w:rFonts w:ascii="宋体" w:hAnsi="宋体" w:cs="Calibri"/>
                <w:b/>
                <w:bCs/>
                <w:sz w:val="32"/>
                <w:szCs w:val="32"/>
              </w:rPr>
            </w:pPr>
          </w:p>
        </w:tc>
      </w:tr>
    </w:tbl>
    <w:p w14:paraId="44353139">
      <w:pPr>
        <w:rPr>
          <w:rFonts w:ascii="宋体" w:hAnsi="宋体" w:cs="Calibri"/>
          <w:szCs w:val="21"/>
        </w:rPr>
      </w:pPr>
    </w:p>
    <w:p w14:paraId="5C0757C0">
      <w:pPr>
        <w:rPr>
          <w:rFonts w:ascii="宋体" w:hAnsi="宋体"/>
        </w:rPr>
      </w:pPr>
    </w:p>
    <w:p w14:paraId="2136E517">
      <w:pPr>
        <w:rPr>
          <w:rFonts w:ascii="宋体" w:hAnsi="宋体"/>
        </w:rPr>
      </w:pPr>
    </w:p>
    <w:p w14:paraId="64E592AA">
      <w:pPr>
        <w:rPr>
          <w:rFonts w:ascii="宋体" w:hAnsi="宋体"/>
        </w:rPr>
      </w:pPr>
    </w:p>
    <w:p w14:paraId="65FCA775">
      <w:pPr>
        <w:rPr>
          <w:rFonts w:ascii="宋体" w:hAnsi="宋体"/>
        </w:rPr>
      </w:pPr>
    </w:p>
    <w:p w14:paraId="6E3339EB">
      <w:pPr>
        <w:rPr>
          <w:rFonts w:ascii="宋体" w:hAnsi="宋体"/>
        </w:rPr>
      </w:pPr>
    </w:p>
    <w:p w14:paraId="2F0C02F1">
      <w:pPr>
        <w:rPr>
          <w:rFonts w:ascii="宋体" w:hAnsi="宋体"/>
        </w:rPr>
      </w:pPr>
    </w:p>
    <w:p w14:paraId="2DBDF2C3">
      <w:pPr>
        <w:rPr>
          <w:rFonts w:ascii="宋体" w:hAnsi="宋体"/>
          <w:sz w:val="28"/>
          <w:szCs w:val="28"/>
        </w:rPr>
      </w:pPr>
      <w:r>
        <w:rPr>
          <w:rFonts w:ascii="宋体" w:hAnsi="宋体"/>
          <w:sz w:val="28"/>
          <w:szCs w:val="28"/>
        </w:rPr>
        <w:br w:type="page" w:clear="all"/>
      </w:r>
    </w:p>
    <w:p w14:paraId="7A5D1A7E">
      <w:pPr>
        <w:spacing w:line="500" w:lineRule="exact"/>
        <w:ind w:firstLine="560"/>
        <w:rPr>
          <w:rFonts w:ascii="宋体" w:hAnsi="宋体"/>
          <w:b/>
          <w:bCs/>
          <w:sz w:val="44"/>
          <w:szCs w:val="44"/>
        </w:rPr>
      </w:pPr>
      <w:r>
        <w:rPr>
          <w:rFonts w:hint="eastAsia" w:ascii="宋体" w:hAnsi="宋体"/>
          <w:sz w:val="28"/>
          <w:szCs w:val="28"/>
        </w:rPr>
        <w:t>发包人为实施</w:t>
      </w:r>
      <w:r>
        <w:rPr>
          <w:rFonts w:hint="eastAsia" w:ascii="宋体" w:hAnsi="宋体"/>
          <w:b/>
          <w:bCs/>
          <w:sz w:val="28"/>
          <w:szCs w:val="28"/>
          <w:u w:val="single"/>
          <w:lang w:eastAsia="zh-CN"/>
        </w:rPr>
        <w:t>2026年古溪镇交通强市四好农村路危桥改建项目（二）</w:t>
      </w:r>
      <w:r>
        <w:rPr>
          <w:rFonts w:hint="eastAsia" w:ascii="宋体" w:hAnsi="宋体"/>
          <w:sz w:val="28"/>
          <w:szCs w:val="28"/>
        </w:rPr>
        <w:t>，已接受承包人对该项目施工的投标。为使该项目顺利实施，双方共同协商达成如下协议：</w:t>
      </w:r>
    </w:p>
    <w:p w14:paraId="2E048229">
      <w:pPr>
        <w:spacing w:line="500" w:lineRule="exact"/>
        <w:ind w:firstLine="540"/>
        <w:rPr>
          <w:rFonts w:ascii="宋体" w:hAnsi="宋体"/>
          <w:b/>
          <w:bCs/>
          <w:sz w:val="28"/>
          <w:szCs w:val="28"/>
        </w:rPr>
      </w:pPr>
      <w:r>
        <w:rPr>
          <w:rFonts w:hint="eastAsia" w:ascii="宋体" w:hAnsi="宋体"/>
          <w:b/>
          <w:bCs/>
          <w:sz w:val="28"/>
          <w:szCs w:val="28"/>
        </w:rPr>
        <w:t>一、工程概况：</w:t>
      </w:r>
    </w:p>
    <w:p w14:paraId="558A295E">
      <w:pPr>
        <w:spacing w:line="500" w:lineRule="exact"/>
        <w:ind w:firstLine="560"/>
        <w:rPr>
          <w:rFonts w:ascii="宋体" w:hAnsi="宋体"/>
          <w:sz w:val="28"/>
          <w:szCs w:val="28"/>
        </w:rPr>
      </w:pPr>
      <w:r>
        <w:rPr>
          <w:rFonts w:hint="eastAsia" w:ascii="宋体" w:hAnsi="宋体"/>
          <w:sz w:val="28"/>
          <w:szCs w:val="28"/>
          <w:lang w:eastAsia="zh-CN"/>
        </w:rPr>
        <w:t>2026年古溪镇交通强市四好农村路危桥改建项目（二），主要包括刁网村江浙独支纪念馆前星火路改造，尹垛王庄中心大道改造，具体详见控制价清单。</w:t>
      </w:r>
    </w:p>
    <w:p w14:paraId="34A96E65">
      <w:pPr>
        <w:spacing w:line="500" w:lineRule="exact"/>
        <w:ind w:firstLine="560"/>
        <w:rPr>
          <w:rFonts w:ascii="宋体" w:hAnsi="宋体"/>
          <w:sz w:val="28"/>
          <w:szCs w:val="28"/>
        </w:rPr>
      </w:pPr>
      <w:r>
        <w:rPr>
          <w:rFonts w:hint="eastAsia" w:ascii="宋体" w:hAnsi="宋体"/>
          <w:sz w:val="28"/>
          <w:szCs w:val="28"/>
        </w:rPr>
        <w:t>本次合同范围为：施工图和工程量清单注明</w:t>
      </w:r>
      <w:r>
        <w:rPr>
          <w:rFonts w:hint="eastAsia" w:ascii="宋体" w:hAnsi="宋体"/>
          <w:sz w:val="28"/>
          <w:szCs w:val="28"/>
          <w:lang w:val="en-US" w:eastAsia="zh-CN"/>
        </w:rPr>
        <w:t>的</w:t>
      </w:r>
      <w:r>
        <w:rPr>
          <w:rFonts w:hint="eastAsia" w:ascii="宋体" w:hAnsi="宋体"/>
          <w:sz w:val="28"/>
          <w:szCs w:val="28"/>
        </w:rPr>
        <w:t xml:space="preserve">工程施工和缺陷责任期内的维修。 </w:t>
      </w:r>
    </w:p>
    <w:p w14:paraId="1F5A1760">
      <w:pPr>
        <w:spacing w:line="500" w:lineRule="exact"/>
        <w:ind w:firstLine="632"/>
        <w:rPr>
          <w:rFonts w:ascii="宋体" w:hAnsi="宋体"/>
          <w:b/>
          <w:bCs/>
          <w:sz w:val="28"/>
          <w:szCs w:val="28"/>
        </w:rPr>
      </w:pPr>
      <w:r>
        <w:rPr>
          <w:rFonts w:hint="eastAsia" w:ascii="宋体" w:hAnsi="宋体"/>
          <w:b/>
          <w:bCs/>
          <w:sz w:val="28"/>
          <w:szCs w:val="28"/>
        </w:rPr>
        <w:t>二、合同文件的组成部分：</w:t>
      </w:r>
    </w:p>
    <w:p w14:paraId="1E3B48A7">
      <w:pPr>
        <w:spacing w:line="500" w:lineRule="exact"/>
        <w:ind w:firstLine="537"/>
        <w:rPr>
          <w:rFonts w:ascii="宋体" w:hAnsi="宋体"/>
          <w:sz w:val="28"/>
          <w:szCs w:val="28"/>
        </w:rPr>
      </w:pPr>
      <w:r>
        <w:rPr>
          <w:rFonts w:hint="eastAsia" w:ascii="宋体" w:hAnsi="宋体"/>
          <w:sz w:val="28"/>
          <w:szCs w:val="28"/>
        </w:rPr>
        <w:t>（1）合同实施期间，发包人和承包人签订的其他协议（如果有）</w:t>
      </w:r>
    </w:p>
    <w:p w14:paraId="182DE5CF">
      <w:pPr>
        <w:spacing w:line="500" w:lineRule="exact"/>
        <w:ind w:firstLine="537"/>
        <w:rPr>
          <w:rFonts w:ascii="宋体" w:hAnsi="宋体"/>
          <w:sz w:val="28"/>
          <w:szCs w:val="28"/>
        </w:rPr>
      </w:pPr>
      <w:r>
        <w:rPr>
          <w:rFonts w:hint="eastAsia" w:ascii="宋体" w:hAnsi="宋体"/>
          <w:sz w:val="28"/>
          <w:szCs w:val="28"/>
        </w:rPr>
        <w:t>（2）合同协议书及各种合同附件（含廉政合同、安全生产合同、合同补充协议和合同谈判过程中的澄清文件和补充资料）；</w:t>
      </w:r>
    </w:p>
    <w:p w14:paraId="2A27C24C">
      <w:pPr>
        <w:spacing w:line="500" w:lineRule="exact"/>
        <w:ind w:firstLine="537"/>
        <w:rPr>
          <w:rFonts w:ascii="宋体" w:hAnsi="宋体"/>
          <w:sz w:val="28"/>
          <w:szCs w:val="28"/>
        </w:rPr>
      </w:pPr>
      <w:r>
        <w:rPr>
          <w:rFonts w:hint="eastAsia" w:ascii="宋体" w:hAnsi="宋体"/>
          <w:sz w:val="28"/>
          <w:szCs w:val="28"/>
        </w:rPr>
        <w:t>（3）中标通知书；</w:t>
      </w:r>
    </w:p>
    <w:p w14:paraId="34ED30C3">
      <w:pPr>
        <w:spacing w:line="500" w:lineRule="exact"/>
        <w:ind w:firstLine="537"/>
        <w:rPr>
          <w:rFonts w:ascii="宋体" w:hAnsi="宋体"/>
          <w:sz w:val="28"/>
          <w:szCs w:val="28"/>
        </w:rPr>
      </w:pPr>
      <w:r>
        <w:rPr>
          <w:rFonts w:hint="eastAsia" w:ascii="宋体" w:hAnsi="宋体"/>
          <w:sz w:val="28"/>
          <w:szCs w:val="28"/>
        </w:rPr>
        <w:t>（4）补遗书；</w:t>
      </w:r>
    </w:p>
    <w:p w14:paraId="63DE8476">
      <w:pPr>
        <w:spacing w:line="500" w:lineRule="exact"/>
        <w:ind w:firstLine="537"/>
        <w:rPr>
          <w:rFonts w:ascii="宋体" w:hAnsi="宋体"/>
          <w:sz w:val="28"/>
          <w:szCs w:val="28"/>
        </w:rPr>
      </w:pPr>
      <w:r>
        <w:rPr>
          <w:rFonts w:hint="eastAsia" w:ascii="宋体" w:hAnsi="宋体"/>
          <w:sz w:val="28"/>
          <w:szCs w:val="28"/>
        </w:rPr>
        <w:t>（5）投标函及投标函附录；</w:t>
      </w:r>
    </w:p>
    <w:p w14:paraId="738E78F2">
      <w:pPr>
        <w:spacing w:line="500" w:lineRule="exact"/>
        <w:ind w:firstLine="537"/>
        <w:rPr>
          <w:rFonts w:ascii="宋体" w:hAnsi="宋体"/>
          <w:sz w:val="28"/>
          <w:szCs w:val="28"/>
        </w:rPr>
      </w:pPr>
      <w:r>
        <w:rPr>
          <w:rFonts w:hint="eastAsia" w:ascii="宋体" w:hAnsi="宋体"/>
          <w:sz w:val="28"/>
          <w:szCs w:val="28"/>
        </w:rPr>
        <w:t>（6）项目专用合同条款；</w:t>
      </w:r>
    </w:p>
    <w:p w14:paraId="3242066F">
      <w:pPr>
        <w:spacing w:line="500" w:lineRule="exact"/>
        <w:ind w:firstLine="537"/>
        <w:rPr>
          <w:rFonts w:ascii="宋体" w:hAnsi="宋体"/>
          <w:sz w:val="28"/>
          <w:szCs w:val="28"/>
        </w:rPr>
      </w:pPr>
      <w:r>
        <w:rPr>
          <w:rFonts w:hint="eastAsia" w:ascii="宋体" w:hAnsi="宋体"/>
          <w:sz w:val="28"/>
          <w:szCs w:val="28"/>
        </w:rPr>
        <w:t>（7）招标文件项目专用本；</w:t>
      </w:r>
    </w:p>
    <w:p w14:paraId="49E86040">
      <w:pPr>
        <w:spacing w:line="500" w:lineRule="exact"/>
        <w:ind w:firstLine="537"/>
        <w:rPr>
          <w:rFonts w:ascii="宋体" w:hAnsi="宋体"/>
          <w:sz w:val="28"/>
          <w:szCs w:val="28"/>
        </w:rPr>
      </w:pPr>
      <w:r>
        <w:rPr>
          <w:rFonts w:hint="eastAsia" w:ascii="宋体" w:hAnsi="宋体"/>
          <w:sz w:val="28"/>
          <w:szCs w:val="28"/>
        </w:rPr>
        <w:t>（8）公路工程专用合同条款；</w:t>
      </w:r>
    </w:p>
    <w:p w14:paraId="66AEC781">
      <w:pPr>
        <w:spacing w:line="500" w:lineRule="exact"/>
        <w:ind w:firstLine="537"/>
        <w:rPr>
          <w:rFonts w:ascii="宋体" w:hAnsi="宋体"/>
          <w:sz w:val="28"/>
          <w:szCs w:val="28"/>
        </w:rPr>
      </w:pPr>
      <w:r>
        <w:rPr>
          <w:rFonts w:hint="eastAsia" w:ascii="宋体" w:hAnsi="宋体"/>
          <w:sz w:val="28"/>
          <w:szCs w:val="28"/>
        </w:rPr>
        <w:t>（9）通用合同条款；</w:t>
      </w:r>
    </w:p>
    <w:p w14:paraId="426AFC5C">
      <w:pPr>
        <w:spacing w:line="500" w:lineRule="exact"/>
        <w:ind w:firstLine="537"/>
        <w:rPr>
          <w:rFonts w:ascii="宋体" w:hAnsi="宋体"/>
          <w:sz w:val="28"/>
          <w:szCs w:val="28"/>
        </w:rPr>
      </w:pPr>
      <w:r>
        <w:rPr>
          <w:rFonts w:hint="eastAsia" w:ascii="宋体" w:hAnsi="宋体"/>
          <w:sz w:val="28"/>
          <w:szCs w:val="28"/>
        </w:rPr>
        <w:t>（10）工程量清单计量规则；</w:t>
      </w:r>
    </w:p>
    <w:p w14:paraId="2F5A5889">
      <w:pPr>
        <w:spacing w:line="500" w:lineRule="exact"/>
        <w:ind w:firstLine="537"/>
        <w:rPr>
          <w:rFonts w:ascii="宋体" w:hAnsi="宋体"/>
          <w:sz w:val="28"/>
          <w:szCs w:val="28"/>
        </w:rPr>
      </w:pPr>
      <w:r>
        <w:rPr>
          <w:rFonts w:hint="eastAsia" w:ascii="宋体" w:hAnsi="宋体"/>
          <w:sz w:val="28"/>
          <w:szCs w:val="28"/>
        </w:rPr>
        <w:t>（11）技术规范；</w:t>
      </w:r>
    </w:p>
    <w:p w14:paraId="3FB2C36C">
      <w:pPr>
        <w:spacing w:line="500" w:lineRule="exact"/>
        <w:ind w:firstLine="537"/>
        <w:rPr>
          <w:rFonts w:ascii="宋体" w:hAnsi="宋体"/>
          <w:sz w:val="28"/>
          <w:szCs w:val="28"/>
        </w:rPr>
      </w:pPr>
      <w:r>
        <w:rPr>
          <w:rFonts w:hint="eastAsia" w:ascii="宋体" w:hAnsi="宋体"/>
          <w:sz w:val="28"/>
          <w:szCs w:val="28"/>
        </w:rPr>
        <w:t>（12）图纸；</w:t>
      </w:r>
    </w:p>
    <w:p w14:paraId="7B0BE150">
      <w:pPr>
        <w:spacing w:line="500" w:lineRule="exact"/>
        <w:ind w:firstLine="537"/>
        <w:rPr>
          <w:rFonts w:ascii="宋体" w:hAnsi="宋体"/>
          <w:sz w:val="28"/>
          <w:szCs w:val="28"/>
        </w:rPr>
      </w:pPr>
      <w:r>
        <w:rPr>
          <w:rFonts w:hint="eastAsia" w:ascii="宋体" w:hAnsi="宋体"/>
          <w:sz w:val="28"/>
          <w:szCs w:val="28"/>
        </w:rPr>
        <w:t>（13）已标价工程量清单；</w:t>
      </w:r>
    </w:p>
    <w:p w14:paraId="15BCD14B">
      <w:pPr>
        <w:spacing w:line="500" w:lineRule="exact"/>
        <w:ind w:firstLine="537"/>
        <w:rPr>
          <w:rFonts w:ascii="宋体" w:hAnsi="宋体"/>
          <w:sz w:val="28"/>
          <w:szCs w:val="28"/>
        </w:rPr>
      </w:pPr>
      <w:r>
        <w:rPr>
          <w:rFonts w:hint="eastAsia" w:ascii="宋体" w:hAnsi="宋体"/>
          <w:sz w:val="28"/>
          <w:szCs w:val="28"/>
        </w:rPr>
        <w:t>（14）承包人有关人员、设备投入的承诺；</w:t>
      </w:r>
    </w:p>
    <w:p w14:paraId="53D86A7D">
      <w:pPr>
        <w:spacing w:line="500" w:lineRule="exact"/>
        <w:ind w:firstLine="537"/>
        <w:rPr>
          <w:rFonts w:ascii="宋体" w:hAnsi="宋体"/>
          <w:sz w:val="28"/>
          <w:szCs w:val="28"/>
        </w:rPr>
      </w:pPr>
      <w:r>
        <w:rPr>
          <w:rFonts w:hint="eastAsia" w:ascii="宋体" w:hAnsi="宋体"/>
          <w:sz w:val="28"/>
          <w:szCs w:val="28"/>
        </w:rPr>
        <w:t>（15）国家最新颁布的各种技术规范，检验评定标准及相关的规章制度；</w:t>
      </w:r>
    </w:p>
    <w:p w14:paraId="634D800C">
      <w:pPr>
        <w:spacing w:line="500" w:lineRule="exact"/>
        <w:ind w:firstLine="537"/>
        <w:rPr>
          <w:rFonts w:ascii="宋体" w:hAnsi="宋体"/>
          <w:sz w:val="28"/>
          <w:szCs w:val="28"/>
        </w:rPr>
      </w:pPr>
      <w:r>
        <w:rPr>
          <w:rFonts w:hint="eastAsia" w:ascii="宋体" w:hAnsi="宋体"/>
          <w:sz w:val="28"/>
          <w:szCs w:val="28"/>
        </w:rPr>
        <w:t>（16）构成本合同组成部分的其他文件。</w:t>
      </w:r>
    </w:p>
    <w:p w14:paraId="64571A3B">
      <w:pPr>
        <w:spacing w:line="500" w:lineRule="exact"/>
        <w:ind w:firstLine="537"/>
        <w:rPr>
          <w:rFonts w:ascii="宋体" w:hAnsi="宋体"/>
          <w:sz w:val="28"/>
          <w:szCs w:val="28"/>
        </w:rPr>
      </w:pPr>
      <w:r>
        <w:rPr>
          <w:rFonts w:hint="eastAsia" w:ascii="宋体" w:hAnsi="宋体"/>
          <w:sz w:val="28"/>
          <w:szCs w:val="28"/>
        </w:rPr>
        <w:t>上述文件互相补充和解释，如有不明确或不一致之处，以合同约定次序在先者为准。</w:t>
      </w:r>
    </w:p>
    <w:p w14:paraId="4E584FCE">
      <w:pPr>
        <w:spacing w:line="500" w:lineRule="exact"/>
        <w:ind w:firstLine="562"/>
        <w:rPr>
          <w:rFonts w:ascii="宋体" w:hAnsi="宋体"/>
          <w:b/>
          <w:bCs/>
          <w:sz w:val="28"/>
          <w:szCs w:val="28"/>
        </w:rPr>
      </w:pPr>
      <w:r>
        <w:rPr>
          <w:rFonts w:hint="eastAsia" w:ascii="宋体" w:hAnsi="宋体"/>
          <w:b/>
          <w:bCs/>
          <w:sz w:val="28"/>
          <w:szCs w:val="28"/>
        </w:rPr>
        <w:t>三、合同价及支付结算</w:t>
      </w:r>
    </w:p>
    <w:p w14:paraId="654A0A57">
      <w:pPr>
        <w:spacing w:line="500" w:lineRule="exact"/>
        <w:ind w:firstLine="630"/>
        <w:rPr>
          <w:rFonts w:ascii="宋体" w:hAnsi="宋体"/>
          <w:sz w:val="28"/>
          <w:szCs w:val="28"/>
        </w:rPr>
      </w:pPr>
      <w:r>
        <w:rPr>
          <w:rFonts w:hint="eastAsia" w:ascii="宋体" w:hAnsi="宋体"/>
          <w:sz w:val="28"/>
          <w:szCs w:val="28"/>
        </w:rPr>
        <w:t>1、本工程签约合同价即中标价，人民币（大写）元（￥元）。工程最终将按实际签认的工程量和中标单价进行结算。</w:t>
      </w:r>
    </w:p>
    <w:p w14:paraId="45A328D3">
      <w:pPr>
        <w:spacing w:line="500" w:lineRule="exact"/>
        <w:ind w:firstLine="630"/>
        <w:rPr>
          <w:rFonts w:ascii="宋体" w:hAnsi="宋体"/>
          <w:sz w:val="28"/>
          <w:szCs w:val="28"/>
        </w:rPr>
      </w:pPr>
      <w:r>
        <w:rPr>
          <w:rFonts w:hint="eastAsia" w:ascii="宋体" w:hAnsi="宋体"/>
          <w:sz w:val="28"/>
          <w:szCs w:val="28"/>
        </w:rPr>
        <w:t>2、安全生产费用实行总量控制由工程现场质监管理人员依据监理工程师的意见签字确认后进行计量支付。</w:t>
      </w:r>
    </w:p>
    <w:p w14:paraId="12E06516">
      <w:pPr>
        <w:spacing w:line="500" w:lineRule="exact"/>
        <w:ind w:firstLine="630"/>
        <w:rPr>
          <w:rFonts w:ascii="宋体" w:hAnsi="宋体"/>
          <w:spacing w:val="-6"/>
          <w:sz w:val="28"/>
          <w:szCs w:val="28"/>
        </w:rPr>
      </w:pPr>
      <w:r>
        <w:rPr>
          <w:rFonts w:hint="eastAsia" w:ascii="宋体" w:hAnsi="宋体"/>
          <w:sz w:val="28"/>
          <w:szCs w:val="28"/>
        </w:rPr>
        <w:t>3、</w:t>
      </w:r>
      <w:r>
        <w:rPr>
          <w:rFonts w:hint="eastAsia" w:ascii="宋体" w:hAnsi="宋体"/>
          <w:spacing w:val="-6"/>
          <w:sz w:val="28"/>
          <w:szCs w:val="28"/>
        </w:rPr>
        <w:t>合同外项目单价的确认，将参照类似工程类似项目或子目中标单价执行，或依据招标文件重新编制项目综合单价按中标下浮率下浮后执行。</w:t>
      </w:r>
    </w:p>
    <w:p w14:paraId="38200505">
      <w:pPr>
        <w:spacing w:line="500" w:lineRule="exact"/>
        <w:ind w:firstLine="603"/>
        <w:rPr>
          <w:rFonts w:ascii="宋体" w:hAnsi="宋体"/>
          <w:spacing w:val="-6"/>
          <w:sz w:val="28"/>
          <w:szCs w:val="28"/>
        </w:rPr>
      </w:pPr>
      <w:r>
        <w:rPr>
          <w:rFonts w:hint="eastAsia" w:ascii="宋体" w:hAnsi="宋体"/>
          <w:spacing w:val="-6"/>
          <w:sz w:val="28"/>
          <w:szCs w:val="28"/>
        </w:rPr>
        <w:t>4、本工程关于建筑材料价格风险，在竣工决算时将依据泰州工程造价管理材料指导价、预算编制材料基准价，按照招标文件及省、市最近交通部门有关文件具体规定执行。施工期间，人工费按照江苏省有关部门发布的人工成本信息进行调整。</w:t>
      </w:r>
    </w:p>
    <w:p w14:paraId="3C55AD0C">
      <w:pPr>
        <w:spacing w:line="500" w:lineRule="exact"/>
        <w:ind w:firstLine="603"/>
        <w:rPr>
          <w:rFonts w:hint="eastAsia" w:ascii="宋体" w:hAnsi="宋体"/>
          <w:spacing w:val="-6"/>
          <w:sz w:val="28"/>
          <w:szCs w:val="28"/>
          <w:lang w:val="en-US" w:eastAsia="zh-CN"/>
        </w:rPr>
      </w:pPr>
      <w:r>
        <w:rPr>
          <w:rFonts w:hint="eastAsia" w:ascii="宋体" w:hAnsi="宋体" w:eastAsia="宋体"/>
          <w:spacing w:val="-6"/>
          <w:sz w:val="28"/>
          <w:szCs w:val="28"/>
        </w:rPr>
        <w:t>5、</w:t>
      </w:r>
      <w:r>
        <w:rPr>
          <w:rFonts w:hint="eastAsia" w:ascii="宋体" w:hAnsi="宋体" w:eastAsia="宋体"/>
          <w:spacing w:val="-6"/>
          <w:sz w:val="28"/>
          <w:szCs w:val="28"/>
          <w:lang w:eastAsia="zh-CN"/>
        </w:rPr>
        <w:t>工程竣工验收合格并经审计后付至审计价的40%，2027年底付至审计价的70%，工程竣工验收合格满两年且无质量缺陷按审计价付清余款</w:t>
      </w:r>
      <w:r>
        <w:rPr>
          <w:rFonts w:hint="eastAsia" w:ascii="宋体" w:hAnsi="宋体"/>
          <w:spacing w:val="-6"/>
          <w:sz w:val="28"/>
          <w:szCs w:val="28"/>
          <w:lang w:eastAsia="zh-CN"/>
        </w:rPr>
        <w:t>。</w:t>
      </w:r>
    </w:p>
    <w:p w14:paraId="1A884A43">
      <w:pPr>
        <w:spacing w:line="500" w:lineRule="exact"/>
        <w:ind w:firstLine="630"/>
        <w:rPr>
          <w:rFonts w:ascii="宋体" w:hAnsi="宋体"/>
          <w:sz w:val="28"/>
          <w:szCs w:val="28"/>
        </w:rPr>
      </w:pPr>
      <w:r>
        <w:rPr>
          <w:rFonts w:hint="eastAsia" w:ascii="宋体" w:hAnsi="宋体"/>
          <w:sz w:val="28"/>
          <w:szCs w:val="28"/>
        </w:rPr>
        <w:t>6、对几何尺寸、强度等主要技术指标不符合质量要求的分项工程，承包人必须整改，无法整改且不影响使用的，除按实计量外，还将扣除该分项工程计量的20%；计量资料不及时上报、工程不及时结算，不予安排资金。</w:t>
      </w:r>
    </w:p>
    <w:p w14:paraId="4257BC37">
      <w:pPr>
        <w:spacing w:line="500" w:lineRule="exact"/>
        <w:ind w:firstLine="560"/>
        <w:rPr>
          <w:rFonts w:ascii="宋体" w:hAnsi="宋体"/>
          <w:sz w:val="28"/>
          <w:szCs w:val="28"/>
        </w:rPr>
      </w:pPr>
      <w:r>
        <w:rPr>
          <w:rFonts w:hint="eastAsia" w:ascii="宋体" w:hAnsi="宋体"/>
          <w:sz w:val="28"/>
          <w:szCs w:val="28"/>
        </w:rPr>
        <w:t>7、本项目暂定金额由监理工程师报业主批准确认后全部或部分地使用。</w:t>
      </w:r>
    </w:p>
    <w:p w14:paraId="05700E66">
      <w:pPr>
        <w:spacing w:line="500" w:lineRule="exact"/>
        <w:ind w:firstLine="540"/>
        <w:rPr>
          <w:rFonts w:ascii="宋体" w:hAnsi="宋体"/>
          <w:b/>
          <w:bCs/>
          <w:sz w:val="28"/>
          <w:szCs w:val="28"/>
        </w:rPr>
      </w:pPr>
      <w:r>
        <w:rPr>
          <w:rFonts w:hint="eastAsia" w:ascii="宋体" w:hAnsi="宋体"/>
          <w:b/>
          <w:bCs/>
          <w:sz w:val="28"/>
          <w:szCs w:val="28"/>
        </w:rPr>
        <w:t>四、承包人项目部主要人员：</w:t>
      </w:r>
    </w:p>
    <w:p w14:paraId="6EF9629E">
      <w:pPr>
        <w:spacing w:line="500" w:lineRule="exact"/>
        <w:ind w:firstLine="537"/>
        <w:rPr>
          <w:rFonts w:ascii="宋体" w:hAnsi="宋体"/>
          <w:sz w:val="28"/>
          <w:szCs w:val="28"/>
        </w:rPr>
      </w:pPr>
      <w:r>
        <w:rPr>
          <w:rFonts w:hint="eastAsia" w:ascii="宋体" w:hAnsi="宋体"/>
          <w:sz w:val="28"/>
          <w:szCs w:val="28"/>
          <w:lang w:eastAsia="zh-CN"/>
        </w:rPr>
        <w:t>项目负责人</w:t>
      </w:r>
      <w:r>
        <w:rPr>
          <w:rFonts w:hint="eastAsia" w:ascii="宋体" w:hAnsi="宋体"/>
          <w:sz w:val="28"/>
          <w:szCs w:val="28"/>
        </w:rPr>
        <w:t>：</w:t>
      </w:r>
      <w:r>
        <w:rPr>
          <w:rFonts w:hint="eastAsia" w:ascii="宋体" w:hAnsi="宋体"/>
          <w:sz w:val="28"/>
          <w:szCs w:val="28"/>
          <w:u w:val="single"/>
          <w:lang w:val="en-US" w:eastAsia="zh-CN"/>
        </w:rPr>
        <w:t xml:space="preserve">      </w:t>
      </w:r>
      <w:r>
        <w:rPr>
          <w:rFonts w:hint="eastAsia" w:ascii="宋体" w:hAnsi="宋体"/>
          <w:sz w:val="28"/>
          <w:szCs w:val="28"/>
        </w:rPr>
        <w:t>，技术负责人：</w:t>
      </w:r>
      <w:r>
        <w:rPr>
          <w:rFonts w:hint="eastAsia" w:ascii="宋体" w:hAnsi="宋体"/>
          <w:sz w:val="28"/>
          <w:szCs w:val="28"/>
          <w:u w:val="single"/>
          <w:lang w:val="en-US" w:eastAsia="zh-CN"/>
        </w:rPr>
        <w:t xml:space="preserve">      </w:t>
      </w:r>
      <w:r>
        <w:rPr>
          <w:rFonts w:hint="eastAsia" w:ascii="宋体" w:hAnsi="宋体"/>
          <w:sz w:val="28"/>
          <w:szCs w:val="28"/>
        </w:rPr>
        <w:t>，安全员：</w:t>
      </w:r>
      <w:r>
        <w:rPr>
          <w:rFonts w:hint="eastAsia" w:ascii="宋体" w:hAnsi="宋体"/>
          <w:sz w:val="28"/>
          <w:szCs w:val="28"/>
          <w:u w:val="single"/>
          <w:lang w:val="en-US" w:eastAsia="zh-CN"/>
        </w:rPr>
        <w:t xml:space="preserve">       </w:t>
      </w:r>
      <w:r>
        <w:rPr>
          <w:rFonts w:hint="eastAsia" w:ascii="宋体" w:hAnsi="宋体"/>
          <w:sz w:val="28"/>
          <w:szCs w:val="28"/>
        </w:rPr>
        <w:t>。</w:t>
      </w:r>
    </w:p>
    <w:p w14:paraId="2622DA9E">
      <w:pPr>
        <w:spacing w:line="500" w:lineRule="exact"/>
        <w:ind w:firstLine="540"/>
        <w:rPr>
          <w:rFonts w:ascii="宋体" w:hAnsi="宋体"/>
          <w:b/>
          <w:bCs/>
          <w:sz w:val="28"/>
          <w:szCs w:val="28"/>
        </w:rPr>
      </w:pPr>
      <w:r>
        <w:rPr>
          <w:rFonts w:hint="eastAsia" w:ascii="宋体" w:hAnsi="宋体"/>
          <w:b/>
          <w:bCs/>
          <w:sz w:val="28"/>
          <w:szCs w:val="28"/>
        </w:rPr>
        <w:t>五、质量及工期</w:t>
      </w:r>
    </w:p>
    <w:p w14:paraId="577F40C1">
      <w:pPr>
        <w:spacing w:line="500" w:lineRule="exact"/>
        <w:ind w:firstLine="537"/>
        <w:rPr>
          <w:rFonts w:ascii="宋体" w:hAnsi="宋体"/>
          <w:sz w:val="28"/>
          <w:szCs w:val="28"/>
        </w:rPr>
      </w:pPr>
      <w:r>
        <w:rPr>
          <w:rFonts w:hint="eastAsia" w:ascii="宋体" w:hAnsi="宋体"/>
          <w:sz w:val="28"/>
          <w:szCs w:val="28"/>
        </w:rPr>
        <w:t>1、工程交工验收质量评定：合格；竣工验收质量评定：优良。</w:t>
      </w:r>
    </w:p>
    <w:p w14:paraId="1FEBA26E">
      <w:pPr>
        <w:spacing w:line="500" w:lineRule="exact"/>
        <w:ind w:firstLine="537"/>
        <w:rPr>
          <w:rFonts w:ascii="宋体" w:hAnsi="宋体"/>
          <w:sz w:val="28"/>
          <w:szCs w:val="28"/>
        </w:rPr>
      </w:pPr>
      <w:r>
        <w:rPr>
          <w:rFonts w:hint="eastAsia" w:ascii="宋体" w:hAnsi="宋体"/>
          <w:sz w:val="28"/>
          <w:szCs w:val="28"/>
        </w:rPr>
        <w:t>2、工期：</w:t>
      </w:r>
      <w:r>
        <w:rPr>
          <w:rFonts w:hint="eastAsia" w:ascii="宋体" w:hAnsi="宋体"/>
          <w:color w:val="FF0000"/>
          <w:sz w:val="28"/>
          <w:szCs w:val="28"/>
          <w:u w:val="single"/>
        </w:rPr>
        <w:t xml:space="preserve"> </w:t>
      </w:r>
      <w:r>
        <w:rPr>
          <w:rFonts w:hint="eastAsia" w:ascii="宋体" w:hAnsi="宋体"/>
          <w:color w:val="FF0000"/>
          <w:sz w:val="28"/>
          <w:szCs w:val="28"/>
          <w:u w:val="single"/>
          <w:lang w:val="en-US" w:eastAsia="zh-CN"/>
        </w:rPr>
        <w:t xml:space="preserve">60 </w:t>
      </w:r>
      <w:r>
        <w:rPr>
          <w:rFonts w:hint="eastAsia" w:ascii="宋体" w:hAnsi="宋体"/>
          <w:color w:val="FF0000"/>
          <w:sz w:val="28"/>
          <w:szCs w:val="28"/>
        </w:rPr>
        <w:t>日历天</w:t>
      </w:r>
      <w:r>
        <w:rPr>
          <w:rFonts w:hint="eastAsia" w:ascii="宋体" w:hAnsi="宋体"/>
          <w:sz w:val="28"/>
          <w:szCs w:val="28"/>
        </w:rPr>
        <w:t>，缺陷责任期：24个月。</w:t>
      </w:r>
    </w:p>
    <w:p w14:paraId="02EED4ED">
      <w:pPr>
        <w:spacing w:line="500" w:lineRule="exact"/>
        <w:ind w:firstLine="537"/>
        <w:rPr>
          <w:rFonts w:ascii="宋体" w:hAnsi="宋体"/>
          <w:sz w:val="28"/>
          <w:szCs w:val="28"/>
        </w:rPr>
      </w:pPr>
      <w:r>
        <w:rPr>
          <w:rFonts w:hint="eastAsia" w:ascii="宋体" w:hAnsi="宋体"/>
          <w:sz w:val="28"/>
          <w:szCs w:val="28"/>
        </w:rPr>
        <w:t>3、承包人承诺按合同约定承担工程的实施、完成及缺陷修复。</w:t>
      </w:r>
    </w:p>
    <w:p w14:paraId="017F7FAF">
      <w:pPr>
        <w:spacing w:line="500" w:lineRule="exact"/>
        <w:ind w:firstLine="537"/>
        <w:rPr>
          <w:rFonts w:ascii="宋体" w:hAnsi="宋体"/>
          <w:sz w:val="28"/>
          <w:szCs w:val="28"/>
        </w:rPr>
      </w:pPr>
      <w:r>
        <w:rPr>
          <w:rFonts w:hint="eastAsia" w:ascii="宋体" w:hAnsi="宋体"/>
          <w:sz w:val="28"/>
          <w:szCs w:val="28"/>
        </w:rPr>
        <w:t>4、发包人承诺按合同约定条件、时间和方式向承包人支付工程款。</w:t>
      </w:r>
    </w:p>
    <w:p w14:paraId="3ED0F883">
      <w:pPr>
        <w:spacing w:line="500" w:lineRule="exact"/>
        <w:ind w:firstLine="540"/>
        <w:rPr>
          <w:rFonts w:ascii="宋体" w:hAnsi="宋体"/>
          <w:b/>
          <w:bCs/>
          <w:sz w:val="28"/>
          <w:szCs w:val="28"/>
        </w:rPr>
      </w:pPr>
      <w:r>
        <w:rPr>
          <w:rFonts w:hint="eastAsia" w:ascii="宋体" w:hAnsi="宋体"/>
          <w:b/>
          <w:bCs/>
          <w:sz w:val="28"/>
          <w:szCs w:val="28"/>
        </w:rPr>
        <w:t>六、安全</w:t>
      </w:r>
    </w:p>
    <w:p w14:paraId="3FC51F1B">
      <w:pPr>
        <w:spacing w:line="500" w:lineRule="exact"/>
        <w:ind w:firstLine="537"/>
        <w:rPr>
          <w:rFonts w:ascii="宋体" w:hAnsi="宋体"/>
          <w:sz w:val="28"/>
          <w:szCs w:val="28"/>
        </w:rPr>
      </w:pPr>
      <w:r>
        <w:rPr>
          <w:rFonts w:hint="eastAsia" w:ascii="宋体" w:hAnsi="宋体"/>
          <w:sz w:val="28"/>
          <w:szCs w:val="28"/>
        </w:rPr>
        <w:t>承包人在施工过程中应加强安全教育，规范做好各类安全防范措施，确保施工和交通安全，一旦发生安全责任事故，承包人全权负责处理，并承担一切责任。发包人将与承包人另行签订安全生产合同。</w:t>
      </w:r>
    </w:p>
    <w:p w14:paraId="08FC5117">
      <w:pPr>
        <w:spacing w:line="500" w:lineRule="exact"/>
        <w:ind w:firstLine="540"/>
        <w:rPr>
          <w:rFonts w:ascii="宋体" w:hAnsi="宋体"/>
          <w:b/>
          <w:bCs/>
          <w:sz w:val="28"/>
          <w:szCs w:val="28"/>
        </w:rPr>
      </w:pPr>
      <w:r>
        <w:rPr>
          <w:rFonts w:hint="eastAsia" w:ascii="宋体" w:hAnsi="宋体"/>
          <w:b/>
          <w:bCs/>
          <w:sz w:val="28"/>
          <w:szCs w:val="28"/>
        </w:rPr>
        <w:t>七、保证金</w:t>
      </w:r>
    </w:p>
    <w:p w14:paraId="426F04BB">
      <w:pPr>
        <w:spacing w:line="500" w:lineRule="exact"/>
        <w:ind w:firstLine="537"/>
        <w:rPr>
          <w:rFonts w:ascii="宋体" w:hAnsi="宋体"/>
          <w:sz w:val="28"/>
          <w:szCs w:val="28"/>
        </w:rPr>
      </w:pPr>
      <w:r>
        <w:rPr>
          <w:rFonts w:hint="eastAsia" w:ascii="宋体" w:hAnsi="宋体"/>
          <w:sz w:val="28"/>
          <w:szCs w:val="28"/>
        </w:rPr>
        <w:t>1、签约合同前，按照约定承包人需向发包人提供中标金额的10%为履约保证金，履约保证金可以采用现金或银行保函的形式。履约保证金在工程施工结束之后返还。</w:t>
      </w:r>
    </w:p>
    <w:p w14:paraId="0015951A">
      <w:pPr>
        <w:spacing w:line="500" w:lineRule="exact"/>
        <w:ind w:firstLine="537"/>
        <w:rPr>
          <w:rFonts w:ascii="宋体" w:hAnsi="宋体"/>
          <w:sz w:val="28"/>
          <w:szCs w:val="28"/>
        </w:rPr>
      </w:pPr>
      <w:r>
        <w:rPr>
          <w:rFonts w:hint="eastAsia" w:ascii="宋体" w:hAnsi="宋体"/>
          <w:sz w:val="28"/>
          <w:szCs w:val="28"/>
        </w:rPr>
        <w:t>2、签约合同前，按照约定承包人需向发包人提供中标金额的</w:t>
      </w:r>
      <w:r>
        <w:rPr>
          <w:rFonts w:hint="eastAsia" w:ascii="宋体" w:hAnsi="宋体"/>
          <w:sz w:val="28"/>
          <w:szCs w:val="28"/>
          <w:lang w:val="en-US" w:eastAsia="zh-CN"/>
        </w:rPr>
        <w:t>1.5</w:t>
      </w:r>
      <w:r>
        <w:rPr>
          <w:rFonts w:hint="eastAsia" w:ascii="宋体" w:hAnsi="宋体"/>
          <w:sz w:val="28"/>
          <w:szCs w:val="28"/>
        </w:rPr>
        <w:t>%</w:t>
      </w:r>
      <w:r>
        <w:rPr>
          <w:rFonts w:hint="eastAsia" w:ascii="宋体" w:hAnsi="宋体"/>
          <w:sz w:val="28"/>
          <w:szCs w:val="28"/>
          <w:lang w:eastAsia="zh-CN"/>
        </w:rPr>
        <w:t>（</w:t>
      </w:r>
      <w:r>
        <w:rPr>
          <w:rFonts w:hint="eastAsia" w:ascii="宋体" w:hAnsi="宋体"/>
          <w:sz w:val="28"/>
          <w:szCs w:val="28"/>
          <w:lang w:val="en-US" w:eastAsia="zh-CN"/>
        </w:rPr>
        <w:t>若承包人在工程项目所在地设区市有两个以上在建工程，第二个工程起均按1%存储</w:t>
      </w:r>
      <w:r>
        <w:rPr>
          <w:rFonts w:hint="eastAsia" w:ascii="宋体" w:hAnsi="宋体"/>
          <w:sz w:val="28"/>
          <w:szCs w:val="28"/>
          <w:lang w:eastAsia="zh-CN"/>
        </w:rPr>
        <w:t>）</w:t>
      </w:r>
      <w:r>
        <w:rPr>
          <w:rFonts w:hint="eastAsia" w:ascii="宋体" w:hAnsi="宋体"/>
          <w:sz w:val="28"/>
          <w:szCs w:val="28"/>
          <w:lang w:val="en-US" w:eastAsia="zh-CN"/>
        </w:rPr>
        <w:t>且</w:t>
      </w:r>
      <w:r>
        <w:rPr>
          <w:rFonts w:hint="eastAsia" w:ascii="宋体" w:hAnsi="宋体"/>
          <w:sz w:val="28"/>
          <w:szCs w:val="28"/>
        </w:rPr>
        <w:t>不超过</w:t>
      </w:r>
      <w:r>
        <w:rPr>
          <w:rFonts w:hint="eastAsia" w:ascii="宋体" w:hAnsi="宋体"/>
          <w:sz w:val="28"/>
          <w:szCs w:val="28"/>
          <w:lang w:val="en-US" w:eastAsia="zh-CN"/>
        </w:rPr>
        <w:t>30</w:t>
      </w:r>
      <w:r>
        <w:rPr>
          <w:rFonts w:hint="eastAsia" w:ascii="宋体" w:hAnsi="宋体"/>
          <w:sz w:val="28"/>
          <w:szCs w:val="28"/>
        </w:rPr>
        <w:t>0万元为农民工工资保证金。农民工工资保证金可以采用现金或银行保函的形式。合同实施中，发包人将对此进行督查考核，并将考核结果纳入承包人信用等级评价；合同实施过程中，因承包人原因而造成的农民工上访等一切风险因素及后果承包人自行承担。农民工工资保证金在发包人签发工程接收交工验收证书之日并经确认施工单位不存在拖欠农民工工资情况后返还。</w:t>
      </w:r>
    </w:p>
    <w:p w14:paraId="58F82E86">
      <w:pPr>
        <w:spacing w:line="500" w:lineRule="exact"/>
        <w:ind w:firstLine="540"/>
        <w:rPr>
          <w:rFonts w:ascii="宋体" w:hAnsi="宋体"/>
          <w:b/>
          <w:bCs/>
          <w:sz w:val="28"/>
          <w:szCs w:val="28"/>
        </w:rPr>
      </w:pPr>
      <w:r>
        <w:rPr>
          <w:rFonts w:hint="eastAsia" w:ascii="宋体" w:hAnsi="宋体"/>
          <w:b/>
          <w:bCs/>
          <w:sz w:val="28"/>
          <w:szCs w:val="28"/>
        </w:rPr>
        <w:t>八、其它</w:t>
      </w:r>
    </w:p>
    <w:p w14:paraId="0AD8FC7C">
      <w:pPr>
        <w:spacing w:line="500" w:lineRule="exact"/>
        <w:ind w:firstLine="537"/>
        <w:rPr>
          <w:rFonts w:ascii="宋体" w:hAnsi="宋体"/>
          <w:sz w:val="28"/>
          <w:szCs w:val="28"/>
        </w:rPr>
      </w:pPr>
      <w:r>
        <w:rPr>
          <w:rFonts w:hint="eastAsia" w:ascii="宋体" w:hAnsi="宋体"/>
          <w:sz w:val="28"/>
          <w:szCs w:val="28"/>
        </w:rPr>
        <w:t>1、发包人将按照有关规定定期对承包人进行履约考核，考核结果上报上级主管部门。</w:t>
      </w:r>
    </w:p>
    <w:p w14:paraId="1F314AA6">
      <w:pPr>
        <w:spacing w:line="500" w:lineRule="exact"/>
        <w:ind w:firstLine="537"/>
        <w:rPr>
          <w:rFonts w:ascii="宋体" w:hAnsi="宋体"/>
          <w:sz w:val="28"/>
          <w:szCs w:val="28"/>
        </w:rPr>
      </w:pPr>
      <w:r>
        <w:rPr>
          <w:rFonts w:hint="eastAsia" w:ascii="宋体" w:hAnsi="宋体"/>
          <w:sz w:val="28"/>
          <w:szCs w:val="28"/>
        </w:rPr>
        <w:t>2、工程实施过程中，承包人要无条件服从发包人对施工组织计划、工程量的调整，以及对工程管理和质量方面提出的有关要求。工程施工结束30天内必须规范整理好全部竣工资料和计量资料，并移交发包人。</w:t>
      </w:r>
    </w:p>
    <w:p w14:paraId="76F9151A">
      <w:pPr>
        <w:spacing w:line="500" w:lineRule="exact"/>
        <w:ind w:firstLine="537"/>
        <w:rPr>
          <w:rFonts w:ascii="宋体" w:hAnsi="宋体"/>
          <w:sz w:val="28"/>
          <w:szCs w:val="28"/>
        </w:rPr>
      </w:pPr>
      <w:r>
        <w:rPr>
          <w:rFonts w:hint="eastAsia" w:ascii="宋体" w:hAnsi="宋体"/>
          <w:sz w:val="28"/>
          <w:szCs w:val="28"/>
        </w:rPr>
        <w:t>3、投标人必须充分调查本工程现场情况，制定较详实的实施计划和绕行方案，确保施工安全，保障交通畅通。</w:t>
      </w:r>
    </w:p>
    <w:p w14:paraId="0952407C">
      <w:pPr>
        <w:spacing w:line="500" w:lineRule="exact"/>
        <w:ind w:firstLine="537"/>
        <w:rPr>
          <w:rFonts w:ascii="宋体" w:hAnsi="宋体"/>
          <w:sz w:val="28"/>
          <w:szCs w:val="28"/>
        </w:rPr>
      </w:pPr>
      <w:r>
        <w:rPr>
          <w:rFonts w:hint="eastAsia" w:ascii="宋体" w:hAnsi="宋体"/>
          <w:sz w:val="28"/>
          <w:szCs w:val="28"/>
        </w:rPr>
        <w:t>4、承包人应及时组织施工队伍进场，严格按施工组织计划施工。如承包人序时进度严重滞后，影响整个工期，发包人将视具体情况有权对剩余工程予以切割分包，并根据与分包单位结算价格在主包单位计量中予以扣除，由此产生的一切后果由原中标单位承担。</w:t>
      </w:r>
    </w:p>
    <w:p w14:paraId="4E438AC3">
      <w:pPr>
        <w:spacing w:line="500" w:lineRule="exact"/>
        <w:ind w:firstLine="719"/>
        <w:rPr>
          <w:rFonts w:ascii="宋体" w:hAnsi="宋体"/>
          <w:sz w:val="28"/>
          <w:szCs w:val="28"/>
        </w:rPr>
      </w:pPr>
      <w:r>
        <w:rPr>
          <w:rFonts w:hint="eastAsia" w:ascii="宋体" w:hAnsi="宋体"/>
          <w:sz w:val="28"/>
          <w:szCs w:val="28"/>
        </w:rPr>
        <w:t>5、投标书中所列</w:t>
      </w:r>
      <w:r>
        <w:rPr>
          <w:rFonts w:hint="eastAsia" w:ascii="宋体" w:hAnsi="宋体"/>
          <w:sz w:val="28"/>
          <w:szCs w:val="28"/>
          <w:lang w:eastAsia="zh-CN"/>
        </w:rPr>
        <w:t>项目负责人</w:t>
      </w:r>
      <w:r>
        <w:rPr>
          <w:rFonts w:hint="eastAsia" w:ascii="宋体" w:hAnsi="宋体"/>
          <w:sz w:val="28"/>
          <w:szCs w:val="28"/>
        </w:rPr>
        <w:t>、项目总工等主要人员未经发包人同意一律不得调整更换，否则将根据其在项目中所担任的职务、级别予以罚款（</w:t>
      </w:r>
      <w:r>
        <w:rPr>
          <w:rFonts w:hint="eastAsia" w:ascii="宋体" w:hAnsi="宋体"/>
          <w:sz w:val="28"/>
          <w:szCs w:val="28"/>
          <w:lang w:eastAsia="zh-CN"/>
        </w:rPr>
        <w:t>项目负责人</w:t>
      </w:r>
      <w:r>
        <w:rPr>
          <w:rFonts w:hint="eastAsia" w:ascii="宋体" w:hAnsi="宋体"/>
          <w:sz w:val="28"/>
          <w:szCs w:val="28"/>
        </w:rPr>
        <w:t>10万元/人•</w:t>
      </w:r>
      <w:r>
        <w:rPr>
          <w:rFonts w:hint="eastAsia" w:ascii="宋体" w:hAnsi="宋体" w:cs="仿宋_GB2312"/>
          <w:sz w:val="28"/>
          <w:szCs w:val="28"/>
        </w:rPr>
        <w:t>次</w:t>
      </w:r>
      <w:r>
        <w:rPr>
          <w:rFonts w:hint="eastAsia" w:ascii="宋体" w:hAnsi="宋体"/>
          <w:sz w:val="28"/>
          <w:szCs w:val="28"/>
        </w:rPr>
        <w:t>、总工10万元/人•</w:t>
      </w:r>
      <w:r>
        <w:rPr>
          <w:rFonts w:hint="eastAsia" w:ascii="宋体" w:hAnsi="宋体" w:cs="仿宋_GB2312"/>
          <w:sz w:val="28"/>
          <w:szCs w:val="28"/>
        </w:rPr>
        <w:t>次，其它主要管理人员</w:t>
      </w:r>
      <w:r>
        <w:rPr>
          <w:rFonts w:hint="eastAsia" w:ascii="宋体" w:hAnsi="宋体"/>
          <w:sz w:val="28"/>
          <w:szCs w:val="28"/>
        </w:rPr>
        <w:t>5万元/人•</w:t>
      </w:r>
      <w:r>
        <w:rPr>
          <w:rFonts w:hint="eastAsia" w:ascii="宋体" w:hAnsi="宋体" w:cs="仿宋_GB2312"/>
          <w:sz w:val="28"/>
          <w:szCs w:val="28"/>
        </w:rPr>
        <w:t>次），并按有关规定上报主管部门予以处罚。发包人即使同意更换，仍按上述标准进行处罚。</w:t>
      </w:r>
    </w:p>
    <w:p w14:paraId="7B40117F">
      <w:pPr>
        <w:spacing w:line="500" w:lineRule="exact"/>
        <w:ind w:firstLine="537"/>
        <w:rPr>
          <w:rFonts w:ascii="宋体" w:hAnsi="宋体"/>
          <w:sz w:val="28"/>
          <w:szCs w:val="28"/>
        </w:rPr>
      </w:pPr>
      <w:r>
        <w:rPr>
          <w:rFonts w:hint="eastAsia" w:ascii="宋体" w:hAnsi="宋体"/>
          <w:sz w:val="28"/>
          <w:szCs w:val="28"/>
        </w:rPr>
        <w:t>6、承包人驻地建设必须满足相关要求，同时应规范建立与工程规模匹配的工地试验室，配备满足日常质量检测需要的人员、试验仪器和设备，保证日常的质量检测工作。</w:t>
      </w:r>
    </w:p>
    <w:p w14:paraId="1C219C73">
      <w:pPr>
        <w:spacing w:line="500" w:lineRule="exact"/>
        <w:ind w:firstLine="537"/>
        <w:rPr>
          <w:rFonts w:ascii="宋体" w:hAnsi="宋体"/>
          <w:sz w:val="28"/>
          <w:szCs w:val="28"/>
        </w:rPr>
      </w:pPr>
      <w:r>
        <w:rPr>
          <w:rFonts w:hint="eastAsia" w:ascii="宋体" w:hAnsi="宋体"/>
          <w:sz w:val="28"/>
          <w:szCs w:val="28"/>
        </w:rPr>
        <w:t>7、发包人在工程施工时有权根据实际情况变更设计和调整工程量，承包人不得由此提出异议。</w:t>
      </w:r>
    </w:p>
    <w:p w14:paraId="20306F73">
      <w:pPr>
        <w:spacing w:line="500" w:lineRule="exact"/>
        <w:ind w:firstLine="537"/>
        <w:rPr>
          <w:rFonts w:ascii="宋体" w:hAnsi="宋体"/>
          <w:sz w:val="28"/>
          <w:szCs w:val="28"/>
        </w:rPr>
      </w:pPr>
      <w:r>
        <w:rPr>
          <w:rFonts w:hint="eastAsia" w:ascii="宋体" w:hAnsi="宋体"/>
          <w:sz w:val="28"/>
          <w:szCs w:val="28"/>
        </w:rPr>
        <w:t>8、工程实施期间，发包人将根据本工程实际情况制定有关奖惩管理办法，承包人如能按期完成任务，发包人将按照管理办法给予奖励，如不能按期完成，发包人将按照管理办法给予处罚，出现质量问题，一切损失由承包人负责。</w:t>
      </w:r>
    </w:p>
    <w:p w14:paraId="24415B53">
      <w:pPr>
        <w:spacing w:line="500" w:lineRule="exact"/>
        <w:ind w:firstLine="537"/>
        <w:rPr>
          <w:rFonts w:ascii="宋体" w:hAnsi="宋体"/>
          <w:sz w:val="28"/>
          <w:szCs w:val="28"/>
        </w:rPr>
      </w:pPr>
      <w:r>
        <w:rPr>
          <w:rFonts w:hint="eastAsia" w:ascii="宋体" w:hAnsi="宋体"/>
          <w:sz w:val="28"/>
          <w:szCs w:val="28"/>
        </w:rPr>
        <w:t>9、本工程缺陷责任期为两年，在缺陷责任期内，如因承包人原因造成的工程缺陷、病害或其他不合格之外，承包人必须及时组织修补、重建和修复，其缺陷修复费用由承包人自行负责。</w:t>
      </w:r>
    </w:p>
    <w:p w14:paraId="6B705964">
      <w:pPr>
        <w:spacing w:line="500" w:lineRule="exact"/>
        <w:ind w:firstLine="537"/>
        <w:rPr>
          <w:rFonts w:ascii="宋体" w:hAnsi="宋体"/>
          <w:sz w:val="28"/>
          <w:szCs w:val="28"/>
        </w:rPr>
      </w:pPr>
      <w:r>
        <w:rPr>
          <w:rFonts w:hint="eastAsia" w:ascii="宋体" w:hAnsi="宋体"/>
          <w:sz w:val="28"/>
          <w:szCs w:val="28"/>
        </w:rPr>
        <w:t>10、本工程若省验收不合格，发包人将拒绝支付工程款。</w:t>
      </w:r>
    </w:p>
    <w:p w14:paraId="73C4CCF7">
      <w:pPr>
        <w:spacing w:line="500" w:lineRule="exact"/>
        <w:ind w:firstLine="540"/>
        <w:rPr>
          <w:rFonts w:ascii="宋体" w:hAnsi="宋体"/>
          <w:sz w:val="28"/>
          <w:szCs w:val="28"/>
        </w:rPr>
      </w:pPr>
      <w:r>
        <w:rPr>
          <w:rFonts w:hint="eastAsia" w:ascii="宋体" w:hAnsi="宋体"/>
          <w:b/>
          <w:bCs/>
          <w:sz w:val="28"/>
          <w:szCs w:val="28"/>
        </w:rPr>
        <w:t>九</w:t>
      </w:r>
      <w:r>
        <w:rPr>
          <w:rFonts w:hint="eastAsia" w:ascii="宋体" w:hAnsi="宋体"/>
          <w:sz w:val="28"/>
          <w:szCs w:val="28"/>
        </w:rPr>
        <w:t>、本合同一式四份，双方各执两份，双方法定代表人或授权人签字盖章后生效。合同未尽事宜，双方另行签订补充协议，补充协议是合同的组成部分。</w:t>
      </w:r>
    </w:p>
    <w:p w14:paraId="556E365A">
      <w:pPr>
        <w:spacing w:line="500" w:lineRule="exact"/>
        <w:ind w:firstLine="560"/>
        <w:rPr>
          <w:rFonts w:ascii="宋体" w:hAnsi="宋体"/>
          <w:sz w:val="28"/>
          <w:szCs w:val="28"/>
        </w:rPr>
      </w:pPr>
      <w:r>
        <w:rPr>
          <w:rFonts w:hint="eastAsia" w:ascii="宋体" w:hAnsi="宋体"/>
          <w:sz w:val="28"/>
          <w:szCs w:val="28"/>
        </w:rPr>
        <w:t xml:space="preserve">发包人：                          承包人：             </w:t>
      </w:r>
    </w:p>
    <w:p w14:paraId="41D1C77F">
      <w:pPr>
        <w:pStyle w:val="383"/>
        <w:keepNext w:val="0"/>
        <w:keepLines w:val="0"/>
        <w:pageBreakBefore w:val="0"/>
        <w:spacing w:line="440" w:lineRule="exact"/>
        <w:rPr>
          <w:rFonts w:hint="eastAsia" w:ascii="宋体" w:hAnsi="宋体"/>
          <w:sz w:val="28"/>
          <w:szCs w:val="28"/>
        </w:rPr>
      </w:pPr>
      <w:r>
        <w:rPr>
          <w:rFonts w:hint="eastAsia" w:ascii="宋体" w:hAnsi="宋体"/>
          <w:sz w:val="28"/>
          <w:szCs w:val="28"/>
        </w:rPr>
        <w:t>法定代表人或代表：                法定代表人或代表：</w:t>
      </w:r>
    </w:p>
    <w:sectPr>
      <w:headerReference r:id="rId7" w:type="default"/>
      <w:footerReference r:id="rId8" w:type="default"/>
      <w:pgSz w:w="11906" w:h="16838"/>
      <w:pgMar w:top="1440" w:right="1587" w:bottom="1440" w:left="1587" w:header="624"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8C08F">
    <w:pPr>
      <w:pStyle w:val="277"/>
      <w:jc w:val="center"/>
    </w:pPr>
  </w:p>
  <w:p w14:paraId="6BE6FE35">
    <w:pPr>
      <w:pStyle w:val="27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816F80">
    <w:pPr>
      <w:pStyle w:val="277"/>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0D098F05">
                          <w:pPr>
                            <w:pStyle w:val="63"/>
                            <w:tabs>
                              <w:tab w:val="clear" w:pos="7143"/>
                              <w:tab w:val="clear" w:pos="14287"/>
                            </w:tabs>
                          </w:pPr>
                          <w:r>
                            <w:fldChar w:fldCharType="begin"/>
                          </w:r>
                          <w:r>
                            <w:instrText xml:space="preserve"> PAGE  \* MERGEFORMAT </w:instrText>
                          </w:r>
                          <w:r>
                            <w:fldChar w:fldCharType="separate"/>
                          </w:r>
                          <w:r>
                            <w:t>1</w:t>
                          </w:r>
                          <w:r>
                            <w:fldChar w:fldCharType="end"/>
                          </w:r>
                        </w:p>
                        <w:p w14:paraId="49B5AB5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Ag2Mu3cAQAAsAMAAA4AAAAAAAAA&#10;AQAgAAAAHwEAAGRycy9lMm9Eb2MueG1sUEsFBgAAAAAGAAYAWQEAAG0FAAAAAA==&#10;">
              <v:fill on="f" focussize="0,0"/>
              <v:stroke on="f" weight="0.5pt"/>
              <v:imagedata o:title=""/>
              <o:lock v:ext="edit" aspectratio="f"/>
              <v:textbox inset="0mm,0mm,0mm,0mm" style="mso-fit-shape-to-text:t;">
                <w:txbxContent>
                  <w:p w14:paraId="0D098F05">
                    <w:pPr>
                      <w:pStyle w:val="63"/>
                      <w:tabs>
                        <w:tab w:val="clear" w:pos="7143"/>
                        <w:tab w:val="clear" w:pos="14287"/>
                      </w:tabs>
                    </w:pPr>
                    <w:r>
                      <w:fldChar w:fldCharType="begin"/>
                    </w:r>
                    <w:r>
                      <w:instrText xml:space="preserve"> PAGE  \* MERGEFORMAT </w:instrText>
                    </w:r>
                    <w:r>
                      <w:fldChar w:fldCharType="separate"/>
                    </w:r>
                    <w:r>
                      <w:t>1</w:t>
                    </w:r>
                    <w:r>
                      <w:fldChar w:fldCharType="end"/>
                    </w:r>
                  </w:p>
                  <w:p w14:paraId="49B5AB57"/>
                </w:txbxContent>
              </v:textbox>
            </v:shape>
          </w:pict>
        </mc:Fallback>
      </mc:AlternateContent>
    </w:r>
  </w:p>
  <w:p w14:paraId="4255641C">
    <w:pPr>
      <w:pStyle w:val="27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7EEB8">
    <w:pPr>
      <w:pStyle w:val="277"/>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1145" cy="26035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271145" cy="260350"/>
                      </a:xfrm>
                      <a:prstGeom prst="rect">
                        <a:avLst/>
                      </a:prstGeom>
                      <a:noFill/>
                      <a:ln w="6350">
                        <a:noFill/>
                      </a:ln>
                    </wps:spPr>
                    <wps:txbx>
                      <w:txbxContent>
                        <w:p w14:paraId="395880AC">
                          <w:pPr>
                            <w:pStyle w:val="63"/>
                            <w:tabs>
                              <w:tab w:val="clear" w:pos="7143"/>
                              <w:tab w:val="clear" w:pos="14287"/>
                            </w:tabs>
                          </w:pPr>
                          <w:r>
                            <w:fldChar w:fldCharType="begin"/>
                          </w:r>
                          <w:r>
                            <w:instrText xml:space="preserve"> PAGE  \* MERGEFORMAT </w:instrText>
                          </w:r>
                          <w:r>
                            <w:fldChar w:fldCharType="separate"/>
                          </w:r>
                          <w:r>
                            <w:t>1</w:t>
                          </w:r>
                          <w:r>
                            <w:fldChar w:fldCharType="end"/>
                          </w:r>
                        </w:p>
                        <w:p w14:paraId="2E55D570"/>
                      </w:txbxContent>
                    </wps:txbx>
                    <wps:bodyPr wrap="square" lIns="0" tIns="0" rIns="0" bIns="0" upright="1"/>
                  </wps:wsp>
                </a:graphicData>
              </a:graphic>
            </wp:anchor>
          </w:drawing>
        </mc:Choice>
        <mc:Fallback>
          <w:pict>
            <v:shape id="_x0000_s1026" o:spid="_x0000_s1026" o:spt="202" type="#_x0000_t202" style="position:absolute;left:0pt;margin-top:0pt;height:20.5pt;width:21.35pt;mso-position-horizontal:center;mso-position-horizontal-relative:margin;z-index:251660288;mso-width-relative:page;mso-height-relative:page;" filled="f" stroked="f" coordsize="21600,21600" o:gfxdata="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AlujajSAAAAAwEAAA8AAAAAAAAAAQAgAAAAIgAA&#10;AGRycy9kb3ducmV2LnhtbFBLAQIUABQAAAAIAIdO4kBnCKgZ1QEAAJYDAAAOAAAAAAAAAAEAIAAA&#10;ACEBAABkcnMvZTJvRG9jLnhtbFBLBQYAAAAABgAGAFkBAABoBQAAAAA=&#10;">
              <v:fill on="f" focussize="0,0"/>
              <v:stroke on="f" weight="0.5pt"/>
              <v:imagedata o:title=""/>
              <o:lock v:ext="edit" aspectratio="f"/>
              <v:textbox inset="0mm,0mm,0mm,0mm">
                <w:txbxContent>
                  <w:p w14:paraId="395880AC">
                    <w:pPr>
                      <w:pStyle w:val="63"/>
                      <w:tabs>
                        <w:tab w:val="clear" w:pos="7143"/>
                        <w:tab w:val="clear" w:pos="14287"/>
                      </w:tabs>
                    </w:pPr>
                    <w:r>
                      <w:fldChar w:fldCharType="begin"/>
                    </w:r>
                    <w:r>
                      <w:instrText xml:space="preserve"> PAGE  \* MERGEFORMAT </w:instrText>
                    </w:r>
                    <w:r>
                      <w:fldChar w:fldCharType="separate"/>
                    </w:r>
                    <w:r>
                      <w:t>1</w:t>
                    </w:r>
                    <w:r>
                      <w:fldChar w:fldCharType="end"/>
                    </w:r>
                  </w:p>
                  <w:p w14:paraId="2E55D570"/>
                </w:txbxContent>
              </v:textbox>
            </v:shape>
          </w:pict>
        </mc:Fallback>
      </mc:AlternateContent>
    </w:r>
  </w:p>
  <w:p w14:paraId="19668117">
    <w:pPr>
      <w:pStyle w:val="27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90BC2">
    <w:pPr>
      <w:pStyle w:val="27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34950" cy="153035"/>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234950" cy="153035"/>
                      </a:xfrm>
                      <a:prstGeom prst="rect">
                        <a:avLst/>
                      </a:prstGeom>
                      <a:noFill/>
                      <a:ln w="6350">
                        <a:noFill/>
                      </a:ln>
                    </wps:spPr>
                    <wps:txbx>
                      <w:txbxContent>
                        <w:p w14:paraId="70ADCF47">
                          <w:pPr>
                            <w:pStyle w:val="63"/>
                            <w:tabs>
                              <w:tab w:val="clear" w:pos="7143"/>
                              <w:tab w:val="clear" w:pos="14287"/>
                            </w:tabs>
                          </w:pPr>
                          <w:r>
                            <w:fldChar w:fldCharType="begin"/>
                          </w:r>
                          <w:r>
                            <w:instrText xml:space="preserve"> PAGE  \* MERGEFORMAT </w:instrText>
                          </w:r>
                          <w:r>
                            <w:fldChar w:fldCharType="separate"/>
                          </w:r>
                          <w:r>
                            <w:t>18</w:t>
                          </w:r>
                          <w:r>
                            <w:fldChar w:fldCharType="end"/>
                          </w:r>
                        </w:p>
                        <w:p w14:paraId="718C15C7"/>
                      </w:txbxContent>
                    </wps:txbx>
                    <wps:bodyPr wrap="square" lIns="0" tIns="0" rIns="0" bIns="0" upright="1"/>
                  </wps:wsp>
                </a:graphicData>
              </a:graphic>
            </wp:anchor>
          </w:drawing>
        </mc:Choice>
        <mc:Fallback>
          <w:pict>
            <v:shape id="_x0000_s1026" o:spid="_x0000_s1026" o:spt="202" type="#_x0000_t202" style="position:absolute;left:0pt;margin-top:0pt;height:12.05pt;width:18.5pt;mso-position-horizontal:center;mso-position-horizontal-relative:margin;z-index:251660288;mso-width-relative:page;mso-height-relative:page;" filled="f" stroked="f" coordsize="21600,21600" o:gfxdata="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Np9CYXSAAAAAwEAAA8AAAAAAAAAAQAgAAAAIgAA&#10;AGRycy9kb3ducmV2LnhtbFBLAQIUABQAAAAIAIdO4kDHad4J1QEAAJYDAAAOAAAAAAAAAAEAIAAA&#10;ACEBAABkcnMvZTJvRG9jLnhtbFBLBQYAAAAABgAGAFkBAABoBQAAAAA=&#10;">
              <v:fill on="f" focussize="0,0"/>
              <v:stroke on="f" weight="0.5pt"/>
              <v:imagedata o:title=""/>
              <o:lock v:ext="edit" aspectratio="f"/>
              <v:textbox inset="0mm,0mm,0mm,0mm">
                <w:txbxContent>
                  <w:p w14:paraId="70ADCF47">
                    <w:pPr>
                      <w:pStyle w:val="63"/>
                      <w:tabs>
                        <w:tab w:val="clear" w:pos="7143"/>
                        <w:tab w:val="clear" w:pos="14287"/>
                      </w:tabs>
                    </w:pPr>
                    <w:r>
                      <w:fldChar w:fldCharType="begin"/>
                    </w:r>
                    <w:r>
                      <w:instrText xml:space="preserve"> PAGE  \* MERGEFORMAT </w:instrText>
                    </w:r>
                    <w:r>
                      <w:fldChar w:fldCharType="separate"/>
                    </w:r>
                    <w:r>
                      <w:t>18</w:t>
                    </w:r>
                    <w:r>
                      <w:fldChar w:fldCharType="end"/>
                    </w:r>
                  </w:p>
                  <w:p w14:paraId="718C15C7"/>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F7B09">
    <w:pPr>
      <w:pStyle w:val="277"/>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6050" cy="153035"/>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46050" cy="153035"/>
                      </a:xfrm>
                      <a:prstGeom prst="rect">
                        <a:avLst/>
                      </a:prstGeom>
                      <a:noFill/>
                      <a:ln w="6350">
                        <a:noFill/>
                      </a:ln>
                    </wps:spPr>
                    <wps:txbx>
                      <w:txbxContent>
                        <w:p w14:paraId="4729D337">
                          <w:pPr>
                            <w:pStyle w:val="63"/>
                            <w:tabs>
                              <w:tab w:val="clear" w:pos="7143"/>
                              <w:tab w:val="clear" w:pos="14287"/>
                            </w:tabs>
                          </w:pPr>
                          <w:r>
                            <w:fldChar w:fldCharType="begin"/>
                          </w:r>
                          <w:r>
                            <w:instrText xml:space="preserve"> PAGE  \* MERGEFORMAT </w:instrText>
                          </w:r>
                          <w:r>
                            <w:fldChar w:fldCharType="separate"/>
                          </w:r>
                          <w:r>
                            <w:t>41</w:t>
                          </w:r>
                          <w:r>
                            <w:fldChar w:fldCharType="end"/>
                          </w:r>
                        </w:p>
                        <w:p w14:paraId="671F2E81"/>
                      </w:txbxContent>
                    </wps:txbx>
                    <wps:bodyPr wrap="square" lIns="0" tIns="0" rIns="0" bIns="0" upright="1"/>
                  </wps:wsp>
                </a:graphicData>
              </a:graphic>
            </wp:anchor>
          </w:drawing>
        </mc:Choice>
        <mc:Fallback>
          <w:pict>
            <v:shape id="_x0000_s1026" o:spid="_x0000_s1026" o:spt="202" type="#_x0000_t202" style="position:absolute;left:0pt;margin-top:0pt;height:12.05pt;width:11.5pt;mso-position-horizontal:center;mso-position-horizontal-relative:margin;z-index:251660288;mso-width-relative:page;mso-height-relative:page;" filled="f" stroked="f" coordsize="21600,21600" o:gfxdata="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ilDZ4NIAAAADAQAADwAAAAAAAAABACAAAAAiAAAA&#10;ZHJzL2Rvd25yZXYueG1sUEsBAhQAFAAAAAgAh07iQGWictPUAQAAlgMAAA4AAAAAAAAAAQAgAAAA&#10;IQEAAGRycy9lMm9Eb2MueG1sUEsFBgAAAAAGAAYAWQEAAGcFAAAAAA==&#10;">
              <v:fill on="f" focussize="0,0"/>
              <v:stroke on="f" weight="0.5pt"/>
              <v:imagedata o:title=""/>
              <o:lock v:ext="edit" aspectratio="f"/>
              <v:textbox inset="0mm,0mm,0mm,0mm">
                <w:txbxContent>
                  <w:p w14:paraId="4729D337">
                    <w:pPr>
                      <w:pStyle w:val="63"/>
                      <w:tabs>
                        <w:tab w:val="clear" w:pos="7143"/>
                        <w:tab w:val="clear" w:pos="14287"/>
                      </w:tabs>
                    </w:pPr>
                    <w:r>
                      <w:fldChar w:fldCharType="begin"/>
                    </w:r>
                    <w:r>
                      <w:instrText xml:space="preserve"> PAGE  \* MERGEFORMAT </w:instrText>
                    </w:r>
                    <w:r>
                      <w:fldChar w:fldCharType="separate"/>
                    </w:r>
                    <w:r>
                      <w:t>41</w:t>
                    </w:r>
                    <w:r>
                      <w:fldChar w:fldCharType="end"/>
                    </w:r>
                  </w:p>
                  <w:p w14:paraId="671F2E81"/>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399C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2"/>
      <w:numFmt w:val="decimal"/>
      <w:lvlText w:val="%1."/>
      <w:lvlJc w:val="left"/>
      <w:pPr>
        <w:tabs>
          <w:tab w:val="left" w:pos="312"/>
        </w:tabs>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0053208E"/>
    <w:multiLevelType w:val="multilevel"/>
    <w:tmpl w:val="0053208E"/>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59ADCABA"/>
    <w:multiLevelType w:val="multilevel"/>
    <w:tmpl w:val="59ADCABA"/>
    <w:lvl w:ilvl="0" w:tentative="0">
      <w:start w:val="5"/>
      <w:numFmt w:val="decimal"/>
      <w:suff w:val="space"/>
      <w:lvlText w:val="%1."/>
      <w:lvlJc w:val="left"/>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1"/>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35260FF"/>
    <w:rsid w:val="7AEA718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07"/>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semiHidden/>
    <w:unhideWhenUsed/>
    <w:qFormat/>
    <w:uiPriority w:val="99"/>
    <w:pPr>
      <w:spacing w:after="0" w:line="240" w:lineRule="auto"/>
    </w:pPr>
    <w:rPr>
      <w:sz w:val="20"/>
    </w:rPr>
  </w:style>
  <w:style w:type="paragraph" w:styleId="17">
    <w:name w:val="footer"/>
    <w:basedOn w:val="1"/>
    <w:unhideWhenUsed/>
    <w:qFormat/>
    <w:uiPriority w:val="99"/>
    <w:pPr>
      <w:tabs>
        <w:tab w:val="center" w:pos="7143"/>
        <w:tab w:val="right" w:pos="14287"/>
      </w:tabs>
      <w:spacing w:after="0" w:line="240" w:lineRule="auto"/>
    </w:pPr>
  </w:style>
  <w:style w:type="paragraph" w:styleId="18">
    <w:name w:val="header"/>
    <w:basedOn w:val="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qFormat/>
    <w:uiPriority w:val="11"/>
    <w:pPr>
      <w:spacing w:before="200" w:after="200"/>
    </w:pPr>
    <w:rPr>
      <w:sz w:val="24"/>
      <w:szCs w:val="24"/>
    </w:rPr>
  </w:style>
  <w:style w:type="paragraph" w:styleId="22">
    <w:name w:val="footnote text"/>
    <w:basedOn w:val="1"/>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14:textFill>
        <w14:solidFill>
          <w14:schemeClr w14:val="hlink"/>
        </w14:solidFill>
      </w14:textFill>
    </w:rPr>
  </w:style>
  <w:style w:type="character" w:styleId="33">
    <w:name w:val="footnote reference"/>
    <w:unhideWhenUsed/>
    <w:qFormat/>
    <w:uiPriority w:val="99"/>
    <w:rPr>
      <w:vertAlign w:val="superscript"/>
    </w:rPr>
  </w:style>
  <w:style w:type="paragraph" w:customStyle="1" w:styleId="34">
    <w:name w:val="标题 112"/>
    <w:basedOn w:val="1"/>
    <w:next w:val="1"/>
    <w:link w:val="46"/>
    <w:qFormat/>
    <w:uiPriority w:val="9"/>
    <w:pPr>
      <w:keepNext/>
      <w:keepLines/>
      <w:spacing w:before="480" w:after="200"/>
      <w:outlineLvl w:val="0"/>
    </w:pPr>
    <w:rPr>
      <w:rFonts w:ascii="Arial" w:hAnsi="Arial" w:eastAsia="Arial" w:cs="Arial"/>
      <w:sz w:val="40"/>
      <w:szCs w:val="40"/>
    </w:rPr>
  </w:style>
  <w:style w:type="paragraph" w:customStyle="1" w:styleId="35">
    <w:name w:val="标题 211"/>
    <w:basedOn w:val="1"/>
    <w:next w:val="1"/>
    <w:link w:val="47"/>
    <w:unhideWhenUsed/>
    <w:qFormat/>
    <w:uiPriority w:val="9"/>
    <w:pPr>
      <w:keepNext/>
      <w:keepLines/>
      <w:spacing w:before="360" w:after="200"/>
      <w:outlineLvl w:val="1"/>
    </w:pPr>
    <w:rPr>
      <w:rFonts w:ascii="Arial" w:hAnsi="Arial" w:eastAsia="Arial" w:cs="Arial"/>
      <w:sz w:val="34"/>
    </w:rPr>
  </w:style>
  <w:style w:type="paragraph" w:customStyle="1" w:styleId="36">
    <w:name w:val="标题 311"/>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customStyle="1" w:styleId="37">
    <w:name w:val="标题 411"/>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customStyle="1" w:styleId="38">
    <w:name w:val="标题 511"/>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customStyle="1" w:styleId="39">
    <w:name w:val="标题 611"/>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customStyle="1" w:styleId="40">
    <w:name w:val="标题 711"/>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41">
    <w:name w:val="标题 811"/>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customStyle="1" w:styleId="42">
    <w:name w:val="标题 911"/>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customStyle="1" w:styleId="43">
    <w:name w:val="默认段落字体11"/>
    <w:link w:val="1"/>
    <w:unhideWhenUsed/>
    <w:qFormat/>
    <w:uiPriority w:val="1"/>
  </w:style>
  <w:style w:type="table" w:customStyle="1" w:styleId="44">
    <w:name w:val="普通表格11"/>
    <w:unhideWhenUsed/>
    <w:qFormat/>
    <w:uiPriority w:val="99"/>
  </w:style>
  <w:style w:type="character" w:customStyle="1" w:styleId="45">
    <w:name w:val="HTML 打字机1"/>
    <w:link w:val="1"/>
    <w:qFormat/>
    <w:uiPriority w:val="0"/>
    <w:rPr>
      <w:rFonts w:ascii="Times New Roman" w:hAnsi="Times New Roman" w:eastAsia="宋体" w:cs="Times New Roman"/>
      <w:sz w:val="21"/>
      <w:szCs w:val="24"/>
      <w:lang w:val="en-US" w:eastAsia="zh-CN" w:bidi="ar-SA"/>
    </w:rPr>
  </w:style>
  <w:style w:type="character" w:customStyle="1" w:styleId="46">
    <w:name w:val="Heading 1 Char"/>
    <w:link w:val="34"/>
    <w:qFormat/>
    <w:uiPriority w:val="9"/>
    <w:rPr>
      <w:rFonts w:ascii="Arial" w:hAnsi="Arial" w:eastAsia="Arial" w:cs="Arial"/>
      <w:sz w:val="40"/>
      <w:szCs w:val="40"/>
    </w:rPr>
  </w:style>
  <w:style w:type="character" w:customStyle="1" w:styleId="47">
    <w:name w:val="Heading 2 Char"/>
    <w:link w:val="35"/>
    <w:qFormat/>
    <w:uiPriority w:val="9"/>
    <w:rPr>
      <w:rFonts w:ascii="Arial" w:hAnsi="Arial" w:eastAsia="Arial" w:cs="Arial"/>
      <w:sz w:val="34"/>
    </w:rPr>
  </w:style>
  <w:style w:type="character" w:customStyle="1" w:styleId="48">
    <w:name w:val="Heading 3 Char"/>
    <w:link w:val="36"/>
    <w:qFormat/>
    <w:uiPriority w:val="9"/>
    <w:rPr>
      <w:rFonts w:ascii="Arial" w:hAnsi="Arial" w:eastAsia="Arial" w:cs="Arial"/>
      <w:sz w:val="30"/>
      <w:szCs w:val="30"/>
    </w:rPr>
  </w:style>
  <w:style w:type="character" w:customStyle="1" w:styleId="49">
    <w:name w:val="Heading 4 Char"/>
    <w:link w:val="37"/>
    <w:qFormat/>
    <w:uiPriority w:val="9"/>
    <w:rPr>
      <w:rFonts w:ascii="Arial" w:hAnsi="Arial" w:eastAsia="Arial" w:cs="Arial"/>
      <w:b/>
      <w:bCs/>
      <w:sz w:val="26"/>
      <w:szCs w:val="26"/>
    </w:rPr>
  </w:style>
  <w:style w:type="character" w:customStyle="1" w:styleId="50">
    <w:name w:val="Heading 5 Char"/>
    <w:link w:val="38"/>
    <w:qFormat/>
    <w:uiPriority w:val="9"/>
    <w:rPr>
      <w:rFonts w:ascii="Arial" w:hAnsi="Arial" w:eastAsia="Arial" w:cs="Arial"/>
      <w:b/>
      <w:bCs/>
      <w:sz w:val="24"/>
      <w:szCs w:val="24"/>
    </w:rPr>
  </w:style>
  <w:style w:type="character" w:customStyle="1" w:styleId="51">
    <w:name w:val="Heading 6 Char"/>
    <w:link w:val="39"/>
    <w:qFormat/>
    <w:uiPriority w:val="9"/>
    <w:rPr>
      <w:rFonts w:ascii="Arial" w:hAnsi="Arial" w:eastAsia="Arial" w:cs="Arial"/>
      <w:b/>
      <w:bCs/>
      <w:sz w:val="22"/>
      <w:szCs w:val="22"/>
    </w:rPr>
  </w:style>
  <w:style w:type="character" w:customStyle="1" w:styleId="52">
    <w:name w:val="Heading 7 Char"/>
    <w:link w:val="40"/>
    <w:qFormat/>
    <w:uiPriority w:val="9"/>
    <w:rPr>
      <w:rFonts w:ascii="Arial" w:hAnsi="Arial" w:eastAsia="Arial" w:cs="Arial"/>
      <w:b/>
      <w:bCs/>
      <w:i/>
      <w:iCs/>
      <w:sz w:val="22"/>
      <w:szCs w:val="22"/>
    </w:rPr>
  </w:style>
  <w:style w:type="character" w:customStyle="1" w:styleId="53">
    <w:name w:val="Heading 8 Char"/>
    <w:link w:val="41"/>
    <w:qFormat/>
    <w:uiPriority w:val="9"/>
    <w:rPr>
      <w:rFonts w:ascii="Arial" w:hAnsi="Arial" w:eastAsia="Arial" w:cs="Arial"/>
      <w:i/>
      <w:iCs/>
      <w:sz w:val="22"/>
      <w:szCs w:val="22"/>
    </w:rPr>
  </w:style>
  <w:style w:type="character" w:customStyle="1" w:styleId="54">
    <w:name w:val="Heading 9 Char"/>
    <w:link w:val="42"/>
    <w:qFormat/>
    <w:uiPriority w:val="9"/>
    <w:rPr>
      <w:rFonts w:ascii="Arial" w:hAnsi="Arial" w:eastAsia="Arial" w:cs="Arial"/>
      <w:i/>
      <w:iCs/>
      <w:sz w:val="21"/>
      <w:szCs w:val="21"/>
    </w:rPr>
  </w:style>
  <w:style w:type="paragraph" w:customStyle="1" w:styleId="55">
    <w:name w:val="目录 711"/>
    <w:basedOn w:val="1"/>
    <w:next w:val="1"/>
    <w:unhideWhenUsed/>
    <w:qFormat/>
    <w:uiPriority w:val="39"/>
    <w:pPr>
      <w:spacing w:after="57"/>
      <w:ind w:left="1701" w:right="0" w:firstLine="0"/>
    </w:pPr>
  </w:style>
  <w:style w:type="paragraph" w:customStyle="1" w:styleId="56">
    <w:name w:val="题注11"/>
    <w:basedOn w:val="1"/>
    <w:next w:val="1"/>
    <w:unhideWhenUsed/>
    <w:qFormat/>
    <w:uiPriority w:val="35"/>
    <w:pPr>
      <w:spacing w:line="276" w:lineRule="auto"/>
    </w:pPr>
    <w:rPr>
      <w:b/>
      <w:bCs/>
      <w:color w:val="4F81BD"/>
      <w:sz w:val="18"/>
      <w:szCs w:val="18"/>
    </w:rPr>
  </w:style>
  <w:style w:type="paragraph" w:customStyle="1" w:styleId="57">
    <w:name w:val="正文文本12"/>
    <w:basedOn w:val="1"/>
    <w:qFormat/>
    <w:uiPriority w:val="0"/>
    <w:pPr>
      <w:spacing w:after="120"/>
    </w:pPr>
    <w:rPr>
      <w:rFonts w:ascii="Calibri" w:hAnsi="Calibri"/>
      <w:sz w:val="20"/>
    </w:rPr>
  </w:style>
  <w:style w:type="paragraph" w:customStyle="1" w:styleId="58">
    <w:name w:val="目录 511"/>
    <w:basedOn w:val="1"/>
    <w:next w:val="1"/>
    <w:unhideWhenUsed/>
    <w:qFormat/>
    <w:uiPriority w:val="39"/>
    <w:pPr>
      <w:spacing w:after="57"/>
      <w:ind w:left="1134" w:right="0" w:firstLine="0"/>
    </w:pPr>
  </w:style>
  <w:style w:type="paragraph" w:customStyle="1" w:styleId="59">
    <w:name w:val="目录 311"/>
    <w:basedOn w:val="1"/>
    <w:next w:val="1"/>
    <w:unhideWhenUsed/>
    <w:qFormat/>
    <w:uiPriority w:val="39"/>
    <w:pPr>
      <w:spacing w:after="57"/>
      <w:ind w:left="567" w:right="0" w:firstLine="0"/>
    </w:pPr>
  </w:style>
  <w:style w:type="paragraph" w:customStyle="1" w:styleId="60">
    <w:name w:val="目录 811"/>
    <w:basedOn w:val="1"/>
    <w:next w:val="1"/>
    <w:unhideWhenUsed/>
    <w:qFormat/>
    <w:uiPriority w:val="39"/>
    <w:pPr>
      <w:spacing w:after="57"/>
      <w:ind w:left="1984" w:right="0" w:firstLine="0"/>
    </w:pPr>
  </w:style>
  <w:style w:type="paragraph" w:customStyle="1" w:styleId="61">
    <w:name w:val="尾注文本1"/>
    <w:basedOn w:val="1"/>
    <w:link w:val="62"/>
    <w:unhideWhenUsed/>
    <w:qFormat/>
    <w:uiPriority w:val="99"/>
    <w:pPr>
      <w:spacing w:after="0" w:line="240" w:lineRule="auto"/>
    </w:pPr>
    <w:rPr>
      <w:sz w:val="20"/>
    </w:rPr>
  </w:style>
  <w:style w:type="character" w:customStyle="1" w:styleId="62">
    <w:name w:val="Endnote Text Char"/>
    <w:link w:val="61"/>
    <w:qFormat/>
    <w:uiPriority w:val="99"/>
    <w:rPr>
      <w:sz w:val="20"/>
    </w:rPr>
  </w:style>
  <w:style w:type="paragraph" w:customStyle="1" w:styleId="63">
    <w:name w:val="页脚11"/>
    <w:basedOn w:val="1"/>
    <w:link w:val="96"/>
    <w:unhideWhenUsed/>
    <w:qFormat/>
    <w:uiPriority w:val="99"/>
    <w:pPr>
      <w:tabs>
        <w:tab w:val="center" w:pos="7143"/>
        <w:tab w:val="right" w:pos="14287"/>
      </w:tabs>
      <w:spacing w:after="0" w:line="240" w:lineRule="auto"/>
    </w:pPr>
  </w:style>
  <w:style w:type="character" w:customStyle="1" w:styleId="64">
    <w:name w:val="Caption Char"/>
    <w:link w:val="63"/>
    <w:qFormat/>
    <w:uiPriority w:val="99"/>
  </w:style>
  <w:style w:type="paragraph" w:customStyle="1" w:styleId="65">
    <w:name w:val="页眉11"/>
    <w:basedOn w:val="1"/>
    <w:link w:val="66"/>
    <w:unhideWhenUsed/>
    <w:qFormat/>
    <w:uiPriority w:val="99"/>
    <w:pPr>
      <w:tabs>
        <w:tab w:val="center" w:pos="7143"/>
        <w:tab w:val="right" w:pos="14287"/>
      </w:tabs>
      <w:spacing w:after="0" w:line="240" w:lineRule="auto"/>
    </w:pPr>
  </w:style>
  <w:style w:type="character" w:customStyle="1" w:styleId="66">
    <w:name w:val="Header Char"/>
    <w:link w:val="65"/>
    <w:qFormat/>
    <w:uiPriority w:val="99"/>
  </w:style>
  <w:style w:type="paragraph" w:customStyle="1" w:styleId="67">
    <w:name w:val="目录 111"/>
    <w:basedOn w:val="1"/>
    <w:next w:val="1"/>
    <w:unhideWhenUsed/>
    <w:qFormat/>
    <w:uiPriority w:val="39"/>
    <w:pPr>
      <w:spacing w:after="57"/>
      <w:ind w:left="0" w:right="0" w:firstLine="0"/>
    </w:pPr>
  </w:style>
  <w:style w:type="paragraph" w:customStyle="1" w:styleId="68">
    <w:name w:val="目录 411"/>
    <w:basedOn w:val="1"/>
    <w:next w:val="1"/>
    <w:unhideWhenUsed/>
    <w:qFormat/>
    <w:uiPriority w:val="39"/>
    <w:pPr>
      <w:spacing w:after="57"/>
      <w:ind w:left="850" w:right="0" w:firstLine="0"/>
    </w:pPr>
  </w:style>
  <w:style w:type="paragraph" w:customStyle="1" w:styleId="69">
    <w:name w:val="副标题11"/>
    <w:basedOn w:val="1"/>
    <w:next w:val="1"/>
    <w:link w:val="70"/>
    <w:qFormat/>
    <w:uiPriority w:val="11"/>
    <w:pPr>
      <w:spacing w:before="200" w:after="200"/>
    </w:pPr>
    <w:rPr>
      <w:sz w:val="24"/>
      <w:szCs w:val="24"/>
    </w:rPr>
  </w:style>
  <w:style w:type="character" w:customStyle="1" w:styleId="70">
    <w:name w:val="Subtitle Char"/>
    <w:link w:val="69"/>
    <w:qFormat/>
    <w:uiPriority w:val="11"/>
    <w:rPr>
      <w:sz w:val="24"/>
      <w:szCs w:val="24"/>
    </w:rPr>
  </w:style>
  <w:style w:type="paragraph" w:customStyle="1" w:styleId="71">
    <w:name w:val="脚注文本1"/>
    <w:basedOn w:val="1"/>
    <w:link w:val="72"/>
    <w:unhideWhenUsed/>
    <w:qFormat/>
    <w:uiPriority w:val="99"/>
    <w:pPr>
      <w:spacing w:after="40" w:line="240" w:lineRule="auto"/>
    </w:pPr>
    <w:rPr>
      <w:sz w:val="18"/>
    </w:rPr>
  </w:style>
  <w:style w:type="character" w:customStyle="1" w:styleId="72">
    <w:name w:val="Footnote Text Char"/>
    <w:link w:val="71"/>
    <w:qFormat/>
    <w:uiPriority w:val="99"/>
    <w:rPr>
      <w:sz w:val="18"/>
    </w:rPr>
  </w:style>
  <w:style w:type="paragraph" w:customStyle="1" w:styleId="73">
    <w:name w:val="目录 611"/>
    <w:basedOn w:val="1"/>
    <w:next w:val="1"/>
    <w:unhideWhenUsed/>
    <w:qFormat/>
    <w:uiPriority w:val="39"/>
    <w:pPr>
      <w:spacing w:after="57"/>
      <w:ind w:left="1417" w:right="0" w:firstLine="0"/>
    </w:pPr>
  </w:style>
  <w:style w:type="paragraph" w:customStyle="1" w:styleId="74">
    <w:name w:val="正文文本缩进 311"/>
    <w:basedOn w:val="1"/>
    <w:unhideWhenUsed/>
    <w:qFormat/>
    <w:uiPriority w:val="0"/>
    <w:pPr>
      <w:spacing w:after="120"/>
      <w:ind w:left="420"/>
    </w:pPr>
    <w:rPr>
      <w:sz w:val="16"/>
      <w:szCs w:val="16"/>
    </w:rPr>
  </w:style>
  <w:style w:type="paragraph" w:customStyle="1" w:styleId="75">
    <w:name w:val="图表目录1"/>
    <w:basedOn w:val="1"/>
    <w:next w:val="1"/>
    <w:unhideWhenUsed/>
    <w:qFormat/>
    <w:uiPriority w:val="99"/>
    <w:pPr>
      <w:spacing w:after="0" w:afterAutospacing="0"/>
    </w:pPr>
  </w:style>
  <w:style w:type="paragraph" w:customStyle="1" w:styleId="76">
    <w:name w:val="目录 212"/>
    <w:basedOn w:val="1"/>
    <w:next w:val="1"/>
    <w:unhideWhenUsed/>
    <w:qFormat/>
    <w:uiPriority w:val="39"/>
    <w:pPr>
      <w:spacing w:after="57"/>
      <w:ind w:left="283" w:right="0" w:firstLine="0"/>
    </w:pPr>
  </w:style>
  <w:style w:type="paragraph" w:customStyle="1" w:styleId="77">
    <w:name w:val="目录 911"/>
    <w:basedOn w:val="1"/>
    <w:next w:val="1"/>
    <w:unhideWhenUsed/>
    <w:qFormat/>
    <w:uiPriority w:val="39"/>
    <w:pPr>
      <w:spacing w:after="57"/>
      <w:ind w:left="2268" w:right="0" w:firstLine="0"/>
    </w:pPr>
  </w:style>
  <w:style w:type="paragraph" w:customStyle="1" w:styleId="78">
    <w:name w:val="普通(网站)12"/>
    <w:basedOn w:val="34"/>
    <w:next w:val="1"/>
    <w:unhideWhenUsed/>
    <w:qFormat/>
    <w:uiPriority w:val="0"/>
    <w:pPr>
      <w:widowControl/>
      <w:spacing w:before="100" w:beforeAutospacing="1" w:after="100" w:afterAutospacing="1"/>
      <w:jc w:val="left"/>
    </w:pPr>
    <w:rPr>
      <w:rFonts w:ascii="宋体" w:hAnsi="宋体" w:cs="宋体"/>
      <w:sz w:val="24"/>
    </w:rPr>
  </w:style>
  <w:style w:type="paragraph" w:customStyle="1" w:styleId="79">
    <w:name w:val="标题11"/>
    <w:basedOn w:val="1"/>
    <w:next w:val="1"/>
    <w:link w:val="80"/>
    <w:qFormat/>
    <w:uiPriority w:val="10"/>
    <w:pPr>
      <w:spacing w:before="300" w:after="200"/>
      <w:contextualSpacing/>
    </w:pPr>
    <w:rPr>
      <w:sz w:val="48"/>
      <w:szCs w:val="48"/>
    </w:rPr>
  </w:style>
  <w:style w:type="character" w:customStyle="1" w:styleId="80">
    <w:name w:val="Title Char"/>
    <w:link w:val="79"/>
    <w:qFormat/>
    <w:uiPriority w:val="10"/>
    <w:rPr>
      <w:sz w:val="48"/>
      <w:szCs w:val="48"/>
    </w:rPr>
  </w:style>
  <w:style w:type="table" w:customStyle="1" w:styleId="81">
    <w:name w:val="网格型11"/>
    <w:qFormat/>
    <w:uiPriority w:val="59"/>
    <w:pPr>
      <w:spacing w:after="0" w:line="240" w:lineRule="auto"/>
    </w:pPr>
  </w:style>
  <w:style w:type="character" w:customStyle="1" w:styleId="82">
    <w:name w:val="要点11"/>
    <w:basedOn w:val="43"/>
    <w:link w:val="1"/>
    <w:qFormat/>
    <w:uiPriority w:val="22"/>
  </w:style>
  <w:style w:type="character" w:customStyle="1" w:styleId="83">
    <w:name w:val="尾注引用1"/>
    <w:link w:val="1"/>
    <w:unhideWhenUsed/>
    <w:qFormat/>
    <w:uiPriority w:val="99"/>
    <w:rPr>
      <w:vertAlign w:val="superscript"/>
    </w:rPr>
  </w:style>
  <w:style w:type="character" w:customStyle="1" w:styleId="84">
    <w:name w:val="已访问的超链接11"/>
    <w:basedOn w:val="43"/>
    <w:link w:val="1"/>
    <w:unhideWhenUsed/>
    <w:qFormat/>
    <w:uiPriority w:val="99"/>
    <w:rPr>
      <w:color w:val="800080"/>
      <w:u w:val="none"/>
    </w:rPr>
  </w:style>
  <w:style w:type="character" w:customStyle="1" w:styleId="85">
    <w:name w:val="强调11"/>
    <w:basedOn w:val="43"/>
    <w:link w:val="1"/>
    <w:qFormat/>
    <w:uiPriority w:val="20"/>
  </w:style>
  <w:style w:type="character" w:customStyle="1" w:styleId="86">
    <w:name w:val="HTML 定义1"/>
    <w:basedOn w:val="43"/>
    <w:link w:val="1"/>
    <w:unhideWhenUsed/>
    <w:qFormat/>
    <w:uiPriority w:val="99"/>
  </w:style>
  <w:style w:type="character" w:customStyle="1" w:styleId="87">
    <w:name w:val="HTML 打字机2"/>
    <w:basedOn w:val="43"/>
    <w:link w:val="1"/>
    <w:unhideWhenUsed/>
    <w:qFormat/>
    <w:uiPriority w:val="99"/>
    <w:rPr>
      <w:rFonts w:ascii="monospace" w:hAnsi="monospace" w:eastAsia="monospace" w:cs="monospace"/>
      <w:sz w:val="20"/>
    </w:rPr>
  </w:style>
  <w:style w:type="character" w:customStyle="1" w:styleId="88">
    <w:name w:val="HTML 缩写1"/>
    <w:basedOn w:val="43"/>
    <w:link w:val="1"/>
    <w:unhideWhenUsed/>
    <w:qFormat/>
    <w:uiPriority w:val="99"/>
  </w:style>
  <w:style w:type="character" w:customStyle="1" w:styleId="89">
    <w:name w:val="HTML 变量1"/>
    <w:basedOn w:val="43"/>
    <w:link w:val="1"/>
    <w:unhideWhenUsed/>
    <w:qFormat/>
    <w:uiPriority w:val="99"/>
  </w:style>
  <w:style w:type="character" w:customStyle="1" w:styleId="90">
    <w:name w:val="超链接11"/>
    <w:link w:val="1"/>
    <w:unhideWhenUsed/>
    <w:qFormat/>
    <w:uiPriority w:val="99"/>
    <w:rPr>
      <w:color w:val="0000FF"/>
      <w:u w:val="single"/>
    </w:rPr>
  </w:style>
  <w:style w:type="character" w:customStyle="1" w:styleId="91">
    <w:name w:val="HTML 代码1"/>
    <w:basedOn w:val="43"/>
    <w:link w:val="1"/>
    <w:unhideWhenUsed/>
    <w:qFormat/>
    <w:uiPriority w:val="99"/>
    <w:rPr>
      <w:rFonts w:ascii="monospace" w:hAnsi="monospace" w:eastAsia="monospace" w:cs="monospace"/>
      <w:sz w:val="20"/>
    </w:rPr>
  </w:style>
  <w:style w:type="character" w:customStyle="1" w:styleId="92">
    <w:name w:val="HTML 引文1"/>
    <w:basedOn w:val="43"/>
    <w:link w:val="1"/>
    <w:unhideWhenUsed/>
    <w:qFormat/>
    <w:uiPriority w:val="99"/>
  </w:style>
  <w:style w:type="character" w:customStyle="1" w:styleId="93">
    <w:name w:val="脚注引用1"/>
    <w:link w:val="1"/>
    <w:unhideWhenUsed/>
    <w:qFormat/>
    <w:uiPriority w:val="99"/>
    <w:rPr>
      <w:vertAlign w:val="superscript"/>
    </w:rPr>
  </w:style>
  <w:style w:type="character" w:customStyle="1" w:styleId="94">
    <w:name w:val="HTML 键盘1"/>
    <w:basedOn w:val="43"/>
    <w:link w:val="1"/>
    <w:unhideWhenUsed/>
    <w:qFormat/>
    <w:uiPriority w:val="99"/>
    <w:rPr>
      <w:rFonts w:ascii="monospace" w:hAnsi="monospace" w:eastAsia="monospace" w:cs="monospace"/>
      <w:sz w:val="20"/>
    </w:rPr>
  </w:style>
  <w:style w:type="character" w:customStyle="1" w:styleId="95">
    <w:name w:val="HTML 样本1"/>
    <w:basedOn w:val="43"/>
    <w:link w:val="1"/>
    <w:unhideWhenUsed/>
    <w:qFormat/>
    <w:uiPriority w:val="99"/>
    <w:rPr>
      <w:rFonts w:ascii="monospace" w:hAnsi="monospace" w:eastAsia="monospace" w:cs="monospace"/>
    </w:rPr>
  </w:style>
  <w:style w:type="character" w:customStyle="1" w:styleId="96">
    <w:name w:val="Footer Char"/>
    <w:link w:val="63"/>
    <w:qFormat/>
    <w:uiPriority w:val="99"/>
  </w:style>
  <w:style w:type="character" w:customStyle="1" w:styleId="97">
    <w:name w:val="active"/>
    <w:link w:val="1"/>
    <w:qFormat/>
    <w:uiPriority w:val="0"/>
    <w:rPr>
      <w:color w:val="FFFFFF"/>
      <w:shd w:val="clear" w:color="auto" w:fill="0F5BB9"/>
    </w:rPr>
  </w:style>
  <w:style w:type="paragraph" w:customStyle="1" w:styleId="98">
    <w:name w:val="正文首行缩进 21"/>
    <w:basedOn w:val="99"/>
    <w:link w:val="100"/>
    <w:qFormat/>
    <w:uiPriority w:val="0"/>
    <w:pPr>
      <w:spacing w:line="360" w:lineRule="auto"/>
      <w:ind w:firstLine="420"/>
    </w:pPr>
    <w:rPr>
      <w:rFonts w:ascii="宋体" w:hAnsi="宋体"/>
      <w:sz w:val="21"/>
    </w:rPr>
  </w:style>
  <w:style w:type="paragraph" w:customStyle="1" w:styleId="99">
    <w:name w:val="正文文本缩进11"/>
    <w:basedOn w:val="1"/>
    <w:unhideWhenUsed/>
    <w:qFormat/>
    <w:uiPriority w:val="99"/>
    <w:pPr>
      <w:spacing w:after="120"/>
      <w:ind w:left="420"/>
    </w:pPr>
  </w:style>
  <w:style w:type="character" w:customStyle="1" w:styleId="100">
    <w:name w:val="正文文本首行缩进 2 字符"/>
    <w:link w:val="98"/>
    <w:semiHidden/>
    <w:qFormat/>
    <w:uiPriority w:val="0"/>
    <w:rPr>
      <w:rFonts w:ascii="宋体" w:hAnsi="宋体" w:eastAsia="楷体_GB2312"/>
      <w:sz w:val="21"/>
      <w:szCs w:val="32"/>
      <w:lang w:val="en-US" w:eastAsia="zh-CN" w:bidi="ar-SA"/>
    </w:rPr>
  </w:style>
  <w:style w:type="paragraph" w:styleId="101">
    <w:name w:val="List Paragraph"/>
    <w:basedOn w:val="1"/>
    <w:qFormat/>
    <w:uiPriority w:val="34"/>
    <w:pPr>
      <w:ind w:left="720"/>
      <w:contextualSpacing/>
    </w:pPr>
  </w:style>
  <w:style w:type="paragraph" w:styleId="102">
    <w:name w:val="No Spacing"/>
    <w:qFormat/>
    <w:uiPriority w:val="1"/>
    <w:pPr>
      <w:spacing w:before="0" w:after="0" w:line="240" w:lineRule="auto"/>
    </w:pPr>
    <w:rPr>
      <w:rFonts w:hint="default" w:ascii="Times New Roman" w:hAnsi="Times New Roman" w:eastAsia="宋体" w:cs="Times New Roman"/>
    </w:rPr>
  </w:style>
  <w:style w:type="paragraph" w:styleId="103">
    <w:name w:val="Quote"/>
    <w:basedOn w:val="1"/>
    <w:next w:val="1"/>
    <w:link w:val="104"/>
    <w:qFormat/>
    <w:uiPriority w:val="29"/>
    <w:pPr>
      <w:ind w:left="720" w:right="720"/>
    </w:pPr>
    <w:rPr>
      <w:i/>
    </w:rPr>
  </w:style>
  <w:style w:type="character" w:customStyle="1" w:styleId="104">
    <w:name w:val="Quote Char"/>
    <w:link w:val="103"/>
    <w:qFormat/>
    <w:uiPriority w:val="29"/>
    <w:rPr>
      <w:i/>
    </w:rPr>
  </w:style>
  <w:style w:type="paragraph" w:styleId="105">
    <w:name w:val="Intense Quote"/>
    <w:basedOn w:val="1"/>
    <w:next w:val="1"/>
    <w:link w:val="10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6">
    <w:name w:val="Intense Quote Char"/>
    <w:link w:val="105"/>
    <w:qFormat/>
    <w:uiPriority w:val="30"/>
    <w:rPr>
      <w:i/>
    </w:rPr>
  </w:style>
  <w:style w:type="table" w:customStyle="1" w:styleId="107">
    <w:name w:val="Table Grid Light"/>
    <w:qFormat/>
    <w:uiPriority w:val="59"/>
    <w:pPr>
      <w:spacing w:after="0" w:line="240" w:lineRule="auto"/>
    </w:pPr>
  </w:style>
  <w:style w:type="table" w:customStyle="1" w:styleId="108">
    <w:name w:val="Plain Table 1"/>
    <w:qFormat/>
    <w:uiPriority w:val="59"/>
    <w:pPr>
      <w:spacing w:after="0" w:line="240" w:lineRule="auto"/>
    </w:pPr>
  </w:style>
  <w:style w:type="table" w:customStyle="1" w:styleId="109">
    <w:name w:val="Plain Table 2"/>
    <w:qFormat/>
    <w:uiPriority w:val="59"/>
    <w:pPr>
      <w:spacing w:after="0" w:line="240" w:lineRule="auto"/>
    </w:pPr>
  </w:style>
  <w:style w:type="table" w:customStyle="1" w:styleId="110">
    <w:name w:val="Plain Table 3"/>
    <w:qFormat/>
    <w:uiPriority w:val="99"/>
    <w:pPr>
      <w:spacing w:after="0" w:line="240" w:lineRule="auto"/>
    </w:pPr>
  </w:style>
  <w:style w:type="table" w:customStyle="1" w:styleId="111">
    <w:name w:val="Plain Table 4"/>
    <w:qFormat/>
    <w:uiPriority w:val="99"/>
    <w:pPr>
      <w:spacing w:after="0" w:line="240" w:lineRule="auto"/>
    </w:pPr>
  </w:style>
  <w:style w:type="table" w:customStyle="1" w:styleId="112">
    <w:name w:val="Plain Table 5"/>
    <w:qFormat/>
    <w:uiPriority w:val="99"/>
    <w:pPr>
      <w:spacing w:after="0" w:line="240" w:lineRule="auto"/>
    </w:pPr>
  </w:style>
  <w:style w:type="table" w:customStyle="1" w:styleId="113">
    <w:name w:val="Grid Table 1 Light"/>
    <w:qFormat/>
    <w:uiPriority w:val="99"/>
    <w:pPr>
      <w:spacing w:after="0" w:line="240" w:lineRule="auto"/>
    </w:pPr>
  </w:style>
  <w:style w:type="table" w:customStyle="1" w:styleId="114">
    <w:name w:val="Grid Table 1 Light - Accent 1"/>
    <w:qFormat/>
    <w:uiPriority w:val="99"/>
    <w:pPr>
      <w:spacing w:after="0" w:line="240" w:lineRule="auto"/>
    </w:pPr>
  </w:style>
  <w:style w:type="table" w:customStyle="1" w:styleId="115">
    <w:name w:val="Grid Table 1 Light - Accent 2"/>
    <w:qFormat/>
    <w:uiPriority w:val="99"/>
    <w:pPr>
      <w:spacing w:after="0" w:line="240" w:lineRule="auto"/>
    </w:pPr>
  </w:style>
  <w:style w:type="table" w:customStyle="1" w:styleId="116">
    <w:name w:val="Grid Table 1 Light - Accent 3"/>
    <w:qFormat/>
    <w:uiPriority w:val="99"/>
    <w:pPr>
      <w:spacing w:after="0" w:line="240" w:lineRule="auto"/>
    </w:pPr>
  </w:style>
  <w:style w:type="table" w:customStyle="1" w:styleId="117">
    <w:name w:val="Grid Table 1 Light - Accent 4"/>
    <w:qFormat/>
    <w:uiPriority w:val="99"/>
    <w:pPr>
      <w:spacing w:after="0" w:line="240" w:lineRule="auto"/>
    </w:pPr>
  </w:style>
  <w:style w:type="table" w:customStyle="1" w:styleId="118">
    <w:name w:val="Grid Table 1 Light - Accent 5"/>
    <w:qFormat/>
    <w:uiPriority w:val="99"/>
    <w:pPr>
      <w:spacing w:after="0" w:line="240" w:lineRule="auto"/>
    </w:pPr>
  </w:style>
  <w:style w:type="table" w:customStyle="1" w:styleId="119">
    <w:name w:val="Grid Table 1 Light - Accent 6"/>
    <w:qFormat/>
    <w:uiPriority w:val="99"/>
    <w:pPr>
      <w:spacing w:after="0" w:line="240" w:lineRule="auto"/>
    </w:pPr>
  </w:style>
  <w:style w:type="table" w:customStyle="1" w:styleId="120">
    <w:name w:val="Grid Table 2"/>
    <w:qFormat/>
    <w:uiPriority w:val="99"/>
    <w:pPr>
      <w:spacing w:after="0" w:line="240" w:lineRule="auto"/>
    </w:pPr>
  </w:style>
  <w:style w:type="table" w:customStyle="1" w:styleId="121">
    <w:name w:val="Grid Table 2 - Accent 1"/>
    <w:qFormat/>
    <w:uiPriority w:val="99"/>
    <w:pPr>
      <w:spacing w:after="0" w:line="240" w:lineRule="auto"/>
    </w:pPr>
  </w:style>
  <w:style w:type="table" w:customStyle="1" w:styleId="122">
    <w:name w:val="Grid Table 2 - Accent 2"/>
    <w:qFormat/>
    <w:uiPriority w:val="99"/>
    <w:pPr>
      <w:spacing w:after="0" w:line="240" w:lineRule="auto"/>
    </w:pPr>
  </w:style>
  <w:style w:type="table" w:customStyle="1" w:styleId="123">
    <w:name w:val="Grid Table 2 - Accent 3"/>
    <w:qFormat/>
    <w:uiPriority w:val="99"/>
    <w:pPr>
      <w:spacing w:after="0" w:line="240" w:lineRule="auto"/>
    </w:pPr>
  </w:style>
  <w:style w:type="table" w:customStyle="1" w:styleId="124">
    <w:name w:val="Grid Table 2 - Accent 4"/>
    <w:qFormat/>
    <w:uiPriority w:val="99"/>
    <w:pPr>
      <w:spacing w:after="0" w:line="240" w:lineRule="auto"/>
    </w:pPr>
  </w:style>
  <w:style w:type="table" w:customStyle="1" w:styleId="125">
    <w:name w:val="Grid Table 2 - Accent 5"/>
    <w:qFormat/>
    <w:uiPriority w:val="99"/>
    <w:pPr>
      <w:spacing w:after="0" w:line="240" w:lineRule="auto"/>
    </w:pPr>
  </w:style>
  <w:style w:type="table" w:customStyle="1" w:styleId="126">
    <w:name w:val="Grid Table 2 - Accent 6"/>
    <w:qFormat/>
    <w:uiPriority w:val="99"/>
    <w:pPr>
      <w:spacing w:after="0" w:line="240" w:lineRule="auto"/>
    </w:pPr>
  </w:style>
  <w:style w:type="table" w:customStyle="1" w:styleId="127">
    <w:name w:val="Grid Table 3"/>
    <w:qFormat/>
    <w:uiPriority w:val="99"/>
    <w:pPr>
      <w:spacing w:after="0" w:line="240" w:lineRule="auto"/>
    </w:pPr>
  </w:style>
  <w:style w:type="table" w:customStyle="1" w:styleId="128">
    <w:name w:val="Grid Table 3 - Accent 1"/>
    <w:qFormat/>
    <w:uiPriority w:val="99"/>
    <w:pPr>
      <w:spacing w:after="0" w:line="240" w:lineRule="auto"/>
    </w:pPr>
  </w:style>
  <w:style w:type="table" w:customStyle="1" w:styleId="129">
    <w:name w:val="Grid Table 3 - Accent 2"/>
    <w:qFormat/>
    <w:uiPriority w:val="99"/>
    <w:pPr>
      <w:spacing w:after="0" w:line="240" w:lineRule="auto"/>
    </w:pPr>
  </w:style>
  <w:style w:type="table" w:customStyle="1" w:styleId="130">
    <w:name w:val="Grid Table 3 - Accent 3"/>
    <w:qFormat/>
    <w:uiPriority w:val="99"/>
    <w:pPr>
      <w:spacing w:after="0" w:line="240" w:lineRule="auto"/>
    </w:pPr>
  </w:style>
  <w:style w:type="table" w:customStyle="1" w:styleId="131">
    <w:name w:val="Grid Table 3 - Accent 4"/>
    <w:qFormat/>
    <w:uiPriority w:val="99"/>
    <w:pPr>
      <w:spacing w:after="0" w:line="240" w:lineRule="auto"/>
    </w:pPr>
  </w:style>
  <w:style w:type="table" w:customStyle="1" w:styleId="132">
    <w:name w:val="Grid Table 3 - Accent 5"/>
    <w:qFormat/>
    <w:uiPriority w:val="99"/>
    <w:pPr>
      <w:spacing w:after="0" w:line="240" w:lineRule="auto"/>
    </w:pPr>
  </w:style>
  <w:style w:type="table" w:customStyle="1" w:styleId="133">
    <w:name w:val="Grid Table 3 - Accent 6"/>
    <w:qFormat/>
    <w:uiPriority w:val="99"/>
    <w:pPr>
      <w:spacing w:after="0" w:line="240" w:lineRule="auto"/>
    </w:pPr>
  </w:style>
  <w:style w:type="table" w:customStyle="1" w:styleId="134">
    <w:name w:val="Grid Table 4"/>
    <w:qFormat/>
    <w:uiPriority w:val="59"/>
    <w:pPr>
      <w:spacing w:after="0" w:line="240" w:lineRule="auto"/>
    </w:pPr>
  </w:style>
  <w:style w:type="table" w:customStyle="1" w:styleId="135">
    <w:name w:val="Grid Table 4 - Accent 1"/>
    <w:qFormat/>
    <w:uiPriority w:val="59"/>
    <w:pPr>
      <w:spacing w:after="0" w:line="240" w:lineRule="auto"/>
    </w:pPr>
  </w:style>
  <w:style w:type="table" w:customStyle="1" w:styleId="136">
    <w:name w:val="Grid Table 4 - Accent 2"/>
    <w:qFormat/>
    <w:uiPriority w:val="59"/>
    <w:pPr>
      <w:spacing w:after="0" w:line="240" w:lineRule="auto"/>
    </w:pPr>
  </w:style>
  <w:style w:type="table" w:customStyle="1" w:styleId="137">
    <w:name w:val="Grid Table 4 - Accent 3"/>
    <w:qFormat/>
    <w:uiPriority w:val="59"/>
    <w:pPr>
      <w:spacing w:after="0" w:line="240" w:lineRule="auto"/>
    </w:pPr>
  </w:style>
  <w:style w:type="table" w:customStyle="1" w:styleId="138">
    <w:name w:val="Grid Table 4 - Accent 4"/>
    <w:qFormat/>
    <w:uiPriority w:val="59"/>
    <w:pPr>
      <w:spacing w:after="0" w:line="240" w:lineRule="auto"/>
    </w:pPr>
  </w:style>
  <w:style w:type="table" w:customStyle="1" w:styleId="139">
    <w:name w:val="Grid Table 4 - Accent 5"/>
    <w:qFormat/>
    <w:uiPriority w:val="59"/>
    <w:pPr>
      <w:spacing w:after="0" w:line="240" w:lineRule="auto"/>
    </w:pPr>
  </w:style>
  <w:style w:type="table" w:customStyle="1" w:styleId="140">
    <w:name w:val="Grid Table 4 - Accent 6"/>
    <w:qFormat/>
    <w:uiPriority w:val="59"/>
    <w:pPr>
      <w:spacing w:after="0" w:line="240" w:lineRule="auto"/>
    </w:pPr>
  </w:style>
  <w:style w:type="table" w:customStyle="1" w:styleId="141">
    <w:name w:val="Grid Table 5 Dark"/>
    <w:qFormat/>
    <w:uiPriority w:val="99"/>
    <w:pPr>
      <w:spacing w:after="0" w:line="240" w:lineRule="auto"/>
    </w:pPr>
  </w:style>
  <w:style w:type="table" w:customStyle="1" w:styleId="142">
    <w:name w:val="Grid Table 5 Dark- Accent 1"/>
    <w:qFormat/>
    <w:uiPriority w:val="99"/>
    <w:pPr>
      <w:spacing w:after="0" w:line="240" w:lineRule="auto"/>
    </w:pPr>
  </w:style>
  <w:style w:type="table" w:customStyle="1" w:styleId="143">
    <w:name w:val="Grid Table 5 Dark - Accent 2"/>
    <w:qFormat/>
    <w:uiPriority w:val="99"/>
    <w:pPr>
      <w:spacing w:after="0" w:line="240" w:lineRule="auto"/>
    </w:pPr>
  </w:style>
  <w:style w:type="table" w:customStyle="1" w:styleId="144">
    <w:name w:val="Grid Table 5 Dark - Accent 3"/>
    <w:qFormat/>
    <w:uiPriority w:val="99"/>
    <w:pPr>
      <w:spacing w:after="0" w:line="240" w:lineRule="auto"/>
    </w:pPr>
  </w:style>
  <w:style w:type="table" w:customStyle="1" w:styleId="145">
    <w:name w:val="Grid Table 5 Dark- Accent 4"/>
    <w:qFormat/>
    <w:uiPriority w:val="99"/>
    <w:pPr>
      <w:spacing w:after="0" w:line="240" w:lineRule="auto"/>
    </w:pPr>
  </w:style>
  <w:style w:type="table" w:customStyle="1" w:styleId="146">
    <w:name w:val="Grid Table 5 Dark - Accent 5"/>
    <w:qFormat/>
    <w:uiPriority w:val="99"/>
    <w:pPr>
      <w:spacing w:after="0" w:line="240" w:lineRule="auto"/>
    </w:pPr>
  </w:style>
  <w:style w:type="table" w:customStyle="1" w:styleId="147">
    <w:name w:val="Grid Table 5 Dark - Accent 6"/>
    <w:qFormat/>
    <w:uiPriority w:val="99"/>
    <w:pPr>
      <w:spacing w:after="0" w:line="240" w:lineRule="auto"/>
    </w:pPr>
  </w:style>
  <w:style w:type="table" w:customStyle="1" w:styleId="148">
    <w:name w:val="Grid Table 6 Colorful"/>
    <w:qFormat/>
    <w:uiPriority w:val="99"/>
    <w:pPr>
      <w:spacing w:after="0" w:line="240" w:lineRule="auto"/>
    </w:pPr>
  </w:style>
  <w:style w:type="table" w:customStyle="1" w:styleId="149">
    <w:name w:val="Grid Table 6 Colorful - Accent 1"/>
    <w:qFormat/>
    <w:uiPriority w:val="99"/>
    <w:pPr>
      <w:spacing w:after="0" w:line="240" w:lineRule="auto"/>
    </w:pPr>
  </w:style>
  <w:style w:type="table" w:customStyle="1" w:styleId="150">
    <w:name w:val="Grid Table 6 Colorful - Accent 2"/>
    <w:qFormat/>
    <w:uiPriority w:val="99"/>
    <w:pPr>
      <w:spacing w:after="0" w:line="240" w:lineRule="auto"/>
    </w:pPr>
  </w:style>
  <w:style w:type="table" w:customStyle="1" w:styleId="151">
    <w:name w:val="Grid Table 6 Colorful - Accent 3"/>
    <w:qFormat/>
    <w:uiPriority w:val="99"/>
    <w:pPr>
      <w:spacing w:after="0" w:line="240" w:lineRule="auto"/>
    </w:pPr>
  </w:style>
  <w:style w:type="table" w:customStyle="1" w:styleId="152">
    <w:name w:val="Grid Table 6 Colorful - Accent 4"/>
    <w:qFormat/>
    <w:uiPriority w:val="99"/>
    <w:pPr>
      <w:spacing w:after="0" w:line="240" w:lineRule="auto"/>
    </w:pPr>
  </w:style>
  <w:style w:type="table" w:customStyle="1" w:styleId="153">
    <w:name w:val="Grid Table 6 Colorful - Accent 5"/>
    <w:qFormat/>
    <w:uiPriority w:val="99"/>
    <w:pPr>
      <w:spacing w:after="0" w:line="240" w:lineRule="auto"/>
    </w:pPr>
  </w:style>
  <w:style w:type="table" w:customStyle="1" w:styleId="154">
    <w:name w:val="Grid Table 6 Colorful - Accent 6"/>
    <w:qFormat/>
    <w:uiPriority w:val="99"/>
    <w:pPr>
      <w:spacing w:after="0" w:line="240" w:lineRule="auto"/>
    </w:pPr>
  </w:style>
  <w:style w:type="table" w:customStyle="1" w:styleId="155">
    <w:name w:val="Grid Table 7 Colorful"/>
    <w:qFormat/>
    <w:uiPriority w:val="99"/>
    <w:pPr>
      <w:spacing w:after="0" w:line="240" w:lineRule="auto"/>
    </w:pPr>
  </w:style>
  <w:style w:type="table" w:customStyle="1" w:styleId="156">
    <w:name w:val="Grid Table 7 Colorful - Accent 1"/>
    <w:qFormat/>
    <w:uiPriority w:val="99"/>
    <w:pPr>
      <w:spacing w:after="0" w:line="240" w:lineRule="auto"/>
    </w:pPr>
  </w:style>
  <w:style w:type="table" w:customStyle="1" w:styleId="157">
    <w:name w:val="Grid Table 7 Colorful - Accent 2"/>
    <w:qFormat/>
    <w:uiPriority w:val="99"/>
    <w:pPr>
      <w:spacing w:after="0" w:line="240" w:lineRule="auto"/>
    </w:pPr>
  </w:style>
  <w:style w:type="table" w:customStyle="1" w:styleId="158">
    <w:name w:val="Grid Table 7 Colorful - Accent 3"/>
    <w:qFormat/>
    <w:uiPriority w:val="99"/>
    <w:pPr>
      <w:spacing w:after="0" w:line="240" w:lineRule="auto"/>
    </w:pPr>
  </w:style>
  <w:style w:type="table" w:customStyle="1" w:styleId="159">
    <w:name w:val="Grid Table 7 Colorful - Accent 4"/>
    <w:qFormat/>
    <w:uiPriority w:val="99"/>
    <w:pPr>
      <w:spacing w:after="0" w:line="240" w:lineRule="auto"/>
    </w:pPr>
  </w:style>
  <w:style w:type="table" w:customStyle="1" w:styleId="160">
    <w:name w:val="Grid Table 7 Colorful - Accent 5"/>
    <w:qFormat/>
    <w:uiPriority w:val="99"/>
    <w:pPr>
      <w:spacing w:after="0" w:line="240" w:lineRule="auto"/>
    </w:pPr>
  </w:style>
  <w:style w:type="table" w:customStyle="1" w:styleId="161">
    <w:name w:val="Grid Table 7 Colorful - Accent 6"/>
    <w:qFormat/>
    <w:uiPriority w:val="99"/>
    <w:pPr>
      <w:spacing w:after="0" w:line="240" w:lineRule="auto"/>
    </w:pPr>
  </w:style>
  <w:style w:type="table" w:customStyle="1" w:styleId="162">
    <w:name w:val="List Table 1 Light"/>
    <w:qFormat/>
    <w:uiPriority w:val="99"/>
    <w:pPr>
      <w:spacing w:after="0" w:line="240" w:lineRule="auto"/>
    </w:pPr>
  </w:style>
  <w:style w:type="table" w:customStyle="1" w:styleId="163">
    <w:name w:val="List Table 1 Light - Accent 1"/>
    <w:qFormat/>
    <w:uiPriority w:val="99"/>
    <w:pPr>
      <w:spacing w:after="0" w:line="240" w:lineRule="auto"/>
    </w:pPr>
  </w:style>
  <w:style w:type="table" w:customStyle="1" w:styleId="164">
    <w:name w:val="List Table 1 Light - Accent 2"/>
    <w:qFormat/>
    <w:uiPriority w:val="99"/>
    <w:pPr>
      <w:spacing w:after="0" w:line="240" w:lineRule="auto"/>
    </w:pPr>
  </w:style>
  <w:style w:type="table" w:customStyle="1" w:styleId="165">
    <w:name w:val="List Table 1 Light - Accent 3"/>
    <w:qFormat/>
    <w:uiPriority w:val="99"/>
    <w:pPr>
      <w:spacing w:after="0" w:line="240" w:lineRule="auto"/>
    </w:pPr>
  </w:style>
  <w:style w:type="table" w:customStyle="1" w:styleId="166">
    <w:name w:val="List Table 1 Light - Accent 4"/>
    <w:qFormat/>
    <w:uiPriority w:val="99"/>
    <w:pPr>
      <w:spacing w:after="0" w:line="240" w:lineRule="auto"/>
    </w:pPr>
  </w:style>
  <w:style w:type="table" w:customStyle="1" w:styleId="167">
    <w:name w:val="List Table 1 Light - Accent 5"/>
    <w:qFormat/>
    <w:uiPriority w:val="99"/>
    <w:pPr>
      <w:spacing w:after="0" w:line="240" w:lineRule="auto"/>
    </w:pPr>
  </w:style>
  <w:style w:type="table" w:customStyle="1" w:styleId="168">
    <w:name w:val="List Table 1 Light - Accent 6"/>
    <w:qFormat/>
    <w:uiPriority w:val="99"/>
    <w:pPr>
      <w:spacing w:after="0" w:line="240" w:lineRule="auto"/>
    </w:pPr>
  </w:style>
  <w:style w:type="table" w:customStyle="1" w:styleId="169">
    <w:name w:val="List Table 2"/>
    <w:qFormat/>
    <w:uiPriority w:val="99"/>
    <w:pPr>
      <w:spacing w:after="0" w:line="240" w:lineRule="auto"/>
    </w:pPr>
  </w:style>
  <w:style w:type="table" w:customStyle="1" w:styleId="170">
    <w:name w:val="List Table 2 - Accent 1"/>
    <w:qFormat/>
    <w:uiPriority w:val="99"/>
    <w:pPr>
      <w:spacing w:after="0" w:line="240" w:lineRule="auto"/>
    </w:pPr>
  </w:style>
  <w:style w:type="table" w:customStyle="1" w:styleId="171">
    <w:name w:val="List Table 2 - Accent 2"/>
    <w:qFormat/>
    <w:uiPriority w:val="99"/>
    <w:pPr>
      <w:spacing w:after="0" w:line="240" w:lineRule="auto"/>
    </w:pPr>
  </w:style>
  <w:style w:type="table" w:customStyle="1" w:styleId="172">
    <w:name w:val="List Table 2 - Accent 3"/>
    <w:qFormat/>
    <w:uiPriority w:val="99"/>
    <w:pPr>
      <w:spacing w:after="0" w:line="240" w:lineRule="auto"/>
    </w:pPr>
  </w:style>
  <w:style w:type="table" w:customStyle="1" w:styleId="173">
    <w:name w:val="List Table 2 - Accent 4"/>
    <w:qFormat/>
    <w:uiPriority w:val="99"/>
    <w:pPr>
      <w:spacing w:after="0" w:line="240" w:lineRule="auto"/>
    </w:pPr>
  </w:style>
  <w:style w:type="table" w:customStyle="1" w:styleId="174">
    <w:name w:val="List Table 2 - Accent 5"/>
    <w:qFormat/>
    <w:uiPriority w:val="99"/>
    <w:pPr>
      <w:spacing w:after="0" w:line="240" w:lineRule="auto"/>
    </w:pPr>
  </w:style>
  <w:style w:type="table" w:customStyle="1" w:styleId="175">
    <w:name w:val="List Table 2 - Accent 6"/>
    <w:qFormat/>
    <w:uiPriority w:val="99"/>
    <w:pPr>
      <w:spacing w:after="0" w:line="240" w:lineRule="auto"/>
    </w:pPr>
  </w:style>
  <w:style w:type="table" w:customStyle="1" w:styleId="176">
    <w:name w:val="List Table 3"/>
    <w:qFormat/>
    <w:uiPriority w:val="99"/>
    <w:pPr>
      <w:spacing w:after="0" w:line="240" w:lineRule="auto"/>
    </w:pPr>
  </w:style>
  <w:style w:type="table" w:customStyle="1" w:styleId="177">
    <w:name w:val="List Table 3 - Accent 1"/>
    <w:qFormat/>
    <w:uiPriority w:val="99"/>
    <w:pPr>
      <w:spacing w:after="0" w:line="240" w:lineRule="auto"/>
    </w:pPr>
  </w:style>
  <w:style w:type="table" w:customStyle="1" w:styleId="178">
    <w:name w:val="List Table 3 - Accent 2"/>
    <w:qFormat/>
    <w:uiPriority w:val="99"/>
    <w:pPr>
      <w:spacing w:after="0" w:line="240" w:lineRule="auto"/>
    </w:pPr>
  </w:style>
  <w:style w:type="table" w:customStyle="1" w:styleId="179">
    <w:name w:val="List Table 3 - Accent 3"/>
    <w:qFormat/>
    <w:uiPriority w:val="99"/>
    <w:pPr>
      <w:spacing w:after="0" w:line="240" w:lineRule="auto"/>
    </w:pPr>
  </w:style>
  <w:style w:type="table" w:customStyle="1" w:styleId="180">
    <w:name w:val="List Table 3 - Accent 4"/>
    <w:qFormat/>
    <w:uiPriority w:val="99"/>
    <w:pPr>
      <w:spacing w:after="0" w:line="240" w:lineRule="auto"/>
    </w:pPr>
  </w:style>
  <w:style w:type="table" w:customStyle="1" w:styleId="181">
    <w:name w:val="List Table 3 - Accent 5"/>
    <w:qFormat/>
    <w:uiPriority w:val="99"/>
    <w:pPr>
      <w:spacing w:after="0" w:line="240" w:lineRule="auto"/>
    </w:pPr>
  </w:style>
  <w:style w:type="table" w:customStyle="1" w:styleId="182">
    <w:name w:val="List Table 3 - Accent 6"/>
    <w:qFormat/>
    <w:uiPriority w:val="99"/>
    <w:pPr>
      <w:spacing w:after="0" w:line="240" w:lineRule="auto"/>
    </w:pPr>
  </w:style>
  <w:style w:type="table" w:customStyle="1" w:styleId="183">
    <w:name w:val="List Table 4"/>
    <w:qFormat/>
    <w:uiPriority w:val="99"/>
    <w:pPr>
      <w:spacing w:after="0" w:line="240" w:lineRule="auto"/>
    </w:pPr>
  </w:style>
  <w:style w:type="table" w:customStyle="1" w:styleId="184">
    <w:name w:val="List Table 4 - Accent 1"/>
    <w:qFormat/>
    <w:uiPriority w:val="99"/>
    <w:pPr>
      <w:spacing w:after="0" w:line="240" w:lineRule="auto"/>
    </w:pPr>
  </w:style>
  <w:style w:type="table" w:customStyle="1" w:styleId="185">
    <w:name w:val="List Table 4 - Accent 2"/>
    <w:qFormat/>
    <w:uiPriority w:val="99"/>
    <w:pPr>
      <w:spacing w:after="0" w:line="240" w:lineRule="auto"/>
    </w:pPr>
  </w:style>
  <w:style w:type="table" w:customStyle="1" w:styleId="186">
    <w:name w:val="List Table 4 - Accent 3"/>
    <w:qFormat/>
    <w:uiPriority w:val="99"/>
    <w:pPr>
      <w:spacing w:after="0" w:line="240" w:lineRule="auto"/>
    </w:pPr>
  </w:style>
  <w:style w:type="table" w:customStyle="1" w:styleId="187">
    <w:name w:val="List Table 4 - Accent 4"/>
    <w:qFormat/>
    <w:uiPriority w:val="99"/>
    <w:pPr>
      <w:spacing w:after="0" w:line="240" w:lineRule="auto"/>
    </w:pPr>
  </w:style>
  <w:style w:type="table" w:customStyle="1" w:styleId="188">
    <w:name w:val="List Table 4 - Accent 5"/>
    <w:qFormat/>
    <w:uiPriority w:val="99"/>
    <w:pPr>
      <w:spacing w:after="0" w:line="240" w:lineRule="auto"/>
    </w:pPr>
  </w:style>
  <w:style w:type="table" w:customStyle="1" w:styleId="189">
    <w:name w:val="List Table 4 - Accent 6"/>
    <w:qFormat/>
    <w:uiPriority w:val="99"/>
    <w:pPr>
      <w:spacing w:after="0" w:line="240" w:lineRule="auto"/>
    </w:pPr>
  </w:style>
  <w:style w:type="table" w:customStyle="1" w:styleId="190">
    <w:name w:val="List Table 5 Dark"/>
    <w:qFormat/>
    <w:uiPriority w:val="99"/>
    <w:pPr>
      <w:spacing w:after="0" w:line="240" w:lineRule="auto"/>
    </w:pPr>
  </w:style>
  <w:style w:type="table" w:customStyle="1" w:styleId="191">
    <w:name w:val="List Table 5 Dark - Accent 1"/>
    <w:qFormat/>
    <w:uiPriority w:val="99"/>
    <w:pPr>
      <w:spacing w:after="0" w:line="240" w:lineRule="auto"/>
    </w:pPr>
  </w:style>
  <w:style w:type="table" w:customStyle="1" w:styleId="192">
    <w:name w:val="List Table 5 Dark - Accent 2"/>
    <w:qFormat/>
    <w:uiPriority w:val="99"/>
    <w:pPr>
      <w:spacing w:after="0" w:line="240" w:lineRule="auto"/>
    </w:pPr>
  </w:style>
  <w:style w:type="table" w:customStyle="1" w:styleId="193">
    <w:name w:val="List Table 5 Dark - Accent 3"/>
    <w:qFormat/>
    <w:uiPriority w:val="99"/>
    <w:pPr>
      <w:spacing w:after="0" w:line="240" w:lineRule="auto"/>
    </w:pPr>
  </w:style>
  <w:style w:type="table" w:customStyle="1" w:styleId="194">
    <w:name w:val="List Table 5 Dark - Accent 4"/>
    <w:qFormat/>
    <w:uiPriority w:val="99"/>
    <w:pPr>
      <w:spacing w:after="0" w:line="240" w:lineRule="auto"/>
    </w:pPr>
  </w:style>
  <w:style w:type="table" w:customStyle="1" w:styleId="195">
    <w:name w:val="List Table 5 Dark - Accent 5"/>
    <w:qFormat/>
    <w:uiPriority w:val="99"/>
    <w:pPr>
      <w:spacing w:after="0" w:line="240" w:lineRule="auto"/>
    </w:pPr>
  </w:style>
  <w:style w:type="table" w:customStyle="1" w:styleId="196">
    <w:name w:val="List Table 5 Dark - Accent 6"/>
    <w:qFormat/>
    <w:uiPriority w:val="99"/>
    <w:pPr>
      <w:spacing w:after="0" w:line="240" w:lineRule="auto"/>
    </w:pPr>
  </w:style>
  <w:style w:type="table" w:customStyle="1" w:styleId="197">
    <w:name w:val="List Table 6 Colorful"/>
    <w:qFormat/>
    <w:uiPriority w:val="99"/>
    <w:pPr>
      <w:spacing w:after="0" w:line="240" w:lineRule="auto"/>
    </w:pPr>
  </w:style>
  <w:style w:type="table" w:customStyle="1" w:styleId="198">
    <w:name w:val="List Table 6 Colorful - Accent 1"/>
    <w:qFormat/>
    <w:uiPriority w:val="99"/>
    <w:pPr>
      <w:spacing w:after="0" w:line="240" w:lineRule="auto"/>
    </w:pPr>
  </w:style>
  <w:style w:type="table" w:customStyle="1" w:styleId="199">
    <w:name w:val="List Table 6 Colorful - Accent 2"/>
    <w:qFormat/>
    <w:uiPriority w:val="99"/>
    <w:pPr>
      <w:spacing w:after="0" w:line="240" w:lineRule="auto"/>
    </w:pPr>
  </w:style>
  <w:style w:type="table" w:customStyle="1" w:styleId="200">
    <w:name w:val="List Table 6 Colorful - Accent 3"/>
    <w:qFormat/>
    <w:uiPriority w:val="99"/>
    <w:pPr>
      <w:spacing w:after="0" w:line="240" w:lineRule="auto"/>
    </w:pPr>
  </w:style>
  <w:style w:type="table" w:customStyle="1" w:styleId="201">
    <w:name w:val="List Table 6 Colorful - Accent 4"/>
    <w:qFormat/>
    <w:uiPriority w:val="99"/>
    <w:pPr>
      <w:spacing w:after="0" w:line="240" w:lineRule="auto"/>
    </w:pPr>
  </w:style>
  <w:style w:type="table" w:customStyle="1" w:styleId="202">
    <w:name w:val="List Table 6 Colorful - Accent 5"/>
    <w:qFormat/>
    <w:uiPriority w:val="99"/>
    <w:pPr>
      <w:spacing w:after="0" w:line="240" w:lineRule="auto"/>
    </w:pPr>
  </w:style>
  <w:style w:type="table" w:customStyle="1" w:styleId="203">
    <w:name w:val="List Table 6 Colorful - Accent 6"/>
    <w:qFormat/>
    <w:uiPriority w:val="99"/>
    <w:pPr>
      <w:spacing w:after="0" w:line="240" w:lineRule="auto"/>
    </w:pPr>
  </w:style>
  <w:style w:type="table" w:customStyle="1" w:styleId="204">
    <w:name w:val="List Table 7 Colorful"/>
    <w:qFormat/>
    <w:uiPriority w:val="99"/>
    <w:pPr>
      <w:spacing w:after="0" w:line="240" w:lineRule="auto"/>
    </w:pPr>
  </w:style>
  <w:style w:type="table" w:customStyle="1" w:styleId="205">
    <w:name w:val="List Table 7 Colorful - Accent 1"/>
    <w:qFormat/>
    <w:uiPriority w:val="99"/>
    <w:pPr>
      <w:spacing w:after="0" w:line="240" w:lineRule="auto"/>
    </w:pPr>
  </w:style>
  <w:style w:type="table" w:customStyle="1" w:styleId="206">
    <w:name w:val="List Table 7 Colorful - Accent 2"/>
    <w:qFormat/>
    <w:uiPriority w:val="99"/>
    <w:pPr>
      <w:spacing w:after="0" w:line="240" w:lineRule="auto"/>
    </w:pPr>
  </w:style>
  <w:style w:type="table" w:customStyle="1" w:styleId="207">
    <w:name w:val="List Table 7 Colorful - Accent 3"/>
    <w:qFormat/>
    <w:uiPriority w:val="99"/>
    <w:pPr>
      <w:spacing w:after="0" w:line="240" w:lineRule="auto"/>
    </w:pPr>
  </w:style>
  <w:style w:type="table" w:customStyle="1" w:styleId="208">
    <w:name w:val="List Table 7 Colorful - Accent 4"/>
    <w:qFormat/>
    <w:uiPriority w:val="99"/>
    <w:pPr>
      <w:spacing w:after="0" w:line="240" w:lineRule="auto"/>
    </w:pPr>
  </w:style>
  <w:style w:type="table" w:customStyle="1" w:styleId="209">
    <w:name w:val="List Table 7 Colorful - Accent 5"/>
    <w:qFormat/>
    <w:uiPriority w:val="99"/>
    <w:pPr>
      <w:spacing w:after="0" w:line="240" w:lineRule="auto"/>
    </w:pPr>
  </w:style>
  <w:style w:type="table" w:customStyle="1" w:styleId="210">
    <w:name w:val="List Table 7 Colorful - Accent 6"/>
    <w:qFormat/>
    <w:uiPriority w:val="99"/>
    <w:pPr>
      <w:spacing w:after="0" w:line="240" w:lineRule="auto"/>
    </w:pPr>
  </w:style>
  <w:style w:type="table" w:customStyle="1" w:styleId="211">
    <w:name w:val="Lined - Accent"/>
    <w:qFormat/>
    <w:uiPriority w:val="99"/>
    <w:pPr>
      <w:spacing w:after="0" w:line="240" w:lineRule="auto"/>
    </w:pPr>
    <w:rPr>
      <w:color w:val="404040"/>
    </w:rPr>
  </w:style>
  <w:style w:type="table" w:customStyle="1" w:styleId="212">
    <w:name w:val="Lined - Accent 1"/>
    <w:qFormat/>
    <w:uiPriority w:val="99"/>
    <w:pPr>
      <w:spacing w:after="0" w:line="240" w:lineRule="auto"/>
    </w:pPr>
    <w:rPr>
      <w:color w:val="404040"/>
    </w:rPr>
  </w:style>
  <w:style w:type="table" w:customStyle="1" w:styleId="213">
    <w:name w:val="Lined - Accent 2"/>
    <w:qFormat/>
    <w:uiPriority w:val="99"/>
    <w:pPr>
      <w:spacing w:after="0" w:line="240" w:lineRule="auto"/>
    </w:pPr>
    <w:rPr>
      <w:color w:val="404040"/>
    </w:rPr>
  </w:style>
  <w:style w:type="table" w:customStyle="1" w:styleId="214">
    <w:name w:val="Lined - Accent 3"/>
    <w:qFormat/>
    <w:uiPriority w:val="99"/>
    <w:pPr>
      <w:spacing w:after="0" w:line="240" w:lineRule="auto"/>
    </w:pPr>
    <w:rPr>
      <w:color w:val="404040"/>
    </w:rPr>
  </w:style>
  <w:style w:type="table" w:customStyle="1" w:styleId="215">
    <w:name w:val="Lined - Accent 4"/>
    <w:qFormat/>
    <w:uiPriority w:val="99"/>
    <w:pPr>
      <w:spacing w:after="0" w:line="240" w:lineRule="auto"/>
    </w:pPr>
    <w:rPr>
      <w:color w:val="404040"/>
    </w:rPr>
  </w:style>
  <w:style w:type="table" w:customStyle="1" w:styleId="216">
    <w:name w:val="Lined - Accent 5"/>
    <w:qFormat/>
    <w:uiPriority w:val="99"/>
    <w:pPr>
      <w:spacing w:after="0" w:line="240" w:lineRule="auto"/>
    </w:pPr>
    <w:rPr>
      <w:color w:val="404040"/>
    </w:rPr>
  </w:style>
  <w:style w:type="table" w:customStyle="1" w:styleId="217">
    <w:name w:val="Lined - Accent 6"/>
    <w:qFormat/>
    <w:uiPriority w:val="99"/>
    <w:pPr>
      <w:spacing w:after="0" w:line="240" w:lineRule="auto"/>
    </w:pPr>
    <w:rPr>
      <w:color w:val="404040"/>
    </w:rPr>
  </w:style>
  <w:style w:type="table" w:customStyle="1" w:styleId="218">
    <w:name w:val="Bordered &amp; Lined - Accent"/>
    <w:qFormat/>
    <w:uiPriority w:val="99"/>
    <w:pPr>
      <w:spacing w:after="0" w:line="240" w:lineRule="auto"/>
    </w:pPr>
    <w:rPr>
      <w:color w:val="404040"/>
    </w:rPr>
  </w:style>
  <w:style w:type="table" w:customStyle="1" w:styleId="219">
    <w:name w:val="Bordered &amp; Lined - Accent 1"/>
    <w:qFormat/>
    <w:uiPriority w:val="99"/>
    <w:pPr>
      <w:spacing w:after="0" w:line="240" w:lineRule="auto"/>
    </w:pPr>
    <w:rPr>
      <w:color w:val="404040"/>
    </w:rPr>
  </w:style>
  <w:style w:type="table" w:customStyle="1" w:styleId="220">
    <w:name w:val="Bordered &amp; Lined - Accent 2"/>
    <w:qFormat/>
    <w:uiPriority w:val="99"/>
    <w:pPr>
      <w:spacing w:after="0" w:line="240" w:lineRule="auto"/>
    </w:pPr>
    <w:rPr>
      <w:color w:val="404040"/>
    </w:rPr>
  </w:style>
  <w:style w:type="table" w:customStyle="1" w:styleId="221">
    <w:name w:val="Bordered &amp; Lined - Accent 3"/>
    <w:qFormat/>
    <w:uiPriority w:val="99"/>
    <w:pPr>
      <w:spacing w:after="0" w:line="240" w:lineRule="auto"/>
    </w:pPr>
    <w:rPr>
      <w:color w:val="404040"/>
    </w:rPr>
  </w:style>
  <w:style w:type="table" w:customStyle="1" w:styleId="222">
    <w:name w:val="Bordered &amp; Lined - Accent 4"/>
    <w:qFormat/>
    <w:uiPriority w:val="99"/>
    <w:pPr>
      <w:spacing w:after="0" w:line="240" w:lineRule="auto"/>
    </w:pPr>
    <w:rPr>
      <w:color w:val="404040"/>
    </w:rPr>
  </w:style>
  <w:style w:type="table" w:customStyle="1" w:styleId="223">
    <w:name w:val="Bordered &amp; Lined - Accent 5"/>
    <w:qFormat/>
    <w:uiPriority w:val="99"/>
    <w:pPr>
      <w:spacing w:after="0" w:line="240" w:lineRule="auto"/>
    </w:pPr>
    <w:rPr>
      <w:color w:val="404040"/>
    </w:rPr>
  </w:style>
  <w:style w:type="table" w:customStyle="1" w:styleId="224">
    <w:name w:val="Bordered &amp; Lined - Accent 6"/>
    <w:qFormat/>
    <w:uiPriority w:val="99"/>
    <w:pPr>
      <w:spacing w:after="0" w:line="240" w:lineRule="auto"/>
    </w:pPr>
    <w:rPr>
      <w:color w:val="404040"/>
    </w:rPr>
  </w:style>
  <w:style w:type="table" w:customStyle="1" w:styleId="225">
    <w:name w:val="Bordered"/>
    <w:qFormat/>
    <w:uiPriority w:val="99"/>
    <w:pPr>
      <w:spacing w:after="0" w:line="240" w:lineRule="auto"/>
    </w:pPr>
  </w:style>
  <w:style w:type="table" w:customStyle="1" w:styleId="226">
    <w:name w:val="Bordered - Accent 1"/>
    <w:qFormat/>
    <w:uiPriority w:val="99"/>
    <w:pPr>
      <w:spacing w:after="0" w:line="240" w:lineRule="auto"/>
    </w:pPr>
  </w:style>
  <w:style w:type="table" w:customStyle="1" w:styleId="227">
    <w:name w:val="Bordered - Accent 2"/>
    <w:qFormat/>
    <w:uiPriority w:val="99"/>
    <w:pPr>
      <w:spacing w:after="0" w:line="240" w:lineRule="auto"/>
    </w:pPr>
  </w:style>
  <w:style w:type="table" w:customStyle="1" w:styleId="228">
    <w:name w:val="Bordered - Accent 3"/>
    <w:qFormat/>
    <w:uiPriority w:val="99"/>
    <w:pPr>
      <w:spacing w:after="0" w:line="240" w:lineRule="auto"/>
    </w:pPr>
  </w:style>
  <w:style w:type="table" w:customStyle="1" w:styleId="229">
    <w:name w:val="Bordered - Accent 4"/>
    <w:qFormat/>
    <w:uiPriority w:val="99"/>
    <w:pPr>
      <w:spacing w:after="0" w:line="240" w:lineRule="auto"/>
    </w:pPr>
  </w:style>
  <w:style w:type="table" w:customStyle="1" w:styleId="230">
    <w:name w:val="Bordered - Accent 5"/>
    <w:qFormat/>
    <w:uiPriority w:val="99"/>
    <w:pPr>
      <w:spacing w:after="0" w:line="240" w:lineRule="auto"/>
    </w:pPr>
  </w:style>
  <w:style w:type="table" w:customStyle="1" w:styleId="231">
    <w:name w:val="Bordered - Accent 6"/>
    <w:qFormat/>
    <w:uiPriority w:val="99"/>
    <w:pPr>
      <w:spacing w:after="0" w:line="240" w:lineRule="auto"/>
    </w:pPr>
  </w:style>
  <w:style w:type="paragraph" w:customStyle="1" w:styleId="232">
    <w:name w:val="TOC Heading"/>
    <w:unhideWhenUsed/>
    <w:qFormat/>
    <w:uiPriority w:val="39"/>
    <w:rPr>
      <w:rFonts w:hint="default" w:ascii="Times New Roman" w:hAnsi="Times New Roman" w:eastAsia="宋体" w:cs="Times New Roman"/>
    </w:rPr>
  </w:style>
  <w:style w:type="paragraph" w:customStyle="1" w:styleId="233">
    <w:name w:val="标题 111"/>
    <w:basedOn w:val="1"/>
    <w:next w:val="1"/>
    <w:link w:val="234"/>
    <w:qFormat/>
    <w:uiPriority w:val="0"/>
    <w:pPr>
      <w:keepNext/>
      <w:jc w:val="center"/>
      <w:outlineLvl w:val="0"/>
    </w:pPr>
    <w:rPr>
      <w:rFonts w:ascii="楷体_GB2312" w:eastAsia="楷体_GB2312"/>
      <w:sz w:val="28"/>
      <w:szCs w:val="28"/>
    </w:rPr>
  </w:style>
  <w:style w:type="character" w:customStyle="1" w:styleId="234">
    <w:name w:val="标题 1 字符"/>
    <w:link w:val="233"/>
    <w:qFormat/>
    <w:uiPriority w:val="9"/>
    <w:rPr>
      <w:rFonts w:ascii="楷体_GB2312" w:eastAsia="楷体_GB2312"/>
      <w:sz w:val="28"/>
      <w:szCs w:val="28"/>
      <w:lang w:val="en-US" w:eastAsia="zh-CN" w:bidi="ar-SA"/>
    </w:rPr>
  </w:style>
  <w:style w:type="paragraph" w:customStyle="1" w:styleId="235">
    <w:name w:val="标题 21"/>
    <w:basedOn w:val="1"/>
    <w:next w:val="1"/>
    <w:link w:val="236"/>
    <w:qFormat/>
    <w:uiPriority w:val="0"/>
    <w:pPr>
      <w:keepNext/>
      <w:keepLines/>
      <w:spacing w:before="260" w:after="260" w:line="415" w:lineRule="auto"/>
      <w:jc w:val="left"/>
      <w:outlineLvl w:val="1"/>
    </w:pPr>
    <w:rPr>
      <w:rFonts w:ascii="Arial" w:hAnsi="Arial" w:eastAsia="仿宋_GB2312" w:cs="Arial"/>
      <w:sz w:val="28"/>
      <w:szCs w:val="44"/>
    </w:rPr>
  </w:style>
  <w:style w:type="character" w:customStyle="1" w:styleId="236">
    <w:name w:val="标题 2 字符"/>
    <w:link w:val="235"/>
    <w:qFormat/>
    <w:uiPriority w:val="0"/>
    <w:rPr>
      <w:rFonts w:ascii="Arial" w:hAnsi="Arial" w:eastAsia="仿宋_GB2312" w:cs="Arial"/>
      <w:sz w:val="28"/>
      <w:szCs w:val="44"/>
      <w:lang w:val="en-US" w:eastAsia="zh-CN" w:bidi="ar-SA"/>
    </w:rPr>
  </w:style>
  <w:style w:type="paragraph" w:customStyle="1" w:styleId="237">
    <w:name w:val="标题 31"/>
    <w:basedOn w:val="1"/>
    <w:next w:val="1"/>
    <w:link w:val="238"/>
    <w:qFormat/>
    <w:uiPriority w:val="0"/>
    <w:pPr>
      <w:keepNext/>
      <w:keepLines/>
      <w:spacing w:before="260" w:after="260" w:line="415" w:lineRule="auto"/>
      <w:outlineLvl w:val="2"/>
    </w:pPr>
    <w:rPr>
      <w:sz w:val="32"/>
      <w:szCs w:val="32"/>
    </w:rPr>
  </w:style>
  <w:style w:type="character" w:customStyle="1" w:styleId="238">
    <w:name w:val="标题 3 字符1"/>
    <w:link w:val="237"/>
    <w:qFormat/>
    <w:uiPriority w:val="9"/>
    <w:rPr>
      <w:rFonts w:eastAsia="宋体"/>
      <w:sz w:val="32"/>
      <w:szCs w:val="32"/>
      <w:lang w:val="en-US" w:eastAsia="zh-CN" w:bidi="ar-SA"/>
    </w:rPr>
  </w:style>
  <w:style w:type="paragraph" w:customStyle="1" w:styleId="239">
    <w:name w:val="标题 41"/>
    <w:basedOn w:val="1"/>
    <w:next w:val="1"/>
    <w:link w:val="240"/>
    <w:qFormat/>
    <w:uiPriority w:val="0"/>
    <w:pPr>
      <w:keepNext/>
      <w:keepLines/>
      <w:spacing w:before="280" w:after="290" w:line="374" w:lineRule="auto"/>
      <w:outlineLvl w:val="3"/>
    </w:pPr>
    <w:rPr>
      <w:rFonts w:ascii="Arial" w:hAnsi="Arial" w:eastAsia="黑体" w:cs="Arial"/>
      <w:sz w:val="28"/>
      <w:szCs w:val="28"/>
    </w:rPr>
  </w:style>
  <w:style w:type="character" w:customStyle="1" w:styleId="240">
    <w:name w:val="标题 4 字符"/>
    <w:link w:val="239"/>
    <w:qFormat/>
    <w:uiPriority w:val="0"/>
    <w:rPr>
      <w:rFonts w:ascii="Arial" w:hAnsi="Arial" w:eastAsia="黑体" w:cs="Arial"/>
      <w:sz w:val="28"/>
      <w:szCs w:val="28"/>
      <w:lang w:val="en-US" w:eastAsia="zh-CN" w:bidi="ar-SA"/>
    </w:rPr>
  </w:style>
  <w:style w:type="paragraph" w:customStyle="1" w:styleId="241">
    <w:name w:val="标题 51"/>
    <w:basedOn w:val="1"/>
    <w:next w:val="242"/>
    <w:link w:val="243"/>
    <w:qFormat/>
    <w:uiPriority w:val="0"/>
    <w:pPr>
      <w:keepNext/>
      <w:outlineLvl w:val="4"/>
    </w:pPr>
    <w:rPr>
      <w:rFonts w:ascii="宋体"/>
      <w:color w:val="000000"/>
      <w:sz w:val="28"/>
      <w:szCs w:val="28"/>
    </w:rPr>
  </w:style>
  <w:style w:type="paragraph" w:customStyle="1" w:styleId="242">
    <w:name w:val="正文缩进111"/>
    <w:basedOn w:val="1"/>
    <w:next w:val="1"/>
    <w:qFormat/>
    <w:uiPriority w:val="0"/>
    <w:pPr>
      <w:ind w:firstLine="420"/>
    </w:pPr>
    <w:rPr>
      <w:szCs w:val="21"/>
    </w:rPr>
  </w:style>
  <w:style w:type="character" w:customStyle="1" w:styleId="243">
    <w:name w:val="标题 5 字符"/>
    <w:link w:val="241"/>
    <w:qFormat/>
    <w:uiPriority w:val="0"/>
    <w:rPr>
      <w:rFonts w:ascii="宋体" w:eastAsia="宋体"/>
      <w:color w:val="000000"/>
      <w:sz w:val="28"/>
      <w:szCs w:val="28"/>
      <w:lang w:val="en-US" w:eastAsia="zh-CN" w:bidi="ar-SA"/>
    </w:rPr>
  </w:style>
  <w:style w:type="paragraph" w:customStyle="1" w:styleId="244">
    <w:name w:val="标题 61"/>
    <w:basedOn w:val="1"/>
    <w:next w:val="1"/>
    <w:link w:val="245"/>
    <w:qFormat/>
    <w:uiPriority w:val="99"/>
    <w:pPr>
      <w:keepNext/>
      <w:keepLines/>
      <w:spacing w:before="240" w:after="64" w:line="319" w:lineRule="auto"/>
      <w:outlineLvl w:val="5"/>
    </w:pPr>
    <w:rPr>
      <w:rFonts w:ascii="Arial" w:hAnsi="Arial" w:eastAsia="黑体"/>
      <w:b/>
      <w:bCs/>
      <w:sz w:val="24"/>
    </w:rPr>
  </w:style>
  <w:style w:type="character" w:customStyle="1" w:styleId="245">
    <w:name w:val="标题 6 字符"/>
    <w:link w:val="244"/>
    <w:qFormat/>
    <w:uiPriority w:val="99"/>
    <w:rPr>
      <w:rFonts w:ascii="Arial" w:hAnsi="Arial" w:eastAsia="黑体"/>
      <w:b/>
      <w:bCs/>
      <w:sz w:val="24"/>
      <w:szCs w:val="24"/>
      <w:lang w:val="en-US" w:eastAsia="zh-CN" w:bidi="ar-SA"/>
    </w:rPr>
  </w:style>
  <w:style w:type="paragraph" w:customStyle="1" w:styleId="246">
    <w:name w:val="标题 71"/>
    <w:basedOn w:val="1"/>
    <w:next w:val="1"/>
    <w:link w:val="247"/>
    <w:qFormat/>
    <w:uiPriority w:val="99"/>
    <w:pPr>
      <w:keepNext/>
      <w:keepLines/>
      <w:spacing w:before="240" w:after="64" w:line="319" w:lineRule="auto"/>
      <w:outlineLvl w:val="6"/>
    </w:pPr>
    <w:rPr>
      <w:b/>
      <w:bCs/>
      <w:sz w:val="24"/>
    </w:rPr>
  </w:style>
  <w:style w:type="character" w:customStyle="1" w:styleId="247">
    <w:name w:val="标题 7 字符"/>
    <w:link w:val="246"/>
    <w:qFormat/>
    <w:uiPriority w:val="99"/>
    <w:rPr>
      <w:rFonts w:eastAsia="宋体"/>
      <w:b/>
      <w:bCs/>
      <w:sz w:val="24"/>
      <w:szCs w:val="24"/>
      <w:lang w:val="en-US" w:eastAsia="zh-CN" w:bidi="ar-SA"/>
    </w:rPr>
  </w:style>
  <w:style w:type="paragraph" w:customStyle="1" w:styleId="248">
    <w:name w:val="标题 81"/>
    <w:basedOn w:val="1"/>
    <w:next w:val="1"/>
    <w:link w:val="249"/>
    <w:qFormat/>
    <w:uiPriority w:val="0"/>
    <w:pPr>
      <w:keepNext/>
      <w:keepLines/>
      <w:spacing w:before="240" w:after="64" w:line="319" w:lineRule="auto"/>
      <w:outlineLvl w:val="7"/>
    </w:pPr>
    <w:rPr>
      <w:rFonts w:ascii="Arial" w:hAnsi="Arial" w:eastAsia="黑体"/>
      <w:sz w:val="24"/>
    </w:rPr>
  </w:style>
  <w:style w:type="character" w:customStyle="1" w:styleId="249">
    <w:name w:val="标题 8 字符"/>
    <w:link w:val="248"/>
    <w:qFormat/>
    <w:uiPriority w:val="0"/>
    <w:rPr>
      <w:rFonts w:ascii="Arial" w:hAnsi="Arial" w:eastAsia="黑体"/>
      <w:sz w:val="24"/>
      <w:szCs w:val="24"/>
      <w:lang w:val="en-US" w:eastAsia="zh-CN" w:bidi="ar-SA"/>
    </w:rPr>
  </w:style>
  <w:style w:type="paragraph" w:customStyle="1" w:styleId="250">
    <w:name w:val="标题 91"/>
    <w:basedOn w:val="1"/>
    <w:next w:val="1"/>
    <w:link w:val="251"/>
    <w:qFormat/>
    <w:uiPriority w:val="0"/>
    <w:pPr>
      <w:keepNext/>
      <w:keepLines/>
      <w:spacing w:before="240" w:after="64" w:line="319" w:lineRule="auto"/>
      <w:outlineLvl w:val="8"/>
    </w:pPr>
    <w:rPr>
      <w:rFonts w:ascii="Arial" w:hAnsi="Arial" w:eastAsia="黑体"/>
      <w:szCs w:val="21"/>
    </w:rPr>
  </w:style>
  <w:style w:type="character" w:customStyle="1" w:styleId="251">
    <w:name w:val="标题 9 字符"/>
    <w:link w:val="250"/>
    <w:qFormat/>
    <w:uiPriority w:val="0"/>
    <w:rPr>
      <w:rFonts w:ascii="Arial" w:hAnsi="Arial" w:eastAsia="黑体"/>
      <w:sz w:val="21"/>
      <w:szCs w:val="21"/>
      <w:lang w:val="en-US" w:eastAsia="zh-CN" w:bidi="ar-SA"/>
    </w:rPr>
  </w:style>
  <w:style w:type="character" w:customStyle="1" w:styleId="252">
    <w:name w:val="默认段落字体1"/>
    <w:link w:val="1"/>
    <w:unhideWhenUsed/>
    <w:qFormat/>
    <w:uiPriority w:val="1"/>
  </w:style>
  <w:style w:type="table" w:customStyle="1" w:styleId="253">
    <w:name w:val="普通表格1"/>
    <w:unhideWhenUsed/>
    <w:qFormat/>
    <w:uiPriority w:val="99"/>
  </w:style>
  <w:style w:type="paragraph" w:customStyle="1" w:styleId="254">
    <w:name w:val="目录 71"/>
    <w:basedOn w:val="1"/>
    <w:next w:val="1"/>
    <w:unhideWhenUsed/>
    <w:qFormat/>
    <w:uiPriority w:val="39"/>
    <w:pPr>
      <w:ind w:left="1260"/>
      <w:jc w:val="left"/>
    </w:pPr>
    <w:rPr>
      <w:sz w:val="18"/>
      <w:szCs w:val="18"/>
    </w:rPr>
  </w:style>
  <w:style w:type="paragraph" w:customStyle="1" w:styleId="255">
    <w:name w:val="题注1"/>
    <w:basedOn w:val="1"/>
    <w:next w:val="1"/>
    <w:qFormat/>
    <w:uiPriority w:val="0"/>
    <w:pPr>
      <w:spacing w:line="360" w:lineRule="auto"/>
      <w:jc w:val="center"/>
    </w:pPr>
    <w:rPr>
      <w:rFonts w:ascii="Arial Unicode MS" w:hAnsi="Arial Unicode MS" w:cs="宋体"/>
      <w:szCs w:val="21"/>
    </w:rPr>
  </w:style>
  <w:style w:type="paragraph" w:customStyle="1" w:styleId="256">
    <w:name w:val="文档结构图1"/>
    <w:basedOn w:val="1"/>
    <w:link w:val="257"/>
    <w:semiHidden/>
    <w:qFormat/>
    <w:uiPriority w:val="0"/>
    <w:pPr>
      <w:shd w:val="clear" w:color="auto" w:fill="000080"/>
    </w:pPr>
    <w:rPr>
      <w:rFonts w:ascii="Calibri" w:hAnsi="Calibri"/>
    </w:rPr>
  </w:style>
  <w:style w:type="character" w:customStyle="1" w:styleId="257">
    <w:name w:val="文档结构图 字符"/>
    <w:link w:val="256"/>
    <w:semiHidden/>
    <w:qFormat/>
    <w:uiPriority w:val="0"/>
    <w:rPr>
      <w:rFonts w:ascii="Calibri" w:hAnsi="Calibri" w:eastAsia="宋体"/>
      <w:sz w:val="21"/>
      <w:szCs w:val="24"/>
      <w:lang w:val="en-US" w:eastAsia="zh-CN" w:bidi="ar-SA"/>
    </w:rPr>
  </w:style>
  <w:style w:type="paragraph" w:customStyle="1" w:styleId="258">
    <w:name w:val="批注文字1"/>
    <w:basedOn w:val="1"/>
    <w:link w:val="259"/>
    <w:semiHidden/>
    <w:qFormat/>
    <w:uiPriority w:val="99"/>
    <w:pPr>
      <w:jc w:val="left"/>
    </w:pPr>
    <w:rPr>
      <w:rFonts w:ascii="Calibri" w:hAnsi="Calibri"/>
    </w:rPr>
  </w:style>
  <w:style w:type="character" w:customStyle="1" w:styleId="259">
    <w:name w:val="批注文字 字符"/>
    <w:link w:val="258"/>
    <w:semiHidden/>
    <w:qFormat/>
    <w:uiPriority w:val="99"/>
    <w:rPr>
      <w:rFonts w:ascii="Calibri" w:hAnsi="Calibri" w:eastAsia="宋体"/>
      <w:sz w:val="21"/>
      <w:szCs w:val="24"/>
      <w:lang w:val="en-US" w:eastAsia="zh-CN" w:bidi="ar-SA"/>
    </w:rPr>
  </w:style>
  <w:style w:type="paragraph" w:customStyle="1" w:styleId="260">
    <w:name w:val="正文文本 31"/>
    <w:basedOn w:val="1"/>
    <w:link w:val="261"/>
    <w:qFormat/>
    <w:uiPriority w:val="0"/>
    <w:rPr>
      <w:rFonts w:ascii="仿宋_GB2312" w:hAnsi="Arial" w:eastAsia="仿宋_GB2312"/>
      <w:sz w:val="32"/>
      <w:szCs w:val="32"/>
    </w:rPr>
  </w:style>
  <w:style w:type="character" w:customStyle="1" w:styleId="261">
    <w:name w:val="正文文本 3 字符"/>
    <w:link w:val="260"/>
    <w:semiHidden/>
    <w:qFormat/>
    <w:uiPriority w:val="0"/>
    <w:rPr>
      <w:rFonts w:ascii="仿宋_GB2312" w:hAnsi="Arial" w:eastAsia="仿宋_GB2312"/>
      <w:sz w:val="32"/>
      <w:szCs w:val="32"/>
      <w:lang w:val="en-US" w:eastAsia="zh-CN" w:bidi="ar-SA"/>
    </w:rPr>
  </w:style>
  <w:style w:type="paragraph" w:customStyle="1" w:styleId="262">
    <w:name w:val="正文文本11"/>
    <w:basedOn w:val="1"/>
    <w:link w:val="263"/>
    <w:qFormat/>
    <w:uiPriority w:val="99"/>
    <w:pPr>
      <w:spacing w:after="120"/>
    </w:pPr>
    <w:rPr>
      <w:rFonts w:ascii="Calibri" w:hAnsi="Calibri"/>
    </w:rPr>
  </w:style>
  <w:style w:type="character" w:customStyle="1" w:styleId="263">
    <w:name w:val="正文文本 字符1"/>
    <w:link w:val="262"/>
    <w:semiHidden/>
    <w:qFormat/>
    <w:uiPriority w:val="0"/>
    <w:rPr>
      <w:rFonts w:ascii="Calibri" w:hAnsi="Calibri" w:eastAsia="宋体"/>
      <w:sz w:val="21"/>
      <w:szCs w:val="24"/>
      <w:lang w:val="en-US" w:eastAsia="zh-CN" w:bidi="ar-SA"/>
    </w:rPr>
  </w:style>
  <w:style w:type="paragraph" w:customStyle="1" w:styleId="264">
    <w:name w:val="正文文本缩进1"/>
    <w:basedOn w:val="1"/>
    <w:link w:val="265"/>
    <w:qFormat/>
    <w:uiPriority w:val="0"/>
    <w:pPr>
      <w:ind w:firstLine="645"/>
    </w:pPr>
    <w:rPr>
      <w:rFonts w:ascii="楷体_GB2312" w:hAnsi="Calibri" w:eastAsia="楷体_GB2312"/>
      <w:sz w:val="32"/>
      <w:szCs w:val="32"/>
    </w:rPr>
  </w:style>
  <w:style w:type="character" w:customStyle="1" w:styleId="265">
    <w:name w:val="正文文本缩进 字符"/>
    <w:link w:val="264"/>
    <w:semiHidden/>
    <w:qFormat/>
    <w:uiPriority w:val="0"/>
    <w:rPr>
      <w:rFonts w:ascii="楷体_GB2312" w:hAnsi="Calibri" w:eastAsia="楷体_GB2312"/>
      <w:sz w:val="32"/>
      <w:szCs w:val="32"/>
      <w:lang w:val="en-US" w:eastAsia="zh-CN" w:bidi="ar-SA"/>
    </w:rPr>
  </w:style>
  <w:style w:type="paragraph" w:customStyle="1" w:styleId="266">
    <w:name w:val="目录 51"/>
    <w:basedOn w:val="1"/>
    <w:next w:val="1"/>
    <w:unhideWhenUsed/>
    <w:qFormat/>
    <w:uiPriority w:val="39"/>
    <w:pPr>
      <w:ind w:left="840"/>
      <w:jc w:val="left"/>
    </w:pPr>
    <w:rPr>
      <w:sz w:val="18"/>
      <w:szCs w:val="18"/>
    </w:rPr>
  </w:style>
  <w:style w:type="paragraph" w:customStyle="1" w:styleId="267">
    <w:name w:val="目录 31"/>
    <w:basedOn w:val="1"/>
    <w:next w:val="1"/>
    <w:qFormat/>
    <w:uiPriority w:val="0"/>
    <w:pPr>
      <w:ind w:left="420"/>
      <w:jc w:val="left"/>
    </w:pPr>
    <w:rPr>
      <w:i/>
      <w:iCs/>
      <w:sz w:val="20"/>
      <w:szCs w:val="20"/>
    </w:rPr>
  </w:style>
  <w:style w:type="paragraph" w:customStyle="1" w:styleId="268">
    <w:name w:val="纯文本11"/>
    <w:basedOn w:val="1"/>
    <w:next w:val="242"/>
    <w:link w:val="269"/>
    <w:qFormat/>
    <w:uiPriority w:val="0"/>
    <w:rPr>
      <w:rFonts w:ascii="宋体" w:hAnsi="Courier New"/>
      <w:szCs w:val="22"/>
    </w:rPr>
  </w:style>
  <w:style w:type="character" w:customStyle="1" w:styleId="269">
    <w:name w:val="纯文本 字符1"/>
    <w:link w:val="268"/>
    <w:qFormat/>
    <w:uiPriority w:val="0"/>
    <w:rPr>
      <w:rFonts w:ascii="宋体" w:hAnsi="Courier New" w:eastAsia="宋体"/>
      <w:sz w:val="21"/>
      <w:szCs w:val="22"/>
      <w:lang w:val="en-US" w:eastAsia="zh-CN" w:bidi="ar-SA"/>
    </w:rPr>
  </w:style>
  <w:style w:type="paragraph" w:customStyle="1" w:styleId="270">
    <w:name w:val="目录 81"/>
    <w:basedOn w:val="1"/>
    <w:next w:val="1"/>
    <w:unhideWhenUsed/>
    <w:qFormat/>
    <w:uiPriority w:val="39"/>
    <w:pPr>
      <w:ind w:left="1470"/>
      <w:jc w:val="left"/>
    </w:pPr>
    <w:rPr>
      <w:sz w:val="18"/>
      <w:szCs w:val="18"/>
    </w:rPr>
  </w:style>
  <w:style w:type="paragraph" w:customStyle="1" w:styleId="271">
    <w:name w:val="日期1"/>
    <w:basedOn w:val="1"/>
    <w:next w:val="1"/>
    <w:link w:val="272"/>
    <w:qFormat/>
    <w:uiPriority w:val="0"/>
    <w:rPr>
      <w:rFonts w:ascii="Calibri" w:hAnsi="Calibri"/>
      <w:sz w:val="24"/>
    </w:rPr>
  </w:style>
  <w:style w:type="character" w:customStyle="1" w:styleId="272">
    <w:name w:val="日期 字符"/>
    <w:link w:val="271"/>
    <w:qFormat/>
    <w:uiPriority w:val="99"/>
    <w:rPr>
      <w:rFonts w:ascii="Calibri" w:hAnsi="Calibri" w:eastAsia="宋体"/>
      <w:sz w:val="24"/>
      <w:szCs w:val="24"/>
      <w:lang w:val="en-US" w:eastAsia="zh-CN" w:bidi="ar-SA"/>
    </w:rPr>
  </w:style>
  <w:style w:type="paragraph" w:customStyle="1" w:styleId="273">
    <w:name w:val="正文文本缩进 21"/>
    <w:basedOn w:val="1"/>
    <w:link w:val="274"/>
    <w:qFormat/>
    <w:uiPriority w:val="0"/>
    <w:pPr>
      <w:ind w:left="630" w:firstLine="645"/>
    </w:pPr>
    <w:rPr>
      <w:rFonts w:ascii="Arial" w:hAnsi="Arial" w:eastAsia="仿宋_GB2312"/>
      <w:sz w:val="32"/>
      <w:szCs w:val="32"/>
    </w:rPr>
  </w:style>
  <w:style w:type="character" w:customStyle="1" w:styleId="274">
    <w:name w:val="正文文本缩进 2 字符"/>
    <w:link w:val="273"/>
    <w:semiHidden/>
    <w:qFormat/>
    <w:uiPriority w:val="0"/>
    <w:rPr>
      <w:rFonts w:ascii="Arial" w:hAnsi="Arial" w:eastAsia="仿宋_GB2312"/>
      <w:sz w:val="32"/>
      <w:szCs w:val="32"/>
      <w:lang w:val="en-US" w:eastAsia="zh-CN" w:bidi="ar-SA"/>
    </w:rPr>
  </w:style>
  <w:style w:type="paragraph" w:customStyle="1" w:styleId="275">
    <w:name w:val="批注框文本1"/>
    <w:basedOn w:val="1"/>
    <w:link w:val="276"/>
    <w:qFormat/>
    <w:uiPriority w:val="0"/>
    <w:rPr>
      <w:rFonts w:ascii="Calibri" w:hAnsi="Calibri"/>
      <w:sz w:val="18"/>
      <w:szCs w:val="18"/>
    </w:rPr>
  </w:style>
  <w:style w:type="character" w:customStyle="1" w:styleId="276">
    <w:name w:val="批注框文本 字符"/>
    <w:link w:val="275"/>
    <w:semiHidden/>
    <w:qFormat/>
    <w:uiPriority w:val="0"/>
    <w:rPr>
      <w:rFonts w:ascii="Calibri" w:hAnsi="Calibri" w:eastAsia="宋体"/>
      <w:sz w:val="18"/>
      <w:szCs w:val="18"/>
      <w:lang w:val="en-US" w:eastAsia="zh-CN" w:bidi="ar-SA"/>
    </w:rPr>
  </w:style>
  <w:style w:type="paragraph" w:customStyle="1" w:styleId="277">
    <w:name w:val="页脚1"/>
    <w:basedOn w:val="1"/>
    <w:link w:val="278"/>
    <w:qFormat/>
    <w:uiPriority w:val="0"/>
    <w:pPr>
      <w:tabs>
        <w:tab w:val="center" w:pos="4153"/>
        <w:tab w:val="right" w:pos="8306"/>
      </w:tabs>
      <w:jc w:val="left"/>
    </w:pPr>
    <w:rPr>
      <w:rFonts w:ascii="Calibri" w:hAnsi="Calibri"/>
      <w:sz w:val="18"/>
      <w:szCs w:val="18"/>
    </w:rPr>
  </w:style>
  <w:style w:type="character" w:customStyle="1" w:styleId="278">
    <w:name w:val="页脚 字符1"/>
    <w:link w:val="277"/>
    <w:semiHidden/>
    <w:qFormat/>
    <w:uiPriority w:val="0"/>
    <w:rPr>
      <w:rFonts w:ascii="Calibri" w:hAnsi="Calibri" w:eastAsia="宋体"/>
      <w:sz w:val="18"/>
      <w:szCs w:val="18"/>
      <w:lang w:val="en-US" w:eastAsia="zh-CN" w:bidi="ar-SA"/>
    </w:rPr>
  </w:style>
  <w:style w:type="paragraph" w:customStyle="1" w:styleId="279">
    <w:name w:val="页眉1"/>
    <w:basedOn w:val="1"/>
    <w:link w:val="280"/>
    <w:qFormat/>
    <w:uiPriority w:val="0"/>
    <w:pPr>
      <w:pBdr>
        <w:bottom w:val="single" w:color="000000" w:sz="6" w:space="1"/>
      </w:pBdr>
      <w:tabs>
        <w:tab w:val="center" w:pos="4153"/>
        <w:tab w:val="right" w:pos="8306"/>
      </w:tabs>
      <w:jc w:val="center"/>
    </w:pPr>
    <w:rPr>
      <w:rFonts w:ascii="Calibri" w:hAnsi="Calibri"/>
      <w:sz w:val="18"/>
      <w:szCs w:val="18"/>
    </w:rPr>
  </w:style>
  <w:style w:type="character" w:customStyle="1" w:styleId="280">
    <w:name w:val="页眉 字符"/>
    <w:link w:val="279"/>
    <w:semiHidden/>
    <w:qFormat/>
    <w:uiPriority w:val="0"/>
    <w:rPr>
      <w:rFonts w:ascii="Calibri" w:hAnsi="Calibri" w:eastAsia="宋体"/>
      <w:sz w:val="18"/>
      <w:szCs w:val="18"/>
      <w:lang w:val="en-US" w:eastAsia="zh-CN" w:bidi="ar-SA"/>
    </w:rPr>
  </w:style>
  <w:style w:type="paragraph" w:customStyle="1" w:styleId="281">
    <w:name w:val="目录 11"/>
    <w:basedOn w:val="1"/>
    <w:next w:val="1"/>
    <w:qFormat/>
    <w:uiPriority w:val="0"/>
    <w:pPr>
      <w:spacing w:before="120" w:after="120"/>
      <w:jc w:val="left"/>
    </w:pPr>
    <w:rPr>
      <w:b/>
      <w:bCs/>
      <w:caps/>
      <w:sz w:val="20"/>
      <w:szCs w:val="20"/>
    </w:rPr>
  </w:style>
  <w:style w:type="paragraph" w:customStyle="1" w:styleId="282">
    <w:name w:val="目录 41"/>
    <w:basedOn w:val="1"/>
    <w:next w:val="1"/>
    <w:unhideWhenUsed/>
    <w:qFormat/>
    <w:uiPriority w:val="39"/>
    <w:pPr>
      <w:ind w:left="630"/>
      <w:jc w:val="left"/>
    </w:pPr>
    <w:rPr>
      <w:sz w:val="18"/>
      <w:szCs w:val="18"/>
    </w:rPr>
  </w:style>
  <w:style w:type="paragraph" w:customStyle="1" w:styleId="283">
    <w:name w:val="副标题1"/>
    <w:basedOn w:val="1"/>
    <w:next w:val="1"/>
    <w:qFormat/>
    <w:uiPriority w:val="0"/>
    <w:pPr>
      <w:spacing w:line="360" w:lineRule="auto"/>
      <w:ind w:firstLine="200"/>
      <w:jc w:val="left"/>
      <w:outlineLvl w:val="1"/>
    </w:pPr>
    <w:rPr>
      <w:rFonts w:ascii="Cambria" w:hAnsi="Cambria"/>
      <w:b/>
      <w:bCs/>
      <w:sz w:val="24"/>
      <w:szCs w:val="32"/>
    </w:rPr>
  </w:style>
  <w:style w:type="paragraph" w:customStyle="1" w:styleId="284">
    <w:name w:val="目录 61"/>
    <w:basedOn w:val="1"/>
    <w:next w:val="1"/>
    <w:unhideWhenUsed/>
    <w:qFormat/>
    <w:uiPriority w:val="39"/>
    <w:pPr>
      <w:ind w:left="1050"/>
      <w:jc w:val="left"/>
    </w:pPr>
    <w:rPr>
      <w:sz w:val="18"/>
      <w:szCs w:val="18"/>
    </w:rPr>
  </w:style>
  <w:style w:type="paragraph" w:customStyle="1" w:styleId="285">
    <w:name w:val="正文文本缩进 31"/>
    <w:basedOn w:val="1"/>
    <w:link w:val="286"/>
    <w:qFormat/>
    <w:uiPriority w:val="0"/>
    <w:pPr>
      <w:ind w:left="645" w:firstLine="645"/>
    </w:pPr>
    <w:rPr>
      <w:rFonts w:ascii="Arial" w:hAnsi="Arial" w:eastAsia="仿宋_GB2312"/>
      <w:color w:val="FFFF00"/>
      <w:sz w:val="32"/>
      <w:szCs w:val="32"/>
    </w:rPr>
  </w:style>
  <w:style w:type="character" w:customStyle="1" w:styleId="286">
    <w:name w:val="正文文本缩进 3 字符"/>
    <w:link w:val="285"/>
    <w:semiHidden/>
    <w:qFormat/>
    <w:uiPriority w:val="0"/>
    <w:rPr>
      <w:rFonts w:ascii="Arial" w:hAnsi="Arial" w:eastAsia="仿宋_GB2312"/>
      <w:color w:val="FFFF00"/>
      <w:sz w:val="32"/>
      <w:szCs w:val="32"/>
      <w:lang w:val="en-US" w:eastAsia="zh-CN" w:bidi="ar-SA"/>
    </w:rPr>
  </w:style>
  <w:style w:type="paragraph" w:customStyle="1" w:styleId="287">
    <w:name w:val="目录 211"/>
    <w:basedOn w:val="1"/>
    <w:next w:val="1"/>
    <w:qFormat/>
    <w:uiPriority w:val="0"/>
    <w:pPr>
      <w:ind w:left="210"/>
      <w:jc w:val="left"/>
    </w:pPr>
    <w:rPr>
      <w:smallCaps/>
      <w:sz w:val="20"/>
      <w:szCs w:val="20"/>
    </w:rPr>
  </w:style>
  <w:style w:type="paragraph" w:customStyle="1" w:styleId="288">
    <w:name w:val="目录 91"/>
    <w:basedOn w:val="1"/>
    <w:next w:val="1"/>
    <w:unhideWhenUsed/>
    <w:qFormat/>
    <w:uiPriority w:val="39"/>
    <w:pPr>
      <w:ind w:left="1680"/>
      <w:jc w:val="left"/>
    </w:pPr>
    <w:rPr>
      <w:sz w:val="18"/>
      <w:szCs w:val="18"/>
    </w:rPr>
  </w:style>
  <w:style w:type="paragraph" w:customStyle="1" w:styleId="289">
    <w:name w:val="正文文本 21"/>
    <w:basedOn w:val="1"/>
    <w:link w:val="290"/>
    <w:qFormat/>
    <w:uiPriority w:val="0"/>
    <w:pPr>
      <w:widowControl/>
      <w:jc w:val="center"/>
    </w:pPr>
    <w:rPr>
      <w:rFonts w:ascii="楷体_GB2312" w:hAnsi="Calibri" w:eastAsia="楷体_GB2312"/>
      <w:sz w:val="28"/>
      <w:szCs w:val="28"/>
    </w:rPr>
  </w:style>
  <w:style w:type="character" w:customStyle="1" w:styleId="290">
    <w:name w:val="正文文本 2 字符"/>
    <w:link w:val="289"/>
    <w:semiHidden/>
    <w:qFormat/>
    <w:uiPriority w:val="0"/>
    <w:rPr>
      <w:rFonts w:ascii="楷体_GB2312" w:hAnsi="Calibri" w:eastAsia="楷体_GB2312"/>
      <w:sz w:val="28"/>
      <w:szCs w:val="28"/>
      <w:lang w:val="en-US" w:eastAsia="zh-CN" w:bidi="ar-SA"/>
    </w:rPr>
  </w:style>
  <w:style w:type="paragraph" w:customStyle="1" w:styleId="291">
    <w:name w:val="普通(网站)11"/>
    <w:basedOn w:val="1"/>
    <w:link w:val="292"/>
    <w:unhideWhenUsed/>
    <w:qFormat/>
    <w:uiPriority w:val="0"/>
    <w:pPr>
      <w:widowControl/>
      <w:spacing w:before="100" w:beforeAutospacing="1" w:after="100" w:afterAutospacing="1"/>
      <w:jc w:val="left"/>
    </w:pPr>
    <w:rPr>
      <w:rFonts w:ascii="宋体" w:hAnsi="宋体" w:cs="宋体"/>
      <w:sz w:val="24"/>
    </w:rPr>
  </w:style>
  <w:style w:type="character" w:customStyle="1" w:styleId="292">
    <w:name w:val="普通(网站) 字符"/>
    <w:link w:val="291"/>
    <w:qFormat/>
    <w:uiPriority w:val="99"/>
    <w:rPr>
      <w:rFonts w:ascii="宋体" w:hAnsi="宋体" w:cs="宋体"/>
      <w:sz w:val="24"/>
      <w:szCs w:val="24"/>
    </w:rPr>
  </w:style>
  <w:style w:type="paragraph" w:customStyle="1" w:styleId="293">
    <w:name w:val="批注主题1"/>
    <w:basedOn w:val="258"/>
    <w:next w:val="258"/>
    <w:link w:val="294"/>
    <w:qFormat/>
    <w:uiPriority w:val="0"/>
    <w:rPr>
      <w:b/>
      <w:bCs/>
    </w:rPr>
  </w:style>
  <w:style w:type="character" w:customStyle="1" w:styleId="294">
    <w:name w:val="批注主题 字符"/>
    <w:link w:val="293"/>
    <w:semiHidden/>
    <w:qFormat/>
    <w:uiPriority w:val="0"/>
    <w:rPr>
      <w:rFonts w:ascii="Calibri" w:hAnsi="Calibri" w:eastAsia="宋体"/>
      <w:b/>
      <w:bCs/>
      <w:sz w:val="21"/>
      <w:szCs w:val="24"/>
      <w:lang w:val="en-US" w:eastAsia="zh-CN" w:bidi="ar-SA"/>
    </w:rPr>
  </w:style>
  <w:style w:type="paragraph" w:customStyle="1" w:styleId="295">
    <w:name w:val="正文首行缩进11"/>
    <w:basedOn w:val="262"/>
    <w:next w:val="242"/>
    <w:link w:val="296"/>
    <w:qFormat/>
    <w:uiPriority w:val="0"/>
    <w:pPr>
      <w:spacing w:line="360" w:lineRule="auto"/>
      <w:ind w:firstLine="200"/>
    </w:pPr>
    <w:rPr>
      <w:rFonts w:ascii="仿宋_GB2312" w:hAnsi="Arial" w:eastAsia="仿宋_GB2312"/>
      <w:sz w:val="30"/>
      <w:szCs w:val="30"/>
    </w:rPr>
  </w:style>
  <w:style w:type="character" w:customStyle="1" w:styleId="296">
    <w:name w:val="正文文本首行缩进 字符"/>
    <w:link w:val="295"/>
    <w:semiHidden/>
    <w:qFormat/>
    <w:uiPriority w:val="0"/>
    <w:rPr>
      <w:rFonts w:ascii="仿宋_GB2312" w:hAnsi="Arial" w:eastAsia="仿宋_GB2312"/>
      <w:sz w:val="30"/>
      <w:szCs w:val="30"/>
      <w:lang w:val="en-US" w:eastAsia="zh-CN" w:bidi="ar-SA"/>
    </w:rPr>
  </w:style>
  <w:style w:type="table" w:customStyle="1" w:styleId="297">
    <w:name w:val="网格型1"/>
    <w:basedOn w:val="253"/>
    <w:qFormat/>
    <w:uiPriority w:val="59"/>
    <w:pPr>
      <w:widowControl w:val="0"/>
      <w:jc w:val="both"/>
    </w:pPr>
  </w:style>
  <w:style w:type="character" w:customStyle="1" w:styleId="298">
    <w:name w:val="要点1"/>
    <w:link w:val="1"/>
    <w:qFormat/>
    <w:uiPriority w:val="22"/>
    <w:rPr>
      <w:b/>
      <w:bCs/>
    </w:rPr>
  </w:style>
  <w:style w:type="character" w:customStyle="1" w:styleId="299">
    <w:name w:val="页码1"/>
    <w:link w:val="1"/>
    <w:qFormat/>
    <w:uiPriority w:val="0"/>
  </w:style>
  <w:style w:type="character" w:customStyle="1" w:styleId="300">
    <w:name w:val="已访问的超链接1"/>
    <w:link w:val="1"/>
    <w:unhideWhenUsed/>
    <w:qFormat/>
    <w:uiPriority w:val="0"/>
    <w:rPr>
      <w:color w:val="333333"/>
      <w:u w:val="none"/>
    </w:rPr>
  </w:style>
  <w:style w:type="character" w:customStyle="1" w:styleId="301">
    <w:name w:val="强调1"/>
    <w:link w:val="1"/>
    <w:qFormat/>
    <w:uiPriority w:val="0"/>
    <w:rPr>
      <w:color w:val="CC0000"/>
    </w:rPr>
  </w:style>
  <w:style w:type="character" w:customStyle="1" w:styleId="302">
    <w:name w:val="超链接1"/>
    <w:link w:val="1"/>
    <w:qFormat/>
    <w:uiPriority w:val="0"/>
    <w:rPr>
      <w:color w:val="336699"/>
      <w:sz w:val="18"/>
      <w:szCs w:val="18"/>
      <w:u w:val="none"/>
    </w:rPr>
  </w:style>
  <w:style w:type="character" w:customStyle="1" w:styleId="303">
    <w:name w:val="批注引用1"/>
    <w:link w:val="1"/>
    <w:qFormat/>
    <w:uiPriority w:val="99"/>
    <w:rPr>
      <w:sz w:val="21"/>
      <w:szCs w:val="21"/>
    </w:rPr>
  </w:style>
  <w:style w:type="paragraph" w:customStyle="1" w:styleId="304">
    <w:name w:val="首行缩进"/>
    <w:basedOn w:val="1"/>
    <w:qFormat/>
    <w:uiPriority w:val="99"/>
    <w:pPr>
      <w:ind w:firstLine="480"/>
    </w:pPr>
    <w:rPr>
      <w:rFonts w:ascii="Calibri" w:hAnsi="Calibri"/>
      <w:lang w:val="zh-CN"/>
    </w:rPr>
  </w:style>
  <w:style w:type="character" w:customStyle="1" w:styleId="305">
    <w:name w:val="页脚 Char"/>
    <w:link w:val="1"/>
    <w:qFormat/>
    <w:uiPriority w:val="99"/>
    <w:rPr>
      <w:sz w:val="18"/>
      <w:szCs w:val="18"/>
    </w:rPr>
  </w:style>
  <w:style w:type="character" w:customStyle="1" w:styleId="306">
    <w:name w:val="页眉 Char"/>
    <w:link w:val="1"/>
    <w:qFormat/>
    <w:uiPriority w:val="0"/>
    <w:rPr>
      <w:sz w:val="18"/>
      <w:szCs w:val="18"/>
    </w:rPr>
  </w:style>
  <w:style w:type="character" w:customStyle="1" w:styleId="307">
    <w:name w:val="页脚 字符"/>
    <w:link w:val="1"/>
    <w:qFormat/>
    <w:uiPriority w:val="99"/>
    <w:rPr>
      <w:sz w:val="18"/>
      <w:szCs w:val="18"/>
    </w:rPr>
  </w:style>
  <w:style w:type="character" w:customStyle="1" w:styleId="308">
    <w:name w:val="正文文本 3 Char"/>
    <w:link w:val="1"/>
    <w:qFormat/>
    <w:uiPriority w:val="0"/>
    <w:rPr>
      <w:rFonts w:hint="eastAsia" w:ascii="仿宋_GB2312" w:hAnsi="Arial" w:eastAsia="仿宋_GB2312"/>
      <w:sz w:val="32"/>
      <w:szCs w:val="32"/>
    </w:rPr>
  </w:style>
  <w:style w:type="character" w:customStyle="1" w:styleId="309">
    <w:name w:val="正文首行缩进 2 Char"/>
    <w:link w:val="1"/>
    <w:qFormat/>
    <w:uiPriority w:val="0"/>
    <w:rPr>
      <w:rFonts w:hint="eastAsia" w:ascii="宋体" w:hAnsi="宋体" w:eastAsia="楷体_GB2312"/>
      <w:szCs w:val="32"/>
    </w:rPr>
  </w:style>
  <w:style w:type="character" w:customStyle="1" w:styleId="310">
    <w:name w:val="DL 段落缩进2 Char Char"/>
    <w:link w:val="311"/>
    <w:qFormat/>
    <w:uiPriority w:val="0"/>
    <w:rPr>
      <w:sz w:val="21"/>
      <w:szCs w:val="21"/>
    </w:rPr>
  </w:style>
  <w:style w:type="paragraph" w:customStyle="1" w:styleId="311">
    <w:name w:val="DL 段落缩进2"/>
    <w:basedOn w:val="1"/>
    <w:link w:val="310"/>
    <w:qFormat/>
    <w:uiPriority w:val="0"/>
    <w:pPr>
      <w:ind w:firstLine="420"/>
    </w:pPr>
    <w:rPr>
      <w:szCs w:val="21"/>
    </w:rPr>
  </w:style>
  <w:style w:type="character" w:customStyle="1" w:styleId="312">
    <w:name w:val="正文文本缩进 3 Char"/>
    <w:link w:val="1"/>
    <w:qFormat/>
    <w:uiPriority w:val="0"/>
    <w:rPr>
      <w:rFonts w:ascii="Arial" w:hAnsi="Arial" w:eastAsia="仿宋_GB2312" w:cs="Arial"/>
      <w:color w:val="FFFF00"/>
      <w:sz w:val="32"/>
      <w:szCs w:val="32"/>
    </w:rPr>
  </w:style>
  <w:style w:type="character" w:customStyle="1" w:styleId="313">
    <w:name w:val="纯文本 Char"/>
    <w:link w:val="1"/>
    <w:qFormat/>
    <w:uiPriority w:val="0"/>
    <w:rPr>
      <w:rFonts w:hint="eastAsia" w:ascii="宋体" w:hAnsi="Courier New" w:eastAsia="宋体"/>
    </w:rPr>
  </w:style>
  <w:style w:type="character" w:customStyle="1" w:styleId="314">
    <w:name w:val="H3 Char"/>
    <w:link w:val="1"/>
    <w:qFormat/>
    <w:uiPriority w:val="0"/>
    <w:rPr>
      <w:rFonts w:hint="eastAsia" w:ascii="宋体" w:hAnsi="宋体" w:eastAsia="宋体"/>
      <w:b/>
      <w:bCs/>
      <w:sz w:val="32"/>
      <w:szCs w:val="32"/>
      <w:lang w:val="en-US" w:eastAsia="zh-CN" w:bidi="ar-SA"/>
    </w:rPr>
  </w:style>
  <w:style w:type="character" w:customStyle="1" w:styleId="315">
    <w:name w:val="正文文本 Char"/>
    <w:link w:val="1"/>
    <w:qFormat/>
    <w:uiPriority w:val="0"/>
    <w:rPr>
      <w:rFonts w:hint="eastAsia" w:ascii="宋体" w:hAnsi="宋体" w:eastAsia="宋体"/>
      <w:szCs w:val="24"/>
    </w:rPr>
  </w:style>
  <w:style w:type="character" w:customStyle="1" w:styleId="316">
    <w:name w:val="正文文本缩进 Char"/>
    <w:link w:val="1"/>
    <w:qFormat/>
    <w:uiPriority w:val="0"/>
    <w:rPr>
      <w:rFonts w:hint="eastAsia" w:ascii="楷体_GB2312" w:eastAsia="楷体_GB2312"/>
      <w:sz w:val="32"/>
      <w:szCs w:val="32"/>
    </w:rPr>
  </w:style>
  <w:style w:type="character" w:customStyle="1" w:styleId="317">
    <w:name w:val="正文文本 2 Char"/>
    <w:link w:val="1"/>
    <w:qFormat/>
    <w:uiPriority w:val="0"/>
    <w:rPr>
      <w:rFonts w:hint="eastAsia" w:ascii="楷体_GB2312" w:eastAsia="楷体_GB2312"/>
      <w:sz w:val="28"/>
      <w:szCs w:val="28"/>
    </w:rPr>
  </w:style>
  <w:style w:type="character" w:customStyle="1" w:styleId="318">
    <w:name w:val="日期 Char"/>
    <w:link w:val="1"/>
    <w:qFormat/>
    <w:uiPriority w:val="0"/>
    <w:rPr>
      <w:sz w:val="24"/>
      <w:szCs w:val="24"/>
    </w:rPr>
  </w:style>
  <w:style w:type="character" w:customStyle="1" w:styleId="319">
    <w:name w:val="H2 Char"/>
    <w:link w:val="1"/>
    <w:qFormat/>
    <w:uiPriority w:val="0"/>
    <w:rPr>
      <w:rFonts w:ascii="Arial" w:hAnsi="Arial" w:eastAsia="仿宋_GB2312" w:cs="Arial"/>
      <w:b/>
      <w:bCs/>
      <w:sz w:val="28"/>
      <w:szCs w:val="44"/>
      <w:lang w:val="en-US" w:eastAsia="zh-CN" w:bidi="ar-SA"/>
    </w:rPr>
  </w:style>
  <w:style w:type="character" w:customStyle="1" w:styleId="320">
    <w:name w:val="样式 样式 正文缩进四号ALT+Z段1 Char Char Char段1 Char Char标题4body text鋘d... ...1 Char"/>
    <w:link w:val="321"/>
    <w:qFormat/>
    <w:uiPriority w:val="0"/>
    <w:rPr>
      <w:rFonts w:ascii="宋体" w:hAnsi="宋体" w:eastAsia="宋体"/>
      <w:color w:val="000000"/>
      <w:szCs w:val="21"/>
      <w:lang w:bidi="ar-SA"/>
    </w:rPr>
  </w:style>
  <w:style w:type="paragraph" w:customStyle="1" w:styleId="321">
    <w:name w:val="样式 样式 正文缩进四号ALT+Z段1 Char Char Char段1 Char Char标题4body text鋘d... ...1"/>
    <w:basedOn w:val="1"/>
    <w:link w:val="320"/>
    <w:qFormat/>
    <w:uiPriority w:val="0"/>
    <w:pPr>
      <w:ind w:firstLine="420"/>
    </w:pPr>
    <w:rPr>
      <w:rFonts w:ascii="宋体" w:hAnsi="宋体"/>
      <w:color w:val="000000"/>
      <w:sz w:val="20"/>
      <w:szCs w:val="21"/>
    </w:rPr>
  </w:style>
  <w:style w:type="character" w:customStyle="1" w:styleId="322">
    <w:name w:val="正文文本缩进 2 Char"/>
    <w:link w:val="1"/>
    <w:qFormat/>
    <w:uiPriority w:val="0"/>
    <w:rPr>
      <w:rFonts w:ascii="Arial" w:hAnsi="Arial" w:eastAsia="仿宋_GB2312" w:cs="Arial"/>
      <w:sz w:val="32"/>
      <w:szCs w:val="32"/>
    </w:rPr>
  </w:style>
  <w:style w:type="character" w:customStyle="1" w:styleId="323">
    <w:name w:val="正文首行缩进 Char"/>
    <w:link w:val="1"/>
    <w:qFormat/>
    <w:uiPriority w:val="0"/>
    <w:rPr>
      <w:rFonts w:hint="eastAsia" w:ascii="仿宋_GB2312" w:hAnsi="Arial" w:eastAsia="仿宋_GB2312"/>
      <w:sz w:val="30"/>
      <w:szCs w:val="30"/>
    </w:rPr>
  </w:style>
  <w:style w:type="character" w:customStyle="1" w:styleId="324">
    <w:name w:val="正文缩进 Char"/>
    <w:link w:val="325"/>
    <w:qFormat/>
    <w:uiPriority w:val="0"/>
    <w:rPr>
      <w:rFonts w:ascii="楷体_GB2312" w:eastAsia="楷体_GB2312"/>
      <w:sz w:val="24"/>
      <w:lang w:bidi="ar-SA"/>
    </w:rPr>
  </w:style>
  <w:style w:type="paragraph" w:customStyle="1" w:styleId="325">
    <w:name w:val="正文缩进1"/>
    <w:basedOn w:val="1"/>
    <w:link w:val="324"/>
    <w:qFormat/>
    <w:uiPriority w:val="0"/>
    <w:pPr>
      <w:ind w:firstLine="420"/>
      <w:jc w:val="left"/>
    </w:pPr>
    <w:rPr>
      <w:rFonts w:ascii="楷体_GB2312" w:eastAsia="楷体_GB2312"/>
      <w:sz w:val="24"/>
      <w:szCs w:val="20"/>
    </w:rPr>
  </w:style>
  <w:style w:type="character" w:customStyle="1" w:styleId="326">
    <w:name w:val="批注主题 Char"/>
    <w:link w:val="1"/>
    <w:qFormat/>
    <w:uiPriority w:val="0"/>
    <w:rPr>
      <w:rFonts w:hint="eastAsia" w:ascii="宋体" w:hAnsi="宋体" w:eastAsia="宋体"/>
      <w:b/>
      <w:bCs/>
      <w:szCs w:val="24"/>
    </w:rPr>
  </w:style>
  <w:style w:type="character" w:customStyle="1" w:styleId="327">
    <w:name w:val="批注框文本 Char"/>
    <w:link w:val="1"/>
    <w:qFormat/>
    <w:uiPriority w:val="0"/>
    <w:rPr>
      <w:sz w:val="18"/>
      <w:szCs w:val="18"/>
    </w:rPr>
  </w:style>
  <w:style w:type="character" w:customStyle="1" w:styleId="328">
    <w:name w:val="md"/>
    <w:link w:val="1"/>
    <w:qFormat/>
    <w:uiPriority w:val="0"/>
  </w:style>
  <w:style w:type="character" w:customStyle="1" w:styleId="329">
    <w:name w:val="H4 Char"/>
    <w:link w:val="1"/>
    <w:qFormat/>
    <w:uiPriority w:val="0"/>
    <w:rPr>
      <w:rFonts w:ascii="Arial" w:hAnsi="Arial" w:eastAsia="黑体" w:cs="Arial"/>
      <w:b/>
      <w:bCs/>
      <w:sz w:val="28"/>
      <w:szCs w:val="28"/>
      <w:lang w:val="en-US" w:eastAsia="zh-CN" w:bidi="ar-SA"/>
    </w:rPr>
  </w:style>
  <w:style w:type="character" w:customStyle="1" w:styleId="330">
    <w:name w:val="普通文字 Char Char1"/>
    <w:link w:val="1"/>
    <w:qFormat/>
    <w:uiPriority w:val="0"/>
    <w:rPr>
      <w:rFonts w:ascii="宋体" w:hAnsi="Courier New" w:eastAsia="宋体"/>
      <w:sz w:val="21"/>
      <w:lang w:val="en-US" w:eastAsia="zh-CN" w:bidi="ar-SA"/>
    </w:rPr>
  </w:style>
  <w:style w:type="character" w:customStyle="1" w:styleId="331">
    <w:name w:val="列表段落 字符"/>
    <w:link w:val="332"/>
    <w:qFormat/>
    <w:uiPriority w:val="34"/>
    <w:rPr>
      <w:rFonts w:ascii="Calibri" w:hAnsi="Calibri" w:eastAsia="宋体" w:cs="Times New Roman"/>
      <w:sz w:val="21"/>
      <w:szCs w:val="22"/>
    </w:rPr>
  </w:style>
  <w:style w:type="paragraph" w:customStyle="1" w:styleId="332">
    <w:name w:val="列表段落"/>
    <w:basedOn w:val="1"/>
    <w:link w:val="331"/>
    <w:qFormat/>
    <w:uiPriority w:val="34"/>
    <w:pPr>
      <w:ind w:firstLine="420"/>
    </w:pPr>
    <w:rPr>
      <w:rFonts w:ascii="Calibri" w:hAnsi="Calibri"/>
      <w:szCs w:val="22"/>
    </w:rPr>
  </w:style>
  <w:style w:type="character" w:customStyle="1" w:styleId="333">
    <w:name w:val="纯文本 字符"/>
    <w:link w:val="1"/>
    <w:qFormat/>
    <w:uiPriority w:val="0"/>
    <w:rPr>
      <w:rFonts w:ascii="宋体" w:hAnsi="Courier New" w:eastAsia="宋体"/>
      <w:sz w:val="21"/>
      <w:szCs w:val="22"/>
      <w:lang w:val="en-US" w:eastAsia="zh-CN" w:bidi="ar-SA"/>
    </w:rPr>
  </w:style>
  <w:style w:type="character" w:customStyle="1" w:styleId="334">
    <w:name w:val="标题 3 字符"/>
    <w:link w:val="1"/>
    <w:qFormat/>
    <w:uiPriority w:val="0"/>
    <w:rPr>
      <w:rFonts w:eastAsia="宋体"/>
      <w:sz w:val="32"/>
      <w:szCs w:val="32"/>
      <w:lang w:val="en-US" w:eastAsia="zh-CN" w:bidi="ar-SA"/>
    </w:rPr>
  </w:style>
  <w:style w:type="character" w:customStyle="1" w:styleId="335">
    <w:name w:val="正文文本 字符"/>
    <w:link w:val="1"/>
    <w:qFormat/>
    <w:uiPriority w:val="0"/>
    <w:rPr>
      <w:rFonts w:ascii="Calibri" w:hAnsi="Calibri" w:eastAsia="宋体"/>
      <w:sz w:val="21"/>
      <w:szCs w:val="24"/>
      <w:lang w:val="en-US" w:eastAsia="zh-CN" w:bidi="ar-SA"/>
    </w:rPr>
  </w:style>
  <w:style w:type="character" w:customStyle="1" w:styleId="336">
    <w:name w:val="angel 字符"/>
    <w:link w:val="337"/>
    <w:qFormat/>
    <w:uiPriority w:val="0"/>
    <w:rPr>
      <w:rFonts w:ascii="宋体" w:hAnsi="宋体"/>
      <w:sz w:val="21"/>
      <w:szCs w:val="24"/>
    </w:rPr>
  </w:style>
  <w:style w:type="paragraph" w:customStyle="1" w:styleId="337">
    <w:name w:val="angel"/>
    <w:basedOn w:val="1"/>
    <w:link w:val="336"/>
    <w:qFormat/>
    <w:uiPriority w:val="0"/>
    <w:pPr>
      <w:spacing w:line="360" w:lineRule="auto"/>
      <w:ind w:firstLine="200"/>
    </w:pPr>
    <w:rPr>
      <w:rFonts w:ascii="宋体" w:hAnsi="宋体"/>
    </w:rPr>
  </w:style>
  <w:style w:type="character" w:customStyle="1" w:styleId="338">
    <w:name w:val="Indent Normal Char"/>
    <w:link w:val="339"/>
    <w:qFormat/>
    <w:uiPriority w:val="0"/>
    <w:rPr>
      <w:sz w:val="24"/>
      <w:szCs w:val="24"/>
    </w:rPr>
  </w:style>
  <w:style w:type="paragraph" w:customStyle="1" w:styleId="339">
    <w:name w:val="Indent Normal"/>
    <w:basedOn w:val="1"/>
    <w:link w:val="338"/>
    <w:qFormat/>
    <w:uiPriority w:val="0"/>
    <w:pPr>
      <w:ind w:firstLine="150"/>
    </w:pPr>
    <w:rPr>
      <w:sz w:val="24"/>
    </w:rPr>
  </w:style>
  <w:style w:type="character" w:customStyle="1" w:styleId="340">
    <w:name w:val="样式1 Char"/>
    <w:link w:val="341"/>
    <w:qFormat/>
    <w:uiPriority w:val="0"/>
    <w:rPr>
      <w:sz w:val="24"/>
      <w:szCs w:val="24"/>
    </w:rPr>
  </w:style>
  <w:style w:type="paragraph" w:customStyle="1" w:styleId="341">
    <w:name w:val="样式1"/>
    <w:basedOn w:val="1"/>
    <w:link w:val="340"/>
    <w:qFormat/>
    <w:uiPriority w:val="0"/>
    <w:pPr>
      <w:spacing w:line="300" w:lineRule="auto"/>
      <w:ind w:firstLine="480"/>
    </w:pPr>
    <w:rPr>
      <w:sz w:val="24"/>
    </w:rPr>
  </w:style>
  <w:style w:type="paragraph" w:customStyle="1" w:styleId="342">
    <w:name w:val="GP正文(首行缩进)"/>
    <w:basedOn w:val="1"/>
    <w:qFormat/>
    <w:uiPriority w:val="0"/>
    <w:pPr>
      <w:spacing w:line="440" w:lineRule="exact"/>
      <w:ind w:firstLine="200"/>
      <w:jc w:val="left"/>
    </w:pPr>
    <w:rPr>
      <w:sz w:val="24"/>
    </w:rPr>
  </w:style>
  <w:style w:type="paragraph" w:customStyle="1" w:styleId="343">
    <w:name w:val="WPS Plain"/>
    <w:qFormat/>
    <w:uiPriority w:val="0"/>
    <w:rPr>
      <w:rFonts w:hint="default" w:ascii="Times New Roman" w:hAnsi="Times New Roman" w:eastAsia="宋体" w:cs="Times New Roman"/>
      <w:lang w:val="en-US" w:eastAsia="zh-CN" w:bidi="ar-SA"/>
    </w:rPr>
  </w:style>
  <w:style w:type="paragraph" w:customStyle="1" w:styleId="344">
    <w:name w:val="列出段落1"/>
    <w:basedOn w:val="1"/>
    <w:qFormat/>
    <w:uiPriority w:val="99"/>
    <w:pPr>
      <w:ind w:firstLine="420"/>
    </w:pPr>
    <w:rPr>
      <w:rFonts w:ascii="Calibri" w:hAnsi="Calibri"/>
      <w:szCs w:val="22"/>
    </w:rPr>
  </w:style>
  <w:style w:type="paragraph" w:customStyle="1" w:styleId="345">
    <w:name w:val="正文1"/>
    <w:qFormat/>
    <w:uiPriority w:val="0"/>
    <w:rPr>
      <w:rFonts w:hint="default" w:ascii="Times New Roman" w:hAnsi="Times New Roman" w:eastAsia="Times New Roman" w:cs="Times New Roman"/>
      <w:sz w:val="24"/>
      <w:szCs w:val="24"/>
      <w:lang w:val="en-US" w:eastAsia="zh-CN" w:bidi="ar-SA"/>
    </w:rPr>
  </w:style>
  <w:style w:type="paragraph" w:customStyle="1" w:styleId="346">
    <w:name w:val="Date1"/>
    <w:basedOn w:val="1"/>
    <w:next w:val="1"/>
    <w:qFormat/>
    <w:uiPriority w:val="0"/>
    <w:pPr>
      <w:spacing w:line="360" w:lineRule="atLeast"/>
    </w:pPr>
    <w:rPr>
      <w:sz w:val="28"/>
      <w:szCs w:val="28"/>
    </w:rPr>
  </w:style>
  <w:style w:type="paragraph" w:customStyle="1" w:styleId="347">
    <w:name w:val="样式"/>
    <w:qFormat/>
    <w:uiPriority w:val="0"/>
    <w:pPr>
      <w:widowControl w:val="0"/>
    </w:pPr>
    <w:rPr>
      <w:rFonts w:hint="default" w:ascii="宋体" w:hAnsi="Times New Roman" w:eastAsia="宋体" w:cs="宋体"/>
      <w:sz w:val="24"/>
      <w:szCs w:val="24"/>
      <w:lang w:val="en-US" w:eastAsia="zh-CN" w:bidi="ar-SA"/>
    </w:rPr>
  </w:style>
  <w:style w:type="paragraph" w:customStyle="1" w:styleId="348">
    <w:name w:val="reader-word-layer reader-word-s1-7"/>
    <w:basedOn w:val="1"/>
    <w:qFormat/>
    <w:uiPriority w:val="0"/>
    <w:pPr>
      <w:widowControl/>
      <w:spacing w:before="100" w:beforeAutospacing="1" w:after="100" w:afterAutospacing="1"/>
      <w:jc w:val="left"/>
    </w:pPr>
    <w:rPr>
      <w:rFonts w:ascii="宋体" w:hAnsi="宋体" w:cs="宋体"/>
      <w:sz w:val="24"/>
    </w:rPr>
  </w:style>
  <w:style w:type="paragraph" w:customStyle="1" w:styleId="349">
    <w:name w:val="图例"/>
    <w:basedOn w:val="1"/>
    <w:qFormat/>
    <w:uiPriority w:val="0"/>
    <w:pPr>
      <w:spacing w:before="120" w:after="120" w:line="360" w:lineRule="auto"/>
      <w:jc w:val="center"/>
    </w:pPr>
    <w:rPr>
      <w:rFonts w:eastAsia="仿宋_GB2312"/>
      <w:b/>
      <w:bCs/>
      <w:sz w:val="24"/>
    </w:rPr>
  </w:style>
  <w:style w:type="paragraph" w:customStyle="1" w:styleId="350">
    <w:name w:val="reader-word-layer reader-word-s1-6"/>
    <w:basedOn w:val="1"/>
    <w:qFormat/>
    <w:uiPriority w:val="0"/>
    <w:pPr>
      <w:widowControl/>
      <w:spacing w:before="100" w:beforeAutospacing="1" w:after="100" w:afterAutospacing="1"/>
      <w:jc w:val="left"/>
    </w:pPr>
    <w:rPr>
      <w:rFonts w:ascii="宋体" w:hAnsi="宋体" w:cs="宋体"/>
      <w:sz w:val="24"/>
    </w:rPr>
  </w:style>
  <w:style w:type="paragraph" w:customStyle="1" w:styleId="351">
    <w:name w:val="普通正文"/>
    <w:basedOn w:val="1"/>
    <w:qFormat/>
    <w:uiPriority w:val="0"/>
    <w:pPr>
      <w:spacing w:before="120" w:after="120" w:line="360" w:lineRule="auto"/>
      <w:ind w:firstLine="480"/>
      <w:jc w:val="left"/>
    </w:pPr>
    <w:rPr>
      <w:rFonts w:ascii="Arial" w:hAnsi="Arial"/>
      <w:sz w:val="24"/>
    </w:rPr>
  </w:style>
  <w:style w:type="paragraph" w:customStyle="1" w:styleId="352">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53">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354">
    <w:name w:val="reader-word-layer reader-word-s1-9"/>
    <w:basedOn w:val="1"/>
    <w:qFormat/>
    <w:uiPriority w:val="0"/>
    <w:pPr>
      <w:widowControl/>
      <w:spacing w:before="100" w:beforeAutospacing="1" w:after="100" w:afterAutospacing="1"/>
      <w:jc w:val="left"/>
    </w:pPr>
    <w:rPr>
      <w:rFonts w:ascii="宋体" w:hAnsi="宋体" w:cs="宋体"/>
      <w:sz w:val="24"/>
    </w:rPr>
  </w:style>
  <w:style w:type="paragraph" w:customStyle="1" w:styleId="355">
    <w:name w:val="reader-word-layer reader-word-s1-5"/>
    <w:basedOn w:val="1"/>
    <w:qFormat/>
    <w:uiPriority w:val="0"/>
    <w:pPr>
      <w:widowControl/>
      <w:spacing w:before="100" w:beforeAutospacing="1" w:after="100" w:afterAutospacing="1"/>
      <w:jc w:val="left"/>
    </w:pPr>
    <w:rPr>
      <w:rFonts w:ascii="宋体" w:hAnsi="宋体" w:cs="宋体"/>
      <w:sz w:val="24"/>
    </w:rPr>
  </w:style>
  <w:style w:type="paragraph" w:customStyle="1" w:styleId="356">
    <w:name w:val="List Paragraph1"/>
    <w:basedOn w:val="1"/>
    <w:qFormat/>
    <w:uiPriority w:val="0"/>
    <w:pPr>
      <w:ind w:firstLine="420"/>
    </w:pPr>
    <w:rPr>
      <w:sz w:val="28"/>
      <w:szCs w:val="28"/>
    </w:rPr>
  </w:style>
  <w:style w:type="paragraph" w:customStyle="1" w:styleId="357">
    <w:name w:val="1册标题2"/>
    <w:basedOn w:val="1"/>
    <w:next w:val="1"/>
    <w:qFormat/>
    <w:uiPriority w:val="0"/>
    <w:pPr>
      <w:spacing w:line="300" w:lineRule="auto"/>
      <w:jc w:val="center"/>
      <w:outlineLvl w:val="1"/>
    </w:pPr>
    <w:rPr>
      <w:rFonts w:ascii="Arial" w:hAnsi="Arial" w:eastAsia="黑体"/>
      <w:bCs/>
      <w:sz w:val="32"/>
    </w:rPr>
  </w:style>
  <w:style w:type="paragraph" w:customStyle="1" w:styleId="358">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359">
    <w:name w:val="二级条标题"/>
    <w:basedOn w:val="1"/>
    <w:next w:val="353"/>
    <w:qFormat/>
    <w:uiPriority w:val="0"/>
    <w:pPr>
      <w:widowControl/>
      <w:spacing w:line="360" w:lineRule="auto"/>
      <w:jc w:val="left"/>
      <w:outlineLvl w:val="3"/>
    </w:pPr>
    <w:rPr>
      <w:rFonts w:ascii="宋体" w:hAnsi="宋体"/>
      <w:sz w:val="32"/>
      <w:szCs w:val="32"/>
    </w:rPr>
  </w:style>
  <w:style w:type="paragraph" w:customStyle="1" w:styleId="360">
    <w:name w:val="DL 4.1"/>
    <w:basedOn w:val="1"/>
    <w:next w:val="1"/>
    <w:qFormat/>
    <w:uiPriority w:val="0"/>
    <w:pPr>
      <w:keepNext/>
      <w:keepLines/>
      <w:widowControl/>
      <w:spacing w:line="400" w:lineRule="atLeast"/>
      <w:ind w:left="840" w:hanging="420"/>
      <w:jc w:val="left"/>
      <w:outlineLvl w:val="1"/>
    </w:pPr>
    <w:rPr>
      <w:rFonts w:eastAsia="黑体" w:cs="宋体"/>
      <w:b/>
      <w:sz w:val="24"/>
      <w:szCs w:val="20"/>
    </w:rPr>
  </w:style>
  <w:style w:type="paragraph" w:customStyle="1" w:styleId="36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customStyle="1" w:styleId="362">
    <w:name w:val="3.1DL"/>
    <w:basedOn w:val="1"/>
    <w:next w:val="1"/>
    <w:qFormat/>
    <w:uiPriority w:val="0"/>
    <w:pPr>
      <w:keepNext/>
      <w:keepLines/>
      <w:spacing w:line="400" w:lineRule="atLeast"/>
      <w:ind w:left="1155" w:hanging="420"/>
      <w:outlineLvl w:val="1"/>
    </w:pPr>
    <w:rPr>
      <w:rFonts w:eastAsia="黑体" w:cs="宋体"/>
      <w:sz w:val="24"/>
      <w:szCs w:val="20"/>
    </w:rPr>
  </w:style>
  <w:style w:type="character" w:customStyle="1" w:styleId="363">
    <w:name w:val="未处理的提及1"/>
    <w:link w:val="1"/>
    <w:unhideWhenUsed/>
    <w:qFormat/>
    <w:uiPriority w:val="99"/>
    <w:rPr>
      <w:color w:val="605E5C"/>
      <w:shd w:val="clear" w:color="auto" w:fill="E1DFDD"/>
    </w:rPr>
  </w:style>
  <w:style w:type="paragraph" w:customStyle="1" w:styleId="364">
    <w:name w:val="Table Paragraph"/>
    <w:basedOn w:val="1"/>
    <w:qFormat/>
    <w:uiPriority w:val="1"/>
    <w:pPr>
      <w:jc w:val="left"/>
    </w:pPr>
    <w:rPr>
      <w:rFonts w:ascii="宋体" w:hAnsi="宋体" w:cs="宋体"/>
      <w:sz w:val="22"/>
      <w:szCs w:val="22"/>
      <w:lang w:eastAsia="en-US"/>
    </w:rPr>
  </w:style>
  <w:style w:type="character" w:customStyle="1" w:styleId="365">
    <w:name w:val="l-btn-left"/>
    <w:link w:val="1"/>
    <w:qFormat/>
    <w:uiPriority w:val="0"/>
  </w:style>
  <w:style w:type="character" w:customStyle="1" w:styleId="366">
    <w:name w:val="current"/>
    <w:link w:val="1"/>
    <w:qFormat/>
    <w:uiPriority w:val="0"/>
    <w:rPr>
      <w:b/>
      <w:bCs/>
      <w:color w:val="05A7D8"/>
      <w:sz w:val="18"/>
      <w:szCs w:val="18"/>
    </w:rPr>
  </w:style>
  <w:style w:type="character" w:customStyle="1" w:styleId="367">
    <w:name w:val="l-btn-text31"/>
    <w:link w:val="1"/>
    <w:qFormat/>
    <w:uiPriority w:val="0"/>
  </w:style>
  <w:style w:type="character" w:customStyle="1" w:styleId="368">
    <w:name w:val="l-btn-text25"/>
    <w:link w:val="1"/>
    <w:qFormat/>
    <w:uiPriority w:val="0"/>
  </w:style>
  <w:style w:type="character" w:customStyle="1" w:styleId="369">
    <w:name w:val="l-btn-text"/>
    <w:link w:val="1"/>
    <w:qFormat/>
    <w:uiPriority w:val="0"/>
  </w:style>
  <w:style w:type="paragraph" w:customStyle="1" w:styleId="370">
    <w:name w:val="纯文本1"/>
    <w:basedOn w:val="1"/>
    <w:qFormat/>
    <w:uiPriority w:val="0"/>
    <w:rPr>
      <w:rFonts w:ascii="宋体" w:hAnsi="Courier New" w:eastAsia="楷体_GB2312"/>
      <w:sz w:val="26"/>
      <w:szCs w:val="22"/>
    </w:rPr>
  </w:style>
  <w:style w:type="paragraph" w:customStyle="1" w:styleId="371">
    <w:name w:val="UserStyle_0"/>
    <w:next w:val="1"/>
    <w:qFormat/>
    <w:uiPriority w:val="0"/>
    <w:rPr>
      <w:rFonts w:hint="default" w:ascii="Times New Roman" w:hAnsi="Times New Roman" w:eastAsia="Times New Roman" w:cs="Times New Roman"/>
      <w:sz w:val="24"/>
      <w:szCs w:val="24"/>
      <w:lang w:val="en-US" w:eastAsia="zh-CN" w:bidi="ar-SA"/>
    </w:rPr>
  </w:style>
  <w:style w:type="paragraph" w:customStyle="1" w:styleId="372">
    <w:name w:val="_Style 39"/>
    <w:basedOn w:val="1"/>
    <w:next w:val="1"/>
    <w:qFormat/>
    <w:uiPriority w:val="0"/>
    <w:pPr>
      <w:spacing w:before="120" w:after="120"/>
      <w:jc w:val="left"/>
    </w:pPr>
    <w:rPr>
      <w:rFonts w:ascii="仿宋" w:hAnsi="仿宋" w:eastAsia="仿宋"/>
      <w:b/>
      <w:bCs/>
      <w:caps/>
      <w:sz w:val="20"/>
      <w:szCs w:val="20"/>
    </w:rPr>
  </w:style>
  <w:style w:type="character" w:customStyle="1" w:styleId="373">
    <w:name w:val="未处理的提及2"/>
    <w:link w:val="1"/>
    <w:unhideWhenUsed/>
    <w:qFormat/>
    <w:uiPriority w:val="99"/>
    <w:rPr>
      <w:color w:val="605E5C"/>
      <w:shd w:val="clear" w:color="auto" w:fill="E1DFDD"/>
    </w:rPr>
  </w:style>
  <w:style w:type="character" w:customStyle="1" w:styleId="374">
    <w:name w:val="NormalCharacter1"/>
    <w:link w:val="1"/>
    <w:qFormat/>
    <w:uiPriority w:val="0"/>
  </w:style>
  <w:style w:type="character" w:customStyle="1" w:styleId="375">
    <w:name w:val="jj101"/>
    <w:link w:val="1"/>
    <w:qFormat/>
    <w:uiPriority w:val="0"/>
    <w:rPr>
      <w:sz w:val="20"/>
      <w:szCs w:val="20"/>
      <w:u w:val="none"/>
    </w:rPr>
  </w:style>
  <w:style w:type="paragraph" w:customStyle="1" w:styleId="376">
    <w:name w:val="正文_1_0"/>
    <w:basedOn w:val="377"/>
    <w:qFormat/>
    <w:uiPriority w:val="0"/>
    <w:pPr>
      <w:widowControl w:val="0"/>
      <w:jc w:val="both"/>
    </w:pPr>
    <w:rPr>
      <w:rFonts w:ascii="Calibri" w:hAnsi="Calibri"/>
      <w:lang w:val="en-US" w:eastAsia="zh-CN" w:bidi="ar-SA"/>
    </w:rPr>
  </w:style>
  <w:style w:type="paragraph" w:customStyle="1" w:styleId="377">
    <w:name w:val="Normal_0_0"/>
    <w:qFormat/>
    <w:uiPriority w:val="0"/>
    <w:rPr>
      <w:rFonts w:hint="default" w:ascii="Times New Roman" w:hAnsi="Times New Roman" w:eastAsia="Times New Roman" w:cs="Times New Roman"/>
      <w:sz w:val="24"/>
      <w:szCs w:val="24"/>
      <w:lang w:val="en-US" w:eastAsia="zh-CN" w:bidi="ar-SA"/>
    </w:rPr>
  </w:style>
  <w:style w:type="paragraph" w:customStyle="1" w:styleId="378">
    <w:name w:val="正文_0"/>
    <w:qFormat/>
    <w:uiPriority w:val="0"/>
    <w:pPr>
      <w:widowControl w:val="0"/>
      <w:jc w:val="both"/>
    </w:pPr>
    <w:rPr>
      <w:rFonts w:hint="default" w:ascii="Calibri" w:hAnsi="Calibri" w:eastAsia="宋体" w:cs="Times New Roman"/>
      <w:sz w:val="21"/>
      <w:szCs w:val="22"/>
      <w:lang w:val="en-US" w:eastAsia="zh-CN" w:bidi="ar-SA"/>
    </w:rPr>
  </w:style>
  <w:style w:type="character" w:customStyle="1" w:styleId="379">
    <w:name w:val="active15"/>
    <w:link w:val="1"/>
    <w:qFormat/>
    <w:uiPriority w:val="0"/>
    <w:rPr>
      <w:color w:val="FFFFFF"/>
      <w:shd w:val="clear" w:color="auto" w:fill="0F5BB9"/>
    </w:rPr>
  </w:style>
  <w:style w:type="paragraph" w:customStyle="1" w:styleId="380">
    <w:name w:val="标题 4_0_0"/>
    <w:basedOn w:val="376"/>
    <w:next w:val="376"/>
    <w:qFormat/>
    <w:uiPriority w:val="0"/>
    <w:pPr>
      <w:keepNext/>
      <w:keepLines/>
      <w:spacing w:before="280" w:after="290" w:line="372" w:lineRule="auto"/>
      <w:outlineLvl w:val="3"/>
    </w:pPr>
    <w:rPr>
      <w:rFonts w:ascii="Arial" w:hAnsi="Arial" w:eastAsia="黑体"/>
      <w:b/>
      <w:sz w:val="28"/>
    </w:rPr>
  </w:style>
  <w:style w:type="paragraph" w:customStyle="1" w:styleId="381">
    <w:name w:val="正文_1_0_0"/>
    <w:qFormat/>
    <w:uiPriority w:val="0"/>
    <w:pPr>
      <w:widowControl w:val="0"/>
      <w:jc w:val="both"/>
    </w:pPr>
    <w:rPr>
      <w:rFonts w:hint="default" w:ascii="Calibri" w:hAnsi="Calibri" w:eastAsia="宋体" w:cs="Times New Roman"/>
      <w:lang w:val="en-US" w:eastAsia="zh-CN" w:bidi="ar-SA"/>
    </w:rPr>
  </w:style>
  <w:style w:type="paragraph" w:customStyle="1" w:styleId="382">
    <w:name w:val="正文_5"/>
    <w:qFormat/>
    <w:uiPriority w:val="0"/>
    <w:pPr>
      <w:widowControl w:val="0"/>
      <w:jc w:val="both"/>
    </w:pPr>
    <w:rPr>
      <w:rFonts w:hint="default" w:ascii="Calibri" w:hAnsi="Calibri" w:eastAsia="宋体" w:cs="Times New Roman"/>
      <w:lang w:val="en-US" w:eastAsia="zh-CN" w:bidi="ar-SA"/>
    </w:rPr>
  </w:style>
  <w:style w:type="paragraph" w:customStyle="1" w:styleId="383">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384">
    <w:name w:val="正文_1_1"/>
    <w:qFormat/>
    <w:uiPriority w:val="0"/>
    <w:pPr>
      <w:widowControl w:val="0"/>
      <w:jc w:val="both"/>
    </w:pPr>
    <w:rPr>
      <w:rFonts w:hint="default" w:ascii="Calibri" w:hAnsi="Calibri" w:eastAsia="宋体" w:cs="Times New Roman"/>
      <w:lang w:val="en-US" w:eastAsia="zh-CN" w:bidi="ar-SA"/>
    </w:rPr>
  </w:style>
  <w:style w:type="paragraph" w:customStyle="1" w:styleId="385">
    <w:name w:val="正文文本_0_0"/>
    <w:basedOn w:val="384"/>
    <w:qFormat/>
    <w:uiPriority w:val="0"/>
    <w:pPr>
      <w:tabs>
        <w:tab w:val="left" w:pos="5250"/>
      </w:tabs>
    </w:pPr>
    <w:rPr>
      <w:rFonts w:ascii="Times New Roman" w:hAnsi="Times New Roman"/>
      <w:sz w:val="28"/>
    </w:rPr>
  </w:style>
  <w:style w:type="paragraph" w:customStyle="1" w:styleId="386">
    <w:name w:val="正文文本_0_0_0"/>
    <w:basedOn w:val="376"/>
    <w:qFormat/>
    <w:uiPriority w:val="0"/>
    <w:pPr>
      <w:tabs>
        <w:tab w:val="left" w:pos="5250"/>
      </w:tabs>
    </w:pPr>
    <w:rPr>
      <w:rFonts w:ascii="Times New Roman" w:hAnsi="Times New Roman"/>
      <w:sz w:val="28"/>
    </w:rPr>
  </w:style>
  <w:style w:type="paragraph" w:customStyle="1" w:styleId="387">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8">
    <w:name w:val="标题 11"/>
    <w:basedOn w:val="1"/>
    <w:next w:val="1"/>
    <w:qFormat/>
    <w:uiPriority w:val="0"/>
    <w:pPr>
      <w:keepNext/>
      <w:outlineLvl w:val="0"/>
    </w:pPr>
    <w:rPr>
      <w:rFonts w:ascii="楷体_GB2312" w:hAnsi="Times New Roman" w:eastAsia="楷体_GB2312"/>
      <w:sz w:val="28"/>
      <w:szCs w:val="20"/>
    </w:rPr>
  </w:style>
  <w:style w:type="paragraph" w:customStyle="1" w:styleId="389">
    <w:name w:val="普通(网站)1"/>
    <w:basedOn w:val="1"/>
    <w:qFormat/>
    <w:uiPriority w:val="99"/>
    <w:pPr>
      <w:widowControl/>
      <w:spacing w:before="100" w:beforeAutospacing="1" w:after="100" w:afterAutospacing="1"/>
      <w:jc w:val="left"/>
    </w:pPr>
    <w:rPr>
      <w:rFonts w:ascii="宋体" w:hAnsi="宋体" w:cs="宋体"/>
      <w:sz w:val="24"/>
    </w:rPr>
  </w:style>
  <w:style w:type="paragraph" w:customStyle="1" w:styleId="390">
    <w:name w:val="简单回函地址"/>
    <w:basedOn w:val="1"/>
    <w:qFormat/>
    <w:uiPriority w:val="0"/>
    <w:rPr>
      <w:rFonts w:ascii="Times New Roman" w:hAnsi="Times New Roman" w:cs="宋体"/>
      <w:szCs w:val="21"/>
    </w:rPr>
  </w:style>
  <w:style w:type="paragraph" w:customStyle="1" w:styleId="391">
    <w:name w:val="正文首行缩进1"/>
    <w:basedOn w:val="392"/>
    <w:next w:val="394"/>
    <w:qFormat/>
    <w:uiPriority w:val="0"/>
    <w:pPr>
      <w:spacing w:line="360" w:lineRule="auto"/>
      <w:ind w:firstLine="200"/>
    </w:pPr>
    <w:rPr>
      <w:rFonts w:ascii="仿宋_GB2312" w:hAnsi="Arial" w:eastAsia="仿宋_GB2312"/>
      <w:sz w:val="30"/>
      <w:szCs w:val="30"/>
    </w:rPr>
  </w:style>
  <w:style w:type="paragraph" w:customStyle="1" w:styleId="392">
    <w:name w:val="正文文本1"/>
    <w:basedOn w:val="1"/>
    <w:next w:val="393"/>
    <w:qFormat/>
    <w:uiPriority w:val="0"/>
    <w:pPr>
      <w:spacing w:after="120"/>
    </w:pPr>
    <w:rPr>
      <w:rFonts w:ascii="Calibri" w:hAnsi="Calibri"/>
    </w:rPr>
  </w:style>
  <w:style w:type="paragraph" w:customStyle="1" w:styleId="393">
    <w:name w:val="目录 21"/>
    <w:basedOn w:val="1"/>
    <w:next w:val="1"/>
    <w:qFormat/>
    <w:uiPriority w:val="39"/>
    <w:pPr>
      <w:ind w:left="210"/>
      <w:jc w:val="left"/>
    </w:pPr>
    <w:rPr>
      <w:smallCaps/>
      <w:sz w:val="20"/>
      <w:szCs w:val="20"/>
    </w:rPr>
  </w:style>
  <w:style w:type="paragraph" w:customStyle="1" w:styleId="394">
    <w:name w:val="正文缩进11"/>
    <w:basedOn w:val="1"/>
    <w:next w:val="1"/>
    <w:qFormat/>
    <w:uiPriority w:val="0"/>
    <w:pPr>
      <w:ind w:firstLine="420"/>
    </w:pPr>
    <w:rPr>
      <w:szCs w:val="21"/>
    </w:rPr>
  </w:style>
  <w:style w:type="paragraph" w:customStyle="1" w:styleId="395">
    <w:name w:val="reader-word-layer reader-word-s1-45"/>
    <w:basedOn w:val="1"/>
    <w:qFormat/>
    <w:uiPriority w:val="0"/>
    <w:pPr>
      <w:widowControl/>
      <w:spacing w:before="100" w:beforeAutospacing="1" w:after="100" w:afterAutospacing="1"/>
      <w:jc w:val="left"/>
    </w:pPr>
    <w:rPr>
      <w:rFonts w:ascii="宋体" w:hAnsi="宋体" w:cs="宋体"/>
      <w:sz w:val="24"/>
      <w:szCs w:val="24"/>
    </w:rPr>
  </w:style>
  <w:style w:type="paragraph" w:customStyle="1" w:styleId="396">
    <w:name w:val="reader-word-layer reader-word-s1-0"/>
    <w:basedOn w:val="1"/>
    <w:qFormat/>
    <w:uiPriority w:val="0"/>
    <w:pPr>
      <w:widowControl/>
      <w:spacing w:before="100" w:beforeAutospacing="1" w:after="100" w:afterAutospacing="1"/>
      <w:jc w:val="left"/>
    </w:pPr>
    <w:rPr>
      <w:rFonts w:ascii="宋体" w:hAnsi="宋体" w:cs="宋体"/>
      <w:sz w:val="24"/>
      <w:szCs w:val="24"/>
    </w:rPr>
  </w:style>
  <w:style w:type="paragraph" w:customStyle="1" w:styleId="397">
    <w:name w:val="reader-word-layer reader-word-s1-39"/>
    <w:basedOn w:val="1"/>
    <w:qFormat/>
    <w:uiPriority w:val="0"/>
    <w:pPr>
      <w:widowControl/>
      <w:spacing w:before="100" w:beforeAutospacing="1" w:after="100" w:afterAutospacing="1"/>
      <w:jc w:val="left"/>
    </w:pPr>
    <w:rPr>
      <w:rFonts w:ascii="宋体" w:hAnsi="宋体" w:cs="宋体"/>
      <w:sz w:val="24"/>
      <w:szCs w:val="24"/>
    </w:rPr>
  </w:style>
  <w:style w:type="character" w:customStyle="1" w:styleId="398">
    <w:name w:val="hour_am"/>
    <w:basedOn w:val="43"/>
    <w:link w:val="1"/>
    <w:qFormat/>
    <w:uiPriority w:val="0"/>
  </w:style>
  <w:style w:type="character" w:customStyle="1" w:styleId="399">
    <w:name w:val="hover"/>
    <w:basedOn w:val="43"/>
    <w:link w:val="1"/>
    <w:qFormat/>
    <w:uiPriority w:val="0"/>
    <w:rPr>
      <w:color w:val="5FB878"/>
    </w:rPr>
  </w:style>
  <w:style w:type="character" w:customStyle="1" w:styleId="400">
    <w:name w:val="hover1"/>
    <w:basedOn w:val="43"/>
    <w:link w:val="1"/>
    <w:qFormat/>
    <w:uiPriority w:val="0"/>
    <w:rPr>
      <w:shd w:val="clear" w:color="auto" w:fill="EEEEEE"/>
    </w:rPr>
  </w:style>
  <w:style w:type="character" w:customStyle="1" w:styleId="401">
    <w:name w:val="hover2"/>
    <w:basedOn w:val="43"/>
    <w:link w:val="1"/>
    <w:qFormat/>
    <w:uiPriority w:val="0"/>
    <w:rPr>
      <w:color w:val="5FB878"/>
    </w:rPr>
  </w:style>
  <w:style w:type="character" w:customStyle="1" w:styleId="402">
    <w:name w:val="hover3"/>
    <w:basedOn w:val="43"/>
    <w:link w:val="1"/>
    <w:qFormat/>
    <w:uiPriority w:val="0"/>
    <w:rPr>
      <w:color w:val="FFFFFF"/>
    </w:rPr>
  </w:style>
  <w:style w:type="character" w:customStyle="1" w:styleId="403">
    <w:name w:val="first-child"/>
    <w:basedOn w:val="43"/>
    <w:link w:val="1"/>
    <w:qFormat/>
    <w:uiPriority w:val="0"/>
  </w:style>
  <w:style w:type="character" w:customStyle="1" w:styleId="404">
    <w:name w:val="old"/>
    <w:basedOn w:val="43"/>
    <w:link w:val="1"/>
    <w:qFormat/>
    <w:uiPriority w:val="0"/>
    <w:rPr>
      <w:color w:val="999999"/>
    </w:rPr>
  </w:style>
  <w:style w:type="character" w:customStyle="1" w:styleId="405">
    <w:name w:val="glyphicon"/>
    <w:basedOn w:val="43"/>
    <w:link w:val="1"/>
    <w:qFormat/>
    <w:uiPriority w:val="0"/>
  </w:style>
  <w:style w:type="character" w:customStyle="1" w:styleId="406">
    <w:name w:val="hour_pm"/>
    <w:basedOn w:val="43"/>
    <w:link w:val="1"/>
    <w:qFormat/>
    <w:uiPriority w:val="0"/>
  </w:style>
  <w:style w:type="character" w:customStyle="1" w:styleId="407">
    <w:name w:val="layui-this2"/>
    <w:basedOn w:val="43"/>
    <w:link w:val="1"/>
    <w:qFormat/>
    <w:uiPriority w:val="0"/>
    <w:rPr>
      <w:shd w:val="clear" w:color="auto" w:fill="FFFFFF"/>
    </w:rPr>
  </w:style>
  <w:style w:type="paragraph" w:customStyle="1" w:styleId="408">
    <w:name w:val="纯文本2"/>
    <w:basedOn w:val="1"/>
    <w:qFormat/>
    <w:uiPriority w:val="0"/>
    <w:rPr>
      <w:rFonts w:ascii="宋体" w:hAnsi="Courier New" w:cs="Courier New"/>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Template>
  <Company>Zh</Company>
  <Pages>54</Pages>
  <Words>18269</Words>
  <Characters>19524</Characters>
  <TotalTime>11</TotalTime>
  <ScaleCrop>false</ScaleCrop>
  <LinksUpToDate>false</LinksUpToDate>
  <CharactersWithSpaces>19621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2023-04-28T15:28:00Z</dcterms:created>
  <dc:creator>Len</dc:creator>
  <cp:lastModifiedBy>WPS_1637028948</cp:lastModifiedBy>
  <dcterms:modified xsi:type="dcterms:W3CDTF">2026-10-13T04:30:47Z</dcterms:modified>
  <dc:title>招　</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eyJoZGlkIjoiMWJmYmVhMGQ2YWQwOTc0ZDFkYmVkZTE0NzFkNThlYzIiLCJ1c2VySWQiOiIxMjk1OTcyNDE3In0=</vt:lpwstr>
  </property>
  <property fmtid="{D5CDD505-2E9C-101B-9397-08002B2CF9AE}" pid="3" name="KSOProductBuildVer">
    <vt:lpwstr>2052-12.1.0.28505</vt:lpwstr>
  </property>
  <property fmtid="{D5CDD505-2E9C-101B-9397-08002B2CF9AE}" pid="4" name="ICV">
    <vt:lpwstr>DF7CD6F44EEB412DB4E44B8B57582DCA_12</vt:lpwstr>
  </property>
</Properties>
</file>