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w:t>
      </w:r>
      <w:r>
        <w:rPr>
          <w:rFonts w:ascii="宋体" w:hAnsi="宋体"/>
          <w:b/>
          <w:sz w:val="32"/>
        </w:rPr>
        <w:t xml:space="preserve">G2026-0331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苏州市消防救援支队</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2026年度消防器材采购项目（</w:t>
      </w:r>
      <w:r>
        <w:rPr>
          <w:rFonts w:hint="eastAsia" w:ascii="宋体" w:hAnsi="宋体"/>
          <w:b/>
          <w:sz w:val="32"/>
        </w:rPr>
        <w:t xml:space="preserve">包4-包7</w:t>
      </w:r>
      <w:r>
        <w:rPr>
          <w:rFonts w:hint="eastAsia" w:ascii="宋体" w:hAnsi="宋体"/>
          <w:b/>
          <w:sz w:val="32"/>
        </w:rPr>
        <w:t xml:space="preserve">）</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1"/>
        <w:ind w:firstLine="0"/>
        <w:jc w:val="left"/>
        <w:spacing w:before="120" w:after="120"/>
        <w:tabs>
          <w:tab w:val="right" w:pos="9856" w:leader="dot"/>
        </w:tabs>
        <w:rPr>
          <w:rStyle w:val="1053"/>
          <w:rFonts w:ascii="宋体" w:hAnsi="宋体" w:cs="Calibri"/>
          <w:bCs/>
          <w:caps/>
          <w:color w:val="auto"/>
          <w:sz w:val="32"/>
          <w:szCs w:val="32"/>
        </w:rPr>
        <w:outlineLvl w:val="9"/>
      </w:pPr>
      <w:r>
        <w:rPr>
          <w:rFonts w:ascii="宋体" w:hAnsi="宋体" w:cs="Calibri"/>
          <w:bCs/>
          <w:caps/>
          <w:color w:val="auto"/>
          <w:sz w:val="32"/>
          <w:szCs w:val="32"/>
        </w:rPr>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rPr>
          <w:rStyle w:val="1053"/>
          <w:rFonts w:ascii="宋体" w:hAnsi="宋体" w:cs="Calibri"/>
          <w:bCs/>
          <w:caps/>
          <w:color w:val="auto"/>
          <w:sz w:val="32"/>
        </w:rPr>
        <w:fldChar w:fldCharType="begin"/>
      </w:r>
      <w:r>
        <w:rPr>
          <w:rStyle w:val="1053"/>
          <w:rFonts w:ascii="宋体" w:hAnsi="宋体" w:cs="Calibri"/>
          <w:bCs/>
          <w:caps/>
          <w:color w:val="auto"/>
          <w:sz w:val="32"/>
        </w:rPr>
        <w:instrText xml:space="preserve"> TOC \o "1-1" \h \z \u </w:instrText>
      </w:r>
      <w:r>
        <w:rPr>
          <w:rStyle w:val="1053"/>
          <w:rFonts w:ascii="宋体" w:hAnsi="宋体" w:cs="Calibri"/>
          <w:bCs/>
          <w:caps/>
          <w:color w:val="auto"/>
          <w:sz w:val="32"/>
        </w:rPr>
        <w:fldChar w:fldCharType="separate"/>
      </w:r>
      <w:hyperlink w:tooltip="#_Toc105397776" w:anchor="_Toc105397776" w:history="1">
        <w:r>
          <w:rPr>
            <w:rStyle w:val="1053"/>
            <w:rFonts w:ascii="宋体" w:hAnsi="宋体" w:cs="Calibri"/>
            <w:bCs/>
            <w:caps/>
            <w:color w:val="auto"/>
            <w:sz w:val="32"/>
            <w:szCs w:val="32"/>
          </w:rPr>
          <w:t xml:space="preserve">第一章 投标邀请函</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_Toc105397776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6</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77" w:anchor="_Toc105397777" w:history="1">
        <w:r>
          <w:rPr>
            <w:rStyle w:val="1053"/>
            <w:rFonts w:ascii="宋体" w:hAnsi="宋体" w:cs="Calibri"/>
            <w:bCs/>
            <w:caps/>
            <w:color w:val="auto"/>
            <w:sz w:val="32"/>
            <w:szCs w:val="32"/>
          </w:rPr>
          <w:t xml:space="preserve">第二章 投标人须知</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_Toc105397777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10</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78" w:anchor="_Toc105397778" w:history="1">
        <w:r>
          <w:rPr>
            <w:rStyle w:val="1053"/>
            <w:rFonts w:ascii="宋体" w:hAnsi="宋体" w:cs="Calibri"/>
            <w:bCs/>
            <w:caps/>
            <w:color w:val="auto"/>
            <w:sz w:val="32"/>
            <w:szCs w:val="32"/>
          </w:rPr>
          <w:t xml:space="preserve">第三章 投标文件格式</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_Toc105397778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26</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93" w:anchor="_Toc105397793" w:history="1">
        <w:r>
          <w:rPr>
            <w:rStyle w:val="1053"/>
            <w:rFonts w:ascii="宋体" w:hAnsi="宋体" w:cs="Calibri"/>
            <w:bCs/>
            <w:caps/>
            <w:color w:val="auto"/>
            <w:sz w:val="32"/>
            <w:szCs w:val="32"/>
          </w:rPr>
          <w:t xml:space="preserve">第四章 招标书</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_Toc105397793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43</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94" w:anchor="_Toc105397794" w:history="1">
        <w:r>
          <w:rPr>
            <w:rStyle w:val="1053"/>
            <w:rFonts w:ascii="宋体" w:hAnsi="宋体" w:cs="Calibri"/>
            <w:bCs/>
            <w:caps/>
            <w:color w:val="auto"/>
            <w:sz w:val="32"/>
            <w:szCs w:val="32"/>
          </w:rPr>
          <w:t xml:space="preserve">第五章 合同及主要条款</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_Toc105397794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68</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95" w:anchor="_Toc105397795" w:history="1">
        <w:r>
          <w:rPr>
            <w:rStyle w:val="1053"/>
            <w:rFonts w:ascii="宋体" w:hAnsi="宋体" w:cs="Calibri"/>
            <w:bCs/>
            <w:caps/>
            <w:color w:val="auto"/>
            <w:sz w:val="32"/>
            <w:szCs w:val="32"/>
          </w:rPr>
          <w:t xml:space="preserve">第六章 评标办法和评分标准</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_Toc105397795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80</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6" w:leader="dot"/>
        </w:tabs>
        <w:rPr>
          <w:rFonts w:ascii="宋体" w:hAnsi="宋体"/>
          <w:sz w:val="32"/>
          <w:szCs w:val="32"/>
        </w:rPr>
        <w:outlineLvl w:val="9"/>
      </w:pPr>
      <w:r>
        <w:rPr>
          <w:rStyle w:val="105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w:t>
            </w:r>
            <w:r>
              <w:rPr>
                <w:rFonts w:ascii="宋体" w:hAnsi="宋体" w:cs="Times New Roman"/>
                <w:sz w:val="21"/>
                <w:szCs w:val="21"/>
              </w:rPr>
              <w:t xml:space="preserve">G2026-0331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2026年度消防器材采购项目（</w:t>
            </w:r>
            <w:r>
              <w:rPr>
                <w:rFonts w:hint="eastAsia" w:ascii="宋体" w:hAnsi="宋体" w:cs="Times New Roman"/>
                <w:sz w:val="21"/>
                <w:szCs w:val="21"/>
              </w:rPr>
              <w:t xml:space="preserve">包4-包7</w:t>
            </w:r>
            <w:r>
              <w:rPr>
                <w:rFonts w:hint="eastAsia"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苏州市消防救援支队</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苏州市工业园区中新大道西198号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0512-62765293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pStyle w:val="1011"/>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yellow"/>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yellow"/>
              </w:rPr>
            </w:pPr>
            <w:r>
              <w:rPr>
                <w:rFonts w:hint="eastAsia" w:ascii="宋体" w:hAnsi="宋体" w:cs="Times New Roman"/>
                <w:sz w:val="21"/>
                <w:szCs w:val="21"/>
              </w:rPr>
              <w:t xml:space="preserve">合同总金额5%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sz w:val="21"/>
                <w:szCs w:val="21"/>
              </w:rPr>
              <w:t xml:space="preserve">1</w:t>
            </w: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sz w:val="21"/>
                <w:szCs w:val="21"/>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本项目由苏州市政府集中采购中心代理，由苏州采购服务有限公司支付专家评审费并提供本项目评审活动所需场地及必要的设施设备。本项目中标供应商无需向苏州市政府集中采购中心缴纳采购代理费，需向苏州采购服务有限公司支付服务费，服务费以本项目采购预算金额为基数，按以下收费标准（差额定率累进法）计算：</w:t>
            </w:r>
            <w:r>
              <w:rPr>
                <w:rFonts w:hint="eastAsia" w:ascii="宋体" w:hAnsi="宋体" w:cs="宋体"/>
                <w:sz w:val="21"/>
                <w:szCs w:val="21"/>
              </w:rPr>
              <w:t xml:space="preserve">预算金额100万元以下部分，费率为该部分预算金额的1.5%；预算金额100万元（含）至500万元部分，费率为该部分预算金额的1.1%；预算金额500万元（含）至1000万元部分，费率为该部分预算金额的0.8%；预算金额1000万元（含）至5000万元部分，费率为该部分预算金额的0.5%。按上述方法计算的费用低于人民币3000元的，按人民币3000元计收</w:t>
            </w:r>
            <w:r>
              <w:rPr>
                <w:rFonts w:hint="eastAsia" w:ascii="宋体" w:hAnsi="宋体" w:cs="宋体"/>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本项目预算金额</w:t>
            </w:r>
            <w:r>
              <w:rPr>
                <w:rFonts w:ascii="宋体" w:hAnsi="宋体" w:cs="宋体"/>
                <w:b/>
                <w:sz w:val="21"/>
                <w:szCs w:val="21"/>
              </w:rPr>
              <w:t xml:space="preserve">1058.17</w:t>
            </w:r>
            <w:r>
              <w:rPr>
                <w:rFonts w:hint="eastAsia" w:ascii="宋体" w:hAnsi="宋体" w:cs="宋体"/>
                <w:b/>
                <w:sz w:val="21"/>
                <w:szCs w:val="21"/>
              </w:rPr>
              <w:t xml:space="preserve">万元，其中</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第一标段</w:t>
            </w:r>
            <w:r>
              <w:rPr>
                <w:rFonts w:hint="eastAsia" w:ascii="宋体" w:hAnsi="宋体" w:cs="宋体"/>
                <w:b/>
                <w:sz w:val="21"/>
                <w:szCs w:val="21"/>
              </w:rPr>
              <w:t xml:space="preserve">：</w:t>
            </w:r>
            <w:r>
              <w:rPr>
                <w:rFonts w:ascii="宋体" w:hAnsi="宋体" w:cs="宋体"/>
                <w:b/>
                <w:sz w:val="21"/>
                <w:szCs w:val="21"/>
              </w:rPr>
              <w:t xml:space="preserve">310.31</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第二标段</w:t>
            </w:r>
            <w:r>
              <w:rPr>
                <w:rFonts w:hint="eastAsia" w:ascii="宋体" w:hAnsi="宋体" w:cs="宋体"/>
                <w:b/>
                <w:sz w:val="21"/>
                <w:szCs w:val="21"/>
              </w:rPr>
              <w:t xml:space="preserve">：</w:t>
            </w:r>
            <w:r>
              <w:rPr>
                <w:rFonts w:ascii="宋体" w:hAnsi="宋体" w:cs="宋体"/>
                <w:b/>
                <w:sz w:val="21"/>
                <w:szCs w:val="21"/>
              </w:rPr>
              <w:t xml:space="preserve">91</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第三标段</w:t>
            </w:r>
            <w:r>
              <w:rPr>
                <w:rFonts w:hint="eastAsia" w:ascii="宋体" w:hAnsi="宋体" w:cs="宋体"/>
                <w:b/>
                <w:sz w:val="21"/>
                <w:szCs w:val="21"/>
              </w:rPr>
              <w:t xml:space="preserve">：176.86万元</w:t>
            </w:r>
            <w:r>
              <w:rPr>
                <w:rFonts w:hint="eastAsia" w:ascii="宋体" w:hAnsi="宋体" w:cs="宋体"/>
                <w:b/>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第四标段</w:t>
            </w:r>
            <w:r>
              <w:rPr>
                <w:rFonts w:hint="eastAsia" w:ascii="宋体" w:hAnsi="宋体" w:cs="宋体"/>
                <w:b/>
                <w:sz w:val="21"/>
                <w:szCs w:val="21"/>
              </w:rPr>
              <w:t xml:space="preserve">：</w:t>
            </w:r>
            <w:r>
              <w:rPr>
                <w:rFonts w:ascii="宋体" w:hAnsi="宋体" w:cs="宋体"/>
                <w:b/>
                <w:sz w:val="21"/>
                <w:szCs w:val="21"/>
              </w:rPr>
              <w:t xml:space="preserve">480</w:t>
            </w:r>
            <w:r>
              <w:rPr>
                <w:rFonts w:hint="eastAsia" w:ascii="宋体" w:hAnsi="宋体" w:cs="宋体"/>
                <w:b/>
                <w:sz w:val="21"/>
                <w:szCs w:val="21"/>
              </w:rPr>
              <w:t xml:space="preserve">万元。</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费用计算公式：</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第一标段</w:t>
            </w:r>
            <w:r>
              <w:rPr>
                <w:rFonts w:hint="eastAsia" w:ascii="宋体" w:hAnsi="宋体" w:cs="宋体"/>
                <w:sz w:val="21"/>
                <w:szCs w:val="21"/>
              </w:rPr>
              <w:t xml:space="preserve">：（100万元×1.5%）+（</w:t>
            </w:r>
            <w:r>
              <w:rPr>
                <w:rFonts w:ascii="宋体" w:hAnsi="宋体" w:cs="宋体"/>
                <w:sz w:val="21"/>
                <w:szCs w:val="21"/>
              </w:rPr>
              <w:t xml:space="preserve">310.31</w:t>
            </w:r>
            <w:r>
              <w:rPr>
                <w:rFonts w:hint="eastAsia" w:ascii="宋体" w:hAnsi="宋体" w:cs="宋体"/>
                <w:sz w:val="21"/>
                <w:szCs w:val="21"/>
              </w:rPr>
              <w:t xml:space="preserve">万元-100万元）×1.1%=</w:t>
            </w:r>
            <w:r>
              <w:rPr>
                <w:rFonts w:ascii="宋体" w:hAnsi="宋体" w:cs="宋体"/>
                <w:sz w:val="21"/>
                <w:szCs w:val="21"/>
              </w:rPr>
              <w:t xml:space="preserve">3.</w:t>
            </w:r>
            <w:r>
              <w:rPr>
                <w:rFonts w:ascii="宋体" w:hAnsi="宋体" w:cs="宋体"/>
                <w:sz w:val="21"/>
                <w:szCs w:val="21"/>
              </w:rPr>
              <w:t xml:space="preserve">81</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第二标段</w:t>
            </w:r>
            <w:r>
              <w:rPr>
                <w:rFonts w:hint="eastAsia" w:ascii="宋体" w:hAnsi="宋体" w:cs="宋体"/>
                <w:sz w:val="21"/>
                <w:szCs w:val="21"/>
              </w:rPr>
              <w:t xml:space="preserve">：（</w:t>
            </w:r>
            <w:r>
              <w:rPr>
                <w:rFonts w:ascii="宋体" w:hAnsi="宋体" w:cs="宋体"/>
                <w:sz w:val="21"/>
                <w:szCs w:val="21"/>
              </w:rPr>
              <w:t xml:space="preserve">91</w:t>
            </w:r>
            <w:r>
              <w:rPr>
                <w:rFonts w:hint="eastAsia" w:ascii="宋体" w:hAnsi="宋体" w:cs="宋体"/>
                <w:sz w:val="21"/>
                <w:szCs w:val="21"/>
              </w:rPr>
              <w:t xml:space="preserve">万元×1.5%）=</w:t>
            </w:r>
            <w:r>
              <w:rPr>
                <w:rFonts w:ascii="宋体" w:hAnsi="宋体" w:cs="宋体"/>
                <w:sz w:val="21"/>
                <w:szCs w:val="21"/>
              </w:rPr>
              <w:t xml:space="preserve">1.37</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第三标段</w:t>
            </w:r>
            <w:r>
              <w:rPr>
                <w:rFonts w:hint="eastAsia" w:ascii="宋体" w:hAnsi="宋体" w:cs="宋体"/>
                <w:sz w:val="21"/>
                <w:szCs w:val="21"/>
              </w:rPr>
              <w:t xml:space="preserve">：（100万元×1.5%）+（</w:t>
            </w:r>
            <w:r>
              <w:rPr>
                <w:rFonts w:ascii="宋体" w:hAnsi="宋体" w:cs="宋体"/>
                <w:sz w:val="21"/>
                <w:szCs w:val="21"/>
              </w:rPr>
              <w:t xml:space="preserve">176.86</w:t>
            </w:r>
            <w:r>
              <w:rPr>
                <w:rFonts w:hint="eastAsia" w:ascii="宋体" w:hAnsi="宋体" w:cs="宋体"/>
                <w:sz w:val="21"/>
                <w:szCs w:val="21"/>
              </w:rPr>
              <w:t xml:space="preserve">万元-100万元）×1.1%=</w:t>
            </w:r>
            <w:r>
              <w:rPr>
                <w:rFonts w:ascii="宋体" w:hAnsi="宋体" w:cs="宋体"/>
                <w:sz w:val="21"/>
                <w:szCs w:val="21"/>
              </w:rPr>
              <w:t xml:space="preserve">2.35</w:t>
            </w:r>
            <w:r>
              <w:rPr>
                <w:rFonts w:hint="eastAsia" w:ascii="宋体" w:hAnsi="宋体" w:cs="宋体"/>
                <w:sz w:val="21"/>
                <w:szCs w:val="21"/>
              </w:rPr>
              <w:t xml:space="preserve">万元（小数点保留后两位，四舍五入）</w:t>
            </w:r>
            <w:r>
              <w:rPr>
                <w:rFonts w:hint="eastAsia" w:ascii="宋体" w:hAnsi="宋体" w:cs="宋体"/>
                <w:sz w:val="21"/>
                <w:szCs w:val="21"/>
              </w:rPr>
              <w:t xml:space="preserve">；</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第四标段</w:t>
            </w:r>
            <w:r>
              <w:rPr>
                <w:rFonts w:hint="eastAsia" w:ascii="宋体" w:hAnsi="宋体" w:cs="宋体"/>
                <w:sz w:val="21"/>
                <w:szCs w:val="21"/>
              </w:rPr>
              <w:t xml:space="preserve">：（100万元×1.5%）+（</w:t>
            </w:r>
            <w:r>
              <w:rPr>
                <w:rFonts w:ascii="宋体" w:hAnsi="宋体" w:cs="宋体"/>
                <w:sz w:val="21"/>
                <w:szCs w:val="21"/>
              </w:rPr>
              <w:t xml:space="preserve">480</w:t>
            </w:r>
            <w:r>
              <w:rPr>
                <w:rFonts w:hint="eastAsia" w:ascii="宋体" w:hAnsi="宋体" w:cs="宋体"/>
                <w:sz w:val="21"/>
                <w:szCs w:val="21"/>
              </w:rPr>
              <w:t xml:space="preserve">万元-100万元）×1.1%=</w:t>
            </w:r>
            <w:r>
              <w:rPr>
                <w:rFonts w:ascii="宋体" w:hAnsi="宋体" w:cs="宋体"/>
                <w:sz w:val="21"/>
                <w:szCs w:val="21"/>
              </w:rPr>
              <w:t xml:space="preserve">5.68</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请中标供应商于领取中标通知书时向苏州采购服务有限公司一次性支付服务费。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收款账号信息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账户名：苏州采购服务有限公司</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开户银行名称：交通银行苏州高新技术产业开发区支行</w:t>
            </w:r>
            <w:r/>
          </w:p>
          <w:p>
            <w:pPr>
              <w:ind w:left="0" w:firstLine="42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账号：325604000013001662258</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1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4"/>
        <w:rPr>
          <w:rFonts w:ascii="宋体" w:hAnsi="宋体"/>
        </w:rPr>
      </w:pPr>
      <w:r>
        <w:rPr>
          <w:rFonts w:ascii="宋体" w:hAnsi="宋体"/>
        </w:rPr>
      </w:r>
      <w:r/>
    </w:p>
    <w:p>
      <w:pPr>
        <w:pStyle w:val="100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88"/>
        <w:ind w:left="431" w:firstLine="17"/>
        <w:jc w:val="center"/>
        <w:spacing w:before="0" w:after="0" w:line="360" w:lineRule="auto"/>
        <w:rPr>
          <w:rStyle w:val="1118"/>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2026年度消防器材采购项目（</w:t>
      </w:r>
      <w:r>
        <w:rPr>
          <w:rFonts w:hint="eastAsia" w:ascii="宋体" w:hAnsi="宋体"/>
          <w:b/>
          <w:sz w:val="21"/>
          <w:szCs w:val="21"/>
          <w:u w:val="single"/>
        </w:rPr>
        <w:t xml:space="preserve">包4-包7</w:t>
      </w:r>
      <w:r>
        <w:rPr>
          <w:rFonts w:hint="eastAsia" w:ascii="宋体" w:hAnsi="宋体"/>
          <w:b/>
          <w:sz w:val="21"/>
          <w:szCs w:val="21"/>
          <w:u w:val="single"/>
        </w:rPr>
        <w:t xml:space="preserve">）</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w:t>
      </w:r>
      <w:r>
        <w:rPr>
          <w:rFonts w:ascii="宋体" w:hAnsi="宋体"/>
          <w:sz w:val="21"/>
          <w:szCs w:val="21"/>
        </w:rPr>
        <w:t xml:space="preserve">G2026-0331</w:t>
      </w:r>
      <w:r/>
    </w:p>
    <w:p>
      <w:pPr>
        <w:pStyle w:val="100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2026年度消防器材采购项目（</w:t>
      </w:r>
      <w:r>
        <w:rPr>
          <w:rFonts w:hint="eastAsia" w:ascii="宋体" w:hAnsi="宋体"/>
          <w:sz w:val="21"/>
          <w:szCs w:val="21"/>
        </w:rPr>
        <w:t xml:space="preserve">包4-包7</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第一标段：</w:t>
      </w:r>
      <w:r>
        <w:rPr>
          <w:rFonts w:hint="eastAsia" w:ascii="宋体" w:hAnsi="宋体"/>
          <w:sz w:val="21"/>
          <w:szCs w:val="21"/>
        </w:rPr>
        <w:t xml:space="preserve">苏州市消防救援支队2026年度消防器材采购项目（包4）</w:t>
      </w:r>
      <w:r/>
    </w:p>
    <w:p>
      <w:pPr>
        <w:pStyle w:val="1006"/>
        <w:ind w:left="0" w:firstLine="420"/>
        <w:spacing w:line="360" w:lineRule="auto"/>
        <w:rPr>
          <w:rFonts w:ascii="宋体" w:hAnsi="宋体"/>
          <w:sz w:val="21"/>
          <w:szCs w:val="21"/>
        </w:rPr>
      </w:pPr>
      <w:r>
        <w:rPr>
          <w:rFonts w:hint="eastAsia" w:ascii="宋体" w:hAnsi="宋体"/>
          <w:sz w:val="21"/>
          <w:szCs w:val="21"/>
        </w:rPr>
        <w:t xml:space="preserve">第二标段：</w:t>
      </w:r>
      <w:r>
        <w:rPr>
          <w:rFonts w:hint="eastAsia" w:ascii="宋体" w:hAnsi="宋体"/>
          <w:sz w:val="21"/>
          <w:szCs w:val="21"/>
        </w:rPr>
        <w:t xml:space="preserve">苏州市消防救援支队2026年度消防器材采购项目（包</w:t>
      </w:r>
      <w:r>
        <w:rPr>
          <w:rFonts w:ascii="宋体" w:hAnsi="宋体"/>
          <w:sz w:val="21"/>
          <w:szCs w:val="21"/>
        </w:rPr>
        <w:t xml:space="preserve">5</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第三标段：</w:t>
      </w:r>
      <w:r>
        <w:rPr>
          <w:rFonts w:hint="eastAsia" w:ascii="宋体" w:hAnsi="宋体"/>
          <w:sz w:val="21"/>
          <w:szCs w:val="21"/>
        </w:rPr>
        <w:t xml:space="preserve">苏州市消防救援支队2026年度消防器材采购项目（包</w:t>
      </w:r>
      <w:r>
        <w:rPr>
          <w:rFonts w:ascii="宋体" w:hAnsi="宋体"/>
          <w:sz w:val="21"/>
          <w:szCs w:val="21"/>
        </w:rPr>
        <w:t xml:space="preserve">6</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第四标段：</w:t>
      </w:r>
      <w:r>
        <w:rPr>
          <w:rFonts w:hint="eastAsia" w:ascii="宋体" w:hAnsi="宋体"/>
          <w:sz w:val="21"/>
          <w:szCs w:val="21"/>
        </w:rPr>
        <w:t xml:space="preserve">苏州市消防救援支队2026年度消防器材采购项目（包</w:t>
      </w:r>
      <w:r>
        <w:rPr>
          <w:rFonts w:ascii="宋体" w:hAnsi="宋体"/>
          <w:sz w:val="21"/>
          <w:szCs w:val="21"/>
        </w:rPr>
        <w:t xml:space="preserve">7</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4.</w:t>
      </w:r>
      <w:r>
        <w:rPr>
          <w:rFonts w:hint="eastAsia" w:ascii="宋体" w:hAnsi="宋体"/>
          <w:sz w:val="21"/>
        </w:rPr>
        <w:t xml:space="preserve">预算金额：人民币</w:t>
      </w:r>
      <w:r>
        <w:rPr>
          <w:rFonts w:hint="eastAsia" w:ascii="宋体" w:hAnsi="宋体"/>
          <w:sz w:val="21"/>
        </w:rPr>
        <w:t xml:space="preserve">壹仟零伍拾捌万壹仟柒佰</w:t>
      </w:r>
      <w:r>
        <w:rPr>
          <w:rFonts w:hint="eastAsia" w:ascii="宋体" w:hAnsi="宋体"/>
          <w:sz w:val="21"/>
        </w:rPr>
        <w:t xml:space="preserve">元整（￥</w:t>
      </w:r>
      <w:r>
        <w:rPr>
          <w:rFonts w:ascii="宋体" w:hAnsi="宋体"/>
          <w:sz w:val="21"/>
        </w:rPr>
        <w:t xml:space="preserve">10581700.00</w:t>
      </w:r>
      <w:r>
        <w:rPr>
          <w:rFonts w:hint="eastAsia" w:ascii="宋体" w:hAnsi="宋体"/>
          <w:sz w:val="21"/>
        </w:rPr>
        <w:t xml:space="preserve">元）其中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预算金额</w:t>
      </w:r>
      <w:r>
        <w:rPr>
          <w:rFonts w:hint="eastAsia" w:ascii="宋体" w:hAnsi="宋体"/>
          <w:sz w:val="21"/>
        </w:rPr>
        <w:t xml:space="preserve">：</w:t>
      </w:r>
      <w:r>
        <w:rPr>
          <w:rFonts w:hint="eastAsia" w:ascii="宋体" w:hAnsi="宋体"/>
          <w:sz w:val="21"/>
        </w:rPr>
        <w:t xml:space="preserve">人民币</w:t>
      </w:r>
      <w:r>
        <w:rPr>
          <w:rFonts w:hint="eastAsia" w:ascii="宋体" w:hAnsi="宋体"/>
          <w:sz w:val="21"/>
        </w:rPr>
        <w:t xml:space="preserve">叁</w:t>
      </w:r>
      <w:r>
        <w:rPr>
          <w:rFonts w:hint="eastAsia" w:ascii="宋体" w:hAnsi="宋体"/>
          <w:sz w:val="21"/>
        </w:rPr>
        <w:t xml:space="preserve">佰</w:t>
      </w:r>
      <w:r>
        <w:rPr>
          <w:rFonts w:hint="eastAsia" w:ascii="宋体" w:hAnsi="宋体"/>
          <w:sz w:val="21"/>
        </w:rPr>
        <w:t xml:space="preserve">壹</w:t>
      </w:r>
      <w:r>
        <w:rPr>
          <w:rFonts w:hint="eastAsia" w:ascii="宋体" w:hAnsi="宋体"/>
          <w:sz w:val="21"/>
        </w:rPr>
        <w:t xml:space="preserve">拾万叁仟</w:t>
      </w:r>
      <w:r>
        <w:rPr>
          <w:rFonts w:hint="eastAsia" w:ascii="宋体" w:hAnsi="宋体"/>
          <w:sz w:val="21"/>
        </w:rPr>
        <w:t xml:space="preserve">壹佰</w:t>
      </w:r>
      <w:r>
        <w:rPr>
          <w:rFonts w:hint="eastAsia" w:ascii="宋体" w:hAnsi="宋体"/>
          <w:sz w:val="21"/>
        </w:rPr>
        <w:t xml:space="preserve">元整（￥</w:t>
      </w:r>
      <w:r>
        <w:rPr>
          <w:rFonts w:ascii="宋体" w:hAnsi="宋体"/>
          <w:sz w:val="21"/>
        </w:rPr>
        <w:t xml:space="preserve">3103100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预算金额</w:t>
      </w:r>
      <w:r>
        <w:rPr>
          <w:rFonts w:hint="eastAsia" w:ascii="宋体" w:hAnsi="宋体"/>
          <w:sz w:val="21"/>
        </w:rPr>
        <w:t xml:space="preserve">：</w:t>
      </w:r>
      <w:r>
        <w:rPr>
          <w:rFonts w:hint="eastAsia" w:ascii="宋体" w:hAnsi="宋体"/>
          <w:sz w:val="21"/>
        </w:rPr>
        <w:t xml:space="preserve">人民币</w:t>
      </w:r>
      <w:r>
        <w:rPr>
          <w:rFonts w:hint="eastAsia" w:ascii="宋体" w:hAnsi="宋体"/>
          <w:sz w:val="21"/>
        </w:rPr>
        <w:t xml:space="preserve">玖拾壹万</w:t>
      </w:r>
      <w:r>
        <w:rPr>
          <w:rFonts w:hint="eastAsia" w:ascii="宋体" w:hAnsi="宋体"/>
          <w:sz w:val="21"/>
        </w:rPr>
        <w:t xml:space="preserve">元整（￥</w:t>
      </w:r>
      <w:r>
        <w:rPr>
          <w:rFonts w:ascii="宋体" w:hAnsi="宋体"/>
          <w:sz w:val="21"/>
        </w:rPr>
        <w:t xml:space="preserve">9100</w:t>
      </w:r>
      <w:r>
        <w:rPr>
          <w:rFonts w:hint="eastAsia" w:ascii="宋体" w:hAnsi="宋体"/>
          <w:sz w:val="21"/>
        </w:rPr>
        <w:t xml:space="preserve">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预算金额</w:t>
      </w:r>
      <w:r>
        <w:rPr>
          <w:rFonts w:hint="eastAsia" w:ascii="宋体" w:hAnsi="宋体"/>
          <w:sz w:val="21"/>
        </w:rPr>
        <w:t xml:space="preserve">：人民币壹佰柒拾陆万捌仟陆佰元整（￥1768600.00元）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预算金额</w:t>
      </w:r>
      <w:r>
        <w:rPr>
          <w:rFonts w:hint="eastAsia" w:ascii="宋体" w:hAnsi="宋体"/>
          <w:sz w:val="21"/>
        </w:rPr>
        <w:t xml:space="preserve">：</w:t>
      </w:r>
      <w:r>
        <w:rPr>
          <w:rFonts w:hint="eastAsia" w:ascii="宋体" w:hAnsi="宋体"/>
          <w:sz w:val="21"/>
        </w:rPr>
        <w:t xml:space="preserve">人民币</w:t>
      </w:r>
      <w:r>
        <w:rPr>
          <w:rFonts w:hint="eastAsia" w:ascii="宋体" w:hAnsi="宋体"/>
          <w:sz w:val="21"/>
        </w:rPr>
        <w:t xml:space="preserve">肆佰捌拾万元整</w:t>
      </w:r>
      <w:r>
        <w:rPr>
          <w:rFonts w:hint="eastAsia" w:ascii="宋体" w:hAnsi="宋体"/>
          <w:sz w:val="21"/>
        </w:rPr>
        <w:t xml:space="preserve">（￥</w:t>
      </w:r>
      <w:r>
        <w:rPr>
          <w:rFonts w:ascii="宋体" w:hAnsi="宋体"/>
          <w:sz w:val="21"/>
        </w:rPr>
        <w:t xml:space="preserve">4800000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rPr>
        <w:t xml:space="preserve">壹仟零伍拾捌万壹仟柒佰元整（￥10581700.00</w:t>
      </w:r>
      <w:r>
        <w:rPr>
          <w:rFonts w:hint="eastAsia" w:ascii="宋体" w:hAnsi="宋体"/>
          <w:sz w:val="21"/>
        </w:rPr>
        <w:t xml:space="preserve">元）其中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最高限价</w:t>
      </w:r>
      <w:r>
        <w:rPr>
          <w:rFonts w:hint="eastAsia" w:ascii="宋体" w:hAnsi="宋体"/>
          <w:sz w:val="21"/>
        </w:rPr>
        <w:t xml:space="preserve">：</w:t>
      </w:r>
      <w:r>
        <w:rPr>
          <w:rFonts w:hint="eastAsia" w:ascii="宋体" w:hAnsi="宋体"/>
          <w:sz w:val="21"/>
        </w:rPr>
        <w:t xml:space="preserve">人民币</w:t>
      </w:r>
      <w:r>
        <w:rPr>
          <w:rFonts w:hint="eastAsia" w:ascii="宋体" w:hAnsi="宋体"/>
          <w:sz w:val="21"/>
        </w:rPr>
        <w:t xml:space="preserve">叁佰壹拾万叁仟壹佰元整（￥3103100.00</w:t>
      </w:r>
      <w:r>
        <w:rPr>
          <w:rFonts w:hint="eastAsia" w:ascii="宋体" w:hAnsi="宋体"/>
          <w:sz w:val="21"/>
        </w:rPr>
        <w:t xml:space="preserve">元）</w:t>
      </w:r>
      <w:r>
        <w:rPr>
          <w:rFonts w:hint="eastAsia" w:ascii="宋体" w:hAnsi="宋体"/>
          <w:sz w:val="21"/>
        </w:rPr>
        <w:t xml:space="preserve">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最高限价</w:t>
      </w:r>
      <w:r>
        <w:rPr>
          <w:rFonts w:hint="eastAsia" w:ascii="宋体" w:hAnsi="宋体"/>
          <w:sz w:val="21"/>
        </w:rPr>
        <w:t xml:space="preserve">：</w:t>
      </w:r>
      <w:r>
        <w:rPr>
          <w:rFonts w:hint="eastAsia" w:ascii="宋体" w:hAnsi="宋体"/>
          <w:sz w:val="21"/>
        </w:rPr>
        <w:t xml:space="preserve">人民币</w:t>
      </w:r>
      <w:r>
        <w:rPr>
          <w:rFonts w:hint="eastAsia" w:ascii="宋体" w:hAnsi="宋体"/>
          <w:sz w:val="21"/>
        </w:rPr>
        <w:t xml:space="preserve">玖拾壹万元整（￥910000.00</w:t>
      </w:r>
      <w:r>
        <w:rPr>
          <w:rFonts w:hint="eastAsia" w:ascii="宋体" w:hAnsi="宋体"/>
          <w:sz w:val="21"/>
        </w:rPr>
        <w:t xml:space="preserve">元）</w:t>
      </w:r>
      <w:r>
        <w:rPr>
          <w:rFonts w:hint="eastAsia" w:ascii="宋体" w:hAnsi="宋体"/>
          <w:sz w:val="21"/>
        </w:rPr>
        <w:t xml:space="preserve">其中</w:t>
      </w:r>
      <w:r>
        <w:rPr>
          <w:rFonts w:hint="eastAsia" w:ascii="宋体" w:hAnsi="宋体"/>
          <w:sz w:val="21"/>
        </w:rPr>
        <w:t xml:space="preserve">最高</w:t>
      </w:r>
      <w:r>
        <w:rPr>
          <w:rFonts w:hint="eastAsia" w:ascii="宋体" w:hAnsi="宋体"/>
          <w:sz w:val="21"/>
        </w:rPr>
        <w:t xml:space="preserve">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最高限价</w:t>
      </w:r>
      <w:r>
        <w:rPr>
          <w:rFonts w:hint="eastAsia" w:ascii="宋体" w:hAnsi="宋体"/>
          <w:sz w:val="21"/>
        </w:rPr>
        <w:t xml:space="preserve">：人民币壹佰柒拾陆万捌仟陆佰元整（￥1768600.00元）其中最高单价限价详见采购清单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最高限价</w:t>
      </w:r>
      <w:r>
        <w:rPr>
          <w:rFonts w:hint="eastAsia" w:ascii="宋体" w:hAnsi="宋体"/>
          <w:sz w:val="21"/>
        </w:rPr>
        <w:t xml:space="preserve">：</w:t>
      </w:r>
      <w:r>
        <w:rPr>
          <w:rFonts w:hint="eastAsia" w:ascii="宋体" w:hAnsi="宋体"/>
          <w:sz w:val="21"/>
        </w:rPr>
        <w:t xml:space="preserve">人民币</w:t>
      </w:r>
      <w:r>
        <w:rPr>
          <w:rFonts w:hint="eastAsia" w:ascii="宋体" w:hAnsi="宋体"/>
          <w:sz w:val="21"/>
        </w:rPr>
        <w:t xml:space="preserve">肆佰捌拾万元整（￥4800000.00</w:t>
      </w:r>
      <w:r>
        <w:rPr>
          <w:rFonts w:hint="eastAsia" w:ascii="宋体" w:hAnsi="宋体"/>
          <w:sz w:val="21"/>
        </w:rPr>
        <w:t xml:space="preserve">元）</w:t>
      </w:r>
      <w:r>
        <w:rPr>
          <w:rFonts w:hint="eastAsia" w:ascii="宋体" w:hAnsi="宋体"/>
          <w:sz w:val="21"/>
        </w:rPr>
        <w:t xml:space="preserve">其中</w:t>
      </w:r>
      <w:r>
        <w:rPr>
          <w:rFonts w:hint="eastAsia" w:ascii="宋体" w:hAnsi="宋体"/>
          <w:sz w:val="21"/>
        </w:rPr>
        <w:t xml:space="preserve">最高</w:t>
      </w:r>
      <w:r>
        <w:rPr>
          <w:rFonts w:hint="eastAsia" w:ascii="宋体" w:hAnsi="宋体"/>
          <w:sz w:val="21"/>
        </w:rPr>
        <w:t xml:space="preserve">单价限价详见采购清单</w:t>
      </w:r>
      <w:r/>
    </w:p>
    <w:p>
      <w:pPr>
        <w:pStyle w:val="100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签订合同后60日历天内完成送货上门及安装调试。免费质量保证期为验收合格后三十六个月（双方签署验收报告时起算）。</w:t>
      </w:r>
      <w:r/>
    </w:p>
    <w:p>
      <w:pPr>
        <w:pStyle w:val="100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2026年度消防器材采购项目（</w:t>
      </w:r>
      <w:r>
        <w:rPr>
          <w:rFonts w:hint="eastAsia" w:ascii="宋体" w:hAnsi="宋体"/>
          <w:sz w:val="21"/>
          <w:szCs w:val="21"/>
        </w:rPr>
        <w:t xml:space="preserve">包4-包7</w:t>
      </w:r>
      <w:r>
        <w:rPr>
          <w:rFonts w:hint="eastAsia" w:ascii="宋体" w:hAnsi="宋体"/>
          <w:sz w:val="21"/>
          <w:szCs w:val="21"/>
        </w:rPr>
        <w:t xml:space="preserve">）</w:t>
      </w:r>
      <w:r>
        <w:rPr>
          <w:rFonts w:hint="eastAsia" w:ascii="宋体" w:hAnsi="宋体"/>
          <w:sz w:val="21"/>
          <w:szCs w:val="21"/>
        </w:rPr>
        <w:t xml:space="preserve">。包括</w:t>
      </w:r>
      <w:r>
        <w:rPr>
          <w:rFonts w:hint="eastAsia" w:ascii="宋体" w:hAnsi="宋体"/>
          <w:sz w:val="21"/>
          <w:szCs w:val="21"/>
        </w:rPr>
        <w:t xml:space="preserve">水域救援漂浮绳</w:t>
      </w:r>
      <w:r>
        <w:rPr>
          <w:rFonts w:hint="eastAsia" w:ascii="宋体" w:hAnsi="宋体"/>
          <w:sz w:val="21"/>
          <w:szCs w:val="21"/>
        </w:rPr>
        <w:t xml:space="preserve">、</w:t>
      </w:r>
      <w:r>
        <w:rPr>
          <w:rFonts w:hint="eastAsia" w:ascii="宋体" w:hAnsi="宋体"/>
          <w:sz w:val="21"/>
          <w:szCs w:val="21"/>
        </w:rPr>
        <w:t xml:space="preserve">气动起重气垫（方型）</w:t>
      </w:r>
      <w:r>
        <w:rPr>
          <w:rFonts w:hint="eastAsia" w:ascii="宋体" w:hAnsi="宋体"/>
          <w:sz w:val="21"/>
          <w:szCs w:val="21"/>
        </w:rPr>
        <w:t xml:space="preserve">、</w:t>
      </w:r>
      <w:r>
        <w:rPr>
          <w:rFonts w:hint="eastAsia" w:ascii="宋体" w:hAnsi="宋体"/>
          <w:sz w:val="21"/>
          <w:szCs w:val="21"/>
        </w:rPr>
        <w:t xml:space="preserve">机动链锯</w:t>
      </w:r>
      <w:r>
        <w:rPr>
          <w:rFonts w:hint="eastAsia" w:ascii="宋体" w:hAnsi="宋体"/>
          <w:sz w:val="21"/>
          <w:szCs w:val="21"/>
        </w:rPr>
        <w:t xml:space="preserve">、</w:t>
      </w:r>
      <w:r>
        <w:rPr>
          <w:rFonts w:hint="eastAsia" w:ascii="宋体" w:hAnsi="宋体"/>
          <w:sz w:val="21"/>
          <w:szCs w:val="21"/>
        </w:rPr>
        <w:t xml:space="preserve">液压破拆工具组</w:t>
      </w:r>
      <w:r>
        <w:rPr>
          <w:rFonts w:hint="eastAsia" w:ascii="宋体" w:hAnsi="宋体"/>
          <w:sz w:val="21"/>
          <w:szCs w:val="21"/>
        </w:rPr>
        <w:t xml:space="preserve">等</w:t>
      </w:r>
      <w:r>
        <w:rPr>
          <w:rFonts w:hint="eastAsia" w:ascii="宋体" w:hAnsi="宋体"/>
          <w:sz w:val="21"/>
          <w:szCs w:val="21"/>
        </w:rPr>
        <w:t xml:space="preserve">。</w:t>
      </w:r>
      <w:r/>
    </w:p>
    <w:p>
      <w:pPr>
        <w:pStyle w:val="100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6"/>
        <w:ind w:left="0" w:firstLine="420"/>
        <w:spacing w:line="360" w:lineRule="auto"/>
        <w:rPr>
          <w:rFonts w:ascii="宋体" w:hAnsi="宋体"/>
          <w:sz w:val="21"/>
          <w:szCs w:val="21"/>
        </w:rPr>
      </w:pPr>
      <w:r>
        <w:rPr>
          <w:rFonts w:hint="eastAsia" w:ascii="宋体" w:hAnsi="宋体"/>
          <w:sz w:val="21"/>
          <w:szCs w:val="21"/>
        </w:rPr>
        <w:t xml:space="preserve">3.方式：</w:t>
      </w:r>
      <w:r/>
    </w:p>
    <w:p>
      <w:pPr>
        <w:pStyle w:val="100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0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0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0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0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0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苏州市消防救援支队</w:t>
      </w:r>
      <w:r/>
    </w:p>
    <w:p>
      <w:pPr>
        <w:pStyle w:val="100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苏州市工业园区中新大道西198号</w:t>
      </w:r>
      <w:r/>
    </w:p>
    <w:p>
      <w:pPr>
        <w:pStyle w:val="100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周工</w:t>
      </w:r>
      <w:r/>
    </w:p>
    <w:p>
      <w:pPr>
        <w:pStyle w:val="100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0512-62765293</w:t>
      </w:r>
      <w:r/>
    </w:p>
    <w:p>
      <w:pPr>
        <w:pStyle w:val="100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rPr>
        <w:t xml:space="preserve">7</w:t>
      </w:r>
      <w:r>
        <w:rPr>
          <w:rFonts w:hint="eastAsia" w:ascii="宋体" w:hAnsi="宋体"/>
          <w:sz w:val="21"/>
          <w:szCs w:val="21"/>
        </w:rPr>
        <w:t xml:space="preserve">楼</w:t>
      </w:r>
      <w:r/>
    </w:p>
    <w:p>
      <w:pPr>
        <w:pStyle w:val="100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p>
    <w:p>
      <w:pPr>
        <w:pStyle w:val="100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6"/>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p>
    <w:p>
      <w:pPr>
        <w:pStyle w:val="1006"/>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pStyle w:val="1000"/>
        <w:ind w:left="0" w:firstLine="0"/>
      </w:pPr>
      <w:r/>
      <w:r/>
    </w:p>
    <w:p>
      <w:pPr>
        <w:ind w:left="0"/>
        <w:jc w:val="left"/>
        <w:rPr>
          <w:rFonts w:ascii="宋体" w:hAnsi="宋体"/>
          <w:b/>
          <w:sz w:val="44"/>
          <w:szCs w:val="22"/>
        </w:rPr>
      </w:pPr>
      <w:r/>
      <w:bookmarkStart w:id="6" w:name="_Toc2412"/>
      <w:r/>
      <w:bookmarkStart w:id="7" w:name="_Toc6217"/>
      <w:r/>
      <w:bookmarkStart w:id="8" w:name="_Toc105397777"/>
      <w:r>
        <w:rPr>
          <w:rFonts w:ascii="宋体" w:hAnsi="宋体"/>
          <w:b/>
          <w:sz w:val="44"/>
          <w:szCs w:val="22"/>
        </w:rPr>
        <w:br w:type="page" w:clear="all"/>
      </w:r>
      <w:r/>
    </w:p>
    <w:p>
      <w:pPr>
        <w:pStyle w:val="988"/>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1006"/>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1006"/>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100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6"/>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100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1006"/>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0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0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0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6"/>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0" w:name="OLE_LINK38"/>
      <w:r/>
      <w:bookmarkStart w:id="21" w:name="OLE_LINK41"/>
      <w:r/>
      <w:bookmarkStart w:id="2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3"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0"/>
      <w:r/>
      <w:bookmarkEnd w:id="21"/>
      <w:r/>
      <w:bookmarkEnd w:id="22"/>
      <w:r/>
      <w:bookmarkEnd w:id="23"/>
      <w:r>
        <w:rPr>
          <w:rFonts w:hint="eastAsia" w:ascii="宋体" w:hAnsi="宋体"/>
          <w:b/>
          <w:sz w:val="21"/>
          <w:szCs w:val="21"/>
        </w:rPr>
        <w:t xml:space="preserve">与质疑函一起递交，否则不予受理。</w:t>
      </w:r>
      <w:r/>
    </w:p>
    <w:p>
      <w:pPr>
        <w:pStyle w:val="100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6"/>
        <w:ind w:left="0" w:firstLine="422"/>
        <w:spacing w:line="360" w:lineRule="auto"/>
        <w:rPr>
          <w:rFonts w:ascii="宋体" w:hAnsi="宋体"/>
          <w:b/>
          <w:sz w:val="21"/>
          <w:szCs w:val="21"/>
        </w:rPr>
      </w:pPr>
      <w:r>
        <w:rPr>
          <w:rFonts w:hint="eastAsia" w:ascii="宋体" w:hAnsi="宋体"/>
          <w:b/>
          <w:sz w:val="21"/>
          <w:szCs w:val="21"/>
        </w:rPr>
        <w:t xml:space="preserve">本项目的质疑由采购人负责答复。</w:t>
      </w:r>
      <w:r/>
    </w:p>
    <w:p>
      <w:pPr>
        <w:pStyle w:val="1006"/>
        <w:ind w:left="0" w:firstLine="422"/>
        <w:spacing w:line="360" w:lineRule="auto"/>
        <w:rPr>
          <w:rFonts w:ascii="宋体" w:hAnsi="宋体"/>
          <w:b/>
          <w:sz w:val="21"/>
          <w:szCs w:val="21"/>
        </w:rPr>
      </w:pPr>
      <w:r>
        <w:rPr>
          <w:rFonts w:hint="eastAsia" w:ascii="宋体" w:hAnsi="宋体"/>
          <w:b/>
          <w:sz w:val="21"/>
          <w:szCs w:val="21"/>
        </w:rPr>
        <w:t xml:space="preserve">质疑联系人：</w:t>
      </w:r>
      <w:r>
        <w:rPr>
          <w:rFonts w:hint="eastAsia" w:ascii="宋体" w:hAnsi="宋体"/>
          <w:b/>
          <w:sz w:val="21"/>
          <w:szCs w:val="21"/>
        </w:rPr>
        <w:t xml:space="preserve">周工</w:t>
      </w:r>
      <w:r/>
    </w:p>
    <w:p>
      <w:pPr>
        <w:pStyle w:val="1006"/>
        <w:ind w:left="0" w:firstLine="422"/>
        <w:spacing w:line="360" w:lineRule="auto"/>
        <w:rPr>
          <w:rFonts w:ascii="宋体" w:hAnsi="宋体"/>
          <w:b/>
          <w:sz w:val="21"/>
          <w:szCs w:val="21"/>
        </w:rPr>
      </w:pPr>
      <w:r/>
      <w:bookmarkStart w:id="24" w:name="OLE_LINK32"/>
      <w:r/>
      <w:bookmarkStart w:id="25" w:name="OLE_LINK33"/>
      <w:r/>
      <w:bookmarkStart w:id="26" w:name="OLE_LINK35"/>
      <w:r/>
      <w:bookmarkStart w:id="27" w:name="OLE_LINK20"/>
      <w:r>
        <w:rPr>
          <w:rFonts w:hint="eastAsia" w:ascii="宋体" w:hAnsi="宋体"/>
          <w:b/>
          <w:sz w:val="21"/>
          <w:szCs w:val="21"/>
        </w:rPr>
        <w:t xml:space="preserve">联系电话</w:t>
      </w:r>
      <w:r>
        <w:rPr>
          <w:rFonts w:hint="eastAsia" w:ascii="宋体" w:hAnsi="宋体"/>
          <w:b/>
          <w:sz w:val="21"/>
          <w:szCs w:val="21"/>
        </w:rPr>
        <w:t xml:space="preserve">：</w:t>
      </w:r>
      <w:r>
        <w:rPr>
          <w:rFonts w:ascii="宋体" w:hAnsi="宋体"/>
          <w:b/>
          <w:sz w:val="21"/>
          <w:szCs w:val="21"/>
        </w:rPr>
        <w:t xml:space="preserve">0512-62765293</w:t>
      </w:r>
      <w:r/>
    </w:p>
    <w:p>
      <w:pPr>
        <w:pStyle w:val="100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苏州市工业园区中新大道西198号</w:t>
      </w:r>
      <w:bookmarkEnd w:id="24"/>
      <w:bookmarkEnd w:id="25"/>
      <w:bookmarkEnd w:id="26"/>
      <w:bookmarkEnd w:id="27"/>
      <w:r/>
    </w:p>
    <w:p>
      <w:pPr>
        <w:pStyle w:val="100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0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14.1.5.5参加本次政府采购活动前3年内在经营活动中，投标人和其单位负责人无行贿犯罪行为的。</w:t>
      </w:r>
      <w:r/>
    </w:p>
    <w:p>
      <w:pPr>
        <w:ind w:left="0"/>
        <w:spacing w:line="360" w:lineRule="auto"/>
        <w:rPr>
          <w:rFonts w:ascii="宋体" w:hAnsi="宋体"/>
          <w:sz w:val="21"/>
          <w:szCs w:val="21"/>
        </w:rPr>
      </w:pPr>
      <w:r>
        <w:rPr>
          <w:rFonts w:hint="eastAsia" w:ascii="宋体" w:hAnsi="宋体"/>
          <w:sz w:val="21"/>
          <w:szCs w:val="21"/>
        </w:rPr>
        <w:t xml:space="preserve">须提供承诺函（声明函）（格式见第三章）。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8" w:name="_Toc25608"/>
      <w:r/>
      <w:bookmarkStart w:id="29"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22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0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0" w:name="_Toc22837"/>
      <w:r/>
      <w:bookmarkStart w:id="31"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2"/>
        <w:ind w:left="0" w:firstLine="422"/>
        <w:spacing w:line="360" w:lineRule="auto"/>
        <w:rPr>
          <w:rFonts w:ascii="宋体" w:hAnsi="宋体" w:cs="宋体"/>
          <w:b/>
          <w:color w:val="000000" w:themeColor="text1"/>
          <w:sz w:val="21"/>
          <w:szCs w:val="21"/>
        </w:rPr>
      </w:pPr>
      <w:r/>
      <w:bookmarkStart w:id="32"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3" w:name="OLE_LINK5"/>
      <w:r/>
      <w:bookmarkStart w:id="34" w:name="OLE_LINK6"/>
      <w:r>
        <w:rPr>
          <w:rFonts w:hint="eastAsia" w:ascii="宋体" w:hAnsi="宋体" w:cs="宋体"/>
          <w:b/>
          <w:color w:val="000000" w:themeColor="text1"/>
          <w:sz w:val="21"/>
          <w:szCs w:val="21"/>
          <w:lang w:val="en-US"/>
        </w:rPr>
        <w:t xml:space="preserve">评标</w:t>
      </w:r>
      <w:bookmarkEnd w:id="33"/>
      <w:r/>
      <w:bookmarkEnd w:id="34"/>
      <w:r>
        <w:rPr>
          <w:rFonts w:hint="eastAsia" w:ascii="宋体" w:hAnsi="宋体" w:cs="宋体"/>
          <w:b/>
          <w:color w:val="000000" w:themeColor="text1"/>
          <w:sz w:val="21"/>
          <w:szCs w:val="21"/>
          <w:lang w:val="en-US"/>
        </w:rPr>
        <w:t xml:space="preserve">委员会应当启动异常低价投标审查程序：</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22"/>
        <w:ind w:left="0" w:firstLine="422"/>
        <w:spacing w:line="360" w:lineRule="auto"/>
        <w:rPr>
          <w:color w:val="333333"/>
          <w:shd w:val="clear" w:color="auto" w:fill="ffffff"/>
        </w:rPr>
      </w:pPr>
      <w:r/>
      <w:bookmarkStart w:id="35" w:name="OLE_LINK3"/>
      <w:r/>
      <w:bookmarkStart w:id="36"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7" w:name="OLE_LINK1"/>
      <w:r/>
      <w:bookmarkStart w:id="38" w:name="OLE_LINK2"/>
      <w:r>
        <w:rPr>
          <w:rFonts w:hint="eastAsia" w:ascii="宋体" w:hAnsi="宋体"/>
          <w:b/>
          <w:color w:val="000000" w:themeColor="text1"/>
          <w:sz w:val="21"/>
          <w:szCs w:val="21"/>
        </w:rPr>
        <w:t xml:space="preserve">评标委员会</w:t>
      </w:r>
      <w:bookmarkEnd w:id="37"/>
      <w:r/>
      <w:bookmarkEnd w:id="38"/>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39" w:name="OLE_LINK9"/>
      <w:r/>
      <w:bookmarkStart w:id="40" w:name="OLE_LINK10"/>
      <w:r>
        <w:rPr>
          <w:rFonts w:hint="eastAsia" w:ascii="宋体" w:hAnsi="宋体"/>
          <w:b/>
          <w:color w:val="000000" w:themeColor="text1"/>
          <w:sz w:val="21"/>
          <w:szCs w:val="21"/>
        </w:rPr>
        <w:t xml:space="preserve">，</w:t>
      </w:r>
      <w:bookmarkEnd w:id="39"/>
      <w:r/>
      <w:bookmarkEnd w:id="40"/>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2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5"/>
      <w:r/>
      <w:bookmarkEnd w:id="36"/>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2"/>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1" w:name="_Toc18442"/>
      <w:r/>
      <w:bookmarkStart w:id="42" w:name="_Toc19501"/>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1"/>
      <w:r/>
      <w:bookmarkEnd w:id="42"/>
      <w:r/>
      <w:r/>
    </w:p>
    <w:p>
      <w:pPr>
        <w:pStyle w:val="122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3" w:name="_Toc8186"/>
      <w:r/>
      <w:bookmarkStart w:id="44" w:name="_Toc21029"/>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3"/>
      <w:r/>
      <w:bookmarkEnd w:id="44"/>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由苏州市政府集中采购中心代理，由苏州采购服务有限公司支付专家评审费并提供本项目评审活动所需场地及必要的设施设备。本项目中标供应商无需向苏州市政府集中采购中心缴纳采购代理费，需向苏州采购服务有限公司支付服务费，服务费以本项目采购预算金额为基数，按以下收费标准（差额定率累进法）计算：</w:t>
      </w:r>
      <w:r>
        <w:rPr>
          <w:rFonts w:hint="eastAsia" w:ascii="宋体" w:hAnsi="宋体" w:cs="宋体"/>
          <w:sz w:val="21"/>
          <w:szCs w:val="21"/>
        </w:rPr>
        <w:t xml:space="preserve">预算金额100万元以下部分，费率为该部分预算金额的1.5%；预算金额100万元（含）至500万元部分，费率为该部分预算金额的1.1%；预算金额500万元（含）至1000万元部分，费率为该部分预算金额的0.8%；预算金额1000万元（含）至5000万元部分，费率为该部分预算金额的0.5%。按上述方法计算的费用低于人民币3000元的，按人民币3000元计收</w:t>
      </w:r>
      <w:r>
        <w:rPr>
          <w:rFonts w:hint="eastAsia" w:ascii="宋体" w:hAnsi="宋体" w:cs="宋体"/>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本项目预算金额</w:t>
      </w:r>
      <w:r>
        <w:rPr>
          <w:rFonts w:ascii="宋体" w:hAnsi="宋体" w:cs="宋体"/>
          <w:b/>
          <w:sz w:val="21"/>
          <w:szCs w:val="21"/>
        </w:rPr>
        <w:t xml:space="preserve">1058.17</w:t>
      </w:r>
      <w:r>
        <w:rPr>
          <w:rFonts w:hint="eastAsia" w:ascii="宋体" w:hAnsi="宋体" w:cs="宋体"/>
          <w:b/>
          <w:sz w:val="21"/>
          <w:szCs w:val="21"/>
        </w:rPr>
        <w:t xml:space="preserve">万元，其中</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第一标段</w:t>
      </w:r>
      <w:r>
        <w:rPr>
          <w:rFonts w:hint="eastAsia" w:ascii="宋体" w:hAnsi="宋体" w:cs="宋体"/>
          <w:b/>
          <w:sz w:val="21"/>
          <w:szCs w:val="21"/>
        </w:rPr>
        <w:t xml:space="preserve">：</w:t>
      </w:r>
      <w:r>
        <w:rPr>
          <w:rFonts w:ascii="宋体" w:hAnsi="宋体" w:cs="宋体"/>
          <w:b/>
          <w:sz w:val="21"/>
          <w:szCs w:val="21"/>
        </w:rPr>
        <w:t xml:space="preserve">310.31</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第二标段</w:t>
      </w:r>
      <w:r>
        <w:rPr>
          <w:rFonts w:hint="eastAsia" w:ascii="宋体" w:hAnsi="宋体" w:cs="宋体"/>
          <w:b/>
          <w:sz w:val="21"/>
          <w:szCs w:val="21"/>
        </w:rPr>
        <w:t xml:space="preserve">：</w:t>
      </w:r>
      <w:r>
        <w:rPr>
          <w:rFonts w:ascii="宋体" w:hAnsi="宋体" w:cs="宋体"/>
          <w:b/>
          <w:sz w:val="21"/>
          <w:szCs w:val="21"/>
        </w:rPr>
        <w:t xml:space="preserve">91</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第三标段</w:t>
      </w:r>
      <w:r>
        <w:rPr>
          <w:rFonts w:hint="eastAsia" w:ascii="宋体" w:hAnsi="宋体" w:cs="宋体"/>
          <w:b/>
          <w:sz w:val="21"/>
          <w:szCs w:val="21"/>
        </w:rPr>
        <w:t xml:space="preserve">：176.86万元</w:t>
      </w:r>
      <w:r>
        <w:rPr>
          <w:rFonts w:hint="eastAsia" w:ascii="宋体" w:hAnsi="宋体" w:cs="宋体"/>
          <w:b/>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第四标段</w:t>
      </w:r>
      <w:r>
        <w:rPr>
          <w:rFonts w:hint="eastAsia" w:ascii="宋体" w:hAnsi="宋体" w:cs="宋体"/>
          <w:b/>
          <w:sz w:val="21"/>
          <w:szCs w:val="21"/>
        </w:rPr>
        <w:t xml:space="preserve">：</w:t>
      </w:r>
      <w:r>
        <w:rPr>
          <w:rFonts w:ascii="宋体" w:hAnsi="宋体" w:cs="宋体"/>
          <w:b/>
          <w:sz w:val="21"/>
          <w:szCs w:val="21"/>
        </w:rPr>
        <w:t xml:space="preserve">480</w:t>
      </w:r>
      <w:r>
        <w:rPr>
          <w:rFonts w:hint="eastAsia" w:ascii="宋体" w:hAnsi="宋体" w:cs="宋体"/>
          <w:b/>
          <w:sz w:val="21"/>
          <w:szCs w:val="21"/>
        </w:rPr>
        <w:t xml:space="preserve">万元。</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费用计算公式：</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第一标段</w:t>
      </w:r>
      <w:r>
        <w:rPr>
          <w:rFonts w:hint="eastAsia" w:ascii="宋体" w:hAnsi="宋体" w:cs="宋体"/>
          <w:sz w:val="21"/>
          <w:szCs w:val="21"/>
        </w:rPr>
        <w:t xml:space="preserve">：（100万元×1.5%）+（</w:t>
      </w:r>
      <w:r>
        <w:rPr>
          <w:rFonts w:ascii="宋体" w:hAnsi="宋体" w:cs="宋体"/>
          <w:sz w:val="21"/>
          <w:szCs w:val="21"/>
        </w:rPr>
        <w:t xml:space="preserve">310.31</w:t>
      </w:r>
      <w:r>
        <w:rPr>
          <w:rFonts w:hint="eastAsia" w:ascii="宋体" w:hAnsi="宋体" w:cs="宋体"/>
          <w:sz w:val="21"/>
          <w:szCs w:val="21"/>
        </w:rPr>
        <w:t xml:space="preserve">万元-100万元）×1.1%=</w:t>
      </w:r>
      <w:r>
        <w:rPr>
          <w:rFonts w:ascii="宋体" w:hAnsi="宋体" w:cs="宋体"/>
          <w:sz w:val="21"/>
          <w:szCs w:val="21"/>
        </w:rPr>
        <w:t xml:space="preserve">3.</w:t>
      </w:r>
      <w:r>
        <w:rPr>
          <w:rFonts w:ascii="宋体" w:hAnsi="宋体" w:cs="宋体"/>
          <w:sz w:val="21"/>
          <w:szCs w:val="21"/>
        </w:rPr>
        <w:t xml:space="preserve">81</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第二标段</w:t>
      </w:r>
      <w:r>
        <w:rPr>
          <w:rFonts w:hint="eastAsia" w:ascii="宋体" w:hAnsi="宋体" w:cs="宋体"/>
          <w:sz w:val="21"/>
          <w:szCs w:val="21"/>
        </w:rPr>
        <w:t xml:space="preserve">：（</w:t>
      </w:r>
      <w:r>
        <w:rPr>
          <w:rFonts w:ascii="宋体" w:hAnsi="宋体" w:cs="宋体"/>
          <w:sz w:val="21"/>
          <w:szCs w:val="21"/>
        </w:rPr>
        <w:t xml:space="preserve">91</w:t>
      </w:r>
      <w:r>
        <w:rPr>
          <w:rFonts w:hint="eastAsia" w:ascii="宋体" w:hAnsi="宋体" w:cs="宋体"/>
          <w:sz w:val="21"/>
          <w:szCs w:val="21"/>
        </w:rPr>
        <w:t xml:space="preserve">万元×1.5%）=</w:t>
      </w:r>
      <w:r>
        <w:rPr>
          <w:rFonts w:ascii="宋体" w:hAnsi="宋体" w:cs="宋体"/>
          <w:sz w:val="21"/>
          <w:szCs w:val="21"/>
        </w:rPr>
        <w:t xml:space="preserve">1.37</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第三标段</w:t>
      </w:r>
      <w:r>
        <w:rPr>
          <w:rFonts w:hint="eastAsia" w:ascii="宋体" w:hAnsi="宋体" w:cs="宋体"/>
          <w:sz w:val="21"/>
          <w:szCs w:val="21"/>
        </w:rPr>
        <w:t xml:space="preserve">：（100万元×1.5%）+（</w:t>
      </w:r>
      <w:r>
        <w:rPr>
          <w:rFonts w:ascii="宋体" w:hAnsi="宋体" w:cs="宋体"/>
          <w:sz w:val="21"/>
          <w:szCs w:val="21"/>
        </w:rPr>
        <w:t xml:space="preserve">176.86</w:t>
      </w:r>
      <w:r>
        <w:rPr>
          <w:rFonts w:hint="eastAsia" w:ascii="宋体" w:hAnsi="宋体" w:cs="宋体"/>
          <w:sz w:val="21"/>
          <w:szCs w:val="21"/>
        </w:rPr>
        <w:t xml:space="preserve">万元-100万元）×1.1%=</w:t>
      </w:r>
      <w:r>
        <w:rPr>
          <w:rFonts w:ascii="宋体" w:hAnsi="宋体" w:cs="宋体"/>
          <w:sz w:val="21"/>
          <w:szCs w:val="21"/>
        </w:rPr>
        <w:t xml:space="preserve">2.35</w:t>
      </w:r>
      <w:r>
        <w:rPr>
          <w:rFonts w:hint="eastAsia" w:ascii="宋体" w:hAnsi="宋体" w:cs="宋体"/>
          <w:sz w:val="21"/>
          <w:szCs w:val="21"/>
        </w:rPr>
        <w:t xml:space="preserve">万元（小数点保留后两位，四舍五入）</w:t>
      </w:r>
      <w:r>
        <w:rPr>
          <w:rFonts w:hint="eastAsia" w:ascii="宋体" w:hAnsi="宋体" w:cs="宋体"/>
          <w:sz w:val="21"/>
          <w:szCs w:val="21"/>
        </w:rPr>
        <w:t xml:space="preserve">；</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第四标段</w:t>
      </w:r>
      <w:r>
        <w:rPr>
          <w:rFonts w:hint="eastAsia" w:ascii="宋体" w:hAnsi="宋体" w:cs="宋体"/>
          <w:sz w:val="21"/>
          <w:szCs w:val="21"/>
        </w:rPr>
        <w:t xml:space="preserve">：（100万元×1.5%）+（</w:t>
      </w:r>
      <w:r>
        <w:rPr>
          <w:rFonts w:ascii="宋体" w:hAnsi="宋体" w:cs="宋体"/>
          <w:sz w:val="21"/>
          <w:szCs w:val="21"/>
        </w:rPr>
        <w:t xml:space="preserve">480</w:t>
      </w:r>
      <w:r>
        <w:rPr>
          <w:rFonts w:hint="eastAsia" w:ascii="宋体" w:hAnsi="宋体" w:cs="宋体"/>
          <w:sz w:val="21"/>
          <w:szCs w:val="21"/>
        </w:rPr>
        <w:t xml:space="preserve">万元-100万元）×1.1%=</w:t>
      </w:r>
      <w:r>
        <w:rPr>
          <w:rFonts w:ascii="宋体" w:hAnsi="宋体" w:cs="宋体"/>
          <w:sz w:val="21"/>
          <w:szCs w:val="21"/>
        </w:rPr>
        <w:t xml:space="preserve">5.68</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请中标供应商于领取中标通知书时向苏州采购服务有限公司一次性支付服务费。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收款账号信息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账户名：苏州采购服务有限公司</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开户银行名称：交通银行苏州高新技术产业开发区支行</w:t>
      </w:r>
      <w:r/>
    </w:p>
    <w:p>
      <w:pPr>
        <w:pStyle w:val="1222"/>
        <w:ind w:left="0" w:firstLine="420"/>
        <w:spacing w:line="360" w:lineRule="auto"/>
        <w:rPr>
          <w:rFonts w:ascii="宋体" w:hAnsi="宋体" w:cs="宋体"/>
          <w:b/>
          <w:sz w:val="21"/>
          <w:szCs w:val="21"/>
          <w:lang w:val="en-US"/>
        </w:rPr>
      </w:pPr>
      <w:r>
        <w:rPr>
          <w:rFonts w:hint="eastAsia" w:ascii="宋体" w:hAnsi="宋体" w:cs="宋体"/>
          <w:sz w:val="21"/>
          <w:szCs w:val="21"/>
        </w:rPr>
        <w:t xml:space="preserve">账号：325604000013001662258</w:t>
      </w:r>
      <w:r>
        <w:rPr>
          <w:rFonts w:hint="eastAsia" w:ascii="宋体" w:hAnsi="宋体" w:cs="宋体"/>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2"/>
        <w:ind w:left="0" w:firstLine="0"/>
        <w:spacing w:line="360" w:lineRule="auto"/>
        <w:rPr>
          <w:rFonts w:ascii="宋体" w:hAnsi="宋体" w:cs="宋体"/>
          <w:sz w:val="21"/>
          <w:szCs w:val="21"/>
        </w:rPr>
      </w:pPr>
      <w:r>
        <w:rPr>
          <w:rFonts w:ascii="宋体" w:hAnsi="宋体" w:cs="宋体"/>
          <w:sz w:val="21"/>
          <w:szCs w:val="21"/>
        </w:rPr>
      </w:r>
      <w:r/>
    </w:p>
    <w:p>
      <w:pPr>
        <w:pStyle w:val="1222"/>
        <w:ind w:left="0" w:firstLine="0"/>
        <w:spacing w:line="360" w:lineRule="auto"/>
        <w:rPr>
          <w:rFonts w:ascii="宋体" w:hAnsi="宋体" w:cs="宋体"/>
          <w:sz w:val="21"/>
          <w:szCs w:val="21"/>
        </w:rPr>
      </w:pPr>
      <w:r>
        <w:rPr>
          <w:rFonts w:ascii="宋体" w:hAnsi="宋体" w:cs="宋体"/>
          <w:sz w:val="21"/>
          <w:szCs w:val="21"/>
        </w:rPr>
      </w:r>
      <w:r/>
    </w:p>
    <w:p>
      <w:pPr>
        <w:pStyle w:val="988"/>
        <w:ind w:left="0" w:firstLine="0"/>
        <w:jc w:val="center"/>
        <w:rPr>
          <w:rFonts w:ascii="宋体" w:hAnsi="宋体"/>
          <w:sz w:val="21"/>
          <w:szCs w:val="21"/>
          <w:lang w:val="zh-CN"/>
        </w:rPr>
      </w:pPr>
      <w:r/>
      <w:bookmarkStart w:id="45" w:name="_Toc7264"/>
      <w:r/>
      <w:bookmarkStart w:id="46" w:name="_Toc105397778"/>
      <w:r/>
      <w:bookmarkStart w:id="47" w:name="_Toc24711"/>
      <w:r>
        <w:rPr>
          <w:rFonts w:hint="eastAsia" w:ascii="宋体" w:hAnsi="宋体"/>
          <w:b/>
          <w:sz w:val="44"/>
          <w:szCs w:val="22"/>
        </w:rPr>
        <w:br w:type="page" w:clear="all"/>
      </w:r>
      <w:r>
        <w:rPr>
          <w:rFonts w:hint="eastAsia" w:ascii="宋体" w:hAnsi="宋体"/>
          <w:b/>
          <w:sz w:val="44"/>
          <w:szCs w:val="22"/>
        </w:rPr>
        <w:t xml:space="preserve">第三章  </w:t>
      </w:r>
      <w:bookmarkStart w:id="48" w:name="投标文件格式"/>
      <w:r/>
      <w:bookmarkEnd w:id="48"/>
      <w:r>
        <w:rPr>
          <w:rFonts w:hint="eastAsia" w:ascii="宋体" w:hAnsi="宋体"/>
          <w:b/>
          <w:sz w:val="44"/>
          <w:szCs w:val="22"/>
        </w:rPr>
        <w:t xml:space="preserve">投标文件格式</w:t>
      </w:r>
      <w:bookmarkEnd w:id="45"/>
      <w:r/>
      <w:bookmarkEnd w:id="46"/>
      <w:r/>
      <w:bookmarkEnd w:id="47"/>
      <w:r/>
      <w:r/>
    </w:p>
    <w:p>
      <w:pPr>
        <w:ind w:left="0"/>
        <w:spacing w:line="440" w:lineRule="exact"/>
        <w:rPr>
          <w:rFonts w:ascii="宋体" w:hAnsi="宋体"/>
          <w:b/>
          <w:sz w:val="21"/>
          <w:szCs w:val="21"/>
        </w:rPr>
      </w:pPr>
      <w:r>
        <w:rPr>
          <w:rFonts w:ascii="宋体" w:hAnsi="宋体"/>
          <w:b/>
          <w:sz w:val="21"/>
          <w:szCs w:val="21"/>
        </w:rPr>
        <w:t xml:space="preserve">说明：</w:t>
      </w:r>
      <w:r/>
    </w:p>
    <w:p>
      <w:pPr>
        <w:pStyle w:val="122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9" w:name="_Toc71810480"/>
      <w:r/>
      <w:bookmarkStart w:id="50" w:name="_Toc3821"/>
      <w:r/>
      <w:bookmarkStart w:id="51" w:name="_Toc17036"/>
      <w:r/>
      <w:bookmarkStart w:id="52" w:name="_Toc105397779"/>
      <w:r>
        <w:rPr>
          <w:rFonts w:hint="eastAsia" w:ascii="宋体" w:hAnsi="宋体"/>
          <w:b/>
          <w:sz w:val="21"/>
          <w:szCs w:val="21"/>
        </w:rPr>
        <w:t xml:space="preserve">附件1.投标函</w:t>
      </w:r>
      <w:bookmarkEnd w:id="49"/>
      <w:r/>
      <w:bookmarkEnd w:id="50"/>
      <w:r/>
      <w:bookmarkEnd w:id="51"/>
      <w:r/>
      <w:bookmarkEnd w:id="5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3" w:name="_Toc105397780"/>
      <w:r/>
      <w:bookmarkStart w:id="54"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5" w:name="TBR"/>
      <w:r/>
      <w:bookmarkEnd w:id="5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6" w:name="XMBH"/>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标段</w:t>
      </w:r>
      <w:r>
        <w:rPr>
          <w:rFonts w:hint="eastAsia" w:ascii="宋体" w:hAnsi="宋体"/>
          <w:sz w:val="21"/>
          <w:szCs w:val="21"/>
          <w:lang w:val="zh-CN"/>
        </w:rPr>
        <w:t xml:space="preserve">号：</w:t>
      </w:r>
      <w:bookmarkStart w:id="57" w:name="FBH"/>
      <w:r/>
      <w:bookmarkEnd w:id="5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8" w:name="XMMC"/>
            <w:r/>
            <w:bookmarkEnd w:id="5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9" w:name="JEXX"/>
            <w:r/>
            <w:bookmarkEnd w:id="5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0" w:name="JEDX"/>
            <w:r/>
            <w:bookmarkEnd w:id="6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1" w:name="NF"/>
      <w:r/>
      <w:bookmarkEnd w:id="61"/>
      <w:r>
        <w:rPr>
          <w:rFonts w:hint="eastAsia" w:ascii="宋体" w:hAnsi="宋体"/>
          <w:sz w:val="21"/>
          <w:szCs w:val="21"/>
        </w:rPr>
        <w:t xml:space="preserve"> 年 </w:t>
      </w:r>
      <w:bookmarkStart w:id="62" w:name="YF"/>
      <w:r/>
      <w:bookmarkEnd w:id="6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3" w:name="RI"/>
      <w:r/>
      <w:bookmarkEnd w:id="6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4"/>
        <w:rPr>
          <w:rFonts w:ascii="宋体" w:hAnsi="宋体"/>
        </w:rPr>
      </w:pPr>
      <w:r>
        <w:rPr>
          <w:rFonts w:ascii="宋体" w:hAnsi="宋体"/>
        </w:rPr>
      </w:r>
      <w:r/>
    </w:p>
    <w:p>
      <w:pPr>
        <w:ind w:left="0"/>
        <w:spacing w:line="440" w:lineRule="exact"/>
        <w:rPr>
          <w:rFonts w:ascii="宋体" w:hAnsi="宋体"/>
          <w:b/>
          <w:sz w:val="21"/>
          <w:szCs w:val="21"/>
        </w:rPr>
      </w:pPr>
      <w:r/>
      <w:bookmarkStart w:id="64" w:name="_Toc241"/>
      <w:r/>
      <w:bookmarkStart w:id="65" w:name="_Toc7945"/>
      <w:r/>
      <w:bookmarkStart w:id="6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7" w:name="_Toc105397781"/>
      <w:r>
        <w:rPr>
          <w:rFonts w:ascii="宋体" w:hAnsi="宋体"/>
          <w:b/>
          <w:sz w:val="21"/>
          <w:szCs w:val="21"/>
        </w:rPr>
        <w:t xml:space="preserve">附件3</w:t>
      </w:r>
      <w:bookmarkEnd w:id="64"/>
      <w:r/>
      <w:bookmarkEnd w:id="65"/>
      <w:r>
        <w:rPr>
          <w:rFonts w:hint="eastAsia" w:ascii="宋体" w:hAnsi="宋体"/>
          <w:b/>
          <w:sz w:val="21"/>
          <w:szCs w:val="21"/>
        </w:rPr>
        <w:t xml:space="preserve">.</w:t>
      </w:r>
      <w:bookmarkEnd w:id="66"/>
      <w:r/>
      <w:bookmarkEnd w:id="67"/>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68" w:name="OLE_LINK27"/>
      <w:r/>
      <w:bookmarkStart w:id="69" w:name="OLE_LINK28"/>
      <w:r>
        <w:rPr>
          <w:rFonts w:hint="eastAsia" w:ascii="宋体" w:hAnsi="宋体"/>
          <w:b/>
          <w:sz w:val="21"/>
          <w:szCs w:val="21"/>
        </w:rPr>
        <w:t xml:space="preserve">公开分项报价</w:t>
      </w:r>
      <w:bookmarkEnd w:id="68"/>
      <w:bookmarkEnd w:id="69"/>
      <w:r/>
    </w:p>
    <w:p>
      <w:pPr>
        <w:pStyle w:val="1014"/>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rPr>
        <w:t xml:space="preserve"> </w:t>
      </w:r>
      <w:r>
        <w:rPr>
          <w:rFonts w:hint="eastAsia" w:ascii="宋体" w:hAnsi="宋体"/>
          <w:b/>
          <w:sz w:val="21"/>
          <w:szCs w:val="21"/>
        </w:rPr>
        <w:t xml:space="preserve">公开分项报价中的单价报价不可高于最高单价限价</w:t>
      </w:r>
      <w:r>
        <w:rPr>
          <w:rFonts w:hint="eastAsia" w:ascii="宋体" w:hAnsi="宋体"/>
          <w:b/>
          <w:sz w:val="21"/>
          <w:szCs w:val="21"/>
        </w:rPr>
        <w:t xml:space="preserve">（</w:t>
      </w:r>
      <w:r>
        <w:rPr>
          <w:rFonts w:hint="eastAsia" w:ascii="宋体" w:hAnsi="宋体"/>
          <w:b/>
          <w:sz w:val="21"/>
          <w:szCs w:val="21"/>
        </w:rPr>
        <w:t xml:space="preserve">最高单价限价详见采购清单</w:t>
      </w:r>
      <w:r>
        <w:rPr>
          <w:rFonts w:hint="eastAsia" w:ascii="宋体" w:hAnsi="宋体"/>
          <w:b/>
          <w:sz w:val="21"/>
          <w:szCs w:val="21"/>
        </w:rPr>
        <w:t xml:space="preserve">）</w:t>
      </w:r>
      <w:r>
        <w:rPr>
          <w:rFonts w:hint="eastAsia" w:ascii="宋体" w:hAnsi="宋体"/>
          <w:b/>
          <w:sz w:val="21"/>
          <w:szCs w:val="21"/>
        </w:rPr>
        <w:t xml:space="preserve">，否则为非实质性响应，投标无效。</w:t>
      </w:r>
      <w:r/>
    </w:p>
    <w:p>
      <w:pPr>
        <w:ind w:left="0" w:firstLine="422"/>
        <w:spacing w:line="360" w:lineRule="auto"/>
        <w:widowControl w:val="off"/>
        <w:rPr>
          <w:rFonts w:ascii="宋体" w:hAnsi="宋体"/>
          <w:b/>
          <w:sz w:val="21"/>
          <w:szCs w:val="21"/>
        </w:rPr>
      </w:pPr>
      <w:r>
        <w:rPr>
          <w:rFonts w:ascii="宋体" w:hAnsi="宋体"/>
          <w:b/>
          <w:sz w:val="21"/>
          <w:szCs w:val="21"/>
        </w:rPr>
        <w:t xml:space="preserve">4</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.投标人需认真填写本报价表，尤其注意规格型号的准确填写。</w:t>
      </w:r>
      <w:r/>
    </w:p>
    <w:p>
      <w:pPr>
        <w:ind w:left="0"/>
        <w:rPr>
          <w:rFonts w:ascii="宋体" w:hAnsi="宋体"/>
          <w:sz w:val="21"/>
          <w:szCs w:val="21"/>
        </w:rPr>
        <w:outlineLvl w:val="0"/>
      </w:pPr>
      <w:r>
        <w:rPr>
          <w:rFonts w:ascii="宋体" w:hAnsi="宋体"/>
          <w:b/>
          <w:sz w:val="21"/>
          <w:szCs w:val="21"/>
        </w:rPr>
        <w:br w:type="page" w:clear="all"/>
      </w:r>
      <w:bookmarkStart w:id="70" w:name="_Toc71810483"/>
      <w:r/>
      <w:bookmarkStart w:id="71"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2" w:name="_Toc21574"/>
      <w:r/>
      <w:bookmarkStart w:id="73" w:name="_Toc19621"/>
      <w:r/>
      <w:bookmarkStart w:id="74" w:name="_Toc105397783"/>
      <w:r/>
      <w:bookmarkStart w:id="75"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2"/>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rPr>
          <w:rFonts w:hint="eastAsia" w:ascii="宋体" w:hAnsi="宋体"/>
          <w:b/>
          <w:sz w:val="21"/>
          <w:szCs w:val="21"/>
        </w:rPr>
        <w:t xml:space="preserve">（第_</w:t>
      </w:r>
      <w:r>
        <w:rPr>
          <w:rFonts w:ascii="宋体" w:hAnsi="宋体"/>
          <w:b/>
          <w:sz w:val="21"/>
          <w:szCs w:val="21"/>
        </w:rPr>
        <w:t xml:space="preserve">1</w:t>
      </w:r>
      <w:r>
        <w:rPr>
          <w:rFonts w:ascii="宋体" w:hAnsi="宋体"/>
          <w:b/>
          <w:sz w:val="21"/>
          <w:szCs w:val="21"/>
        </w:rPr>
        <w:t xml:space="preserve">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ab/>
      </w:r>
      <w:r>
        <w:rPr>
          <w:rFonts w:hint="eastAsia" w:ascii="宋体" w:hAnsi="宋体"/>
          <w:b/>
          <w:sz w:val="21"/>
          <w:szCs w:val="21"/>
          <w:u w:val="single"/>
        </w:rPr>
        <w:t xml:space="preserve">苏州市消防救援支队2026年度消防器材采购项目（包4）</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pStyle w:val="1000"/>
        <w:rPr>
          <w:lang w:val="zh-CN"/>
        </w:rPr>
      </w:pPr>
      <w:r>
        <w:rPr>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2_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ab/>
      </w:r>
      <w:r>
        <w:rPr>
          <w:rFonts w:hint="eastAsia" w:ascii="宋体" w:hAnsi="宋体"/>
          <w:b/>
          <w:sz w:val="21"/>
          <w:szCs w:val="21"/>
          <w:u w:val="single"/>
        </w:rPr>
        <w:t xml:space="preserve">苏州市消防救援支队2026年度消防器材采购项目（包</w:t>
      </w:r>
      <w:r>
        <w:rPr>
          <w:rFonts w:ascii="宋体" w:hAnsi="宋体"/>
          <w:b/>
          <w:sz w:val="21"/>
          <w:szCs w:val="21"/>
          <w:u w:val="single"/>
        </w:rPr>
        <w:t xml:space="preserve">5</w:t>
      </w:r>
      <w:r>
        <w:rPr>
          <w:rFonts w:hint="eastAsia" w:ascii="宋体" w:hAnsi="宋体"/>
          <w:b/>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jc w:val="left"/>
        <w:rPr>
          <w:rFonts w:ascii="宋体" w:hAnsi="宋体"/>
          <w:sz w:val="21"/>
          <w:szCs w:val="21"/>
          <w:lang w:val="zh-CN"/>
        </w:rPr>
      </w:pPr>
      <w:r>
        <w:rPr>
          <w:rFonts w:ascii="宋体" w:hAnsi="宋体"/>
          <w:sz w:val="21"/>
          <w:szCs w:val="21"/>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3_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ab/>
      </w:r>
      <w:r>
        <w:rPr>
          <w:rFonts w:hint="eastAsia" w:ascii="宋体" w:hAnsi="宋体"/>
          <w:b/>
          <w:sz w:val="21"/>
          <w:szCs w:val="21"/>
          <w:u w:val="single"/>
        </w:rPr>
        <w:t xml:space="preserve">苏州市消防救援支队2026年度消防器材采购项目（包</w:t>
      </w:r>
      <w:r>
        <w:rPr>
          <w:rFonts w:ascii="宋体" w:hAnsi="宋体"/>
          <w:b/>
          <w:sz w:val="21"/>
          <w:szCs w:val="21"/>
          <w:u w:val="single"/>
        </w:rPr>
        <w:t xml:space="preserve">6</w:t>
      </w:r>
      <w:r>
        <w:rPr>
          <w:rFonts w:hint="eastAsia" w:ascii="宋体" w:hAnsi="宋体"/>
          <w:b/>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4"/>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jc w:val="left"/>
        <w:rPr>
          <w:rFonts w:ascii="宋体" w:hAnsi="宋体"/>
          <w:sz w:val="21"/>
          <w:szCs w:val="21"/>
          <w:lang w:val="zh-CN"/>
        </w:rPr>
      </w:pPr>
      <w:r>
        <w:rPr>
          <w:rFonts w:ascii="宋体" w:hAnsi="宋体"/>
          <w:sz w:val="21"/>
          <w:szCs w:val="21"/>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4_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ab/>
      </w:r>
      <w:r>
        <w:rPr>
          <w:rFonts w:hint="eastAsia" w:ascii="宋体" w:hAnsi="宋体"/>
          <w:b/>
          <w:sz w:val="21"/>
          <w:szCs w:val="21"/>
          <w:u w:val="single"/>
        </w:rPr>
        <w:t xml:space="preserve">苏州市消防救援支队2026年度消防器材采购项目（包</w:t>
      </w:r>
      <w:r>
        <w:rPr>
          <w:rFonts w:ascii="宋体" w:hAnsi="宋体"/>
          <w:b/>
          <w:sz w:val="21"/>
          <w:szCs w:val="21"/>
          <w:u w:val="single"/>
        </w:rPr>
        <w:t xml:space="preserve">7</w:t>
      </w:r>
      <w:r>
        <w:rPr>
          <w:rFonts w:hint="eastAsia" w:ascii="宋体" w:hAnsi="宋体"/>
          <w:b/>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5"/>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right="2500" w:firstLine="4410"/>
        <w:spacing w:line="360" w:lineRule="auto"/>
        <w:rPr>
          <w:rFonts w:ascii="宋体" w:hAnsi="宋体"/>
          <w:sz w:val="21"/>
          <w:szCs w:val="21"/>
          <w:lang w:val="zh-CN"/>
        </w:rPr>
      </w:pPr>
      <w:r>
        <w:rPr>
          <w:rFonts w:ascii="宋体" w:hAnsi="宋体"/>
          <w:sz w:val="21"/>
          <w:szCs w:val="21"/>
          <w:lang w:val="zh-CN"/>
        </w:rPr>
      </w:r>
      <w:r/>
    </w:p>
    <w:p>
      <w:pPr>
        <w:ind w:left="0"/>
        <w:spacing w:line="280" w:lineRule="exact"/>
        <w:rPr>
          <w:rFonts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7"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15378"/>
      <w:r/>
      <w:bookmarkStart w:id="79" w:name="_Toc32206"/>
      <w:r/>
      <w:bookmarkStart w:id="8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7"/>
        <w:ind w:left="0" w:firstLine="0"/>
        <w:rPr>
          <w:rFonts w:ascii="宋体" w:hAnsi="宋体"/>
          <w:b/>
          <w:lang w:val="zh-CN"/>
        </w:rPr>
      </w:pPr>
      <w:r>
        <w:rPr>
          <w:rFonts w:ascii="宋体" w:hAnsi="宋体"/>
          <w:b/>
          <w:lang w:val="zh-CN"/>
        </w:rPr>
      </w:r>
      <w:r/>
    </w:p>
    <w:p>
      <w:pPr>
        <w:pStyle w:val="104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1" w:name="_Toc105397786"/>
      <w:r/>
      <w:bookmarkStart w:id="82" w:name="_Toc27138"/>
      <w:r/>
      <w:bookmarkStart w:id="83"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45"/>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4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Style w:val="1052"/>
          <w:rFonts w:hint="eastAsia"/>
          <w:color w:val="333333"/>
          <w:vertAlign w:val="superscript"/>
        </w:rPr>
        <w:t xml:space="preserve">1</w:t>
      </w:r>
      <w:r>
        <w:rPr>
          <w:rFonts w:hint="eastAsia"/>
          <w:color w:val="333333"/>
        </w:rPr>
        <w:t xml:space="preserve">，生产厂为</w:t>
      </w:r>
      <w:r>
        <w:rPr>
          <w:rStyle w:val="1052"/>
          <w:rFonts w:hint="eastAsia"/>
          <w:color w:val="333333"/>
          <w:u w:val="single"/>
        </w:rPr>
        <w:t xml:space="preserve">（厂名）</w:t>
      </w:r>
      <w:r>
        <w:rPr>
          <w:rStyle w:val="1052"/>
          <w:rFonts w:hint="eastAsia"/>
          <w:color w:val="333333"/>
          <w:vertAlign w:val="superscript"/>
        </w:rPr>
        <w:t xml:space="preserve">2</w:t>
      </w:r>
      <w:r>
        <w:rPr>
          <w:rFonts w:hint="eastAsia"/>
          <w:color w:val="333333"/>
        </w:rPr>
        <w:t xml:space="preserve">，厂址为</w:t>
      </w:r>
      <w:r>
        <w:rPr>
          <w:rStyle w:val="1052"/>
          <w:rFonts w:hint="eastAsia"/>
          <w:color w:val="333333"/>
          <w:u w:val="single"/>
        </w:rPr>
        <w:t xml:space="preserve">（生产厂址）</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Fonts w:hint="eastAsia"/>
          <w:color w:val="333333"/>
        </w:rPr>
        <w:t xml:space="preserve">的中国境内生产的组件成本占比≥</w:t>
      </w:r>
      <w:r>
        <w:rPr>
          <w:rStyle w:val="1052"/>
          <w:rFonts w:hint="eastAsia"/>
          <w:color w:val="333333"/>
          <w:u w:val="single"/>
        </w:rPr>
        <w:t xml:space="preserve">（规定比例）</w:t>
      </w:r>
      <w:r>
        <w:rPr>
          <w:rStyle w:val="1052"/>
          <w:rFonts w:hint="eastAsia"/>
          <w:color w:val="333333"/>
          <w:vertAlign w:val="superscript"/>
        </w:rPr>
        <w:t xml:space="preserve">3</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（关键组件）</w:t>
      </w:r>
      <w:r>
        <w:rPr>
          <w:rStyle w:val="1052"/>
          <w:rFonts w:hint="eastAsia"/>
          <w:color w:val="333333"/>
          <w:vertAlign w:val="superscript"/>
        </w:rPr>
        <w:t xml:space="preserve">4</w:t>
      </w:r>
      <w:r>
        <w:rPr>
          <w:rFonts w:hint="eastAsia"/>
          <w:color w:val="333333"/>
        </w:rPr>
        <w:t xml:space="preserve">在中国境内生产。</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（关键工序）</w:t>
      </w:r>
      <w:r>
        <w:rPr>
          <w:rStyle w:val="1052"/>
          <w:rFonts w:hint="eastAsia"/>
          <w:color w:val="333333"/>
          <w:vertAlign w:val="superscript"/>
        </w:rPr>
        <w:t xml:space="preserve">5</w:t>
      </w:r>
      <w:r>
        <w:rPr>
          <w:rFonts w:hint="eastAsia"/>
          <w:color w:val="333333"/>
        </w:rPr>
        <w:t xml:space="preserve">在中国境内完成。</w:t>
      </w:r>
      <w:r/>
    </w:p>
    <w:p>
      <w:pPr>
        <w:pStyle w:val="104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，生产厂为</w:t>
      </w:r>
      <w:r>
        <w:rPr>
          <w:rStyle w:val="1052"/>
          <w:rFonts w:hint="eastAsia"/>
          <w:color w:val="333333"/>
          <w:u w:val="single"/>
        </w:rPr>
        <w:t xml:space="preserve">（厂名）</w:t>
      </w:r>
      <w:r>
        <w:rPr>
          <w:rFonts w:hint="eastAsia"/>
          <w:color w:val="333333"/>
        </w:rPr>
        <w:t xml:space="preserve">，厂址为</w:t>
      </w:r>
      <w:r>
        <w:rPr>
          <w:rStyle w:val="1052"/>
          <w:rFonts w:hint="eastAsia"/>
          <w:color w:val="333333"/>
          <w:u w:val="single"/>
        </w:rPr>
        <w:t xml:space="preserve">（生产厂址）</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的中国境内生产的组件成本占比≥</w:t>
      </w:r>
      <w:r>
        <w:rPr>
          <w:rStyle w:val="1052"/>
          <w:rFonts w:hint="eastAsia"/>
          <w:color w:val="333333"/>
          <w:u w:val="single"/>
        </w:rPr>
        <w:t xml:space="preserve">（规定比例）</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（关键组件）</w:t>
      </w:r>
      <w:r>
        <w:rPr>
          <w:rFonts w:hint="eastAsia"/>
          <w:color w:val="333333"/>
        </w:rPr>
        <w:t xml:space="preserve">在中国境内生产。</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（关键工序）</w:t>
      </w:r>
      <w:r>
        <w:rPr>
          <w:rFonts w:hint="eastAsia"/>
          <w:color w:val="333333"/>
        </w:rPr>
        <w:t xml:space="preserve">在中国境内完成。</w:t>
      </w:r>
      <w:r/>
    </w:p>
    <w:p>
      <w:pPr>
        <w:pStyle w:val="1045"/>
        <w:ind w:firstLine="480"/>
        <w:spacing w:before="30" w:after="30"/>
        <w:shd w:val="clear" w:color="auto" w:fill="ffffff"/>
        <w:rPr>
          <w:color w:val="333333"/>
        </w:rPr>
      </w:pPr>
      <w:r>
        <w:rPr>
          <w:rFonts w:hint="eastAsia"/>
          <w:color w:val="333333"/>
        </w:rPr>
        <w:t xml:space="preserve">……</w:t>
      </w:r>
      <w:r/>
    </w:p>
    <w:p>
      <w:pPr>
        <w:pStyle w:val="1045"/>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45"/>
        <w:spacing w:before="30" w:after="30"/>
        <w:shd w:val="clear" w:color="auto" w:fill="ffffff"/>
        <w:rPr>
          <w:color w:val="333333"/>
        </w:rPr>
      </w:pPr>
      <w:r>
        <w:rPr>
          <w:color w:val="333333"/>
        </w:rPr>
      </w:r>
      <w:r/>
    </w:p>
    <w:p>
      <w:pPr>
        <w:pStyle w:val="1045"/>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45"/>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45"/>
        <w:jc w:val="right"/>
        <w:spacing w:before="0" w:after="0"/>
        <w:shd w:val="clear" w:color="auto" w:fill="ffffff"/>
        <w:rPr>
          <w:color w:val="333333"/>
        </w:rPr>
      </w:pPr>
      <w:r>
        <w:rPr>
          <w:color w:val="333333"/>
        </w:rPr>
      </w:r>
      <w:r/>
    </w:p>
    <w:p>
      <w:pPr>
        <w:pStyle w:val="1045"/>
        <w:jc w:val="right"/>
        <w:spacing w:before="0" w:after="0"/>
        <w:shd w:val="clear" w:color="auto" w:fill="ffffff"/>
        <w:rPr>
          <w:color w:val="333333"/>
        </w:rPr>
      </w:pPr>
      <w:r>
        <w:rPr>
          <w:color w:val="333333"/>
        </w:rPr>
      </w:r>
      <w:r/>
    </w:p>
    <w:p>
      <w:pPr>
        <w:pStyle w:val="1045"/>
        <w:jc w:val="right"/>
        <w:spacing w:before="0" w:after="0"/>
        <w:shd w:val="clear" w:color="auto" w:fill="ffffff"/>
        <w:rPr>
          <w:color w:val="333333"/>
        </w:rPr>
      </w:pPr>
      <w:r>
        <w:rPr>
          <w:color w:val="333333"/>
        </w:rPr>
      </w:r>
      <w:r/>
    </w:p>
    <w:p>
      <w:pPr>
        <w:pStyle w:val="1045"/>
        <w:jc w:val="right"/>
        <w:spacing w:before="0" w:after="0"/>
        <w:shd w:val="clear" w:color="auto" w:fill="ffffff"/>
      </w:pPr>
      <w:r/>
      <w:r/>
    </w:p>
    <w:p>
      <w:pPr>
        <w:pStyle w:val="1045"/>
        <w:ind w:left="0" w:firstLine="0"/>
        <w:spacing w:before="30" w:after="30"/>
        <w:shd w:val="clear" w:color="auto" w:fill="ffffff"/>
        <w:rPr>
          <w:color w:val="333333"/>
        </w:rPr>
      </w:pPr>
      <w:r>
        <w:rPr>
          <w:rFonts w:hint="eastAsia"/>
          <w:color w:val="333333"/>
        </w:rPr>
        <w:t xml:space="preserve">__________________</w:t>
      </w:r>
      <w:r/>
    </w:p>
    <w:p>
      <w:pPr>
        <w:pStyle w:val="1045"/>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45"/>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45"/>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45"/>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45"/>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45"/>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1045"/>
        <w:jc w:val="right"/>
        <w:spacing w:before="0" w:after="0"/>
        <w:shd w:val="clear" w:color="auto" w:fill="ffffff"/>
        <w:rPr>
          <w:rFonts w:ascii="宋体" w:hAnsi="宋体"/>
          <w:sz w:val="21"/>
          <w:szCs w:val="21"/>
        </w:rPr>
      </w:pPr>
      <w:r>
        <w:rPr>
          <w:rFonts w:ascii="宋体" w:hAnsi="宋体"/>
          <w:sz w:val="21"/>
          <w:szCs w:val="21"/>
        </w:rPr>
      </w:r>
      <w:r/>
    </w:p>
    <w:p>
      <w:pPr>
        <w:pStyle w:val="1000"/>
      </w:pPr>
      <w:r/>
      <w:r/>
    </w:p>
    <w:p>
      <w:r/>
      <w:r/>
    </w:p>
    <w:p>
      <w:pPr>
        <w:pStyle w:val="1045"/>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1"/>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pPr>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4" w:name="_Toc71810489"/>
      <w:r/>
      <w:bookmarkStart w:id="85"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4"/>
        <w:rPr>
          <w:rFonts w:ascii="宋体" w:hAnsi="宋体"/>
        </w:rPr>
      </w:pPr>
      <w:r>
        <w:rPr>
          <w:rFonts w:ascii="宋体" w:hAnsi="宋体"/>
        </w:rPr>
      </w:r>
      <w:r/>
    </w:p>
    <w:p>
      <w:r/>
      <w:r/>
    </w:p>
    <w:p>
      <w:pPr>
        <w:pStyle w:val="1000"/>
      </w:pPr>
      <w:r/>
      <w:r/>
    </w:p>
    <w:p>
      <w:r/>
      <w:r/>
    </w:p>
    <w:p>
      <w:pPr>
        <w:pStyle w:val="1000"/>
      </w:pPr>
      <w:r/>
      <w:r/>
    </w:p>
    <w:p>
      <w:r/>
      <w:r/>
    </w:p>
    <w:p>
      <w:pPr>
        <w:pStyle w:val="1000"/>
      </w:pPr>
      <w:r/>
      <w:r/>
    </w:p>
    <w:p>
      <w:pPr>
        <w:pStyle w:val="1000"/>
      </w:pPr>
      <w:r/>
      <w:r/>
    </w:p>
    <w:p>
      <w:pPr>
        <w:pStyle w:val="1006"/>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6" w:name="_Toc71810490"/>
      <w:r/>
      <w:bookmarkEnd w:id="82"/>
      <w:r/>
      <w:bookmarkEnd w:id="83"/>
      <w:r>
        <w:rPr>
          <w:rFonts w:ascii="宋体" w:hAnsi="宋体"/>
        </w:rPr>
        <w:t xml:space="preserve"> </w:t>
      </w:r>
      <w:r/>
    </w:p>
    <w:p>
      <w:pPr>
        <w:pStyle w:val="100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6"/>
      <w:r/>
      <w:bookmarkEnd w:id="8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8" w:name="OLE_LINK7"/>
      <w:r/>
      <w:bookmarkStart w:id="89"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0"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1" w:name="OLE_LINK16"/>
      <w:r>
        <w:rPr>
          <w:rFonts w:hint="eastAsia" w:ascii="宋体" w:hAnsi="宋体"/>
          <w:b/>
          <w:color w:val="ff0000"/>
          <w:sz w:val="21"/>
          <w:szCs w:val="21"/>
          <w:lang w:val="zh-CN"/>
        </w:rPr>
        <w:t xml:space="preserve">的</w:t>
      </w:r>
      <w:bookmarkEnd w:id="90"/>
      <w:r/>
      <w:bookmarkEnd w:id="9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88"/>
      <w:bookmarkEnd w:id="89"/>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0"/>
        <w:rPr>
          <w:lang w:val="zh-CN"/>
        </w:rPr>
      </w:pPr>
      <w:r>
        <w:rPr>
          <w:lang w:val="zh-CN"/>
        </w:rPr>
      </w:r>
      <w:r/>
    </w:p>
    <w:p>
      <w:pPr>
        <w:ind w:left="0"/>
        <w:jc w:val="left"/>
        <w:rPr>
          <w:rFonts w:ascii="Times New Roman" w:hAnsi="Times New Roman" w:cs="Times New Roman"/>
          <w:lang w:val="zh-CN"/>
        </w:rPr>
      </w:pPr>
      <w:r>
        <w:rPr>
          <w:lang w:val="zh-CN"/>
        </w:rPr>
        <w:br w:type="page" w:clear="all"/>
      </w:r>
      <w:r/>
    </w:p>
    <w:p>
      <w:pPr>
        <w:ind w:left="0"/>
        <w:widowControl w:val="off"/>
        <w:rPr>
          <w:rFonts w:ascii="宋体" w:hAnsi="宋体"/>
          <w:sz w:val="21"/>
          <w:szCs w:val="21"/>
        </w:rPr>
        <w:outlineLvl w:val="0"/>
      </w:pPr>
      <w:r>
        <w:rPr>
          <w:rFonts w:ascii="宋体" w:hAnsi="宋体"/>
          <w:b/>
          <w:sz w:val="21"/>
          <w:szCs w:val="21"/>
        </w:rPr>
        <w:t xml:space="preserve">附件13</w:t>
      </w:r>
      <w:r>
        <w:rPr>
          <w:rFonts w:hint="eastAsia" w:ascii="宋体" w:hAnsi="宋体"/>
          <w:b/>
          <w:sz w:val="21"/>
          <w:szCs w:val="21"/>
        </w:rPr>
        <w:t xml:space="preserve">.</w:t>
      </w:r>
      <w:r>
        <w:rPr>
          <w:rFonts w:hint="eastAsia"/>
        </w:rPr>
        <w:t xml:space="preserve"> </w:t>
      </w:r>
      <w:r>
        <w:rPr>
          <w:rFonts w:hint="eastAsia" w:asciiTheme="minorEastAsia" w:hAnsiTheme="minorEastAsia" w:eastAsiaTheme="minorEastAsia" w:cstheme="minorEastAsia"/>
          <w:b/>
          <w:bCs/>
          <w:sz w:val="21"/>
          <w:szCs w:val="21"/>
        </w:rPr>
        <w:t xml:space="preserve">近3年投标人行贿犯罪情况的书面声明</w:t>
      </w:r>
      <w:r/>
    </w:p>
    <w:p>
      <w:pPr>
        <w:ind w:left="0" w:firstLine="420"/>
        <w:jc w:val="center"/>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jc w:val="center"/>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近3年投标人行贿犯罪情况的书面声明</w:t>
      </w:r>
      <w:r/>
    </w:p>
    <w:p>
      <w:pPr>
        <w:ind w:left="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自___年___月___日起至今， ____________________（投标人名称）（统一社会信用代码：_____________），法定代表人：_______________，身份证号：____________________， 没有行贿犯罪记录。</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我方承诺以上信息是真实的，如有虚假或被发现与事实不符，我方同意并接受以下条款： </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招标人或评标委员会可以按弄虚作假行为进行认定；</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如我方已中标，招标人可以取消我方中标资格；</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如已与招标人签订合同，招标人可以无条件终止合同并不承担任何违约责任； </w:t>
      </w:r>
      <w:r/>
    </w:p>
    <w:p>
      <w:pPr>
        <w:ind w:left="40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（4）我方愿意承担由此给招标人造成的直接或间接损失以及相应的法律责任。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特此声明！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投标人名称：____________________（盖单位公章）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法定代表人（单位负责人）或其委托代理人：____________________（签字或盖章）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备注：参加本次政府采购活动前3年内在经营活动中没有行贿犯罪记录的承诺书，截止至开标日成立不足3年的投标人可提供自成立以来无行贿犯罪记录的承诺书。</w:t>
      </w:r>
      <w:r/>
    </w:p>
    <w:p>
      <w:pPr>
        <w:pStyle w:val="1000"/>
      </w:pPr>
      <w:r/>
      <w:r/>
    </w:p>
    <w:p>
      <w:pPr>
        <w:ind w:left="0"/>
        <w:jc w:val="left"/>
        <w:rPr>
          <w:rFonts w:ascii="宋体" w:hAnsi="宋体"/>
          <w:b/>
          <w:sz w:val="44"/>
          <w:szCs w:val="22"/>
        </w:rPr>
      </w:pPr>
      <w:r/>
      <w:bookmarkStart w:id="92" w:name="_Toc4098"/>
      <w:r/>
      <w:bookmarkStart w:id="93" w:name="_Toc23660"/>
      <w:r/>
      <w:bookmarkStart w:id="94" w:name="_Toc105397793"/>
      <w:r>
        <w:rPr>
          <w:rFonts w:ascii="宋体" w:hAnsi="宋体"/>
          <w:b/>
          <w:sz w:val="44"/>
          <w:szCs w:val="22"/>
        </w:rPr>
        <w:br w:type="page" w:clear="all"/>
      </w:r>
      <w:r/>
    </w:p>
    <w:p>
      <w:pPr>
        <w:pStyle w:val="988"/>
        <w:ind w:left="0" w:firstLine="0"/>
        <w:jc w:val="center"/>
        <w:rPr>
          <w:rFonts w:ascii="宋体" w:hAnsi="宋体"/>
          <w:b/>
          <w:sz w:val="44"/>
          <w:szCs w:val="22"/>
        </w:rPr>
      </w:pPr>
      <w:r>
        <w:rPr>
          <w:rFonts w:hint="eastAsia" w:ascii="宋体" w:hAnsi="宋体"/>
          <w:b/>
          <w:sz w:val="44"/>
          <w:szCs w:val="22"/>
        </w:rPr>
        <w:t xml:space="preserve">第四章  </w:t>
      </w:r>
      <w:bookmarkStart w:id="95" w:name="招标书"/>
      <w:r/>
      <w:bookmarkEnd w:id="95"/>
      <w:r>
        <w:rPr>
          <w:rFonts w:hint="eastAsia" w:ascii="宋体" w:hAnsi="宋体"/>
          <w:b/>
          <w:sz w:val="44"/>
          <w:szCs w:val="22"/>
        </w:rPr>
        <w:t xml:space="preserve">招标书</w:t>
      </w:r>
      <w:bookmarkEnd w:id="92"/>
      <w:r/>
      <w:bookmarkEnd w:id="93"/>
      <w:r/>
      <w:bookmarkEnd w:id="9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苏州市消防救援支队</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2026年度消防器材采购项目（</w:t>
      </w:r>
      <w:r>
        <w:rPr>
          <w:rFonts w:hint="eastAsia" w:ascii="宋体" w:hAnsi="宋体"/>
          <w:sz w:val="21"/>
          <w:u w:val="single"/>
        </w:rPr>
        <w:t xml:space="preserve">包4-包7</w:t>
      </w:r>
      <w:r>
        <w:rPr>
          <w:rFonts w:hint="eastAsia" w:ascii="宋体" w:hAnsi="宋体"/>
          <w:sz w:val="21"/>
          <w:u w:val="single"/>
        </w:rPr>
        <w:t xml:space="preserve">）</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w:t>
      </w:r>
      <w:r>
        <w:rPr>
          <w:rFonts w:ascii="宋体" w:hAnsi="宋体"/>
          <w:sz w:val="21"/>
        </w:rPr>
        <w:t xml:space="preserve">G2026-0331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2026年度消防器材采购项目（</w:t>
      </w:r>
      <w:r>
        <w:rPr>
          <w:rFonts w:hint="eastAsia" w:ascii="宋体" w:hAnsi="宋体"/>
          <w:sz w:val="21"/>
        </w:rPr>
        <w:t xml:space="preserve">包4-包7</w:t>
      </w:r>
      <w:r>
        <w:rPr>
          <w:rFonts w:hint="eastAsia" w:ascii="宋体" w:hAnsi="宋体"/>
          <w:sz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第一标段：</w:t>
      </w:r>
      <w:r>
        <w:rPr>
          <w:rFonts w:hint="eastAsia" w:ascii="宋体" w:hAnsi="宋体"/>
          <w:sz w:val="21"/>
          <w:szCs w:val="21"/>
        </w:rPr>
        <w:t xml:space="preserve">苏州市消防救援支队2026年度消防器材采购项目（包4）</w:t>
      </w:r>
      <w:r/>
    </w:p>
    <w:p>
      <w:pPr>
        <w:pStyle w:val="1006"/>
        <w:ind w:left="0" w:firstLine="420"/>
        <w:spacing w:line="360" w:lineRule="auto"/>
        <w:rPr>
          <w:rFonts w:ascii="宋体" w:hAnsi="宋体"/>
          <w:sz w:val="21"/>
          <w:szCs w:val="21"/>
        </w:rPr>
      </w:pPr>
      <w:r>
        <w:rPr>
          <w:rFonts w:hint="eastAsia" w:ascii="宋体" w:hAnsi="宋体"/>
          <w:sz w:val="21"/>
          <w:szCs w:val="21"/>
        </w:rPr>
        <w:t xml:space="preserve">第二标段：</w:t>
      </w:r>
      <w:r>
        <w:rPr>
          <w:rFonts w:hint="eastAsia" w:ascii="宋体" w:hAnsi="宋体"/>
          <w:sz w:val="21"/>
          <w:szCs w:val="21"/>
        </w:rPr>
        <w:t xml:space="preserve">苏州市消防救援支队2026年度消防器材采购项目（包</w:t>
      </w:r>
      <w:r>
        <w:rPr>
          <w:rFonts w:ascii="宋体" w:hAnsi="宋体"/>
          <w:sz w:val="21"/>
          <w:szCs w:val="21"/>
        </w:rPr>
        <w:t xml:space="preserve">5</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第三标段：</w:t>
      </w:r>
      <w:r>
        <w:rPr>
          <w:rFonts w:hint="eastAsia" w:ascii="宋体" w:hAnsi="宋体"/>
          <w:sz w:val="21"/>
          <w:szCs w:val="21"/>
        </w:rPr>
        <w:t xml:space="preserve">苏州市消防救援支队2026年度消防器材采购项目（包</w:t>
      </w:r>
      <w:r>
        <w:rPr>
          <w:rFonts w:ascii="宋体" w:hAnsi="宋体"/>
          <w:sz w:val="21"/>
          <w:szCs w:val="21"/>
        </w:rPr>
        <w:t xml:space="preserve">6</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第四标段：</w:t>
      </w:r>
      <w:r>
        <w:rPr>
          <w:rFonts w:hint="eastAsia" w:ascii="宋体" w:hAnsi="宋体"/>
          <w:sz w:val="21"/>
          <w:szCs w:val="21"/>
        </w:rPr>
        <w:t xml:space="preserve">苏州市消防救援支队2026年度消防器材采购项目（包</w:t>
      </w:r>
      <w:r>
        <w:rPr>
          <w:rFonts w:ascii="宋体" w:hAnsi="宋体"/>
          <w:sz w:val="21"/>
          <w:szCs w:val="21"/>
        </w:rPr>
        <w:t xml:space="preserve">7</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人民币壹仟零伍拾捌万壹仟柒佰元整（￥</w:t>
      </w:r>
      <w:r>
        <w:rPr>
          <w:rFonts w:ascii="宋体" w:hAnsi="宋体"/>
          <w:sz w:val="21"/>
        </w:rPr>
        <w:t xml:space="preserve">10581700.00</w:t>
      </w:r>
      <w:r>
        <w:rPr>
          <w:rFonts w:hint="eastAsia" w:ascii="宋体" w:hAnsi="宋体"/>
          <w:sz w:val="21"/>
        </w:rPr>
        <w:t xml:space="preserve">元）其中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预算金额</w:t>
      </w:r>
      <w:r>
        <w:rPr>
          <w:rFonts w:hint="eastAsia" w:ascii="宋体" w:hAnsi="宋体"/>
          <w:sz w:val="21"/>
        </w:rPr>
        <w:t xml:space="preserve">：人民币叁佰壹拾万叁仟壹佰元整（￥</w:t>
      </w:r>
      <w:r>
        <w:rPr>
          <w:rFonts w:ascii="宋体" w:hAnsi="宋体"/>
          <w:sz w:val="21"/>
        </w:rPr>
        <w:t xml:space="preserve">3103100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预算金额</w:t>
      </w:r>
      <w:r>
        <w:rPr>
          <w:rFonts w:hint="eastAsia" w:ascii="宋体" w:hAnsi="宋体"/>
          <w:sz w:val="21"/>
        </w:rPr>
        <w:t xml:space="preserve">：人民币玖拾壹万元整（￥</w:t>
      </w:r>
      <w:r>
        <w:rPr>
          <w:rFonts w:ascii="宋体" w:hAnsi="宋体"/>
          <w:sz w:val="21"/>
        </w:rPr>
        <w:t xml:space="preserve">9100</w:t>
      </w:r>
      <w:r>
        <w:rPr>
          <w:rFonts w:hint="eastAsia" w:ascii="宋体" w:hAnsi="宋体"/>
          <w:sz w:val="21"/>
        </w:rPr>
        <w:t xml:space="preserve">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预算金额</w:t>
      </w:r>
      <w:r>
        <w:rPr>
          <w:rFonts w:hint="eastAsia" w:ascii="宋体" w:hAnsi="宋体"/>
          <w:sz w:val="21"/>
        </w:rPr>
        <w:t xml:space="preserve">：人民币壹佰柒拾陆万捌仟陆佰元整（￥1768600.00元）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预算金额</w:t>
      </w:r>
      <w:r>
        <w:rPr>
          <w:rFonts w:hint="eastAsia" w:ascii="宋体" w:hAnsi="宋体"/>
          <w:sz w:val="21"/>
        </w:rPr>
        <w:t xml:space="preserve">：人民币肆佰捌拾万元整（￥</w:t>
      </w:r>
      <w:r>
        <w:rPr>
          <w:rFonts w:ascii="宋体" w:hAnsi="宋体"/>
          <w:sz w:val="21"/>
        </w:rPr>
        <w:t xml:space="preserve">4800000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四、</w:t>
      </w:r>
      <w:r>
        <w:rPr>
          <w:rFonts w:hint="eastAsia" w:ascii="宋体" w:hAnsi="宋体"/>
          <w:sz w:val="21"/>
          <w:szCs w:val="21"/>
        </w:rPr>
        <w:t xml:space="preserve">最高限价：</w:t>
      </w:r>
      <w:r>
        <w:rPr>
          <w:rFonts w:hint="eastAsia" w:ascii="宋体" w:hAnsi="宋体"/>
          <w:sz w:val="21"/>
        </w:rPr>
        <w:t xml:space="preserve">人民币壹仟零伍拾捌万壹仟柒佰元整（￥10581700.00元）其中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最高限价</w:t>
      </w:r>
      <w:r>
        <w:rPr>
          <w:rFonts w:hint="eastAsia" w:ascii="宋体" w:hAnsi="宋体"/>
          <w:sz w:val="21"/>
        </w:rPr>
        <w:t xml:space="preserve">：人民币叁佰壹拾万叁仟壹佰元整（￥3103100.00元）其中最高单价限价详见采购清单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最高限价</w:t>
      </w:r>
      <w:r>
        <w:rPr>
          <w:rFonts w:hint="eastAsia" w:ascii="宋体" w:hAnsi="宋体"/>
          <w:sz w:val="21"/>
        </w:rPr>
        <w:t xml:space="preserve">：人民币玖拾壹万元整（￥910000.00元）其中最高单价限价详见采购清单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最高限价</w:t>
      </w:r>
      <w:r>
        <w:rPr>
          <w:rFonts w:hint="eastAsia" w:ascii="宋体" w:hAnsi="宋体"/>
          <w:sz w:val="21"/>
        </w:rPr>
        <w:t xml:space="preserve">：人民币壹佰柒拾陆万捌仟陆佰元整（￥1768600.00元）其中最高单价限价详见采购清单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最高限价</w:t>
      </w:r>
      <w:r>
        <w:rPr>
          <w:rFonts w:hint="eastAsia" w:ascii="宋体" w:hAnsi="宋体"/>
          <w:sz w:val="21"/>
        </w:rPr>
        <w:t xml:space="preserve">：人民币肆佰捌拾万元整（￥4800000.00元）其中最高单价限价详见采购清单</w:t>
      </w:r>
      <w:r/>
    </w:p>
    <w:p>
      <w:pPr>
        <w:ind w:left="0" w:firstLine="420"/>
        <w:spacing w:line="360" w:lineRule="auto"/>
        <w:tabs>
          <w:tab w:val="left" w:pos="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rPr>
        <w:t xml:space="preserve">签订合同后60日历天内</w:t>
      </w:r>
      <w:r>
        <w:rPr>
          <w:rFonts w:hint="eastAsia" w:ascii="宋体" w:hAnsi="宋体"/>
          <w:sz w:val="21"/>
        </w:rPr>
        <w:t xml:space="preserve">完成</w:t>
      </w:r>
      <w:r>
        <w:rPr>
          <w:rFonts w:hint="eastAsia" w:ascii="宋体" w:hAnsi="宋体"/>
          <w:sz w:val="21"/>
        </w:rPr>
        <w:t xml:space="preserve">送货上门及安装调试</w:t>
      </w:r>
      <w:r>
        <w:rPr>
          <w:rFonts w:hint="eastAsia" w:ascii="宋体" w:hAnsi="宋体"/>
          <w:sz w:val="21"/>
        </w:rPr>
        <w:t xml:space="preserve">。免费质量保证期为</w:t>
      </w:r>
      <w:r>
        <w:rPr>
          <w:rFonts w:hint="eastAsia" w:ascii="宋体" w:hAnsi="宋体"/>
          <w:sz w:val="21"/>
        </w:rPr>
        <w:t xml:space="preserve">验收合格后三十六个月（双方签署验收报告时起算）</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rPr>
          <w:rFonts w:ascii="Times New Roman" w:hAnsi="Times New Roman" w:cs="Times New Roman"/>
          <w:b/>
          <w:bCs/>
          <w:sz w:val="21"/>
          <w:szCs w:val="21"/>
        </w:rPr>
      </w:pPr>
      <w:r>
        <w:rPr>
          <w:rFonts w:hint="eastAsia" w:ascii="Times New Roman" w:hAnsi="Times New Roman" w:cs="Times New Roman"/>
          <w:b/>
          <w:bCs/>
          <w:sz w:val="21"/>
          <w:szCs w:val="21"/>
        </w:rPr>
        <w:t xml:space="preserve">第一标段</w:t>
      </w:r>
      <w:r>
        <w:rPr>
          <w:rFonts w:hint="eastAsia" w:ascii="Times New Roman" w:hAnsi="Times New Roman" w:cs="Times New Roman"/>
          <w:b/>
          <w:bCs/>
          <w:sz w:val="21"/>
          <w:szCs w:val="21"/>
        </w:rPr>
        <w:t xml:space="preserve">：</w:t>
      </w:r>
      <w:r>
        <w:rPr>
          <w:rFonts w:hint="eastAsia" w:ascii="Times New Roman" w:hAnsi="Times New Roman" w:cs="Times New Roman"/>
          <w:b/>
          <w:bCs/>
          <w:sz w:val="21"/>
          <w:szCs w:val="21"/>
        </w:rPr>
        <w:t xml:space="preserve">苏州市消防救援支队</w:t>
      </w:r>
      <w:r>
        <w:rPr>
          <w:rFonts w:hint="eastAsia" w:ascii="Times New Roman" w:hAnsi="Times New Roman" w:cs="Times New Roman"/>
          <w:b/>
          <w:bCs/>
          <w:sz w:val="21"/>
          <w:szCs w:val="21"/>
        </w:rPr>
        <w:t xml:space="preserve">2026</w:t>
      </w:r>
      <w:r>
        <w:rPr>
          <w:rFonts w:hint="eastAsia" w:ascii="Times New Roman" w:hAnsi="Times New Roman" w:cs="Times New Roman"/>
          <w:b/>
          <w:bCs/>
          <w:sz w:val="21"/>
          <w:szCs w:val="21"/>
        </w:rPr>
        <w:t xml:space="preserve">年度消防器材采购项</w:t>
      </w:r>
      <w:r>
        <w:rPr>
          <w:rFonts w:hint="eastAsia" w:ascii="宋体" w:hAnsi="宋体" w:cs="Times New Roman"/>
          <w:b/>
          <w:bCs/>
          <w:sz w:val="21"/>
          <w:szCs w:val="21"/>
        </w:rPr>
        <w:t xml:space="preserve">目（包4）</w:t>
      </w:r>
      <w:r/>
    </w:p>
    <w:p>
      <w:pPr>
        <w:pStyle w:val="989"/>
        <w:ind w:left="0" w:firstLine="422"/>
        <w:spacing w:before="0" w:after="0" w:line="360" w:lineRule="auto"/>
        <w:rPr>
          <w:b/>
          <w:bCs/>
          <w:sz w:val="21"/>
          <w:szCs w:val="21"/>
        </w:rPr>
      </w:pPr>
      <w:r>
        <w:rPr>
          <w:rFonts w:hint="eastAsia"/>
          <w:b/>
          <w:bCs/>
          <w:sz w:val="21"/>
          <w:szCs w:val="21"/>
        </w:rPr>
        <w:t xml:space="preserve">（一）</w:t>
      </w:r>
      <w:r>
        <w:rPr>
          <w:rFonts w:hint="eastAsia"/>
          <w:b/>
          <w:bCs/>
          <w:sz w:val="21"/>
          <w:szCs w:val="21"/>
        </w:rPr>
        <w:t xml:space="preserve">第一标段</w:t>
      </w:r>
      <w:r>
        <w:rPr>
          <w:rFonts w:hint="eastAsia"/>
          <w:b/>
          <w:bCs/>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798"/>
        <w:gridCol w:w="751"/>
        <w:gridCol w:w="2268"/>
        <w:gridCol w:w="1276"/>
        <w:gridCol w:w="1134"/>
        <w:gridCol w:w="1134"/>
        <w:gridCol w:w="2483"/>
      </w:tblGrid>
      <w:tr>
        <w:trPr>
          <w:jc w:val="center"/>
          <w:trHeight w:val="582"/>
        </w:trPr>
        <w:tc>
          <w:tcPr>
            <w:tcW w:w="40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38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152"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64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26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405"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34</w:t>
            </w:r>
            <w:r/>
          </w:p>
        </w:tc>
        <w:tc>
          <w:tcPr>
            <w:tcW w:w="381"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4</w:t>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水域救援漂浮绳</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根</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50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0.0750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35</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水域救援抛绳包</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221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0.0300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3</w:t>
            </w:r>
            <w:r>
              <w:rPr>
                <w:rFonts w:ascii="宋体" w:hAnsi="宋体" w:cs="Times New Roman"/>
                <w:bCs/>
                <w:sz w:val="21"/>
                <w:szCs w:val="21"/>
              </w:rPr>
              <w:t xml:space="preserve">6</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救生圈</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131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0.0180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37</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水域救援手套</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双</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238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bCs/>
                <w:sz w:val="21"/>
                <w:szCs w:val="21"/>
              </w:rPr>
              <w:t xml:space="preserve">0.0300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38</w:t>
            </w:r>
            <w:r/>
          </w:p>
        </w:tc>
        <w:tc>
          <w:tcPr>
            <w:tcW w:w="381"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152"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水域救援服干式</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77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bCs/>
                <w:sz w:val="21"/>
                <w:szCs w:val="21"/>
              </w:rPr>
              <w:t xml:space="preserve">0.3000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39</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水域救援服湿式</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172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0.1800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40</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水域救援头盔</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105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0.0480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41</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水域救援头灯</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284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0.0500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42</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水域救援靴</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双</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345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0.0680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43</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激流救生衣（120N）</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件</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208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0.2000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44</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救生衣</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件</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56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0.0420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45</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水流测速仪</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7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1.4000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46</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水域救援刀</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把</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143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bCs/>
                <w:sz w:val="21"/>
                <w:szCs w:val="21"/>
              </w:rPr>
            </w:pPr>
            <w:r>
              <w:rPr>
                <w:rFonts w:ascii="宋体" w:hAnsi="宋体" w:cs="Times New Roman"/>
                <w:sz w:val="21"/>
                <w:szCs w:val="21"/>
              </w:rPr>
              <w:t xml:space="preserve">0.0400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47</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漂浮单架</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副</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9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bCs/>
                <w:sz w:val="21"/>
                <w:szCs w:val="21"/>
              </w:rPr>
            </w:pPr>
            <w:r>
              <w:rPr>
                <w:rFonts w:ascii="宋体" w:hAnsi="宋体" w:cs="Times New Roman"/>
                <w:sz w:val="21"/>
                <w:szCs w:val="21"/>
              </w:rPr>
              <w:t xml:space="preserve">0.3500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48</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水域方位灯</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201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bCs/>
                <w:sz w:val="21"/>
                <w:szCs w:val="21"/>
              </w:rPr>
            </w:pPr>
            <w:r>
              <w:rPr>
                <w:rFonts w:ascii="宋体" w:hAnsi="宋体" w:cs="Times New Roman"/>
                <w:sz w:val="21"/>
                <w:szCs w:val="21"/>
              </w:rPr>
              <w:t xml:space="preserve">0.0500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49</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橡皮艇</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艘</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19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4.0000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50</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舷外机</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25 </w:t>
            </w:r>
            <w:r/>
          </w:p>
        </w:tc>
        <w:tc>
          <w:tcPr>
            <w:tcW w:w="576"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1.8000 </w:t>
            </w:r>
            <w:r/>
          </w:p>
        </w:tc>
      </w:tr>
    </w:tbl>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注：</w:t>
      </w:r>
      <w:r/>
    </w:p>
    <w:p>
      <w:pPr>
        <w:ind w:left="0" w:firstLine="422"/>
        <w:spacing w:line="360" w:lineRule="auto"/>
        <w:tabs>
          <w:tab w:val="left" w:pos="420" w:leader="none"/>
        </w:tabs>
        <w:rPr>
          <w:rFonts w:ascii="宋体" w:hAnsi="宋体"/>
          <w:sz w:val="21"/>
          <w:szCs w:val="21"/>
        </w:rPr>
      </w:pPr>
      <w:r>
        <w:rPr>
          <w:rFonts w:hint="eastAsia" w:ascii="宋体" w:hAnsi="宋体"/>
          <w:b/>
          <w:sz w:val="21"/>
          <w:szCs w:val="21"/>
        </w:rPr>
        <w:t xml:space="preserve">（1）</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（2）核心产品：</w:t>
      </w:r>
      <w:r>
        <w:rPr>
          <w:rFonts w:hint="eastAsia" w:ascii="宋体" w:hAnsi="宋体" w:cs="Times New Roman"/>
          <w:b/>
          <w:sz w:val="21"/>
          <w:szCs w:val="21"/>
        </w:rPr>
        <w:t xml:space="preserve">橡皮艇</w:t>
      </w:r>
      <w:r>
        <w:rPr>
          <w:rFonts w:hint="eastAsia" w:ascii="宋体" w:hAnsi="宋体" w:cs="Times New Roman"/>
          <w:b/>
          <w:sz w:val="21"/>
          <w:szCs w:val="21"/>
        </w:rPr>
        <w:t xml:space="preserve">（序号</w:t>
      </w:r>
      <w:r>
        <w:rPr>
          <w:rFonts w:ascii="宋体" w:hAnsi="宋体" w:cs="Times New Roman"/>
          <w:b/>
          <w:sz w:val="21"/>
          <w:szCs w:val="21"/>
        </w:rPr>
        <w:t xml:space="preserve">49</w:t>
      </w:r>
      <w:r>
        <w:rPr>
          <w:rFonts w:hint="eastAsia" w:ascii="宋体" w:hAnsi="宋体" w:cs="Times New Roman"/>
          <w:b/>
          <w:sz w:val="21"/>
          <w:szCs w:val="21"/>
        </w:rPr>
        <w:t xml:space="preserve">）</w:t>
      </w:r>
      <w:r/>
    </w:p>
    <w:p>
      <w:pPr>
        <w:pStyle w:val="989"/>
        <w:ind w:left="0" w:firstLine="422"/>
        <w:spacing w:before="0" w:after="0" w:line="360" w:lineRule="auto"/>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第一标段</w:t>
      </w:r>
      <w:r>
        <w:rPr>
          <w:rFonts w:hint="eastAsia" w:ascii="宋体" w:hAnsi="宋体"/>
          <w:b/>
          <w:sz w:val="21"/>
          <w:szCs w:val="21"/>
        </w:rPr>
        <w:t xml:space="preserve">技术参数</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34</w:t>
      </w:r>
      <w:r>
        <w:rPr>
          <w:rFonts w:hint="eastAsia" w:ascii="宋体" w:hAnsi="宋体" w:cs="Times New Roman"/>
          <w:sz w:val="21"/>
          <w:szCs w:val="21"/>
        </w:rPr>
        <w:t xml:space="preserve">、水域救援漂浮绳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应具备水面持续漂浮能力，适配各类水域救援；具备夜光反光，自发光，适配夜间、昏暗环境识别与方向指示。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外观结构：外层自带反光材质，色彩鲜亮；连续纤维整体结构，粗细均匀无损伤。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材质性能：夹心绳构造，具有不吸水、拉力强、可漂浮、抗老化、防腐蚀性能；采用优质丙纶、合成纤维，内芯浮性填充；不吸水、化学稳定、耐老化、耐磨。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cs="Times New Roman"/>
          <w:sz w:val="21"/>
          <w:szCs w:val="21"/>
        </w:rPr>
        <w:t xml:space="preserve">有效长度：≥50m；直径：10±0.5mm；线密度：≤50g/m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（5）</w:t>
      </w:r>
      <w:r>
        <w:rPr>
          <w:rFonts w:hint="eastAsia" w:ascii="宋体" w:hAnsi="宋体" w:cs="Times New Roman"/>
          <w:sz w:val="21"/>
          <w:szCs w:val="21"/>
        </w:rPr>
        <w:t xml:space="preserve">破断强度：≥35KN；延伸率：≤3%。</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cs="Times New Roman"/>
          <w:sz w:val="21"/>
          <w:szCs w:val="21"/>
        </w:rPr>
        <w:t xml:space="preserve">漂浮性能：漂浮性能48h试验持续漂浮无明显下沉。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35</w:t>
      </w:r>
      <w:r>
        <w:rPr>
          <w:rFonts w:hint="eastAsia" w:ascii="宋体" w:hAnsi="宋体" w:cs="Times New Roman"/>
          <w:sz w:val="21"/>
          <w:szCs w:val="21"/>
        </w:rPr>
        <w:t xml:space="preserve">、水域救援抛绳包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适用于水域救援中抛投和收纳漂浮救生绳，可作为活饵救援的抛投工具，适用于消防员水域救援个人防护装备。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结构与组成：采用扁平袋状或收口流线型结构；包体设置加宽网眼，网状织物；配备腰带固定系统；包口采用束口绳，魔术贴封盖双重固定；包底、尾部设置高强度织带环。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适配绳索直径：直径≤9mm；有效长度：长度≥20m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破断强度：破断强度≥12kN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漂浮性能：完全收纳配用绳索后，经48H的漂浮性能试验，抛绳包能始终漂浮在水面上，使用后可快速干燥。</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外观与标识：绳包顶部印有永久性安全使用说明和反光标识，一体化腰带、快速脱离释放装置，激流救援专用。</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36</w:t>
      </w:r>
      <w:r>
        <w:rPr>
          <w:rFonts w:hint="eastAsia" w:ascii="宋体" w:hAnsi="宋体" w:cs="Times New Roman"/>
          <w:sz w:val="21"/>
          <w:szCs w:val="21"/>
        </w:rPr>
        <w:t xml:space="preserve">、救生圈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符合GB/T4302-2008《救生圈》标准要求。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适用于消防水域救援、城市内涝防汛抢险、船舶应急、水上作业、落水自救互救全场景；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外观要求：应采用标准圆形环形结构，主体颜色为醒目橙红色或橙色，圈体四周均匀分布反光标识。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材质结构：外壳采用全新高密度聚乙烯（HDPE）材质，具备抗冲击、抗压、耐腐蚀、耐酸碱、抗老化、耐高低温特性；内部填充高密度硬质聚氨酯闭孔泡沫，不吸水、不吸潮、浮力持久、不变形、不塌陷。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尺寸规格：内径≥400mm，外径≤800mm。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hint="eastAsia"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浮力≥145N。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重量指标：单个成品净重≥2.5kg，重量偏差≤±0.1kg。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漂浮性能：在标准淡水中，能够稳定支撑≥14.5kg铁块连续漂浮24h。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7</w:t>
      </w:r>
      <w:r>
        <w:rPr>
          <w:rFonts w:hint="eastAsia" w:ascii="宋体" w:hAnsi="宋体" w:cs="Times New Roman"/>
          <w:sz w:val="21"/>
          <w:szCs w:val="21"/>
        </w:rPr>
        <w:t xml:space="preserve">、水域救援手套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适用于水域救援绳索操作与工具操控，高耐磨，提升作业安全性；抗冲击、保暖，适配低温水环境。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外观款式：五指分离式结构，手腕可调节收紧，手套应延伸超出腕骨≥25mm，手套应能紧口。</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材质结构：采用耐磨、抗冲击、保暖复合材质；掌心、手指强化耐磨防护层，手掌和手指部位由皮革制成且带有涂层；手背有缓冲层，提升抗冲击与保暖性，手背由≥2mm厚的氯丁橡胶制成；由外层、防护保暖复合层组合制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机械防护性能：经耐磨性能试验，掌心面材料在9kPa压力下，经8000次以上循环摩擦后，不应被磨穿。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质量：≤140g。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灵巧性能：人员双手穿戴手套后能对直径16mm以下的绳索进行绳结作业。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8</w:t>
      </w:r>
      <w:r>
        <w:rPr>
          <w:rFonts w:hint="eastAsia" w:ascii="宋体" w:hAnsi="宋体" w:cs="Times New Roman"/>
          <w:sz w:val="21"/>
          <w:szCs w:val="21"/>
        </w:rPr>
        <w:t xml:space="preserve">、水域救援服干式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适用于消防员在水域救援中实现身体与水体完全隔离；高效保温：低温水域作业保持体温，减少体热流失，避免失温；耐磨抗损：快速穿脱：紧急救援场景可快速穿脱，提升出警效率；高可见度：全身反光设计，夜间，浑浊水域易被识别。</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外观结构：水域救援服干式</w:t>
      </w:r>
      <w:r>
        <w:rPr>
          <w:rFonts w:hint="eastAsia" w:ascii="宋体" w:hAnsi="宋体" w:cs="Times New Roman"/>
          <w:sz w:val="21"/>
          <w:szCs w:val="21"/>
        </w:rPr>
        <w:t xml:space="preserve">应为连体式，有内置背带或腰部收紧设计；应有盛放必要救援物品的口袋，且有排水功能；肘部、臀部和膝部应做耐磨加固处理；防水拉链应在体前，满足单人穿脱要求，且拉链应有外覆保护设计，无明显突出；应含有连体脚套，领口和袖口应有防水密封设计，裆部应设有拉链；救援服的主体颜色应为红色，加固部位应为黑色；手臂和腿部均应设有反光材料，总面积应≥200cm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材质与规格：救援服的规格应按GB/T1335.1和GB/T1335.2规定进行；领口和袖口采用天然乳胶或更优材质，尺码与服装尺码相匹配；质量应≤2.5kg。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面料性能：面料具有超轻、耐磨、抗切割、防水、透气等功能；面料经向断裂强力应≥1200N、纬向断裂强力应≥750N；面料经、纬向撕破强力应≥120N；面料接缝断裂强力应≥750N；面料的耐水摩擦色牢度、耐洗沾色牢度、耐光色牢度不应小于4级，表面抗湿性能≥4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耐久与防护性能：干式服面料在(9±0.2)kPa的压力下，经2000次循环摩擦后，试样不应被磨穿；耐磨加固层面料在(9±0.2)kPa的压力下，经6000次循环摩擦后，试样不应被磨穿；经过洗涤25次后，水域救援服面料的耐静水压应≥50kPa；透湿率≥5100g/(m²·d)。</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防渗漏与保温性能：经过整体防渗漏性能试验后，进入干式服内水的质量不应超过170g；穿着干式服的受试者经过保温性能试验后（在5℃水里浸泡1小时），基础体温下降不应超过2℃。</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其他性能：连体头套、连体脚套、连体靴、连体手套、颈部密封件、腕部密封件等部件与服装的连接部位应能承受100N的力10s而不发生损坏；经24h耐油性能试验后，应无皱缩、破裂、胀大、分解等现象；正确穿着救援服的受试人员应能方便地行走、自由地爬行、游泳并登上平台；反光材料表面应平整、光洁、无色差，不应有气泡、条纹、划痕和其他机械损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9</w:t>
      </w:r>
      <w:r>
        <w:rPr>
          <w:rFonts w:hint="eastAsia" w:ascii="宋体" w:hAnsi="宋体" w:cs="Times New Roman"/>
          <w:sz w:val="21"/>
          <w:szCs w:val="21"/>
        </w:rPr>
        <w:t xml:space="preserve">、水域救援服湿式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适用于激流水域、洪涝灾害、寒冷水域等消防员实战救援场景；应具备防水、防渗、耐磨、抗拉伸、</w:t>
      </w:r>
      <w:r>
        <w:rPr>
          <w:rFonts w:hint="eastAsia" w:ascii="宋体" w:hAnsi="宋体" w:cs="Times New Roman"/>
          <w:sz w:val="21"/>
          <w:szCs w:val="21"/>
        </w:rPr>
        <w:t xml:space="preserve">抗撕裂、保暖、抗变形核心防护能力、快速穿脱。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结构：救援服为上装和下装分体式结构；前置拉链，上下衣可链接设计；主体颜色应为橙色，加固部位应为黑色；手臂和腿部均应设有反光材料，总面积应≥200cm²；右侧大腿位置缝有1个口袋，口袋底部有≥2个泄水孔并采用钢环加固；袖口、裤口应有收紧设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面料材质：主体面料采用氯丁橡胶；面料具备热反射、保暖性；面料强度高，不易撕裂、不易磨损；质量应≤1800g。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拉伸强度：湿式服的面料材料经150N、持续10s的拉伸强度试验，材料的径向、纬向不应发生断裂。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接缝强度：湿式服的接缝经100N、持续10s的拉伸强度试验，不应出现断裂现象。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耐磨性能：在9kpa的压力下面料经2000次循环摩擦不磨穿。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温度适应性能：经温度适应性能试验后应无皱缩、破裂、胀大、分解等现象或机械性能的下降。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静水压防水性能：经过洗涤25次后，水域救援服面料的耐静水压应≥50kPa，无水滴渗漏。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耐光色牢度不应小于4级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0</w:t>
      </w:r>
      <w:r>
        <w:rPr>
          <w:rFonts w:hint="eastAsia" w:ascii="宋体" w:hAnsi="宋体" w:cs="Times New Roman"/>
          <w:sz w:val="21"/>
          <w:szCs w:val="21"/>
        </w:rPr>
        <w:t xml:space="preserve">、水域救援头盔</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适用于水域救援作业时对头部提供全方位防护，应具备抗冲击、防穿刺、漂浮、通风排水、战术拓展等核心功能。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结构：采用无帽沿、低重心设计，一体式全包护耳结构；主体颜色提供红色、黄色、白色等颜色供用户选择”，可定制标识、反光字；盔体顶部分布≥6个通风、排水孔，实现快速进水、快速排水；头盔顶部带有3个反光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材质构成：盔壳采用ABS工程塑料或高强度聚乙烯；缓冲层采用高密度、高弹性EVA闭孔发泡材料；内衬采用柔软透气材质。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佩戴调节系统：应配备单指快速调节系统，调节顺畅、锁紧牢固；头围适配范围覆盖绝大多数成人头型；下颌带应采用快速插扣，穿戴便捷；后脑有尺寸调节装置，固定后不会移位。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战术拓展接口：盔体前部标配通用墨鱼干支架底座；左右两侧配备标准战术导轨，可牢固安装救援头灯、摄像设备等配件。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冲击吸收性能：头模所受冲击力最大值≤3780N。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顶部抗冲击加速度：最大加速度≤180gn且加速度超过150g的持续时间：≤1ms。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耐穿透性能：试验钢锥无法穿透盔体接触头模，应具备可靠防尖锐物穿刺能力。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漂浮性能：在静水中连续浸泡24小时不吸水、不下沉、不渗漏、不沉没。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重量指标：单顶头盔净重≤550g，轻量化设计，减轻颈部长期佩戴负担。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救援头盔侧向刚性：帽壳的最大变形≤40mm，卸载后变成≤15mm。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下颌带抗拉强度：下颏带未发生断裂、滑脱，其延伸长度为≤18mm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颜色：提供红色、黄色、白色等颜色供用户选择</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1</w:t>
      </w:r>
      <w:r>
        <w:rPr>
          <w:rFonts w:hint="eastAsia" w:ascii="宋体" w:hAnsi="宋体" w:cs="Times New Roman"/>
          <w:sz w:val="21"/>
          <w:szCs w:val="21"/>
        </w:rPr>
        <w:t xml:space="preserve">、水域救援头灯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符合国家《GB30734-2014消防员照明灯具》标准要求。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应适用于消防夜间搜救、水域救援、水下短时间作业、雨天全天候场景；集聚光远射、泛光作业、三色信号警示于一体；支持头盔快拆支架、头带双佩戴，解放双手。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外观结构：一体式紧凑密封结构；配备快拆支架，可快速装卸于头盔；角度可调，照明方向自由控制；双开关独立操作。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光源与显示模式：具备多种光源，多种模式；6光源（1聚+2泛+3信号）、13种模式、聚泛光独立控制、触摸感应。</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光通量与射程：最大光通量≥300lm；射程≥70m。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防护等级：外壳防护等级IP68（1.5m的水深中保持30min）。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续航时间：常规≥50h，节能≥200h。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电量显示：配备多段式电量指示灯，实时直观显示剩余电量。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整体重量：≤85g。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2</w:t>
      </w:r>
      <w:r>
        <w:rPr>
          <w:rFonts w:hint="eastAsia" w:ascii="宋体" w:hAnsi="宋体" w:cs="Times New Roman"/>
          <w:sz w:val="21"/>
          <w:szCs w:val="21"/>
        </w:rPr>
        <w:t xml:space="preserve">、水域救援靴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应适用于激流水域、消防救援；对足部全面提供防护具备快速进水，快速排水能力，同时具备防滑性能。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结构：采用中帮结构，鞋帮高度超过脚踝；鞋头、鞋侧、鞋跟易磨损区域加厚加固，防踢撞、防刮、防穿刺；鞋身设置专用排水孔、排水通道；足跟部凸起定位结构，可快速卡入脚蹼、固定可靠、不脱落；靴鼻、鞋舌结构阻挡砂石杂物进入靴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面料材质：采用氯丁橡胶或皮革双层结构。</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重量指标：整双成品重量≤1.2kg。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防滑性能：始滑角≥15°。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抗刺穿性能：鞋底抗刺穿力≥1300N，抵御铁钉、碎石、玻璃穿刺；鞋帮抗刺穿力≥140N，防侧</w:t>
      </w:r>
      <w:r>
        <w:rPr>
          <w:rFonts w:hint="eastAsia" w:ascii="宋体" w:hAnsi="宋体" w:cs="Times New Roman"/>
          <w:sz w:val="21"/>
          <w:szCs w:val="21"/>
        </w:rPr>
        <w:t xml:space="preserve">面尖锐物划伤刺穿。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靴帮耐弯折性能：无裂纹、松面掉浆等现象。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靴帮抗切割性能：未被割穿。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靴帮/外底结合强度：≥4.5N/mm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鞋带系统：鞋带应为免系设计，采用包胶钢丝，直径≤1mm，可实现2-3秒穿脱。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踝部设计：踝部处有保暖层，采用魔术贴粘合，穿脱时可便捷打开。</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3</w:t>
      </w:r>
      <w:r>
        <w:rPr>
          <w:rFonts w:hint="eastAsia" w:ascii="宋体" w:hAnsi="宋体" w:cs="Times New Roman"/>
          <w:sz w:val="21"/>
          <w:szCs w:val="21"/>
        </w:rPr>
        <w:t xml:space="preserve">、激流救生衣（120N）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应具备紧急快速解脱功能，整体结构具有高强度、耐冲击、耐摩擦、耐拉扯、耐水流冲击的特性。配备多挂载点、多收纳袋、多功能拓展接口，具备夜间、弱光、水雾、逆光环境下的高可视识别能力。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组成：采用人体工学背心式、立体裁剪结构，主体颜色为橘红色。全身设置多处调节点及束缚带，配备裆带（四点式腿带）及下摆固定结构。采用前置高强度拉链与双侧安全插扣双重固定。后领、后背位置设置救援提拉把手及牵引拉点。救生衣的救援属具及配件不应有尖角、毛刺等导致穿着者和被救者受伤的缺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面料材质：外层面料采用高强力尼龙防泼水耐磨复合材料，具备抗裂、抗拉伸、耐摩擦性能。包布、织带的耐摩擦色牢度、耐皂洗色牢度、耐人造光色牢度应≥4级。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浮力性能：救生衣的浮力为120N±5N（且不超过125N）。救生衣在淡水中浸泡24h后，其浮力损失≤2%。</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整体强度指标：救生衣衣身主体可承受≥3000N的作用力持续30分钟，不破损、不开裂、不撕裂、不分离。救生衣肩部受力区域可承受≥900N的作用力持续30分钟，不断裂、不脱落、不撕裂。裆带、腿带与衣体连接点可承受≥900N拉力，不脱离、不撕裂、不损坏。拖拽环（背部D型环）破断强度不小于22kN。救生衣包布的接缝断裂强力应≥400N。固有浮力材料抗拉破断强度应≥140k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水中漂浮姿态：人员以任意姿态落水，均可自动快速回正为直立安全姿态。在自由放松漂浮状态下，人体口鼻必须高出水面≥120mm。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反光识别系统：反光带必须均匀分布在衣服前、后和侧面，实现360°全方位无死角可视。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装备挂载与收纳：应配备多处前置工具挂点，以及多个可拆卸快速排水网袋、对讲机专用袋、后背储物袋。应支持MOLLE战术扩展面板，可挂载模块装备、粘贴姓名贴、标识牌、队徽、单位标签。所有口袋、收纳仓均采用魔术贴、卡扣设计，方便快速开合。预留水仓、牛尾绳、救援绳挂载点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4</w:t>
      </w:r>
      <w:r>
        <w:rPr>
          <w:rFonts w:hint="eastAsia" w:ascii="宋体" w:hAnsi="宋体" w:cs="Times New Roman"/>
          <w:sz w:val="21"/>
          <w:szCs w:val="21"/>
        </w:rPr>
        <w:t xml:space="preserve">、救生衣</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固体固有浮力与气胀囊双浮力复合结构。落水后应具备自动扶正与稳定姿态功能，配置独立气胀救生圈。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外观组成：采用人体工学背心式结构，主体颜色为救援专用橘红色。采用前置拉链与双侧快速插扣双重锁紧设计。配备裆带及腿部固定带。救生衣的救援属具及配件不应有尖角、毛刺等导致穿着者和被救者受伤。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面料材质：面料采用高密度优质材料，具备抗拉扯、耐摩擦、防紫外线、耐老化、不渗水等性能。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浮力系统（复合式）：固有浮力≥50N；气胀气囊浮力≥100N；独立气胀救生圈浮力≥150N；总浮力≥300N。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充气性能：气囊或气胀圈手动机械充气触发时间≤5秒。</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ascii="宋体" w:hAnsi="宋体" w:cs="Times New Roman"/>
          <w:sz w:val="21"/>
          <w:szCs w:val="21"/>
        </w:rPr>
        <w:t xml:space="preserve">CO</w:t>
      </w:r>
      <w:r>
        <w:rPr>
          <w:rFonts w:ascii="Times New Roman" w:hAnsi="Times New Roman" w:cs="Times New Roman"/>
          <w:sz w:val="21"/>
          <w:szCs w:val="21"/>
        </w:rPr>
        <w:t xml:space="preserve">₂</w:t>
      </w:r>
      <w:r>
        <w:rPr>
          <w:rFonts w:hint="eastAsia" w:ascii="宋体" w:hAnsi="宋体" w:cs="Times New Roman"/>
          <w:sz w:val="21"/>
          <w:szCs w:val="21"/>
        </w:rPr>
        <w:t xml:space="preserve">气瓶规格：气囊专用气瓶充装质量≤</w:t>
      </w:r>
      <w:r>
        <w:rPr>
          <w:rFonts w:ascii="宋体" w:hAnsi="宋体" w:cs="Times New Roman"/>
          <w:sz w:val="21"/>
          <w:szCs w:val="21"/>
        </w:rPr>
        <w:t xml:space="preserve">33g</w:t>
      </w:r>
      <w:r>
        <w:rPr>
          <w:rFonts w:hint="eastAsia" w:ascii="宋体" w:hAnsi="宋体" w:cs="Times New Roman"/>
          <w:sz w:val="21"/>
          <w:szCs w:val="21"/>
        </w:rPr>
        <w:t xml:space="preserve">。气胀圈气瓶充装质量≤</w:t>
      </w:r>
      <w:r>
        <w:rPr>
          <w:rFonts w:ascii="宋体" w:hAnsi="宋体" w:cs="Times New Roman"/>
          <w:sz w:val="21"/>
          <w:szCs w:val="21"/>
        </w:rPr>
        <w:t xml:space="preserve">33g</w:t>
      </w:r>
      <w:r>
        <w:rPr>
          <w:rFonts w:hint="eastAsia" w:ascii="宋体" w:hAnsi="宋体" w:cs="Times New Roman"/>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重量与穿着：整衣质量≤1.5kg，可实现快速穿脱。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5</w:t>
      </w:r>
      <w:r>
        <w:rPr>
          <w:rFonts w:hint="eastAsia" w:ascii="宋体" w:hAnsi="宋体" w:cs="Times New Roman"/>
          <w:sz w:val="21"/>
          <w:szCs w:val="21"/>
        </w:rPr>
        <w:t xml:space="preserve">、水流测速仪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应具备便携、快速、精准、安全的流速与流量测量能力。采取非接触式雷达测速模式，可适应不同水域环境。应具备流速测量、流量估算、数据存储与导出等一体化功能，满足现场战备记录与事后追溯需求。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外观组成：手持便携式一体化结构，支持单手操作。机身具备防滑、防摔、密封防水设计，配备便携包。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显示模式：应配备≥2.8英寸彩色液晶显示屏，支持中文菜单，操作界面简洁直观。实时显示瞬时流速、平均速度、测量模式、电量、信号强度等关键信息。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流速测量范围：≥0.1~20m/s。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流速测量精度：≤±1.5%.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测量距离：≥100m。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电波频率：≥24GHz。</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功率输出：10~18dBm。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防水等级：≥IP67短时浸水（1m/30min）。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测量模式：可单次测量；也可连续测量，可以连续测量≥20min；具有单机流量估算模式，可以对规则断面的河渠的流量进行估算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1）</w:t>
      </w:r>
      <w:r>
        <w:rPr>
          <w:rFonts w:hint="eastAsia" w:ascii="宋体" w:hAnsi="宋体" w:cs="Times New Roman"/>
          <w:sz w:val="21"/>
          <w:szCs w:val="21"/>
        </w:rPr>
        <w:t xml:space="preserve">续航时间：内置大容量可充电锂电池，连续工作时间应≥10小时。具备低电量提示功能，满足全天候勘查作业需求。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数据存储与导出：单机存储容量应≥2000条测量数据，掉电不丢失。支持USB或U盘一键导出，数据格式通用，便于后续分析与归档。历史数据可查询、可追溯，满足战备记录要求。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辅助功能：具备自动角度补偿功能，降低操作难度，提升现场效率。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6</w:t>
      </w:r>
      <w:r>
        <w:rPr>
          <w:rFonts w:hint="eastAsia" w:ascii="宋体" w:hAnsi="宋体" w:cs="Times New Roman"/>
          <w:sz w:val="21"/>
          <w:szCs w:val="21"/>
        </w:rPr>
        <w:t xml:space="preserve">、水域救援刀</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应具备快速割绳、自救脱困、破窗、防刺、防锈耐腐蚀等核心功能。刀鞘具备双侧按压快拔设计，单手可操作、安全不脱落，可牢固挂载于救生衣上。</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组成：采用直形一体化结构，结构坚固。组合刃口：平刃、齿刃、割绳三合一设计。刀柄具备防滑凹凸纹路，橡胶包裹，湿水不打滑。金属表面光滑无毛刺、无裂纹、无凹痕。平头防刺设计，避免水中误伤，可兼作一字螺丝刀使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刀体材质：钛合金或不锈钢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硬度：刀体硬度应≥50HRC。</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尺寸规格：刀具总长≥180mm，刀柄长度≥110mm。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重量：刀具净重≤120g。带鞘总重≤190g。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耐腐蚀性能：经48小时中性盐雾试验后，应无明显腐蚀现象。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配置要求：每把水域救援刀配备专用刀鞘1个。刀鞘具备双侧按压快拔设计，具备救生衣挂载功能。配备≥1m自动伸缩挂绳，便于随身携带，防止脱落。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7</w:t>
      </w:r>
      <w:r>
        <w:rPr>
          <w:rFonts w:hint="eastAsia" w:ascii="宋体" w:hAnsi="宋体" w:cs="Times New Roman"/>
          <w:sz w:val="21"/>
          <w:szCs w:val="21"/>
        </w:rPr>
        <w:t xml:space="preserve">、漂浮担架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应具备水面漂浮、转运伤员、CPR施救、防冲击、牵引拖拽等功能。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外观组成：软体充气成型，可折叠收纳，四周配置多处防滑搬运把手，配备可调式伤员固定绑带。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材质面料：采用高强尼龙TPU气密材质，具备耐磨、防水、耐老化、气密性好，抗拉抗撕裂特性。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外形尺寸：展开长度≥190cm，宽度≥70cm。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整体重量：整机重量≤8kg。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承载浮力：承重能力≥100kg，浮力≥1600N。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充气方式：支持脚踏充气或高压钢瓶充气两种模式，充气时间≤2分钟。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配件配置：标配脚踏充气泵1套、固定绑带1套、牵引绳1根、收纳包1个及易损配件1套。</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48</w:t>
      </w:r>
      <w:r>
        <w:rPr>
          <w:rFonts w:hint="eastAsia" w:ascii="宋体" w:hAnsi="宋体" w:cs="Times New Roman"/>
          <w:sz w:val="21"/>
          <w:szCs w:val="21"/>
        </w:rPr>
        <w:t xml:space="preserve">、水域方位灯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应适用于水域救援作业，用于消防员在水域环境中的方位警示、远距离快速定位以及信号联络。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外观结构：一体化全密封结构，防水耐压，不渗水；配备快速固定结构，适用于头盔、救生衣等多</w:t>
      </w:r>
      <w:r>
        <w:rPr>
          <w:rFonts w:hint="eastAsia" w:ascii="宋体" w:hAnsi="宋体" w:cs="Times New Roman"/>
          <w:sz w:val="21"/>
          <w:szCs w:val="21"/>
        </w:rPr>
        <w:t xml:space="preserve">种佩戴方式。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发光显示：应采用高亮度LED光源，穿透力强；以闪光模式为主，可视距离远，能快速定位人员方位；闪光频率应满足救援需求，具有持续可视警示效果。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续航时间：连续工作时间应≥8h。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其他性能：应具备触水自动点亮功能，或具有手动多模式切换功能；外壳应具备抗腐蚀、抗冲击性能，适应水域复杂环境。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防水等级：所提供产品应符合IP68防水等级（水深1.5m、浸泡时间30min）。</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49</w:t>
      </w:r>
      <w:r>
        <w:rPr>
          <w:rFonts w:hint="eastAsia" w:ascii="宋体" w:hAnsi="宋体" w:cs="Times New Roman"/>
          <w:sz w:val="21"/>
          <w:szCs w:val="21"/>
        </w:rPr>
        <w:t xml:space="preserve">、橡皮艇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用于水面救援作业，艇体聚合纤维材料厚度≥0.9mm，艇身红色、艇底黑色。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外观组成：艇体配备反光标识，浮筒收纳式扶正绳，船头挡水片与防水收纳包，船头防撞结构。排水阀≥2个，底部加装防护底板，两侧止水浮筒。</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尺寸规格：艇长4米左右，宽2米左右；可折叠存放，净重≤85kg，最大荷载≥800kg，额定载人≥8人，静态稳性≥10°。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独立气室数量≥8个，每个气室独立安全阀，单气室破损仍具备浮力。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船底为M型结构，排水顺畅、稳度高，底部配备防护底板与两侧止水浮筒。</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气密性：空载静置60分钟浮筒剩余压力≥0.025MPa，龙骨静置60分钟剩余压力≥0.035MPa；满载加压至1.5倍额定压力静置30分钟无异常。</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配件：铝合金船桨2支、船头固定绳、充气泵、修补工具包、全套反光标识、排水阀、挂机挂点。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注：投标时提供设计图纸或实物照片。</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50</w:t>
      </w:r>
      <w:r>
        <w:rPr>
          <w:rFonts w:hint="eastAsia" w:ascii="宋体" w:hAnsi="宋体" w:cs="Times New Roman"/>
          <w:sz w:val="21"/>
          <w:szCs w:val="21"/>
        </w:rPr>
        <w:t xml:space="preserve">、舷外机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为橡皮艇、冲锋舟提供动力。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发动机为二冲程水冷机型。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气缸数量≥2个。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额定输出功率≥22kW，最大输出功率≥30匹。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排气量≤496cc，缸径×冲程≥72×61mm。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怠速800–950r/min，全功率4500–5500r/min。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CDI电子点火，手动启动。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后置操舵手柄，前进/空挡/倒档三档位。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燃油箱容积≥24L。</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10</w:t>
      </w:r>
      <w:r>
        <w:rPr>
          <w:rFonts w:hint="eastAsia" w:ascii="宋体" w:hAnsi="宋体" w:cs="Times New Roman"/>
          <w:sz w:val="21"/>
          <w:szCs w:val="21"/>
        </w:rPr>
        <w:t xml:space="preserve">）</w:t>
      </w:r>
      <w:r>
        <w:rPr>
          <w:rFonts w:hint="eastAsia" w:ascii="宋体" w:hAnsi="宋体" w:cs="Times New Roman"/>
          <w:sz w:val="21"/>
          <w:szCs w:val="21"/>
        </w:rPr>
        <w:t xml:space="preserve">整机净重≤55kg。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机身采用高强度耐腐蚀合金材质，轻量化设计。</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第二标段</w:t>
      </w:r>
      <w:r>
        <w:rPr>
          <w:rFonts w:hint="eastAsia" w:ascii="宋体" w:hAnsi="宋体" w:cstheme="minorEastAsia"/>
          <w:b/>
          <w:bCs/>
          <w:sz w:val="21"/>
          <w:szCs w:val="21"/>
        </w:rPr>
        <w:t xml:space="preserve">：</w:t>
      </w:r>
      <w:r>
        <w:rPr>
          <w:rFonts w:hint="eastAsia" w:ascii="宋体" w:hAnsi="宋体" w:cstheme="minorEastAsia"/>
          <w:b/>
          <w:bCs/>
          <w:sz w:val="21"/>
          <w:szCs w:val="21"/>
        </w:rPr>
        <w:t xml:space="preserve">苏州市消防救援支队2026年度消防器材采购项目（包</w:t>
      </w:r>
      <w:r>
        <w:rPr>
          <w:rFonts w:ascii="宋体" w:hAnsi="宋体" w:cstheme="minorEastAsia"/>
          <w:b/>
          <w:bCs/>
          <w:sz w:val="21"/>
          <w:szCs w:val="21"/>
        </w:rPr>
        <w:t xml:space="preserve">5</w:t>
      </w:r>
      <w:r>
        <w:rPr>
          <w:rFonts w:hint="eastAsia" w:ascii="宋体" w:hAnsi="宋体" w:cstheme="minorEastAsia"/>
          <w:b/>
          <w:bCs/>
          <w:sz w:val="21"/>
          <w:szCs w:val="21"/>
        </w:rPr>
        <w:t xml:space="preserve">）</w:t>
      </w:r>
      <w:r/>
    </w:p>
    <w:p>
      <w:pPr>
        <w:pStyle w:val="1000"/>
        <w:ind w:left="0" w:firstLine="422"/>
        <w:spacing w:line="360" w:lineRule="auto"/>
        <w:rPr>
          <w:rFonts w:ascii="宋体" w:hAnsi="宋体"/>
          <w:b/>
          <w:sz w:val="21"/>
          <w:szCs w:val="21"/>
        </w:rPr>
        <w:outlineLvl w:val="1"/>
      </w:pPr>
      <w:r>
        <w:rPr>
          <w:rFonts w:hint="eastAsia" w:ascii="宋体" w:hAnsi="宋体"/>
          <w:b/>
          <w:sz w:val="21"/>
          <w:szCs w:val="21"/>
        </w:rPr>
        <w:t xml:space="preserve">（三）</w:t>
      </w:r>
      <w:r>
        <w:rPr>
          <w:rFonts w:hint="eastAsia" w:ascii="宋体" w:hAnsi="宋体"/>
          <w:b/>
          <w:sz w:val="21"/>
          <w:szCs w:val="21"/>
        </w:rPr>
        <w:t xml:space="preserve">第二标段</w:t>
      </w:r>
      <w:r>
        <w:rPr>
          <w:rFonts w:hint="eastAsia" w:ascii="宋体" w:hAnsi="宋体"/>
          <w:b/>
          <w:sz w:val="21"/>
          <w:szCs w:val="21"/>
        </w:rPr>
        <w:t xml:space="preserve">采购清单</w:t>
      </w:r>
      <w:r/>
    </w:p>
    <w:tbl>
      <w:tblPr>
        <w:tblW w:w="5000" w:type="pct"/>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700"/>
        <w:gridCol w:w="990"/>
        <w:gridCol w:w="1987"/>
        <w:gridCol w:w="1276"/>
        <w:gridCol w:w="1134"/>
        <w:gridCol w:w="1416"/>
        <w:gridCol w:w="2341"/>
      </w:tblGrid>
      <w:tr>
        <w:trPr>
          <w:trHeight w:val="582"/>
        </w:trPr>
        <w:tc>
          <w:tcPr>
            <w:tcW w:w="35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50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00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64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71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18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trHeight w:val="402"/>
        </w:trPr>
        <w:tc>
          <w:tcPr>
            <w:tcW w:w="356"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51</w:t>
            </w:r>
            <w:r/>
          </w:p>
        </w:tc>
        <w:tc>
          <w:tcPr>
            <w:tcW w:w="503"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5</w:t>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气动起重气垫（方型）1</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6 </w:t>
            </w:r>
            <w:r/>
          </w:p>
        </w:tc>
        <w:tc>
          <w:tcPr>
            <w:tcW w:w="719"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7.0000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52</w:t>
            </w:r>
            <w:r/>
          </w:p>
        </w:tc>
        <w:tc>
          <w:tcPr>
            <w:tcW w:w="50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气动起重气垫（方型）2</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 </w:t>
            </w:r>
            <w:r/>
          </w:p>
        </w:tc>
        <w:tc>
          <w:tcPr>
            <w:tcW w:w="719"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hint="eastAsia" w:ascii="宋体" w:hAnsi="宋体" w:cs="Times New Roman"/>
                <w:bCs/>
                <w:sz w:val="21"/>
                <w:szCs w:val="21"/>
              </w:rPr>
              <w:t xml:space="preserve">4</w:t>
            </w:r>
            <w:r>
              <w:rPr>
                <w:rFonts w:ascii="宋体" w:hAnsi="宋体" w:cs="Times New Roman"/>
                <w:bCs/>
                <w:sz w:val="21"/>
                <w:szCs w:val="21"/>
              </w:rPr>
              <w:t xml:space="preserve">.0000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53</w:t>
            </w:r>
            <w:r/>
          </w:p>
        </w:tc>
        <w:tc>
          <w:tcPr>
            <w:tcW w:w="50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气动起重气垫（球形）</w:t>
            </w:r>
            <w:r/>
          </w:p>
        </w:tc>
        <w:tc>
          <w:tcPr>
            <w:tcW w:w="648"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76"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 </w:t>
            </w:r>
            <w:r/>
          </w:p>
        </w:tc>
        <w:tc>
          <w:tcPr>
            <w:tcW w:w="719"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189"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15.0000 </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w:t>
      </w:r>
      <w:r>
        <w:rPr>
          <w:rFonts w:hint="eastAsia" w:ascii="宋体" w:hAnsi="宋体" w:cstheme="minorEastAsia"/>
          <w:b/>
          <w:bCs/>
          <w:sz w:val="21"/>
          <w:szCs w:val="21"/>
        </w:rPr>
        <w:t xml:space="preserve">气动起重气垫（球形）</w:t>
      </w:r>
      <w:r>
        <w:rPr>
          <w:rFonts w:hint="eastAsia" w:ascii="宋体" w:hAnsi="宋体" w:cstheme="minorEastAsia"/>
          <w:b/>
          <w:bCs/>
          <w:sz w:val="21"/>
          <w:szCs w:val="21"/>
        </w:rPr>
        <w:t xml:space="preserve">（序号</w:t>
      </w:r>
      <w:r>
        <w:rPr>
          <w:rFonts w:ascii="宋体" w:hAnsi="宋体" w:cstheme="minorEastAsia"/>
          <w:b/>
          <w:bCs/>
          <w:sz w:val="21"/>
          <w:szCs w:val="21"/>
        </w:rPr>
        <w:t xml:space="preserve">53</w:t>
      </w:r>
      <w:r>
        <w:rPr>
          <w:rFonts w:hint="eastAsia" w:ascii="宋体" w:hAnsi="宋体" w:cstheme="minorEastAsia"/>
          <w:b/>
          <w:bCs/>
          <w:sz w:val="21"/>
          <w:szCs w:val="21"/>
        </w:rPr>
        <w:t xml:space="preserve">）</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（四）</w:t>
      </w:r>
      <w:r>
        <w:rPr>
          <w:rFonts w:hint="eastAsia" w:ascii="宋体" w:hAnsi="宋体" w:cstheme="minorEastAsia"/>
          <w:b/>
          <w:bCs/>
          <w:sz w:val="21"/>
          <w:szCs w:val="21"/>
        </w:rPr>
        <w:t xml:space="preserve">第二标段</w:t>
      </w:r>
      <w:r>
        <w:rPr>
          <w:rFonts w:hint="eastAsia" w:ascii="宋体" w:hAnsi="宋体" w:cstheme="minorEastAsia"/>
          <w:b/>
          <w:bCs/>
          <w:sz w:val="21"/>
          <w:szCs w:val="21"/>
        </w:rPr>
        <w:t xml:space="preserve">技术参数</w:t>
      </w:r>
      <w:r/>
    </w:p>
    <w:p>
      <w:pPr>
        <w:pStyle w:val="1000"/>
        <w:ind w:left="0" w:firstLine="420"/>
        <w:spacing w:line="360" w:lineRule="auto"/>
        <w:rPr>
          <w:rFonts w:ascii="宋体" w:hAnsi="宋体"/>
          <w:sz w:val="21"/>
          <w:szCs w:val="21"/>
        </w:rPr>
      </w:pPr>
      <w:r>
        <w:rPr>
          <w:rFonts w:hint="eastAsia" w:ascii="宋体" w:hAnsi="宋体"/>
          <w:sz w:val="21"/>
          <w:szCs w:val="21"/>
        </w:rPr>
        <w:t xml:space="preserve">5</w:t>
      </w:r>
      <w:r>
        <w:rPr>
          <w:rFonts w:ascii="宋体" w:hAnsi="宋体"/>
          <w:sz w:val="21"/>
          <w:szCs w:val="21"/>
        </w:rPr>
        <w:t xml:space="preserve">1</w:t>
      </w:r>
      <w:r>
        <w:rPr>
          <w:rFonts w:hint="eastAsia" w:ascii="宋体" w:hAnsi="宋体"/>
          <w:sz w:val="21"/>
          <w:szCs w:val="21"/>
        </w:rPr>
        <w:t xml:space="preserve">、气动起重气垫（方型）</w:t>
      </w:r>
      <w:r>
        <w:rPr>
          <w:rFonts w:hint="eastAsia" w:ascii="宋体" w:hAnsi="宋体"/>
          <w:sz w:val="21"/>
          <w:szCs w:val="21"/>
        </w:rPr>
        <w:t xml:space="preserve">1</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套组配置：至少配备不少于轻型≥6T、中型≥20T、重型≥40T，3种规格的起重气垫、气瓶、减压器、控制器、充气管、收纳箱等全套救援配件。</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气垫外观：方形平面结构，适配狭小空间作业，配套专用收纳装置。</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气垫规格：气垫厚度≤2.6cm，可插入≤2.6cm空间作业。轻型最大顶升高度≥11cm，最大举升力≥6T；中型最大顶升高度≥25cm，中型最大举升力≥20T；重型最大顶升高度≥30cm，重型最大举升力≥40T；不同规格气垫适配不同救援场景，覆盖不同重量的起重救援需求。</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气垫材质：采用高强度耐磨材质，且应具备防滑、抗刺穿等性能，气垫接触地面和承载面抗穿刺性≥1100N，安全系数≥4倍。</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气垫重量：轻型：≤2kg；中型：≤7kg；重型：≤10kg。</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气垫尺寸：轻型：≤370×370mm；中型：≤560×560mm；重型：≤1050×750mm。</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气瓶应符合 GB/T28053 的规定。气瓶阀应符合 GB/T34527 的规定。起重气垫使用的快换接头应符合 GB/T22076 的规定。配套气瓶规格：不少于1个且不小于6.8L符合有关标准的碳纤维气瓶，可搭配脚踏泵使用。</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气瓶额定工作压力≥8bar，满足救援作业压力需求。</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操控方式：支持双路/双控操控方式。</w:t>
      </w:r>
      <w:r/>
    </w:p>
    <w:p>
      <w:pPr>
        <w:pStyle w:val="100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最小充气时间应≤180S，排气时间应≤360S。</w:t>
      </w:r>
      <w:r/>
    </w:p>
    <w:p>
      <w:pPr>
        <w:pStyle w:val="1000"/>
        <w:ind w:left="0" w:firstLine="420"/>
        <w:spacing w:line="360" w:lineRule="auto"/>
        <w:rPr>
          <w:rFonts w:ascii="宋体" w:hAnsi="宋体"/>
          <w:sz w:val="21"/>
          <w:szCs w:val="21"/>
        </w:rPr>
      </w:pPr>
      <w:r>
        <w:rPr>
          <w:rFonts w:hint="eastAsia" w:ascii="宋体" w:hAnsi="宋体"/>
          <w:sz w:val="21"/>
          <w:szCs w:val="21"/>
        </w:rPr>
        <w:t xml:space="preserve">5</w:t>
      </w:r>
      <w:r>
        <w:rPr>
          <w:rFonts w:ascii="宋体" w:hAnsi="宋体"/>
          <w:sz w:val="21"/>
          <w:szCs w:val="21"/>
        </w:rPr>
        <w:t xml:space="preserve">2</w:t>
      </w:r>
      <w:r>
        <w:rPr>
          <w:rFonts w:hint="eastAsia" w:ascii="宋体" w:hAnsi="宋体"/>
          <w:sz w:val="21"/>
          <w:szCs w:val="21"/>
        </w:rPr>
        <w:t xml:space="preserve">、气动起重气垫（方型）</w:t>
      </w:r>
      <w:r>
        <w:rPr>
          <w:rFonts w:hint="eastAsia" w:ascii="宋体" w:hAnsi="宋体"/>
          <w:sz w:val="21"/>
          <w:szCs w:val="21"/>
        </w:rPr>
        <w:t xml:space="preserve">2</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产品应适用于各种事故、地震、坍塌、狭小、易爆等场景救援顶升。</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气垫材质：采用高强度耐磨材质，安全系数≥4倍。</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额定工作压力≥0.7MPa。</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插入高度≤2.5cm。</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配备不少于轻型≥6T、中型≥10T、重型≥20T，三种规格气垫。</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升举高度：轻型：最大顶升高度≥12cm；中型：最大顶升高度≥20cm；重型：最大顶升高度≥24cm。</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气垫尺寸：轻型：≤300×300mm；中型：≤440×440mm；重型：≤650×550mm。</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气垫重量：轻型：≤3kg；中型：≤5kg；重型：≤12kg。</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气瓶应符合 GB/T28053 的规定。气瓶阀应符合 GB/T34527 的规定。起重气垫使用的快换接头应符合 GB/T22076 的规定。配套气瓶规格：不少于1个且不小于6.8L符合有关标准的碳纤维气瓶，可搭配脚踏泵使用。</w:t>
      </w:r>
      <w:r/>
    </w:p>
    <w:p>
      <w:pPr>
        <w:pStyle w:val="100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操控方式：支持双路/双控操控方式。</w:t>
      </w:r>
      <w:r/>
    </w:p>
    <w:p>
      <w:pPr>
        <w:pStyle w:val="100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至少配备减压器、控制器、充气管路、碳纤维气瓶、收纳箱。 </w:t>
      </w:r>
      <w:r/>
    </w:p>
    <w:p>
      <w:pPr>
        <w:pStyle w:val="1000"/>
        <w:ind w:left="0" w:firstLine="420"/>
        <w:spacing w:line="360" w:lineRule="auto"/>
        <w:rPr>
          <w:rFonts w:ascii="宋体" w:hAnsi="宋体"/>
          <w:sz w:val="21"/>
          <w:szCs w:val="21"/>
        </w:rPr>
      </w:pPr>
      <w:r>
        <w:rPr>
          <w:rFonts w:ascii="宋体" w:hAnsi="宋体"/>
          <w:sz w:val="21"/>
          <w:szCs w:val="21"/>
        </w:rPr>
        <w:t xml:space="preserve">53</w:t>
      </w:r>
      <w:r>
        <w:rPr>
          <w:rFonts w:hint="eastAsia" w:ascii="宋体" w:hAnsi="宋体"/>
          <w:sz w:val="21"/>
          <w:szCs w:val="21"/>
        </w:rPr>
        <w:t xml:space="preserve">、气动起重气垫（球型）</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产品适用于交通事故、建筑倒塌等现场救援，可实现狭小空间起重顶升作业，支持单气垫独立使用或多气垫串联组合使用，配套完整的控制、调压、输气等辅助配件的救援器材。</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结构组成：由气垫垫体、气瓶、减压器、控制器、输气软管等组成。</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支持单气垫独立使用，同时可通过金属连接件稳固串联多气垫组合使用。</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每套至少包含2个不同吨位的起重气垫，覆盖狭小空间及大吨位顶升需求。</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小型气垫：适配狭小空间救援，插入高度≤7cm，最大起重能力≥25吨，最大顶升高度≥270mm，重量≤12kg。</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中型气垫：最大起重能力≥65吨，最大顶升高度≥430mm，重量≤23kg。</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耐压安全系数≥4:1，可承受4倍及以上额定工作压力无异常。</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圆形结构，气垫边缘安装不少于2个的提手。</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配套完整的控制、调压、输气、连接等全套配件，可直接来连接入使用。</w:t>
      </w:r>
      <w:r/>
    </w:p>
    <w:p>
      <w:pPr>
        <w:pStyle w:val="100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支持单/双气垫独立控制功能</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压力调节范围覆盖0-30MPa，输出压力稳定，具备压力锁紧装置，确保作业安全。</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输气软管长度≥3m，承压能力≥1.5倍额定工作压力，适配远距离救援操作。</w:t>
      </w:r>
      <w:r/>
    </w:p>
    <w:p>
      <w:pPr>
        <w:pStyle w:val="100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配套完整的稳固保护附件，适配不同救援场景的顶升稳固需求，单件承重≥100吨。</w:t>
      </w:r>
      <w:r/>
    </w:p>
    <w:p>
      <w:pPr>
        <w:pStyle w:val="100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最小充气时间应≤180S，排气时间应≤360S。</w:t>
      </w:r>
      <w:r/>
    </w:p>
    <w:p>
      <w:pPr>
        <w:pStyle w:val="100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气瓶应符合 GB/T28053 的规定。气瓶阀应符合 GB/T34527 的规定。起重气垫使用的快换接头应符合 GB/T22076 的规定。压力表应符合GB/T1226规定，外壳应有橡胶防护套。</w:t>
      </w:r>
      <w:r/>
    </w:p>
    <w:p>
      <w:pPr>
        <w:pStyle w:val="100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气垫的控制器应设置充气、排气和空档三个档位，控制手柄或按钮在撤出外力后应能自行返回空档；每个气垫的上、下两面，分别固定内置有防滑设计的金属平面板，可以直接顶升尖锐物体；每个气垫包括一个便携式收纳盒。</w:t>
      </w:r>
      <w:r/>
    </w:p>
    <w:p>
      <w:pPr>
        <w:pStyle w:val="100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工作温度范围不低于：-20~55℃，在此温度下保存30分钟，产品可正常使用。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第三标段</w:t>
      </w:r>
      <w:r>
        <w:rPr>
          <w:rFonts w:hint="eastAsia" w:ascii="宋体" w:hAnsi="宋体" w:cstheme="minorEastAsia"/>
          <w:b/>
          <w:bCs/>
          <w:sz w:val="21"/>
          <w:szCs w:val="21"/>
        </w:rPr>
        <w:t xml:space="preserve">：</w:t>
      </w:r>
      <w:r>
        <w:rPr>
          <w:rFonts w:hint="eastAsia" w:ascii="宋体" w:hAnsi="宋体" w:cstheme="minorEastAsia"/>
          <w:b/>
          <w:bCs/>
          <w:sz w:val="21"/>
          <w:szCs w:val="21"/>
        </w:rPr>
        <w:t xml:space="preserve">苏州市消防救援支队2026年度消防器材采购项目（包</w:t>
      </w:r>
      <w:r>
        <w:rPr>
          <w:rFonts w:ascii="宋体" w:hAnsi="宋体" w:cstheme="minorEastAsia"/>
          <w:b/>
          <w:bCs/>
          <w:sz w:val="21"/>
          <w:szCs w:val="21"/>
        </w:rPr>
        <w:t xml:space="preserve">6</w:t>
      </w:r>
      <w:r>
        <w:rPr>
          <w:rFonts w:hint="eastAsia" w:ascii="宋体" w:hAnsi="宋体" w:cstheme="minorEastAsia"/>
          <w:b/>
          <w:bCs/>
          <w:sz w:val="21"/>
          <w:szCs w:val="21"/>
        </w:rPr>
        <w:t xml:space="preserve">）</w:t>
      </w:r>
      <w:r/>
    </w:p>
    <w:p>
      <w:pPr>
        <w:pStyle w:val="1000"/>
        <w:ind w:left="0" w:firstLine="422"/>
        <w:spacing w:line="360" w:lineRule="auto"/>
        <w:rPr>
          <w:rFonts w:ascii="宋体" w:hAnsi="宋体"/>
          <w:b/>
          <w:sz w:val="21"/>
          <w:szCs w:val="21"/>
        </w:rPr>
        <w:outlineLvl w:val="1"/>
      </w:pPr>
      <w:r>
        <w:rPr>
          <w:rFonts w:hint="eastAsia" w:ascii="宋体" w:hAnsi="宋体"/>
          <w:b/>
          <w:sz w:val="21"/>
          <w:szCs w:val="21"/>
        </w:rPr>
        <w:t xml:space="preserve">（五）</w:t>
      </w:r>
      <w:r>
        <w:rPr>
          <w:rFonts w:hint="eastAsia" w:ascii="宋体" w:hAnsi="宋体"/>
          <w:b/>
          <w:sz w:val="21"/>
          <w:szCs w:val="21"/>
        </w:rPr>
        <w:t xml:space="preserve">第三标段</w:t>
      </w:r>
      <w:r>
        <w:rPr>
          <w:rFonts w:hint="eastAsia" w:ascii="宋体" w:hAnsi="宋体"/>
          <w:b/>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700"/>
        <w:gridCol w:w="853"/>
        <w:gridCol w:w="2124"/>
        <w:gridCol w:w="1132"/>
        <w:gridCol w:w="1278"/>
        <w:gridCol w:w="1418"/>
        <w:gridCol w:w="2339"/>
      </w:tblGrid>
      <w:tr>
        <w:trPr>
          <w:jc w:val="center"/>
          <w:trHeight w:val="582"/>
        </w:trPr>
        <w:tc>
          <w:tcPr>
            <w:tcW w:w="35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43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07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575"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64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720"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18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355"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54</w:t>
            </w:r>
            <w:r/>
          </w:p>
        </w:tc>
        <w:tc>
          <w:tcPr>
            <w:tcW w:w="433"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6</w:t>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机动链锯</w:t>
            </w:r>
            <w:r/>
          </w:p>
        </w:tc>
        <w:tc>
          <w:tcPr>
            <w:tcW w:w="57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30 </w:t>
            </w:r>
            <w:r/>
          </w:p>
        </w:tc>
        <w:tc>
          <w:tcPr>
            <w:tcW w:w="720"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188"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0.5000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55</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机动链锯（电动）</w:t>
            </w:r>
            <w:r/>
          </w:p>
        </w:tc>
        <w:tc>
          <w:tcPr>
            <w:tcW w:w="57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14 </w:t>
            </w:r>
            <w:r/>
          </w:p>
        </w:tc>
        <w:tc>
          <w:tcPr>
            <w:tcW w:w="720"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188"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1.2500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56</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无齿锯</w:t>
            </w:r>
            <w:r/>
          </w:p>
        </w:tc>
        <w:tc>
          <w:tcPr>
            <w:tcW w:w="57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28 </w:t>
            </w:r>
            <w:r/>
          </w:p>
        </w:tc>
        <w:tc>
          <w:tcPr>
            <w:tcW w:w="720"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188" w:type="pct"/>
            <w:vAlign w:val="center"/>
            <w:textDirection w:val="lrTb"/>
            <w:noWrap/>
          </w:tcPr>
          <w:p>
            <w:pPr>
              <w:ind w:left="0"/>
              <w:jc w:val="left"/>
              <w:rPr>
                <w:rFonts w:ascii="宋体" w:hAnsi="宋体" w:cs="Times New Roman"/>
                <w:sz w:val="21"/>
                <w:szCs w:val="21"/>
              </w:rPr>
            </w:pPr>
            <w:r>
              <w:rPr>
                <w:rFonts w:ascii="宋体" w:hAnsi="宋体" w:cs="Times New Roman"/>
                <w:bCs/>
                <w:sz w:val="21"/>
                <w:szCs w:val="21"/>
              </w:rPr>
              <w:t xml:space="preserve">1.6500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57</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无齿锯（电动）</w:t>
            </w:r>
            <w:r/>
          </w:p>
        </w:tc>
        <w:tc>
          <w:tcPr>
            <w:tcW w:w="57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10 </w:t>
            </w:r>
            <w:r/>
          </w:p>
        </w:tc>
        <w:tc>
          <w:tcPr>
            <w:tcW w:w="720"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188" w:type="pct"/>
            <w:vAlign w:val="center"/>
            <w:textDirection w:val="lrTb"/>
            <w:noWrap/>
          </w:tcPr>
          <w:p>
            <w:pPr>
              <w:ind w:left="0"/>
              <w:jc w:val="left"/>
              <w:rPr>
                <w:rFonts w:ascii="宋体" w:hAnsi="宋体" w:cs="Times New Roman"/>
                <w:sz w:val="21"/>
                <w:szCs w:val="21"/>
              </w:rPr>
            </w:pPr>
            <w:r>
              <w:rPr>
                <w:rFonts w:ascii="宋体" w:hAnsi="宋体" w:cs="Times New Roman"/>
                <w:bCs/>
                <w:sz w:val="21"/>
                <w:szCs w:val="21"/>
              </w:rPr>
              <w:t xml:space="preserve">3.5000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58</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b/>
                <w:bCs/>
                <w:sz w:val="21"/>
                <w:szCs w:val="21"/>
              </w:rPr>
            </w:pPr>
            <w:r>
              <w:rPr>
                <w:rFonts w:hint="eastAsia" w:ascii="宋体" w:hAnsi="宋体"/>
                <w:sz w:val="21"/>
                <w:szCs w:val="21"/>
              </w:rPr>
              <w:t xml:space="preserve">双轮异向切割锯</w:t>
            </w:r>
            <w:r/>
          </w:p>
        </w:tc>
        <w:tc>
          <w:tcPr>
            <w:tcW w:w="57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8 </w:t>
            </w:r>
            <w:r/>
          </w:p>
        </w:tc>
        <w:tc>
          <w:tcPr>
            <w:tcW w:w="720"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188"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1.6000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59</w:t>
            </w:r>
            <w:r/>
          </w:p>
        </w:tc>
        <w:tc>
          <w:tcPr>
            <w:tcW w:w="43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手持式钢筋速断器</w:t>
            </w:r>
            <w:r/>
          </w:p>
        </w:tc>
        <w:tc>
          <w:tcPr>
            <w:tcW w:w="57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7 </w:t>
            </w:r>
            <w:r/>
          </w:p>
        </w:tc>
        <w:tc>
          <w:tcPr>
            <w:tcW w:w="720"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188"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1.0000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60</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玻璃破碎器</w:t>
            </w:r>
            <w:r/>
          </w:p>
        </w:tc>
        <w:tc>
          <w:tcPr>
            <w:tcW w:w="57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10 </w:t>
            </w:r>
            <w:r/>
          </w:p>
        </w:tc>
        <w:tc>
          <w:tcPr>
            <w:tcW w:w="720"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188"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0.4500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61</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手动破拆工具组</w:t>
            </w:r>
            <w:r/>
          </w:p>
        </w:tc>
        <w:tc>
          <w:tcPr>
            <w:tcW w:w="57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5 </w:t>
            </w:r>
            <w:r/>
          </w:p>
        </w:tc>
        <w:tc>
          <w:tcPr>
            <w:tcW w:w="720"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188"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0.4200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62</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凿岩机</w:t>
            </w:r>
            <w:r/>
          </w:p>
        </w:tc>
        <w:tc>
          <w:tcPr>
            <w:tcW w:w="57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7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188" w:type="pct"/>
            <w:vAlign w:val="center"/>
            <w:textDirection w:val="lrTb"/>
            <w:noWrap/>
          </w:tcPr>
          <w:p>
            <w:pPr>
              <w:ind w:left="0"/>
              <w:jc w:val="left"/>
              <w:rPr>
                <w:rFonts w:ascii="宋体" w:hAnsi="宋体" w:cs="Times New Roman"/>
                <w:bCs/>
                <w:sz w:val="21"/>
                <w:szCs w:val="21"/>
              </w:rPr>
            </w:pPr>
            <w:r>
              <w:rPr>
                <w:rFonts w:ascii="宋体" w:hAnsi="宋体" w:cs="Times New Roman"/>
                <w:bCs/>
                <w:sz w:val="21"/>
                <w:szCs w:val="21"/>
              </w:rPr>
              <w:t xml:space="preserve">1.2000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63</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毁锁器</w:t>
            </w:r>
            <w:r/>
          </w:p>
        </w:tc>
        <w:tc>
          <w:tcPr>
            <w:tcW w:w="57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台</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18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188" w:type="pct"/>
            <w:vAlign w:val="center"/>
            <w:textDirection w:val="lrTb"/>
            <w:noWrap/>
          </w:tcPr>
          <w:p>
            <w:pPr>
              <w:ind w:left="0"/>
              <w:jc w:val="left"/>
              <w:rPr>
                <w:rFonts w:ascii="宋体" w:hAnsi="宋体" w:cs="Times New Roman"/>
                <w:bCs/>
                <w:sz w:val="21"/>
                <w:szCs w:val="21"/>
              </w:rPr>
            </w:pPr>
            <w:r>
              <w:rPr>
                <w:rFonts w:ascii="宋体" w:hAnsi="宋体" w:cs="Times New Roman"/>
                <w:sz w:val="21"/>
                <w:szCs w:val="21"/>
              </w:rPr>
              <w:t xml:space="preserve">0.6000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6</w:t>
            </w:r>
            <w:r>
              <w:rPr>
                <w:rFonts w:ascii="宋体" w:hAnsi="宋体" w:cs="Times New Roman"/>
                <w:bCs/>
                <w:sz w:val="21"/>
                <w:szCs w:val="21"/>
              </w:rPr>
              <w:t xml:space="preserve">4</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绝缘剪断钳</w:t>
            </w:r>
            <w:r/>
          </w:p>
        </w:tc>
        <w:tc>
          <w:tcPr>
            <w:tcW w:w="57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把</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58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188"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0.0350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hint="eastAsia" w:ascii="宋体" w:hAnsi="宋体" w:cs="Times New Roman"/>
                <w:bCs/>
                <w:sz w:val="21"/>
                <w:szCs w:val="21"/>
              </w:rPr>
              <w:t xml:space="preserve">6</w:t>
            </w:r>
            <w:r>
              <w:rPr>
                <w:rFonts w:ascii="宋体" w:hAnsi="宋体" w:cs="Times New Roman"/>
                <w:bCs/>
                <w:sz w:val="21"/>
                <w:szCs w:val="21"/>
              </w:rPr>
              <w:t xml:space="preserve">5</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多功能撬棒</w:t>
            </w:r>
            <w:r/>
          </w:p>
        </w:tc>
        <w:tc>
          <w:tcPr>
            <w:tcW w:w="57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65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188"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0.1500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66</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07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多功能挠钩</w:t>
            </w:r>
            <w:r/>
          </w:p>
        </w:tc>
        <w:tc>
          <w:tcPr>
            <w:tcW w:w="57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个</w:t>
            </w:r>
            <w:r/>
          </w:p>
        </w:tc>
        <w:tc>
          <w:tcPr>
            <w:tcW w:w="649"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17 </w:t>
            </w:r>
            <w:r/>
          </w:p>
        </w:tc>
        <w:tc>
          <w:tcPr>
            <w:tcW w:w="720"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188" w:type="pct"/>
            <w:vAlign w:val="center"/>
            <w:textDirection w:val="lrTb"/>
            <w:noWrap/>
          </w:tcPr>
          <w:p>
            <w:pPr>
              <w:ind w:left="0"/>
              <w:jc w:val="left"/>
              <w:rPr>
                <w:rFonts w:ascii="宋体" w:hAnsi="宋体" w:cs="Times New Roman"/>
                <w:bCs/>
                <w:sz w:val="21"/>
                <w:szCs w:val="21"/>
              </w:rPr>
            </w:pPr>
            <w:r>
              <w:rPr>
                <w:rFonts w:ascii="宋体" w:hAnsi="宋体" w:cs="Times New Roman"/>
                <w:sz w:val="21"/>
                <w:szCs w:val="21"/>
              </w:rPr>
              <w:t xml:space="preserve">0.3400 </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w:t>
      </w:r>
      <w:r>
        <w:rPr>
          <w:rFonts w:hint="eastAsia" w:ascii="宋体" w:hAnsi="宋体" w:cstheme="minorEastAsia"/>
          <w:b/>
          <w:bCs/>
          <w:sz w:val="21"/>
          <w:szCs w:val="21"/>
        </w:rPr>
        <w:t xml:space="preserve">无齿锯</w:t>
      </w:r>
      <w:r>
        <w:rPr>
          <w:rFonts w:hint="eastAsia" w:ascii="宋体" w:hAnsi="宋体" w:cstheme="minorEastAsia"/>
          <w:b/>
          <w:bCs/>
          <w:sz w:val="21"/>
          <w:szCs w:val="21"/>
        </w:rPr>
        <w:t xml:space="preserve">（序号</w:t>
      </w:r>
      <w:r>
        <w:rPr>
          <w:rFonts w:ascii="宋体" w:hAnsi="宋体" w:cstheme="minorEastAsia"/>
          <w:b/>
          <w:bCs/>
          <w:sz w:val="21"/>
          <w:szCs w:val="21"/>
        </w:rPr>
        <w:t xml:space="preserve">56</w:t>
      </w:r>
      <w:r>
        <w:rPr>
          <w:rFonts w:hint="eastAsia" w:ascii="宋体" w:hAnsi="宋体" w:cstheme="minorEastAsia"/>
          <w:b/>
          <w:bCs/>
          <w:sz w:val="21"/>
          <w:szCs w:val="21"/>
        </w:rPr>
        <w:t xml:space="preserve">）</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（六）</w:t>
      </w:r>
      <w:r>
        <w:rPr>
          <w:rFonts w:hint="eastAsia" w:ascii="宋体" w:hAnsi="宋体" w:cstheme="minorEastAsia"/>
          <w:b/>
          <w:bCs/>
          <w:sz w:val="21"/>
          <w:szCs w:val="21"/>
        </w:rPr>
        <w:t xml:space="preserve">第三标段</w:t>
      </w:r>
      <w:r>
        <w:rPr>
          <w:rFonts w:hint="eastAsia" w:ascii="宋体" w:hAnsi="宋体" w:cstheme="minorEastAsia"/>
          <w:b/>
          <w:bCs/>
          <w:sz w:val="21"/>
          <w:szCs w:val="21"/>
        </w:rPr>
        <w:t xml:space="preserve">技术参数</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54</w:t>
      </w:r>
      <w:r>
        <w:rPr>
          <w:rFonts w:hint="eastAsia" w:ascii="宋体" w:hAnsi="宋体" w:cs="Times New Roman"/>
          <w:sz w:val="21"/>
          <w:szCs w:val="21"/>
        </w:rPr>
        <w:t xml:space="preserve">、机动链锯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提供所投产品的检验</w:t>
      </w:r>
      <w:r>
        <w:rPr>
          <w:rFonts w:hint="eastAsia" w:ascii="宋体" w:hAnsi="宋体" w:cs="Times New Roman"/>
          <w:sz w:val="21"/>
          <w:szCs w:val="21"/>
        </w:rPr>
        <w:t xml:space="preserve">检测</w:t>
      </w:r>
      <w:r>
        <w:rPr>
          <w:rFonts w:hint="eastAsia" w:ascii="宋体" w:hAnsi="宋体" w:cs="Times New Roman"/>
          <w:sz w:val="21"/>
          <w:szCs w:val="21"/>
        </w:rPr>
        <w:t xml:space="preserve">报告</w:t>
      </w:r>
      <w:r>
        <w:rPr>
          <w:rFonts w:hint="eastAsia" w:ascii="宋体" w:hAnsi="宋体" w:cs="Times New Roman"/>
          <w:sz w:val="21"/>
          <w:szCs w:val="21"/>
        </w:rPr>
        <w:t xml:space="preserve">，</w:t>
      </w:r>
      <w:r>
        <w:rPr>
          <w:rFonts w:hint="eastAsia" w:ascii="宋体" w:hAnsi="宋体" w:cs="Times New Roman"/>
          <w:sz w:val="21"/>
          <w:szCs w:val="21"/>
        </w:rPr>
        <w:t xml:space="preserve">检验结果和结论符合GB32460-2015《消防应急救援装备破拆机具通用技术条件》标准要求。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发动机类型：二冲程发动机，额定功率≥4kW，排量≥70cc，最高转速≥13500r/min，燃油箱容积≥0.7L，润滑油箱容积≥0.4L。</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导板长度≥500mm；切割深度≥450mm；链条节距 3/8 英寸；链条速度≥30m/s；噪音≤110dB (A)。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整机质量 ≤ 8.5kg。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低温启动时间</w:t>
      </w:r>
      <w:r>
        <w:rPr>
          <w:rFonts w:hint="eastAsia" w:ascii="宋体" w:hAnsi="宋体" w:cs="Times New Roman"/>
          <w:sz w:val="21"/>
          <w:szCs w:val="21"/>
        </w:rPr>
        <w:tab/>
        <w:t xml:space="preserve">≤ 30 s，连续正常工作时间（除加油时间外）≥ 3 h，机体及手柄表面温度≤ 70 ℃，一次额定燃油充装量连续工作时间≥ 20 min；手拉启动器耐久性至少保证拉动 1000次不损坏；工作温度范围不低于 -20～55℃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链条节距≥ 0.7 cm，导板适配18寸导板。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熄火开关：应装有熄火开关，置于操作方便位置。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配备同品牌链条≥2条链条、原装火花塞≥2套、原装润滑油≥5L、护目镜1个、防护手套1副、专用维修工具1套、专用工具1套、比例油桶、护目镜、防护手套等附件。</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55</w:t>
      </w:r>
      <w:r>
        <w:rPr>
          <w:rFonts w:hint="eastAsia" w:ascii="宋体" w:hAnsi="宋体" w:cs="Times New Roman"/>
          <w:sz w:val="21"/>
          <w:szCs w:val="21"/>
        </w:rPr>
        <w:t xml:space="preserve">、机动链锯（电动）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提供所投产品的检验</w:t>
      </w:r>
      <w:r>
        <w:rPr>
          <w:rFonts w:hint="eastAsia" w:ascii="宋体" w:hAnsi="宋体" w:cs="Times New Roman"/>
          <w:sz w:val="21"/>
          <w:szCs w:val="21"/>
        </w:rPr>
        <w:t xml:space="preserve">检测</w:t>
      </w:r>
      <w:r>
        <w:rPr>
          <w:rFonts w:hint="eastAsia" w:ascii="宋体" w:hAnsi="宋体" w:cs="Times New Roman"/>
          <w:sz w:val="21"/>
          <w:szCs w:val="21"/>
        </w:rPr>
        <w:t xml:space="preserve">报告</w:t>
      </w:r>
      <w:r>
        <w:rPr>
          <w:rFonts w:hint="eastAsia" w:ascii="宋体" w:hAnsi="宋体" w:cs="Times New Roman"/>
          <w:sz w:val="21"/>
          <w:szCs w:val="21"/>
        </w:rPr>
        <w:t xml:space="preserve">，</w:t>
      </w:r>
      <w:r>
        <w:rPr>
          <w:rFonts w:hint="eastAsia" w:ascii="宋体" w:hAnsi="宋体" w:cs="Times New Roman"/>
          <w:sz w:val="21"/>
          <w:szCs w:val="21"/>
        </w:rPr>
        <w:t xml:space="preserve">检验结果和结论符合GB32460-2015《消防应急救援装备破拆机具通用技术条件》标准要求。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工作电压 ≥18V；电池类型：锂电池；容量 ≥12AH。单块电池充电时间≤130 分钟。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空载转速≥6600rpm，锯切效率≥60cm²/s，噪音振动级别≤1.9m/s。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具有链条刹车、速停功能、过载指示等功能。无极调速。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整机重量≤5Kg（不含电池）；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需配备电池 ≥2 块、链条 ≥2 条。</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56</w:t>
      </w:r>
      <w:r>
        <w:rPr>
          <w:rFonts w:hint="eastAsia" w:ascii="宋体" w:hAnsi="宋体" w:cs="Times New Roman"/>
          <w:sz w:val="21"/>
          <w:szCs w:val="21"/>
        </w:rPr>
        <w:t xml:space="preserve">、无齿锯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提供所投产品的检验</w:t>
      </w:r>
      <w:r>
        <w:rPr>
          <w:rFonts w:hint="eastAsia" w:ascii="宋体" w:hAnsi="宋体" w:cs="Times New Roman"/>
          <w:sz w:val="21"/>
          <w:szCs w:val="21"/>
        </w:rPr>
        <w:t xml:space="preserve">检测</w:t>
      </w:r>
      <w:r>
        <w:rPr>
          <w:rFonts w:hint="eastAsia" w:ascii="宋体" w:hAnsi="宋体" w:cs="Times New Roman"/>
          <w:sz w:val="21"/>
          <w:szCs w:val="21"/>
        </w:rPr>
        <w:t xml:space="preserve">报告</w:t>
      </w:r>
      <w:r>
        <w:rPr>
          <w:rFonts w:hint="eastAsia" w:ascii="宋体" w:hAnsi="宋体" w:cs="Times New Roman"/>
          <w:sz w:val="21"/>
          <w:szCs w:val="21"/>
        </w:rPr>
        <w:t xml:space="preserve">，</w:t>
      </w:r>
      <w:r>
        <w:rPr>
          <w:rFonts w:hint="eastAsia" w:ascii="宋体" w:hAnsi="宋体" w:cs="Times New Roman"/>
          <w:sz w:val="21"/>
          <w:szCs w:val="21"/>
        </w:rPr>
        <w:t xml:space="preserve">检验结果和结论都符合GB32460-2015《消防应急救援装备破拆机具通用技术条件》标准要求。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单缸二冲程风冷汽油发动机；油箱容积≥0.9L；单箱油连续工作≥25 分钟；额定功率≥5.8kW；</w:t>
      </w:r>
      <w:r>
        <w:rPr>
          <w:rFonts w:hint="eastAsia" w:ascii="宋体" w:hAnsi="宋体" w:cs="Times New Roman"/>
          <w:sz w:val="21"/>
          <w:szCs w:val="21"/>
        </w:rPr>
        <w:t xml:space="preserve">排量 ≥119cc；最高转速≥9300rpm。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支持 350mm、400mm 锯片；最大切割深度≥145mm；噪音≤105dB (A)。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整机重量≤17.2kg。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锯片配备有护罩且可调节，配备同品牌压力水壶及链接水管≥1套、同品牌金刚石锯片≥1片、同品牌多功能锯片≥5片、原装火花塞≥2套、原装润滑油≥5L、护目镜1个、防护手套1副、专用维修工具1套。</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57</w:t>
      </w:r>
      <w:r>
        <w:rPr>
          <w:rFonts w:hint="eastAsia" w:ascii="宋体" w:hAnsi="宋体" w:cs="Times New Roman"/>
          <w:sz w:val="21"/>
          <w:szCs w:val="21"/>
        </w:rPr>
        <w:t xml:space="preserve">、无齿锯（电动）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提供所投产品的检验</w:t>
      </w:r>
      <w:r>
        <w:rPr>
          <w:rFonts w:hint="eastAsia" w:ascii="宋体" w:hAnsi="宋体" w:cs="Times New Roman"/>
          <w:sz w:val="21"/>
          <w:szCs w:val="21"/>
        </w:rPr>
        <w:t xml:space="preserve">检测</w:t>
      </w:r>
      <w:r>
        <w:rPr>
          <w:rFonts w:hint="eastAsia" w:ascii="宋体" w:hAnsi="宋体" w:cs="Times New Roman"/>
          <w:sz w:val="21"/>
          <w:szCs w:val="21"/>
        </w:rPr>
        <w:t xml:space="preserve">报告</w:t>
      </w:r>
      <w:r>
        <w:rPr>
          <w:rFonts w:hint="eastAsia" w:ascii="宋体" w:hAnsi="宋体" w:cs="Times New Roman"/>
          <w:sz w:val="21"/>
          <w:szCs w:val="21"/>
        </w:rPr>
        <w:t xml:space="preserve">，</w:t>
      </w:r>
      <w:r>
        <w:rPr>
          <w:rFonts w:hint="eastAsia" w:ascii="宋体" w:hAnsi="宋体" w:cs="Times New Roman"/>
          <w:sz w:val="21"/>
          <w:szCs w:val="21"/>
        </w:rPr>
        <w:t xml:space="preserve">检验结果和结论都符合GB32460-2015《消防应急救援装备破拆机具通用技术条件》标准要求。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直流≥72V双锂电驱动；额定功率≥6kW；额定转速≥4000r/min。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锯片直径≥350mm；最大切割深度≥125mm。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电池容量≥2×8Ah，至少配备4块电池；空载续航时间≥40 分钟；充电时间≤90 分钟；电池循环寿命≥1000 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防护等级≥IP45；适用温度：-40℃～+45℃；空载噪音≤88dB (A)。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具备锯片紧急制动、过载、欠压、短路保护功能；具备电量显示、故障指示灯功能；支持锂电与 220V 交流电双供电模式。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手柄频率计权振动加速度总值ahv≤3m/s²。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无锯片无电池重量≤12.5kg。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需配备：主机，不少于4 块电池，充电器，不少于5片锯片，冷却系统，防护箱。</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58</w:t>
      </w:r>
      <w:r>
        <w:rPr>
          <w:rFonts w:hint="eastAsia" w:ascii="宋体" w:hAnsi="宋体" w:cs="Times New Roman"/>
          <w:sz w:val="21"/>
          <w:szCs w:val="21"/>
        </w:rPr>
        <w:t xml:space="preserve">、双轮异向切割锯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提供所投产品的检验</w:t>
      </w:r>
      <w:r>
        <w:rPr>
          <w:rFonts w:hint="eastAsia" w:ascii="宋体" w:hAnsi="宋体" w:cs="Times New Roman"/>
          <w:sz w:val="21"/>
          <w:szCs w:val="21"/>
        </w:rPr>
        <w:t xml:space="preserve">检测</w:t>
      </w:r>
      <w:r>
        <w:rPr>
          <w:rFonts w:hint="eastAsia" w:ascii="宋体" w:hAnsi="宋体" w:cs="Times New Roman"/>
          <w:sz w:val="21"/>
          <w:szCs w:val="21"/>
        </w:rPr>
        <w:t xml:space="preserve">报告</w:t>
      </w:r>
      <w:r>
        <w:rPr>
          <w:rFonts w:hint="eastAsia" w:ascii="宋体" w:hAnsi="宋体" w:cs="Times New Roman"/>
          <w:sz w:val="21"/>
          <w:szCs w:val="21"/>
        </w:rPr>
        <w:t xml:space="preserve">，</w:t>
      </w:r>
      <w:r>
        <w:rPr>
          <w:rFonts w:hint="eastAsia" w:ascii="宋体" w:hAnsi="宋体" w:cs="Times New Roman"/>
          <w:sz w:val="21"/>
          <w:szCs w:val="21"/>
        </w:rPr>
        <w:t xml:space="preserve">检验结果和结论都符合GB32460-2015《消防应急救援装备破拆机具通用技术条件》标准要求。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结构特点：采用两片金属锯片正反双向高速旋转切割，主要用于切割钢材、钢管、钢筋、电缆、铝材、塑料、汽车玻璃等材料，外观表面无毛刺、划痕等，并做防腐处理。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二冲程风冷汽油发动机驱动；额定功率≥4kW；排量≥70cc；燃油箱容积≥0.7L。</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锯片直径 ≥ 315mm；切割深度≥115mm；切割速度≥60cm²/min。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整机质量≤15.5kg。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噪音≤105dB。</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含主机、双轮锯片、原装火花塞≥2套、原装润滑油≥5L、护目镜1个、防护手套1副、专用维修工具1套</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59</w:t>
      </w:r>
      <w:r>
        <w:rPr>
          <w:rFonts w:hint="eastAsia" w:ascii="宋体" w:hAnsi="宋体" w:cs="Times New Roman"/>
          <w:sz w:val="21"/>
          <w:szCs w:val="21"/>
        </w:rPr>
        <w:t xml:space="preserve">、手持式钢筋速断器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用于消防救援、狭小空间破拆，可剪切钢筋、钢管、电缆。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锂电充电式，自带液压泵；额定电压 ≥DC18V；配置 ≥18V/4.0Ah 锂电池。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刀头 / 机身可 360° 自由旋转；最大可剪切 ≥Φ22mm Q235 圆钢；开口距离 / 行程≥23mm；切断割Φ22mm圆钢，时间≤5s。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不含电池重量≤7.5kg；具备电池电量显示功能。单块电池可连续剪切≥80 次 Φ22mm 钢筋。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工作环境温度：-20℃~55℃。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标配主机、锂电池、充电器、专用工具、包装箱。</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60</w:t>
      </w:r>
      <w:r>
        <w:rPr>
          <w:rFonts w:hint="eastAsia" w:ascii="宋体" w:hAnsi="宋体" w:cs="Times New Roman"/>
          <w:sz w:val="21"/>
          <w:szCs w:val="21"/>
        </w:rPr>
        <w:t xml:space="preserve">、玻璃破碎器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用于消防救援，可破拆门窗玻璃、幕墙、砖瓦、薄型金属。</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适用于火灾、车祸、地震等应急救援场景。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成套工具组，含切割、钻孔、破碎、夹持、打磨全套工具等。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功率≥1200W，切割机转速≥12000r/min，配 Φ100mm 切割片≥3 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采用充电式锂电驱动。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标配大理石玻璃钻头 ≥7个（不少于：Φ100mm/Φ50mm/Φ25mm 三种规格）。</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标配锂电池 ≥2 块 + 专用充电器 1 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含玻璃刀、双锉、破碎锤、强力钳、单手吸盘等。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61</w:t>
      </w:r>
      <w:r>
        <w:rPr>
          <w:rFonts w:hint="eastAsia" w:ascii="宋体" w:hAnsi="宋体" w:cs="Times New Roman"/>
          <w:sz w:val="21"/>
          <w:szCs w:val="21"/>
        </w:rPr>
        <w:t xml:space="preserve">、手动破拆工具组</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提供所投产品的检验</w:t>
      </w:r>
      <w:r>
        <w:rPr>
          <w:rFonts w:hint="eastAsia" w:ascii="宋体" w:hAnsi="宋体" w:cs="Times New Roman"/>
          <w:sz w:val="21"/>
          <w:szCs w:val="21"/>
        </w:rPr>
        <w:t xml:space="preserve">检测</w:t>
      </w:r>
      <w:r>
        <w:rPr>
          <w:rFonts w:hint="eastAsia" w:ascii="宋体" w:hAnsi="宋体" w:cs="Times New Roman"/>
          <w:sz w:val="21"/>
          <w:szCs w:val="21"/>
        </w:rPr>
        <w:t xml:space="preserve">报告</w:t>
      </w:r>
      <w:r>
        <w:rPr>
          <w:rFonts w:hint="eastAsia" w:ascii="宋体" w:hAnsi="宋体" w:cs="Times New Roman"/>
          <w:sz w:val="21"/>
          <w:szCs w:val="21"/>
        </w:rPr>
        <w:t xml:space="preserve">，</w:t>
      </w:r>
      <w:r>
        <w:rPr>
          <w:rFonts w:hint="eastAsia" w:ascii="宋体" w:hAnsi="宋体" w:cs="Times New Roman"/>
          <w:sz w:val="21"/>
          <w:szCs w:val="21"/>
        </w:rPr>
        <w:t xml:space="preserve">检验结果和结论都符合GB32459-2015《消防应急救援装备 手动破拆工具通用技术条件》标准要求。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用于狭小空间抢险救援，可破门、破墙、破拆金属 、混凝土、木质材料等使用的破拆器材。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成套配置，含冲击杆、撬拔、切割、凿、斧、铲等类工具及便携储运箱。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拉伸长度≥900mm，冲击行程≥300mm，重量≤5kg。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长度≥300mm，重量≤2kg，可撬锁、拔钉、破门窗。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可切割 / 撕裂≥1mm 厚金属板材，长度≥300mm。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配备多规格凿具，包括V 型凿、平凿、尖凿，可凿裂混凝土、砖石、墙体，三类凿具长度≥450mm。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配备消防斧，可劈砍、穿刺、撬压，展开长度≥650mm。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整套工具组总质量≤20kg。</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62</w:t>
      </w:r>
      <w:r>
        <w:rPr>
          <w:rFonts w:hint="eastAsia" w:ascii="宋体" w:hAnsi="宋体" w:cs="Times New Roman"/>
          <w:sz w:val="21"/>
          <w:szCs w:val="21"/>
        </w:rPr>
        <w:t xml:space="preserve">、凿岩机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提供所投产品的检验</w:t>
      </w:r>
      <w:r>
        <w:rPr>
          <w:rFonts w:hint="eastAsia" w:ascii="宋体" w:hAnsi="宋体" w:cs="Times New Roman"/>
          <w:sz w:val="21"/>
          <w:szCs w:val="21"/>
        </w:rPr>
        <w:t xml:space="preserve">检测</w:t>
      </w:r>
      <w:r>
        <w:rPr>
          <w:rFonts w:hint="eastAsia" w:ascii="宋体" w:hAnsi="宋体" w:cs="Times New Roman"/>
          <w:sz w:val="21"/>
          <w:szCs w:val="21"/>
        </w:rPr>
        <w:t xml:space="preserve">报告</w:t>
      </w:r>
      <w:r>
        <w:rPr>
          <w:rFonts w:hint="eastAsia" w:ascii="宋体" w:hAnsi="宋体" w:cs="Times New Roman"/>
          <w:sz w:val="21"/>
          <w:szCs w:val="21"/>
        </w:rPr>
        <w:t xml:space="preserve">，</w:t>
      </w:r>
      <w:r>
        <w:rPr>
          <w:rFonts w:hint="eastAsia" w:ascii="宋体" w:hAnsi="宋体" w:cs="Times New Roman"/>
          <w:sz w:val="21"/>
          <w:szCs w:val="21"/>
        </w:rPr>
        <w:t xml:space="preserve">检验结果和结论都应符合 GB 17957-2021《凿岩机械与气动工具安全要求》标准要求。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用于消防救援、应急抢险场景下的岩石、混凝土、砖石、沥青等硬质材料的破碎破拆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单缸/气冷式二冲程汽油发动机，排量≥52CC；额定功率≥2.0kW。</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最大转速≥4250r/min；冲击频率≥1300次/分钟；冲击能量≥50J。</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油箱容量≥1.3L，适用25:1汽油机油混合油。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主机重量≤25kg</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63</w:t>
      </w:r>
      <w:r>
        <w:rPr>
          <w:rFonts w:hint="eastAsia" w:ascii="宋体" w:hAnsi="宋体" w:cs="Times New Roman"/>
          <w:sz w:val="21"/>
          <w:szCs w:val="21"/>
        </w:rPr>
        <w:t xml:space="preserve">、毁锁器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可破坏门锁芯打开防盗门，适用于防盗门、汽车锁等快速破拆。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配有专用充电式电钻、锁芯拔除器、锁芯切断器、换向扳手、锁舌转动器、除锈润滑剂、定位器、辅助工具、防水防尘工程塑料箱、工具箱等。核心部件均采用不锈钢材料制造。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钻夹头规格≥13mm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最大扭矩≥45N·m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最大转速≥1300转/分钟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钢材/木材/混凝土最大钻孔能力分别≥13/45/14mm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工作电压≥20V，容量≥1.5Ah，内置LED工作灯、电池电量显示器，220VAC 50Hz输入，对应DC电压输出，充电时间≤50分钟。</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64</w:t>
      </w:r>
      <w:r>
        <w:rPr>
          <w:rFonts w:hint="eastAsia" w:ascii="宋体" w:hAnsi="宋体" w:cs="Times New Roman"/>
          <w:sz w:val="21"/>
          <w:szCs w:val="21"/>
        </w:rPr>
        <w:t xml:space="preserve">、绝缘剪断钳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主要用途与性能要求：用于事故现场电线电缆、带电体剪切。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绝缘电压≥380V。</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剪柄耐电压≥3000V。</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剪切刃口硬度：刀片刃口硬度≥50HRC。</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钢筋剪切直径≥8mm，线缆剪切直径≥12mm。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总长度≥850mm。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开口距离≥20mm。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整机重量≤5.5kg。</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65</w:t>
      </w:r>
      <w:r>
        <w:rPr>
          <w:rFonts w:hint="eastAsia" w:ascii="宋体" w:hAnsi="宋体" w:cs="Times New Roman"/>
          <w:sz w:val="21"/>
          <w:szCs w:val="21"/>
        </w:rPr>
        <w:t xml:space="preserve">、多功能撬棒</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提供所投产品的检验</w:t>
      </w:r>
      <w:r>
        <w:rPr>
          <w:rFonts w:hint="eastAsia" w:ascii="宋体" w:hAnsi="宋体" w:cs="Times New Roman"/>
          <w:sz w:val="21"/>
          <w:szCs w:val="21"/>
        </w:rPr>
        <w:t xml:space="preserve">检测</w:t>
      </w:r>
      <w:r>
        <w:rPr>
          <w:rFonts w:hint="eastAsia" w:ascii="宋体" w:hAnsi="宋体" w:cs="Times New Roman"/>
          <w:sz w:val="21"/>
          <w:szCs w:val="21"/>
        </w:rPr>
        <w:t xml:space="preserve">报告</w:t>
      </w:r>
      <w:r>
        <w:rPr>
          <w:rFonts w:hint="eastAsia" w:ascii="宋体" w:hAnsi="宋体" w:cs="Times New Roman"/>
          <w:sz w:val="21"/>
          <w:szCs w:val="21"/>
        </w:rPr>
        <w:t xml:space="preserve">，</w:t>
      </w:r>
      <w:r>
        <w:rPr>
          <w:rFonts w:hint="eastAsia" w:ascii="宋体" w:hAnsi="宋体" w:cs="Times New Roman"/>
          <w:sz w:val="21"/>
          <w:szCs w:val="21"/>
        </w:rPr>
        <w:t xml:space="preserve">检验结果和结论都应符合GB 32459-2015《消防应急救援装备 手动破拆工具通用技术条件》标准要求。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主要用途与性能要求：用于消防救援破拆：撬、砸、凿、拔钉。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杆体材质：高碳钢/钢制杆体，抗腐蚀。</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单根长度≥750mm。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单根重量≤6kg。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起撬、切割性能：撬斧起撬部位承受载荷≥7840N，切割部位应能切割厚度1.5mm的Q235A钢板，且刃口应无明显卷刃、崩刃和开裂等现象。</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66</w:t>
      </w:r>
      <w:r>
        <w:rPr>
          <w:rFonts w:hint="eastAsia" w:ascii="宋体" w:hAnsi="宋体" w:cs="Times New Roman"/>
          <w:sz w:val="21"/>
          <w:szCs w:val="21"/>
        </w:rPr>
        <w:t xml:space="preserve">、多功能挠钩</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提供所投产品的检验</w:t>
      </w:r>
      <w:r>
        <w:rPr>
          <w:rFonts w:hint="eastAsia" w:ascii="宋体" w:hAnsi="宋体" w:cs="Times New Roman"/>
          <w:sz w:val="21"/>
          <w:szCs w:val="21"/>
        </w:rPr>
        <w:t xml:space="preserve">检测</w:t>
      </w:r>
      <w:r>
        <w:rPr>
          <w:rFonts w:hint="eastAsia" w:ascii="宋体" w:hAnsi="宋体" w:cs="Times New Roman"/>
          <w:sz w:val="21"/>
          <w:szCs w:val="21"/>
        </w:rPr>
        <w:t xml:space="preserve">报告</w:t>
      </w:r>
      <w:bookmarkStart w:id="96" w:name="_GoBack"/>
      <w:r/>
      <w:bookmarkEnd w:id="96"/>
      <w:r>
        <w:rPr>
          <w:rFonts w:hint="eastAsia" w:ascii="宋体" w:hAnsi="宋体" w:cs="Times New Roman"/>
          <w:sz w:val="21"/>
          <w:szCs w:val="21"/>
        </w:rPr>
        <w:t xml:space="preserve">，</w:t>
      </w:r>
      <w:r>
        <w:rPr>
          <w:rFonts w:hint="eastAsia" w:ascii="宋体" w:hAnsi="宋体" w:cs="Times New Roman"/>
          <w:sz w:val="21"/>
          <w:szCs w:val="21"/>
        </w:rPr>
        <w:t xml:space="preserve">检验结果和结论都应符合GB 32459-2015《消防应急救援装备 手动破拆工具通用技术条件》标准要求。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主要用途与性能要求：用于火灾扑救和抢险救援过程中钩拉、破拆、清理障碍物、探路等作业。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整体组成：整套产品应包括不少于10种功能头和至少3根连接长杆，所有工具存放于专用铝合金工具箱内。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功能头材质：均为钢质，表面应无裂缝、锈蚀、有害伤痕、毛刺等缺陷。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挠杆结构：为多节组合式，至少为三节，杆头更换简便快捷，连接处配有锁定装置，连接牢固且不易松动、开裂。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连接后最大长度：≥6m。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手柄绝缘性能：手柄应做绝缘处理，手柄部分浸水2h后绝缘电阻≥10MΩ。绝缘杆可耐温度-20℃~60℃，抗老化抗腐蚀。</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结构强度及抗拉性能：工具头与手柄连接处拉力≥5600N不拉脱；挠钩≥3000N拉力无断裂；挠钩连接件抗拉离性能≥12.5kN。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挠钩钩拉性能：悬挂在3m以上高度，在钩头中间位置施加3000N载荷，保持3min，不出现损坏。</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功能头配置要求：消防斧、消防锯、消防剪、消防锹、消防锤、消防爪耙、撑顶器、攀爬钩/登高钩、探路棒（用于火灾、浓烟、水坑等场所的探路）、水平和标高仪（单杆长≥1m，可组合连接，用于现场快速测量距离和标高）。</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第四标段</w:t>
      </w:r>
      <w:r>
        <w:rPr>
          <w:rFonts w:hint="eastAsia" w:ascii="宋体" w:hAnsi="宋体" w:cstheme="minorEastAsia"/>
          <w:b/>
          <w:bCs/>
          <w:sz w:val="21"/>
          <w:szCs w:val="21"/>
        </w:rPr>
        <w:t xml:space="preserve">：</w:t>
      </w:r>
      <w:r>
        <w:rPr>
          <w:rFonts w:hint="eastAsia" w:ascii="宋体" w:hAnsi="宋体" w:cstheme="minorEastAsia"/>
          <w:b/>
          <w:bCs/>
          <w:sz w:val="21"/>
          <w:szCs w:val="21"/>
        </w:rPr>
        <w:t xml:space="preserve">苏州市消防救援支队2026年度消防器材采购项目（包</w:t>
      </w:r>
      <w:r>
        <w:rPr>
          <w:rFonts w:ascii="宋体" w:hAnsi="宋体" w:cstheme="minorEastAsia"/>
          <w:b/>
          <w:bCs/>
          <w:sz w:val="21"/>
          <w:szCs w:val="21"/>
        </w:rPr>
        <w:t xml:space="preserve">7</w:t>
      </w:r>
      <w:r>
        <w:rPr>
          <w:rFonts w:hint="eastAsia" w:ascii="宋体" w:hAnsi="宋体" w:cstheme="minorEastAsia"/>
          <w:b/>
          <w:bCs/>
          <w:sz w:val="21"/>
          <w:szCs w:val="21"/>
        </w:rPr>
        <w:t xml:space="preserve">）</w:t>
      </w:r>
      <w:r/>
    </w:p>
    <w:p>
      <w:pPr>
        <w:pStyle w:val="1000"/>
        <w:ind w:left="0" w:firstLine="422"/>
        <w:spacing w:line="360" w:lineRule="auto"/>
        <w:rPr>
          <w:rFonts w:ascii="宋体" w:hAnsi="宋体"/>
          <w:b/>
          <w:sz w:val="21"/>
          <w:szCs w:val="21"/>
        </w:rPr>
        <w:outlineLvl w:val="1"/>
      </w:pPr>
      <w:r>
        <w:rPr>
          <w:rFonts w:hint="eastAsia" w:ascii="宋体" w:hAnsi="宋体"/>
          <w:b/>
          <w:sz w:val="21"/>
          <w:szCs w:val="21"/>
        </w:rPr>
        <w:t xml:space="preserve">（七）</w:t>
      </w:r>
      <w:r>
        <w:rPr>
          <w:rFonts w:hint="eastAsia" w:ascii="宋体" w:hAnsi="宋体"/>
          <w:b/>
          <w:sz w:val="21"/>
          <w:szCs w:val="21"/>
        </w:rPr>
        <w:t xml:space="preserve">第四标段</w:t>
      </w:r>
      <w:r>
        <w:rPr>
          <w:rFonts w:hint="eastAsia" w:ascii="宋体" w:hAnsi="宋体"/>
          <w:b/>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700"/>
        <w:gridCol w:w="853"/>
        <w:gridCol w:w="2266"/>
        <w:gridCol w:w="1134"/>
        <w:gridCol w:w="992"/>
        <w:gridCol w:w="1418"/>
        <w:gridCol w:w="2481"/>
      </w:tblGrid>
      <w:tr>
        <w:trPr>
          <w:jc w:val="center"/>
          <w:trHeight w:val="582"/>
        </w:trPr>
        <w:tc>
          <w:tcPr>
            <w:tcW w:w="35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43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15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04"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720"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260"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355"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67</w:t>
            </w:r>
            <w:r/>
          </w:p>
        </w:tc>
        <w:tc>
          <w:tcPr>
            <w:tcW w:w="433"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7</w:t>
            </w:r>
            <w:r/>
          </w:p>
        </w:tc>
        <w:tc>
          <w:tcPr>
            <w:tcW w:w="115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液压破拆工具组1</w:t>
            </w:r>
            <w:r/>
          </w:p>
        </w:tc>
        <w:tc>
          <w:tcPr>
            <w:tcW w:w="5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04"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9 </w:t>
            </w:r>
            <w:r/>
          </w:p>
        </w:tc>
        <w:tc>
          <w:tcPr>
            <w:tcW w:w="720"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10.0000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68</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1" w:type="pct"/>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液压破拆工具组2</w:t>
            </w:r>
            <w:r/>
          </w:p>
        </w:tc>
        <w:tc>
          <w:tcPr>
            <w:tcW w:w="5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04"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9 </w:t>
            </w:r>
            <w:r/>
          </w:p>
        </w:tc>
        <w:tc>
          <w:tcPr>
            <w:tcW w:w="720"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38.0000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69</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1"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混凝土液压破拆工具组</w:t>
            </w:r>
            <w:r/>
          </w:p>
        </w:tc>
        <w:tc>
          <w:tcPr>
            <w:tcW w:w="57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套</w:t>
            </w:r>
            <w:r/>
          </w:p>
        </w:tc>
        <w:tc>
          <w:tcPr>
            <w:tcW w:w="504"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3 </w:t>
            </w:r>
            <w:r/>
          </w:p>
        </w:tc>
        <w:tc>
          <w:tcPr>
            <w:tcW w:w="720"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260" w:type="pct"/>
            <w:vAlign w:val="center"/>
            <w:textDirection w:val="lrTb"/>
            <w:noWrap/>
          </w:tcPr>
          <w:p>
            <w:pPr>
              <w:ind w:left="0"/>
              <w:jc w:val="left"/>
              <w:rPr>
                <w:rFonts w:ascii="宋体" w:hAnsi="宋体" w:cs="Times New Roman"/>
                <w:sz w:val="21"/>
                <w:szCs w:val="21"/>
              </w:rPr>
            </w:pPr>
            <w:r>
              <w:rPr>
                <w:rFonts w:ascii="宋体" w:hAnsi="宋体" w:cs="Times New Roman"/>
                <w:sz w:val="21"/>
                <w:szCs w:val="21"/>
              </w:rPr>
              <w:t xml:space="preserve">16.0000 </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（2）核心产品：液压破拆工具组2（序号</w:t>
      </w:r>
      <w:r>
        <w:rPr>
          <w:rFonts w:ascii="宋体" w:hAnsi="宋体" w:cstheme="minorEastAsia"/>
          <w:b/>
          <w:bCs/>
          <w:sz w:val="21"/>
          <w:szCs w:val="21"/>
        </w:rPr>
        <w:t xml:space="preserve">56</w:t>
      </w:r>
      <w:r>
        <w:rPr>
          <w:rFonts w:hint="eastAsia" w:ascii="宋体" w:hAnsi="宋体" w:cstheme="minorEastAsia"/>
          <w:b/>
          <w:bCs/>
          <w:sz w:val="21"/>
          <w:szCs w:val="21"/>
        </w:rPr>
        <w:t xml:space="preserve">）</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（八）</w:t>
      </w:r>
      <w:r>
        <w:rPr>
          <w:rFonts w:hint="eastAsia" w:ascii="宋体" w:hAnsi="宋体" w:cstheme="minorEastAsia"/>
          <w:b/>
          <w:bCs/>
          <w:sz w:val="21"/>
          <w:szCs w:val="21"/>
        </w:rPr>
        <w:t xml:space="preserve">第四标段</w:t>
      </w:r>
      <w:r>
        <w:rPr>
          <w:rFonts w:hint="eastAsia" w:ascii="宋体" w:hAnsi="宋体" w:cstheme="minorEastAsia"/>
          <w:b/>
          <w:bCs/>
          <w:sz w:val="21"/>
          <w:szCs w:val="21"/>
        </w:rPr>
        <w:t xml:space="preserve">技术参数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7</w:t>
      </w:r>
      <w:r>
        <w:rPr>
          <w:rFonts w:hint="eastAsia" w:ascii="宋体" w:hAnsi="宋体" w:cs="Times New Roman"/>
          <w:sz w:val="21"/>
          <w:szCs w:val="21"/>
        </w:rPr>
        <w:t xml:space="preserve">、液压破拆工具组</w:t>
      </w:r>
      <w:r>
        <w:rPr>
          <w:rFonts w:hint="eastAsia" w:ascii="宋体" w:hAnsi="宋体" w:cs="Times New Roman"/>
          <w:sz w:val="21"/>
          <w:szCs w:val="21"/>
        </w:rPr>
        <w:t xml:space="preserve">1</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提供所投产品完整有效的检验</w:t>
      </w:r>
      <w:r>
        <w:rPr>
          <w:rFonts w:hint="eastAsia" w:ascii="宋体" w:hAnsi="宋体" w:cs="Times New Roman"/>
          <w:sz w:val="21"/>
          <w:szCs w:val="21"/>
        </w:rPr>
        <w:t xml:space="preserve">检测</w:t>
      </w:r>
      <w:r>
        <w:rPr>
          <w:rFonts w:hint="eastAsia" w:ascii="宋体" w:hAnsi="宋体" w:cs="Times New Roman"/>
          <w:sz w:val="21"/>
          <w:szCs w:val="21"/>
        </w:rPr>
        <w:t xml:space="preserve">报告（报告具有CMA标识），检验结果和结论都应符合 GB/T17906-2021《消防应急救援装备液压破拆工具通用技术条件》标准要求。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成套配置：机动泵、剪切器、扩张器、扩张器、撑顶器、液压油管。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额定工作压力 ≥70MPa；机动泵额定功率 ≥2.2kW；液压油箱容积 ≥3L；机动泵质量 ≤24kg。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扩张器：最大扩张距离 ≥660mm；扩张器最小扩张力（测力点距扩张臂顶端的垂直距离为25 mm）≥50kN；扩张器最大扩张力≥110kN；扩张器牵引距离 ≥510mm。；扩张器质量 ≤20kg。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剪切器：最大开口距离 ≥160mm；剪切 Q235 圆钢 ≥φ30mm；剪切器质量 ≤16kg。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剪扩器：扩张距离 ≥300mm；剪扩器剪切 Q235 圆钢 ≥φ30mm；剪扩器质量 ≤16kg。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撑顶器闭合长度 ≤550mm；撑顶器最大伸出长度 ≥770mm；撑顶器最大撑顶力 ≥140kN；撑顶器质量 ≤18kg；液压管长度 ≥10m。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采用单接口、支持带压插拔。</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68</w:t>
      </w:r>
      <w:r>
        <w:rPr>
          <w:rFonts w:hint="eastAsia" w:ascii="宋体" w:hAnsi="宋体" w:cs="Times New Roman"/>
          <w:sz w:val="21"/>
          <w:szCs w:val="21"/>
        </w:rPr>
        <w:t xml:space="preserve">、液压破拆工具组</w:t>
      </w:r>
      <w:r>
        <w:rPr>
          <w:rFonts w:hint="eastAsia" w:ascii="宋体" w:hAnsi="宋体" w:cs="Times New Roman"/>
          <w:sz w:val="21"/>
          <w:szCs w:val="21"/>
        </w:rPr>
        <w:t xml:space="preserve">2</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提供所投产品完整有效的检验</w:t>
      </w:r>
      <w:r>
        <w:rPr>
          <w:rFonts w:hint="eastAsia" w:ascii="宋体" w:hAnsi="宋体" w:cs="Times New Roman"/>
          <w:sz w:val="21"/>
          <w:szCs w:val="21"/>
        </w:rPr>
        <w:t xml:space="preserve">检测</w:t>
      </w:r>
      <w:r>
        <w:rPr>
          <w:rFonts w:hint="eastAsia" w:ascii="宋体" w:hAnsi="宋体" w:cs="Times New Roman"/>
          <w:sz w:val="21"/>
          <w:szCs w:val="21"/>
        </w:rPr>
        <w:t xml:space="preserve">报告（报告具有CMA标识），检验结果和结论都应符合 GB/T17906-2021《消防应急救援装备液压破拆工具通用技术条件》标准要求。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适用于灾害事故现场剪切、扩张、撑顶、牵引、破障救援。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额定工作压力≥70MPa；机动泵额定功率≥2.2kW；高压流量≥0.6L/min；低压流量≥3L/min；油箱容积≥2L。</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扩张器：扩张距离≥500mm；最小扩张力（测力点距扩张臂顶端的垂直距离为25 mm）≥40kN；扩张器重量≤17kg。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扩张器：最大扩张力≥120KN；牵引距离≥350mm。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剪切器：可剪切≥Φ30mmQ235 圆钢；剪切钢板≥10mm（Q235）；剪切器重量≤19kg；开口距离≥160mm。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剪扩器：扩张距离≥320mm；剪切 Q235 圆钢≥Φ30mm；剪扩器重量≤21kg。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顶撑器：一级撑顶力≥210kN；撑顶器重量≤18kg；闭合长度≤560mm；最大行程≥480mm。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配备不少于10米的液压油管，单接口、支持带压插拔、密封可靠。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备品：油管、接头、密封件，牵引配件1对；耗材：液压油、润滑油。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69、混凝土液压破拆工具组</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提供所投产品的的检测报告，至少体现出液压动力站的发动机功率、最大输出压力和液压破碎镐的冲击频率、冲击能量等数值参数。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（1）液压动力站</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1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①</w:t>
      </w:r>
      <w:r>
        <w:rPr>
          <w:rFonts w:ascii="宋体" w:hAnsi="宋体" w:cs="Times New Roman"/>
          <w:sz w:val="21"/>
          <w:szCs w:val="21"/>
        </w:rPr>
        <w:fldChar w:fldCharType="end"/>
      </w:r>
      <w:r>
        <w:rPr>
          <w:rFonts w:hint="eastAsia" w:ascii="宋体" w:hAnsi="宋体" w:cs="Times New Roman"/>
          <w:sz w:val="21"/>
          <w:szCs w:val="21"/>
        </w:rPr>
        <w:t xml:space="preserve">质量≤130kg，长宽高≤95×60×80cm。输出压力≥140bar，发动机≥18hp。</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2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②</w:t>
      </w:r>
      <w:r>
        <w:rPr>
          <w:rFonts w:ascii="宋体" w:hAnsi="宋体" w:cs="Times New Roman"/>
          <w:sz w:val="21"/>
          <w:szCs w:val="21"/>
        </w:rPr>
        <w:fldChar w:fldCharType="end"/>
      </w:r>
      <w:r>
        <w:rPr>
          <w:rFonts w:hint="eastAsia" w:ascii="宋体" w:hAnsi="宋体" w:cs="Times New Roman"/>
          <w:sz w:val="21"/>
          <w:szCs w:val="21"/>
        </w:rPr>
        <w:t xml:space="preserve">由直动式液压泵、风冷、提升和锁定手柄、自动油门、液压油和燃油过滤器、低油位保护、免维护电池、充气轮胎等部件组成，采用平口快速接头，适合I型和II型液压回路要求。</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fldChar w:fldCharType="begin"/>
      </w:r>
      <w:r>
        <w:rPr>
          <w:rFonts w:ascii="宋体" w:hAnsi="宋体" w:cs="Times New Roman"/>
          <w:sz w:val="21"/>
          <w:szCs w:val="21"/>
        </w:rPr>
        <w:instrText xml:space="preserve"> </w:instrText>
      </w:r>
      <w:r>
        <w:rPr>
          <w:rFonts w:hint="eastAsia" w:ascii="宋体" w:hAnsi="宋体" w:cs="Times New Roman"/>
          <w:sz w:val="21"/>
          <w:szCs w:val="21"/>
        </w:rPr>
        <w:instrText xml:space="preserve">= 3 \* GB3</w:instrText>
      </w:r>
      <w:r>
        <w:rPr>
          <w:rFonts w:ascii="宋体" w:hAnsi="宋体" w:cs="Times New Roman"/>
          <w:sz w:val="21"/>
          <w:szCs w:val="21"/>
        </w:rPr>
        <w:instrText xml:space="preserve"> </w:instrText>
      </w:r>
      <w:r>
        <w:rPr>
          <w:rFonts w:ascii="宋体" w:hAnsi="宋体" w:cs="Times New Roman"/>
          <w:sz w:val="21"/>
          <w:szCs w:val="21"/>
        </w:rPr>
        <w:fldChar w:fldCharType="separate"/>
      </w:r>
      <w:r>
        <w:rPr>
          <w:rFonts w:hint="eastAsia" w:ascii="宋体" w:hAnsi="宋体" w:cs="Times New Roman"/>
          <w:sz w:val="21"/>
          <w:szCs w:val="21"/>
        </w:rPr>
        <w:t xml:space="preserve">③</w:t>
      </w:r>
      <w:r>
        <w:rPr>
          <w:rFonts w:ascii="宋体" w:hAnsi="宋体" w:cs="Times New Roman"/>
          <w:sz w:val="21"/>
          <w:szCs w:val="21"/>
        </w:rPr>
        <w:fldChar w:fldCharType="end"/>
      </w:r>
      <w:r>
        <w:rPr>
          <w:rFonts w:hint="eastAsia" w:ascii="宋体" w:hAnsi="宋体" w:cs="Times New Roman"/>
          <w:sz w:val="21"/>
          <w:szCs w:val="21"/>
        </w:rPr>
        <w:t xml:space="preserve">汽油箱≥15L，连续工作时间≥6h，配置≥7.5m、10m液压油管各2付。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（2）液压破碎镐（小）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①</w:t>
      </w:r>
      <w:r>
        <w:rPr>
          <w:rFonts w:hint="eastAsia" w:ascii="宋体" w:hAnsi="宋体" w:cs="Times New Roman"/>
          <w:sz w:val="21"/>
          <w:szCs w:val="21"/>
        </w:rPr>
        <w:t xml:space="preserve">适合于地震、建筑坍塌、易爆炸品等现场岩石破碎拆除等工作。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②</w:t>
      </w:r>
      <w:r>
        <w:rPr>
          <w:rFonts w:hint="eastAsia" w:ascii="宋体" w:hAnsi="宋体" w:cs="Times New Roman"/>
          <w:sz w:val="21"/>
          <w:szCs w:val="21"/>
        </w:rPr>
        <w:t xml:space="preserve">流量范围≥26-34lpm，质量≤22kg，长度：65±5cm、宽度:38±5cm。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③</w:t>
      </w:r>
      <w:r>
        <w:rPr>
          <w:rFonts w:hint="eastAsia" w:ascii="宋体" w:hAnsi="宋体" w:cs="Times New Roman"/>
          <w:sz w:val="21"/>
          <w:szCs w:val="21"/>
        </w:rPr>
        <w:t xml:space="preserve">T型手柄、冲击频率≥1500次/分钟、冲击能量≥120焦耳。配置标准镐钎2支。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（3）手持镐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①</w:t>
      </w:r>
      <w:r>
        <w:rPr>
          <w:rFonts w:hint="eastAsia" w:ascii="宋体" w:hAnsi="宋体" w:cs="Times New Roman"/>
          <w:sz w:val="21"/>
          <w:szCs w:val="21"/>
        </w:rPr>
        <w:t xml:space="preserve">适用范围：混凝土、岩石、砖石的破碎。</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②</w:t>
      </w:r>
      <w:r>
        <w:rPr>
          <w:rFonts w:hint="eastAsia" w:ascii="宋体" w:hAnsi="宋体" w:cs="Times New Roman"/>
          <w:sz w:val="21"/>
          <w:szCs w:val="21"/>
        </w:rPr>
        <w:t xml:space="preserve">流量范围≥26~34lpm、压力范围≥70~140bar；质量≤10kg，长度：45±10cm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③</w:t>
      </w:r>
      <w:r>
        <w:rPr>
          <w:rFonts w:hint="eastAsia" w:ascii="宋体" w:hAnsi="宋体" w:cs="Times New Roman"/>
          <w:sz w:val="21"/>
          <w:szCs w:val="21"/>
        </w:rPr>
        <w:t xml:space="preserve">冲击频率≥1500次/分钟、冲击能量≥120焦耳；配置六方椭圆领钢镐钎2支。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（4）液压冲击扳手：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用于螺栓上紧或拆除，流量范围≥15~30lpm；质量≤7kg；长度：25±5cm；3/8 in平面快速接头。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（5）圆盘锯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①</w:t>
      </w:r>
      <w:r>
        <w:rPr>
          <w:rFonts w:hint="eastAsia" w:ascii="宋体" w:hAnsi="宋体" w:cs="Times New Roman"/>
          <w:sz w:val="21"/>
          <w:szCs w:val="21"/>
        </w:rPr>
        <w:t xml:space="preserve">适用范围：切割金属或石材（如混凝土、结构钢、管子）；切割片尺寸：10 in直径磨砂或金刚石材质；流量范围≥：38~50lpm、压力范围不低于：10.5~14Mpa。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②</w:t>
      </w:r>
      <w:r>
        <w:rPr>
          <w:rFonts w:hint="eastAsia" w:ascii="宋体" w:hAnsi="宋体" w:cs="Times New Roman"/>
          <w:sz w:val="21"/>
          <w:szCs w:val="21"/>
        </w:rPr>
        <w:t xml:space="preserve">质量≤10kg、长度：55±5cm、宽度：30±5cm；转速≥3300/min；配置含切割混凝土锯片和切割金属锯片各2片。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（6）渣浆泵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①</w:t>
      </w:r>
      <w:r>
        <w:rPr>
          <w:rFonts w:hint="eastAsia" w:ascii="宋体" w:hAnsi="宋体" w:cs="Times New Roman"/>
          <w:sz w:val="21"/>
          <w:szCs w:val="21"/>
        </w:rPr>
        <w:t xml:space="preserve">液压驱动，质量≤30 kg，外形尺寸≤260×260×450mm，压力≥130bar，排水量≥450 m3/h。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②</w:t>
      </w:r>
      <w:r>
        <w:rPr>
          <w:rFonts w:hint="eastAsia" w:ascii="宋体" w:hAnsi="宋体" w:cs="Times New Roman"/>
          <w:sz w:val="21"/>
          <w:szCs w:val="21"/>
        </w:rPr>
        <w:t xml:space="preserve">垂直式快接结构，配备输送水带≥60m。泵体采用不锈钢耐磨材料精铸，配备不少于2个提手。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（7）金刚石链锯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①</w:t>
      </w:r>
      <w:r>
        <w:rPr>
          <w:rFonts w:hint="eastAsia" w:ascii="宋体" w:hAnsi="宋体" w:cs="Times New Roman"/>
          <w:sz w:val="21"/>
          <w:szCs w:val="21"/>
        </w:rPr>
        <w:t xml:space="preserve">适用范围：钢筋混凝土、管道、砖石等切割；链板尺寸≥45cm；流量范围≥45lpm、压力≥7~14 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②</w:t>
      </w:r>
      <w:r>
        <w:rPr>
          <w:rFonts w:hint="eastAsia" w:ascii="宋体" w:hAnsi="宋体" w:cs="Times New Roman"/>
          <w:sz w:val="21"/>
          <w:szCs w:val="21"/>
        </w:rPr>
        <w:t xml:space="preserve">质量≤12kg；配置全套附件1套，备用链条1根。</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针对</w:t>
      </w:r>
      <w:r>
        <w:rPr>
          <w:rFonts w:hint="eastAsia" w:ascii="宋体" w:hAnsi="宋体" w:cstheme="minorEastAsia"/>
          <w:b/>
          <w:bCs/>
          <w:sz w:val="21"/>
          <w:szCs w:val="21"/>
        </w:rPr>
        <w:t xml:space="preserve">标★项</w:t>
      </w:r>
      <w:r>
        <w:rPr>
          <w:rFonts w:hint="eastAsia" w:ascii="宋体" w:hAnsi="宋体" w:cstheme="minorEastAsia"/>
          <w:b/>
          <w:bCs/>
          <w:sz w:val="21"/>
          <w:szCs w:val="21"/>
        </w:rPr>
        <w:t xml:space="preserve">（适用于全部标段）</w:t>
      </w:r>
      <w:r>
        <w:rPr>
          <w:rFonts w:hint="eastAsia" w:ascii="宋体" w:hAnsi="宋体" w:cstheme="minorEastAsia"/>
          <w:b/>
          <w:bCs/>
          <w:sz w:val="21"/>
          <w:szCs w:val="21"/>
        </w:rPr>
        <w:t xml:space="preserve">：</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①标★项技术指标已明确要求提供检验检测</w:t>
      </w:r>
      <w:r>
        <w:rPr>
          <w:rFonts w:hint="eastAsia" w:ascii="宋体" w:hAnsi="宋体" w:cstheme="minorEastAsia"/>
          <w:b/>
          <w:bCs/>
          <w:sz w:val="21"/>
          <w:szCs w:val="21"/>
        </w:rPr>
        <w:t xml:space="preserve">报告的，投标文件须提供相应的材料（如技术指标中明确要求报告须具</w:t>
      </w:r>
      <w:r>
        <w:rPr>
          <w:rFonts w:hint="eastAsia" w:ascii="宋体" w:hAnsi="宋体" w:cstheme="minorEastAsia"/>
          <w:b/>
          <w:bCs/>
          <w:sz w:val="21"/>
          <w:szCs w:val="21"/>
        </w:rPr>
        <w:t xml:space="preserve">有CMA标识，须提供由国家认可的检测机构出具与所投产品型号一致、完整有效的检验</w:t>
      </w:r>
      <w:r>
        <w:rPr>
          <w:rFonts w:hint="eastAsia" w:ascii="宋体" w:hAnsi="宋体" w:cstheme="minorEastAsia"/>
          <w:b/>
          <w:bCs/>
          <w:sz w:val="21"/>
          <w:szCs w:val="21"/>
        </w:rPr>
        <w:t xml:space="preserve">检测</w:t>
      </w:r>
      <w:r>
        <w:rPr>
          <w:rFonts w:hint="eastAsia" w:ascii="宋体" w:hAnsi="宋体" w:cstheme="minorEastAsia"/>
          <w:b/>
          <w:bCs/>
          <w:sz w:val="21"/>
          <w:szCs w:val="21"/>
        </w:rPr>
        <w:t xml:space="preserve">报告（具有CMA标志））,未提供视作负偏离。标★项不允许</w:t>
      </w:r>
      <w:r>
        <w:rPr>
          <w:rFonts w:hint="eastAsia" w:ascii="宋体" w:hAnsi="宋体" w:cstheme="minorEastAsia"/>
          <w:b/>
          <w:bCs/>
          <w:sz w:val="21"/>
          <w:szCs w:val="21"/>
        </w:rPr>
        <w:t xml:space="preserve">负偏离，负偏离视作非实质性响应招标文件</w:t>
      </w:r>
      <w:r>
        <w:rPr>
          <w:rFonts w:hint="eastAsia" w:ascii="宋体" w:hAnsi="宋体" w:cstheme="minorEastAsia"/>
          <w:b/>
          <w:bCs/>
          <w:sz w:val="21"/>
          <w:szCs w:val="21"/>
        </w:rPr>
        <w:t xml:space="preserve">。</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②上述情形以外标★项技术指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标★项不允许负偏离，负偏离视作非实质性响应招标文件。</w:t>
      </w:r>
      <w:r/>
    </w:p>
    <w:p>
      <w:pPr>
        <w:pStyle w:val="1000"/>
        <w:ind w:left="0" w:firstLine="426"/>
        <w:rPr>
          <w:b/>
          <w:sz w:val="21"/>
          <w:szCs w:val="21"/>
        </w:rPr>
      </w:pPr>
      <w:r>
        <w:rPr>
          <w:rFonts w:hint="eastAsia"/>
          <w:b/>
          <w:sz w:val="21"/>
          <w:szCs w:val="21"/>
        </w:rPr>
        <w:t xml:space="preserve">第一标段</w:t>
      </w:r>
      <w:r>
        <w:rPr>
          <w:rFonts w:hint="eastAsia"/>
          <w:b/>
          <w:sz w:val="21"/>
          <w:szCs w:val="21"/>
        </w:rPr>
        <w:t xml:space="preserve">：</w:t>
      </w:r>
      <w:r>
        <w:rPr>
          <w:rFonts w:hint="eastAsia"/>
          <w:b/>
          <w:sz w:val="21"/>
          <w:szCs w:val="21"/>
        </w:rPr>
        <w:t xml:space="preserve">苏州市消防救援支队</w:t>
      </w:r>
      <w:r>
        <w:rPr>
          <w:rFonts w:hint="eastAsia"/>
          <w:b/>
          <w:sz w:val="21"/>
          <w:szCs w:val="21"/>
        </w:rPr>
        <w:t xml:space="preserve">2026</w:t>
      </w:r>
      <w:r>
        <w:rPr>
          <w:rFonts w:hint="eastAsia"/>
          <w:b/>
          <w:sz w:val="21"/>
          <w:szCs w:val="21"/>
        </w:rPr>
        <w:t xml:space="preserve">年度消防器材采</w:t>
      </w:r>
      <w:r>
        <w:rPr>
          <w:rFonts w:hint="eastAsia" w:ascii="宋体" w:hAnsi="宋体"/>
          <w:b/>
          <w:sz w:val="21"/>
          <w:szCs w:val="21"/>
        </w:rPr>
        <w:t xml:space="preserve">购项目（包4）</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36</w:t>
      </w:r>
      <w:r>
        <w:rPr>
          <w:rFonts w:hint="eastAsia" w:ascii="宋体" w:hAnsi="宋体" w:cs="Times New Roman"/>
          <w:b/>
          <w:sz w:val="21"/>
          <w:szCs w:val="21"/>
        </w:rPr>
        <w:t xml:space="preserve">、救生圈</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★（1）符合GB/T4302-2008《救生圈》标准要求。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4</w:t>
      </w:r>
      <w:r>
        <w:rPr>
          <w:rFonts w:ascii="宋体" w:hAnsi="宋体" w:cs="Times New Roman"/>
          <w:b/>
          <w:sz w:val="21"/>
          <w:szCs w:val="21"/>
        </w:rPr>
        <w:t xml:space="preserve">1</w:t>
      </w:r>
      <w:r>
        <w:rPr>
          <w:rFonts w:hint="eastAsia" w:ascii="宋体" w:hAnsi="宋体" w:cs="Times New Roman"/>
          <w:b/>
          <w:sz w:val="21"/>
          <w:szCs w:val="21"/>
        </w:rPr>
        <w:t xml:space="preserve">、水域救援头灯</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★（1）符合国家《GB30734-2014消防员照明灯具》标准要求。</w:t>
      </w:r>
      <w:r/>
    </w:p>
    <w:p>
      <w:pPr>
        <w:pStyle w:val="1000"/>
        <w:ind w:left="0" w:firstLine="426"/>
        <w:rPr>
          <w:b/>
          <w:sz w:val="21"/>
          <w:szCs w:val="21"/>
        </w:rPr>
      </w:pPr>
      <w:r>
        <w:rPr>
          <w:rFonts w:hint="eastAsia"/>
          <w:b/>
          <w:sz w:val="21"/>
          <w:szCs w:val="21"/>
        </w:rPr>
        <w:t xml:space="preserve">第三标段</w:t>
      </w:r>
      <w:r>
        <w:rPr>
          <w:rFonts w:hint="eastAsia"/>
          <w:b/>
          <w:sz w:val="21"/>
          <w:szCs w:val="21"/>
        </w:rPr>
        <w:t xml:space="preserve">：</w:t>
      </w:r>
      <w:r>
        <w:rPr>
          <w:rFonts w:hint="eastAsia"/>
          <w:b/>
          <w:sz w:val="21"/>
          <w:szCs w:val="21"/>
        </w:rPr>
        <w:t xml:space="preserve">苏州市消防救援支队</w:t>
      </w:r>
      <w:r>
        <w:rPr>
          <w:rFonts w:hint="eastAsia"/>
          <w:b/>
          <w:sz w:val="21"/>
          <w:szCs w:val="21"/>
        </w:rPr>
        <w:t xml:space="preserve">2026</w:t>
      </w:r>
      <w:r>
        <w:rPr>
          <w:rFonts w:hint="eastAsia"/>
          <w:b/>
          <w:sz w:val="21"/>
          <w:szCs w:val="21"/>
        </w:rPr>
        <w:t xml:space="preserve">年度消防器材采购</w:t>
      </w:r>
      <w:r>
        <w:rPr>
          <w:rFonts w:hint="eastAsia" w:ascii="宋体" w:hAnsi="宋体"/>
          <w:b/>
          <w:sz w:val="21"/>
          <w:szCs w:val="21"/>
        </w:rPr>
        <w:t xml:space="preserve">项目（包</w:t>
      </w:r>
      <w:r>
        <w:rPr>
          <w:rFonts w:ascii="宋体" w:hAnsi="宋体"/>
          <w:b/>
          <w:sz w:val="21"/>
          <w:szCs w:val="21"/>
        </w:rPr>
        <w:t xml:space="preserve">6</w:t>
      </w:r>
      <w:r>
        <w:rPr>
          <w:rFonts w:hint="eastAsia" w:ascii="宋体" w:hAnsi="宋体"/>
          <w:b/>
          <w:sz w:val="21"/>
          <w:szCs w:val="21"/>
        </w:rPr>
        <w:t xml:space="preserve">）</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54</w:t>
      </w:r>
      <w:r>
        <w:rPr>
          <w:rFonts w:hint="eastAsia" w:ascii="宋体" w:hAnsi="宋体" w:cs="Times New Roman"/>
          <w:b/>
          <w:sz w:val="21"/>
          <w:szCs w:val="21"/>
        </w:rPr>
        <w:t xml:space="preserve">、机动链锯</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w:t>
      </w:r>
      <w:r>
        <w:rPr>
          <w:rFonts w:hint="eastAsia" w:ascii="宋体" w:hAnsi="宋体" w:cs="Times New Roman"/>
          <w:b/>
          <w:sz w:val="21"/>
          <w:szCs w:val="21"/>
        </w:rPr>
        <w:t xml:space="preserve">，</w:t>
      </w:r>
      <w:r>
        <w:rPr>
          <w:rFonts w:hint="eastAsia" w:ascii="宋体" w:hAnsi="宋体" w:cs="Times New Roman"/>
          <w:b/>
          <w:sz w:val="21"/>
          <w:szCs w:val="21"/>
        </w:rPr>
        <w:t xml:space="preserve">检验结果和结论符合GB32460-2015《消防应急救援装备破拆机具通用技术条件》标准要求。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55</w:t>
      </w:r>
      <w:r>
        <w:rPr>
          <w:rFonts w:hint="eastAsia" w:ascii="宋体" w:hAnsi="宋体" w:cs="Times New Roman"/>
          <w:b/>
          <w:sz w:val="21"/>
          <w:szCs w:val="21"/>
        </w:rPr>
        <w:t xml:space="preserve">、机动链锯（电动）</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w:t>
      </w:r>
      <w:r>
        <w:rPr>
          <w:rFonts w:hint="eastAsia" w:ascii="宋体" w:hAnsi="宋体" w:cs="Times New Roman"/>
          <w:b/>
          <w:sz w:val="21"/>
          <w:szCs w:val="21"/>
        </w:rPr>
        <w:t xml:space="preserve">，</w:t>
      </w:r>
      <w:r>
        <w:rPr>
          <w:rFonts w:hint="eastAsia" w:ascii="宋体" w:hAnsi="宋体" w:cs="Times New Roman"/>
          <w:b/>
          <w:sz w:val="21"/>
          <w:szCs w:val="21"/>
        </w:rPr>
        <w:t xml:space="preserve">检验结果和结论符合GB32460-2015《消防应急救援装备破拆机具通用技术条件》标准要求。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56</w:t>
      </w:r>
      <w:r>
        <w:rPr>
          <w:rFonts w:hint="eastAsia" w:ascii="宋体" w:hAnsi="宋体" w:cs="Times New Roman"/>
          <w:b/>
          <w:sz w:val="21"/>
          <w:szCs w:val="21"/>
        </w:rPr>
        <w:t xml:space="preserve">、无齿锯</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w:t>
      </w:r>
      <w:r>
        <w:rPr>
          <w:rFonts w:hint="eastAsia" w:ascii="宋体" w:hAnsi="宋体" w:cs="Times New Roman"/>
          <w:b/>
          <w:sz w:val="21"/>
          <w:szCs w:val="21"/>
        </w:rPr>
        <w:t xml:space="preserve">，</w:t>
      </w:r>
      <w:r>
        <w:rPr>
          <w:rFonts w:hint="eastAsia" w:ascii="宋体" w:hAnsi="宋体" w:cs="Times New Roman"/>
          <w:b/>
          <w:sz w:val="21"/>
          <w:szCs w:val="21"/>
        </w:rPr>
        <w:t xml:space="preserve">检验结果和结论都符合GB32460-2015《消防应急救援装备破拆机具通用技术条件》标准要求。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57</w:t>
      </w:r>
      <w:r>
        <w:rPr>
          <w:rFonts w:hint="eastAsia" w:ascii="宋体" w:hAnsi="宋体" w:cs="Times New Roman"/>
          <w:b/>
          <w:sz w:val="21"/>
          <w:szCs w:val="21"/>
        </w:rPr>
        <w:t xml:space="preserve">、无齿锯（电动）</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w:t>
      </w:r>
      <w:r>
        <w:rPr>
          <w:rFonts w:hint="eastAsia" w:ascii="宋体" w:hAnsi="宋体" w:cs="Times New Roman"/>
          <w:b/>
          <w:sz w:val="21"/>
          <w:szCs w:val="21"/>
        </w:rPr>
        <w:t xml:space="preserve">，</w:t>
      </w:r>
      <w:r>
        <w:rPr>
          <w:rFonts w:hint="eastAsia" w:ascii="宋体" w:hAnsi="宋体" w:cs="Times New Roman"/>
          <w:b/>
          <w:sz w:val="21"/>
          <w:szCs w:val="21"/>
        </w:rPr>
        <w:t xml:space="preserve">检验结果和结论都符合GB32460-2015《消防应急救援装备破拆机具通用技术条件》标准要求。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58</w:t>
      </w:r>
      <w:r>
        <w:rPr>
          <w:rFonts w:hint="eastAsia" w:ascii="宋体" w:hAnsi="宋体" w:cs="Times New Roman"/>
          <w:b/>
          <w:sz w:val="21"/>
          <w:szCs w:val="21"/>
        </w:rPr>
        <w:t xml:space="preserve">、双轮异向切割锯</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w:t>
      </w:r>
      <w:r>
        <w:rPr>
          <w:rFonts w:hint="eastAsia" w:ascii="宋体" w:hAnsi="宋体" w:cs="Times New Roman"/>
          <w:b/>
          <w:sz w:val="21"/>
          <w:szCs w:val="21"/>
        </w:rPr>
        <w:t xml:space="preserve">，</w:t>
      </w:r>
      <w:r>
        <w:rPr>
          <w:rFonts w:hint="eastAsia" w:ascii="宋体" w:hAnsi="宋体" w:cs="Times New Roman"/>
          <w:b/>
          <w:sz w:val="21"/>
          <w:szCs w:val="21"/>
        </w:rPr>
        <w:t xml:space="preserve">检验结果和结论都符合GB32460-2015《消防应急救援装备破拆机具通用技术条件》标准要求。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61</w:t>
      </w:r>
      <w:r>
        <w:rPr>
          <w:rFonts w:hint="eastAsia" w:ascii="宋体" w:hAnsi="宋体" w:cs="Times New Roman"/>
          <w:b/>
          <w:sz w:val="21"/>
          <w:szCs w:val="21"/>
        </w:rPr>
        <w:t xml:space="preserve">、手动破拆工具组</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w:t>
      </w:r>
      <w:r>
        <w:rPr>
          <w:rFonts w:hint="eastAsia" w:ascii="宋体" w:hAnsi="宋体" w:cs="Times New Roman"/>
          <w:b/>
          <w:sz w:val="21"/>
          <w:szCs w:val="21"/>
        </w:rPr>
        <w:t xml:space="preserve">，</w:t>
      </w:r>
      <w:r>
        <w:rPr>
          <w:rFonts w:hint="eastAsia" w:ascii="宋体" w:hAnsi="宋体" w:cs="Times New Roman"/>
          <w:b/>
          <w:sz w:val="21"/>
          <w:szCs w:val="21"/>
        </w:rPr>
        <w:t xml:space="preserve">检验结果和结论都符合GB32459-2015《消防应急救援装备 手动破拆工具通用技术条件》标准要求。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62</w:t>
      </w:r>
      <w:r>
        <w:rPr>
          <w:rFonts w:hint="eastAsia" w:ascii="宋体" w:hAnsi="宋体" w:cs="Times New Roman"/>
          <w:b/>
          <w:sz w:val="21"/>
          <w:szCs w:val="21"/>
        </w:rPr>
        <w:t xml:space="preserve">、凿岩机</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w:t>
      </w:r>
      <w:r>
        <w:rPr>
          <w:rFonts w:hint="eastAsia" w:ascii="宋体" w:hAnsi="宋体" w:cs="Times New Roman"/>
          <w:b/>
          <w:sz w:val="21"/>
          <w:szCs w:val="21"/>
        </w:rPr>
        <w:t xml:space="preserve">，</w:t>
      </w:r>
      <w:r>
        <w:rPr>
          <w:rFonts w:hint="eastAsia" w:ascii="宋体" w:hAnsi="宋体" w:cs="Times New Roman"/>
          <w:b/>
          <w:sz w:val="21"/>
          <w:szCs w:val="21"/>
        </w:rPr>
        <w:t xml:space="preserve">检验结果和结论都应符合 GB 17957-2021《凿岩机械与气动工具安全要求》标准要求。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65</w:t>
      </w:r>
      <w:r>
        <w:rPr>
          <w:rFonts w:hint="eastAsia" w:ascii="宋体" w:hAnsi="宋体" w:cs="Times New Roman"/>
          <w:b/>
          <w:sz w:val="21"/>
          <w:szCs w:val="21"/>
        </w:rPr>
        <w:t xml:space="preserve">、多功能撬棒</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w:t>
      </w:r>
      <w:r>
        <w:rPr>
          <w:rFonts w:hint="eastAsia" w:ascii="宋体" w:hAnsi="宋体" w:cs="Times New Roman"/>
          <w:b/>
          <w:sz w:val="21"/>
          <w:szCs w:val="21"/>
        </w:rPr>
        <w:t xml:space="preserve">，</w:t>
      </w:r>
      <w:r>
        <w:rPr>
          <w:rFonts w:hint="eastAsia" w:ascii="宋体" w:hAnsi="宋体" w:cs="Times New Roman"/>
          <w:b/>
          <w:sz w:val="21"/>
          <w:szCs w:val="21"/>
        </w:rPr>
        <w:t xml:space="preserve">检验结果和结论都应符合GB 32459-2015《消防应急救援装备 手动破拆工具通用技术条件》标准要求。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66</w:t>
      </w:r>
      <w:r>
        <w:rPr>
          <w:rFonts w:hint="eastAsia" w:ascii="宋体" w:hAnsi="宋体" w:cs="Times New Roman"/>
          <w:b/>
          <w:sz w:val="21"/>
          <w:szCs w:val="21"/>
        </w:rPr>
        <w:t xml:space="preserve">、多功能挠钩</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w:t>
      </w:r>
      <w:r>
        <w:rPr>
          <w:rFonts w:hint="eastAsia" w:ascii="宋体" w:hAnsi="宋体" w:cs="Times New Roman"/>
          <w:b/>
          <w:sz w:val="21"/>
          <w:szCs w:val="21"/>
        </w:rPr>
        <w:t xml:space="preserve">，</w:t>
      </w:r>
      <w:r>
        <w:rPr>
          <w:rFonts w:hint="eastAsia" w:ascii="宋体" w:hAnsi="宋体" w:cs="Times New Roman"/>
          <w:b/>
          <w:sz w:val="21"/>
          <w:szCs w:val="21"/>
        </w:rPr>
        <w:t xml:space="preserve">检验结果和结论都应符合GB 32459-2015《消防应急救援装备 手动破拆工具通用技术条件》标准要求。</w:t>
      </w:r>
      <w:r/>
    </w:p>
    <w:p>
      <w:pPr>
        <w:pStyle w:val="1000"/>
        <w:ind w:left="0" w:firstLine="426"/>
        <w:rPr>
          <w:b/>
          <w:sz w:val="21"/>
          <w:szCs w:val="21"/>
        </w:rPr>
      </w:pPr>
      <w:r>
        <w:rPr>
          <w:rFonts w:hint="eastAsia"/>
          <w:b/>
          <w:sz w:val="21"/>
          <w:szCs w:val="21"/>
        </w:rPr>
        <w:t xml:space="preserve">第四标段</w:t>
      </w:r>
      <w:r>
        <w:rPr>
          <w:rFonts w:hint="eastAsia"/>
          <w:b/>
          <w:sz w:val="21"/>
          <w:szCs w:val="21"/>
        </w:rPr>
        <w:t xml:space="preserve">：</w:t>
      </w:r>
      <w:r>
        <w:rPr>
          <w:rFonts w:hint="eastAsia"/>
          <w:b/>
          <w:sz w:val="21"/>
          <w:szCs w:val="21"/>
        </w:rPr>
        <w:t xml:space="preserve">苏州市消防救援支队</w:t>
      </w:r>
      <w:r>
        <w:rPr>
          <w:rFonts w:hint="eastAsia"/>
          <w:b/>
          <w:sz w:val="21"/>
          <w:szCs w:val="21"/>
        </w:rPr>
        <w:t xml:space="preserve">2026</w:t>
      </w:r>
      <w:r>
        <w:rPr>
          <w:rFonts w:hint="eastAsia"/>
          <w:b/>
          <w:sz w:val="21"/>
          <w:szCs w:val="21"/>
        </w:rPr>
        <w:t xml:space="preserve">年度消防器材采购</w:t>
      </w:r>
      <w:r>
        <w:rPr>
          <w:rFonts w:hint="eastAsia" w:ascii="宋体" w:hAnsi="宋体"/>
          <w:b/>
          <w:sz w:val="21"/>
          <w:szCs w:val="21"/>
        </w:rPr>
        <w:t xml:space="preserve">项目（包</w:t>
      </w:r>
      <w:r>
        <w:rPr>
          <w:rFonts w:ascii="宋体" w:hAnsi="宋体"/>
          <w:b/>
          <w:sz w:val="21"/>
          <w:szCs w:val="21"/>
        </w:rPr>
        <w:t xml:space="preserve">7</w:t>
      </w:r>
      <w:r>
        <w:rPr>
          <w:rFonts w:hint="eastAsia" w:ascii="宋体" w:hAnsi="宋体"/>
          <w:b/>
          <w:sz w:val="21"/>
          <w:szCs w:val="21"/>
        </w:rPr>
        <w:t xml:space="preserve">）</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6</w:t>
      </w:r>
      <w:r>
        <w:rPr>
          <w:rFonts w:ascii="宋体" w:hAnsi="宋体" w:cs="Times New Roman"/>
          <w:b/>
          <w:sz w:val="21"/>
          <w:szCs w:val="21"/>
        </w:rPr>
        <w:t xml:space="preserve">7</w:t>
      </w:r>
      <w:r>
        <w:rPr>
          <w:rFonts w:hint="eastAsia" w:ascii="宋体" w:hAnsi="宋体" w:cs="Times New Roman"/>
          <w:b/>
          <w:sz w:val="21"/>
          <w:szCs w:val="21"/>
        </w:rPr>
        <w:t xml:space="preserve">、液压破拆工具组</w:t>
      </w:r>
      <w:r>
        <w:rPr>
          <w:rFonts w:hint="eastAsia" w:ascii="宋体" w:hAnsi="宋体" w:cs="Times New Roman"/>
          <w:b/>
          <w:sz w:val="21"/>
          <w:szCs w:val="21"/>
        </w:rPr>
        <w:t xml:space="preserve">1</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报告（报告具有CMA标识），检验结果和结论都应符合 GB/T17906-2021《消防应急救援装备液压破拆工具通用技术条件》标准要求。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68</w:t>
      </w:r>
      <w:r>
        <w:rPr>
          <w:rFonts w:hint="eastAsia" w:ascii="宋体" w:hAnsi="宋体" w:cs="Times New Roman"/>
          <w:b/>
          <w:sz w:val="21"/>
          <w:szCs w:val="21"/>
        </w:rPr>
        <w:t xml:space="preserve">、液压破拆工具组</w:t>
      </w:r>
      <w:r>
        <w:rPr>
          <w:rFonts w:hint="eastAsia" w:ascii="宋体" w:hAnsi="宋体" w:cs="Times New Roman"/>
          <w:b/>
          <w:sz w:val="21"/>
          <w:szCs w:val="21"/>
        </w:rPr>
        <w:t xml:space="preserve">2</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★（1）提供所投产品完整有效的检验</w:t>
      </w:r>
      <w:r>
        <w:rPr>
          <w:rFonts w:hint="eastAsia" w:ascii="宋体" w:hAnsi="宋体" w:cs="Times New Roman"/>
          <w:b/>
          <w:sz w:val="21"/>
          <w:szCs w:val="21"/>
        </w:rPr>
        <w:t xml:space="preserve">检测</w:t>
      </w:r>
      <w:r>
        <w:rPr>
          <w:rFonts w:hint="eastAsia" w:ascii="宋体" w:hAnsi="宋体" w:cs="Times New Roman"/>
          <w:b/>
          <w:sz w:val="21"/>
          <w:szCs w:val="21"/>
        </w:rPr>
        <w:t xml:space="preserve">报告（报告具有CMA标识），检验结果和结论都应符合 GB/T17906-2021《消防应急救援装备液压破拆工具通用技术条件》标准要求。</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（九</w:t>
      </w:r>
      <w:r>
        <w:rPr>
          <w:rFonts w:hint="eastAsia" w:ascii="宋体" w:hAnsi="宋体" w:cstheme="minorEastAsia"/>
          <w:b/>
          <w:bCs/>
          <w:sz w:val="21"/>
          <w:szCs w:val="21"/>
        </w:rPr>
        <w:t xml:space="preserve">）</w:t>
      </w:r>
      <w:r>
        <w:rPr>
          <w:rFonts w:hint="eastAsia" w:ascii="宋体" w:hAnsi="宋体" w:cstheme="minorEastAsia"/>
          <w:b/>
          <w:bCs/>
          <w:sz w:val="21"/>
          <w:szCs w:val="21"/>
        </w:rPr>
        <w:t xml:space="preserve">商务要求（适用于全部标段</w:t>
      </w:r>
      <w:r>
        <w:rPr>
          <w:rFonts w:hint="eastAsia" w:ascii="宋体" w:hAnsi="宋体" w:cstheme="minorEastAsia"/>
          <w:b/>
          <w:bCs/>
          <w:sz w:val="21"/>
          <w:szCs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交付时间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签订合同后60日历天内将货物送达指定地点。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交付地点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以具体签署的采购合同中货物交付地点为准。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履约保证金（函）</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自合同签订之日起7个工作日内，</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缴纳合同总金额5%的履约保证金（或金融机构出具的独立保函，该保函需载明：（1）见索即付；（2）收到</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法定代表人或授权委托代理人签字确认并加盖公章的书面索赔通知后即应不争辩、不挑剔、不可撤销地向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支付索赔款，直至最高担保金额；（3）有效期为保函开具之日起至验收合格后三十个工作日为止；（4）担保金额为合同金额的5%）。如</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提供的保函未载明前述内容的，</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可以拒收该保函，并要求</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以银行转账的方式提供履约保证金。</w:t>
      </w:r>
      <w:r>
        <w:rPr>
          <w:rFonts w:hint="eastAsia" w:asciiTheme="minorEastAsia" w:hAnsiTheme="minorEastAsia" w:eastAsiaTheme="minorEastAsia" w:cstheme="minorEastAsia"/>
          <w:sz w:val="21"/>
          <w:szCs w:val="21"/>
        </w:rPr>
        <w:t xml:space="preserve">合同履行完毕且在供应商无违约情形或无其它采购人有权扣除时，履约保证金将在采购人签署到货验收合格后，供应商向采购人提出申请，采购人于收到申请后30个工作日内将履约保证金或保</w:t>
      </w:r>
      <w:r>
        <w:rPr>
          <w:rFonts w:hint="eastAsia" w:asciiTheme="minorEastAsia" w:hAnsiTheme="minorEastAsia" w:eastAsiaTheme="minorEastAsia" w:cstheme="minorEastAsia"/>
          <w:sz w:val="21"/>
          <w:szCs w:val="21"/>
        </w:rPr>
        <w:t xml:space="preserve">函无息退还。若采购人超期未退还，则按照银行同期贷款利率支付利息</w:t>
      </w:r>
      <w:r>
        <w:rPr>
          <w:rFonts w:hint="eastAsia" w:asciiTheme="minorEastAsia" w:hAnsiTheme="minorEastAsia" w:eastAsiaTheme="minorEastAsia" w:cstheme="minorEastAsia"/>
          <w:sz w:val="21"/>
          <w:szCs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 付款条件（进度和方式）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在收到履约保证金（函）后，30天内向</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支付合同总金额30%的价款。</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按照合同约定交货，经</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对合同中所有装备到货验收合格（</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签署到货验收合格报告），凭</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等额有效发票及</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签署验收合格报告，</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在30天内向</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支付至合同金额的100%。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 售后服务要求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应按采购文件规定的货物性能、技术要求、质量标准向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提供未经使用的近六个月生产的全新产品。</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须负责送货上门及安装调试、使用培训。过程中的全部运输、装卸、保管等均由中标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负责。</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（3）质量保证期：从验收合格后三十六个月（双方签署验收报告时起算）。</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rPr>
        <w:t xml:space="preserve">维修和响应服务</w:t>
      </w:r>
      <w:r>
        <w:rPr>
          <w:rFonts w:hint="eastAsia" w:asciiTheme="minorEastAsia" w:hAnsiTheme="minorEastAsia" w:eastAsiaTheme="minorEastAsia" w:cstheme="minorEastAsia"/>
          <w:sz w:val="21"/>
          <w:szCs w:val="21"/>
        </w:rPr>
        <w:t xml:space="preserve">：质保期内，中标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必须在接到报修电话后8小时内响应，24小时内到达现场免费维修，24小时内修复。如 24小时内无法修复的，必须全免费提供不低于故障产品规格型号档次的备</w:t>
      </w:r>
      <w:r>
        <w:rPr>
          <w:rFonts w:hint="eastAsia" w:asciiTheme="minorEastAsia" w:hAnsiTheme="minorEastAsia" w:eastAsiaTheme="minorEastAsia" w:cstheme="minorEastAsia"/>
          <w:sz w:val="21"/>
          <w:szCs w:val="21"/>
        </w:rPr>
        <w:t xml:space="preserve">用产品（或采用应急措施）供</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临时使用，不得影响</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的正常工作，直到故障产品修复。中标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对所有设备实行终身维护，保修期外发生维修只收配件、材料及维修期人工工时费。</w:t>
      </w:r>
      <w:r/>
    </w:p>
    <w:p>
      <w:pPr>
        <w:ind w:left="0" w:firstLine="420"/>
        <w:spacing w:line="360" w:lineRule="auto"/>
        <w:rPr>
          <w:rFonts w:ascii="宋体" w:hAnsi="宋体" w:cstheme="minorEastAsia"/>
          <w:sz w:val="21"/>
          <w:szCs w:val="21"/>
        </w:rPr>
      </w:pPr>
      <w:r>
        <w:rPr>
          <w:rFonts w:hint="eastAsia" w:asciiTheme="minorEastAsia" w:hAnsiTheme="minorEastAsia" w:eastAsiaTheme="minorEastAsia" w:cstheme="minorEastAsia"/>
          <w:sz w:val="21"/>
          <w:szCs w:val="21"/>
        </w:rPr>
        <w:t xml:space="preserve">（5）中标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须提供全天候7×24的售后服务，中标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提供统一的售后服务受理电话，在投标文件中明确售后服务受理电话号码及专门为</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服务的客户服务经理姓名、电话。中标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应免费为</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培训使用及</w:t>
      </w:r>
      <w:r>
        <w:rPr>
          <w:rFonts w:hint="eastAsia" w:ascii="宋体" w:hAnsi="宋体" w:cstheme="minorEastAsia"/>
          <w:sz w:val="21"/>
          <w:szCs w:val="21"/>
        </w:rPr>
        <w:t xml:space="preserve">维护人员，确保</w:t>
      </w:r>
      <w:r>
        <w:rPr>
          <w:rFonts w:hint="eastAsia" w:ascii="宋体" w:hAnsi="宋体" w:cstheme="minorEastAsia"/>
          <w:sz w:val="21"/>
          <w:szCs w:val="21"/>
        </w:rPr>
        <w:t xml:space="preserve">采购人</w:t>
      </w:r>
      <w:r>
        <w:rPr>
          <w:rFonts w:hint="eastAsia" w:ascii="宋体" w:hAnsi="宋体" w:cstheme="minorEastAsia"/>
          <w:sz w:val="21"/>
          <w:szCs w:val="21"/>
        </w:rPr>
        <w:t xml:space="preserve">使用人员能正确使用、维护保养。</w:t>
      </w:r>
      <w:r/>
    </w:p>
    <w:p>
      <w:pPr>
        <w:ind w:left="0" w:firstLine="420"/>
        <w:spacing w:line="360" w:lineRule="auto"/>
        <w:rPr>
          <w:rFonts w:ascii="宋体" w:hAnsi="宋体" w:cstheme="minorEastAsia"/>
          <w:sz w:val="21"/>
          <w:szCs w:val="21"/>
        </w:rPr>
      </w:pPr>
      <w:r>
        <w:rPr>
          <w:rFonts w:hint="eastAsia" w:ascii="宋体" w:hAnsi="宋体" w:cstheme="minorEastAsia"/>
          <w:sz w:val="21"/>
          <w:szCs w:val="21"/>
        </w:rPr>
        <w:t xml:space="preserve">（6）所投产品如有备品备件，</w:t>
      </w:r>
      <w:r>
        <w:rPr>
          <w:rFonts w:hint="eastAsia" w:ascii="宋体" w:hAnsi="宋体" w:cstheme="minorEastAsia"/>
          <w:sz w:val="21"/>
          <w:szCs w:val="21"/>
        </w:rPr>
        <w:t xml:space="preserve">供应商</w:t>
      </w:r>
      <w:r>
        <w:rPr>
          <w:rFonts w:hint="eastAsia" w:ascii="宋体" w:hAnsi="宋体" w:cstheme="minorEastAsia"/>
          <w:sz w:val="21"/>
          <w:szCs w:val="21"/>
        </w:rPr>
        <w:t xml:space="preserve">须编制质保期后三年内必须的备品备件报价表</w:t>
      </w:r>
      <w:r>
        <w:rPr>
          <w:rFonts w:hint="eastAsia" w:ascii="宋体" w:hAnsi="宋体" w:cstheme="minorEastAsia"/>
          <w:sz w:val="21"/>
          <w:szCs w:val="21"/>
        </w:rPr>
        <w:t xml:space="preserve">，并承诺质保期后三年内，以报价表中的单价向</w:t>
      </w:r>
      <w:r>
        <w:rPr>
          <w:rFonts w:hint="eastAsia" w:ascii="宋体" w:hAnsi="宋体" w:cstheme="minorEastAsia"/>
          <w:sz w:val="21"/>
          <w:szCs w:val="21"/>
        </w:rPr>
        <w:t xml:space="preserve">采购人</w:t>
      </w:r>
      <w:r>
        <w:rPr>
          <w:rFonts w:hint="eastAsia" w:ascii="宋体" w:hAnsi="宋体" w:cstheme="minorEastAsia"/>
          <w:sz w:val="21"/>
          <w:szCs w:val="21"/>
        </w:rPr>
        <w:t xml:space="preserve">供应备品备件</w:t>
      </w:r>
      <w:r>
        <w:rPr>
          <w:rFonts w:hint="eastAsia" w:ascii="宋体" w:hAnsi="宋体" w:cstheme="minorEastAsia"/>
          <w:sz w:val="21"/>
          <w:szCs w:val="21"/>
        </w:rPr>
        <w:t xml:space="preserve">。</w:t>
      </w:r>
      <w:r/>
    </w:p>
    <w:p>
      <w:pPr>
        <w:pStyle w:val="1000"/>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其他</w:t>
      </w:r>
      <w:r/>
    </w:p>
    <w:p>
      <w:pPr>
        <w:pStyle w:val="1000"/>
        <w:ind w:left="0" w:firstLine="420"/>
        <w:spacing w:line="360" w:lineRule="auto"/>
        <w:rPr>
          <w:rFonts w:ascii="宋体" w:hAnsi="宋体"/>
          <w:sz w:val="21"/>
          <w:szCs w:val="21"/>
        </w:rPr>
      </w:pPr>
      <w:r>
        <w:rPr>
          <w:rFonts w:hint="eastAsia" w:ascii="宋体" w:hAnsi="宋体"/>
          <w:sz w:val="21"/>
          <w:szCs w:val="21"/>
        </w:rPr>
        <w:t xml:space="preserve">信息化标签要求：根据消防救援局发布的新版装备管理系统要求，中标</w:t>
      </w:r>
      <w:r>
        <w:rPr>
          <w:rFonts w:hint="eastAsia" w:ascii="宋体" w:hAnsi="宋体"/>
          <w:sz w:val="21"/>
          <w:szCs w:val="21"/>
        </w:rPr>
        <w:t xml:space="preserve">供应商</w:t>
      </w:r>
      <w:r>
        <w:rPr>
          <w:rFonts w:hint="eastAsia" w:ascii="宋体" w:hAnsi="宋体"/>
          <w:sz w:val="21"/>
          <w:szCs w:val="21"/>
        </w:rPr>
        <w:t xml:space="preserve">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 （套）装备上，实现单件（套）装备的扫码登记功能。注：装备基础信息采集子系统为免费注册应用，系统网址 http:/</w:t>
      </w:r>
      <w:r>
        <w:rPr>
          <w:rFonts w:ascii="宋体" w:hAnsi="宋体"/>
          <w:sz w:val="21"/>
          <w:szCs w:val="21"/>
        </w:rPr>
        <w:t xml:space="preserve">/</w:t>
      </w:r>
      <w:r>
        <w:rPr>
          <w:rFonts w:hint="eastAsia" w:ascii="宋体" w:hAnsi="宋体"/>
          <w:sz w:val="21"/>
          <w:szCs w:val="21"/>
        </w:rPr>
        <w:t xml:space="preserve">xfzb.119.gov.cn。赋码要求：二维码和 RFID 实现二合一 (即在一个标签上体现)。</w:t>
      </w:r>
      <w:r/>
    </w:p>
    <w:p>
      <w:pPr>
        <w:pStyle w:val="989"/>
        <w:ind w:left="0" w:firstLine="420"/>
        <w:spacing w:before="0" w:after="0" w:line="360" w:lineRule="auto"/>
        <w:rPr>
          <w:rFonts w:ascii="宋体" w:hAnsi="宋体"/>
          <w:sz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十</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供应商</w:t>
      </w:r>
      <w:r>
        <w:rPr>
          <w:rFonts w:hint="eastAsia" w:ascii="宋体" w:hAnsi="宋体"/>
          <w:sz w:val="21"/>
        </w:rPr>
        <w:t xml:space="preserve">根据本项目特点，制定下列</w:t>
      </w:r>
      <w:r>
        <w:rPr>
          <w:rFonts w:hint="eastAsia" w:asciiTheme="minorEastAsia" w:hAnsiTheme="minorEastAsia" w:eastAsiaTheme="minorEastAsia" w:cstheme="minorEastAsia"/>
          <w:sz w:val="21"/>
          <w:szCs w:val="21"/>
        </w:rPr>
        <w:t xml:space="preserve">培训方案</w:t>
      </w:r>
      <w:r>
        <w:rPr>
          <w:rFonts w:hint="eastAsia" w:ascii="宋体" w:hAnsi="宋体"/>
          <w:sz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1.培训时间计划及培训人员安排；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2.培训内容设计安排；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3.重点难点及培训结果保障措施</w:t>
      </w:r>
      <w:r/>
    </w:p>
    <w:p>
      <w:pPr>
        <w:pStyle w:val="989"/>
        <w:ind w:left="0" w:firstLine="420"/>
        <w:spacing w:before="0" w:after="0" w:line="360" w:lineRule="auto"/>
        <w:rPr>
          <w:rFonts w:ascii="宋体" w:hAnsi="宋体"/>
          <w:sz w:val="21"/>
        </w:rPr>
      </w:pPr>
      <w:r>
        <w:rPr>
          <w:rFonts w:hint="eastAsia" w:asciiTheme="minorEastAsia" w:hAnsiTheme="minorEastAsia" w:eastAsiaTheme="minorEastAsia" w:cstheme="minorEastAsia"/>
          <w:sz w:val="21"/>
          <w:szCs w:val="21"/>
        </w:rPr>
        <w:t xml:space="preserve">（十一</w:t>
      </w:r>
      <w:r>
        <w:rPr>
          <w:rFonts w:hint="eastAsia" w:asciiTheme="minorEastAsia" w:hAnsiTheme="minorEastAsia" w:eastAsiaTheme="minorEastAsia" w:cstheme="minorEastAsia"/>
          <w:sz w:val="21"/>
          <w:szCs w:val="21"/>
        </w:rPr>
        <w:t xml:space="preserve">）</w:t>
      </w:r>
      <w:r>
        <w:rPr>
          <w:rFonts w:hint="eastAsia" w:ascii="宋体" w:hAnsi="宋体"/>
          <w:sz w:val="21"/>
        </w:rPr>
        <w:t xml:space="preserve">供应商</w:t>
      </w:r>
      <w:r>
        <w:rPr>
          <w:rFonts w:hint="eastAsia" w:ascii="宋体" w:hAnsi="宋体"/>
          <w:sz w:val="21"/>
        </w:rPr>
        <w:t xml:space="preserve">根据本项目特点，制定下列售后服务</w:t>
      </w:r>
      <w:r>
        <w:rPr>
          <w:rFonts w:hint="eastAsia" w:asciiTheme="minorEastAsia" w:hAnsiTheme="minorEastAsia" w:eastAsiaTheme="minorEastAsia" w:cstheme="minorEastAsia"/>
          <w:sz w:val="21"/>
          <w:szCs w:val="21"/>
        </w:rPr>
        <w:t xml:space="preserve">方案</w:t>
      </w:r>
      <w:r>
        <w:rPr>
          <w:rFonts w:hint="eastAsia" w:ascii="宋体" w:hAnsi="宋体"/>
          <w:sz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1.售后服务机构及人员网点配置；</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2.响应时间；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3.零配件供应周期、备货储存、工时费等；</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4.定期安排技术人员针对产品的使用环境、使用频率及更新等进行回访、巡检、维护、保养等方案</w:t>
      </w:r>
      <w:r/>
    </w:p>
    <w:p>
      <w:pPr>
        <w:pStyle w:val="989"/>
        <w:ind w:left="0" w:firstLine="420"/>
        <w:spacing w:before="0"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（十</w:t>
      </w:r>
      <w:r>
        <w:rPr>
          <w:rFonts w:hint="eastAsia" w:asciiTheme="minorEastAsia" w:hAnsiTheme="minorEastAsia" w:eastAsiaTheme="minorEastAsia" w:cstheme="minorEastAsia"/>
          <w:sz w:val="21"/>
          <w:szCs w:val="21"/>
        </w:rPr>
        <w:t xml:space="preserve">二</w:t>
      </w:r>
      <w:r>
        <w:rPr>
          <w:rFonts w:hint="eastAsia" w:asciiTheme="minorEastAsia" w:hAnsiTheme="minorEastAsia" w:eastAsiaTheme="minorEastAsia" w:cstheme="minorEastAsia"/>
          <w:sz w:val="21"/>
          <w:szCs w:val="21"/>
        </w:rPr>
        <w:t xml:space="preserve">）履约验收</w:t>
      </w:r>
      <w:r/>
    </w:p>
    <w:p>
      <w:pPr>
        <w:ind w:left="0" w:firstLine="420"/>
        <w:jc w:val="left"/>
        <w:spacing w:line="360" w:lineRule="auto"/>
        <w:widowControl w:val="off"/>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jc w:val="left"/>
        <w:spacing w:line="360" w:lineRule="auto"/>
        <w:widowControl w:val="off"/>
        <w:tabs>
          <w:tab w:val="left" w:pos="420" w:leader="none"/>
        </w:tabs>
        <w:rPr>
          <w:rFonts w:ascii="宋体" w:hAnsi="宋体"/>
          <w:sz w:val="21"/>
        </w:rPr>
      </w:pPr>
      <w:r>
        <w:rPr>
          <w:rFonts w:hint="eastAsia" w:ascii="宋体" w:hAnsi="宋体"/>
          <w:sz w:val="21"/>
        </w:rPr>
        <w:t xml:space="preserve">2.采购文件、投标文件、政府采购合同等是履约验收工作的重要依据。在政府采购合同约定的履行验收条件达到时，中标供应商可以主动联系采购人启动履约验收工作。</w:t>
      </w:r>
      <w:r/>
    </w:p>
    <w:p>
      <w:pPr>
        <w:ind w:left="0" w:firstLine="420"/>
        <w:jc w:val="left"/>
        <w:spacing w:line="360" w:lineRule="auto"/>
        <w:widowControl w:val="off"/>
        <w:tabs>
          <w:tab w:val="left" w:pos="420" w:leader="none"/>
        </w:tabs>
        <w:rPr>
          <w:rFonts w:asciiTheme="minorEastAsia" w:hAnsiTheme="minorEastAsia" w:eastAsiaTheme="minorEastAsia" w:cstheme="minorEastAsia"/>
          <w:sz w:val="21"/>
          <w:szCs w:val="21"/>
        </w:rPr>
      </w:pPr>
      <w:r>
        <w:rPr>
          <w:rFonts w:hint="eastAsia" w:ascii="宋体" w:hAnsi="宋体"/>
          <w:sz w:val="21"/>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w:t>
      </w:r>
      <w:r>
        <w:rPr>
          <w:rFonts w:hint="eastAsia" w:ascii="宋体" w:hAnsi="宋体"/>
          <w:bCs/>
          <w:color w:val="000000"/>
          <w:sz w:val="21"/>
          <w:szCs w:val="21"/>
          <w14:ligatures w14:val="standardContextual"/>
        </w:rPr>
        <w:t xml:space="preserve">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88"/>
        <w:ind w:left="0" w:firstLine="0"/>
        <w:jc w:val="center"/>
        <w:rPr>
          <w:rFonts w:ascii="宋体" w:hAnsi="宋体"/>
          <w:b/>
          <w:sz w:val="44"/>
          <w:szCs w:val="22"/>
        </w:rPr>
      </w:pPr>
      <w:r/>
      <w:bookmarkStart w:id="97" w:name="_Toc5111"/>
      <w:r/>
      <w:bookmarkStart w:id="98" w:name="_Toc11789"/>
      <w:r/>
      <w:bookmarkStart w:id="99" w:name="_Hlk55741158"/>
      <w:r>
        <w:rPr>
          <w:rFonts w:hint="eastAsia" w:ascii="宋体" w:hAnsi="宋体"/>
          <w:b/>
          <w:sz w:val="44"/>
          <w:szCs w:val="22"/>
        </w:rPr>
        <w:br w:type="page" w:clear="all"/>
      </w:r>
      <w:bookmarkStart w:id="100" w:name="_Toc105397794"/>
      <w:r>
        <w:rPr>
          <w:rFonts w:hint="eastAsia" w:ascii="宋体" w:hAnsi="宋体"/>
          <w:b/>
          <w:sz w:val="44"/>
          <w:szCs w:val="22"/>
        </w:rPr>
        <w:t xml:space="preserve">第五章  </w:t>
      </w:r>
      <w:bookmarkStart w:id="101" w:name="合同的特殊条款"/>
      <w:r/>
      <w:bookmarkEnd w:id="101"/>
      <w:r>
        <w:rPr>
          <w:rFonts w:hint="eastAsia" w:ascii="宋体" w:hAnsi="宋体"/>
          <w:b/>
          <w:sz w:val="44"/>
          <w:szCs w:val="22"/>
        </w:rPr>
        <w:t xml:space="preserve">合同及主要条款</w:t>
      </w:r>
      <w:bookmarkEnd w:id="97"/>
      <w:r/>
      <w:bookmarkEnd w:id="98"/>
      <w:r/>
      <w:bookmarkEnd w:id="100"/>
      <w:r/>
      <w:r/>
    </w:p>
    <w:p>
      <w:pPr>
        <w:ind w:left="0"/>
        <w:jc w:val="center"/>
        <w:spacing w:line="360" w:lineRule="auto"/>
        <w:widowControl w:val="off"/>
        <w:rPr>
          <w:rFonts w:ascii="宋体" w:hAnsi="宋体"/>
          <w:sz w:val="21"/>
          <w:szCs w:val="21"/>
        </w:rPr>
      </w:pPr>
      <w:r/>
      <w:bookmarkStart w:id="102" w:name="_Toc57376410"/>
      <w:r/>
      <w:bookmarkStart w:id="103" w:name="_Toc8564"/>
      <w:r/>
      <w:bookmarkStart w:id="104" w:name="_Toc27667"/>
      <w:r/>
      <w:bookmarkEnd w:id="99"/>
      <w:r>
        <w:rPr>
          <w:rFonts w:hint="eastAsia" w:ascii="宋体" w:hAnsi="宋体"/>
          <w:b/>
          <w:sz w:val="32"/>
          <w:szCs w:val="32"/>
        </w:rPr>
        <w:t xml:space="preserve">采购合同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根据《中华人民共和国政府采购法》《中华人民共和国民法典》等法律、法规和相关规定，通过（招标编号：</w:t>
      </w:r>
      <w:r>
        <w:rPr>
          <w:rFonts w:hint="eastAsia" w:ascii="宋体" w:hAnsi="宋体"/>
          <w:sz w:val="21"/>
          <w:szCs w:val="21"/>
          <w:u w:val="single"/>
        </w:rPr>
        <w:t xml:space="preserve">       </w:t>
      </w:r>
      <w:r>
        <w:rPr>
          <w:rFonts w:hint="eastAsia" w:ascii="宋体" w:hAnsi="宋体"/>
          <w:sz w:val="21"/>
          <w:szCs w:val="21"/>
        </w:rPr>
        <w:t xml:space="preserve">）的招标并经评审专家评定，确定为中标单位。甲方与乙方经友好商，在平等自愿、诚实守信的原则下，同意按照下面条款</w:t>
      </w:r>
      <w:r>
        <w:rPr>
          <w:rFonts w:hint="eastAsia" w:ascii="宋体" w:hAnsi="宋体"/>
          <w:sz w:val="21"/>
          <w:szCs w:val="21"/>
        </w:rPr>
        <w:t xml:space="preserve">签署</w:t>
      </w:r>
      <w:r>
        <w:rPr>
          <w:rFonts w:hint="eastAsia" w:ascii="宋体" w:hAnsi="宋体"/>
          <w:sz w:val="21"/>
          <w:szCs w:val="21"/>
        </w:rPr>
        <w:t xml:space="preserve">本合同。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一、合同文件及优先解释顺序</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本合同由下列文件共同构成并视为一个整体，彼此相互解释，相互补充。各合同构成文件的优先解释顺序如下：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a.合同补充协议（如有）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b.本合同文本；</w:t>
      </w:r>
      <w:r/>
    </w:p>
    <w:p>
      <w:pPr>
        <w:ind w:left="0" w:firstLine="420"/>
        <w:spacing w:line="360" w:lineRule="auto"/>
        <w:widowControl w:val="off"/>
        <w:rPr>
          <w:rFonts w:ascii="宋体" w:hAnsi="宋体"/>
          <w:sz w:val="21"/>
          <w:szCs w:val="21"/>
        </w:rPr>
      </w:pPr>
      <w:r>
        <w:rPr>
          <w:rFonts w:hint="eastAsia" w:ascii="宋体" w:hAnsi="宋体"/>
          <w:sz w:val="21"/>
          <w:szCs w:val="21"/>
        </w:rPr>
        <w:t xml:space="preserve">c.合同附件（包括：报价明细表；技术协议；列明产品名称型号、详细的中文技术规格书（与投标文件技术偏离表一致）；清晰的外观照片；工具、零备件清单；产品全寿命周期的主要耗损件、易损件及维修费用价格清单（须承诺保证供应且价格合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d.中标人的投标文件(含澄清文件)；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e.本项目招标文件（含招标文件补充通知、澄清文件）。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本项目合同按照招标文件要求和中标人投标文件中的承诺进行签订。对于同一事项在中标人投标文件中的承诺优于招标文件要求的，或招标文件中未提出明确要求的事项，均以中标人投标文件内容为准。</w:t>
      </w:r>
      <w:r>
        <w:rPr>
          <w:rFonts w:hint="eastAsia" w:ascii="宋体" w:hAnsi="宋体"/>
          <w:b/>
          <w:sz w:val="21"/>
          <w:szCs w:val="21"/>
        </w:rPr>
        <w:t xml:space="preserve">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本合同及附件的订立、效力、解释、履行、争议的解决等适用本合同签订时有效的中华人民共和国法律、法规的有关规定。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1.4 在本合同履行期间，因中国法律、法规、政策的变化致使本合同的部分条款相冲突、无效或失去可强制执行效力时，双方同意将密切合作，尽快修改本合同中相冲突或无效或失去强制执行效力的有关条款。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二、产品名称、单价</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3"/>
        <w:gridCol w:w="1312"/>
        <w:gridCol w:w="1312"/>
        <w:gridCol w:w="1312"/>
        <w:gridCol w:w="1314"/>
        <w:gridCol w:w="1318"/>
        <w:gridCol w:w="2019"/>
      </w:tblGrid>
      <w:tr>
        <w:trPr>
          <w:jc w:val="center"/>
          <w:trHeight w:val="57"/>
        </w:trPr>
        <w:tc>
          <w:tcPr>
            <w:tcW w:w="641"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品牌型号</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数量</w:t>
            </w:r>
            <w:r/>
          </w:p>
        </w:tc>
        <w:tc>
          <w:tcPr>
            <w:tcW w:w="667"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单价（元）</w:t>
            </w:r>
            <w:r/>
          </w:p>
        </w:tc>
        <w:tc>
          <w:tcPr>
            <w:tcW w:w="669"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合计</w:t>
            </w:r>
            <w:r/>
          </w:p>
          <w:p>
            <w:pPr>
              <w:ind w:left="0"/>
              <w:jc w:val="center"/>
              <w:widowControl w:val="off"/>
              <w:rPr>
                <w:rFonts w:ascii="宋体" w:hAnsi="宋体"/>
                <w:sz w:val="22"/>
                <w:szCs w:val="22"/>
              </w:rPr>
            </w:pPr>
            <w:r>
              <w:rPr>
                <w:rFonts w:hint="eastAsia" w:ascii="宋体" w:hAnsi="宋体"/>
                <w:sz w:val="22"/>
                <w:szCs w:val="22"/>
              </w:rPr>
              <w:t xml:space="preserve">（元）</w:t>
            </w:r>
            <w:r/>
          </w:p>
        </w:tc>
        <w:tc>
          <w:tcPr>
            <w:tcW w:w="1025"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备注</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restart"/>
            <w:textDirection w:val="lrTb"/>
            <w:noWrap w:val="false"/>
          </w:tcPr>
          <w:p>
            <w:pPr>
              <w:ind w:left="0"/>
              <w:widowControl w:val="off"/>
              <w:rPr>
                <w:rFonts w:ascii="宋体" w:hAnsi="宋体"/>
                <w:sz w:val="22"/>
                <w:szCs w:val="22"/>
              </w:rPr>
            </w:pPr>
            <w:r>
              <w:rPr>
                <w:rFonts w:hint="eastAsia" w:ascii="宋体" w:hAnsi="宋体"/>
                <w:sz w:val="22"/>
                <w:szCs w:val="22"/>
              </w:rPr>
              <w:t xml:space="preserve">（需满足为完成该项目的相关运输、安装、培训、售后服务、维修、更换和质保、检验等所有费用）</w:t>
            </w:r>
            <w:r/>
          </w:p>
          <w:p>
            <w:pPr>
              <w:ind w:left="0"/>
              <w:widowControl w:val="off"/>
              <w:rPr>
                <w:rFonts w:ascii="宋体" w:hAnsi="宋体"/>
                <w:sz w:val="22"/>
                <w:szCs w:val="22"/>
              </w:rPr>
            </w:pPr>
            <w:r>
              <w:rPr>
                <w:rFonts w:hint="eastAsia" w:ascii="宋体" w:hAnsi="宋体"/>
                <w:sz w:val="22"/>
                <w:szCs w:val="22"/>
              </w:rPr>
              <w:t xml:space="preserve">如投标文件中技术条款或商务条款有正偏离，应在合同中进行明确。</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bl>
    <w:p>
      <w:pPr>
        <w:spacing w:line="360" w:lineRule="auto"/>
        <w:widowControl w:val="off"/>
        <w:rPr>
          <w:rFonts w:ascii="宋体" w:hAnsi="宋体"/>
          <w:sz w:val="22"/>
          <w:szCs w:val="22"/>
        </w:rPr>
      </w:pPr>
      <w:r>
        <w:rPr>
          <w:rFonts w:ascii="宋体" w:hAnsi="宋体"/>
          <w:sz w:val="22"/>
          <w:szCs w:val="22"/>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三、合同总金额</w:t>
      </w:r>
      <w:r/>
    </w:p>
    <w:p>
      <w:pPr>
        <w:ind w:left="0" w:firstLine="420"/>
        <w:spacing w:line="360" w:lineRule="auto"/>
        <w:widowControl w:val="off"/>
        <w:rPr>
          <w:rFonts w:ascii="宋体" w:hAnsi="宋体"/>
          <w:sz w:val="21"/>
          <w:szCs w:val="21"/>
        </w:rPr>
      </w:pPr>
      <w:r>
        <w:rPr>
          <w:rFonts w:hint="eastAsia" w:ascii="宋体" w:hAnsi="宋体"/>
          <w:sz w:val="21"/>
          <w:szCs w:val="21"/>
        </w:rPr>
        <w:t xml:space="preserve">3.1 本合同</w:t>
      </w:r>
      <w:r>
        <w:rPr>
          <w:rFonts w:hint="eastAsia" w:ascii="宋体" w:hAnsi="宋体"/>
          <w:sz w:val="21"/>
          <w:szCs w:val="21"/>
        </w:rPr>
        <w:t xml:space="preserve">预估</w:t>
      </w:r>
      <w:r>
        <w:rPr>
          <w:rFonts w:hint="eastAsia" w:ascii="宋体" w:hAnsi="宋体"/>
          <w:sz w:val="21"/>
          <w:szCs w:val="21"/>
        </w:rPr>
        <w:t xml:space="preserve">金额为（大写）：</w:t>
      </w:r>
      <w:r>
        <w:rPr>
          <w:rFonts w:hint="eastAsia" w:ascii="宋体" w:hAnsi="宋体"/>
          <w:sz w:val="21"/>
          <w:szCs w:val="21"/>
          <w:u w:val="single"/>
        </w:rPr>
        <w:t xml:space="preserve">    </w:t>
      </w:r>
      <w:r>
        <w:rPr>
          <w:rFonts w:hint="eastAsia" w:ascii="宋体" w:hAnsi="宋体"/>
          <w:sz w:val="21"/>
          <w:szCs w:val="21"/>
        </w:rPr>
        <w:t xml:space="preserve">元人民币（¥：</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360" w:lineRule="auto"/>
        <w:widowControl w:val="off"/>
        <w:rPr>
          <w:rFonts w:ascii="宋体" w:hAnsi="宋体"/>
          <w:sz w:val="21"/>
          <w:szCs w:val="21"/>
        </w:rPr>
      </w:pPr>
      <w:r>
        <w:rPr>
          <w:rFonts w:hint="eastAsia" w:ascii="宋体" w:hAnsi="宋体"/>
          <w:sz w:val="21"/>
          <w:szCs w:val="21"/>
        </w:rPr>
        <w:t xml:space="preserve">3.2本合同总金额为乙方完成本合同项下全部义务（包括但不仅限于产品设计及制造、标准附件、备品备件、专用工具、系统集成、包装、运输、装卸、保险、税金、货到就位以及安装、调试、培训、保修维护等一切税金和费用等）的费用和报酬，除本合同另有约定外，甲方无须支付其他任何费用和款项。</w:t>
      </w:r>
      <w:r>
        <w:rPr>
          <w:rFonts w:hint="eastAsia" w:ascii="宋体" w:hAnsi="宋体"/>
          <w:sz w:val="21"/>
          <w:szCs w:val="21"/>
        </w:rPr>
        <w:t xml:space="preserve">产品单价，在合同履行期间不因原材料价格、人工成本、汇率等任何因素调整。</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四、质量要求及技术准备</w:t>
      </w:r>
      <w:r/>
    </w:p>
    <w:p>
      <w:pPr>
        <w:ind w:left="0" w:firstLine="420"/>
        <w:spacing w:line="360" w:lineRule="auto"/>
        <w:widowControl w:val="off"/>
        <w:rPr>
          <w:rFonts w:ascii="宋体" w:hAnsi="宋体"/>
          <w:sz w:val="21"/>
          <w:szCs w:val="21"/>
        </w:rPr>
      </w:pPr>
      <w:r>
        <w:rPr>
          <w:rFonts w:hint="eastAsia" w:ascii="宋体" w:hAnsi="宋体"/>
          <w:sz w:val="21"/>
          <w:szCs w:val="21"/>
        </w:rPr>
        <w:t xml:space="preserve">4.1 乙方提供的产品或服务须符合（招标编号：</w:t>
      </w:r>
      <w:r>
        <w:rPr>
          <w:rFonts w:hint="eastAsia" w:ascii="宋体" w:hAnsi="宋体"/>
          <w:sz w:val="21"/>
          <w:szCs w:val="21"/>
          <w:u w:val="single"/>
        </w:rPr>
        <w:t xml:space="preserve">    </w:t>
      </w:r>
      <w:r>
        <w:rPr>
          <w:rFonts w:hint="eastAsia" w:ascii="宋体" w:hAnsi="宋体"/>
          <w:sz w:val="21"/>
          <w:szCs w:val="21"/>
        </w:rPr>
        <w:t xml:space="preserve">）招标文件指定标准及国家标准、行业标准、环保要求（上述标准不一致的，以严格或最新的标准为准），若本合同所涉产品涉及《强制性产品认证管理规定》，则须提供相关证明资料。</w:t>
      </w:r>
      <w:r/>
    </w:p>
    <w:p>
      <w:pPr>
        <w:ind w:left="0" w:firstLine="420"/>
        <w:spacing w:line="360" w:lineRule="auto"/>
        <w:widowControl w:val="off"/>
        <w:rPr>
          <w:rFonts w:ascii="宋体" w:hAnsi="宋体"/>
          <w:sz w:val="21"/>
          <w:szCs w:val="21"/>
        </w:rPr>
      </w:pPr>
      <w:r>
        <w:rPr>
          <w:rFonts w:hint="eastAsia" w:ascii="宋体" w:hAnsi="宋体"/>
          <w:sz w:val="21"/>
          <w:szCs w:val="21"/>
        </w:rPr>
        <w:t xml:space="preserve">4.2 乙方所供装备保证是近六个月内生产的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甲方消防员或第三方在使用过程中发生伤亡的，由乙方负责一切后果，并承担法律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4.3 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4.4 根据消防救援局发布的新版装备管理系统要求，乙方须在交货前自行登录装备基础信息采集子系统，按照系统内各类交货装备信息维护要求及赋码标准，录入相关装备信息，生成装备的专属二维码和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码标签制作成标签固定安装在每件(套)装备上赋码要求：二维码和 RFID 实现二合一(即在一个标签上体现)），实现单件(套)装备的扫码登记功能。</w:t>
      </w:r>
      <w:r>
        <w:rPr>
          <w:rFonts w:hint="eastAsia" w:ascii="宋体" w:hAnsi="宋体"/>
          <w:sz w:val="21"/>
          <w:szCs w:val="21"/>
        </w:rPr>
        <w:t xml:space="preserve">乙方未按本条要求完成赋码、标签制作或安装的，甲方有权拒绝接收该批次货物。</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 装备基础信息采集子系统为免费注册应用，系统网址 http:/</w:t>
      </w:r>
      <w:r>
        <w:rPr>
          <w:rFonts w:ascii="宋体" w:hAnsi="宋体"/>
          <w:sz w:val="21"/>
          <w:szCs w:val="21"/>
        </w:rPr>
        <w:t xml:space="preserve">/</w:t>
      </w:r>
      <w:r>
        <w:rPr>
          <w:rFonts w:hint="eastAsia" w:ascii="宋体" w:hAnsi="宋体"/>
          <w:sz w:val="21"/>
          <w:szCs w:val="21"/>
        </w:rPr>
        <w:t xml:space="preserve">xfzb.119.gov.cn。</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五、交付使用时间、交货方式及交货地点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5.1 交付使用时间：</w:t>
      </w:r>
      <w:r>
        <w:rPr>
          <w:rFonts w:hint="eastAsia" w:ascii="宋体" w:hAnsi="宋体"/>
          <w:bCs/>
          <w:sz w:val="21"/>
          <w:szCs w:val="21"/>
        </w:rPr>
        <w:t xml:space="preserve">签订合同后60日历天内将货物送达指定地点。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5.2 交货地点： </w:t>
      </w:r>
      <w:r/>
    </w:p>
    <w:p>
      <w:pPr>
        <w:ind w:left="0" w:firstLine="420"/>
        <w:spacing w:line="360" w:lineRule="auto"/>
        <w:widowControl w:val="off"/>
        <w:rPr>
          <w:rFonts w:ascii="宋体" w:hAnsi="宋体"/>
          <w:sz w:val="21"/>
          <w:szCs w:val="21"/>
        </w:rPr>
      </w:pPr>
      <w:r>
        <w:rPr>
          <w:rFonts w:hint="eastAsia" w:ascii="宋体" w:hAnsi="宋体"/>
          <w:sz w:val="21"/>
          <w:szCs w:val="21"/>
        </w:rPr>
        <w:t xml:space="preserve">5.3 交货方式：由乙方送货上门。交货时甲乙双方均要有人在场负责清点移交。乙方应当按照约定或者交易习惯向甲方交付与产品有关的单证和资料。</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六、货款支付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6 付款方式：甲方在收到履约保证金（函）后，30天内向乙方支付合同总金额30%的价款。乙方按照合同约定交货，经甲方对合同中所有装备到货验收合格（甲方签署到货验收合格报告），并经结算审计后，凭乙方等额有效发票及甲方签署验收合格报告，甲方在30天内向乙方支付至结算审定金额100%。</w:t>
      </w:r>
      <w:r/>
    </w:p>
    <w:p>
      <w:pPr>
        <w:ind w:left="0" w:firstLine="420"/>
        <w:spacing w:line="360" w:lineRule="auto"/>
        <w:widowControl w:val="off"/>
        <w:rPr>
          <w:rFonts w:ascii="宋体" w:hAnsi="宋体"/>
          <w:sz w:val="21"/>
          <w:szCs w:val="21"/>
        </w:rPr>
      </w:pPr>
      <w:r>
        <w:rPr>
          <w:rFonts w:hint="eastAsia" w:ascii="宋体" w:hAnsi="宋体"/>
          <w:sz w:val="21"/>
          <w:szCs w:val="21"/>
        </w:rPr>
        <w:t xml:space="preserve">七、履约保证金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7.1 自合同签订之日起7个工作日内，乙方向甲方缴纳合同总金额5%的履约保证金或金融机构出具的独立保函。出具的独立保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7.2 自甲方签署到货验收合格后，乙方向甲方提出申请，甲方于收到申请后30个工作日内将履约保证金或保函无息退还。</w:t>
      </w:r>
      <w:r/>
    </w:p>
    <w:p>
      <w:pPr>
        <w:ind w:left="0" w:firstLine="420"/>
        <w:spacing w:line="360" w:lineRule="auto"/>
        <w:widowControl w:val="off"/>
        <w:rPr>
          <w:rFonts w:ascii="宋体" w:hAnsi="宋体"/>
          <w:sz w:val="21"/>
          <w:szCs w:val="21"/>
        </w:rPr>
      </w:pPr>
      <w:r>
        <w:rPr>
          <w:rFonts w:hint="eastAsia" w:ascii="宋体" w:hAnsi="宋体"/>
          <w:sz w:val="21"/>
          <w:szCs w:val="21"/>
        </w:rPr>
        <w:t xml:space="preserve">7.3 对于乙方应承担的违约责任/索赔金额，甲方有权直接使用履约保证金进行抵扣或向出具独立保函的金融机构主张索赔。</w:t>
      </w:r>
      <w:r/>
    </w:p>
    <w:p>
      <w:pPr>
        <w:ind w:left="0" w:firstLine="420"/>
        <w:spacing w:line="360" w:lineRule="auto"/>
        <w:widowControl w:val="off"/>
        <w:rPr>
          <w:rFonts w:ascii="宋体" w:hAnsi="宋体"/>
          <w:sz w:val="21"/>
          <w:szCs w:val="21"/>
        </w:rPr>
      </w:pPr>
      <w:r>
        <w:rPr>
          <w:rFonts w:hint="eastAsia" w:ascii="宋体" w:hAnsi="宋体"/>
          <w:sz w:val="21"/>
          <w:szCs w:val="21"/>
        </w:rPr>
        <w:t xml:space="preserve">7.4 乙方应当自履约保证金抵扣发生之日起二日内向甲方补足履约保证金。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八、税费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8 本合同执行中相关的一切税费均由乙方负担。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九、质量保证及售后服务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9.1 乙方应按采购文件规定的货物性能、技术要求、质量标准向甲方提供未经使用的全新产品。</w:t>
      </w:r>
      <w:r/>
    </w:p>
    <w:p>
      <w:pPr>
        <w:ind w:left="0" w:firstLine="420"/>
        <w:spacing w:line="360" w:lineRule="auto"/>
        <w:widowControl w:val="off"/>
        <w:rPr>
          <w:rFonts w:ascii="宋体" w:hAnsi="宋体"/>
          <w:sz w:val="21"/>
          <w:szCs w:val="21"/>
        </w:rPr>
      </w:pPr>
      <w:r>
        <w:rPr>
          <w:rFonts w:hint="eastAsia" w:ascii="宋体" w:hAnsi="宋体"/>
          <w:sz w:val="21"/>
          <w:szCs w:val="21"/>
        </w:rPr>
        <w:t xml:space="preserve">9.2 乙方提供的货物质保期具体以投标文件为准且不得低于三十六个月，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（1）更换：由乙方承担所发生的全部费用。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（2）退货处理：乙方应退还甲方支付的合同款，同时应承担该货物的直接费用（运输、保险、检验）。</w:t>
      </w:r>
      <w:r/>
    </w:p>
    <w:p>
      <w:pPr>
        <w:ind w:left="0" w:firstLine="420"/>
        <w:spacing w:line="360" w:lineRule="auto"/>
        <w:widowControl w:val="off"/>
        <w:rPr>
          <w:rFonts w:ascii="宋体" w:hAnsi="宋体"/>
          <w:sz w:val="21"/>
          <w:szCs w:val="21"/>
        </w:rPr>
      </w:pPr>
      <w:r>
        <w:rPr>
          <w:rFonts w:hint="eastAsia" w:ascii="宋体" w:hAnsi="宋体"/>
          <w:sz w:val="21"/>
          <w:szCs w:val="21"/>
        </w:rPr>
        <w:t xml:space="preserve">9.3 响应时间：质保期内，乙方必须在接到报修电话后8小时内响应，24小时内到达现场免费维修，24小时内修复。如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乙方对所有设备实行终身维护，保修期外发生维修只收配件、材料及维修期人工工时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9.4 乙方须提供全天候7×24的售后服务，乙方提供统一的售后服务受理电话，在投标文件中明确售后服务受理电话号码及专门为招标人服务的客户服务经理姓名、电话。乙方应免费为招标人培训使用及维护人员，确保招标人使用人员能正确使用、维护保养。</w:t>
      </w:r>
      <w:r/>
    </w:p>
    <w:p>
      <w:pPr>
        <w:ind w:left="0" w:firstLine="420"/>
        <w:spacing w:line="360" w:lineRule="auto"/>
        <w:widowControl w:val="off"/>
        <w:rPr>
          <w:rFonts w:ascii="宋体" w:hAnsi="宋体"/>
          <w:sz w:val="21"/>
          <w:szCs w:val="21"/>
        </w:rPr>
      </w:pPr>
      <w:r>
        <w:rPr>
          <w:rFonts w:hint="eastAsia" w:ascii="宋体" w:hAnsi="宋体"/>
          <w:sz w:val="21"/>
          <w:szCs w:val="21"/>
        </w:rPr>
        <w:t xml:space="preserve">9.5 所投产品如有备品备件，乙方须编制质保期后三年内必须的备品备件报价表，并承诺质保期后三年内，以报价表中的单价向甲方供应备品备件。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十、调试和验收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10.1 乙方交付的产品为原制造厂商生产的全新产品，整体无污染，无侵权行为。表面无划损，无任何缺陷隐患，在中国境内可依常规安全合法使用。甲方对乙方提交的货物清单数量核对给予签收，由甲方出具签收单视为交付。甲方对乙方提交的货物依据采购文件、合同上的技术规格要求和国家有关质量标准、环保标准或行业标准（以最严标准为准）进行现场验收，符合采购文件技术要求的，由甲方出具验收结果报告视为验收合格。甲方有权委托国家消防装备质量检验检测中心或其他权威第三方检测机构进行抽检送检，检测方案由甲方依据招标文件确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10.2 乙方交货前应对产品作出全面检查和对验收文件进行整理，并列出清单，作为甲方收货验收和使用的技术条件依据，检验的结果应随货物交甲方，但不能作为交付产品质量、规格、数量或性能的最终检验结果。</w:t>
      </w:r>
      <w:r>
        <w:rPr>
          <w:rFonts w:hint="eastAsia" w:ascii="宋体" w:hAnsi="宋体"/>
          <w:b/>
          <w:sz w:val="21"/>
          <w:szCs w:val="21"/>
        </w:rPr>
        <w:t xml:space="preserve">验收时乙方须提供投标文件内检测报告原件供验收使用。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10.3 依据法律规定或直观观察等日常工作经验能够直接确认的事实，可以直接作为判断是否有质量问题的依据，无需鉴定；确需鉴定的，以国家相关检测机构出具的书面鉴定意见为准，鉴定费用由乙方先行垫</w:t>
      </w:r>
      <w:r>
        <w:rPr>
          <w:rFonts w:hint="eastAsia" w:ascii="宋体" w:hAnsi="宋体"/>
          <w:sz w:val="21"/>
          <w:szCs w:val="21"/>
        </w:rPr>
        <w:t xml:space="preserve">付。货物符合质量标准的，鉴定费用由甲方承担；货物不符合质量标准的，鉴定费用由乙方承担，并且甲方有权追究乙方的违约责任。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10.4 验收时乙方必须在现场，验收完毕后作出验收结果报告。验收通过并不免除乙方因产品质量瑕疵而应承担的维修、赔偿等责任。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10.5 验收通过的，由甲方提供书面验</w:t>
      </w:r>
      <w:r>
        <w:rPr>
          <w:rFonts w:hint="eastAsia" w:ascii="宋体" w:hAnsi="宋体"/>
          <w:sz w:val="21"/>
          <w:szCs w:val="21"/>
        </w:rPr>
        <w:t xml:space="preserve">收结果报告。若产品不符合合同约定，甲方有权拒收货物，同时要求乙方进行整改，整改累积次数不超过 2 次，整改时限不得超过30天。整改后仍未通过验收的，甲方将拒收或退货，并由乙方赔偿甲方由此造成的一切损失。乙方需整改的，整改期计入交货期限，乙方因整改超过交货期限交货的，甲方有权按照本合同相应要求乙方承担合同约定的逾期违约责任。乙方供货的产品经甲方3次验收不合格，甲方可以单方面解除合同，乙方在甲方解约后3个工作日内退还已付款，并按照合同总价款的5%承担违约金，违约金不足以弥补甲方损失的，还应赔偿给甲方造成的损失。</w:t>
      </w:r>
      <w:r/>
    </w:p>
    <w:p>
      <w:pPr>
        <w:ind w:left="0" w:firstLine="420"/>
        <w:spacing w:line="360" w:lineRule="auto"/>
        <w:widowControl w:val="off"/>
        <w:rPr>
          <w:rFonts w:ascii="宋体" w:hAnsi="宋体"/>
          <w:sz w:val="21"/>
          <w:szCs w:val="21"/>
        </w:rPr>
      </w:pPr>
      <w:r>
        <w:rPr>
          <w:rFonts w:hint="eastAsia" w:ascii="宋体" w:hAnsi="宋体"/>
          <w:sz w:val="21"/>
          <w:szCs w:val="21"/>
        </w:rPr>
        <w:t xml:space="preserve">10.6 产品用户手册、保修手册、有关单证资料及配备件、随机工具等均应列明清单并按清单交付给甲方。使用操作及安全须知等重要资料应附有中文说明。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10.7 产品使用进口配件的，必须提供原产地证明和商检局的检验证明及合法进货渠道证明。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十一、货物包装、发运及运输</w:t>
      </w:r>
      <w:r/>
    </w:p>
    <w:p>
      <w:pPr>
        <w:ind w:left="0" w:firstLine="420"/>
        <w:spacing w:line="360" w:lineRule="auto"/>
        <w:widowControl w:val="off"/>
        <w:rPr>
          <w:rFonts w:ascii="宋体" w:hAnsi="宋体"/>
          <w:sz w:val="21"/>
          <w:szCs w:val="21"/>
        </w:rPr>
      </w:pPr>
      <w:r>
        <w:rPr>
          <w:rFonts w:hint="eastAsia" w:ascii="宋体" w:hAnsi="宋体"/>
          <w:sz w:val="21"/>
          <w:szCs w:val="21"/>
        </w:rPr>
        <w:t xml:space="preserve">11.1 乙方应在货物发运前对其进行满足运输距离、防潮和防破损装卸等要求包装，以保证货物安全运达甲方指定地点。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11.2 使用说明书、质量检验证明书以及清单一并附于货物内。</w:t>
      </w:r>
      <w:r/>
    </w:p>
    <w:p>
      <w:pPr>
        <w:ind w:left="0" w:firstLine="420"/>
        <w:spacing w:line="360" w:lineRule="auto"/>
        <w:widowControl w:val="off"/>
        <w:rPr>
          <w:rFonts w:ascii="宋体" w:hAnsi="宋体"/>
          <w:sz w:val="21"/>
          <w:szCs w:val="21"/>
        </w:rPr>
      </w:pPr>
      <w:r>
        <w:rPr>
          <w:rFonts w:hint="eastAsia" w:ascii="宋体" w:hAnsi="宋体"/>
          <w:sz w:val="21"/>
          <w:szCs w:val="21"/>
        </w:rPr>
        <w:t xml:space="preserve">11.3 乙方在货物发运手续办理完毕后24小时内或货到甲方48小时前通知甲方，以准备接货。</w:t>
      </w:r>
      <w:r/>
    </w:p>
    <w:p>
      <w:pPr>
        <w:ind w:left="0" w:firstLine="420"/>
        <w:spacing w:line="360" w:lineRule="auto"/>
        <w:widowControl w:val="off"/>
        <w:rPr>
          <w:rFonts w:ascii="宋体" w:hAnsi="宋体"/>
          <w:sz w:val="21"/>
          <w:szCs w:val="21"/>
        </w:rPr>
      </w:pPr>
      <w:r>
        <w:rPr>
          <w:rFonts w:hint="eastAsia" w:ascii="宋体" w:hAnsi="宋体"/>
          <w:sz w:val="21"/>
          <w:szCs w:val="21"/>
        </w:rPr>
        <w:t xml:space="preserve">11.4 货物在交付甲方前发生的风险均由乙方负责。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11.5 货物在规定的交付期限内由乙方送达甲方指定的地点甲方出具签收单视为交付，乙方同时需通知甲方货物已送达</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十二、违约责任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12.1 甲方无正当理由拒收货物的，甲方向乙方偿付拒收货款总值的千分之五违约金。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12.2 甲方无故逾期付款的，依法承担逾期付款责任，不超过合同总价款的5%。</w:t>
      </w:r>
      <w:r/>
    </w:p>
    <w:p>
      <w:pPr>
        <w:ind w:left="0" w:firstLine="420"/>
        <w:spacing w:line="360" w:lineRule="auto"/>
        <w:widowControl w:val="off"/>
        <w:rPr>
          <w:rFonts w:ascii="宋体" w:hAnsi="宋体"/>
          <w:sz w:val="21"/>
          <w:szCs w:val="21"/>
        </w:rPr>
      </w:pPr>
      <w:r>
        <w:rPr>
          <w:rFonts w:hint="eastAsia" w:ascii="宋体" w:hAnsi="宋体"/>
          <w:sz w:val="21"/>
          <w:szCs w:val="21"/>
        </w:rPr>
        <w:t xml:space="preserve">12.3 乙方逾期交付货物的，乙方应按逾期交货总额每日千分之六向甲方支付违约金，由甲方从待付货款中扣除。逾期超过约定日期10个工作日不能交货的，甲方可解除本合同或者起诉。乙方因逾期交货或因其他违约行为导致甲方解除合同的，乙方应在甲方解约后3个工作日内退还甲方已付款（如有），并向甲方支付合同总值5%的违约金，如造成甲方损失超过违约金的，超出部分由乙方继续承担赔偿责任。</w:t>
      </w:r>
      <w:r/>
    </w:p>
    <w:p>
      <w:pPr>
        <w:ind w:left="0" w:firstLine="420"/>
        <w:spacing w:line="360" w:lineRule="auto"/>
        <w:widowControl w:val="off"/>
        <w:rPr>
          <w:rFonts w:ascii="宋体" w:hAnsi="宋体"/>
          <w:color w:val="000000"/>
          <w:sz w:val="21"/>
          <w:szCs w:val="21"/>
        </w:rPr>
      </w:pPr>
      <w:r>
        <w:rPr>
          <w:rFonts w:hint="eastAsia" w:ascii="宋体" w:hAnsi="宋体"/>
          <w:sz w:val="21"/>
          <w:szCs w:val="21"/>
        </w:rPr>
        <w:t xml:space="preserve">12.4 乙方所交的货物品种、型号、规格、技术参数、质量不符合合同规定及采购文件规定标准的，甲方有权拒收该货物，乙方愿意更换货物但逾期交货的，按乙方逾期交货处理。乙方拒绝更换货物或未能如期更换货物的，甲方可单方面解除合同，并要求乙方承担合同总额5%的违约金，如造成甲方损失超过违约金的，超出部分由乙方继续承担赔偿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w:t>
      </w:r>
      <w:r>
        <w:rPr>
          <w:rFonts w:hint="eastAsia" w:ascii="宋体" w:hAnsi="宋体"/>
          <w:color w:val="000000"/>
          <w:sz w:val="21"/>
          <w:szCs w:val="21"/>
        </w:rPr>
        <w:t xml:space="preserve">5 乙方所交的货物品种、规格、型号、技术参数、产品质量不符合合同约定和法律规定的，甲方一律拒收该货物，乙方实施更换货物或整改但逾期交货的，按乙方逾期交货处理，并追究违约责任；乙方未在合同约定的整改次数或期限内更换或整改的，甲方可按照合同约定单方面解除合同；未达验收标准责令乙方限期整改，整改次数不超过2次或总的整改时间不超过30天。因乙方责任不能按合同履约，在整改验收期间，造成该装备或配套产品不能如期装备队伍，影响队伍执勤备战，甲方有权追究乙方所造成的经济损失、法律和社会责任。签署本合同即视同乙方认可本条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12.6 乙方应赔偿甲方的损失、支付给甲方的违约金以及其它根据本合同应支付给甲方的费用，甲方有权直接从未付货款或保证金中扣除，不足部分有权要求乙方补足。乙方赔偿甲方的损失，包括但不限于甲方为起诉、行动、请求产生的所有损失、费用和支出，包括诉讼费、保全费、保全担保费、执行申请费、鉴定费、律师费、差旅费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十三、不可抗力事件处理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left="0" w:firstLine="420"/>
        <w:spacing w:line="360" w:lineRule="auto"/>
        <w:widowControl w:val="off"/>
        <w:rPr>
          <w:rFonts w:ascii="宋体" w:hAnsi="宋体"/>
          <w:sz w:val="21"/>
          <w:szCs w:val="21"/>
        </w:rPr>
      </w:pPr>
      <w:r>
        <w:rPr>
          <w:rFonts w:hint="eastAsia" w:ascii="宋体" w:hAnsi="宋体"/>
          <w:sz w:val="21"/>
          <w:szCs w:val="21"/>
        </w:rPr>
        <w:t xml:space="preserve">13.2 不可抗力事件发生后，应立即通知对方，并寄送有关权威机构出具的证明。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13.3 不可抗力事件延续120天以上，双方应通过友好协商，确定是否继续履行合同。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十四、诉讼</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14 双方在执行合同中所发生的一切争议，应通过协商解决。如协商不成，可向甲方所在地法院起诉。</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十五、转包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15 本合同禁止转包，本合同范围的货物，应由乙方直接供应的，不得转让他人供应。</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十六、知识产权</w:t>
      </w:r>
      <w:r/>
    </w:p>
    <w:p>
      <w:pPr>
        <w:ind w:left="0" w:firstLine="420"/>
        <w:spacing w:line="360" w:lineRule="auto"/>
        <w:widowControl w:val="off"/>
        <w:rPr>
          <w:rFonts w:ascii="宋体" w:hAnsi="宋体"/>
          <w:sz w:val="21"/>
          <w:szCs w:val="21"/>
        </w:rPr>
      </w:pPr>
      <w:r>
        <w:rPr>
          <w:rFonts w:hint="eastAsia" w:ascii="宋体" w:hAnsi="宋体"/>
          <w:sz w:val="21"/>
          <w:szCs w:val="21"/>
        </w:rPr>
        <w:t xml:space="preserve">16.1 乙方应保证甲方在使用、接受本合同货物和服务或其任何一部分时不受第三方提出侵犯其专利权、版权、商标权和工业设计权等知识产权的起诉。一旦出现侵权，由乙方负全部责任。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十七、合同生效及其它</w:t>
      </w:r>
      <w:r/>
    </w:p>
    <w:p>
      <w:pPr>
        <w:ind w:left="0" w:firstLine="420"/>
        <w:spacing w:line="360" w:lineRule="auto"/>
        <w:widowControl w:val="off"/>
        <w:rPr>
          <w:rFonts w:ascii="宋体" w:hAnsi="宋体"/>
          <w:sz w:val="21"/>
          <w:szCs w:val="21"/>
        </w:rPr>
      </w:pPr>
      <w:r>
        <w:rPr>
          <w:rFonts w:hint="eastAsia" w:ascii="宋体" w:hAnsi="宋体"/>
          <w:sz w:val="21"/>
          <w:szCs w:val="21"/>
        </w:rPr>
        <w:t xml:space="preserve">17.1 合同经甲乙双方法定代表或授权委托代表签字且加盖单位公章后生效。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17.2 本合同未尽事宜，遵照《中华人民共和国民法典》有关条文执行。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17.3 本合同一式肆份，具有同等法律效力，甲方、乙方各执贰份。</w:t>
      </w:r>
      <w:r/>
    </w:p>
    <w:p>
      <w:pPr>
        <w:ind w:left="0" w:firstLine="420"/>
        <w:spacing w:line="360" w:lineRule="auto"/>
        <w:widowControl w:val="off"/>
        <w:rPr>
          <w:rFonts w:ascii="宋体" w:hAnsi="宋体"/>
          <w:sz w:val="21"/>
          <w:szCs w:val="21"/>
        </w:rPr>
      </w:pPr>
      <w:r>
        <w:rPr>
          <w:rFonts w:hint="eastAsia" w:ascii="宋体" w:hAnsi="宋体"/>
          <w:sz w:val="21"/>
          <w:szCs w:val="21"/>
        </w:rPr>
        <w:t xml:space="preserve">17.4 附件：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（1）投标文件中服务承诺；</w:t>
      </w:r>
      <w:r/>
    </w:p>
    <w:p>
      <w:pPr>
        <w:ind w:left="0" w:firstLine="420"/>
        <w:spacing w:line="360" w:lineRule="auto"/>
        <w:widowControl w:val="off"/>
        <w:rPr>
          <w:rFonts w:ascii="宋体" w:hAnsi="宋体"/>
          <w:sz w:val="21"/>
          <w:szCs w:val="21"/>
        </w:rPr>
      </w:pPr>
      <w:r>
        <w:rPr>
          <w:rFonts w:hint="eastAsia" w:ascii="宋体" w:hAnsi="宋体"/>
          <w:sz w:val="21"/>
          <w:szCs w:val="21"/>
        </w:rPr>
        <w:t xml:space="preserve">（2）投标明细清单及产品图片（图片展示标签黏贴标记处）；</w:t>
      </w:r>
      <w:r/>
    </w:p>
    <w:p>
      <w:pPr>
        <w:ind w:left="0" w:firstLine="420"/>
        <w:spacing w:line="360" w:lineRule="auto"/>
        <w:widowControl w:val="off"/>
        <w:rPr>
          <w:rFonts w:ascii="宋体" w:hAnsi="宋体"/>
          <w:sz w:val="21"/>
          <w:szCs w:val="21"/>
        </w:rPr>
      </w:pPr>
      <w:r>
        <w:rPr>
          <w:rFonts w:hint="eastAsia" w:ascii="宋体" w:hAnsi="宋体"/>
          <w:sz w:val="21"/>
          <w:szCs w:val="21"/>
        </w:rPr>
        <w:t xml:space="preserve">（3）投标文件技术偏离表；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（4）投标文件分项报价格。</w:t>
      </w:r>
      <w:r/>
    </w:p>
    <w:p>
      <w:pPr>
        <w:ind w:left="0" w:firstLine="420"/>
        <w:spacing w:line="360" w:lineRule="auto"/>
        <w:widowControl w:val="off"/>
        <w:rPr>
          <w:rFonts w:ascii="宋体" w:hAnsi="宋体"/>
          <w:sz w:val="21"/>
          <w:szCs w:val="21"/>
        </w:rPr>
      </w:pPr>
      <w:r>
        <w:rPr>
          <w:rFonts w:hint="eastAsia" w:ascii="宋体" w:hAnsi="宋体"/>
          <w:sz w:val="21"/>
          <w:szCs w:val="21"/>
        </w:rPr>
        <w:t xml:space="preserve">补充条款：（支队根据实际情况与供货单位签署的售后服务承诺等保障合同履行的内容，但不得偏离合同实质性条款。）</w:t>
      </w:r>
      <w:r/>
    </w:p>
    <w:tbl>
      <w:tblPr>
        <w:tblW w:w="4998" w:type="pct"/>
        <w:jc w:val="center"/>
        <w:tblCellMar>
          <w:left w:w="0" w:type="dxa"/>
          <w:right w:w="0" w:type="dxa"/>
        </w:tblCellMar>
        <w:tblLook w:val="04A0" w:firstRow="1" w:lastRow="0" w:firstColumn="1" w:lastColumn="0" w:noHBand="0" w:noVBand="1"/>
      </w:tblPr>
      <w:tblGrid>
        <w:gridCol w:w="5291"/>
        <w:gridCol w:w="4559"/>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r>
      <w:tr>
        <w:trPr>
          <w:jc w:val="center"/>
          <w:trHeight w:val="386"/>
        </w:trPr>
        <w:tc>
          <w:tcPr>
            <w:shd w:val="clear" w:color="auto" w:fill="ffffff"/>
            <w:tcBorders>
              <w:top w:val="single" w:color="auto" w:sz="4" w:space="0"/>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color w:val="000000"/>
                <w:sz w:val="22"/>
                <w:szCs w:val="22"/>
              </w:rPr>
            </w:pPr>
            <w:r>
              <w:rPr>
                <w:rFonts w:hint="eastAsia" w:ascii="宋体" w:hAnsi="宋体"/>
                <w:color w:val="000000"/>
                <w:sz w:val="22"/>
                <w:szCs w:val="22"/>
              </w:rPr>
              <w:t xml:space="preserve">单位地址:</w:t>
            </w:r>
            <w:r/>
          </w:p>
        </w:tc>
      </w:tr>
      <w:tr>
        <w:trPr>
          <w:jc w:val="center"/>
          <w:trHeight w:val="410"/>
        </w:trPr>
        <w:tc>
          <w:tcPr>
            <w:shd w:val="clear" w:color="auto" w:fill="ffffff"/>
            <w:tcBorders>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color w:val="000000"/>
                <w:sz w:val="22"/>
                <w:szCs w:val="22"/>
              </w:rPr>
              <w:t xml:space="preserve">银行账户信息：</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color w:val="000000"/>
                <w:sz w:val="22"/>
                <w:szCs w:val="22"/>
              </w:rPr>
            </w:pPr>
            <w:r>
              <w:rPr>
                <w:rFonts w:hint="eastAsia" w:ascii="宋体" w:hAnsi="宋体"/>
                <w:color w:val="000000"/>
                <w:sz w:val="22"/>
                <w:szCs w:val="22"/>
              </w:rPr>
              <w:t xml:space="preserve">银行账户信息：</w:t>
            </w:r>
            <w:r/>
          </w:p>
        </w:tc>
      </w:tr>
      <w:tr>
        <w:trPr>
          <w:jc w:val="center"/>
          <w:trHeight w:val="510"/>
        </w:trPr>
        <w:tc>
          <w:tcPr>
            <w:shd w:val="clear" w:color="auto" w:fill="ffffff"/>
            <w:tcBorders>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r>
    </w:tbl>
    <w:p>
      <w:pPr>
        <w:ind w:left="0" w:firstLine="3584"/>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附件：履约验收方案</w:t>
      </w:r>
      <w:r/>
    </w:p>
    <w:p>
      <w:pPr>
        <w:spacing w:after="12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spacing w:line="590" w:lineRule="exact"/>
        <w:widowControl w:val="off"/>
        <w:rPr>
          <w:rFonts w:ascii="宋体" w:hAnsi="宋体"/>
          <w:sz w:val="21"/>
          <w:szCs w:val="21"/>
        </w:rPr>
      </w:pPr>
      <w:r>
        <w:rPr>
          <w:rFonts w:hint="eastAsia" w:ascii="宋体" w:hAnsi="宋体"/>
          <w:sz w:val="21"/>
          <w:szCs w:val="21"/>
        </w:rPr>
        <w:t xml:space="preserve">一、验收程序</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1、在装备生产的关键环节（如装备生产调试期间），视情组织装备骨干、使用单位人员入厂开展节点验收，加强消防装备生产过程中质量控制。</w:t>
      </w:r>
      <w:r/>
    </w:p>
    <w:p>
      <w:pPr>
        <w:ind w:left="0" w:firstLine="420"/>
        <w:spacing w:line="590" w:lineRule="exact"/>
        <w:widowControl w:val="off"/>
        <w:rPr>
          <w:rFonts w:ascii="宋体" w:hAnsi="宋体"/>
          <w:sz w:val="21"/>
          <w:szCs w:val="21"/>
        </w:rPr>
      </w:pPr>
      <w:r>
        <w:rPr>
          <w:rFonts w:hint="eastAsia" w:ascii="宋体" w:hAnsi="宋体"/>
          <w:sz w:val="21"/>
          <w:szCs w:val="21"/>
        </w:rPr>
        <w:t xml:space="preserve">2、装备到货后，供应商应做好装备清理、性能测试、随车器材核对、装备自验和停放待验等准备工作，将《装备验收申请表》（附件1）及消防装备验收供应商提交资料清单（附件2）提交至支队相关使用单位申请验收。</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二、验收方法</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1、履约验收应对照合同文本以及投标文件响应逐条核查。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2、测试验收应对照投标技术响应开展一致性核查和质量性能核查。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一致性核查应对交付装备与投标文件约定的信息是否一致、装备组成部件和文件资料是否齐全开展逐项核查。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质量性能核查应对交付装备的功能、性能指标进行实地测试后，与投标文件、检验报告等技术文本约定的信息进行核查。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3、后勤装备部门验收时，视情组织抽样送专业机构检测。</w:t>
      </w:r>
      <w:r/>
    </w:p>
    <w:p>
      <w:pPr>
        <w:ind w:left="0" w:firstLine="420"/>
        <w:spacing w:line="590" w:lineRule="exact"/>
        <w:widowControl w:val="off"/>
        <w:rPr>
          <w:rFonts w:ascii="宋体" w:hAnsi="宋体"/>
          <w:sz w:val="21"/>
          <w:szCs w:val="21"/>
        </w:rPr>
      </w:pPr>
      <w:r>
        <w:rPr>
          <w:rFonts w:hint="eastAsia" w:ascii="宋体" w:hAnsi="宋体"/>
          <w:sz w:val="21"/>
          <w:szCs w:val="21"/>
        </w:rPr>
        <w:t xml:space="preserve">三、验收评定</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1、履约验收情况和测试验收情况均合格的方可评定为验收合格。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2、履约验收情况经投标商务响应核查通过和检验报告、认证证书真实性核查通过的，方可评定为验收合格。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3、测试验收情况经一致性核查、质量性能核查通过的，方可评定为验收合格。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交付装备的名称、厂牌型号、数量规模、尺寸大小、性能参数等信息与采购合同、标书文件约定的信息一致，组成部件和文件资料齐全的，评定为一致性核查合格。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交付装备的性能指标经过实地测试、检验报告证实或抽样送检合格，达到投标文件、检验报告等技术文本中性能指标要求的，评定为质量性能核查合格。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4、合同约定交货期满后，整改次数不得超过2次，整改时限不得超过3个月，质量未能达到投标文件承诺、供应商对存在的问题无法整改或整改超时限的，验收评定为不合格。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附件：</w:t>
      </w:r>
      <w:r/>
    </w:p>
    <w:p>
      <w:pPr>
        <w:ind w:left="0" w:firstLine="420"/>
        <w:spacing w:line="590" w:lineRule="exact"/>
        <w:widowControl w:val="off"/>
        <w:rPr>
          <w:rFonts w:ascii="宋体" w:hAnsi="宋体"/>
          <w:sz w:val="21"/>
          <w:szCs w:val="21"/>
        </w:rPr>
      </w:pPr>
      <w:r>
        <w:rPr>
          <w:rFonts w:hint="eastAsia" w:ascii="宋体" w:hAnsi="宋体"/>
          <w:sz w:val="21"/>
          <w:szCs w:val="21"/>
        </w:rPr>
        <w:t xml:space="preserve">1、装备验收申请表</w:t>
      </w:r>
      <w:r/>
    </w:p>
    <w:p>
      <w:pPr>
        <w:ind w:left="0" w:firstLine="420"/>
        <w:spacing w:line="590" w:lineRule="exact"/>
        <w:widowControl w:val="off"/>
        <w:rPr>
          <w:rFonts w:ascii="宋体" w:hAnsi="宋体"/>
          <w:sz w:val="21"/>
          <w:szCs w:val="21"/>
        </w:rPr>
      </w:pPr>
      <w:r>
        <w:rPr>
          <w:rFonts w:hint="eastAsia" w:ascii="宋体" w:hAnsi="宋体"/>
          <w:sz w:val="21"/>
          <w:szCs w:val="21"/>
        </w:rPr>
        <w:t xml:space="preserve">2、消防装备验收供应商提交资料清单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宋体" w:hAnsi="宋体"/>
          <w:sz w:val="21"/>
          <w:szCs w:val="21"/>
        </w:rPr>
        <w:t xml:space="preserve">3、装备到货交付确认表</w:t>
      </w: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附件1：</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装备验收申请表</w:t>
      </w:r>
      <w:r/>
    </w:p>
    <w:p>
      <w:pPr>
        <w:ind w:left="0" w:firstLine="63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我公司（盖章）下列产品已送达贵单位指定收货地点，验收资料准备完毕，现提出到货验收申请，请贵单位人员组织验收。</w:t>
      </w:r>
      <w:r/>
    </w:p>
    <w:tbl>
      <w:tblPr>
        <w:tblStyle w:val="1407"/>
        <w:tblW w:w="9351" w:type="dxa"/>
        <w:jc w:val="center"/>
        <w:tblInd w:w="0" w:type="dxa"/>
        <w:tblCellMar>
          <w:left w:w="108" w:type="dxa"/>
          <w:right w:w="108" w:type="dxa"/>
        </w:tblCellMar>
        <w:tblLook w:val="04A0" w:firstRow="1" w:lastRow="0" w:firstColumn="1" w:lastColumn="0" w:noHBand="0" w:noVBand="1"/>
      </w:tblPr>
      <w:tblGrid>
        <w:gridCol w:w="704"/>
        <w:gridCol w:w="1559"/>
        <w:gridCol w:w="2694"/>
        <w:gridCol w:w="992"/>
        <w:gridCol w:w="992"/>
        <w:gridCol w:w="906"/>
        <w:gridCol w:w="1504"/>
      </w:tblGrid>
      <w:tr>
        <w:trPr>
          <w:jc w:val="center"/>
        </w:trPr>
        <w:tc>
          <w:tcPr>
            <w:gridSpan w:val="2"/>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269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992"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992"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906"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5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7088"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如：车架号</w:t>
            </w:r>
            <w:r/>
          </w:p>
        </w:tc>
      </w:tr>
      <w:tr>
        <w:trPr>
          <w:jc w:val="center"/>
        </w:trPr>
        <w:tc>
          <w:tcPr>
            <w:gridSpan w:val="3"/>
            <w:tcW w:w="4957" w:type="dxa"/>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验收准备资料</w:t>
            </w:r>
            <w:r/>
          </w:p>
        </w:tc>
        <w:tc>
          <w:tcPr>
            <w:gridSpan w:val="4"/>
            <w:tcW w:w="439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是否齐全</w:t>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有效的检验报告原件、复印件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生产合格证、出厂检验合格证及其复印件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装备操作手册（产品说明书）、保养保修手册</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采购合同及投标文件中商务响应复印件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其他验收有关资料</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附件2：</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1、采购合同及投标文件中商务响应复印件；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2、有效的检验报告原件、复印件；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3、生产合格证、出厂检验合格证及其复印件；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4、装备操作手册（产品说明书）、保养保修手册；</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5、其他按要求须提供的资料文本。</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所有资料必须为中文，资料不齐全或不符合要求的不予验收。</w:t>
      </w:r>
      <w:r/>
    </w:p>
    <w:p>
      <w:pPr>
        <w:ind w:left="0"/>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附件3：</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苏州市消防救援支队装备到货交付时间确认表</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bl>
      <w:tblPr>
        <w:tblStyle w:val="1407"/>
        <w:tblW w:w="0" w:type="auto"/>
        <w:jc w:val="center"/>
        <w:tblInd w:w="0" w:type="dxa"/>
        <w:tblCellMar>
          <w:left w:w="108" w:type="dxa"/>
          <w:right w:w="108" w:type="dxa"/>
        </w:tblCellMar>
        <w:tblLook w:val="04A0" w:firstRow="1" w:lastRow="0" w:firstColumn="1" w:lastColumn="0" w:noHBand="0" w:noVBand="1"/>
      </w:tblPr>
      <w:tblGrid>
        <w:gridCol w:w="2263"/>
        <w:gridCol w:w="1560"/>
        <w:gridCol w:w="1134"/>
        <w:gridCol w:w="1417"/>
        <w:gridCol w:w="1276"/>
        <w:gridCol w:w="1184"/>
      </w:tblGrid>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1560"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113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1417"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1276"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18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供应厂商</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c>
          <w:tcPr>
            <w:gridSpan w:val="3"/>
            <w:tcW w:w="387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1060"/>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合同交货时间</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restart"/>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供应商（厂家）签名</w:t>
            </w:r>
            <w:r/>
          </w:p>
        </w:tc>
        <w:tc>
          <w:tcPr>
            <w:gridSpan w:val="3"/>
            <w:tcW w:w="3877" w:type="dxa"/>
            <w:vAlign w:val="center"/>
            <w:vMerge w:val="restart"/>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812"/>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实际到货时间</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3"/>
            <w:tcW w:w="3877" w:type="dxa"/>
            <w:vAlign w:val="center"/>
            <w:vMerge w:val="continue"/>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确认意见</w:t>
            </w:r>
            <w:r/>
          </w:p>
        </w:tc>
        <w:tc>
          <w:tcPr>
            <w:gridSpan w:val="5"/>
            <w:tcW w:w="6571"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6571"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widowControl w:val="off"/>
        <w:rPr>
          <w:rFonts w:cs="Times New Roman"/>
          <w:sz w:val="21"/>
          <w:szCs w:val="22"/>
        </w:rPr>
      </w:pPr>
      <w:r>
        <w:rPr>
          <w:rFonts w:cs="Times New Roman"/>
          <w:sz w:val="21"/>
          <w:szCs w:val="22"/>
        </w:rPr>
      </w:r>
      <w:r/>
    </w:p>
    <w:p>
      <w:pPr>
        <w:pStyle w:val="1000"/>
      </w:pPr>
      <w:r>
        <w:br w:type="page" w:clear="all"/>
      </w:r>
      <w:r/>
    </w:p>
    <w:p>
      <w:pPr>
        <w:pStyle w:val="988"/>
        <w:ind w:left="0" w:firstLine="0"/>
        <w:jc w:val="center"/>
        <w:rPr>
          <w:rFonts w:ascii="宋体" w:hAnsi="宋体"/>
          <w:b/>
          <w:sz w:val="44"/>
          <w:szCs w:val="22"/>
        </w:rPr>
      </w:pPr>
      <w:r/>
      <w:bookmarkStart w:id="105" w:name="_Toc105397795"/>
      <w:r>
        <w:rPr>
          <w:rFonts w:hint="eastAsia" w:ascii="宋体" w:hAnsi="宋体"/>
          <w:b/>
          <w:sz w:val="44"/>
          <w:szCs w:val="22"/>
        </w:rPr>
        <w:t xml:space="preserve">第六章 </w:t>
      </w:r>
      <w:bookmarkStart w:id="106" w:name="评分要点"/>
      <w:r/>
      <w:bookmarkEnd w:id="106"/>
      <w:r>
        <w:rPr>
          <w:rFonts w:hint="eastAsia" w:ascii="宋体" w:hAnsi="宋体"/>
          <w:b/>
          <w:sz w:val="44"/>
          <w:szCs w:val="22"/>
        </w:rPr>
        <w:t xml:space="preserve"> 评标办法和评分标准</w:t>
      </w:r>
      <w:bookmarkEnd w:id="102"/>
      <w:r/>
      <w:bookmarkEnd w:id="103"/>
      <w:r/>
      <w:bookmarkEnd w:id="104"/>
      <w:r/>
      <w:bookmarkEnd w:id="105"/>
      <w:r/>
      <w:r/>
    </w:p>
    <w:p>
      <w:pPr>
        <w:pStyle w:val="989"/>
        <w:ind w:left="0" w:firstLine="426"/>
        <w:spacing w:before="0" w:after="0" w:line="360" w:lineRule="auto"/>
        <w:rPr>
          <w:rFonts w:ascii="宋体" w:hAnsi="宋体"/>
          <w:b/>
          <w:sz w:val="21"/>
          <w:szCs w:val="21"/>
        </w:rPr>
      </w:pPr>
      <w:r/>
      <w:bookmarkStart w:id="107" w:name="_Toc16264"/>
      <w:r/>
      <w:bookmarkStart w:id="108" w:name="_Toc698"/>
      <w:r/>
      <w:bookmarkStart w:id="109" w:name="_Toc17476"/>
      <w:r>
        <w:rPr>
          <w:rFonts w:hint="eastAsia" w:ascii="宋体" w:hAnsi="宋体"/>
          <w:b/>
          <w:sz w:val="21"/>
          <w:szCs w:val="21"/>
        </w:rPr>
        <w:t xml:space="preserve">一、评标办法：</w:t>
      </w:r>
      <w:bookmarkEnd w:id="107"/>
      <w:r/>
      <w:bookmarkEnd w:id="108"/>
      <w:r/>
      <w:bookmarkEnd w:id="109"/>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hint="eastAsia" w:ascii="宋体" w:hAnsi="宋体"/>
          <w:b/>
          <w:sz w:val="21"/>
        </w:rPr>
        <w:t xml:space="preserve">5</w:t>
      </w:r>
      <w:r>
        <w:rPr>
          <w:rFonts w:ascii="宋体" w:hAnsi="宋体"/>
          <w:b/>
          <w:sz w:val="21"/>
        </w:rPr>
        <w:t xml:space="preserve">.</w:t>
      </w:r>
      <w:r>
        <w:rPr>
          <w:rFonts w:hint="eastAsia" w:ascii="宋体" w:hAnsi="宋体"/>
          <w:b/>
          <w:sz w:val="21"/>
        </w:rPr>
        <w:t xml:space="preserve">同一个供应商可以对本项目所有标段进行投标，本项目允许兼投兼中。</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w:t>
      </w:r>
      <w:r>
        <w:rPr>
          <w:rFonts w:hint="eastAsia" w:ascii="宋体" w:hAnsi="宋体"/>
          <w:sz w:val="21"/>
        </w:rPr>
        <w:t xml:space="preserve">针对中小企业、残疾人福利性单位</w:t>
      </w:r>
      <w:r>
        <w:rPr>
          <w:rFonts w:hint="eastAsia" w:ascii="宋体" w:hAnsi="宋体"/>
          <w:sz w:val="21"/>
        </w:rPr>
        <w:t xml:space="preserve">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7</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0" w:name="OLE_LINK17"/>
      <w:r/>
      <w:bookmarkStart w:id="111" w:name="OLE_LINK25"/>
      <w:r>
        <w:rPr>
          <w:rFonts w:ascii="宋体" w:hAnsi="宋体"/>
          <w:sz w:val="21"/>
          <w:szCs w:val="21"/>
        </w:rPr>
        <w:t xml:space="preserve">7</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7</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0"/>
      <w:bookmarkEnd w:id="111"/>
      <w:bookmarkEnd w:id="112"/>
      <w:r/>
    </w:p>
    <w:p>
      <w:pPr>
        <w:ind w:left="0" w:firstLine="420"/>
        <w:spacing w:line="360" w:lineRule="auto"/>
        <w:rPr>
          <w:rFonts w:ascii="宋体" w:hAnsi="宋体"/>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7</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7</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0"/>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0"/>
      </w:pPr>
      <w:r/>
      <w:r/>
    </w:p>
    <w:p>
      <w:pPr>
        <w:pStyle w:val="1000"/>
      </w:pPr>
      <w:r/>
      <w:r/>
    </w:p>
    <w:p>
      <w:pPr>
        <w:ind w:left="0"/>
        <w:jc w:val="left"/>
        <w:rPr>
          <w:rFonts w:ascii="宋体" w:hAnsi="宋体" w:cs="Times New Roman"/>
          <w:b/>
          <w:sz w:val="21"/>
          <w:szCs w:val="21"/>
        </w:rPr>
      </w:pPr>
      <w:r>
        <w:rPr>
          <w:rFonts w:ascii="宋体" w:hAnsi="宋体" w:cs="Times New Roman"/>
          <w:b/>
          <w:sz w:val="21"/>
          <w:szCs w:val="21"/>
        </w:rPr>
        <w:br w:type="page" w:clear="all"/>
      </w:r>
      <w:r/>
    </w:p>
    <w:p>
      <w:pPr>
        <w:pStyle w:val="989"/>
        <w:ind w:left="0" w:firstLine="422"/>
        <w:spacing w:before="0" w:after="0" w:line="360" w:lineRule="auto"/>
        <w:rPr>
          <w:rFonts w:ascii="宋体" w:hAnsi="宋体"/>
          <w:b/>
          <w:sz w:val="21"/>
          <w:szCs w:val="21"/>
        </w:rPr>
      </w:pPr>
      <w:r>
        <w:rPr>
          <w:rFonts w:hint="eastAsia" w:ascii="宋体" w:hAnsi="宋体"/>
          <w:b/>
          <w:sz w:val="21"/>
          <w:szCs w:val="21"/>
        </w:rPr>
        <w:t xml:space="preserve">二、评分标准：</w:t>
      </w:r>
      <w:r/>
    </w:p>
    <w:p>
      <w:pPr>
        <w:pStyle w:val="990"/>
        <w:ind w:left="0" w:firstLine="422"/>
        <w:spacing w:before="0" w:after="0" w:line="360" w:lineRule="auto"/>
      </w:pPr>
      <w:r>
        <w:rPr>
          <w:rFonts w:hint="eastAsia" w:ascii="宋体" w:hAnsi="宋体"/>
          <w:b/>
          <w:sz w:val="21"/>
          <w:szCs w:val="21"/>
        </w:rPr>
        <w:t xml:space="preserve">第一标段</w:t>
      </w:r>
      <w:r>
        <w:rPr>
          <w:rFonts w:hint="eastAsia" w:ascii="宋体" w:hAnsi="宋体"/>
          <w:b/>
          <w:sz w:val="21"/>
          <w:szCs w:val="21"/>
        </w:rPr>
        <w:t xml:space="preserve">：</w:t>
      </w:r>
      <w:r>
        <w:rPr>
          <w:rFonts w:hint="eastAsia" w:ascii="宋体" w:hAnsi="宋体"/>
          <w:b/>
          <w:sz w:val="21"/>
          <w:szCs w:val="21"/>
        </w:rPr>
        <w:t xml:space="preserve">苏州市消防救援支队2026年度消防器材采购项目（包4）</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276"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重要技术参数条款（标▲项技术指标）响应得分=（投标人满足重要技术参数条款的数量÷器材参数中重要技术参数条款的总数量）×34分。（本</w:t>
            </w:r>
            <w:r>
              <w:rPr>
                <w:rFonts w:hint="eastAsia" w:ascii="宋体" w:hAnsi="宋体"/>
                <w:sz w:val="21"/>
                <w:szCs w:val="21"/>
                <w:lang w:bidi="ar"/>
              </w:rPr>
              <w:t xml:space="preserve">标段</w:t>
            </w:r>
            <w:r>
              <w:rPr>
                <w:rFonts w:hint="eastAsia" w:ascii="宋体" w:hAnsi="宋体"/>
                <w:sz w:val="21"/>
                <w:szCs w:val="21"/>
                <w:lang w:bidi="ar"/>
              </w:rPr>
              <w:t xml:space="preserve">标▲项技术指标，共43条）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一般技术参数条款（未标注★或▲的技术指标）响应得分=（投标人满足一般技术参数条款的数量÷器材参数中一般技术参数条款的总数量）×16分（本</w:t>
            </w:r>
            <w:r>
              <w:rPr>
                <w:rFonts w:hint="eastAsia" w:ascii="宋体" w:hAnsi="宋体"/>
                <w:sz w:val="21"/>
                <w:szCs w:val="21"/>
                <w:lang w:bidi="ar"/>
              </w:rPr>
              <w:t xml:space="preserve">标段</w:t>
            </w:r>
            <w:r>
              <w:rPr>
                <w:rFonts w:hint="eastAsia" w:ascii="宋体" w:hAnsi="宋体"/>
                <w:sz w:val="21"/>
                <w:szCs w:val="21"/>
                <w:lang w:bidi="ar"/>
              </w:rPr>
              <w:t xml:space="preserve">未标注★或▲的技术指标，共98条）。</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ascii="宋体" w:hAnsi="宋体"/>
                <w:sz w:val="21"/>
                <w:szCs w:val="21"/>
                <w:lang w:bidi="ar"/>
              </w:rPr>
            </w:pPr>
            <w:r>
              <w:rPr>
                <w:rFonts w:hint="eastAsia" w:ascii="宋体" w:hAnsi="宋体"/>
                <w:b/>
                <w:sz w:val="21"/>
                <w:szCs w:val="21"/>
                <w:lang w:bidi="ar"/>
              </w:rPr>
              <w:t xml:space="preserve">（2）</w:t>
            </w:r>
            <w:r>
              <w:rPr>
                <w:rFonts w:hint="eastAsia" w:ascii="宋体" w:hAnsi="宋体"/>
                <w:b/>
                <w:sz w:val="21"/>
                <w:szCs w:val="21"/>
                <w:lang w:bidi="ar"/>
              </w:rPr>
              <w:t xml:space="preserve">对重要技术参数条款和一般技术参数条款的响应得分四舍五入并保留小数点后2位。</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w:t>
            </w:r>
            <w:r>
              <w:rPr>
                <w:rFonts w:hint="eastAsia" w:ascii="宋体" w:hAnsi="宋体"/>
                <w:sz w:val="21"/>
                <w:szCs w:val="21"/>
                <w:lang w:bidi="ar"/>
              </w:rPr>
              <w:t xml:space="preserve">培训人员安排；②培训内容设计安排；③重点难点及培训结果保障措施</w:t>
            </w:r>
            <w:r>
              <w:rPr>
                <w:rFonts w:hint="eastAsia" w:ascii="宋体" w:hAnsi="宋体"/>
                <w:sz w:val="21"/>
                <w:szCs w:val="21"/>
                <w:lang w:bidi="ar"/>
              </w:rPr>
              <w:t xml:space="preserve">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812"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8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p>
      <w:pPr>
        <w:pStyle w:val="1000"/>
      </w:pPr>
      <w:r>
        <w:br w:type="page" w:clear="all"/>
      </w:r>
      <w:r/>
    </w:p>
    <w:p>
      <w:pPr>
        <w:pStyle w:val="990"/>
        <w:ind w:left="0" w:firstLine="422"/>
        <w:spacing w:before="0" w:after="0" w:line="360" w:lineRule="auto"/>
      </w:pPr>
      <w:r>
        <w:rPr>
          <w:rFonts w:hint="eastAsia" w:ascii="宋体" w:hAnsi="宋体"/>
          <w:b/>
          <w:sz w:val="21"/>
          <w:szCs w:val="21"/>
        </w:rPr>
        <w:t xml:space="preserve">第二标段</w:t>
      </w:r>
      <w:r>
        <w:rPr>
          <w:rFonts w:hint="eastAsia" w:ascii="宋体" w:hAnsi="宋体"/>
          <w:b/>
          <w:sz w:val="21"/>
          <w:szCs w:val="21"/>
        </w:rPr>
        <w:t xml:space="preserve">：</w:t>
      </w:r>
      <w:r>
        <w:rPr>
          <w:rFonts w:hint="eastAsia" w:ascii="宋体" w:hAnsi="宋体"/>
          <w:b/>
          <w:sz w:val="21"/>
          <w:szCs w:val="21"/>
        </w:rPr>
        <w:t xml:space="preserve">苏州市消防救援支队2026年度消防器材采购项目（包</w:t>
      </w:r>
      <w:r>
        <w:rPr>
          <w:rFonts w:ascii="宋体" w:hAnsi="宋体"/>
          <w:b/>
          <w:sz w:val="21"/>
          <w:szCs w:val="21"/>
        </w:rPr>
        <w:t xml:space="preserve">5</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276"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重要技术参数条款（标▲项技术指标）响应得分=（投标人满足重要技术参数条款的数量÷器材参数中重要技术参数条款的总数量）×36分。（本</w:t>
            </w:r>
            <w:r>
              <w:rPr>
                <w:rFonts w:hint="eastAsia" w:ascii="宋体" w:hAnsi="宋体"/>
                <w:sz w:val="21"/>
                <w:szCs w:val="21"/>
                <w:lang w:bidi="ar"/>
              </w:rPr>
              <w:t xml:space="preserve">标段</w:t>
            </w:r>
            <w:r>
              <w:rPr>
                <w:rFonts w:hint="eastAsia" w:ascii="宋体" w:hAnsi="宋体"/>
                <w:sz w:val="21"/>
                <w:szCs w:val="21"/>
                <w:lang w:bidi="ar"/>
              </w:rPr>
              <w:t xml:space="preserve">标▲项技术指标，共1</w:t>
            </w:r>
            <w:r>
              <w:rPr>
                <w:rFonts w:ascii="宋体" w:hAnsi="宋体"/>
                <w:sz w:val="21"/>
                <w:szCs w:val="21"/>
                <w:lang w:bidi="ar"/>
              </w:rPr>
              <w:t xml:space="preserve">0</w:t>
            </w:r>
            <w:r>
              <w:rPr>
                <w:rFonts w:hint="eastAsia" w:ascii="宋体" w:hAnsi="宋体"/>
                <w:sz w:val="21"/>
                <w:szCs w:val="21"/>
                <w:lang w:bidi="ar"/>
              </w:rPr>
              <w:t xml:space="preserve">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一般技术参数条款（未标注★或▲的技术指标）响应得分=（投标人满足一般技术参数条款的数量÷器材参数中一般技术参数条款的总数量）×14分（本</w:t>
            </w:r>
            <w:r>
              <w:rPr>
                <w:rFonts w:hint="eastAsia" w:ascii="宋体" w:hAnsi="宋体"/>
                <w:sz w:val="21"/>
                <w:szCs w:val="21"/>
                <w:lang w:bidi="ar"/>
              </w:rPr>
              <w:t xml:space="preserve">标段</w:t>
            </w:r>
            <w:r>
              <w:rPr>
                <w:rFonts w:hint="eastAsia" w:ascii="宋体" w:hAnsi="宋体"/>
                <w:sz w:val="21"/>
                <w:szCs w:val="21"/>
                <w:lang w:bidi="ar"/>
              </w:rPr>
              <w:t xml:space="preserve">未标注★或▲的技术指标，共28</w:t>
            </w:r>
            <w:r>
              <w:rPr>
                <w:rFonts w:hint="eastAsia" w:ascii="宋体" w:hAnsi="宋体"/>
                <w:sz w:val="21"/>
                <w:szCs w:val="21"/>
                <w:lang w:bidi="ar"/>
              </w:rPr>
              <w:t xml:space="preserve">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ascii="宋体" w:hAnsi="宋体"/>
                <w:sz w:val="21"/>
                <w:szCs w:val="21"/>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w:t>
            </w:r>
            <w:r>
              <w:rPr>
                <w:rFonts w:hint="eastAsia" w:ascii="宋体" w:hAnsi="宋体"/>
                <w:sz w:val="21"/>
                <w:szCs w:val="21"/>
                <w:lang w:bidi="ar"/>
              </w:rPr>
              <w:t xml:space="preserve">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812"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8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rPr>
          <w:rFonts w:hint="eastAsia" w:ascii="宋体" w:hAnsi="宋体" w:cs="Times New Roman"/>
          <w:b/>
          <w:sz w:val="21"/>
          <w:szCs w:val="21"/>
        </w:rPr>
        <w:br w:type="page" w:clear="all"/>
      </w:r>
      <w:r/>
    </w:p>
    <w:p>
      <w:pPr>
        <w:pStyle w:val="990"/>
        <w:ind w:left="0" w:firstLine="422"/>
        <w:spacing w:before="0" w:after="0" w:line="360" w:lineRule="auto"/>
      </w:pPr>
      <w:r>
        <w:rPr>
          <w:rFonts w:hint="eastAsia" w:ascii="宋体" w:hAnsi="宋体"/>
          <w:b/>
          <w:sz w:val="21"/>
          <w:szCs w:val="21"/>
        </w:rPr>
        <w:t xml:space="preserve">第三标段</w:t>
      </w:r>
      <w:r>
        <w:rPr>
          <w:rFonts w:hint="eastAsia" w:ascii="宋体" w:hAnsi="宋体"/>
          <w:b/>
          <w:sz w:val="21"/>
          <w:szCs w:val="21"/>
        </w:rPr>
        <w:t xml:space="preserve">：</w:t>
      </w:r>
      <w:r>
        <w:rPr>
          <w:rFonts w:hint="eastAsia" w:ascii="宋体" w:hAnsi="宋体"/>
          <w:b/>
          <w:sz w:val="21"/>
          <w:szCs w:val="21"/>
        </w:rPr>
        <w:t xml:space="preserve">苏州市消防救援支队2026年度消防器材采购项目（包</w:t>
      </w:r>
      <w:r>
        <w:rPr>
          <w:rFonts w:ascii="宋体" w:hAnsi="宋体"/>
          <w:b/>
          <w:sz w:val="21"/>
          <w:szCs w:val="21"/>
        </w:rPr>
        <w:t xml:space="preserve">6</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670"/>
        <w:gridCol w:w="1418"/>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67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418"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重要技术参数条款（标▲项技术指标）响应得分=（投标人满足重要技术参数条款的数量÷器材参数中重要技术参数条款的总数量）×38分。（本</w:t>
            </w:r>
            <w:r>
              <w:rPr>
                <w:rFonts w:hint="eastAsia" w:ascii="宋体" w:hAnsi="宋体"/>
                <w:sz w:val="21"/>
                <w:szCs w:val="21"/>
                <w:lang w:bidi="ar"/>
              </w:rPr>
              <w:t xml:space="preserve">标段</w:t>
            </w:r>
            <w:r>
              <w:rPr>
                <w:rFonts w:hint="eastAsia" w:ascii="宋体" w:hAnsi="宋体"/>
                <w:sz w:val="21"/>
                <w:szCs w:val="21"/>
                <w:lang w:bidi="ar"/>
              </w:rPr>
              <w:t xml:space="preserve">标▲项技术指标，共38条）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一般技术参数条款（未标注★或▲的技术指标）响应得分=（投标人满足一般技术参数条款的数量÷器材参数中一般技术参数条款的总数量）×12分（本</w:t>
            </w:r>
            <w:r>
              <w:rPr>
                <w:rFonts w:hint="eastAsia" w:ascii="宋体" w:hAnsi="宋体"/>
                <w:sz w:val="21"/>
                <w:szCs w:val="21"/>
                <w:lang w:bidi="ar"/>
              </w:rPr>
              <w:t xml:space="preserve">标段</w:t>
            </w:r>
            <w:r>
              <w:rPr>
                <w:rFonts w:hint="eastAsia" w:ascii="宋体" w:hAnsi="宋体"/>
                <w:sz w:val="21"/>
                <w:szCs w:val="21"/>
                <w:lang w:bidi="ar"/>
              </w:rPr>
              <w:t xml:space="preserve">未标注★或▲的技术指标，共48条）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pStyle w:val="1000"/>
              <w:ind w:left="0" w:firstLine="0"/>
              <w:rPr>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4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670"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ind w:left="0"/>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p>
      <w:pPr>
        <w:pStyle w:val="1000"/>
      </w:pPr>
      <w:r>
        <w:br w:type="page" w:clear="all"/>
      </w:r>
      <w:r/>
    </w:p>
    <w:p>
      <w:pPr>
        <w:pStyle w:val="990"/>
        <w:ind w:left="0" w:firstLine="422"/>
        <w:spacing w:before="0" w:after="0" w:line="360" w:lineRule="auto"/>
      </w:pPr>
      <w:r>
        <w:rPr>
          <w:rFonts w:hint="eastAsia" w:ascii="宋体" w:hAnsi="宋体"/>
          <w:b/>
          <w:sz w:val="21"/>
          <w:szCs w:val="21"/>
        </w:rPr>
        <w:t xml:space="preserve">第四标段</w:t>
      </w:r>
      <w:r>
        <w:rPr>
          <w:rFonts w:hint="eastAsia" w:ascii="宋体" w:hAnsi="宋体"/>
          <w:b/>
          <w:sz w:val="21"/>
          <w:szCs w:val="21"/>
        </w:rPr>
        <w:t xml:space="preserve">：</w:t>
      </w:r>
      <w:r>
        <w:rPr>
          <w:rFonts w:hint="eastAsia" w:ascii="宋体" w:hAnsi="宋体"/>
          <w:b/>
          <w:sz w:val="21"/>
          <w:szCs w:val="21"/>
        </w:rPr>
        <w:t xml:space="preserve">苏州市消防救援支队2026年度消防器材采购项目（包</w:t>
      </w:r>
      <w:r>
        <w:rPr>
          <w:rFonts w:ascii="宋体" w:hAnsi="宋体"/>
          <w:b/>
          <w:sz w:val="21"/>
          <w:szCs w:val="21"/>
        </w:rPr>
        <w:t xml:space="preserve">7</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670"/>
        <w:gridCol w:w="1418"/>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67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418"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重要技术参数条款（标▲项技术指标）响应得分=（投标人满足重要技术参数条款的数量÷器材参数中重要技术参数条款的总数量）×29</w:t>
            </w:r>
            <w:r>
              <w:rPr>
                <w:rFonts w:hint="eastAsia" w:ascii="宋体" w:hAnsi="宋体"/>
                <w:sz w:val="21"/>
                <w:szCs w:val="21"/>
                <w:lang w:bidi="ar"/>
              </w:rPr>
              <w:t xml:space="preserve">分。（本标段</w:t>
            </w:r>
            <w:r>
              <w:rPr>
                <w:rFonts w:hint="eastAsia" w:ascii="宋体" w:hAnsi="宋体"/>
                <w:sz w:val="21"/>
                <w:szCs w:val="21"/>
                <w:lang w:bidi="ar"/>
              </w:rPr>
              <w:t xml:space="preserve">标▲项技术指标，共11条）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一般技术参数条款（未标注★或▲的技术指标）响应得分=（投标人满足一般技术参数条款的数量÷器材参数中一般技术参数条款的总数量）×21分（本</w:t>
            </w:r>
            <w:r>
              <w:rPr>
                <w:rFonts w:hint="eastAsia" w:ascii="宋体" w:hAnsi="宋体"/>
                <w:sz w:val="21"/>
                <w:szCs w:val="21"/>
                <w:lang w:bidi="ar"/>
              </w:rPr>
              <w:t xml:space="preserve">标段</w:t>
            </w:r>
            <w:r>
              <w:rPr>
                <w:rFonts w:hint="eastAsia" w:ascii="宋体" w:hAnsi="宋体"/>
                <w:sz w:val="21"/>
                <w:szCs w:val="21"/>
                <w:lang w:bidi="ar"/>
              </w:rPr>
              <w:t xml:space="preserve">未标注★或▲的技术指标，共21条）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pStyle w:val="1000"/>
              <w:ind w:left="0" w:firstLine="0"/>
              <w:rPr>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4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670"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ind w:left="0"/>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p>
      <w:pPr>
        <w:ind w:left="0"/>
        <w:rPr>
          <w:rFonts w:ascii="宋体" w:hAnsi="宋体" w:cs="Times New Roman"/>
          <w:b/>
          <w:sz w:val="21"/>
          <w:szCs w:val="21"/>
        </w:rPr>
      </w:pPr>
      <w:r>
        <w:rPr>
          <w:rFonts w:ascii="宋体" w:hAnsi="宋体" w:cs="Times New Roman"/>
          <w:b/>
          <w:sz w:val="21"/>
          <w:szCs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3">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4">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5">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97"/>
    <w:link w:val="988"/>
    <w:uiPriority w:val="9"/>
    <w:rPr>
      <w:rFonts w:ascii="Arial" w:hAnsi="Arial" w:eastAsia="Arial" w:cs="Arial"/>
      <w:sz w:val="40"/>
      <w:szCs w:val="40"/>
    </w:rPr>
  </w:style>
  <w:style w:type="character" w:styleId="15">
    <w:name w:val="Heading 2 Char"/>
    <w:basedOn w:val="997"/>
    <w:link w:val="989"/>
    <w:uiPriority w:val="9"/>
    <w:rPr>
      <w:rFonts w:ascii="Arial" w:hAnsi="Arial" w:eastAsia="Arial" w:cs="Arial"/>
      <w:sz w:val="34"/>
    </w:rPr>
  </w:style>
  <w:style w:type="character" w:styleId="17">
    <w:name w:val="Heading 3 Char"/>
    <w:basedOn w:val="997"/>
    <w:link w:val="990"/>
    <w:uiPriority w:val="9"/>
    <w:rPr>
      <w:rFonts w:ascii="Arial" w:hAnsi="Arial" w:eastAsia="Arial" w:cs="Arial"/>
      <w:sz w:val="30"/>
      <w:szCs w:val="30"/>
    </w:rPr>
  </w:style>
  <w:style w:type="character" w:styleId="19">
    <w:name w:val="Heading 4 Char"/>
    <w:basedOn w:val="997"/>
    <w:link w:val="991"/>
    <w:uiPriority w:val="9"/>
    <w:rPr>
      <w:rFonts w:ascii="Arial" w:hAnsi="Arial" w:eastAsia="Arial" w:cs="Arial"/>
      <w:b/>
      <w:bCs/>
      <w:sz w:val="26"/>
      <w:szCs w:val="26"/>
    </w:rPr>
  </w:style>
  <w:style w:type="character" w:styleId="21">
    <w:name w:val="Heading 5 Char"/>
    <w:basedOn w:val="997"/>
    <w:link w:val="992"/>
    <w:uiPriority w:val="9"/>
    <w:rPr>
      <w:rFonts w:ascii="Arial" w:hAnsi="Arial" w:eastAsia="Arial" w:cs="Arial"/>
      <w:b/>
      <w:bCs/>
      <w:sz w:val="24"/>
      <w:szCs w:val="24"/>
    </w:rPr>
  </w:style>
  <w:style w:type="character" w:styleId="23">
    <w:name w:val="Heading 6 Char"/>
    <w:basedOn w:val="997"/>
    <w:link w:val="993"/>
    <w:uiPriority w:val="9"/>
    <w:rPr>
      <w:rFonts w:ascii="Arial" w:hAnsi="Arial" w:eastAsia="Arial" w:cs="Arial"/>
      <w:b/>
      <w:bCs/>
      <w:sz w:val="22"/>
      <w:szCs w:val="22"/>
    </w:rPr>
  </w:style>
  <w:style w:type="character" w:styleId="25">
    <w:name w:val="Heading 7 Char"/>
    <w:basedOn w:val="997"/>
    <w:link w:val="994"/>
    <w:uiPriority w:val="9"/>
    <w:rPr>
      <w:rFonts w:ascii="Arial" w:hAnsi="Arial" w:eastAsia="Arial" w:cs="Arial"/>
      <w:b/>
      <w:bCs/>
      <w:i/>
      <w:iCs/>
      <w:sz w:val="22"/>
      <w:szCs w:val="22"/>
    </w:rPr>
  </w:style>
  <w:style w:type="character" w:styleId="27">
    <w:name w:val="Heading 8 Char"/>
    <w:basedOn w:val="997"/>
    <w:link w:val="995"/>
    <w:uiPriority w:val="9"/>
    <w:rPr>
      <w:rFonts w:ascii="Arial" w:hAnsi="Arial" w:eastAsia="Arial" w:cs="Arial"/>
      <w:i/>
      <w:iCs/>
      <w:sz w:val="22"/>
      <w:szCs w:val="22"/>
    </w:rPr>
  </w:style>
  <w:style w:type="character" w:styleId="29">
    <w:name w:val="Heading 9 Char"/>
    <w:basedOn w:val="997"/>
    <w:link w:val="99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87"/>
    <w:next w:val="987"/>
    <w:link w:val="34"/>
    <w:uiPriority w:val="10"/>
    <w:qFormat/>
    <w:pPr>
      <w:contextualSpacing/>
      <w:spacing w:before="300" w:after="200"/>
    </w:pPr>
    <w:rPr>
      <w:sz w:val="48"/>
      <w:szCs w:val="48"/>
    </w:rPr>
  </w:style>
  <w:style w:type="character" w:styleId="34">
    <w:name w:val="Title Char"/>
    <w:basedOn w:val="997"/>
    <w:link w:val="33"/>
    <w:uiPriority w:val="10"/>
    <w:rPr>
      <w:sz w:val="48"/>
      <w:szCs w:val="48"/>
    </w:rPr>
  </w:style>
  <w:style w:type="character" w:styleId="36">
    <w:name w:val="Subtitle Char"/>
    <w:basedOn w:val="997"/>
    <w:link w:val="1034"/>
    <w:uiPriority w:val="11"/>
    <w:rPr>
      <w:sz w:val="24"/>
      <w:szCs w:val="24"/>
    </w:rPr>
  </w:style>
  <w:style w:type="character" w:styleId="38">
    <w:name w:val="Quote Char"/>
    <w:link w:val="1239"/>
    <w:uiPriority w:val="29"/>
    <w:rPr>
      <w:i/>
    </w:rPr>
  </w:style>
  <w:style w:type="character" w:styleId="40">
    <w:name w:val="Intense Quote Char"/>
    <w:link w:val="1365"/>
    <w:uiPriority w:val="30"/>
    <w:rPr>
      <w:i/>
    </w:rPr>
  </w:style>
  <w:style w:type="character" w:styleId="42">
    <w:name w:val="Header Char"/>
    <w:basedOn w:val="997"/>
    <w:link w:val="1032"/>
    <w:uiPriority w:val="99"/>
  </w:style>
  <w:style w:type="character" w:styleId="44">
    <w:name w:val="Footer Char"/>
    <w:basedOn w:val="997"/>
    <w:link w:val="1030"/>
    <w:uiPriority w:val="99"/>
  </w:style>
  <w:style w:type="character" w:styleId="46">
    <w:name w:val="Caption Char"/>
    <w:basedOn w:val="1007"/>
    <w:link w:val="1030"/>
    <w:uiPriority w:val="99"/>
  </w:style>
  <w:style w:type="table" w:styleId="48">
    <w:name w:val="Table Grid Light"/>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37"/>
    <w:uiPriority w:val="99"/>
    <w:rPr>
      <w:sz w:val="18"/>
    </w:rPr>
  </w:style>
  <w:style w:type="character" w:styleId="178">
    <w:name w:val="Endnote Text Char"/>
    <w:link w:val="1027"/>
    <w:uiPriority w:val="99"/>
    <w:rPr>
      <w:sz w:val="20"/>
    </w:rPr>
  </w:style>
  <w:style w:type="character" w:styleId="179">
    <w:name w:val="endnote reference"/>
    <w:basedOn w:val="997"/>
    <w:uiPriority w:val="99"/>
    <w:semiHidden/>
    <w:unhideWhenUsed/>
    <w:rPr>
      <w:vertAlign w:val="superscript"/>
    </w:rPr>
  </w:style>
  <w:style w:type="paragraph" w:styleId="189">
    <w:name w:val="TOC Heading"/>
    <w:uiPriority w:val="39"/>
    <w:unhideWhenUsed/>
  </w:style>
  <w:style w:type="paragraph" w:styleId="190">
    <w:name w:val="table of figures"/>
    <w:basedOn w:val="987"/>
    <w:next w:val="987"/>
    <w:uiPriority w:val="99"/>
    <w:unhideWhenUsed/>
    <w:pPr>
      <w:spacing w:after="0" w:afterAutospacing="0"/>
    </w:pPr>
  </w:style>
  <w:style w:type="paragraph" w:styleId="987" w:default="1">
    <w:name w:val="Normal"/>
    <w:next w:val="1000"/>
    <w:qFormat/>
    <w:pPr>
      <w:ind w:left="1024"/>
      <w:jc w:val="both"/>
    </w:pPr>
    <w:rPr>
      <w:rFonts w:ascii="Calibri" w:hAnsi="Calibri"/>
    </w:rPr>
  </w:style>
  <w:style w:type="paragraph" w:styleId="988">
    <w:name w:val="Heading 1"/>
    <w:basedOn w:val="987"/>
    <w:next w:val="987"/>
    <w:link w:val="1409"/>
    <w:qFormat/>
    <w:pPr>
      <w:ind w:left="432" w:firstLine="18"/>
      <w:spacing w:before="340" w:after="330" w:line="578" w:lineRule="auto"/>
      <w:outlineLvl w:val="0"/>
    </w:pPr>
  </w:style>
  <w:style w:type="paragraph" w:styleId="989">
    <w:name w:val="Heading 2"/>
    <w:basedOn w:val="987"/>
    <w:next w:val="987"/>
    <w:qFormat/>
    <w:pPr>
      <w:ind w:left="576" w:firstLine="24"/>
      <w:spacing w:before="260" w:after="260" w:line="416" w:lineRule="auto"/>
      <w:outlineLvl w:val="1"/>
    </w:pPr>
    <w:rPr>
      <w:rFonts w:ascii="Times New Roman" w:hAnsi="Times New Roman" w:cs="Times New Roman"/>
    </w:rPr>
  </w:style>
  <w:style w:type="paragraph" w:styleId="990">
    <w:name w:val="Heading 3"/>
    <w:basedOn w:val="987"/>
    <w:next w:val="1001"/>
    <w:qFormat/>
    <w:pPr>
      <w:ind w:left="720"/>
      <w:spacing w:before="260" w:after="260" w:line="416" w:lineRule="auto"/>
      <w:outlineLvl w:val="2"/>
    </w:pPr>
    <w:rPr>
      <w:rFonts w:ascii="Times New Roman" w:hAnsi="Times New Roman" w:cs="Times New Roman"/>
    </w:rPr>
  </w:style>
  <w:style w:type="paragraph" w:styleId="991">
    <w:name w:val="Heading 4"/>
    <w:basedOn w:val="988"/>
    <w:next w:val="987"/>
    <w:qFormat/>
    <w:pPr>
      <w:ind w:left="864" w:firstLine="24"/>
      <w:spacing w:before="280" w:after="290" w:line="376" w:lineRule="auto"/>
      <w:outlineLvl w:val="3"/>
    </w:pPr>
    <w:rPr>
      <w:rFonts w:ascii="Times New Roman" w:hAnsi="Times New Roman" w:cs="Times New Roman"/>
    </w:rPr>
  </w:style>
  <w:style w:type="paragraph" w:styleId="992">
    <w:name w:val="Heading 5"/>
    <w:basedOn w:val="988"/>
    <w:next w:val="987"/>
    <w:qFormat/>
    <w:pPr>
      <w:ind w:left="1008"/>
      <w:spacing w:before="280" w:after="290" w:line="376" w:lineRule="auto"/>
      <w:outlineLvl w:val="4"/>
    </w:pPr>
    <w:rPr>
      <w:rFonts w:ascii="Times New Roman" w:hAnsi="Times New Roman" w:cs="Times New Roman"/>
    </w:rPr>
  </w:style>
  <w:style w:type="paragraph" w:styleId="993">
    <w:name w:val="Heading 6"/>
    <w:basedOn w:val="988"/>
    <w:next w:val="987"/>
    <w:qFormat/>
    <w:pPr>
      <w:ind w:left="1152" w:firstLine="20"/>
      <w:spacing w:before="240" w:after="64" w:line="320" w:lineRule="auto"/>
      <w:outlineLvl w:val="5"/>
    </w:pPr>
    <w:rPr>
      <w:rFonts w:ascii="Times New Roman" w:hAnsi="Times New Roman" w:cs="Times New Roman"/>
    </w:rPr>
  </w:style>
  <w:style w:type="paragraph" w:styleId="994">
    <w:name w:val="Heading 7"/>
    <w:basedOn w:val="988"/>
    <w:next w:val="987"/>
    <w:qFormat/>
    <w:pPr>
      <w:ind w:left="1296" w:firstLine="14"/>
      <w:spacing w:before="240" w:after="64" w:line="320" w:lineRule="auto"/>
      <w:outlineLvl w:val="6"/>
    </w:pPr>
    <w:rPr>
      <w:rFonts w:ascii="Times New Roman" w:hAnsi="Times New Roman" w:cs="Times New Roman"/>
    </w:rPr>
  </w:style>
  <w:style w:type="paragraph" w:styleId="995">
    <w:name w:val="Heading 8"/>
    <w:basedOn w:val="988"/>
    <w:next w:val="987"/>
    <w:qFormat/>
    <w:pPr>
      <w:ind w:left="1440"/>
      <w:spacing w:before="240" w:after="64" w:line="320" w:lineRule="auto"/>
      <w:outlineLvl w:val="7"/>
    </w:pPr>
    <w:rPr>
      <w:rFonts w:ascii="Times New Roman" w:hAnsi="Times New Roman" w:cs="Times New Roman"/>
    </w:rPr>
  </w:style>
  <w:style w:type="paragraph" w:styleId="996">
    <w:name w:val="Heading 9"/>
    <w:basedOn w:val="988"/>
    <w:next w:val="987"/>
    <w:qFormat/>
    <w:pPr>
      <w:ind w:left="1584" w:firstLine="22"/>
      <w:spacing w:before="240" w:after="64" w:line="320" w:lineRule="auto"/>
      <w:outlineLvl w:val="8"/>
    </w:pPr>
    <w:rPr>
      <w:rFonts w:ascii="Times New Roman" w:hAnsi="Times New Roman" w:cs="Times New Roman"/>
    </w:rPr>
  </w:style>
  <w:style w:type="character" w:styleId="997" w:default="1">
    <w:name w:val="Default Paragraph Font"/>
    <w:uiPriority w:val="1"/>
    <w:semiHidden/>
    <w:unhideWhenUsed/>
  </w:style>
  <w:style w:type="table" w:styleId="998" w:default="1">
    <w:name w:val="Normal Table"/>
    <w:uiPriority w:val="99"/>
    <w:semiHidden/>
    <w:unhideWhenUsed/>
    <w:tblPr>
      <w:tblInd w:w="0" w:type="dxa"/>
      <w:tblCellMar>
        <w:left w:w="108" w:type="dxa"/>
        <w:top w:w="0" w:type="dxa"/>
        <w:right w:w="108" w:type="dxa"/>
        <w:bottom w:w="0" w:type="dxa"/>
      </w:tblCellMar>
    </w:tblPr>
  </w:style>
  <w:style w:type="numbering" w:styleId="999" w:default="1">
    <w:name w:val="No List"/>
    <w:uiPriority w:val="99"/>
    <w:semiHidden/>
    <w:unhideWhenUsed/>
  </w:style>
  <w:style w:type="paragraph" w:styleId="1000">
    <w:name w:val="Body Text Indent"/>
    <w:basedOn w:val="987"/>
    <w:next w:val="987"/>
    <w:pPr>
      <w:ind w:left="420" w:firstLine="1188"/>
      <w:spacing w:line="360" w:lineRule="exact"/>
    </w:pPr>
    <w:rPr>
      <w:rFonts w:ascii="Times New Roman" w:hAnsi="Times New Roman" w:cs="Times New Roman"/>
    </w:rPr>
  </w:style>
  <w:style w:type="paragraph" w:styleId="1001" w:customStyle="1">
    <w:name w:val="正文2"/>
    <w:basedOn w:val="987"/>
    <w:next w:val="987"/>
    <w:qFormat/>
    <w:pPr>
      <w:ind w:left="0" w:hanging="2155"/>
      <w:spacing w:line="360" w:lineRule="auto"/>
      <w:shd w:val="clear" w:color="auto" w:fill="ffffff"/>
    </w:pPr>
    <w:rPr>
      <w:rFonts w:ascii="宋体" w:hAnsi="宋体"/>
    </w:rPr>
  </w:style>
  <w:style w:type="paragraph" w:styleId="1002">
    <w:name w:val="toc 7"/>
    <w:basedOn w:val="988"/>
    <w:next w:val="987"/>
    <w:qFormat/>
    <w:pPr>
      <w:ind w:left="1640" w:firstLine="3784"/>
      <w:spacing w:before="0" w:after="0" w:line="360" w:lineRule="auto"/>
    </w:pPr>
    <w:rPr>
      <w:rFonts w:ascii="Times New Roman" w:hAnsi="Times New Roman" w:cs="Times New Roman"/>
    </w:rPr>
  </w:style>
  <w:style w:type="paragraph" w:styleId="1003">
    <w:name w:val="List Bullet 4"/>
    <w:basedOn w:val="988"/>
    <w:next w:val="1004"/>
    <w:qFormat/>
    <w:pPr>
      <w:ind w:left="1620" w:firstLine="2652"/>
      <w:spacing w:before="0" w:after="0" w:line="360" w:lineRule="auto"/>
    </w:pPr>
    <w:rPr>
      <w:rFonts w:ascii="Times New Roman" w:hAnsi="Times New Roman" w:cs="Times New Roman"/>
    </w:rPr>
  </w:style>
  <w:style w:type="paragraph" w:styleId="1004">
    <w:name w:val="List Bullet 2"/>
    <w:basedOn w:val="988"/>
    <w:next w:val="987"/>
    <w:qFormat/>
    <w:pPr>
      <w:ind w:left="900" w:firstLine="2652"/>
      <w:spacing w:before="0" w:after="0" w:line="360" w:lineRule="auto"/>
    </w:pPr>
    <w:rPr>
      <w:rFonts w:ascii="Times New Roman" w:hAnsi="Times New Roman" w:cs="Times New Roman"/>
    </w:rPr>
  </w:style>
  <w:style w:type="paragraph" w:styleId="1005">
    <w:name w:val="List Number"/>
    <w:basedOn w:val="988"/>
    <w:next w:val="987"/>
    <w:qFormat/>
    <w:pPr>
      <w:ind w:left="454" w:firstLine="2788"/>
      <w:spacing w:before="0" w:after="0" w:line="240" w:lineRule="auto"/>
    </w:pPr>
    <w:rPr>
      <w:rFonts w:ascii="Times New Roman" w:hAnsi="Times New Roman" w:cs="Times New Roman"/>
    </w:rPr>
  </w:style>
  <w:style w:type="paragraph" w:styleId="1006">
    <w:name w:val="Normal Indent"/>
    <w:basedOn w:val="987"/>
    <w:next w:val="987"/>
    <w:link w:val="1056"/>
    <w:qFormat/>
    <w:pPr>
      <w:ind w:left="420" w:firstLine="4772"/>
    </w:pPr>
  </w:style>
  <w:style w:type="paragraph" w:styleId="1007">
    <w:name w:val="Caption"/>
    <w:basedOn w:val="988"/>
    <w:next w:val="987"/>
    <w:qFormat/>
    <w:pPr>
      <w:ind w:left="200" w:firstLine="2248"/>
      <w:jc w:val="center"/>
      <w:spacing w:before="0" w:after="0" w:line="240" w:lineRule="auto"/>
    </w:pPr>
    <w:rPr>
      <w:rFonts w:ascii="Times New Roman" w:hAnsi="Times New Roman" w:cs="Times New Roman"/>
    </w:rPr>
  </w:style>
  <w:style w:type="paragraph" w:styleId="1008">
    <w:name w:val="List Bullet"/>
    <w:basedOn w:val="988"/>
    <w:next w:val="987"/>
    <w:qFormat/>
    <w:pPr>
      <w:ind w:left="900" w:firstLine="2652"/>
      <w:spacing w:before="0" w:after="0" w:line="360" w:lineRule="auto"/>
    </w:pPr>
    <w:rPr>
      <w:rFonts w:ascii="Times New Roman" w:hAnsi="Times New Roman" w:cs="Times New Roman"/>
    </w:rPr>
  </w:style>
  <w:style w:type="paragraph" w:styleId="1009">
    <w:name w:val="Document Map"/>
    <w:basedOn w:val="988"/>
    <w:next w:val="1010"/>
    <w:qFormat/>
    <w:pPr>
      <w:ind w:left="0" w:firstLine="4"/>
      <w:spacing w:before="0" w:after="0" w:line="240" w:lineRule="auto"/>
      <w:shd w:val="clear" w:color="000000" w:fill="000080"/>
    </w:pPr>
    <w:rPr>
      <w:rFonts w:ascii="Times New Roman" w:hAnsi="Times New Roman" w:cs="Times New Roman"/>
    </w:rPr>
  </w:style>
  <w:style w:type="paragraph" w:styleId="1010">
    <w:name w:val="annotation subject"/>
    <w:next w:val="987"/>
    <w:qFormat/>
    <w:pPr>
      <w:ind w:firstLine="4608"/>
      <w:spacing w:line="360" w:lineRule="auto"/>
    </w:pPr>
    <w:rPr>
      <w:rFonts w:ascii="Calibri" w:hAnsi="Calibri"/>
    </w:rPr>
  </w:style>
  <w:style w:type="paragraph" w:styleId="1011">
    <w:name w:val="annotation text"/>
    <w:basedOn w:val="988"/>
    <w:next w:val="987"/>
    <w:qFormat/>
    <w:pPr>
      <w:ind w:left="0" w:firstLine="3584"/>
      <w:spacing w:before="0" w:after="0" w:line="360" w:lineRule="auto"/>
    </w:pPr>
    <w:rPr>
      <w:rFonts w:ascii="Times New Roman" w:hAnsi="Times New Roman" w:cs="Times New Roman"/>
    </w:rPr>
  </w:style>
  <w:style w:type="paragraph" w:styleId="1012">
    <w:name w:val="Body Text 3"/>
    <w:basedOn w:val="988"/>
    <w:next w:val="987"/>
    <w:qFormat/>
    <w:pPr>
      <w:ind w:left="0" w:firstLine="2048"/>
      <w:spacing w:before="0" w:after="0" w:line="500" w:lineRule="exact"/>
    </w:pPr>
    <w:rPr>
      <w:rFonts w:ascii="Times New Roman" w:hAnsi="Times New Roman" w:cs="Times New Roman"/>
    </w:rPr>
  </w:style>
  <w:style w:type="paragraph" w:styleId="1013">
    <w:name w:val="List Bullet 3"/>
    <w:basedOn w:val="988"/>
    <w:next w:val="987"/>
    <w:qFormat/>
    <w:pPr>
      <w:ind w:left="900" w:firstLine="2652"/>
      <w:spacing w:before="0" w:after="0" w:line="360" w:lineRule="auto"/>
    </w:pPr>
    <w:rPr>
      <w:rFonts w:ascii="Times New Roman" w:hAnsi="Times New Roman" w:cs="Times New Roman"/>
    </w:rPr>
  </w:style>
  <w:style w:type="paragraph" w:styleId="1014">
    <w:name w:val="Body Text"/>
    <w:basedOn w:val="987"/>
    <w:next w:val="987"/>
    <w:qFormat/>
    <w:pPr>
      <w:ind w:left="0" w:firstLine="2560"/>
    </w:pPr>
    <w:rPr>
      <w:rFonts w:ascii="Times New Roman" w:hAnsi="Times New Roman" w:cs="Times New Roman"/>
    </w:rPr>
  </w:style>
  <w:style w:type="paragraph" w:styleId="1015">
    <w:name w:val="List Number 3"/>
    <w:basedOn w:val="988"/>
    <w:next w:val="987"/>
    <w:qFormat/>
    <w:pPr>
      <w:ind w:left="420" w:firstLine="3584"/>
      <w:spacing w:before="0" w:after="0" w:line="240" w:lineRule="auto"/>
    </w:pPr>
    <w:rPr>
      <w:rFonts w:ascii="Times New Roman" w:hAnsi="Times New Roman" w:cs="Times New Roman"/>
    </w:rPr>
  </w:style>
  <w:style w:type="paragraph" w:styleId="1016">
    <w:name w:val="List 2"/>
    <w:basedOn w:val="988"/>
    <w:next w:val="1002"/>
    <w:qFormat/>
    <w:pPr>
      <w:ind w:left="100" w:firstLine="3640"/>
      <w:spacing w:before="0" w:after="0" w:line="240" w:lineRule="auto"/>
    </w:pPr>
    <w:rPr>
      <w:rFonts w:ascii="Times New Roman" w:hAnsi="Times New Roman" w:cs="Times New Roman"/>
    </w:rPr>
  </w:style>
  <w:style w:type="paragraph" w:styleId="1017">
    <w:name w:val="Block Text"/>
    <w:basedOn w:val="988"/>
    <w:next w:val="987"/>
    <w:qFormat/>
    <w:pPr>
      <w:ind w:left="420" w:right="33" w:firstLine="2560"/>
      <w:spacing w:before="0" w:after="0" w:line="240" w:lineRule="auto"/>
    </w:pPr>
    <w:rPr>
      <w:rFonts w:ascii="Times New Roman" w:hAnsi="Times New Roman" w:cs="Times New Roman"/>
    </w:rPr>
  </w:style>
  <w:style w:type="paragraph" w:styleId="1018">
    <w:name w:val="toc 5"/>
    <w:basedOn w:val="988"/>
    <w:next w:val="987"/>
    <w:qFormat/>
    <w:pPr>
      <w:ind w:left="1160" w:firstLine="3784"/>
      <w:spacing w:before="0" w:after="0" w:line="360" w:lineRule="auto"/>
    </w:pPr>
    <w:rPr>
      <w:rFonts w:ascii="Times New Roman" w:hAnsi="Times New Roman" w:cs="Times New Roman"/>
    </w:rPr>
  </w:style>
  <w:style w:type="paragraph" w:styleId="1019">
    <w:name w:val="toc 3"/>
    <w:basedOn w:val="988"/>
    <w:next w:val="987"/>
    <w:qFormat/>
    <w:pPr>
      <w:ind w:left="0" w:firstLine="1024"/>
      <w:spacing w:before="0" w:after="0" w:line="360" w:lineRule="auto"/>
    </w:pPr>
    <w:rPr>
      <w:rFonts w:ascii="Times New Roman" w:hAnsi="Times New Roman" w:cs="Times New Roman"/>
    </w:rPr>
  </w:style>
  <w:style w:type="paragraph" w:styleId="1020">
    <w:name w:val="Plain Text"/>
    <w:basedOn w:val="988"/>
    <w:next w:val="1021"/>
    <w:qFormat/>
    <w:pPr>
      <w:ind w:left="0" w:firstLine="2048"/>
      <w:spacing w:before="0" w:after="0" w:line="240" w:lineRule="auto"/>
    </w:pPr>
    <w:rPr>
      <w:rFonts w:ascii="Times New Roman" w:hAnsi="Times New Roman" w:cs="Times New Roman"/>
    </w:rPr>
  </w:style>
  <w:style w:type="paragraph" w:styleId="1021">
    <w:name w:val="toc 1"/>
    <w:basedOn w:val="988"/>
    <w:next w:val="987"/>
    <w:uiPriority w:val="39"/>
    <w:qFormat/>
    <w:pPr>
      <w:ind w:left="0" w:firstLine="4608"/>
      <w:spacing w:before="0" w:after="0" w:line="240" w:lineRule="auto"/>
    </w:pPr>
    <w:rPr>
      <w:rFonts w:ascii="Times New Roman" w:hAnsi="Times New Roman" w:cs="Times New Roman"/>
    </w:rPr>
  </w:style>
  <w:style w:type="paragraph" w:styleId="1022">
    <w:name w:val="List Bullet 5"/>
    <w:basedOn w:val="988"/>
    <w:next w:val="1023"/>
    <w:qFormat/>
    <w:pPr>
      <w:ind w:left="2040" w:firstLine="2560"/>
      <w:spacing w:before="0" w:after="0" w:line="360" w:lineRule="auto"/>
    </w:pPr>
    <w:rPr>
      <w:rFonts w:ascii="Times New Roman" w:hAnsi="Times New Roman" w:cs="Times New Roman"/>
    </w:rPr>
  </w:style>
  <w:style w:type="paragraph" w:styleId="1023" w:customStyle="1">
    <w:name w:val="正文首行缩进1"/>
    <w:next w:val="1015"/>
    <w:qFormat/>
    <w:pPr>
      <w:ind w:left="420" w:firstLine="2724"/>
      <w:spacing w:after="120" w:line="360" w:lineRule="auto"/>
    </w:pPr>
    <w:rPr>
      <w:rFonts w:ascii="Calibri" w:hAnsi="Calibri"/>
    </w:rPr>
  </w:style>
  <w:style w:type="paragraph" w:styleId="1024">
    <w:name w:val="toc 8"/>
    <w:basedOn w:val="988"/>
    <w:next w:val="987"/>
    <w:qFormat/>
    <w:pPr>
      <w:ind w:left="1880" w:firstLine="3784"/>
      <w:spacing w:before="0" w:after="0" w:line="360" w:lineRule="auto"/>
    </w:pPr>
    <w:rPr>
      <w:rFonts w:ascii="Times New Roman" w:hAnsi="Times New Roman" w:cs="Times New Roman"/>
    </w:rPr>
  </w:style>
  <w:style w:type="paragraph" w:styleId="1025">
    <w:name w:val="Date"/>
    <w:basedOn w:val="988"/>
    <w:next w:val="987"/>
    <w:qFormat/>
    <w:pPr>
      <w:ind w:left="0" w:firstLine="2560"/>
      <w:spacing w:before="0" w:after="0" w:line="240" w:lineRule="auto"/>
    </w:pPr>
    <w:rPr>
      <w:rFonts w:ascii="Times New Roman" w:hAnsi="Times New Roman" w:cs="Times New Roman"/>
    </w:rPr>
  </w:style>
  <w:style w:type="paragraph" w:styleId="1026">
    <w:name w:val="Body Text Indent 2"/>
    <w:basedOn w:val="988"/>
    <w:next w:val="1000"/>
    <w:qFormat/>
    <w:pPr>
      <w:ind w:left="481" w:firstLine="2784"/>
      <w:spacing w:before="0" w:after="0" w:line="400" w:lineRule="exact"/>
    </w:pPr>
    <w:rPr>
      <w:rFonts w:ascii="Times New Roman" w:hAnsi="Times New Roman" w:cs="Times New Roman"/>
    </w:rPr>
  </w:style>
  <w:style w:type="paragraph" w:styleId="1027">
    <w:name w:val="endnote text"/>
    <w:basedOn w:val="988"/>
    <w:next w:val="1028"/>
    <w:qFormat/>
    <w:pPr>
      <w:ind w:left="0" w:firstLine="2560"/>
      <w:spacing w:before="0" w:after="0" w:line="360" w:lineRule="auto"/>
    </w:pPr>
    <w:rPr>
      <w:rFonts w:ascii="Times New Roman" w:hAnsi="Times New Roman" w:cs="Times New Roman"/>
    </w:rPr>
  </w:style>
  <w:style w:type="paragraph" w:styleId="1028" w:customStyle="1">
    <w:name w:val="Char11"/>
    <w:basedOn w:val="988"/>
    <w:next w:val="987"/>
    <w:qFormat/>
    <w:pPr>
      <w:ind w:left="0" w:firstLine="3584"/>
      <w:spacing w:before="0" w:after="0" w:line="240" w:lineRule="auto"/>
    </w:pPr>
    <w:rPr>
      <w:rFonts w:ascii="Times New Roman" w:hAnsi="Times New Roman" w:cs="Times New Roman"/>
    </w:rPr>
  </w:style>
  <w:style w:type="paragraph" w:styleId="1029">
    <w:name w:val="Balloon Text"/>
    <w:basedOn w:val="988"/>
    <w:next w:val="1005"/>
    <w:qFormat/>
    <w:pPr>
      <w:ind w:left="0" w:firstLine="2048"/>
      <w:spacing w:before="0" w:after="0" w:line="240" w:lineRule="auto"/>
    </w:pPr>
    <w:rPr>
      <w:rFonts w:ascii="Times New Roman" w:hAnsi="Times New Roman" w:cs="Times New Roman"/>
    </w:rPr>
  </w:style>
  <w:style w:type="paragraph" w:styleId="1030">
    <w:name w:val="Footer"/>
    <w:basedOn w:val="987"/>
    <w:next w:val="1031"/>
    <w:link w:val="1057"/>
    <w:qFormat/>
    <w:pPr>
      <w:ind w:left="0" w:firstLine="3584"/>
    </w:pPr>
  </w:style>
  <w:style w:type="paragraph" w:styleId="1031" w:customStyle="1">
    <w:name w:val="Char Char Char Char Char Char Char Char Char Char Char Char Char"/>
    <w:basedOn w:val="988"/>
    <w:next w:val="987"/>
    <w:qFormat/>
    <w:pPr>
      <w:ind w:left="0" w:firstLine="3584"/>
      <w:spacing w:before="0" w:after="160" w:line="240" w:lineRule="exact"/>
    </w:pPr>
    <w:rPr>
      <w:rFonts w:ascii="Times New Roman" w:hAnsi="Times New Roman" w:cs="Times New Roman"/>
    </w:rPr>
  </w:style>
  <w:style w:type="paragraph" w:styleId="1032">
    <w:name w:val="Header"/>
    <w:basedOn w:val="988"/>
    <w:next w:val="1025"/>
    <w:link w:val="1058"/>
    <w:qFormat/>
    <w:pPr>
      <w:ind w:left="0" w:firstLine="3584"/>
      <w:jc w:val="center"/>
      <w:spacing w:before="0" w:after="0" w:line="240" w:lineRule="auto"/>
    </w:pPr>
  </w:style>
  <w:style w:type="paragraph" w:styleId="1033">
    <w:name w:val="toc 4"/>
    <w:basedOn w:val="988"/>
    <w:next w:val="987"/>
    <w:qFormat/>
    <w:pPr>
      <w:ind w:left="1260" w:firstLine="1024"/>
      <w:spacing w:before="0" w:after="0" w:line="240" w:lineRule="auto"/>
    </w:pPr>
    <w:rPr>
      <w:rFonts w:ascii="Times New Roman" w:hAnsi="Times New Roman" w:cs="Times New Roman"/>
    </w:rPr>
  </w:style>
  <w:style w:type="paragraph" w:styleId="1034">
    <w:name w:val="Subtitle"/>
    <w:next w:val="987"/>
    <w:qFormat/>
    <w:pPr>
      <w:ind w:left="1024"/>
      <w:jc w:val="center"/>
      <w:spacing w:after="60"/>
    </w:pPr>
    <w:rPr>
      <w:rFonts w:ascii="Calibri" w:hAnsi="Calibri"/>
    </w:rPr>
  </w:style>
  <w:style w:type="paragraph" w:styleId="1035">
    <w:name w:val="List"/>
    <w:basedOn w:val="988"/>
    <w:next w:val="1036"/>
    <w:qFormat/>
    <w:pPr>
      <w:ind w:left="200" w:firstLine="3640"/>
      <w:spacing w:before="0" w:after="0" w:line="240" w:lineRule="auto"/>
    </w:pPr>
    <w:rPr>
      <w:rFonts w:ascii="Times New Roman" w:hAnsi="Times New Roman" w:cs="Times New Roman"/>
    </w:rPr>
  </w:style>
  <w:style w:type="paragraph" w:styleId="1036">
    <w:name w:val="Body Text First Indent"/>
    <w:next w:val="987"/>
    <w:qFormat/>
    <w:pPr>
      <w:ind w:left="420" w:firstLine="3748"/>
      <w:spacing w:after="120"/>
    </w:pPr>
    <w:rPr>
      <w:rFonts w:ascii="Calibri" w:hAnsi="Calibri"/>
    </w:rPr>
  </w:style>
  <w:style w:type="paragraph" w:styleId="1037">
    <w:name w:val="footnote text"/>
    <w:basedOn w:val="988"/>
    <w:next w:val="1017"/>
    <w:qFormat/>
    <w:pPr>
      <w:ind w:left="0" w:firstLine="3584"/>
      <w:spacing w:before="0" w:after="0" w:line="360" w:lineRule="auto"/>
    </w:pPr>
    <w:rPr>
      <w:rFonts w:ascii="Times New Roman" w:hAnsi="Times New Roman" w:cs="Times New Roman"/>
    </w:rPr>
  </w:style>
  <w:style w:type="paragraph" w:styleId="1038">
    <w:name w:val="toc 6"/>
    <w:basedOn w:val="988"/>
    <w:next w:val="987"/>
    <w:qFormat/>
    <w:pPr>
      <w:ind w:left="1400" w:firstLine="3784"/>
      <w:spacing w:before="0" w:after="0" w:line="360" w:lineRule="auto"/>
    </w:pPr>
    <w:rPr>
      <w:rFonts w:ascii="Times New Roman" w:hAnsi="Times New Roman" w:cs="Times New Roman"/>
    </w:rPr>
  </w:style>
  <w:style w:type="paragraph" w:styleId="1039">
    <w:name w:val="List 5"/>
    <w:basedOn w:val="988"/>
    <w:next w:val="1014"/>
    <w:qFormat/>
    <w:pPr>
      <w:ind w:left="2100" w:firstLine="3676"/>
      <w:spacing w:before="0" w:after="0" w:line="240" w:lineRule="auto"/>
    </w:pPr>
    <w:rPr>
      <w:rFonts w:ascii="Times New Roman" w:hAnsi="Times New Roman" w:cs="Times New Roman"/>
    </w:rPr>
  </w:style>
  <w:style w:type="paragraph" w:styleId="1040">
    <w:name w:val="Body Text Indent 3"/>
    <w:basedOn w:val="988"/>
    <w:next w:val="1038"/>
    <w:qFormat/>
    <w:pPr>
      <w:ind w:left="480" w:firstLine="2784"/>
      <w:spacing w:before="0" w:after="0" w:line="400" w:lineRule="exact"/>
    </w:pPr>
    <w:rPr>
      <w:rFonts w:ascii="Times New Roman" w:hAnsi="Times New Roman" w:cs="Times New Roman"/>
    </w:rPr>
  </w:style>
  <w:style w:type="paragraph" w:styleId="1041">
    <w:name w:val="toc 2"/>
    <w:basedOn w:val="988"/>
    <w:next w:val="987"/>
    <w:qFormat/>
    <w:pPr>
      <w:ind w:left="0" w:firstLine="1024"/>
      <w:spacing w:before="0" w:after="0" w:line="360" w:lineRule="auto"/>
    </w:pPr>
    <w:rPr>
      <w:rFonts w:ascii="Times New Roman" w:hAnsi="Times New Roman" w:cs="Times New Roman"/>
    </w:rPr>
  </w:style>
  <w:style w:type="paragraph" w:styleId="1042">
    <w:name w:val="toc 9"/>
    <w:basedOn w:val="988"/>
    <w:next w:val="987"/>
    <w:qFormat/>
    <w:pPr>
      <w:ind w:left="2120" w:firstLine="3784"/>
      <w:spacing w:before="0" w:after="0" w:line="360" w:lineRule="auto"/>
    </w:pPr>
    <w:rPr>
      <w:rFonts w:ascii="Times New Roman" w:hAnsi="Times New Roman" w:cs="Times New Roman"/>
    </w:rPr>
  </w:style>
  <w:style w:type="paragraph" w:styleId="1043">
    <w:name w:val="Body Text 2"/>
    <w:basedOn w:val="988"/>
    <w:next w:val="1008"/>
    <w:qFormat/>
    <w:pPr>
      <w:ind w:left="0" w:firstLine="1024"/>
      <w:spacing w:before="0" w:after="120" w:line="480" w:lineRule="auto"/>
    </w:pPr>
    <w:rPr>
      <w:rFonts w:ascii="Times New Roman" w:hAnsi="Times New Roman" w:cs="Times New Roman"/>
    </w:rPr>
  </w:style>
  <w:style w:type="paragraph" w:styleId="1044">
    <w:name w:val="HTML Preformatted"/>
    <w:basedOn w:val="988"/>
    <w:next w:val="1007"/>
    <w:qFormat/>
    <w:pPr>
      <w:ind w:left="0" w:firstLine="2048"/>
      <w:spacing w:before="0" w:after="0" w:line="253" w:lineRule="atLeast"/>
    </w:pPr>
    <w:rPr>
      <w:rFonts w:ascii="Times New Roman" w:hAnsi="Times New Roman" w:cs="Times New Roman"/>
    </w:rPr>
  </w:style>
  <w:style w:type="paragraph" w:styleId="1045">
    <w:name w:val="Normal (Web)"/>
    <w:basedOn w:val="987"/>
    <w:next w:val="1016"/>
    <w:qFormat/>
    <w:pPr>
      <w:ind w:left="15" w:right="15" w:firstLine="4608"/>
      <w:spacing w:before="60" w:after="60" w:line="312" w:lineRule="auto"/>
    </w:pPr>
    <w:rPr>
      <w:rFonts w:ascii="Times New Roman" w:hAnsi="Times New Roman" w:cs="Times New Roman"/>
    </w:rPr>
  </w:style>
  <w:style w:type="paragraph" w:styleId="1046">
    <w:name w:val="index 1"/>
    <w:basedOn w:val="988"/>
    <w:next w:val="987"/>
    <w:qFormat/>
    <w:pPr>
      <w:ind w:left="0" w:firstLine="3584"/>
      <w:spacing w:before="0" w:after="0" w:line="240" w:lineRule="auto"/>
    </w:pPr>
    <w:rPr>
      <w:rFonts w:ascii="Times New Roman" w:hAnsi="Times New Roman" w:cs="Times New Roman"/>
    </w:rPr>
  </w:style>
  <w:style w:type="paragraph" w:styleId="1047">
    <w:name w:val="Body Text First Indent 2"/>
    <w:basedOn w:val="1000"/>
    <w:link w:val="1406"/>
    <w:unhideWhenUsed/>
    <w:qFormat/>
    <w:pPr>
      <w:ind w:firstLine="420"/>
    </w:pPr>
  </w:style>
  <w:style w:type="table" w:styleId="104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9">
    <w:name w:val="Strong"/>
    <w:qFormat/>
    <w:rPr>
      <w:rFonts w:ascii="Times New Roman" w:hAnsi="Times New Roman" w:eastAsia="宋体" w:cs="Times New Roman"/>
      <w:b/>
      <w:sz w:val="20"/>
    </w:rPr>
  </w:style>
  <w:style w:type="character" w:styleId="1050">
    <w:name w:val="page number"/>
    <w:qFormat/>
    <w:rPr>
      <w:rFonts w:ascii="Times New Roman" w:hAnsi="Times New Roman" w:eastAsia="宋体" w:cs="Times New Roman"/>
      <w:sz w:val="20"/>
    </w:rPr>
  </w:style>
  <w:style w:type="character" w:styleId="1051">
    <w:name w:val="FollowedHyperlink"/>
    <w:qFormat/>
    <w:rPr>
      <w:rFonts w:ascii="Times New Roman" w:hAnsi="Times New Roman" w:eastAsia="宋体" w:cs="Times New Roman"/>
      <w:color w:val="800080"/>
      <w:sz w:val="20"/>
      <w:u w:val="single"/>
    </w:rPr>
  </w:style>
  <w:style w:type="character" w:styleId="1052">
    <w:name w:val="Emphasis"/>
    <w:qFormat/>
    <w:rPr>
      <w:rFonts w:ascii="Times New Roman" w:hAnsi="Times New Roman" w:eastAsia="宋体" w:cs="Times New Roman"/>
      <w:i/>
      <w:sz w:val="21"/>
    </w:rPr>
  </w:style>
  <w:style w:type="character" w:styleId="1053">
    <w:name w:val="Hyperlink"/>
    <w:uiPriority w:val="99"/>
    <w:qFormat/>
    <w:rPr>
      <w:rFonts w:ascii="Times New Roman" w:hAnsi="Times New Roman" w:eastAsia="宋体" w:cs="Times New Roman"/>
      <w:color w:val="0000ff"/>
      <w:sz w:val="20"/>
      <w:u w:val="single"/>
    </w:rPr>
  </w:style>
  <w:style w:type="character" w:styleId="1054">
    <w:name w:val="annotation reference"/>
    <w:qFormat/>
    <w:rPr>
      <w:rFonts w:ascii="Times New Roman" w:hAnsi="Times New Roman" w:eastAsia="宋体" w:cs="Times New Roman"/>
      <w:sz w:val="20"/>
    </w:rPr>
  </w:style>
  <w:style w:type="character" w:styleId="1055">
    <w:name w:val="footnote reference"/>
    <w:qFormat/>
    <w:rPr>
      <w:rFonts w:ascii="Times New Roman" w:hAnsi="Times New Roman" w:eastAsia="宋体" w:cs="Times New Roman"/>
      <w:vertAlign w:val="superscript"/>
    </w:rPr>
  </w:style>
  <w:style w:type="character" w:styleId="1056" w:customStyle="1">
    <w:name w:val="正文缩进 字符"/>
    <w:link w:val="1006"/>
    <w:qFormat/>
    <w:rPr>
      <w:rFonts w:ascii="Calibri" w:hAnsi="Calibri" w:eastAsia="宋体" w:cs="Times New Roman"/>
    </w:rPr>
  </w:style>
  <w:style w:type="character" w:styleId="1057" w:customStyle="1">
    <w:name w:val="页脚 字符"/>
    <w:link w:val="1030"/>
    <w:qFormat/>
    <w:rPr>
      <w:rFonts w:ascii="Calibri" w:hAnsi="Calibri" w:eastAsia="宋体" w:cs="Times New Roman"/>
    </w:rPr>
  </w:style>
  <w:style w:type="character" w:styleId="1058" w:customStyle="1">
    <w:name w:val="页眉 字符"/>
    <w:link w:val="1032"/>
    <w:qFormat/>
    <w:rPr>
      <w:rFonts w:ascii="Calibri" w:hAnsi="Calibri" w:eastAsia="宋体" w:cs="Times New Roman"/>
    </w:rPr>
  </w:style>
  <w:style w:type="character" w:styleId="1059" w:customStyle="1">
    <w:name w:val="日期 Char"/>
    <w:qFormat/>
    <w:rPr>
      <w:rFonts w:ascii="Times New Roman" w:hAnsi="Times New Roman" w:eastAsia="宋体" w:cs="Times New Roman"/>
      <w:sz w:val="20"/>
    </w:rPr>
  </w:style>
  <w:style w:type="character" w:styleId="1060" w:customStyle="1">
    <w:name w:val="批注引用1"/>
    <w:qFormat/>
    <w:rPr>
      <w:rFonts w:ascii="Times New Roman" w:hAnsi="Times New Roman" w:eastAsia="宋体" w:cs="Times New Roman"/>
      <w:sz w:val="20"/>
    </w:rPr>
  </w:style>
  <w:style w:type="character" w:styleId="1061" w:customStyle="1">
    <w:name w:val="应答文本 Char Char"/>
    <w:qFormat/>
    <w:rPr>
      <w:rFonts w:ascii="Times New Roman" w:hAnsi="Times New Roman" w:eastAsia="宋体" w:cs="Times New Roman"/>
      <w:sz w:val="20"/>
    </w:rPr>
  </w:style>
  <w:style w:type="character" w:styleId="1062" w:customStyle="1">
    <w:name w:val="图片0 Char Char"/>
    <w:qFormat/>
    <w:rPr>
      <w:rFonts w:ascii="Times New Roman" w:hAnsi="Times New Roman" w:eastAsia="宋体" w:cs="Times New Roman"/>
      <w:sz w:val="20"/>
    </w:rPr>
  </w:style>
  <w:style w:type="character" w:styleId="1063" w:customStyle="1">
    <w:name w:val="尾注文本 Char"/>
    <w:qFormat/>
    <w:rPr>
      <w:rFonts w:ascii="Times New Roman" w:hAnsi="Times New Roman" w:eastAsia="宋体" w:cs="Times New Roman"/>
      <w:sz w:val="20"/>
    </w:rPr>
  </w:style>
  <w:style w:type="character" w:styleId="1064" w:customStyle="1">
    <w:name w:val="文档结构图 字符"/>
    <w:qFormat/>
    <w:rPr>
      <w:rFonts w:ascii="Microsoft YaHei UI" w:hAnsi="Times New Roman" w:eastAsia="Microsoft YaHei UI" w:cs="Times New Roman"/>
      <w:sz w:val="18"/>
      <w:szCs w:val="18"/>
    </w:rPr>
  </w:style>
  <w:style w:type="character" w:styleId="1065" w:customStyle="1">
    <w:name w:val="_Style 337"/>
    <w:qFormat/>
    <w:rPr>
      <w:rFonts w:ascii="Times New Roman" w:hAnsi="Times New Roman" w:eastAsia="宋体" w:cs="Times New Roman"/>
      <w:color w:val="auto"/>
      <w:sz w:val="21"/>
    </w:rPr>
  </w:style>
  <w:style w:type="character" w:styleId="1066" w:customStyle="1">
    <w:name w:val="正文文本 字符"/>
    <w:qFormat/>
    <w:rPr>
      <w:rFonts w:ascii="Times New Roman" w:hAnsi="Times New Roman" w:eastAsia="宋体" w:cs="Times New Roman"/>
      <w:sz w:val="21"/>
    </w:rPr>
  </w:style>
  <w:style w:type="character" w:styleId="1067" w:customStyle="1">
    <w:name w:val="批注文字 字符"/>
    <w:qFormat/>
    <w:rPr>
      <w:rFonts w:ascii="Times New Roman" w:hAnsi="Times New Roman" w:eastAsia="宋体" w:cs="Times New Roman"/>
      <w:sz w:val="20"/>
    </w:rPr>
  </w:style>
  <w:style w:type="character" w:styleId="1068" w:customStyle="1">
    <w:name w:val="批注文字 Char1"/>
    <w:qFormat/>
    <w:rPr>
      <w:rFonts w:ascii="Times New Roman" w:hAnsi="Times New Roman" w:eastAsia="宋体" w:cs="Times New Roman"/>
      <w:sz w:val="20"/>
    </w:rPr>
  </w:style>
  <w:style w:type="character" w:styleId="1069" w:customStyle="1">
    <w:name w:val="txt"/>
    <w:qFormat/>
    <w:rPr>
      <w:rFonts w:ascii="Times New Roman" w:hAnsi="Times New Roman" w:eastAsia="宋体" w:cs="Times New Roman"/>
      <w:sz w:val="20"/>
    </w:rPr>
  </w:style>
  <w:style w:type="character" w:styleId="1070" w:customStyle="1">
    <w:name w:val="标书正文 Char"/>
    <w:qFormat/>
    <w:rPr>
      <w:rFonts w:ascii="Times New Roman" w:hAnsi="Times New Roman" w:eastAsia="宋体" w:cs="Times New Roman"/>
      <w:sz w:val="20"/>
    </w:rPr>
  </w:style>
  <w:style w:type="character" w:styleId="1071" w:customStyle="1">
    <w:name w:val="font21"/>
    <w:qFormat/>
    <w:rPr>
      <w:rFonts w:hint="eastAsia" w:ascii="宋体" w:hAnsi="宋体" w:eastAsia="宋体" w:cs="宋体"/>
      <w:color w:val="ff0000"/>
      <w:sz w:val="24"/>
      <w:szCs w:val="24"/>
      <w:u w:val="none"/>
    </w:rPr>
  </w:style>
  <w:style w:type="character" w:styleId="1072" w:customStyle="1">
    <w:name w:val="apple-converted-space"/>
    <w:qFormat/>
    <w:rPr>
      <w:rFonts w:ascii="Times New Roman" w:hAnsi="Times New Roman" w:eastAsia="宋体" w:cs="Times New Roman"/>
      <w:sz w:val="20"/>
    </w:rPr>
  </w:style>
  <w:style w:type="character" w:styleId="1073" w:customStyle="1">
    <w:name w:val="纯文本 Char1"/>
    <w:qFormat/>
    <w:rPr>
      <w:rFonts w:ascii="Times New Roman" w:hAnsi="Times New Roman" w:eastAsia="宋体" w:cs="Times New Roman"/>
      <w:sz w:val="20"/>
    </w:rPr>
  </w:style>
  <w:style w:type="character" w:styleId="1074" w:customStyle="1">
    <w:name w:val="para1"/>
    <w:qFormat/>
    <w:rPr>
      <w:rFonts w:ascii="Times New Roman" w:hAnsi="Times New Roman" w:eastAsia="宋体" w:cs="Times New Roman"/>
      <w:sz w:val="20"/>
    </w:rPr>
  </w:style>
  <w:style w:type="character" w:styleId="1075" w:customStyle="1">
    <w:name w:val="HTML 预设格式 Char1"/>
    <w:qFormat/>
    <w:rPr>
      <w:rFonts w:ascii="Times New Roman" w:hAnsi="Times New Roman" w:eastAsia="宋体" w:cs="Times New Roman"/>
      <w:sz w:val="20"/>
    </w:rPr>
  </w:style>
  <w:style w:type="character" w:styleId="1076" w:customStyle="1">
    <w:name w:val="批注文字 Char"/>
    <w:qFormat/>
    <w:rPr>
      <w:rFonts w:ascii="Times New Roman" w:hAnsi="Times New Roman" w:eastAsia="宋体" w:cs="Times New Roman"/>
      <w:sz w:val="20"/>
    </w:rPr>
  </w:style>
  <w:style w:type="character" w:styleId="1077" w:customStyle="1">
    <w:name w:val="文档结构图 Char"/>
    <w:qFormat/>
    <w:rPr>
      <w:rFonts w:ascii="Times New Roman" w:hAnsi="Times New Roman" w:eastAsia="宋体" w:cs="Times New Roman"/>
      <w:sz w:val="20"/>
    </w:rPr>
  </w:style>
  <w:style w:type="character" w:styleId="1078" w:customStyle="1">
    <w:name w:val="超级链接"/>
    <w:qFormat/>
    <w:rPr>
      <w:rFonts w:ascii="Times New Roman" w:hAnsi="Times New Roman" w:eastAsia="宋体" w:cs="Times New Roman"/>
      <w:color w:val="0000ff"/>
      <w:sz w:val="20"/>
      <w:u w:val="single"/>
    </w:rPr>
  </w:style>
  <w:style w:type="character" w:styleId="1079" w:customStyle="1">
    <w:name w:val="p141"/>
    <w:qFormat/>
    <w:rPr>
      <w:rFonts w:ascii="Times New Roman" w:hAnsi="Times New Roman" w:eastAsia="宋体" w:cs="Times New Roman"/>
      <w:color w:val="000000"/>
      <w:sz w:val="20"/>
      <w:u w:val="none"/>
    </w:rPr>
  </w:style>
  <w:style w:type="character" w:styleId="1080" w:customStyle="1">
    <w:name w:val="宏文本 Char"/>
    <w:qFormat/>
    <w:rPr>
      <w:rFonts w:ascii="Times New Roman" w:hAnsi="Times New Roman" w:eastAsia="宋体" w:cs="Times New Roman"/>
      <w:sz w:val="20"/>
    </w:rPr>
  </w:style>
  <w:style w:type="character" w:styleId="1081" w:customStyle="1">
    <w:name w:val="_Style 313"/>
    <w:qFormat/>
    <w:rPr>
      <w:rFonts w:ascii="Times New Roman" w:hAnsi="Times New Roman" w:eastAsia="宋体" w:cs="Times New Roman"/>
      <w:b/>
      <w:i/>
      <w:sz w:val="21"/>
    </w:rPr>
  </w:style>
  <w:style w:type="character" w:styleId="1082" w:customStyle="1">
    <w:name w:val="页脚 Char1"/>
    <w:qFormat/>
    <w:rPr>
      <w:rFonts w:ascii="Times New Roman" w:hAnsi="Times New Roman" w:eastAsia="宋体" w:cs="Times New Roman"/>
      <w:sz w:val="20"/>
    </w:rPr>
  </w:style>
  <w:style w:type="character" w:styleId="1083" w:customStyle="1">
    <w:name w:val="页眉 Char"/>
    <w:qFormat/>
    <w:rPr>
      <w:rFonts w:ascii="Times New Roman" w:hAnsi="Times New Roman" w:eastAsia="宋体" w:cs="Times New Roman"/>
      <w:sz w:val="20"/>
    </w:rPr>
  </w:style>
  <w:style w:type="character" w:styleId="1084" w:customStyle="1">
    <w:name w:val="标题 7 Char"/>
    <w:qFormat/>
    <w:rPr>
      <w:rFonts w:ascii="Times New Roman" w:hAnsi="Times New Roman" w:eastAsia="宋体" w:cs="Times New Roman"/>
      <w:b/>
      <w:sz w:val="20"/>
    </w:rPr>
  </w:style>
  <w:style w:type="character" w:styleId="1085" w:customStyle="1">
    <w:name w:val="Char Char12"/>
    <w:qFormat/>
    <w:rPr>
      <w:rFonts w:ascii="Times New Roman" w:hAnsi="Times New Roman" w:eastAsia="宋体" w:cs="Times New Roman"/>
      <w:sz w:val="20"/>
    </w:rPr>
  </w:style>
  <w:style w:type="character" w:styleId="1086" w:customStyle="1">
    <w:name w:val="标题 3 Char"/>
    <w:qFormat/>
    <w:rPr>
      <w:rFonts w:ascii="Times New Roman" w:hAnsi="Times New Roman" w:eastAsia="宋体" w:cs="Times New Roman"/>
      <w:b/>
      <w:sz w:val="20"/>
    </w:rPr>
  </w:style>
  <w:style w:type="character" w:styleId="1087" w:customStyle="1">
    <w:name w:val="正文（首行缩进 2 字符） Char Char"/>
    <w:qFormat/>
    <w:rPr>
      <w:rFonts w:ascii="Times New Roman" w:hAnsi="Times New Roman" w:eastAsia="宋体" w:cs="Times New Roman"/>
      <w:sz w:val="20"/>
    </w:rPr>
  </w:style>
  <w:style w:type="character" w:styleId="1088" w:customStyle="1">
    <w:name w:val="表格用 Char Char"/>
    <w:qFormat/>
    <w:rPr>
      <w:rFonts w:ascii="Times New Roman" w:hAnsi="Times New Roman" w:eastAsia="宋体" w:cs="Times New Roman"/>
      <w:sz w:val="20"/>
    </w:rPr>
  </w:style>
  <w:style w:type="character" w:styleId="1089" w:customStyle="1">
    <w:name w:val="正文文本缩进 3 Char1"/>
    <w:qFormat/>
    <w:rPr>
      <w:rFonts w:ascii="Times New Roman" w:hAnsi="Times New Roman" w:eastAsia="宋体" w:cs="Times New Roman"/>
      <w:sz w:val="20"/>
    </w:rPr>
  </w:style>
  <w:style w:type="character" w:styleId="1090" w:customStyle="1">
    <w:name w:val="正文缩进 Char"/>
    <w:qFormat/>
    <w:rPr>
      <w:rFonts w:ascii="Times New Roman" w:hAnsi="Times New Roman" w:eastAsia="宋体" w:cs="Times New Roman"/>
      <w:sz w:val="20"/>
    </w:rPr>
  </w:style>
  <w:style w:type="character" w:styleId="1091" w:customStyle="1">
    <w:name w:val="批注框文本 Char1"/>
    <w:qFormat/>
    <w:rPr>
      <w:rFonts w:ascii="Times New Roman" w:hAnsi="Times New Roman" w:eastAsia="宋体" w:cs="Times New Roman"/>
      <w:sz w:val="20"/>
    </w:rPr>
  </w:style>
  <w:style w:type="character" w:styleId="1092" w:customStyle="1">
    <w:name w:val="Char Char13"/>
    <w:qFormat/>
    <w:rPr>
      <w:rFonts w:ascii="Times New Roman" w:hAnsi="Times New Roman" w:eastAsia="宋体" w:cs="Times New Roman"/>
      <w:sz w:val="20"/>
    </w:rPr>
  </w:style>
  <w:style w:type="character" w:styleId="1093" w:customStyle="1">
    <w:name w:val="样式2 Char"/>
    <w:qFormat/>
    <w:rPr>
      <w:rFonts w:ascii="Times New Roman" w:hAnsi="Times New Roman" w:eastAsia="宋体" w:cs="Times New Roman"/>
      <w:b/>
      <w:sz w:val="20"/>
    </w:rPr>
  </w:style>
  <w:style w:type="character" w:styleId="1094" w:customStyle="1">
    <w:name w:val="页脚 Char"/>
    <w:qFormat/>
    <w:rPr>
      <w:rFonts w:ascii="Times New Roman" w:hAnsi="Times New Roman" w:eastAsia="宋体" w:cs="Times New Roman"/>
      <w:sz w:val="20"/>
    </w:rPr>
  </w:style>
  <w:style w:type="character" w:styleId="1095" w:customStyle="1">
    <w:name w:val="标准文本 Char"/>
    <w:qFormat/>
    <w:rPr>
      <w:rFonts w:ascii="Times New Roman" w:hAnsi="Times New Roman" w:eastAsia="宋体" w:cs="Times New Roman"/>
      <w:sz w:val="20"/>
    </w:rPr>
  </w:style>
  <w:style w:type="character" w:styleId="1096" w:customStyle="1">
    <w:name w:val="font01"/>
    <w:qFormat/>
    <w:rPr>
      <w:rFonts w:hint="eastAsia" w:ascii="宋体" w:hAnsi="宋体" w:eastAsia="宋体" w:cs="宋体"/>
      <w:color w:val="000000"/>
      <w:sz w:val="24"/>
      <w:szCs w:val="24"/>
      <w:u w:val="none"/>
    </w:rPr>
  </w:style>
  <w:style w:type="character" w:styleId="1097" w:customStyle="1">
    <w:name w:val="标题 3 Char1"/>
    <w:qFormat/>
    <w:rPr>
      <w:rFonts w:ascii="Times New Roman" w:hAnsi="Times New Roman" w:eastAsia="宋体" w:cs="Times New Roman"/>
      <w:b/>
      <w:sz w:val="20"/>
      <w:u w:val="single"/>
    </w:rPr>
  </w:style>
  <w:style w:type="character" w:styleId="1098" w:customStyle="1">
    <w:name w:val="表格 Char Char"/>
    <w:qFormat/>
    <w:rPr>
      <w:rFonts w:ascii="Times New Roman" w:hAnsi="Times New Roman" w:eastAsia="宋体" w:cs="Times New Roman"/>
      <w:sz w:val="20"/>
    </w:rPr>
  </w:style>
  <w:style w:type="character" w:styleId="1099" w:customStyle="1">
    <w:name w:val="正文首行缩进 Char"/>
    <w:qFormat/>
    <w:rPr>
      <w:rFonts w:ascii="Times New Roman" w:hAnsi="Times New Roman" w:eastAsia="宋体" w:cs="Times New Roman"/>
      <w:sz w:val="20"/>
    </w:rPr>
  </w:style>
  <w:style w:type="character" w:styleId="1100" w:customStyle="1">
    <w:name w:val="标题 9 Char"/>
    <w:qFormat/>
    <w:rPr>
      <w:rFonts w:ascii="Times New Roman" w:hAnsi="Times New Roman" w:eastAsia="宋体" w:cs="Times New Roman"/>
      <w:sz w:val="20"/>
    </w:rPr>
  </w:style>
  <w:style w:type="character" w:styleId="1101" w:customStyle="1">
    <w:name w:val="lh151"/>
    <w:qFormat/>
    <w:rPr>
      <w:rFonts w:ascii="Times New Roman" w:hAnsi="Times New Roman" w:eastAsia="宋体" w:cs="Times New Roman"/>
      <w:color w:val="666666"/>
      <w:sz w:val="20"/>
    </w:rPr>
  </w:style>
  <w:style w:type="character" w:styleId="1102" w:customStyle="1">
    <w:name w:val="日期 Char1"/>
    <w:qFormat/>
    <w:rPr>
      <w:rFonts w:ascii="Times New Roman" w:hAnsi="Times New Roman" w:eastAsia="宋体" w:cs="Times New Roman"/>
      <w:sz w:val="20"/>
    </w:rPr>
  </w:style>
  <w:style w:type="character" w:styleId="1103" w:customStyle="1">
    <w:name w:val="图片 Char Char"/>
    <w:qFormat/>
    <w:rPr>
      <w:rFonts w:ascii="Times New Roman" w:hAnsi="Times New Roman" w:eastAsia="宋体" w:cs="Times New Roman"/>
      <w:sz w:val="20"/>
    </w:rPr>
  </w:style>
  <w:style w:type="character" w:styleId="1104" w:customStyle="1">
    <w:name w:val="批注框文本 字符"/>
    <w:qFormat/>
    <w:rPr>
      <w:rFonts w:ascii="Times New Roman" w:hAnsi="Times New Roman" w:eastAsia="宋体" w:cs="Times New Roman"/>
      <w:sz w:val="20"/>
    </w:rPr>
  </w:style>
  <w:style w:type="character" w:styleId="1105" w:customStyle="1">
    <w:name w:val="HTML 预设格式 Char"/>
    <w:qFormat/>
    <w:rPr>
      <w:rFonts w:ascii="Times New Roman" w:hAnsi="Times New Roman" w:eastAsia="宋体" w:cs="Times New Roman"/>
      <w:sz w:val="20"/>
    </w:rPr>
  </w:style>
  <w:style w:type="character" w:styleId="1106" w:customStyle="1">
    <w:name w:val="列出段落 Char"/>
    <w:qFormat/>
    <w:rPr>
      <w:rFonts w:ascii="Times New Roman" w:hAnsi="Times New Roman" w:eastAsia="宋体" w:cs="Times New Roman"/>
      <w:sz w:val="20"/>
    </w:rPr>
  </w:style>
  <w:style w:type="character" w:styleId="1107" w:customStyle="1">
    <w:name w:val="标题 5 Char"/>
    <w:qFormat/>
    <w:rPr>
      <w:rFonts w:ascii="Times New Roman" w:hAnsi="Times New Roman" w:eastAsia="宋体" w:cs="Times New Roman"/>
      <w:b/>
      <w:sz w:val="20"/>
    </w:rPr>
  </w:style>
  <w:style w:type="character" w:styleId="1108" w:customStyle="1">
    <w:name w:val="链接"/>
    <w:qFormat/>
    <w:rPr>
      <w:rFonts w:ascii="Times New Roman" w:hAnsi="Times New Roman" w:eastAsia="宋体" w:cs="Times New Roman"/>
      <w:color w:val="0000ff"/>
      <w:sz w:val="20"/>
      <w:u w:val="single"/>
    </w:rPr>
  </w:style>
  <w:style w:type="character" w:styleId="1109" w:customStyle="1">
    <w:name w:val="18h1"/>
    <w:qFormat/>
    <w:rPr>
      <w:rFonts w:ascii="Times New Roman" w:hAnsi="Times New Roman" w:eastAsia="宋体" w:cs="Times New Roman"/>
      <w:color w:val="3b3b3b"/>
      <w:sz w:val="20"/>
    </w:rPr>
  </w:style>
  <w:style w:type="character" w:styleId="1110" w:customStyle="1">
    <w:name w:val="表格文字（两侧对齐） Char Char"/>
    <w:qFormat/>
    <w:rPr>
      <w:rFonts w:ascii="Times New Roman" w:hAnsi="Times New Roman" w:eastAsia="宋体" w:cs="Times New Roman"/>
      <w:sz w:val="20"/>
    </w:rPr>
  </w:style>
  <w:style w:type="character" w:styleId="1111" w:customStyle="1">
    <w:name w:val="正文文本缩进 2 Char"/>
    <w:qFormat/>
    <w:rPr>
      <w:rFonts w:ascii="Times New Roman" w:hAnsi="Times New Roman" w:eastAsia="宋体" w:cs="Times New Roman"/>
      <w:sz w:val="20"/>
    </w:rPr>
  </w:style>
  <w:style w:type="character" w:styleId="1112" w:customStyle="1">
    <w:name w:val="Char Char14"/>
    <w:qFormat/>
    <w:rPr>
      <w:rFonts w:ascii="Times New Roman" w:hAnsi="Times New Roman" w:eastAsia="宋体" w:cs="Times New Roman"/>
      <w:sz w:val="20"/>
    </w:rPr>
  </w:style>
  <w:style w:type="character" w:styleId="1113" w:customStyle="1">
    <w:name w:val="标题 1 Char1"/>
    <w:qFormat/>
    <w:rPr>
      <w:rFonts w:ascii="Times New Roman" w:hAnsi="Times New Roman" w:eastAsia="宋体" w:cs="Times New Roman"/>
      <w:b/>
      <w:sz w:val="20"/>
    </w:rPr>
  </w:style>
  <w:style w:type="character" w:styleId="1114" w:customStyle="1">
    <w:name w:val="批注框文本 Char"/>
    <w:qFormat/>
    <w:rPr>
      <w:rFonts w:ascii="Times New Roman" w:hAnsi="Times New Roman" w:eastAsia="宋体" w:cs="Times New Roman"/>
      <w:sz w:val="20"/>
    </w:rPr>
  </w:style>
  <w:style w:type="character" w:styleId="1115" w:customStyle="1">
    <w:name w:val="apple-style-span"/>
    <w:qFormat/>
    <w:rPr>
      <w:rFonts w:ascii="Times New Roman" w:hAnsi="Times New Roman" w:eastAsia="宋体" w:cs="Times New Roman"/>
      <w:sz w:val="20"/>
    </w:rPr>
  </w:style>
  <w:style w:type="character" w:styleId="1116" w:customStyle="1">
    <w:name w:val="插图 Char Char"/>
    <w:qFormat/>
    <w:rPr>
      <w:rFonts w:ascii="Times New Roman" w:hAnsi="Times New Roman" w:eastAsia="宋体" w:cs="Times New Roman"/>
      <w:sz w:val="20"/>
    </w:rPr>
  </w:style>
  <w:style w:type="character" w:styleId="1117" w:customStyle="1">
    <w:name w:val="标题 2 Char1"/>
    <w:qFormat/>
    <w:rPr>
      <w:rFonts w:ascii="Times New Roman" w:hAnsi="Times New Roman" w:eastAsia="宋体" w:cs="Times New Roman"/>
      <w:b/>
      <w:sz w:val="20"/>
    </w:rPr>
  </w:style>
  <w:style w:type="character" w:styleId="1118" w:customStyle="1">
    <w:name w:val="_Style 332"/>
    <w:qFormat/>
    <w:rPr>
      <w:rFonts w:ascii="Times New Roman" w:hAnsi="Times New Roman" w:eastAsia="宋体" w:cs="Times New Roman"/>
      <w:i/>
      <w:color w:val="auto"/>
      <w:sz w:val="21"/>
    </w:rPr>
  </w:style>
  <w:style w:type="character" w:styleId="1119" w:customStyle="1">
    <w:name w:val="正文文本 3 Char1"/>
    <w:qFormat/>
    <w:rPr>
      <w:rFonts w:ascii="Times New Roman" w:hAnsi="Times New Roman" w:eastAsia="宋体" w:cs="Times New Roman"/>
      <w:sz w:val="20"/>
    </w:rPr>
  </w:style>
  <w:style w:type="character" w:styleId="1120" w:customStyle="1">
    <w:name w:val="标题 5 Char1"/>
    <w:qFormat/>
    <w:rPr>
      <w:rFonts w:ascii="Times New Roman" w:hAnsi="Times New Roman" w:eastAsia="宋体" w:cs="Times New Roman"/>
      <w:b/>
      <w:sz w:val="20"/>
    </w:rPr>
  </w:style>
  <w:style w:type="character" w:styleId="1121" w:customStyle="1">
    <w:name w:val="批注主题 Char"/>
    <w:qFormat/>
    <w:rPr>
      <w:rFonts w:ascii="Times New Roman" w:hAnsi="Times New Roman" w:eastAsia="宋体" w:cs="Times New Roman"/>
      <w:b/>
      <w:sz w:val="20"/>
    </w:rPr>
  </w:style>
  <w:style w:type="character" w:styleId="1122" w:customStyle="1">
    <w:name w:val="标题 1 Char"/>
    <w:qFormat/>
    <w:rPr>
      <w:rFonts w:ascii="Times New Roman" w:hAnsi="Times New Roman" w:eastAsia="宋体" w:cs="Times New Roman"/>
      <w:b/>
      <w:sz w:val="20"/>
    </w:rPr>
  </w:style>
  <w:style w:type="character" w:styleId="1123" w:customStyle="1">
    <w:name w:val="正文文本 2 Char1"/>
    <w:qFormat/>
    <w:rPr>
      <w:rFonts w:ascii="Times New Roman" w:hAnsi="Times New Roman" w:eastAsia="宋体" w:cs="Times New Roman"/>
      <w:sz w:val="20"/>
    </w:rPr>
  </w:style>
  <w:style w:type="character" w:styleId="1124" w:customStyle="1">
    <w:name w:val="标题 4 Char1"/>
    <w:qFormat/>
    <w:rPr>
      <w:rFonts w:ascii="Times New Roman" w:hAnsi="Times New Roman" w:eastAsia="宋体" w:cs="Times New Roman"/>
      <w:b/>
      <w:sz w:val="20"/>
    </w:rPr>
  </w:style>
  <w:style w:type="character" w:styleId="1125" w:customStyle="1">
    <w:name w:val="正文文本 2 Char"/>
    <w:qFormat/>
    <w:rPr>
      <w:rFonts w:ascii="Times New Roman" w:hAnsi="Times New Roman" w:eastAsia="宋体" w:cs="Times New Roman"/>
      <w:sz w:val="20"/>
    </w:rPr>
  </w:style>
  <w:style w:type="character" w:styleId="1126" w:customStyle="1">
    <w:name w:val="_Style 376"/>
    <w:qFormat/>
    <w:rPr>
      <w:rFonts w:ascii="Times New Roman" w:hAnsi="Times New Roman" w:eastAsia="宋体" w:cs="Times New Roman"/>
      <w:b/>
      <w:color w:val="auto"/>
      <w:sz w:val="21"/>
    </w:rPr>
  </w:style>
  <w:style w:type="character" w:styleId="1127" w:customStyle="1">
    <w:name w:val="062"/>
    <w:qFormat/>
    <w:rPr>
      <w:rFonts w:ascii="Times New Roman" w:hAnsi="Times New Roman" w:eastAsia="宋体" w:cs="Times New Roman"/>
      <w:b/>
      <w:sz w:val="20"/>
    </w:rPr>
  </w:style>
  <w:style w:type="character" w:styleId="1128" w:customStyle="1">
    <w:name w:val="正文文本 Char1"/>
    <w:qFormat/>
    <w:rPr>
      <w:rFonts w:ascii="Times New Roman" w:hAnsi="Times New Roman" w:eastAsia="宋体" w:cs="Times New Roman"/>
      <w:sz w:val="20"/>
    </w:rPr>
  </w:style>
  <w:style w:type="character" w:styleId="1129" w:customStyle="1">
    <w:name w:val="题注 Char"/>
    <w:qFormat/>
    <w:rPr>
      <w:rFonts w:ascii="Times New Roman" w:hAnsi="Times New Roman" w:eastAsia="宋体" w:cs="Times New Roman"/>
      <w:sz w:val="20"/>
    </w:rPr>
  </w:style>
  <w:style w:type="character" w:styleId="1130" w:customStyle="1">
    <w:name w:val="脚注文本 Char"/>
    <w:qFormat/>
    <w:rPr>
      <w:rFonts w:ascii="Times New Roman" w:hAnsi="Times New Roman" w:eastAsia="宋体" w:cs="Times New Roman"/>
      <w:sz w:val="20"/>
    </w:rPr>
  </w:style>
  <w:style w:type="character" w:styleId="1131" w:customStyle="1">
    <w:name w:val="_Style 336"/>
    <w:qFormat/>
    <w:rPr>
      <w:rFonts w:ascii="Times New Roman" w:hAnsi="Times New Roman" w:eastAsia="宋体" w:cs="Times New Roman"/>
      <w:i/>
      <w:color w:val="auto"/>
      <w:sz w:val="21"/>
    </w:rPr>
  </w:style>
  <w:style w:type="character" w:styleId="1132" w:customStyle="1">
    <w:name w:val="表格 Char"/>
    <w:qFormat/>
    <w:rPr>
      <w:rFonts w:ascii="Times New Roman" w:hAnsi="Times New Roman" w:eastAsia="宋体" w:cs="Times New Roman"/>
      <w:color w:val="000000"/>
      <w:sz w:val="20"/>
    </w:rPr>
  </w:style>
  <w:style w:type="character" w:styleId="1133" w:customStyle="1">
    <w:name w:val="批注主题 字符"/>
    <w:qFormat/>
    <w:rPr>
      <w:rFonts w:ascii="Times New Roman" w:hAnsi="Times New Roman" w:eastAsia="宋体" w:cs="Times New Roman"/>
      <w:b/>
      <w:sz w:val="20"/>
    </w:rPr>
  </w:style>
  <w:style w:type="character" w:styleId="1134" w:customStyle="1">
    <w:name w:val="图注 Char Char"/>
    <w:qFormat/>
    <w:rPr>
      <w:rFonts w:ascii="Times New Roman" w:hAnsi="Times New Roman" w:eastAsia="宋体" w:cs="Times New Roman"/>
      <w:sz w:val="20"/>
    </w:rPr>
  </w:style>
  <w:style w:type="character" w:styleId="1135" w:customStyle="1">
    <w:name w:val="页码1"/>
    <w:qFormat/>
    <w:rPr>
      <w:rFonts w:ascii="Times New Roman" w:hAnsi="Times New Roman" w:eastAsia="宋体" w:cs="Times New Roman"/>
      <w:sz w:val="20"/>
    </w:rPr>
  </w:style>
  <w:style w:type="character" w:styleId="1136" w:customStyle="1">
    <w:name w:val="列表框1 Char Char"/>
    <w:qFormat/>
    <w:rPr>
      <w:rFonts w:ascii="Times New Roman" w:hAnsi="Times New Roman" w:eastAsia="宋体" w:cs="Times New Roman"/>
      <w:sz w:val="20"/>
    </w:rPr>
  </w:style>
  <w:style w:type="character" w:styleId="1137" w:customStyle="1">
    <w:name w:val="1ji Char"/>
    <w:qFormat/>
    <w:rPr>
      <w:rFonts w:ascii="Times New Roman" w:hAnsi="Times New Roman" w:eastAsia="宋体" w:cs="Times New Roman"/>
      <w:b/>
      <w:sz w:val="20"/>
    </w:rPr>
  </w:style>
  <w:style w:type="character" w:styleId="1138" w:customStyle="1">
    <w:name w:val="正文文本缩进 Char"/>
    <w:qFormat/>
    <w:rPr>
      <w:rFonts w:ascii="Times New Roman" w:hAnsi="Times New Roman" w:eastAsia="宋体" w:cs="Times New Roman"/>
      <w:sz w:val="20"/>
    </w:rPr>
  </w:style>
  <w:style w:type="character" w:styleId="1139" w:customStyle="1">
    <w:name w:val="标准文本 Char Char"/>
    <w:qFormat/>
    <w:rPr>
      <w:rFonts w:ascii="Times New Roman" w:hAnsi="Times New Roman" w:eastAsia="宋体" w:cs="Times New Roman"/>
      <w:sz w:val="20"/>
    </w:rPr>
  </w:style>
  <w:style w:type="character" w:styleId="1140" w:customStyle="1">
    <w:name w:val="表格用 Char"/>
    <w:qFormat/>
    <w:rPr>
      <w:rFonts w:ascii="Times New Roman" w:hAnsi="Times New Roman" w:eastAsia="宋体" w:cs="Times New Roman"/>
      <w:color w:val="000000"/>
      <w:sz w:val="20"/>
    </w:rPr>
  </w:style>
  <w:style w:type="character" w:styleId="1141" w:customStyle="1">
    <w:name w:val="标题 7 Char1"/>
    <w:qFormat/>
    <w:rPr>
      <w:rFonts w:ascii="Times New Roman" w:hAnsi="Times New Roman" w:eastAsia="宋体" w:cs="Times New Roman"/>
      <w:b/>
      <w:sz w:val="20"/>
    </w:rPr>
  </w:style>
  <w:style w:type="character" w:styleId="1142" w:customStyle="1">
    <w:name w:val="H 3 Char"/>
    <w:qFormat/>
    <w:rPr>
      <w:rFonts w:ascii="Times New Roman" w:hAnsi="Times New Roman" w:eastAsia="宋体" w:cs="Times New Roman"/>
      <w:b/>
      <w:sz w:val="20"/>
    </w:rPr>
  </w:style>
  <w:style w:type="character" w:styleId="1143" w:customStyle="1">
    <w:name w:val="正文文本缩进 3 字符"/>
    <w:qFormat/>
    <w:rPr>
      <w:rFonts w:ascii="Times New Roman" w:hAnsi="Times New Roman" w:eastAsia="宋体" w:cs="Times New Roman"/>
      <w:sz w:val="16"/>
      <w:szCs w:val="16"/>
    </w:rPr>
  </w:style>
  <w:style w:type="character" w:styleId="1144" w:customStyle="1">
    <w:name w:val="标题 Char"/>
    <w:qFormat/>
    <w:rPr>
      <w:rFonts w:ascii="Times New Roman" w:hAnsi="Times New Roman" w:eastAsia="宋体" w:cs="Times New Roman"/>
      <w:b/>
      <w:sz w:val="20"/>
    </w:rPr>
  </w:style>
  <w:style w:type="character" w:styleId="1145" w:customStyle="1">
    <w:name w:val="H 4 Char"/>
    <w:qFormat/>
    <w:rPr>
      <w:rFonts w:ascii="Times New Roman" w:hAnsi="Times New Roman" w:eastAsia="宋体" w:cs="Times New Roman"/>
      <w:b/>
      <w:sz w:val="20"/>
    </w:rPr>
  </w:style>
  <w:style w:type="character" w:styleId="1146" w:customStyle="1">
    <w:name w:val="批注主题 Char1"/>
    <w:qFormat/>
    <w:rPr>
      <w:rFonts w:ascii="Times New Roman" w:hAnsi="Times New Roman" w:eastAsia="宋体" w:cs="Times New Roman"/>
      <w:b/>
      <w:sz w:val="20"/>
    </w:rPr>
  </w:style>
  <w:style w:type="character" w:styleId="1147" w:customStyle="1">
    <w:name w:val="正文文本缩进 Char1"/>
    <w:qFormat/>
    <w:rPr>
      <w:rFonts w:ascii="Times New Roman" w:hAnsi="Times New Roman" w:eastAsia="宋体" w:cs="Times New Roman"/>
      <w:sz w:val="20"/>
    </w:rPr>
  </w:style>
  <w:style w:type="character" w:styleId="1148" w:customStyle="1">
    <w:name w:val="正文文本 3 Char"/>
    <w:qFormat/>
    <w:rPr>
      <w:rFonts w:ascii="Times New Roman" w:hAnsi="Times New Roman" w:eastAsia="宋体" w:cs="Times New Roman"/>
      <w:sz w:val="20"/>
    </w:rPr>
  </w:style>
  <w:style w:type="character" w:styleId="1149" w:customStyle="1">
    <w:name w:val="正文首行缩进 2 Char"/>
    <w:qFormat/>
    <w:rPr>
      <w:rFonts w:ascii="Times New Roman" w:hAnsi="Times New Roman" w:eastAsia="宋体" w:cs="Times New Roman"/>
      <w:sz w:val="20"/>
    </w:rPr>
  </w:style>
  <w:style w:type="character" w:styleId="1150" w:customStyle="1">
    <w:name w:val="页眉 Char1"/>
    <w:qFormat/>
    <w:rPr>
      <w:rFonts w:ascii="Times New Roman" w:hAnsi="Times New Roman" w:eastAsia="宋体" w:cs="Times New Roman"/>
      <w:sz w:val="20"/>
    </w:rPr>
  </w:style>
  <w:style w:type="character" w:styleId="1151" w:customStyle="1">
    <w:name w:val="Char Char2"/>
    <w:qFormat/>
    <w:rPr>
      <w:rFonts w:ascii="Times New Roman" w:hAnsi="Times New Roman" w:eastAsia="宋体" w:cs="Times New Roman"/>
      <w:sz w:val="20"/>
    </w:rPr>
  </w:style>
  <w:style w:type="character" w:styleId="1152" w:customStyle="1">
    <w:name w:val="样式 首行缩进:  2 字符 Char1"/>
    <w:qFormat/>
    <w:rPr>
      <w:rFonts w:ascii="Times New Roman" w:hAnsi="Times New Roman" w:eastAsia="宋体" w:cs="Times New Roman"/>
      <w:sz w:val="20"/>
    </w:rPr>
  </w:style>
  <w:style w:type="character" w:styleId="1153" w:customStyle="1">
    <w:name w:val="标题 2 Char"/>
    <w:qFormat/>
    <w:rPr>
      <w:rFonts w:ascii="Times New Roman" w:hAnsi="Times New Roman" w:eastAsia="宋体" w:cs="Times New Roman"/>
      <w:b/>
      <w:sz w:val="20"/>
    </w:rPr>
  </w:style>
  <w:style w:type="character" w:styleId="1154" w:customStyle="1">
    <w:name w:val="表格文字图表文字 Char Char"/>
    <w:qFormat/>
    <w:rPr>
      <w:rFonts w:ascii="Times New Roman" w:hAnsi="Times New Roman" w:eastAsia="宋体" w:cs="Times New Roman"/>
      <w:sz w:val="20"/>
    </w:rPr>
  </w:style>
  <w:style w:type="character" w:styleId="1155" w:customStyle="1">
    <w:name w:val="图片 Char"/>
    <w:qFormat/>
    <w:rPr>
      <w:rFonts w:ascii="Times New Roman" w:hAnsi="Times New Roman" w:eastAsia="宋体" w:cs="Times New Roman"/>
      <w:sz w:val="20"/>
    </w:rPr>
  </w:style>
  <w:style w:type="character" w:styleId="1156" w:customStyle="1">
    <w:name w:val="标题 6 Char"/>
    <w:qFormat/>
    <w:rPr>
      <w:rFonts w:ascii="Times New Roman" w:hAnsi="Times New Roman" w:eastAsia="宋体" w:cs="Times New Roman"/>
      <w:b/>
      <w:sz w:val="20"/>
    </w:rPr>
  </w:style>
  <w:style w:type="character" w:styleId="1157" w:customStyle="1">
    <w:name w:val="标题 4 Char"/>
    <w:qFormat/>
    <w:rPr>
      <w:rFonts w:ascii="Times New Roman" w:hAnsi="Times New Roman" w:eastAsia="宋体" w:cs="Times New Roman"/>
      <w:b/>
      <w:sz w:val="20"/>
    </w:rPr>
  </w:style>
  <w:style w:type="character" w:styleId="1158" w:customStyle="1">
    <w:name w:val="文档结构图 Char1"/>
    <w:qFormat/>
    <w:rPr>
      <w:rFonts w:ascii="Times New Roman" w:hAnsi="Times New Roman" w:eastAsia="宋体" w:cs="Times New Roman"/>
      <w:sz w:val="20"/>
    </w:rPr>
  </w:style>
  <w:style w:type="character" w:styleId="1159" w:customStyle="1">
    <w:name w:val="项目符0 Char"/>
    <w:qFormat/>
    <w:rPr>
      <w:rFonts w:ascii="Times New Roman" w:hAnsi="Times New Roman" w:eastAsia="宋体" w:cs="Times New Roman"/>
      <w:sz w:val="20"/>
    </w:rPr>
  </w:style>
  <w:style w:type="character" w:styleId="1160" w:customStyle="1">
    <w:name w:val="正文文本缩进 3 Char"/>
    <w:qFormat/>
    <w:rPr>
      <w:rFonts w:ascii="Times New Roman" w:hAnsi="Times New Roman" w:eastAsia="宋体" w:cs="Times New Roman"/>
      <w:sz w:val="20"/>
    </w:rPr>
  </w:style>
  <w:style w:type="character" w:styleId="1161" w:customStyle="1">
    <w:name w:val="Char Char3"/>
    <w:qFormat/>
    <w:rPr>
      <w:rFonts w:ascii="Times New Roman" w:hAnsi="Times New Roman" w:eastAsia="宋体" w:cs="Times New Roman"/>
      <w:sz w:val="20"/>
    </w:rPr>
  </w:style>
  <w:style w:type="character" w:styleId="1162" w:customStyle="1">
    <w:name w:val="纯文本 Char"/>
    <w:qFormat/>
    <w:rPr>
      <w:rFonts w:ascii="Times New Roman" w:hAnsi="Times New Roman" w:eastAsia="宋体" w:cs="Times New Roman"/>
      <w:sz w:val="20"/>
    </w:rPr>
  </w:style>
  <w:style w:type="character" w:styleId="1163" w:customStyle="1">
    <w:name w:val="正文文本缩进 2 Char1"/>
    <w:qFormat/>
    <w:rPr>
      <w:rFonts w:ascii="Times New Roman" w:hAnsi="Times New Roman" w:eastAsia="宋体" w:cs="Times New Roman"/>
      <w:sz w:val="20"/>
    </w:rPr>
  </w:style>
  <w:style w:type="character" w:styleId="1164" w:customStyle="1">
    <w:name w:val="标题 8 Char"/>
    <w:qFormat/>
    <w:rPr>
      <w:rFonts w:ascii="Times New Roman" w:hAnsi="Times New Roman" w:eastAsia="宋体" w:cs="Times New Roman"/>
      <w:sz w:val="20"/>
    </w:rPr>
  </w:style>
  <w:style w:type="character" w:styleId="1165" w:customStyle="1">
    <w:name w:val="标题 6 Char1"/>
    <w:qFormat/>
    <w:rPr>
      <w:rFonts w:ascii="Times New Roman" w:hAnsi="Times New Roman" w:eastAsia="宋体" w:cs="Times New Roman"/>
      <w:b/>
      <w:sz w:val="20"/>
    </w:rPr>
  </w:style>
  <w:style w:type="character" w:styleId="1166" w:customStyle="1">
    <w:name w:val="case31"/>
    <w:qFormat/>
    <w:rPr>
      <w:rFonts w:ascii="Times New Roman" w:hAnsi="Times New Roman" w:eastAsia="宋体" w:cs="Times New Roman"/>
      <w:sz w:val="20"/>
    </w:rPr>
  </w:style>
  <w:style w:type="character" w:styleId="1167" w:customStyle="1">
    <w:name w:val="正文文本 Char"/>
    <w:qFormat/>
    <w:rPr>
      <w:rFonts w:ascii="Times New Roman" w:hAnsi="Times New Roman" w:eastAsia="宋体" w:cs="Times New Roman"/>
      <w:sz w:val="20"/>
    </w:rPr>
  </w:style>
  <w:style w:type="paragraph" w:styleId="1168" w:customStyle="1">
    <w:name w:val="节标题"/>
    <w:basedOn w:val="988"/>
    <w:next w:val="1169"/>
    <w:qFormat/>
    <w:pPr>
      <w:ind w:left="0" w:firstLine="5120"/>
      <w:jc w:val="center"/>
      <w:spacing w:before="0" w:after="0" w:line="289" w:lineRule="atLeast"/>
    </w:pPr>
    <w:rPr>
      <w:rFonts w:ascii="Times New Roman" w:hAnsi="Times New Roman" w:cs="Times New Roman"/>
    </w:rPr>
  </w:style>
  <w:style w:type="paragraph" w:styleId="1169" w:customStyle="1">
    <w:name w:val="文档标题6"/>
    <w:basedOn w:val="994"/>
    <w:next w:val="987"/>
    <w:qFormat/>
    <w:pPr>
      <w:ind w:left="1134" w:firstLine="20"/>
      <w:spacing w:before="280" w:after="280" w:line="360" w:lineRule="auto"/>
      <w:outlineLvl w:val="5"/>
    </w:pPr>
  </w:style>
  <w:style w:type="paragraph" w:styleId="1170" w:customStyle="1">
    <w:name w:val="正文段"/>
    <w:basedOn w:val="988"/>
    <w:next w:val="1171"/>
    <w:qFormat/>
    <w:pPr>
      <w:ind w:left="454" w:firstLine="1222"/>
      <w:spacing w:before="0" w:after="240" w:line="240" w:lineRule="atLeast"/>
    </w:pPr>
    <w:rPr>
      <w:rFonts w:ascii="Times New Roman" w:hAnsi="Times New Roman" w:cs="Times New Roman"/>
    </w:rPr>
  </w:style>
  <w:style w:type="paragraph" w:styleId="1171" w:customStyle="1">
    <w:name w:val="批注主题1"/>
    <w:next w:val="987"/>
    <w:qFormat/>
    <w:pPr>
      <w:ind w:left="200" w:firstLine="4808"/>
      <w:spacing w:line="360" w:lineRule="auto"/>
    </w:pPr>
    <w:rPr>
      <w:rFonts w:ascii="Calibri" w:hAnsi="Calibri"/>
    </w:rPr>
  </w:style>
  <w:style w:type="paragraph" w:styleId="1172" w:customStyle="1">
    <w:name w:val="_Style 224"/>
    <w:next w:val="1173"/>
    <w:qFormat/>
    <w:pPr>
      <w:ind w:firstLine="3584"/>
    </w:pPr>
    <w:rPr>
      <w:rFonts w:ascii="Calibri" w:hAnsi="Calibri"/>
    </w:rPr>
  </w:style>
  <w:style w:type="paragraph" w:styleId="1173" w:customStyle="1">
    <w:name w:val="编号1"/>
    <w:basedOn w:val="988"/>
    <w:next w:val="1174"/>
    <w:qFormat/>
    <w:pPr>
      <w:ind w:left="360" w:right="210" w:firstLine="2200"/>
      <w:spacing w:before="0" w:after="0" w:line="240" w:lineRule="auto"/>
    </w:pPr>
    <w:rPr>
      <w:rFonts w:ascii="Times New Roman" w:hAnsi="Times New Roman" w:cs="Times New Roman"/>
    </w:rPr>
  </w:style>
  <w:style w:type="paragraph" w:styleId="1174" w:customStyle="1">
    <w:name w:val="图片"/>
    <w:basedOn w:val="988"/>
    <w:next w:val="1175"/>
    <w:qFormat/>
    <w:pPr>
      <w:ind w:left="-283" w:firstLine="2674"/>
      <w:jc w:val="center"/>
      <w:spacing w:before="0" w:after="0" w:line="360" w:lineRule="auto"/>
    </w:pPr>
    <w:rPr>
      <w:rFonts w:ascii="Times New Roman" w:hAnsi="Times New Roman" w:cs="Times New Roman"/>
    </w:rPr>
  </w:style>
  <w:style w:type="paragraph" w:styleId="1175" w:customStyle="1">
    <w:name w:val="样式 目录 3 + 左侧:  2 字符"/>
    <w:next w:val="1040"/>
    <w:qFormat/>
    <w:pPr>
      <w:ind w:left="400" w:firstLine="5120"/>
      <w:spacing w:line="360" w:lineRule="auto"/>
      <w:widowControl w:val="off"/>
    </w:pPr>
    <w:rPr>
      <w:rFonts w:ascii="Calibri" w:hAnsi="Calibri"/>
    </w:rPr>
  </w:style>
  <w:style w:type="paragraph" w:styleId="1176" w:customStyle="1">
    <w:name w:val="图注"/>
    <w:next w:val="1177"/>
    <w:qFormat/>
    <w:pPr>
      <w:ind w:left="360" w:firstLine="2152"/>
      <w:jc w:val="center"/>
    </w:pPr>
    <w:rPr>
      <w:rFonts w:ascii="Calibri" w:hAnsi="Calibri"/>
    </w:rPr>
  </w:style>
  <w:style w:type="paragraph" w:styleId="1177" w:customStyle="1">
    <w:name w:val="列表编号 41"/>
    <w:basedOn w:val="988"/>
    <w:next w:val="1178"/>
    <w:qFormat/>
    <w:pPr>
      <w:ind w:left="1620" w:firstLine="2712"/>
      <w:spacing w:before="0" w:after="0" w:line="360" w:lineRule="auto"/>
    </w:pPr>
    <w:rPr>
      <w:rFonts w:ascii="Times New Roman" w:hAnsi="Times New Roman" w:cs="Times New Roman"/>
    </w:rPr>
  </w:style>
  <w:style w:type="paragraph" w:styleId="1178" w:customStyle="1">
    <w:name w:val="项目符0"/>
    <w:basedOn w:val="988"/>
    <w:next w:val="1179"/>
    <w:qFormat/>
    <w:pPr>
      <w:ind w:left="300" w:right="57" w:firstLine="2760"/>
      <w:spacing w:before="0" w:after="0" w:line="300" w:lineRule="auto"/>
    </w:pPr>
    <w:rPr>
      <w:rFonts w:ascii="Times New Roman" w:hAnsi="Times New Roman" w:cs="Times New Roman"/>
    </w:rPr>
  </w:style>
  <w:style w:type="paragraph" w:styleId="1179" w:customStyle="1">
    <w:name w:val="宏文本1"/>
    <w:next w:val="1180"/>
    <w:qFormat/>
    <w:pPr>
      <w:ind w:firstLine="5632"/>
      <w:widowControl w:val="off"/>
    </w:pPr>
    <w:rPr>
      <w:rFonts w:ascii="Calibri" w:hAnsi="Calibri"/>
    </w:rPr>
  </w:style>
  <w:style w:type="paragraph" w:styleId="1180" w:customStyle="1">
    <w:name w:val="Item Step in Table"/>
    <w:next w:val="1181"/>
    <w:qFormat/>
    <w:pPr>
      <w:ind w:left="397" w:firstLine="3699"/>
      <w:jc w:val="both"/>
      <w:spacing w:before="40" w:after="40"/>
    </w:pPr>
    <w:rPr>
      <w:rFonts w:ascii="Calibri" w:hAnsi="Calibri"/>
    </w:rPr>
  </w:style>
  <w:style w:type="paragraph" w:styleId="1181" w:customStyle="1">
    <w:name w:val="Char Char Char Char Char Char1 Char Char Char Char Char Char"/>
    <w:basedOn w:val="988"/>
    <w:next w:val="1182"/>
    <w:qFormat/>
    <w:pPr>
      <w:ind w:left="0" w:firstLine="2560"/>
      <w:spacing w:before="0" w:after="0" w:line="240" w:lineRule="auto"/>
    </w:pPr>
    <w:rPr>
      <w:rFonts w:ascii="Times New Roman" w:hAnsi="Times New Roman" w:cs="Times New Roman"/>
    </w:rPr>
  </w:style>
  <w:style w:type="paragraph" w:styleId="1182" w:customStyle="1">
    <w:name w:val="Char Char1"/>
    <w:basedOn w:val="988"/>
    <w:next w:val="1183"/>
    <w:qFormat/>
    <w:pPr>
      <w:ind w:left="0" w:firstLine="3584"/>
      <w:spacing w:before="0" w:after="160" w:line="240" w:lineRule="exact"/>
    </w:pPr>
    <w:rPr>
      <w:rFonts w:ascii="Times New Roman" w:hAnsi="Times New Roman" w:cs="Times New Roman"/>
    </w:rPr>
  </w:style>
  <w:style w:type="paragraph" w:styleId="1183" w:customStyle="1">
    <w:name w:val="样式 标题 3 + 行距: 1.5 倍行距"/>
    <w:basedOn w:val="991"/>
    <w:next w:val="1046"/>
    <w:qFormat/>
    <w:pPr>
      <w:ind w:left="200" w:firstLine="18"/>
      <w:spacing w:before="0" w:after="0" w:line="360" w:lineRule="auto"/>
      <w:outlineLvl w:val="2"/>
    </w:pPr>
  </w:style>
  <w:style w:type="paragraph" w:styleId="1184" w:customStyle="1">
    <w:name w:val="xl76"/>
    <w:basedOn w:val="988"/>
    <w:next w:val="1043"/>
    <w:qFormat/>
    <w:pPr>
      <w:ind w:left="0" w:firstLine="3584"/>
      <w:jc w:val="center"/>
      <w:spacing w:before="280" w:after="280" w:line="240" w:lineRule="auto"/>
    </w:pPr>
    <w:rPr>
      <w:rFonts w:ascii="Times New Roman" w:hAnsi="Times New Roman" w:cs="Times New Roman"/>
    </w:rPr>
  </w:style>
  <w:style w:type="paragraph" w:styleId="1185" w:customStyle="1">
    <w:name w:val="xl26"/>
    <w:basedOn w:val="988"/>
    <w:next w:val="1186"/>
    <w:qFormat/>
    <w:pPr>
      <w:ind w:left="0" w:firstLine="20"/>
      <w:jc w:val="center"/>
      <w:spacing w:before="280" w:after="280" w:line="240" w:lineRule="auto"/>
      <w:shd w:val="clear" w:color="000000" w:fill="ffffff"/>
    </w:pPr>
    <w:rPr>
      <w:rFonts w:ascii="Times New Roman" w:hAnsi="Times New Roman" w:cs="Times New Roman"/>
    </w:rPr>
  </w:style>
  <w:style w:type="paragraph" w:styleId="1186" w:customStyle="1">
    <w:name w:val="Char1 Char Char"/>
    <w:basedOn w:val="988"/>
    <w:next w:val="1026"/>
    <w:qFormat/>
    <w:pPr>
      <w:ind w:left="0" w:firstLine="2560"/>
      <w:spacing w:before="0" w:after="0" w:line="240" w:lineRule="auto"/>
    </w:pPr>
    <w:rPr>
      <w:rFonts w:ascii="Times New Roman" w:hAnsi="Times New Roman" w:cs="Times New Roman"/>
    </w:rPr>
  </w:style>
  <w:style w:type="paragraph" w:styleId="1187" w:customStyle="1">
    <w:name w:val="纯文本2"/>
    <w:basedOn w:val="988"/>
    <w:next w:val="1188"/>
    <w:qFormat/>
    <w:pPr>
      <w:ind w:left="0" w:firstLine="3584"/>
      <w:spacing w:before="0" w:after="0" w:line="240" w:lineRule="auto"/>
    </w:pPr>
    <w:rPr>
      <w:rFonts w:ascii="Times New Roman" w:hAnsi="Times New Roman" w:cs="Times New Roman"/>
    </w:rPr>
  </w:style>
  <w:style w:type="paragraph" w:styleId="1188" w:customStyle="1">
    <w:name w:val="xl69"/>
    <w:basedOn w:val="988"/>
    <w:next w:val="1189"/>
    <w:qFormat/>
    <w:pPr>
      <w:ind w:left="0" w:firstLine="3584"/>
      <w:spacing w:before="280" w:after="280" w:line="240" w:lineRule="auto"/>
    </w:pPr>
    <w:rPr>
      <w:rFonts w:ascii="Times New Roman" w:hAnsi="Times New Roman" w:cs="Times New Roman"/>
    </w:rPr>
  </w:style>
  <w:style w:type="paragraph" w:styleId="1189" w:customStyle="1">
    <w:name w:val="Char Char Char"/>
    <w:basedOn w:val="988"/>
    <w:next w:val="1190"/>
    <w:qFormat/>
    <w:pPr>
      <w:ind w:left="0" w:firstLine="2560"/>
      <w:spacing w:before="0" w:after="0" w:line="240" w:lineRule="auto"/>
    </w:pPr>
    <w:rPr>
      <w:rFonts w:ascii="Times New Roman" w:hAnsi="Times New Roman" w:cs="Times New Roman"/>
    </w:rPr>
  </w:style>
  <w:style w:type="paragraph" w:styleId="1190" w:customStyle="1">
    <w:name w:val="表格"/>
    <w:basedOn w:val="988"/>
    <w:next w:val="1185"/>
    <w:qFormat/>
    <w:pPr>
      <w:ind w:left="0" w:firstLine="2560"/>
      <w:spacing w:before="0" w:after="0" w:line="360" w:lineRule="auto"/>
    </w:pPr>
    <w:rPr>
      <w:rFonts w:ascii="Times New Roman" w:hAnsi="Times New Roman" w:cs="Times New Roman"/>
    </w:rPr>
  </w:style>
  <w:style w:type="paragraph" w:styleId="1191" w:customStyle="1">
    <w:name w:val="xl68"/>
    <w:basedOn w:val="988"/>
    <w:next w:val="1192"/>
    <w:qFormat/>
    <w:pPr>
      <w:ind w:left="100" w:firstLine="5220"/>
      <w:spacing w:before="280" w:after="280" w:line="240" w:lineRule="auto"/>
    </w:pPr>
    <w:rPr>
      <w:rFonts w:ascii="Times New Roman" w:hAnsi="Times New Roman" w:cs="Times New Roman"/>
    </w:rPr>
  </w:style>
  <w:style w:type="paragraph" w:styleId="1192" w:customStyle="1">
    <w:name w:val="Char1"/>
    <w:basedOn w:val="988"/>
    <w:next w:val="1193"/>
    <w:qFormat/>
    <w:pPr>
      <w:ind w:left="0" w:firstLine="2560"/>
      <w:spacing w:before="0" w:after="0" w:line="240" w:lineRule="auto"/>
    </w:pPr>
    <w:rPr>
      <w:rFonts w:ascii="Times New Roman" w:hAnsi="Times New Roman" w:cs="Times New Roman"/>
    </w:rPr>
  </w:style>
  <w:style w:type="paragraph" w:styleId="1193" w:customStyle="1">
    <w:name w:val="需求文档正文样式"/>
    <w:basedOn w:val="988"/>
    <w:next w:val="1194"/>
    <w:qFormat/>
    <w:pPr>
      <w:ind w:left="437" w:firstLine="2741"/>
      <w:spacing w:before="0" w:after="0" w:line="360" w:lineRule="auto"/>
    </w:pPr>
    <w:rPr>
      <w:rFonts w:ascii="Times New Roman" w:hAnsi="Times New Roman" w:cs="Times New Roman"/>
    </w:rPr>
  </w:style>
  <w:style w:type="paragraph" w:styleId="1194" w:customStyle="1">
    <w:name w:val="xl74"/>
    <w:basedOn w:val="988"/>
    <w:next w:val="1195"/>
    <w:qFormat/>
    <w:pPr>
      <w:ind w:left="0" w:firstLine="16"/>
      <w:jc w:val="center"/>
      <w:spacing w:before="280" w:after="280" w:line="240" w:lineRule="auto"/>
      <w:shd w:val="clear" w:color="000000" w:fill="538dd5"/>
    </w:pPr>
    <w:rPr>
      <w:rFonts w:ascii="Times New Roman" w:hAnsi="Times New Roman" w:cs="Times New Roman"/>
    </w:rPr>
  </w:style>
  <w:style w:type="paragraph" w:styleId="1195" w:customStyle="1">
    <w:name w:val="xl88"/>
    <w:basedOn w:val="988"/>
    <w:next w:val="1196"/>
    <w:qFormat/>
    <w:pPr>
      <w:ind w:left="0" w:firstLine="5120"/>
      <w:spacing w:before="280" w:after="280" w:line="240" w:lineRule="auto"/>
    </w:pPr>
    <w:rPr>
      <w:rFonts w:ascii="Times New Roman" w:hAnsi="Times New Roman" w:cs="Times New Roman"/>
    </w:rPr>
  </w:style>
  <w:style w:type="paragraph" w:styleId="1196" w:customStyle="1">
    <w:name w:val="xl70"/>
    <w:basedOn w:val="988"/>
    <w:next w:val="1042"/>
    <w:qFormat/>
    <w:pPr>
      <w:ind w:left="0" w:firstLine="1024"/>
      <w:spacing w:before="280" w:after="280" w:line="240" w:lineRule="auto"/>
    </w:pPr>
    <w:rPr>
      <w:rFonts w:ascii="Times New Roman" w:hAnsi="Times New Roman" w:cs="Times New Roman"/>
    </w:rPr>
  </w:style>
  <w:style w:type="paragraph" w:styleId="1197" w:customStyle="1">
    <w:name w:val="文档标题5"/>
    <w:basedOn w:val="993"/>
    <w:next w:val="987"/>
    <w:qFormat/>
    <w:pPr>
      <w:ind w:left="992" w:firstLine="18"/>
      <w:spacing w:before="280" w:after="280" w:line="360" w:lineRule="auto"/>
      <w:outlineLvl w:val="4"/>
    </w:pPr>
  </w:style>
  <w:style w:type="paragraph" w:styleId="1198" w:customStyle="1">
    <w:name w:val="样式 加粗 居中"/>
    <w:basedOn w:val="988"/>
    <w:next w:val="1199"/>
    <w:qFormat/>
    <w:pPr>
      <w:ind w:left="0" w:firstLine="2560"/>
      <w:jc w:val="center"/>
      <w:spacing w:before="0" w:after="0" w:line="360" w:lineRule="auto"/>
    </w:pPr>
    <w:rPr>
      <w:rFonts w:ascii="Times New Roman" w:hAnsi="Times New Roman" w:cs="Times New Roman"/>
    </w:rPr>
  </w:style>
  <w:style w:type="paragraph" w:styleId="1199" w:customStyle="1">
    <w:name w:val="_Style 12"/>
    <w:next w:val="1200"/>
    <w:qFormat/>
    <w:pPr>
      <w:ind w:firstLine="14"/>
      <w:spacing w:line="360" w:lineRule="auto"/>
      <w:shd w:val="clear" w:color="000000" w:fill="000080"/>
    </w:pPr>
    <w:rPr>
      <w:rFonts w:ascii="Calibri" w:hAnsi="Calibri"/>
    </w:rPr>
  </w:style>
  <w:style w:type="paragraph" w:styleId="1200" w:customStyle="1">
    <w:name w:val="正文文本缩进1"/>
    <w:basedOn w:val="988"/>
    <w:next w:val="1201"/>
    <w:qFormat/>
    <w:pPr>
      <w:ind w:left="420" w:firstLine="3584"/>
      <w:spacing w:before="0" w:after="120" w:line="240" w:lineRule="auto"/>
    </w:pPr>
    <w:rPr>
      <w:rFonts w:ascii="Times New Roman" w:hAnsi="Times New Roman" w:cs="Times New Roman"/>
    </w:rPr>
  </w:style>
  <w:style w:type="paragraph" w:styleId="1201" w:customStyle="1">
    <w:name w:val="列表编号 31"/>
    <w:basedOn w:val="988"/>
    <w:next w:val="1044"/>
    <w:qFormat/>
    <w:pPr>
      <w:ind w:left="1200" w:firstLine="2712"/>
      <w:spacing w:before="0" w:after="0" w:line="360" w:lineRule="auto"/>
    </w:pPr>
    <w:rPr>
      <w:rFonts w:ascii="Times New Roman" w:hAnsi="Times New Roman" w:cs="Times New Roman"/>
    </w:rPr>
  </w:style>
  <w:style w:type="paragraph" w:styleId="1202" w:customStyle="1">
    <w:name w:val="三号 居中"/>
    <w:basedOn w:val="988"/>
    <w:next w:val="1203"/>
    <w:qFormat/>
    <w:pPr>
      <w:ind w:left="0" w:firstLine="6144"/>
      <w:jc w:val="center"/>
      <w:spacing w:before="0" w:after="0" w:line="360" w:lineRule="auto"/>
    </w:pPr>
    <w:rPr>
      <w:rFonts w:ascii="Times New Roman" w:hAnsi="Times New Roman" w:cs="Times New Roman"/>
    </w:rPr>
  </w:style>
  <w:style w:type="paragraph" w:styleId="1203" w:customStyle="1">
    <w:name w:val="列出段落1"/>
    <w:basedOn w:val="988"/>
    <w:next w:val="1204"/>
    <w:qFormat/>
    <w:pPr>
      <w:ind w:left="420" w:firstLine="3748"/>
      <w:spacing w:before="0" w:after="0" w:line="240" w:lineRule="auto"/>
    </w:pPr>
    <w:rPr>
      <w:rFonts w:ascii="Times New Roman" w:hAnsi="Times New Roman" w:cs="Times New Roman"/>
    </w:rPr>
  </w:style>
  <w:style w:type="paragraph" w:styleId="1204" w:customStyle="1">
    <w:name w:val="Char Char Char Char Char Char1 Char Char Char1 Char Char Char"/>
    <w:basedOn w:val="988"/>
    <w:next w:val="1205"/>
    <w:qFormat/>
    <w:pPr>
      <w:ind w:left="0" w:firstLine="2560"/>
      <w:spacing w:before="0" w:after="0" w:line="240" w:lineRule="auto"/>
    </w:pPr>
    <w:rPr>
      <w:rFonts w:ascii="Times New Roman" w:hAnsi="Times New Roman" w:cs="Times New Roman"/>
    </w:rPr>
  </w:style>
  <w:style w:type="paragraph" w:styleId="1205" w:customStyle="1">
    <w:name w:val="Char Char Char Char Char Char1 Char Char Char1 Char"/>
    <w:basedOn w:val="988"/>
    <w:next w:val="1206"/>
    <w:qFormat/>
    <w:pPr>
      <w:ind w:left="0" w:firstLine="2560"/>
      <w:spacing w:before="0" w:after="0" w:line="240" w:lineRule="auto"/>
    </w:pPr>
    <w:rPr>
      <w:rFonts w:ascii="Times New Roman" w:hAnsi="Times New Roman" w:cs="Times New Roman"/>
    </w:rPr>
  </w:style>
  <w:style w:type="paragraph" w:styleId="1206" w:customStyle="1">
    <w:name w:val="正文符号4"/>
    <w:basedOn w:val="988"/>
    <w:next w:val="1198"/>
    <w:qFormat/>
    <w:pPr>
      <w:ind w:left="0" w:firstLine="5632"/>
      <w:spacing w:before="0" w:after="0" w:line="240" w:lineRule="auto"/>
    </w:pPr>
    <w:rPr>
      <w:rFonts w:ascii="Times New Roman" w:hAnsi="Times New Roman" w:cs="Times New Roman"/>
    </w:rPr>
  </w:style>
  <w:style w:type="paragraph" w:styleId="1207" w:customStyle="1">
    <w:name w:val="加粗（居中）"/>
    <w:next w:val="1208"/>
    <w:qFormat/>
    <w:pPr>
      <w:ind w:firstLine="2560"/>
    </w:pPr>
    <w:rPr>
      <w:rFonts w:ascii="Calibri" w:hAnsi="Calibri"/>
    </w:rPr>
  </w:style>
  <w:style w:type="paragraph" w:styleId="1208" w:customStyle="1">
    <w:name w:val="xl65"/>
    <w:basedOn w:val="988"/>
    <w:next w:val="1168"/>
    <w:qFormat/>
    <w:pPr>
      <w:ind w:left="0" w:firstLine="5120"/>
      <w:spacing w:before="280" w:after="280" w:line="240" w:lineRule="auto"/>
    </w:pPr>
    <w:rPr>
      <w:rFonts w:ascii="Times New Roman" w:hAnsi="Times New Roman" w:cs="Times New Roman"/>
    </w:rPr>
  </w:style>
  <w:style w:type="paragraph" w:styleId="1209" w:customStyle="1">
    <w:name w:val="WPSOffice手动目录 3"/>
    <w:qFormat/>
    <w:pPr>
      <w:ind w:left="400"/>
    </w:pPr>
  </w:style>
  <w:style w:type="paragraph" w:styleId="1210" w:customStyle="1">
    <w:name w:val="xl77"/>
    <w:basedOn w:val="988"/>
    <w:next w:val="1211"/>
    <w:qFormat/>
    <w:pPr>
      <w:ind w:left="0" w:firstLine="3584"/>
      <w:spacing w:before="280" w:after="280" w:line="240" w:lineRule="auto"/>
    </w:pPr>
    <w:rPr>
      <w:rFonts w:ascii="Times New Roman" w:hAnsi="Times New Roman" w:cs="Times New Roman"/>
    </w:rPr>
  </w:style>
  <w:style w:type="paragraph" w:styleId="1211" w:customStyle="1">
    <w:name w:val="Char Char Char1"/>
    <w:basedOn w:val="988"/>
    <w:next w:val="1212"/>
    <w:qFormat/>
    <w:pPr>
      <w:ind w:left="900" w:firstLine="2096"/>
      <w:spacing w:before="0" w:after="0" w:line="240" w:lineRule="auto"/>
    </w:pPr>
    <w:rPr>
      <w:rFonts w:ascii="Times New Roman" w:hAnsi="Times New Roman" w:cs="Times New Roman"/>
    </w:rPr>
  </w:style>
  <w:style w:type="paragraph" w:styleId="1212" w:customStyle="1">
    <w:name w:val="索引 21"/>
    <w:basedOn w:val="988"/>
    <w:next w:val="987"/>
    <w:qFormat/>
    <w:pPr>
      <w:ind w:left="200" w:firstLine="2560"/>
      <w:jc w:val="center"/>
      <w:spacing w:before="0" w:after="0" w:line="360" w:lineRule="auto"/>
    </w:pPr>
    <w:rPr>
      <w:rFonts w:ascii="Times New Roman" w:hAnsi="Times New Roman" w:cs="Times New Roman"/>
    </w:rPr>
  </w:style>
  <w:style w:type="paragraph" w:styleId="1213" w:customStyle="1">
    <w:name w:val="正文（首行缩进 2 字符）"/>
    <w:next w:val="1214"/>
    <w:qFormat/>
    <w:pPr>
      <w:ind w:left="480" w:firstLine="2784"/>
      <w:jc w:val="center"/>
      <w:spacing w:line="300" w:lineRule="auto"/>
    </w:pPr>
    <w:rPr>
      <w:rFonts w:ascii="Calibri" w:hAnsi="Calibri"/>
    </w:rPr>
  </w:style>
  <w:style w:type="paragraph" w:styleId="1214" w:customStyle="1">
    <w:name w:val="xl28"/>
    <w:basedOn w:val="988"/>
    <w:next w:val="1215"/>
    <w:qFormat/>
    <w:pPr>
      <w:ind w:left="0" w:firstLine="20"/>
      <w:spacing w:before="280" w:after="280" w:line="240" w:lineRule="auto"/>
      <w:shd w:val="clear" w:color="000000" w:fill="ffffff"/>
    </w:pPr>
    <w:rPr>
      <w:rFonts w:ascii="Times New Roman" w:hAnsi="Times New Roman" w:cs="Times New Roman"/>
    </w:rPr>
  </w:style>
  <w:style w:type="paragraph" w:styleId="1215" w:customStyle="1">
    <w:name w:val="HTML 预设格式1"/>
    <w:basedOn w:val="988"/>
    <w:next w:val="1216"/>
    <w:qFormat/>
    <w:pPr>
      <w:ind w:left="0" w:firstLine="3584"/>
      <w:spacing w:before="0" w:after="0" w:line="253" w:lineRule="atLeast"/>
    </w:pPr>
    <w:rPr>
      <w:rFonts w:ascii="Times New Roman" w:hAnsi="Times New Roman" w:cs="Times New Roman"/>
    </w:rPr>
  </w:style>
  <w:style w:type="paragraph" w:styleId="1216" w:customStyle="1">
    <w:name w:val="项目符号：一级"/>
    <w:basedOn w:val="988"/>
    <w:next w:val="987"/>
    <w:qFormat/>
    <w:pPr>
      <w:ind w:left="425" w:firstLine="1111"/>
      <w:spacing w:before="0" w:after="0" w:line="360" w:lineRule="auto"/>
    </w:pPr>
    <w:rPr>
      <w:rFonts w:ascii="Times New Roman" w:hAnsi="Times New Roman" w:cs="Times New Roman"/>
    </w:rPr>
  </w:style>
  <w:style w:type="paragraph" w:styleId="1217" w:customStyle="1">
    <w:name w:val="Default"/>
    <w:next w:val="1022"/>
    <w:qFormat/>
    <w:pPr>
      <w:ind w:firstLine="5120"/>
      <w:widowControl w:val="off"/>
    </w:pPr>
    <w:rPr>
      <w:rFonts w:ascii="Calibri" w:hAnsi="Calibri"/>
    </w:rPr>
  </w:style>
  <w:style w:type="paragraph" w:styleId="1218" w:customStyle="1">
    <w:name w:val="xl84"/>
    <w:basedOn w:val="988"/>
    <w:next w:val="1219"/>
    <w:qFormat/>
    <w:pPr>
      <w:ind w:left="0" w:firstLine="2048"/>
      <w:jc w:val="center"/>
      <w:spacing w:before="280" w:after="280" w:line="240" w:lineRule="auto"/>
    </w:pPr>
    <w:rPr>
      <w:rFonts w:ascii="Times New Roman" w:hAnsi="Times New Roman" w:cs="Times New Roman"/>
    </w:rPr>
  </w:style>
  <w:style w:type="paragraph" w:styleId="1219" w:customStyle="1">
    <w:name w:val="2-2ji"/>
    <w:basedOn w:val="990"/>
    <w:next w:val="1220"/>
    <w:qFormat/>
    <w:pPr>
      <w:ind w:left="0" w:firstLine="24"/>
      <w:jc w:val="center"/>
      <w:spacing w:before="0" w:after="0" w:line="360" w:lineRule="auto"/>
      <w:outlineLvl w:val="1"/>
    </w:pPr>
  </w:style>
  <w:style w:type="paragraph" w:styleId="1220" w:customStyle="1">
    <w:name w:val="应答文本"/>
    <w:basedOn w:val="988"/>
    <w:next w:val="1221"/>
    <w:qFormat/>
    <w:pPr>
      <w:ind w:left="1296" w:firstLine="2112"/>
      <w:spacing w:before="0" w:after="0" w:line="460" w:lineRule="exact"/>
    </w:pPr>
    <w:rPr>
      <w:rFonts w:ascii="Times New Roman" w:hAnsi="Times New Roman" w:cs="Times New Roman"/>
    </w:rPr>
  </w:style>
  <w:style w:type="paragraph" w:styleId="1221" w:customStyle="1">
    <w:name w:val="引文目录1"/>
    <w:basedOn w:val="988"/>
    <w:next w:val="987"/>
    <w:qFormat/>
    <w:pPr>
      <w:ind w:left="420" w:firstLine="2560"/>
      <w:jc w:val="center"/>
      <w:spacing w:before="0" w:after="0" w:line="360" w:lineRule="auto"/>
    </w:pPr>
    <w:rPr>
      <w:rFonts w:ascii="Times New Roman" w:hAnsi="Times New Roman" w:cs="Times New Roman"/>
    </w:rPr>
  </w:style>
  <w:style w:type="paragraph" w:styleId="1222" w:customStyle="1">
    <w:name w:val="首行缩进"/>
    <w:basedOn w:val="987"/>
    <w:qFormat/>
    <w:pPr>
      <w:ind w:firstLine="480"/>
    </w:pPr>
    <w:rPr>
      <w:rFonts w:ascii="Times New Roman" w:hAnsi="Times New Roman" w:cs="Times New Roman"/>
      <w:lang w:val="zh-CN"/>
    </w:rPr>
  </w:style>
  <w:style w:type="paragraph" w:styleId="1223" w:customStyle="1">
    <w:name w:val="font9"/>
    <w:basedOn w:val="988"/>
    <w:next w:val="1224"/>
    <w:qFormat/>
    <w:pPr>
      <w:ind w:left="0" w:firstLine="7168"/>
      <w:spacing w:before="280" w:after="280" w:line="240" w:lineRule="auto"/>
    </w:pPr>
    <w:rPr>
      <w:rFonts w:ascii="Times New Roman" w:hAnsi="Times New Roman" w:cs="Times New Roman"/>
    </w:rPr>
  </w:style>
  <w:style w:type="paragraph" w:styleId="1224" w:customStyle="1">
    <w:name w:val="样式 标题 3 + (中文) 黑体 小四 非加粗 段前: 7.8 磅 段后: 0 磅 行距: 固定值 20 磅"/>
    <w:basedOn w:val="991"/>
    <w:next w:val="1225"/>
    <w:qFormat/>
    <w:pPr>
      <w:ind w:left="0"/>
      <w:spacing w:before="0" w:after="0" w:line="400" w:lineRule="exact"/>
      <w:outlineLvl w:val="2"/>
    </w:pPr>
  </w:style>
  <w:style w:type="paragraph" w:styleId="1225" w:customStyle="1">
    <w:name w:val="标书正文"/>
    <w:basedOn w:val="988"/>
    <w:next w:val="1226"/>
    <w:qFormat/>
    <w:pPr>
      <w:ind w:left="440" w:right="100" w:firstLine="2760"/>
      <w:spacing w:before="0" w:after="0" w:line="360" w:lineRule="auto"/>
    </w:pPr>
    <w:rPr>
      <w:rFonts w:ascii="Times New Roman" w:hAnsi="Times New Roman" w:cs="Times New Roman"/>
    </w:rPr>
  </w:style>
  <w:style w:type="paragraph" w:styleId="1226" w:customStyle="1">
    <w:name w:val="xl67"/>
    <w:basedOn w:val="988"/>
    <w:next w:val="1227"/>
    <w:qFormat/>
    <w:pPr>
      <w:ind w:left="0" w:firstLine="5120"/>
      <w:spacing w:before="280" w:after="280" w:line="240" w:lineRule="auto"/>
    </w:pPr>
    <w:rPr>
      <w:rFonts w:ascii="Times New Roman" w:hAnsi="Times New Roman" w:cs="Times New Roman"/>
    </w:rPr>
  </w:style>
  <w:style w:type="paragraph" w:styleId="1227" w:customStyle="1">
    <w:name w:val="索引 61"/>
    <w:basedOn w:val="988"/>
    <w:next w:val="987"/>
    <w:qFormat/>
    <w:pPr>
      <w:ind w:left="1000" w:firstLine="2560"/>
      <w:jc w:val="center"/>
      <w:spacing w:before="0" w:after="0" w:line="360" w:lineRule="auto"/>
    </w:pPr>
    <w:rPr>
      <w:rFonts w:ascii="Times New Roman" w:hAnsi="Times New Roman" w:cs="Times New Roman"/>
    </w:rPr>
  </w:style>
  <w:style w:type="paragraph" w:styleId="1228" w:customStyle="1">
    <w:name w:val="目录3"/>
    <w:basedOn w:val="988"/>
    <w:next w:val="987"/>
    <w:qFormat/>
    <w:pPr>
      <w:ind w:left="419" w:firstLine="5283"/>
      <w:spacing w:before="0" w:after="0" w:line="317" w:lineRule="atLeast"/>
    </w:pPr>
    <w:rPr>
      <w:rFonts w:ascii="Times New Roman" w:hAnsi="Times New Roman" w:cs="Times New Roman"/>
    </w:rPr>
  </w:style>
  <w:style w:type="paragraph" w:styleId="1229" w:customStyle="1">
    <w:name w:val="xl90"/>
    <w:basedOn w:val="988"/>
    <w:next w:val="1230"/>
    <w:qFormat/>
    <w:pPr>
      <w:ind w:left="0" w:firstLine="3584"/>
      <w:spacing w:before="280" w:after="280" w:line="240" w:lineRule="auto"/>
    </w:pPr>
    <w:rPr>
      <w:rFonts w:ascii="Times New Roman" w:hAnsi="Times New Roman" w:cs="Times New Roman"/>
    </w:rPr>
  </w:style>
  <w:style w:type="paragraph" w:styleId="1230" w:customStyle="1">
    <w:name w:val="列表框1"/>
    <w:next w:val="1221"/>
    <w:qFormat/>
    <w:pPr>
      <w:ind w:firstLine="2048"/>
      <w:spacing w:line="460" w:lineRule="exact"/>
    </w:pPr>
    <w:rPr>
      <w:rFonts w:ascii="Calibri" w:hAnsi="Calibri"/>
    </w:rPr>
  </w:style>
  <w:style w:type="paragraph" w:styleId="1231" w:customStyle="1">
    <w:name w:val="1ji"/>
    <w:basedOn w:val="989"/>
    <w:next w:val="1210"/>
    <w:qFormat/>
    <w:pPr>
      <w:ind w:left="0" w:firstLine="18"/>
      <w:jc w:val="center"/>
      <w:spacing w:before="0" w:after="0" w:line="240" w:lineRule="auto"/>
      <w:outlineLvl w:val="0"/>
    </w:pPr>
  </w:style>
  <w:style w:type="paragraph" w:styleId="1232" w:customStyle="1">
    <w:name w:val="索引 81"/>
    <w:basedOn w:val="988"/>
    <w:next w:val="987"/>
    <w:qFormat/>
    <w:pPr>
      <w:ind w:left="1400" w:firstLine="2560"/>
      <w:jc w:val="center"/>
      <w:spacing w:before="0" w:after="0" w:line="360" w:lineRule="auto"/>
    </w:pPr>
    <w:rPr>
      <w:rFonts w:ascii="Times New Roman" w:hAnsi="Times New Roman" w:cs="Times New Roman"/>
    </w:rPr>
  </w:style>
  <w:style w:type="paragraph" w:styleId="1233" w:customStyle="1">
    <w:name w:val="正文1"/>
    <w:basedOn w:val="987"/>
    <w:next w:val="987"/>
    <w:qFormat/>
    <w:pPr>
      <w:spacing w:line="312" w:lineRule="atLeast"/>
    </w:pPr>
    <w:rPr>
      <w:rFonts w:ascii="楷体_GB2312" w:hAnsi="Times New Roman" w:eastAsia="楷体_GB2312" w:cs="Times New Roman"/>
      <w:sz w:val="24"/>
    </w:rPr>
  </w:style>
  <w:style w:type="paragraph" w:styleId="1234" w:customStyle="1">
    <w:name w:val="Char Char Char Char Char Char1 Char Char Char1 Char Char Char Char Char Char Char Char Char Char Char Char Char Char Char Char Char Char"/>
    <w:basedOn w:val="988"/>
    <w:next w:val="1235"/>
    <w:qFormat/>
    <w:pPr>
      <w:ind w:left="0" w:firstLine="2560"/>
      <w:spacing w:before="0" w:after="0" w:line="240" w:lineRule="auto"/>
    </w:pPr>
    <w:rPr>
      <w:rFonts w:ascii="Times New Roman" w:hAnsi="Times New Roman" w:cs="Times New Roman"/>
    </w:rPr>
  </w:style>
  <w:style w:type="paragraph" w:styleId="1235" w:customStyle="1">
    <w:name w:val="样式 加粗 居中11"/>
    <w:basedOn w:val="988"/>
    <w:next w:val="1236"/>
    <w:qFormat/>
    <w:pPr>
      <w:ind w:left="0" w:firstLine="2560"/>
      <w:jc w:val="center"/>
      <w:spacing w:before="0" w:after="0" w:line="360" w:lineRule="auto"/>
    </w:pPr>
    <w:rPr>
      <w:rFonts w:ascii="Times New Roman" w:hAnsi="Times New Roman" w:cs="Times New Roman"/>
    </w:rPr>
  </w:style>
  <w:style w:type="paragraph" w:styleId="1236" w:customStyle="1">
    <w:name w:val="xl89"/>
    <w:basedOn w:val="988"/>
    <w:next w:val="1237"/>
    <w:qFormat/>
    <w:pPr>
      <w:ind w:left="0" w:firstLine="3584"/>
      <w:spacing w:before="280" w:after="280" w:line="240" w:lineRule="auto"/>
    </w:pPr>
    <w:rPr>
      <w:rFonts w:ascii="Times New Roman" w:hAnsi="Times New Roman" w:cs="Times New Roman"/>
    </w:rPr>
  </w:style>
  <w:style w:type="paragraph" w:styleId="1237" w:customStyle="1">
    <w:name w:val="Char Char Char Char Char Char1 Char Char Char Char Char Char1 Char Char Char Char Char Char Char Char Char"/>
    <w:basedOn w:val="988"/>
    <w:next w:val="1238"/>
    <w:qFormat/>
    <w:pPr>
      <w:ind w:left="0" w:firstLine="2560"/>
      <w:spacing w:before="0" w:after="0" w:line="240" w:lineRule="auto"/>
    </w:pPr>
    <w:rPr>
      <w:rFonts w:ascii="Times New Roman" w:hAnsi="Times New Roman" w:cs="Times New Roman"/>
    </w:rPr>
  </w:style>
  <w:style w:type="paragraph" w:styleId="1238" w:customStyle="1">
    <w:name w:val="文章附标题"/>
    <w:basedOn w:val="988"/>
    <w:next w:val="988"/>
    <w:qFormat/>
    <w:pPr>
      <w:ind w:left="0" w:firstLine="5120"/>
      <w:jc w:val="center"/>
      <w:spacing w:before="187" w:after="175" w:line="374" w:lineRule="atLeast"/>
    </w:pPr>
    <w:rPr>
      <w:rFonts w:ascii="Times New Roman" w:hAnsi="Times New Roman" w:cs="Times New Roman"/>
    </w:rPr>
  </w:style>
  <w:style w:type="paragraph" w:styleId="1239">
    <w:name w:val="Quote"/>
    <w:next w:val="987"/>
    <w:qFormat/>
    <w:pPr>
      <w:ind w:left="3680" w:right="864"/>
      <w:jc w:val="center"/>
      <w:spacing w:before="200" w:after="160"/>
    </w:pPr>
    <w:rPr>
      <w:rFonts w:ascii="Calibri" w:hAnsi="Calibri"/>
      <w:i/>
    </w:rPr>
  </w:style>
  <w:style w:type="paragraph" w:styleId="1240" w:customStyle="1">
    <w:name w:val="Default Paragraph Font Para Char Char Char Char Char Char"/>
    <w:basedOn w:val="988"/>
    <w:next w:val="1241"/>
    <w:qFormat/>
    <w:pPr>
      <w:ind w:left="0" w:firstLine="3584"/>
      <w:spacing w:before="0" w:after="160" w:line="240" w:lineRule="exact"/>
    </w:pPr>
    <w:rPr>
      <w:rFonts w:ascii="Times New Roman" w:hAnsi="Times New Roman" w:cs="Times New Roman"/>
    </w:rPr>
  </w:style>
  <w:style w:type="paragraph" w:styleId="1241" w:customStyle="1">
    <w:name w:val="xl23"/>
    <w:basedOn w:val="988"/>
    <w:next w:val="1024"/>
    <w:qFormat/>
    <w:pPr>
      <w:ind w:left="0" w:firstLine="20"/>
      <w:spacing w:before="280" w:after="280" w:line="240" w:lineRule="auto"/>
      <w:shd w:val="clear" w:color="000000" w:fill="ffffff"/>
    </w:pPr>
    <w:rPr>
      <w:rFonts w:ascii="Times New Roman" w:hAnsi="Times New Roman" w:cs="Times New Roman"/>
    </w:rPr>
  </w:style>
  <w:style w:type="paragraph" w:styleId="1242" w:customStyle="1">
    <w:name w:val="列出段落11"/>
    <w:basedOn w:val="988"/>
    <w:next w:val="1243"/>
    <w:qFormat/>
    <w:pPr>
      <w:ind w:left="420" w:firstLine="3748"/>
      <w:spacing w:before="0" w:after="0" w:line="240" w:lineRule="auto"/>
    </w:pPr>
    <w:rPr>
      <w:rFonts w:ascii="Times New Roman" w:hAnsi="Times New Roman" w:cs="Times New Roman"/>
    </w:rPr>
  </w:style>
  <w:style w:type="paragraph" w:styleId="1243" w:customStyle="1">
    <w:name w:val="样式 标题 2 + (西文) 宋体 非加粗 居中"/>
    <w:basedOn w:val="990"/>
    <w:next w:val="1244"/>
    <w:qFormat/>
    <w:pPr>
      <w:ind w:left="0" w:firstLine="24"/>
      <w:jc w:val="center"/>
      <w:spacing w:line="412" w:lineRule="auto"/>
      <w:outlineLvl w:val="1"/>
    </w:pPr>
  </w:style>
  <w:style w:type="paragraph" w:styleId="1244" w:customStyle="1">
    <w:name w:val="页脚 Char Char"/>
    <w:basedOn w:val="988"/>
    <w:next w:val="1245"/>
    <w:qFormat/>
    <w:pPr>
      <w:ind w:left="0" w:firstLine="5120"/>
      <w:spacing w:before="0" w:after="0" w:line="240" w:lineRule="auto"/>
    </w:pPr>
    <w:rPr>
      <w:rFonts w:ascii="Times New Roman" w:hAnsi="Times New Roman" w:cs="Times New Roman"/>
    </w:rPr>
  </w:style>
  <w:style w:type="paragraph" w:styleId="1245" w:customStyle="1">
    <w:name w:val="样式 标题 1 + 段前: 16 磅 段后: 16 磅"/>
    <w:basedOn w:val="989"/>
    <w:next w:val="1246"/>
    <w:qFormat/>
    <w:pPr>
      <w:ind w:left="0" w:firstLine="18"/>
      <w:jc w:val="center"/>
      <w:spacing w:before="120" w:after="0" w:line="360" w:lineRule="auto"/>
      <w:outlineLvl w:val="0"/>
    </w:pPr>
  </w:style>
  <w:style w:type="paragraph" w:styleId="1246" w:customStyle="1">
    <w:name w:val="Char1 Char Char Char Char Char Char"/>
    <w:basedOn w:val="988"/>
    <w:next w:val="1247"/>
    <w:qFormat/>
    <w:pPr>
      <w:ind w:left="0" w:firstLine="2560"/>
      <w:spacing w:before="0" w:after="0" w:line="240" w:lineRule="auto"/>
    </w:pPr>
    <w:rPr>
      <w:rFonts w:ascii="Times New Roman" w:hAnsi="Times New Roman" w:cs="Times New Roman"/>
    </w:rPr>
  </w:style>
  <w:style w:type="paragraph" w:styleId="1247" w:customStyle="1">
    <w:name w:val="文档标题4"/>
    <w:basedOn w:val="992"/>
    <w:next w:val="987"/>
    <w:qFormat/>
    <w:pPr>
      <w:ind w:left="851" w:firstLine="30"/>
      <w:spacing w:after="280" w:line="360" w:lineRule="auto"/>
      <w:outlineLvl w:val="3"/>
    </w:pPr>
  </w:style>
  <w:style w:type="paragraph" w:styleId="1248" w:customStyle="1">
    <w:name w:val="font0"/>
    <w:basedOn w:val="988"/>
    <w:next w:val="1223"/>
    <w:qFormat/>
    <w:pPr>
      <w:ind w:left="0" w:firstLine="1024"/>
      <w:spacing w:before="280" w:after="280" w:line="240" w:lineRule="auto"/>
    </w:pPr>
    <w:rPr>
      <w:rFonts w:ascii="Times New Roman" w:hAnsi="Times New Roman" w:cs="Times New Roman"/>
    </w:rPr>
  </w:style>
  <w:style w:type="paragraph" w:styleId="1249" w:customStyle="1">
    <w:name w:val="CM5"/>
    <w:basedOn w:val="988"/>
    <w:next w:val="987"/>
    <w:qFormat/>
    <w:pPr>
      <w:ind w:left="200" w:firstLine="2760"/>
      <w:spacing w:before="0" w:after="0" w:line="400" w:lineRule="atLeast"/>
    </w:pPr>
    <w:rPr>
      <w:rFonts w:ascii="Times New Roman" w:hAnsi="Times New Roman" w:cs="Times New Roman"/>
    </w:rPr>
  </w:style>
  <w:style w:type="paragraph" w:styleId="1250" w:customStyle="1">
    <w:name w:val="Pa0"/>
    <w:basedOn w:val="988"/>
    <w:next w:val="987"/>
    <w:qFormat/>
    <w:pPr>
      <w:ind w:left="0" w:firstLine="4608"/>
      <w:spacing w:before="0" w:after="0" w:line="241" w:lineRule="atLeast"/>
    </w:pPr>
    <w:rPr>
      <w:rFonts w:ascii="Times New Roman" w:hAnsi="Times New Roman" w:cs="Times New Roman"/>
    </w:rPr>
  </w:style>
  <w:style w:type="paragraph" w:styleId="1251" w:customStyle="1">
    <w:name w:val="招标文件》"/>
    <w:basedOn w:val="988"/>
    <w:next w:val="1187"/>
    <w:qFormat/>
    <w:pPr>
      <w:ind w:left="420" w:firstLine="2140"/>
      <w:spacing w:before="120" w:after="120" w:line="300" w:lineRule="auto"/>
    </w:pPr>
    <w:rPr>
      <w:rFonts w:ascii="Times New Roman" w:hAnsi="Times New Roman" w:cs="Times New Roman"/>
    </w:rPr>
  </w:style>
  <w:style w:type="paragraph" w:styleId="1252" w:customStyle="1">
    <w:name w:val="段"/>
    <w:next w:val="987"/>
    <w:qFormat/>
    <w:pPr>
      <w:ind w:firstLine="200"/>
      <w:jc w:val="both"/>
      <w:spacing w:line="360" w:lineRule="auto"/>
    </w:pPr>
    <w:rPr>
      <w:sz w:val="24"/>
      <w:szCs w:val="22"/>
    </w:rPr>
  </w:style>
  <w:style w:type="paragraph" w:styleId="1253" w:customStyle="1">
    <w:name w:val="标书_正文"/>
    <w:basedOn w:val="988"/>
    <w:next w:val="1254"/>
    <w:qFormat/>
    <w:pPr>
      <w:ind w:left="420" w:firstLine="1188"/>
      <w:spacing w:before="0" w:after="0" w:line="360" w:lineRule="auto"/>
    </w:pPr>
    <w:rPr>
      <w:rFonts w:ascii="Times New Roman" w:hAnsi="Times New Roman" w:cs="Times New Roman"/>
    </w:rPr>
  </w:style>
  <w:style w:type="paragraph" w:styleId="1254" w:customStyle="1">
    <w:name w:val="样式 标题 2 + Times New Roman 四号 非加粗 段前: 5 磅 段后: 0 磅 行距: 固定值 20..."/>
    <w:basedOn w:val="990"/>
    <w:next w:val="1202"/>
    <w:qFormat/>
    <w:pPr>
      <w:ind w:left="0" w:firstLine="24"/>
      <w:spacing w:before="100" w:after="0" w:line="400" w:lineRule="exact"/>
      <w:outlineLvl w:val="1"/>
    </w:pPr>
  </w:style>
  <w:style w:type="paragraph" w:styleId="1255" w:customStyle="1">
    <w:name w:val="图片0"/>
    <w:basedOn w:val="988"/>
    <w:next w:val="1035"/>
    <w:qFormat/>
    <w:pPr>
      <w:ind w:left="-161" w:firstLine="1187"/>
      <w:spacing w:before="0" w:after="0" w:line="276" w:lineRule="auto"/>
    </w:pPr>
    <w:rPr>
      <w:rFonts w:ascii="Times New Roman" w:hAnsi="Times New Roman" w:cs="Times New Roman"/>
    </w:rPr>
  </w:style>
  <w:style w:type="paragraph" w:styleId="1256" w:customStyle="1">
    <w:name w:val="Char Char Char2 Char Char Char2 Char"/>
    <w:basedOn w:val="988"/>
    <w:next w:val="1228"/>
    <w:qFormat/>
    <w:pPr>
      <w:ind w:left="560" w:firstLine="3632"/>
      <w:spacing w:before="0" w:after="160" w:line="240" w:lineRule="exact"/>
    </w:pPr>
    <w:rPr>
      <w:rFonts w:ascii="Times New Roman" w:hAnsi="Times New Roman" w:cs="Times New Roman"/>
    </w:rPr>
  </w:style>
  <w:style w:type="paragraph" w:styleId="1257" w:customStyle="1">
    <w:name w:val="Char Char Char Char"/>
    <w:next w:val="1258"/>
    <w:qFormat/>
    <w:pPr>
      <w:ind w:firstLine="10"/>
      <w:spacing w:line="360" w:lineRule="auto"/>
      <w:shd w:val="clear" w:color="000000" w:fill="000080"/>
    </w:pPr>
    <w:rPr>
      <w:rFonts w:ascii="Calibri" w:hAnsi="Calibri"/>
    </w:rPr>
  </w:style>
  <w:style w:type="paragraph" w:styleId="1258" w:customStyle="1">
    <w:name w:val="杨昂超式样黑体主"/>
    <w:basedOn w:val="988"/>
    <w:next w:val="1259"/>
    <w:qFormat/>
    <w:pPr>
      <w:ind w:left="0" w:firstLine="4608"/>
      <w:spacing w:before="0" w:after="0" w:line="240" w:lineRule="auto"/>
    </w:pPr>
    <w:rPr>
      <w:rFonts w:ascii="Times New Roman" w:hAnsi="Times New Roman" w:cs="Times New Roman"/>
    </w:rPr>
  </w:style>
  <w:style w:type="paragraph" w:styleId="1259" w:customStyle="1">
    <w:name w:val="Char Char Char Char Char Char1 Char Char Char Char Char Char Char Char Char Char"/>
    <w:basedOn w:val="988"/>
    <w:next w:val="1260"/>
    <w:qFormat/>
    <w:pPr>
      <w:ind w:left="0" w:firstLine="2560"/>
      <w:spacing w:before="0" w:after="0" w:line="240" w:lineRule="auto"/>
    </w:pPr>
    <w:rPr>
      <w:rFonts w:ascii="Times New Roman" w:hAnsi="Times New Roman" w:cs="Times New Roman"/>
    </w:rPr>
  </w:style>
  <w:style w:type="paragraph" w:styleId="1260" w:customStyle="1">
    <w:name w:val="目录1"/>
    <w:basedOn w:val="988"/>
    <w:next w:val="987"/>
    <w:qFormat/>
    <w:pPr>
      <w:ind w:left="0" w:firstLine="7168"/>
      <w:spacing w:before="0" w:after="136" w:line="289" w:lineRule="atLeast"/>
    </w:pPr>
    <w:rPr>
      <w:rFonts w:ascii="Times New Roman" w:hAnsi="Times New Roman" w:cs="Times New Roman"/>
    </w:rPr>
  </w:style>
  <w:style w:type="paragraph" w:styleId="1261" w:customStyle="1">
    <w:name w:val="文档结构图1"/>
    <w:basedOn w:val="988"/>
    <w:next w:val="1262"/>
    <w:qFormat/>
    <w:pPr>
      <w:ind w:left="200" w:firstLine="2248"/>
      <w:spacing w:before="0" w:after="0" w:line="360" w:lineRule="auto"/>
    </w:pPr>
    <w:rPr>
      <w:rFonts w:ascii="Times New Roman" w:hAnsi="Times New Roman" w:cs="Times New Roman"/>
    </w:rPr>
  </w:style>
  <w:style w:type="paragraph" w:styleId="1262" w:customStyle="1">
    <w:name w:val="2ji"/>
    <w:basedOn w:val="990"/>
    <w:next w:val="1030"/>
    <w:qFormat/>
    <w:pPr>
      <w:ind w:left="0" w:firstLine="24"/>
      <w:spacing w:before="0" w:after="0" w:line="360" w:lineRule="auto"/>
      <w:outlineLvl w:val="1"/>
    </w:pPr>
  </w:style>
  <w:style w:type="paragraph" w:styleId="1263" w:customStyle="1">
    <w:name w:val="xl91"/>
    <w:basedOn w:val="988"/>
    <w:next w:val="1184"/>
    <w:qFormat/>
    <w:pPr>
      <w:ind w:left="0" w:firstLine="3584"/>
      <w:spacing w:before="280" w:after="280" w:line="240" w:lineRule="auto"/>
    </w:pPr>
    <w:rPr>
      <w:rFonts w:ascii="Times New Roman" w:hAnsi="Times New Roman" w:cs="Times New Roman"/>
    </w:rPr>
  </w:style>
  <w:style w:type="paragraph" w:styleId="1264" w:customStyle="1">
    <w:name w:val="Text Body"/>
    <w:basedOn w:val="988"/>
    <w:next w:val="1265"/>
    <w:qFormat/>
    <w:pPr>
      <w:ind w:left="0" w:firstLine="4096"/>
      <w:spacing w:before="0" w:after="120" w:line="240" w:lineRule="auto"/>
    </w:pPr>
    <w:rPr>
      <w:rFonts w:ascii="Times New Roman" w:hAnsi="Times New Roman" w:cs="Times New Roman"/>
    </w:rPr>
  </w:style>
  <w:style w:type="paragraph" w:styleId="1265" w:customStyle="1">
    <w:name w:val="项目符1"/>
    <w:basedOn w:val="988"/>
    <w:next w:val="1266"/>
    <w:qFormat/>
    <w:pPr>
      <w:ind w:left="1365" w:right="100" w:firstLine="2728"/>
      <w:spacing w:before="78" w:after="78" w:line="300" w:lineRule="auto"/>
    </w:pPr>
    <w:rPr>
      <w:rFonts w:ascii="Times New Roman" w:hAnsi="Times New Roman" w:cs="Times New Roman"/>
    </w:rPr>
  </w:style>
  <w:style w:type="paragraph" w:styleId="1266" w:customStyle="1">
    <w:name w:val="引文目录标题1"/>
    <w:basedOn w:val="988"/>
    <w:next w:val="987"/>
    <w:qFormat/>
    <w:pPr>
      <w:ind w:left="0" w:firstLine="4608"/>
      <w:jc w:val="center"/>
      <w:spacing w:before="120" w:after="0" w:line="360" w:lineRule="auto"/>
    </w:pPr>
    <w:rPr>
      <w:rFonts w:ascii="Times New Roman" w:hAnsi="Times New Roman" w:cs="Times New Roman"/>
    </w:rPr>
  </w:style>
  <w:style w:type="paragraph" w:styleId="1267" w:customStyle="1">
    <w:name w:val="样式 标题 3 + (西文) 黑体 (中文) 黑体 (符号) 宋体 小四 段前: 5 磅 段后: 5 磅 行距: 1..."/>
    <w:basedOn w:val="991"/>
    <w:next w:val="1268"/>
    <w:qFormat/>
    <w:pPr>
      <w:ind w:left="1429" w:firstLine="18"/>
      <w:spacing w:before="100" w:after="100" w:line="360" w:lineRule="auto"/>
      <w:outlineLvl w:val="2"/>
    </w:pPr>
  </w:style>
  <w:style w:type="paragraph" w:styleId="1268" w:customStyle="1">
    <w:name w:val="xl22"/>
    <w:basedOn w:val="988"/>
    <w:next w:val="1269"/>
    <w:qFormat/>
    <w:pPr>
      <w:ind w:left="0" w:firstLine="20"/>
      <w:jc w:val="right"/>
      <w:spacing w:before="280" w:after="280" w:line="240" w:lineRule="auto"/>
      <w:shd w:val="clear" w:color="000000" w:fill="ffffff"/>
    </w:pPr>
    <w:rPr>
      <w:rFonts w:ascii="Times New Roman" w:hAnsi="Times New Roman" w:cs="Times New Roman"/>
    </w:rPr>
  </w:style>
  <w:style w:type="paragraph" w:styleId="1269" w:customStyle="1">
    <w:name w:val="自定义一"/>
    <w:basedOn w:val="988"/>
    <w:next w:val="987"/>
    <w:qFormat/>
    <w:pPr>
      <w:ind w:left="0"/>
      <w:spacing w:before="0" w:after="0" w:line="360" w:lineRule="auto"/>
    </w:pPr>
    <w:rPr>
      <w:rFonts w:ascii="Times New Roman" w:hAnsi="Times New Roman" w:cs="Times New Roman"/>
    </w:rPr>
  </w:style>
  <w:style w:type="paragraph" w:styleId="1270" w:customStyle="1">
    <w:name w:val="xl78"/>
    <w:basedOn w:val="988"/>
    <w:next w:val="1271"/>
    <w:qFormat/>
    <w:pPr>
      <w:ind w:left="0" w:firstLine="3584"/>
      <w:jc w:val="center"/>
      <w:spacing w:before="280" w:after="280" w:line="240" w:lineRule="auto"/>
    </w:pPr>
    <w:rPr>
      <w:rFonts w:ascii="Times New Roman" w:hAnsi="Times New Roman" w:cs="Times New Roman"/>
    </w:rPr>
  </w:style>
  <w:style w:type="paragraph" w:styleId="1271" w:customStyle="1">
    <w:name w:val="段落正文"/>
    <w:next w:val="1213"/>
    <w:qFormat/>
    <w:pPr>
      <w:ind w:firstLine="4608"/>
      <w:jc w:val="center"/>
      <w:spacing w:line="360" w:lineRule="auto"/>
    </w:pPr>
    <w:rPr>
      <w:rFonts w:ascii="Calibri" w:hAnsi="Calibri"/>
    </w:rPr>
  </w:style>
  <w:style w:type="paragraph" w:styleId="1272" w:customStyle="1">
    <w:name w:val="_Style 169"/>
    <w:next w:val="987"/>
    <w:qFormat/>
    <w:pPr>
      <w:ind w:left="2560"/>
    </w:pPr>
    <w:rPr>
      <w:rFonts w:ascii="Calibri" w:hAnsi="Calibri"/>
    </w:rPr>
  </w:style>
  <w:style w:type="paragraph" w:styleId="1273" w:customStyle="1">
    <w:name w:val="样式 小四 行距: 1.5 倍行距 首行缩进:  2 字符"/>
    <w:basedOn w:val="988"/>
    <w:next w:val="1218"/>
    <w:qFormat/>
    <w:pPr>
      <w:ind w:left="480" w:firstLine="2784"/>
      <w:spacing w:before="0" w:after="0" w:line="360" w:lineRule="auto"/>
    </w:pPr>
    <w:rPr>
      <w:rFonts w:ascii="Times New Roman" w:hAnsi="Times New Roman" w:cs="Times New Roman"/>
    </w:rPr>
  </w:style>
  <w:style w:type="paragraph" w:styleId="1274" w:customStyle="1">
    <w:name w:val="小节标题"/>
    <w:basedOn w:val="988"/>
    <w:next w:val="987"/>
    <w:qFormat/>
    <w:pPr>
      <w:ind w:left="0" w:firstLine="7168"/>
      <w:spacing w:before="175" w:after="102" w:line="351" w:lineRule="atLeast"/>
    </w:pPr>
    <w:rPr>
      <w:rFonts w:ascii="Times New Roman" w:hAnsi="Times New Roman" w:cs="Times New Roman"/>
    </w:rPr>
  </w:style>
  <w:style w:type="paragraph" w:styleId="1275" w:customStyle="1">
    <w:name w:val="TOC 标题2"/>
    <w:basedOn w:val="988"/>
    <w:next w:val="98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6" w:customStyle="1">
    <w:name w:val="表格文字（两侧对齐）"/>
    <w:basedOn w:val="988"/>
    <w:next w:val="1277"/>
    <w:qFormat/>
    <w:pPr>
      <w:ind w:left="0" w:firstLine="3584"/>
      <w:spacing w:before="0" w:after="0" w:line="240" w:lineRule="auto"/>
    </w:pPr>
    <w:rPr>
      <w:rFonts w:ascii="Times New Roman" w:hAnsi="Times New Roman" w:cs="Times New Roman"/>
    </w:rPr>
  </w:style>
  <w:style w:type="paragraph" w:styleId="1277" w:customStyle="1">
    <w:name w:val="Char"/>
    <w:basedOn w:val="988"/>
    <w:next w:val="1256"/>
    <w:qFormat/>
    <w:pPr>
      <w:ind w:left="900" w:firstLine="2608"/>
      <w:spacing w:before="0" w:after="0" w:line="240" w:lineRule="auto"/>
    </w:pPr>
    <w:rPr>
      <w:rFonts w:ascii="Times New Roman" w:hAnsi="Times New Roman" w:cs="Times New Roman"/>
    </w:rPr>
  </w:style>
  <w:style w:type="paragraph" w:styleId="1278" w:customStyle="1">
    <w:name w:val="xl86"/>
    <w:basedOn w:val="988"/>
    <w:next w:val="1279"/>
    <w:qFormat/>
    <w:pPr>
      <w:ind w:left="0" w:firstLine="5120"/>
      <w:spacing w:before="280" w:after="280" w:line="240" w:lineRule="auto"/>
    </w:pPr>
    <w:rPr>
      <w:rFonts w:ascii="Times New Roman" w:hAnsi="Times New Roman" w:cs="Times New Roman"/>
    </w:rPr>
  </w:style>
  <w:style w:type="paragraph" w:styleId="1279" w:customStyle="1">
    <w:name w:val="索引 71"/>
    <w:basedOn w:val="988"/>
    <w:next w:val="987"/>
    <w:qFormat/>
    <w:pPr>
      <w:ind w:left="1200" w:firstLine="2560"/>
      <w:jc w:val="center"/>
      <w:spacing w:before="0" w:after="0" w:line="360" w:lineRule="auto"/>
    </w:pPr>
    <w:rPr>
      <w:rFonts w:ascii="Times New Roman" w:hAnsi="Times New Roman" w:cs="Times New Roman"/>
    </w:rPr>
  </w:style>
  <w:style w:type="paragraph" w:styleId="1280" w:customStyle="1">
    <w:name w:val="111"/>
    <w:next w:val="1281"/>
    <w:qFormat/>
    <w:pPr>
      <w:ind w:left="480" w:firstLine="4320"/>
      <w:spacing w:line="440" w:lineRule="exact"/>
    </w:pPr>
    <w:rPr>
      <w:rFonts w:ascii="Calibri" w:hAnsi="Calibri"/>
    </w:rPr>
  </w:style>
  <w:style w:type="paragraph" w:styleId="1281" w:customStyle="1">
    <w:name w:val="4"/>
    <w:basedOn w:val="988"/>
    <w:next w:val="1000"/>
    <w:qFormat/>
    <w:pPr>
      <w:ind w:left="409" w:firstLine="3737"/>
      <w:spacing w:before="0" w:after="0" w:line="420" w:lineRule="exact"/>
    </w:pPr>
    <w:rPr>
      <w:rFonts w:ascii="Times New Roman" w:hAnsi="Times New Roman" w:cs="Times New Roman"/>
    </w:rPr>
  </w:style>
  <w:style w:type="paragraph" w:styleId="1282" w:customStyle="1">
    <w:name w:val="Char Char Char Char Char Char1 Char Char Char1 Char Char Char Char Char Char"/>
    <w:basedOn w:val="988"/>
    <w:next w:val="1267"/>
    <w:qFormat/>
    <w:pPr>
      <w:ind w:left="0" w:firstLine="2560"/>
      <w:spacing w:before="0" w:after="0" w:line="240" w:lineRule="auto"/>
    </w:pPr>
    <w:rPr>
      <w:rFonts w:ascii="Times New Roman" w:hAnsi="Times New Roman" w:cs="Times New Roman"/>
    </w:rPr>
  </w:style>
  <w:style w:type="paragraph" w:styleId="1283" w:customStyle="1">
    <w:name w:val="Char Char Char Char Char Char1 Char Char Char Char Char Char1 Char Char Char"/>
    <w:basedOn w:val="988"/>
    <w:next w:val="1284"/>
    <w:qFormat/>
    <w:pPr>
      <w:ind w:left="0" w:firstLine="2560"/>
      <w:spacing w:before="0" w:after="0" w:line="240" w:lineRule="auto"/>
    </w:pPr>
    <w:rPr>
      <w:rFonts w:ascii="Times New Roman" w:hAnsi="Times New Roman" w:cs="Times New Roman"/>
    </w:rPr>
  </w:style>
  <w:style w:type="paragraph" w:styleId="1284" w:customStyle="1">
    <w:name w:val="正文符号1"/>
    <w:basedOn w:val="988"/>
    <w:next w:val="1285"/>
    <w:qFormat/>
    <w:pPr>
      <w:ind w:left="987" w:firstLine="5724"/>
      <w:spacing w:before="0" w:after="0" w:line="240" w:lineRule="auto"/>
    </w:pPr>
    <w:rPr>
      <w:rFonts w:ascii="Times New Roman" w:hAnsi="Times New Roman" w:cs="Times New Roman"/>
    </w:rPr>
  </w:style>
  <w:style w:type="paragraph" w:styleId="1285" w:customStyle="1">
    <w:name w:val="索引 31"/>
    <w:basedOn w:val="988"/>
    <w:next w:val="987"/>
    <w:qFormat/>
    <w:pPr>
      <w:ind w:left="400" w:firstLine="2560"/>
      <w:jc w:val="center"/>
      <w:spacing w:before="0" w:after="0" w:line="360" w:lineRule="auto"/>
    </w:pPr>
    <w:rPr>
      <w:rFonts w:ascii="Times New Roman" w:hAnsi="Times New Roman" w:cs="Times New Roman"/>
    </w:rPr>
  </w:style>
  <w:style w:type="paragraph" w:styleId="1286" w:customStyle="1">
    <w:name w:val="目录4"/>
    <w:basedOn w:val="988"/>
    <w:next w:val="987"/>
    <w:qFormat/>
    <w:pPr>
      <w:ind w:left="629" w:firstLine="5237"/>
      <w:spacing w:before="0" w:after="0" w:line="317" w:lineRule="atLeast"/>
    </w:pPr>
    <w:rPr>
      <w:rFonts w:ascii="Times New Roman" w:hAnsi="Times New Roman" w:cs="Times New Roman"/>
    </w:rPr>
  </w:style>
  <w:style w:type="paragraph" w:styleId="1287" w:customStyle="1">
    <w:name w:val="p15"/>
    <w:basedOn w:val="987"/>
    <w:qFormat/>
    <w:pPr>
      <w:ind w:left="0"/>
    </w:pPr>
    <w:rPr>
      <w:rFonts w:ascii="宋体" w:hAnsi="宋体"/>
      <w:sz w:val="28"/>
      <w:szCs w:val="28"/>
    </w:rPr>
  </w:style>
  <w:style w:type="paragraph" w:styleId="1288" w:customStyle="1">
    <w:name w:val="四号 居中"/>
    <w:basedOn w:val="988"/>
    <w:next w:val="1282"/>
    <w:qFormat/>
    <w:pPr>
      <w:ind w:left="0" w:firstLine="6144"/>
      <w:jc w:val="center"/>
      <w:spacing w:before="0" w:after="0" w:line="360" w:lineRule="auto"/>
    </w:pPr>
    <w:rPr>
      <w:rFonts w:ascii="Times New Roman" w:hAnsi="Times New Roman" w:cs="Times New Roman"/>
    </w:rPr>
  </w:style>
  <w:style w:type="paragraph" w:styleId="1289" w:customStyle="1">
    <w:name w:val="p0"/>
    <w:next w:val="987"/>
    <w:qFormat/>
    <w:pPr>
      <w:ind w:firstLine="2048"/>
      <w:spacing w:line="360" w:lineRule="auto"/>
    </w:pPr>
    <w:rPr>
      <w:rFonts w:ascii="Calibri" w:hAnsi="Calibri"/>
    </w:rPr>
  </w:style>
  <w:style w:type="paragraph" w:styleId="1290" w:customStyle="1">
    <w:name w:val="列表编号 21"/>
    <w:basedOn w:val="988"/>
    <w:next w:val="1291"/>
    <w:qFormat/>
    <w:pPr>
      <w:ind w:left="0" w:firstLine="2560"/>
      <w:spacing w:before="0" w:after="0" w:line="360" w:lineRule="auto"/>
    </w:pPr>
    <w:rPr>
      <w:rFonts w:ascii="Times New Roman" w:hAnsi="Times New Roman" w:cs="Times New Roman"/>
    </w:rPr>
  </w:style>
  <w:style w:type="paragraph" w:styleId="1291" w:customStyle="1">
    <w:name w:val="正文文本 21"/>
    <w:basedOn w:val="988"/>
    <w:next w:val="1172"/>
    <w:qFormat/>
    <w:pPr>
      <w:ind w:left="0" w:firstLine="2560"/>
      <w:jc w:val="center"/>
      <w:spacing w:before="0" w:after="120" w:line="480" w:lineRule="auto"/>
    </w:pPr>
    <w:rPr>
      <w:rFonts w:ascii="Times New Roman" w:hAnsi="Times New Roman" w:cs="Times New Roman"/>
    </w:rPr>
  </w:style>
  <w:style w:type="paragraph" w:styleId="1292" w:customStyle="1">
    <w:name w:val="a2"/>
    <w:basedOn w:val="988"/>
    <w:next w:val="1027"/>
    <w:qFormat/>
    <w:pPr>
      <w:ind w:left="0" w:firstLine="1024"/>
      <w:spacing w:before="280" w:after="280" w:line="240" w:lineRule="auto"/>
    </w:pPr>
    <w:rPr>
      <w:rFonts w:ascii="Times New Roman" w:hAnsi="Times New Roman" w:cs="Times New Roman"/>
    </w:rPr>
  </w:style>
  <w:style w:type="paragraph" w:styleId="1293" w:customStyle="1">
    <w:name w:val="font8"/>
    <w:basedOn w:val="988"/>
    <w:next w:val="1217"/>
    <w:qFormat/>
    <w:pPr>
      <w:ind w:left="0" w:firstLine="2048"/>
      <w:spacing w:before="280" w:after="280" w:line="240" w:lineRule="auto"/>
    </w:pPr>
    <w:rPr>
      <w:rFonts w:ascii="Times New Roman" w:hAnsi="Times New Roman" w:cs="Times New Roman"/>
    </w:rPr>
  </w:style>
  <w:style w:type="paragraph" w:styleId="1294" w:customStyle="1">
    <w:name w:val="Char Char Char Char Char Char1 Char Char Char Char Char Char1 Char Char Char Char Char Char Char"/>
    <w:basedOn w:val="988"/>
    <w:next w:val="1295"/>
    <w:qFormat/>
    <w:pPr>
      <w:ind w:left="0" w:firstLine="2560"/>
      <w:spacing w:before="0" w:after="0" w:line="240" w:lineRule="auto"/>
    </w:pPr>
    <w:rPr>
      <w:rFonts w:ascii="Times New Roman" w:hAnsi="Times New Roman" w:cs="Times New Roman"/>
    </w:rPr>
  </w:style>
  <w:style w:type="paragraph" w:styleId="1295" w:customStyle="1">
    <w:name w:val="xl87"/>
    <w:basedOn w:val="988"/>
    <w:next w:val="1251"/>
    <w:qFormat/>
    <w:pPr>
      <w:ind w:left="0" w:firstLine="5120"/>
      <w:spacing w:before="280" w:after="280" w:line="240" w:lineRule="auto"/>
    </w:pPr>
    <w:rPr>
      <w:rFonts w:ascii="Times New Roman" w:hAnsi="Times New Roman" w:cs="Times New Roman"/>
    </w:rPr>
  </w:style>
  <w:style w:type="paragraph" w:styleId="1296" w:customStyle="1">
    <w:name w:val="444"/>
    <w:basedOn w:val="988"/>
    <w:next w:val="1009"/>
    <w:qFormat/>
    <w:pPr>
      <w:ind w:left="0" w:firstLine="4608"/>
      <w:jc w:val="center"/>
      <w:spacing w:before="0" w:after="0" w:line="312" w:lineRule="atLeast"/>
    </w:pPr>
    <w:rPr>
      <w:rFonts w:ascii="Times New Roman" w:hAnsi="Times New Roman" w:cs="Times New Roman"/>
    </w:rPr>
  </w:style>
  <w:style w:type="paragraph" w:styleId="1297" w:customStyle="1">
    <w:name w:val="表格文字图表文字"/>
    <w:basedOn w:val="988"/>
    <w:next w:val="1298"/>
    <w:qFormat/>
    <w:pPr>
      <w:ind w:left="0" w:firstLine="3584"/>
      <w:jc w:val="center"/>
      <w:spacing w:before="0" w:after="0" w:line="240" w:lineRule="auto"/>
    </w:pPr>
    <w:rPr>
      <w:rFonts w:ascii="Times New Roman" w:hAnsi="Times New Roman" w:cs="Times New Roman"/>
    </w:rPr>
  </w:style>
  <w:style w:type="paragraph" w:styleId="1298" w:customStyle="1">
    <w:name w:val="样式 目录 3 + 左侧:  2 字符1"/>
    <w:next w:val="1299"/>
    <w:qFormat/>
    <w:pPr>
      <w:ind w:left="960" w:firstLine="5120"/>
      <w:spacing w:line="360" w:lineRule="auto"/>
      <w:widowControl w:val="off"/>
    </w:pPr>
    <w:rPr>
      <w:rFonts w:ascii="Calibri" w:hAnsi="Calibri"/>
    </w:rPr>
  </w:style>
  <w:style w:type="paragraph" w:styleId="1299" w:customStyle="1">
    <w:name w:val="文档正文"/>
    <w:basedOn w:val="988"/>
    <w:next w:val="1300"/>
    <w:qFormat/>
    <w:pPr>
      <w:ind w:left="567" w:firstLine="3639"/>
      <w:spacing w:before="0" w:after="0" w:line="480" w:lineRule="atLeast"/>
    </w:pPr>
    <w:rPr>
      <w:rFonts w:ascii="Times New Roman" w:hAnsi="Times New Roman" w:cs="Times New Roman"/>
    </w:rPr>
  </w:style>
  <w:style w:type="paragraph" w:styleId="1300" w:customStyle="1">
    <w:name w:val="列表框2"/>
    <w:next w:val="1301"/>
    <w:qFormat/>
    <w:pPr>
      <w:ind w:firstLine="2048"/>
      <w:spacing w:line="460" w:lineRule="exact"/>
    </w:pPr>
    <w:rPr>
      <w:rFonts w:ascii="Calibri" w:hAnsi="Calibri"/>
    </w:rPr>
  </w:style>
  <w:style w:type="paragraph" w:styleId="1301" w:customStyle="1">
    <w:name w:val="font10"/>
    <w:basedOn w:val="988"/>
    <w:next w:val="1020"/>
    <w:qFormat/>
    <w:pPr>
      <w:ind w:left="0" w:firstLine="3584"/>
      <w:spacing w:before="280" w:after="280" w:line="240" w:lineRule="auto"/>
    </w:pPr>
    <w:rPr>
      <w:rFonts w:ascii="Times New Roman" w:hAnsi="Times New Roman" w:cs="Times New Roman"/>
    </w:rPr>
  </w:style>
  <w:style w:type="paragraph" w:styleId="1302" w:customStyle="1">
    <w:name w:val="纯文本1"/>
    <w:basedOn w:val="988"/>
    <w:next w:val="1032"/>
    <w:qFormat/>
    <w:pPr>
      <w:ind w:left="0" w:firstLine="3584"/>
      <w:spacing w:before="0" w:after="0" w:line="240" w:lineRule="auto"/>
    </w:pPr>
    <w:rPr>
      <w:rFonts w:ascii="Times New Roman" w:hAnsi="Times New Roman" w:cs="Times New Roman"/>
    </w:rPr>
  </w:style>
  <w:style w:type="paragraph" w:styleId="1303" w:customStyle="1">
    <w:name w:val="索引 91"/>
    <w:basedOn w:val="988"/>
    <w:next w:val="987"/>
    <w:qFormat/>
    <w:pPr>
      <w:ind w:left="1600" w:firstLine="2560"/>
      <w:jc w:val="center"/>
      <w:spacing w:before="0" w:after="0" w:line="360" w:lineRule="auto"/>
    </w:pPr>
    <w:rPr>
      <w:rFonts w:ascii="Times New Roman" w:hAnsi="Times New Roman" w:cs="Times New Roman"/>
    </w:rPr>
  </w:style>
  <w:style w:type="paragraph" w:styleId="1304" w:customStyle="1">
    <w:name w:val="xl79"/>
    <w:basedOn w:val="988"/>
    <w:next w:val="1280"/>
    <w:qFormat/>
    <w:pPr>
      <w:ind w:left="0" w:firstLine="3584"/>
      <w:jc w:val="center"/>
      <w:spacing w:before="280" w:after="280" w:line="240" w:lineRule="auto"/>
    </w:pPr>
    <w:rPr>
      <w:rFonts w:ascii="Times New Roman" w:hAnsi="Times New Roman" w:cs="Times New Roman"/>
    </w:rPr>
  </w:style>
  <w:style w:type="paragraph" w:styleId="1305" w:customStyle="1">
    <w:name w:val="表格文字（4号居中）"/>
    <w:next w:val="1306"/>
    <w:qFormat/>
    <w:pPr>
      <w:ind w:firstLine="2560"/>
      <w:jc w:val="center"/>
    </w:pPr>
    <w:rPr>
      <w:rFonts w:ascii="Calibri" w:hAnsi="Calibri"/>
    </w:rPr>
  </w:style>
  <w:style w:type="paragraph" w:styleId="1306" w:customStyle="1">
    <w:name w:val="!方块加粗"/>
    <w:basedOn w:val="988"/>
    <w:next w:val="1273"/>
    <w:qFormat/>
    <w:pPr>
      <w:ind w:left="600" w:firstLine="5212"/>
      <w:spacing w:before="0" w:after="0" w:line="360" w:lineRule="auto"/>
    </w:pPr>
    <w:rPr>
      <w:rFonts w:ascii="Times New Roman" w:hAnsi="Times New Roman" w:cs="Times New Roman"/>
    </w:rPr>
  </w:style>
  <w:style w:type="paragraph" w:styleId="1307" w:customStyle="1">
    <w:name w:val="xl75"/>
    <w:basedOn w:val="988"/>
    <w:next w:val="1033"/>
    <w:qFormat/>
    <w:pPr>
      <w:ind w:left="0" w:firstLine="3584"/>
      <w:jc w:val="center"/>
      <w:spacing w:before="280" w:after="280" w:line="240" w:lineRule="auto"/>
    </w:pPr>
    <w:rPr>
      <w:rFonts w:ascii="Times New Roman" w:hAnsi="Times New Roman" w:cs="Times New Roman"/>
    </w:rPr>
  </w:style>
  <w:style w:type="paragraph" w:styleId="1308" w:customStyle="1">
    <w:name w:val="xl81"/>
    <w:basedOn w:val="988"/>
    <w:next w:val="1309"/>
    <w:qFormat/>
    <w:pPr>
      <w:ind w:left="0" w:firstLine="5120"/>
      <w:spacing w:before="280" w:after="280" w:line="240" w:lineRule="auto"/>
    </w:pPr>
    <w:rPr>
      <w:rFonts w:ascii="Times New Roman" w:hAnsi="Times New Roman" w:cs="Times New Roman"/>
    </w:rPr>
  </w:style>
  <w:style w:type="paragraph" w:styleId="1309" w:customStyle="1">
    <w:name w:val="xl25"/>
    <w:basedOn w:val="988"/>
    <w:next w:val="1310"/>
    <w:qFormat/>
    <w:pPr>
      <w:ind w:left="0" w:firstLine="14"/>
      <w:spacing w:before="280" w:after="280" w:line="240" w:lineRule="auto"/>
      <w:shd w:val="clear" w:color="000000" w:fill="ffffff"/>
    </w:pPr>
    <w:rPr>
      <w:rFonts w:ascii="Times New Roman" w:hAnsi="Times New Roman" w:cs="Times New Roman"/>
    </w:rPr>
  </w:style>
  <w:style w:type="paragraph" w:styleId="1310" w:customStyle="1">
    <w:name w:val="普通(网站)1"/>
    <w:basedOn w:val="988"/>
    <w:next w:val="1311"/>
    <w:qFormat/>
    <w:pPr>
      <w:ind w:left="200" w:firstLine="1224"/>
      <w:spacing w:before="280" w:after="280" w:line="240" w:lineRule="auto"/>
    </w:pPr>
    <w:rPr>
      <w:rFonts w:ascii="Times New Roman" w:hAnsi="Times New Roman" w:cs="Times New Roman"/>
    </w:rPr>
  </w:style>
  <w:style w:type="paragraph" w:styleId="1311" w:customStyle="1">
    <w:name w:val="xl27"/>
    <w:basedOn w:val="988"/>
    <w:next w:val="1297"/>
    <w:qFormat/>
    <w:pPr>
      <w:ind w:left="0" w:firstLine="20"/>
      <w:spacing w:before="280" w:after="280" w:line="240" w:lineRule="auto"/>
      <w:shd w:val="clear" w:color="000000" w:fill="ffffff"/>
    </w:pPr>
    <w:rPr>
      <w:rFonts w:ascii="Times New Roman" w:hAnsi="Times New Roman" w:cs="Times New Roman"/>
    </w:rPr>
  </w:style>
  <w:style w:type="paragraph" w:styleId="1312" w:customStyle="1">
    <w:name w:val="H 4"/>
    <w:basedOn w:val="992"/>
    <w:next w:val="1313"/>
    <w:qFormat/>
    <w:pPr>
      <w:ind w:left="426" w:firstLine="24"/>
      <w:spacing w:before="0" w:after="0" w:line="360" w:lineRule="auto"/>
      <w:outlineLvl w:val="3"/>
    </w:pPr>
  </w:style>
  <w:style w:type="paragraph" w:styleId="1313" w:customStyle="1">
    <w:name w:val="xl82"/>
    <w:basedOn w:val="988"/>
    <w:next w:val="1308"/>
    <w:qFormat/>
    <w:pPr>
      <w:ind w:left="0" w:firstLine="5120"/>
      <w:spacing w:before="280" w:after="280" w:line="240" w:lineRule="auto"/>
    </w:pPr>
    <w:rPr>
      <w:rFonts w:ascii="Times New Roman" w:hAnsi="Times New Roman" w:cs="Times New Roman"/>
    </w:rPr>
  </w:style>
  <w:style w:type="paragraph" w:styleId="1314" w:customStyle="1">
    <w:name w:val="Char Char Char Char Char Char Char Char"/>
    <w:next w:val="1315"/>
    <w:qFormat/>
    <w:pPr>
      <w:ind w:firstLine="14"/>
      <w:jc w:val="both"/>
      <w:shd w:val="clear" w:color="000000" w:fill="000080"/>
      <w:widowControl w:val="off"/>
    </w:pPr>
    <w:rPr>
      <w:rFonts w:ascii="Calibri" w:hAnsi="Calibri"/>
    </w:rPr>
  </w:style>
  <w:style w:type="paragraph" w:styleId="1315" w:customStyle="1">
    <w:name w:val="Char Char Char Char Char Char1 Char Char Char1 Char Char Char Char Char Char Char Char Char Char Char Char Char Char Char"/>
    <w:basedOn w:val="988"/>
    <w:next w:val="1316"/>
    <w:qFormat/>
    <w:pPr>
      <w:ind w:left="0" w:firstLine="2560"/>
      <w:spacing w:before="0" w:after="0" w:line="240" w:lineRule="auto"/>
    </w:pPr>
    <w:rPr>
      <w:rFonts w:ascii="Times New Roman" w:hAnsi="Times New Roman" w:cs="Times New Roman"/>
    </w:rPr>
  </w:style>
  <w:style w:type="paragraph" w:styleId="1316" w:customStyle="1">
    <w:name w:val="样式1"/>
    <w:basedOn w:val="988"/>
    <w:next w:val="1317"/>
    <w:qFormat/>
    <w:pPr>
      <w:ind w:left="0" w:firstLine="1536"/>
      <w:spacing w:before="120" w:after="120" w:line="300" w:lineRule="auto"/>
    </w:pPr>
    <w:rPr>
      <w:rFonts w:ascii="Times New Roman" w:hAnsi="Times New Roman" w:cs="Times New Roman"/>
    </w:rPr>
  </w:style>
  <w:style w:type="paragraph" w:styleId="1317" w:customStyle="1">
    <w:name w:val="索引 41"/>
    <w:basedOn w:val="988"/>
    <w:next w:val="987"/>
    <w:qFormat/>
    <w:pPr>
      <w:ind w:left="600" w:firstLine="2560"/>
      <w:jc w:val="center"/>
      <w:spacing w:before="0" w:after="0" w:line="360" w:lineRule="auto"/>
    </w:pPr>
    <w:rPr>
      <w:rFonts w:ascii="Times New Roman" w:hAnsi="Times New Roman" w:cs="Times New Roman"/>
    </w:rPr>
  </w:style>
  <w:style w:type="paragraph" w:styleId="1318" w:customStyle="1">
    <w:name w:val="自定义二"/>
    <w:basedOn w:val="988"/>
    <w:next w:val="987"/>
    <w:qFormat/>
    <w:pPr>
      <w:ind w:left="0" w:firstLine="14"/>
      <w:spacing w:before="0" w:after="0" w:line="360" w:lineRule="auto"/>
      <w:outlineLvl w:val="1"/>
    </w:pPr>
    <w:rPr>
      <w:rFonts w:ascii="Times New Roman" w:hAnsi="Times New Roman" w:cs="Times New Roman"/>
    </w:rPr>
  </w:style>
  <w:style w:type="paragraph" w:styleId="1319" w:customStyle="1">
    <w:name w:val="Bullet"/>
    <w:next w:val="1257"/>
    <w:qFormat/>
    <w:pPr>
      <w:ind w:left="567" w:right="2835" w:firstLine="3584"/>
      <w:spacing w:after="60"/>
    </w:pPr>
    <w:rPr>
      <w:rFonts w:ascii="Calibri" w:hAnsi="Calibri"/>
    </w:rPr>
  </w:style>
  <w:style w:type="paragraph" w:styleId="1320" w:customStyle="1">
    <w:name w:val="Char Char Char Char Char Char1"/>
    <w:basedOn w:val="988"/>
    <w:next w:val="1321"/>
    <w:qFormat/>
    <w:pPr>
      <w:ind w:left="0" w:firstLine="2560"/>
      <w:spacing w:before="0" w:after="0" w:line="240" w:lineRule="auto"/>
    </w:pPr>
    <w:rPr>
      <w:rFonts w:ascii="Times New Roman" w:hAnsi="Times New Roman" w:cs="Times New Roman"/>
    </w:rPr>
  </w:style>
  <w:style w:type="paragraph" w:styleId="1321" w:customStyle="1">
    <w:name w:val="正文缩进2"/>
    <w:basedOn w:val="988"/>
    <w:next w:val="1322"/>
    <w:qFormat/>
    <w:pPr>
      <w:ind w:left="420" w:firstLine="1188"/>
      <w:spacing w:before="0" w:after="0" w:line="240" w:lineRule="auto"/>
    </w:pPr>
    <w:rPr>
      <w:rFonts w:ascii="Times New Roman" w:hAnsi="Times New Roman" w:cs="Times New Roman"/>
    </w:rPr>
  </w:style>
  <w:style w:type="paragraph" w:styleId="1322" w:customStyle="1">
    <w:name w:val="列出段落2"/>
    <w:basedOn w:val="988"/>
    <w:next w:val="1323"/>
    <w:qFormat/>
    <w:pPr>
      <w:ind w:left="420" w:firstLine="3748"/>
      <w:spacing w:before="0" w:after="0" w:line="240" w:lineRule="auto"/>
    </w:pPr>
    <w:rPr>
      <w:rFonts w:ascii="Times New Roman" w:hAnsi="Times New Roman" w:cs="Times New Roman"/>
    </w:rPr>
  </w:style>
  <w:style w:type="paragraph" w:styleId="1323" w:customStyle="1">
    <w:name w:val="正文文本缩进 31"/>
    <w:basedOn w:val="988"/>
    <w:next w:val="1324"/>
    <w:qFormat/>
    <w:pPr>
      <w:ind w:left="1200" w:firstLine="1248"/>
      <w:spacing w:before="120" w:after="0" w:line="22" w:lineRule="atLeast"/>
    </w:pPr>
    <w:rPr>
      <w:rFonts w:ascii="Times New Roman" w:hAnsi="Times New Roman" w:cs="Times New Roman"/>
    </w:rPr>
  </w:style>
  <w:style w:type="paragraph" w:styleId="1324" w:customStyle="1">
    <w:name w:val="样式 正文首行缩进 + 首行缩进:  2 字符5"/>
    <w:next w:val="1325"/>
    <w:qFormat/>
    <w:pPr>
      <w:ind w:left="200" w:firstLine="3784"/>
      <w:spacing w:line="300" w:lineRule="auto"/>
    </w:pPr>
    <w:rPr>
      <w:rFonts w:ascii="Calibri" w:hAnsi="Calibri"/>
    </w:rPr>
  </w:style>
  <w:style w:type="paragraph" w:styleId="1325" w:customStyle="1">
    <w:name w:val="Char2"/>
    <w:basedOn w:val="988"/>
    <w:next w:val="1319"/>
    <w:qFormat/>
    <w:pPr>
      <w:ind w:left="0" w:firstLine="3584"/>
      <w:spacing w:before="0" w:after="160" w:line="240" w:lineRule="exact"/>
    </w:pPr>
    <w:rPr>
      <w:rFonts w:ascii="Times New Roman" w:hAnsi="Times New Roman" w:cs="Times New Roman"/>
    </w:rPr>
  </w:style>
  <w:style w:type="paragraph" w:styleId="1326" w:customStyle="1">
    <w:name w:val="WPSOffice手动目录 1"/>
    <w:qFormat/>
  </w:style>
  <w:style w:type="paragraph" w:styleId="1327" w:customStyle="1">
    <w:name w:val="纯文本4"/>
    <w:basedOn w:val="987"/>
    <w:qFormat/>
    <w:pPr>
      <w:ind w:left="0"/>
      <w:widowControl w:val="off"/>
    </w:pPr>
    <w:rPr>
      <w:rFonts w:ascii="宋体" w:hAnsi="Courier New" w:eastAsia="楷体_GB2312" w:cs="Times New Roman"/>
      <w:sz w:val="26"/>
    </w:rPr>
  </w:style>
  <w:style w:type="paragraph" w:styleId="1328" w:customStyle="1">
    <w:name w:val="Char Char Char Char Char Char Char Char Char Char Char Char Char Char Char Char"/>
    <w:basedOn w:val="988"/>
    <w:next w:val="1329"/>
    <w:qFormat/>
    <w:pPr>
      <w:ind w:left="682" w:firstLine="1224"/>
      <w:spacing w:before="0" w:after="0" w:line="360" w:lineRule="auto"/>
    </w:pPr>
    <w:rPr>
      <w:rFonts w:ascii="Times New Roman" w:hAnsi="Times New Roman" w:cs="Times New Roman"/>
    </w:rPr>
  </w:style>
  <w:style w:type="paragraph" w:styleId="1329" w:customStyle="1">
    <w:name w:val="列表编号 51"/>
    <w:basedOn w:val="988"/>
    <w:next w:val="1330"/>
    <w:qFormat/>
    <w:pPr>
      <w:ind w:left="900" w:firstLine="2652"/>
      <w:spacing w:before="0" w:after="0" w:line="360" w:lineRule="auto"/>
    </w:pPr>
    <w:rPr>
      <w:rFonts w:ascii="Times New Roman" w:hAnsi="Times New Roman" w:cs="Times New Roman"/>
    </w:rPr>
  </w:style>
  <w:style w:type="paragraph" w:styleId="1330" w:customStyle="1">
    <w:name w:val="样式 标题 1 + 黑体 (符号) 宋体 三号 段前: 7.8 磅 段后: 7.8 磅 行距: 1.5 倍行距"/>
    <w:basedOn w:val="989"/>
    <w:next w:val="1331"/>
    <w:qFormat/>
    <w:pPr>
      <w:ind w:left="432" w:firstLine="18"/>
      <w:spacing w:before="40" w:after="40" w:line="360" w:lineRule="auto"/>
      <w:outlineLvl w:val="0"/>
    </w:pPr>
  </w:style>
  <w:style w:type="paragraph" w:styleId="1331" w:customStyle="1">
    <w:name w:val="表格用"/>
    <w:basedOn w:val="988"/>
    <w:next w:val="1288"/>
    <w:qFormat/>
    <w:pPr>
      <w:ind w:left="0" w:firstLine="1024"/>
      <w:spacing w:before="0" w:after="0" w:line="360" w:lineRule="auto"/>
    </w:pPr>
    <w:rPr>
      <w:rFonts w:ascii="Times New Roman" w:hAnsi="Times New Roman" w:cs="Times New Roman"/>
    </w:rPr>
  </w:style>
  <w:style w:type="paragraph" w:styleId="1332" w:customStyle="1">
    <w:name w:val="xl71"/>
    <w:basedOn w:val="988"/>
    <w:next w:val="1333"/>
    <w:qFormat/>
    <w:pPr>
      <w:ind w:left="0" w:firstLine="1536"/>
      <w:spacing w:before="280" w:after="280" w:line="240" w:lineRule="auto"/>
    </w:pPr>
    <w:rPr>
      <w:rFonts w:ascii="Times New Roman" w:hAnsi="Times New Roman" w:cs="Times New Roman"/>
    </w:rPr>
  </w:style>
  <w:style w:type="paragraph" w:styleId="1333" w:customStyle="1">
    <w:name w:val="正文文本 31"/>
    <w:basedOn w:val="988"/>
    <w:next w:val="1334"/>
    <w:qFormat/>
    <w:pPr>
      <w:ind w:left="0" w:firstLine="3584"/>
      <w:jc w:val="center"/>
      <w:spacing w:before="0" w:after="120" w:line="360" w:lineRule="auto"/>
    </w:pPr>
    <w:rPr>
      <w:rFonts w:ascii="Times New Roman" w:hAnsi="Times New Roman" w:cs="Times New Roman"/>
    </w:rPr>
  </w:style>
  <w:style w:type="paragraph" w:styleId="1334" w:customStyle="1">
    <w:name w:val="列出段落111"/>
    <w:basedOn w:val="988"/>
    <w:next w:val="1270"/>
    <w:qFormat/>
    <w:pPr>
      <w:ind w:left="420" w:firstLine="3748"/>
      <w:spacing w:before="0" w:after="0" w:line="240" w:lineRule="auto"/>
    </w:pPr>
    <w:rPr>
      <w:rFonts w:ascii="Times New Roman" w:hAnsi="Times New Roman" w:cs="Times New Roman"/>
    </w:rPr>
  </w:style>
  <w:style w:type="paragraph" w:styleId="1335" w:customStyle="1">
    <w:name w:val="修订1"/>
    <w:qFormat/>
    <w:rPr>
      <w:rFonts w:ascii="Calibri" w:hAnsi="Calibri"/>
    </w:rPr>
  </w:style>
  <w:style w:type="paragraph" w:styleId="1336" w:customStyle="1">
    <w:name w:val="正文文本缩进 21"/>
    <w:basedOn w:val="988"/>
    <w:next w:val="1276"/>
    <w:qFormat/>
    <w:pPr>
      <w:ind w:left="480" w:firstLine="4832"/>
      <w:spacing w:before="0" w:after="0" w:line="240" w:lineRule="auto"/>
    </w:pPr>
    <w:rPr>
      <w:rFonts w:ascii="Times New Roman" w:hAnsi="Times New Roman" w:cs="Times New Roman"/>
    </w:rPr>
  </w:style>
  <w:style w:type="paragraph" w:styleId="1337" w:customStyle="1">
    <w:name w:val="Char Char4 Char Char"/>
    <w:basedOn w:val="988"/>
    <w:next w:val="1286"/>
    <w:qFormat/>
    <w:pPr>
      <w:ind w:left="0" w:firstLine="2560"/>
      <w:spacing w:before="0" w:after="0" w:line="240" w:lineRule="auto"/>
    </w:pPr>
    <w:rPr>
      <w:rFonts w:ascii="Times New Roman" w:hAnsi="Times New Roman" w:cs="Times New Roman"/>
    </w:rPr>
  </w:style>
  <w:style w:type="paragraph" w:styleId="1338" w:customStyle="1">
    <w:name w:val="样式"/>
    <w:next w:val="987"/>
    <w:qFormat/>
    <w:pPr>
      <w:ind w:firstLine="3584"/>
      <w:widowControl w:val="off"/>
    </w:pPr>
    <w:rPr>
      <w:rFonts w:ascii="Calibri" w:hAnsi="Calibri"/>
    </w:rPr>
  </w:style>
  <w:style w:type="paragraph" w:styleId="1339" w:customStyle="1">
    <w:name w:val="TOC 标题1"/>
    <w:basedOn w:val="989"/>
    <w:next w:val="987"/>
    <w:qFormat/>
    <w:pPr>
      <w:ind w:left="0" w:firstLine="6144"/>
      <w:spacing w:before="480" w:after="0" w:line="276" w:lineRule="auto"/>
    </w:pPr>
    <w:rPr>
      <w:b/>
      <w:sz w:val="30"/>
    </w:rPr>
  </w:style>
  <w:style w:type="paragraph" w:styleId="1340" w:customStyle="1">
    <w:name w:val="纯文本3"/>
    <w:basedOn w:val="987"/>
    <w:qFormat/>
    <w:rPr>
      <w:rFonts w:ascii="宋体" w:hAnsi="Courier New" w:cs="Times New Roman"/>
    </w:rPr>
  </w:style>
  <w:style w:type="paragraph" w:styleId="1341" w:customStyle="1">
    <w:name w:val="afont"/>
    <w:basedOn w:val="988"/>
    <w:next w:val="1013"/>
    <w:qFormat/>
    <w:pPr>
      <w:ind w:left="0" w:firstLine="2048"/>
      <w:spacing w:before="100" w:after="100" w:line="285" w:lineRule="atLeast"/>
    </w:pPr>
    <w:rPr>
      <w:rFonts w:ascii="Times New Roman" w:hAnsi="Times New Roman" w:cs="Times New Roman"/>
    </w:rPr>
  </w:style>
  <w:style w:type="paragraph" w:styleId="1342" w:customStyle="1">
    <w:name w:val="xl85"/>
    <w:basedOn w:val="988"/>
    <w:next w:val="1343"/>
    <w:qFormat/>
    <w:pPr>
      <w:ind w:left="0" w:firstLine="2048"/>
      <w:jc w:val="center"/>
      <w:spacing w:before="280" w:after="280" w:line="240" w:lineRule="auto"/>
    </w:pPr>
    <w:rPr>
      <w:rFonts w:ascii="Times New Roman" w:hAnsi="Times New Roman" w:cs="Times New Roman"/>
    </w:rPr>
  </w:style>
  <w:style w:type="paragraph" w:styleId="1343" w:customStyle="1">
    <w:name w:val="文章总标题"/>
    <w:basedOn w:val="988"/>
    <w:next w:val="1344"/>
    <w:qFormat/>
    <w:pPr>
      <w:ind w:left="0" w:firstLine="7168"/>
      <w:jc w:val="center"/>
      <w:spacing w:before="566" w:after="544" w:line="566" w:lineRule="atLeast"/>
    </w:pPr>
    <w:rPr>
      <w:rFonts w:ascii="Times New Roman" w:hAnsi="Times New Roman" w:cs="Times New Roman"/>
    </w:rPr>
  </w:style>
  <w:style w:type="paragraph" w:styleId="1344" w:customStyle="1">
    <w:name w:val="样式 首行缩进:  2 字符"/>
    <w:basedOn w:val="988"/>
    <w:next w:val="1307"/>
    <w:qFormat/>
    <w:pPr>
      <w:ind w:left="200" w:firstLine="1224"/>
      <w:spacing w:before="0" w:after="0" w:line="400" w:lineRule="exact"/>
    </w:pPr>
    <w:rPr>
      <w:rFonts w:ascii="Times New Roman" w:hAnsi="Times New Roman" w:cs="Times New Roman"/>
    </w:rPr>
  </w:style>
  <w:style w:type="paragraph" w:styleId="1345" w:customStyle="1">
    <w:name w:val="二级条标题"/>
    <w:basedOn w:val="988"/>
    <w:next w:val="987"/>
    <w:qFormat/>
    <w:pPr>
      <w:ind w:left="0" w:firstLine="8"/>
      <w:spacing w:before="0" w:after="0" w:line="240" w:lineRule="auto"/>
      <w:outlineLvl w:val="3"/>
    </w:pPr>
    <w:rPr>
      <w:rFonts w:ascii="Times New Roman" w:hAnsi="Times New Roman" w:cs="Times New Roman"/>
    </w:rPr>
  </w:style>
  <w:style w:type="paragraph" w:styleId="1346" w:customStyle="1">
    <w:name w:val="Plain Text*"/>
    <w:basedOn w:val="987"/>
    <w:qFormat/>
    <w:pPr>
      <w:ind w:left="0"/>
      <w:jc w:val="left"/>
    </w:pPr>
    <w:rPr>
      <w:rFonts w:ascii="宋体" w:hAnsi="宋体" w:eastAsia="楷体_GB2312" w:cs="Courier New"/>
      <w:sz w:val="26"/>
      <w:lang w:val="zh-CN"/>
    </w:rPr>
  </w:style>
  <w:style w:type="paragraph" w:styleId="1347" w:customStyle="1">
    <w:name w:val="样式 加粗 居中2"/>
    <w:basedOn w:val="988"/>
    <w:next w:val="1199"/>
    <w:qFormat/>
    <w:pPr>
      <w:ind w:left="0" w:firstLine="2560"/>
      <w:jc w:val="center"/>
      <w:spacing w:before="0" w:after="0" w:line="360" w:lineRule="auto"/>
    </w:pPr>
    <w:rPr>
      <w:rFonts w:ascii="Times New Roman" w:hAnsi="Times New Roman" w:cs="Times New Roman"/>
    </w:rPr>
  </w:style>
  <w:style w:type="paragraph" w:styleId="1348" w:customStyle="1">
    <w:name w:val="标准文本"/>
    <w:basedOn w:val="988"/>
    <w:next w:val="1302"/>
    <w:qFormat/>
    <w:pPr>
      <w:ind w:left="480" w:firstLine="2784"/>
      <w:spacing w:before="0" w:after="0" w:line="360" w:lineRule="auto"/>
    </w:pPr>
    <w:rPr>
      <w:rFonts w:ascii="Times New Roman" w:hAnsi="Times New Roman" w:cs="Times New Roman"/>
    </w:rPr>
  </w:style>
  <w:style w:type="paragraph" w:styleId="1349" w:customStyle="1">
    <w:name w:val="font5"/>
    <w:basedOn w:val="988"/>
    <w:next w:val="1350"/>
    <w:qFormat/>
    <w:pPr>
      <w:ind w:left="0" w:firstLine="5120"/>
      <w:spacing w:before="280" w:after="280" w:line="240" w:lineRule="auto"/>
    </w:pPr>
    <w:rPr>
      <w:rFonts w:ascii="Times New Roman" w:hAnsi="Times New Roman" w:cs="Times New Roman"/>
    </w:rPr>
  </w:style>
  <w:style w:type="paragraph" w:styleId="1350" w:customStyle="1">
    <w:name w:val="索引标题1"/>
    <w:basedOn w:val="988"/>
    <w:next w:val="1229"/>
    <w:qFormat/>
    <w:pPr>
      <w:ind w:left="0" w:firstLine="4608"/>
      <w:jc w:val="center"/>
      <w:spacing w:before="0" w:after="0" w:line="360" w:lineRule="auto"/>
    </w:pPr>
    <w:rPr>
      <w:rFonts w:ascii="Times New Roman" w:hAnsi="Times New Roman" w:cs="Times New Roman"/>
    </w:rPr>
  </w:style>
  <w:style w:type="paragraph" w:styleId="1351" w:customStyle="1">
    <w:name w:val="Char Char Char Char Char Char1 Char Char Char1 Char Char Char Char Char Char Char Char Char Char Char Char Char Char Char Char"/>
    <w:basedOn w:val="988"/>
    <w:next w:val="1352"/>
    <w:qFormat/>
    <w:pPr>
      <w:ind w:left="0" w:firstLine="2560"/>
      <w:spacing w:before="0" w:after="0" w:line="240" w:lineRule="auto"/>
    </w:pPr>
    <w:rPr>
      <w:rFonts w:ascii="Times New Roman" w:hAnsi="Times New Roman" w:cs="Times New Roman"/>
    </w:rPr>
  </w:style>
  <w:style w:type="paragraph" w:styleId="1352" w:customStyle="1">
    <w:name w:val="1正文"/>
    <w:basedOn w:val="988"/>
    <w:next w:val="1353"/>
    <w:qFormat/>
    <w:pPr>
      <w:ind w:left="480" w:firstLine="2784"/>
      <w:spacing w:before="0" w:after="0" w:line="300" w:lineRule="auto"/>
    </w:pPr>
    <w:rPr>
      <w:rFonts w:ascii="Times New Roman" w:hAnsi="Times New Roman" w:cs="Times New Roman"/>
    </w:rPr>
  </w:style>
  <w:style w:type="paragraph" w:styleId="1353" w:customStyle="1">
    <w:name w:val="目录2"/>
    <w:basedOn w:val="988"/>
    <w:next w:val="987"/>
    <w:qFormat/>
    <w:pPr>
      <w:ind w:left="209" w:firstLine="5329"/>
      <w:spacing w:before="0" w:after="0" w:line="317" w:lineRule="atLeast"/>
    </w:pPr>
    <w:rPr>
      <w:rFonts w:ascii="Times New Roman" w:hAnsi="Times New Roman" w:cs="Times New Roman"/>
    </w:rPr>
  </w:style>
  <w:style w:type="paragraph" w:styleId="1354" w:customStyle="1">
    <w:name w:val="图表目录1"/>
    <w:basedOn w:val="988"/>
    <w:next w:val="987"/>
    <w:qFormat/>
    <w:pPr>
      <w:ind w:left="200" w:firstLine="2616"/>
      <w:jc w:val="center"/>
      <w:spacing w:before="0" w:after="0" w:line="360" w:lineRule="auto"/>
    </w:pPr>
    <w:rPr>
      <w:rFonts w:ascii="Times New Roman" w:hAnsi="Times New Roman" w:cs="Times New Roman"/>
    </w:rPr>
  </w:style>
  <w:style w:type="paragraph" w:styleId="1355" w:customStyle="1">
    <w:name w:val="xl63"/>
    <w:basedOn w:val="988"/>
    <w:next w:val="1305"/>
    <w:qFormat/>
    <w:pPr>
      <w:ind w:left="0" w:firstLine="5120"/>
      <w:spacing w:before="280" w:after="280" w:line="240" w:lineRule="auto"/>
    </w:pPr>
    <w:rPr>
      <w:rFonts w:ascii="Times New Roman" w:hAnsi="Times New Roman" w:cs="Times New Roman"/>
    </w:rPr>
  </w:style>
  <w:style w:type="paragraph" w:styleId="1356">
    <w:name w:val="List Paragraph"/>
    <w:basedOn w:val="987"/>
    <w:next w:val="1263"/>
    <w:qFormat/>
    <w:pPr>
      <w:ind w:left="420" w:firstLine="3748"/>
    </w:pPr>
    <w:rPr>
      <w:rFonts w:ascii="Times New Roman" w:hAnsi="Times New Roman" w:cs="Times New Roman"/>
    </w:rPr>
  </w:style>
  <w:style w:type="paragraph" w:styleId="1357" w:customStyle="1">
    <w:name w:val="xl73"/>
    <w:basedOn w:val="988"/>
    <w:next w:val="1358"/>
    <w:qFormat/>
    <w:pPr>
      <w:ind w:left="0" w:firstLine="3584"/>
      <w:spacing w:before="280" w:after="280" w:line="240" w:lineRule="auto"/>
    </w:pPr>
    <w:rPr>
      <w:rFonts w:ascii="Times New Roman" w:hAnsi="Times New Roman" w:cs="Times New Roman"/>
    </w:rPr>
  </w:style>
  <w:style w:type="paragraph" w:styleId="1358" w:customStyle="1">
    <w:name w:val="xl80"/>
    <w:basedOn w:val="988"/>
    <w:next w:val="1359"/>
    <w:qFormat/>
    <w:pPr>
      <w:ind w:left="0" w:firstLine="3584"/>
      <w:jc w:val="center"/>
      <w:spacing w:before="280" w:after="280" w:line="240" w:lineRule="auto"/>
    </w:pPr>
    <w:rPr>
      <w:rFonts w:ascii="Times New Roman" w:hAnsi="Times New Roman" w:cs="Times New Roman"/>
    </w:rPr>
  </w:style>
  <w:style w:type="paragraph" w:styleId="1359" w:customStyle="1">
    <w:name w:val="样式2"/>
    <w:basedOn w:val="993"/>
    <w:next w:val="1360"/>
    <w:qFormat/>
    <w:pPr>
      <w:ind w:left="1134" w:firstLine="18"/>
      <w:spacing w:before="0" w:after="0" w:line="360" w:lineRule="auto"/>
      <w:outlineLvl w:val="4"/>
    </w:pPr>
  </w:style>
  <w:style w:type="paragraph" w:styleId="1360" w:customStyle="1">
    <w:name w:val="日期1"/>
    <w:basedOn w:val="988"/>
    <w:next w:val="987"/>
    <w:qFormat/>
    <w:pPr>
      <w:ind w:left="100" w:firstLine="6144"/>
      <w:spacing w:before="0" w:after="0" w:line="240" w:lineRule="auto"/>
    </w:pPr>
    <w:rPr>
      <w:rFonts w:ascii="Times New Roman" w:hAnsi="Times New Roman" w:cs="Times New Roman"/>
    </w:rPr>
  </w:style>
  <w:style w:type="paragraph" w:styleId="1361" w:customStyle="1">
    <w:name w:val="图1"/>
    <w:basedOn w:val="988"/>
    <w:next w:val="987"/>
    <w:qFormat/>
    <w:pPr>
      <w:ind w:left="1105" w:firstLine="2580"/>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w:basedOn w:val="988"/>
    <w:next w:val="1342"/>
    <w:qFormat/>
    <w:pPr>
      <w:ind w:left="0" w:firstLine="2560"/>
      <w:spacing w:before="0" w:after="0" w:line="240" w:lineRule="auto"/>
    </w:pPr>
    <w:rPr>
      <w:rFonts w:ascii="Times New Roman" w:hAnsi="Times New Roman" w:cs="Times New Roman"/>
    </w:rPr>
  </w:style>
  <w:style w:type="paragraph" w:styleId="1363" w:customStyle="1">
    <w:name w:val="Char Char Char Char Char Char Char"/>
    <w:basedOn w:val="988"/>
    <w:next w:val="1248"/>
    <w:qFormat/>
    <w:pPr>
      <w:ind w:left="200" w:firstLine="4808"/>
      <w:spacing w:before="0" w:after="0" w:line="360" w:lineRule="auto"/>
    </w:pPr>
    <w:rPr>
      <w:rFonts w:ascii="Times New Roman" w:hAnsi="Times New Roman" w:cs="Times New Roman"/>
    </w:rPr>
  </w:style>
  <w:style w:type="paragraph" w:styleId="1364" w:customStyle="1">
    <w:name w:val="Char Char Char Char Char Char Char Char Char Char Char Char Char Char Char"/>
    <w:basedOn w:val="988"/>
    <w:next w:val="1339"/>
    <w:qFormat/>
    <w:pPr>
      <w:ind w:left="0" w:firstLine="3584"/>
      <w:jc w:val="center"/>
      <w:spacing w:before="0" w:after="0" w:line="400" w:lineRule="exact"/>
    </w:pPr>
    <w:rPr>
      <w:rFonts w:ascii="Times New Roman" w:hAnsi="Times New Roman" w:cs="Times New Roman"/>
    </w:rPr>
  </w:style>
  <w:style w:type="paragraph" w:styleId="1365">
    <w:name w:val="Intense Quote"/>
    <w:next w:val="987"/>
    <w:qFormat/>
    <w:pPr>
      <w:ind w:left="3766" w:right="950"/>
      <w:jc w:val="center"/>
      <w:spacing w:before="360" w:after="360"/>
    </w:pPr>
    <w:rPr>
      <w:rFonts w:ascii="Calibri" w:hAnsi="Calibri"/>
      <w:i/>
    </w:rPr>
  </w:style>
  <w:style w:type="paragraph" w:styleId="1366" w:customStyle="1">
    <w:name w:val="索引 51"/>
    <w:basedOn w:val="988"/>
    <w:next w:val="987"/>
    <w:qFormat/>
    <w:pPr>
      <w:ind w:left="800" w:firstLine="2560"/>
      <w:jc w:val="center"/>
      <w:spacing w:before="0" w:after="0" w:line="360" w:lineRule="auto"/>
    </w:pPr>
    <w:rPr>
      <w:rFonts w:ascii="Times New Roman" w:hAnsi="Times New Roman" w:cs="Times New Roman"/>
    </w:rPr>
  </w:style>
  <w:style w:type="paragraph" w:styleId="1367" w:customStyle="1">
    <w:name w:val="图表"/>
    <w:basedOn w:val="988"/>
    <w:next w:val="1368"/>
    <w:qFormat/>
    <w:pPr>
      <w:ind w:left="0" w:firstLine="2048"/>
      <w:jc w:val="center"/>
      <w:spacing w:before="0" w:after="0" w:line="240" w:lineRule="auto"/>
    </w:pPr>
    <w:rPr>
      <w:rFonts w:ascii="Times New Roman" w:hAnsi="Times New Roman" w:cs="Times New Roman"/>
    </w:rPr>
  </w:style>
  <w:style w:type="paragraph" w:styleId="1368" w:customStyle="1">
    <w:name w:val="reader-word-layer"/>
    <w:basedOn w:val="988"/>
    <w:next w:val="1369"/>
    <w:qFormat/>
    <w:pPr>
      <w:ind w:left="0" w:firstLine="1024"/>
      <w:spacing w:before="280" w:after="280" w:line="240" w:lineRule="auto"/>
    </w:pPr>
    <w:rPr>
      <w:rFonts w:ascii="Times New Roman" w:hAnsi="Times New Roman" w:cs="Times New Roman"/>
    </w:rPr>
  </w:style>
  <w:style w:type="paragraph" w:styleId="1369" w:customStyle="1">
    <w:name w:val="样式 加粗 居中1"/>
    <w:next w:val="1208"/>
    <w:qFormat/>
    <w:pPr>
      <w:ind w:firstLine="2560"/>
      <w:jc w:val="center"/>
    </w:pPr>
    <w:rPr>
      <w:rFonts w:ascii="Calibri" w:hAnsi="Calibri"/>
    </w:rPr>
  </w:style>
  <w:style w:type="paragraph" w:styleId="1370" w:customStyle="1">
    <w:name w:val="修订2"/>
    <w:qFormat/>
    <w:rPr>
      <w:rFonts w:ascii="Calibri" w:hAnsi="Calibri"/>
    </w:rPr>
  </w:style>
  <w:style w:type="paragraph" w:styleId="1371" w:customStyle="1">
    <w:name w:val="Body"/>
    <w:next w:val="1303"/>
    <w:qFormat/>
    <w:pPr>
      <w:ind w:left="567" w:right="2835" w:firstLine="3584"/>
      <w:spacing w:after="60"/>
    </w:pPr>
    <w:rPr>
      <w:rFonts w:ascii="Calibri" w:hAnsi="Calibri"/>
    </w:rPr>
  </w:style>
  <w:style w:type="paragraph" w:styleId="1372" w:customStyle="1">
    <w:name w:val="font6"/>
    <w:basedOn w:val="988"/>
    <w:next w:val="1373"/>
    <w:qFormat/>
    <w:pPr>
      <w:ind w:left="0" w:firstLine="5120"/>
      <w:spacing w:before="280" w:after="280" w:line="240" w:lineRule="auto"/>
    </w:pPr>
    <w:rPr>
      <w:rFonts w:ascii="Times New Roman" w:hAnsi="Times New Roman" w:cs="Times New Roman"/>
    </w:rPr>
  </w:style>
  <w:style w:type="paragraph" w:styleId="1373" w:customStyle="1">
    <w:name w:val="正文首行缩进 21"/>
    <w:basedOn w:val="1000"/>
    <w:next w:val="1371"/>
    <w:qFormat/>
    <w:pPr>
      <w:ind w:left="200" w:firstLine="3784"/>
      <w:jc w:val="center"/>
      <w:spacing w:after="120" w:line="360" w:lineRule="auto"/>
    </w:pPr>
    <w:rPr>
      <w:rFonts w:ascii="Calibri" w:hAnsi="Calibri"/>
    </w:rPr>
  </w:style>
  <w:style w:type="paragraph" w:styleId="1374" w:customStyle="1">
    <w:name w:val="Char Char"/>
    <w:next w:val="1367"/>
    <w:qFormat/>
    <w:pPr>
      <w:ind w:firstLine="14"/>
      <w:spacing w:line="360" w:lineRule="auto"/>
      <w:shd w:val="clear" w:color="000000" w:fill="000080"/>
    </w:pPr>
    <w:rPr>
      <w:rFonts w:ascii="Calibri" w:hAnsi="Calibri"/>
    </w:rPr>
  </w:style>
  <w:style w:type="paragraph" w:styleId="1375" w:customStyle="1">
    <w:name w:val="正文_0_0"/>
    <w:next w:val="1207"/>
    <w:qFormat/>
    <w:pPr>
      <w:ind w:firstLine="3584"/>
      <w:jc w:val="both"/>
      <w:widowControl w:val="off"/>
    </w:pPr>
    <w:rPr>
      <w:rFonts w:ascii="Calibri" w:hAnsi="Calibri"/>
    </w:rPr>
  </w:style>
  <w:style w:type="paragraph" w:styleId="1376" w:customStyle="1">
    <w:name w:val="font7"/>
    <w:basedOn w:val="988"/>
    <w:next w:val="1377"/>
    <w:qFormat/>
    <w:pPr>
      <w:ind w:left="0" w:firstLine="3584"/>
      <w:spacing w:before="280" w:after="280" w:line="240" w:lineRule="auto"/>
    </w:pPr>
    <w:rPr>
      <w:rFonts w:ascii="Times New Roman" w:hAnsi="Times New Roman" w:cs="Times New Roman"/>
    </w:rPr>
  </w:style>
  <w:style w:type="paragraph" w:styleId="1377" w:customStyle="1">
    <w:name w:val="Char Char Char Char Char Char1 Char Char Char Char Char Char1 Char Char Char1"/>
    <w:basedOn w:val="988"/>
    <w:next w:val="1378"/>
    <w:qFormat/>
    <w:pPr>
      <w:ind w:left="0" w:firstLine="2560"/>
      <w:spacing w:before="0" w:after="0" w:line="240" w:lineRule="auto"/>
    </w:pPr>
    <w:rPr>
      <w:rFonts w:ascii="Times New Roman" w:hAnsi="Times New Roman" w:cs="Times New Roman"/>
    </w:rPr>
  </w:style>
  <w:style w:type="paragraph" w:styleId="1378" w:customStyle="1">
    <w:name w:val="xl64"/>
    <w:basedOn w:val="988"/>
    <w:next w:val="1345"/>
    <w:qFormat/>
    <w:pPr>
      <w:ind w:left="0" w:firstLine="3584"/>
      <w:spacing w:before="280" w:after="280" w:line="240" w:lineRule="auto"/>
    </w:pPr>
    <w:rPr>
      <w:rFonts w:ascii="Times New Roman" w:hAnsi="Times New Roman" w:cs="Times New Roman"/>
    </w:rPr>
  </w:style>
  <w:style w:type="paragraph" w:styleId="1379" w:customStyle="1">
    <w:name w:val="style16"/>
    <w:basedOn w:val="988"/>
    <w:next w:val="1372"/>
    <w:qFormat/>
    <w:pPr>
      <w:ind w:left="0" w:firstLine="2048"/>
      <w:spacing w:before="280" w:after="280" w:line="240" w:lineRule="auto"/>
    </w:pPr>
    <w:rPr>
      <w:rFonts w:ascii="Times New Roman" w:hAnsi="Times New Roman" w:cs="Times New Roman"/>
    </w:rPr>
  </w:style>
  <w:style w:type="paragraph" w:styleId="1380" w:customStyle="1">
    <w:name w:val="索引 11"/>
    <w:basedOn w:val="988"/>
    <w:next w:val="987"/>
    <w:qFormat/>
    <w:pPr>
      <w:ind w:left="0" w:firstLine="3584"/>
      <w:spacing w:before="0" w:after="0" w:line="240" w:lineRule="auto"/>
    </w:pPr>
    <w:rPr>
      <w:rFonts w:ascii="Times New Roman" w:hAnsi="Times New Roman" w:cs="Times New Roman"/>
    </w:rPr>
  </w:style>
  <w:style w:type="paragraph" w:styleId="1381" w:customStyle="1">
    <w:name w:val="H 3"/>
    <w:basedOn w:val="991"/>
    <w:next w:val="1382"/>
    <w:qFormat/>
    <w:pPr>
      <w:ind w:left="1429" w:firstLine="18"/>
      <w:spacing w:before="0" w:after="0" w:line="360" w:lineRule="auto"/>
      <w:outlineLvl w:val="2"/>
    </w:pPr>
  </w:style>
  <w:style w:type="paragraph" w:styleId="1382" w:customStyle="1">
    <w:name w:val="xl83"/>
    <w:basedOn w:val="988"/>
    <w:next w:val="1363"/>
    <w:qFormat/>
    <w:pPr>
      <w:ind w:left="0" w:firstLine="5120"/>
      <w:spacing w:before="280" w:after="280" w:line="240" w:lineRule="auto"/>
    </w:pPr>
    <w:rPr>
      <w:rFonts w:ascii="Times New Roman" w:hAnsi="Times New Roman" w:cs="Times New Roman"/>
    </w:rPr>
  </w:style>
  <w:style w:type="paragraph" w:styleId="1383" w:customStyle="1">
    <w:name w:val="表格文字（居中）"/>
    <w:basedOn w:val="988"/>
    <w:next w:val="1379"/>
    <w:qFormat/>
    <w:pPr>
      <w:ind w:left="0" w:firstLine="2560"/>
      <w:jc w:val="center"/>
      <w:spacing w:before="0" w:after="0" w:line="360" w:lineRule="auto"/>
    </w:pPr>
    <w:rPr>
      <w:rFonts w:ascii="Times New Roman" w:hAnsi="Times New Roman" w:cs="Times New Roman"/>
    </w:rPr>
  </w:style>
  <w:style w:type="paragraph" w:styleId="1384" w:customStyle="1">
    <w:name w:val="正文首行缩进两字符"/>
    <w:basedOn w:val="988"/>
    <w:next w:val="1366"/>
    <w:qFormat/>
    <w:pPr>
      <w:ind w:left="200" w:firstLine="3784"/>
      <w:spacing w:before="0" w:after="0" w:line="360" w:lineRule="auto"/>
    </w:pPr>
    <w:rPr>
      <w:rFonts w:ascii="Times New Roman" w:hAnsi="Times New Roman" w:cs="Times New Roman"/>
    </w:rPr>
  </w:style>
  <w:style w:type="paragraph" w:styleId="1385" w:customStyle="1">
    <w:name w:val="1"/>
    <w:basedOn w:val="988"/>
    <w:next w:val="1021"/>
    <w:qFormat/>
    <w:pPr>
      <w:ind w:left="0" w:firstLine="2048"/>
      <w:spacing w:before="0" w:after="0" w:line="240" w:lineRule="auto"/>
    </w:pPr>
    <w:rPr>
      <w:rFonts w:ascii="Times New Roman" w:hAnsi="Times New Roman" w:cs="Times New Roman"/>
    </w:rPr>
  </w:style>
  <w:style w:type="paragraph" w:styleId="1386" w:customStyle="1">
    <w:name w:val="_Style 398"/>
    <w:basedOn w:val="988"/>
    <w:next w:val="98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7" w:customStyle="1">
    <w:name w:val="Table Paragraph"/>
    <w:basedOn w:val="987"/>
    <w:uiPriority w:val="1"/>
    <w:qFormat/>
    <w:rPr>
      <w:rFonts w:ascii="宋体" w:hAnsi="宋体"/>
      <w:lang w:val="zh-CN" w:bidi="zh-CN"/>
    </w:rPr>
  </w:style>
  <w:style w:type="paragraph" w:styleId="1388" w:customStyle="1">
    <w:name w:val="_Style 400"/>
    <w:qFormat/>
    <w:rPr>
      <w:rFonts w:ascii="Calibri" w:hAnsi="Calibri"/>
    </w:rPr>
  </w:style>
  <w:style w:type="paragraph" w:styleId="1389" w:customStyle="1">
    <w:name w:val="Style1"/>
    <w:basedOn w:val="987"/>
    <w:qFormat/>
    <w:pPr>
      <w:ind w:left="0"/>
      <w:tabs>
        <w:tab w:val="left" w:pos="-720" w:leader="none"/>
      </w:tabs>
    </w:pPr>
    <w:rPr>
      <w:rFonts w:ascii="Times New Roman" w:hAnsi="Times New Roman" w:cs="Times New Roman"/>
      <w:spacing w:val="-3"/>
      <w:sz w:val="24"/>
      <w:szCs w:val="24"/>
      <w:lang w:val="en-AU" w:eastAsia="en-US"/>
    </w:rPr>
  </w:style>
  <w:style w:type="paragraph" w:styleId="1390" w:customStyle="1">
    <w:name w:val="msolistparagraph"/>
    <w:basedOn w:val="988"/>
    <w:next w:val="1255"/>
    <w:qFormat/>
    <w:pPr>
      <w:ind w:left="420" w:firstLine="3748"/>
      <w:spacing w:before="0" w:after="0" w:line="240" w:lineRule="auto"/>
    </w:pPr>
    <w:rPr>
      <w:rFonts w:ascii="Times New Roman" w:hAnsi="Times New Roman" w:cs="Times New Roman"/>
    </w:rPr>
  </w:style>
  <w:style w:type="paragraph" w:styleId="1391" w:customStyle="1">
    <w:name w:val="Char1 Char Char Char"/>
    <w:basedOn w:val="988"/>
    <w:next w:val="1392"/>
    <w:qFormat/>
    <w:pPr>
      <w:ind w:left="0" w:firstLine="2560"/>
      <w:spacing w:before="0" w:after="0" w:line="240" w:lineRule="auto"/>
    </w:pPr>
    <w:rPr>
      <w:rFonts w:ascii="Times New Roman" w:hAnsi="Times New Roman" w:cs="Times New Roman"/>
    </w:rPr>
  </w:style>
  <w:style w:type="paragraph" w:styleId="1392" w:customStyle="1">
    <w:name w:val="xl24"/>
    <w:basedOn w:val="988"/>
    <w:next w:val="1337"/>
    <w:qFormat/>
    <w:pPr>
      <w:ind w:left="0" w:firstLine="20"/>
      <w:jc w:val="center"/>
      <w:spacing w:before="280" w:after="280" w:line="240" w:lineRule="auto"/>
      <w:shd w:val="clear" w:color="000000" w:fill="ffffff"/>
    </w:pPr>
    <w:rPr>
      <w:rFonts w:ascii="Times New Roman" w:hAnsi="Times New Roman" w:cs="Times New Roman"/>
    </w:rPr>
  </w:style>
  <w:style w:type="paragraph" w:styleId="1393" w:customStyle="1">
    <w:name w:val="表格文字"/>
    <w:next w:val="1351"/>
    <w:qFormat/>
    <w:pPr>
      <w:ind w:firstLine="3584"/>
    </w:pPr>
    <w:rPr>
      <w:rFonts w:ascii="Calibri" w:hAnsi="Calibri"/>
    </w:rPr>
  </w:style>
  <w:style w:type="paragraph" w:styleId="1394" w:customStyle="1">
    <w:name w:val="xl72"/>
    <w:basedOn w:val="988"/>
    <w:next w:val="1250"/>
    <w:qFormat/>
    <w:pPr>
      <w:ind w:left="0" w:firstLine="3584"/>
      <w:spacing w:before="280" w:after="280" w:line="240" w:lineRule="auto"/>
    </w:pPr>
    <w:rPr>
      <w:rFonts w:ascii="Times New Roman" w:hAnsi="Times New Roman" w:cs="Times New Roman"/>
    </w:rPr>
  </w:style>
  <w:style w:type="paragraph" w:styleId="1395" w:customStyle="1">
    <w:name w:val="插图"/>
    <w:next w:val="987"/>
    <w:qFormat/>
    <w:pPr>
      <w:ind w:firstLine="4608"/>
      <w:jc w:val="center"/>
    </w:pPr>
    <w:rPr>
      <w:rFonts w:ascii="Calibri" w:hAnsi="Calibri"/>
    </w:rPr>
  </w:style>
  <w:style w:type="paragraph" w:styleId="1396" w:customStyle="1">
    <w:name w:val="列出段落3"/>
    <w:basedOn w:val="988"/>
    <w:next w:val="1290"/>
    <w:qFormat/>
    <w:pPr>
      <w:ind w:left="420" w:firstLine="3748"/>
      <w:spacing w:before="0" w:after="0" w:line="240" w:lineRule="auto"/>
    </w:pPr>
    <w:rPr>
      <w:rFonts w:ascii="Times New Roman" w:hAnsi="Times New Roman" w:cs="Times New Roman"/>
    </w:rPr>
  </w:style>
  <w:style w:type="paragraph" w:styleId="1397" w:customStyle="1">
    <w:name w:val="目录标题"/>
    <w:basedOn w:val="988"/>
    <w:next w:val="987"/>
    <w:qFormat/>
    <w:pPr>
      <w:ind w:left="419" w:firstLine="7331"/>
      <w:jc w:val="center"/>
      <w:spacing w:before="566" w:after="544" w:line="566" w:lineRule="atLeast"/>
    </w:pPr>
    <w:rPr>
      <w:rFonts w:ascii="Times New Roman" w:hAnsi="Times New Roman" w:cs="Times New Roman"/>
    </w:rPr>
  </w:style>
  <w:style w:type="paragraph" w:styleId="1398" w:customStyle="1">
    <w:name w:val="默认段落字体 Para Char Char Char Char Char Char Char Char Char1 Char Char Char Char"/>
    <w:basedOn w:val="988"/>
    <w:next w:val="1293"/>
    <w:qFormat/>
    <w:pPr>
      <w:ind w:left="0" w:firstLine="2560"/>
      <w:spacing w:before="0" w:after="0" w:line="240" w:lineRule="auto"/>
    </w:pPr>
    <w:rPr>
      <w:rFonts w:ascii="Times New Roman" w:hAnsi="Times New Roman" w:cs="Times New Roman"/>
    </w:rPr>
  </w:style>
  <w:style w:type="paragraph" w:styleId="1399" w:customStyle="1">
    <w:name w:val="WPSOffice手动目录 2"/>
    <w:qFormat/>
    <w:pPr>
      <w:ind w:left="200"/>
    </w:pPr>
  </w:style>
  <w:style w:type="paragraph" w:styleId="1400" w:customStyle="1">
    <w:name w:val="表内文字"/>
    <w:basedOn w:val="988"/>
    <w:next w:val="1029"/>
    <w:qFormat/>
    <w:pPr>
      <w:ind w:left="0" w:firstLine="7680"/>
      <w:jc w:val="center"/>
      <w:spacing w:before="50" w:after="50" w:line="240" w:lineRule="auto"/>
    </w:pPr>
    <w:rPr>
      <w:rFonts w:ascii="Times New Roman" w:hAnsi="Times New Roman" w:cs="Times New Roman"/>
    </w:rPr>
  </w:style>
  <w:style w:type="paragraph" w:styleId="1401" w:customStyle="1">
    <w:name w:val="xl66"/>
    <w:basedOn w:val="988"/>
    <w:next w:val="1383"/>
    <w:qFormat/>
    <w:pPr>
      <w:ind w:left="0" w:firstLine="3584"/>
      <w:spacing w:before="280" w:after="280" w:line="240" w:lineRule="auto"/>
    </w:pPr>
    <w:rPr>
      <w:rFonts w:ascii="Times New Roman" w:hAnsi="Times New Roman" w:cs="Times New Roman"/>
    </w:rPr>
  </w:style>
  <w:style w:type="paragraph" w:styleId="1402" w:customStyle="1">
    <w:name w:val="*正文"/>
    <w:basedOn w:val="987"/>
    <w:qFormat/>
    <w:pPr>
      <w:ind w:left="0" w:firstLine="200"/>
      <w:spacing w:line="360" w:lineRule="auto"/>
    </w:pPr>
    <w:rPr>
      <w:rFonts w:ascii="仿宋_GB2312" w:hAnsi="Times New Roman" w:eastAsia="仿宋_GB2312" w:cs="Times New Roman"/>
      <w:sz w:val="24"/>
      <w:szCs w:val="28"/>
    </w:rPr>
  </w:style>
  <w:style w:type="paragraph" w:styleId="1403" w:customStyle="1">
    <w:name w:val="0"/>
    <w:basedOn w:val="988"/>
    <w:next w:val="1296"/>
    <w:qFormat/>
    <w:pPr>
      <w:ind w:left="0" w:firstLine="2815"/>
      <w:spacing w:before="0" w:after="0" w:line="360" w:lineRule="auto"/>
    </w:pPr>
    <w:rPr>
      <w:rFonts w:ascii="Times New Roman" w:hAnsi="Times New Roman" w:cs="Times New Roman"/>
    </w:rPr>
  </w:style>
  <w:style w:type="table" w:styleId="1404" w:customStyle="1">
    <w:name w:val="网格型1"/>
    <w:basedOn w:val="99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5" w:customStyle="1">
    <w:name w:val="font61"/>
    <w:qFormat/>
    <w:rPr>
      <w:rFonts w:hint="default" w:ascii="Times New Roman" w:hAnsi="Times New Roman" w:cs="Times New Roman"/>
      <w:b/>
      <w:bCs/>
      <w:color w:val="000000"/>
      <w:sz w:val="24"/>
      <w:szCs w:val="24"/>
      <w:u w:val="none"/>
    </w:rPr>
  </w:style>
  <w:style w:type="character" w:styleId="1406" w:customStyle="1">
    <w:name w:val="正文首行缩进 2 字符"/>
    <w:basedOn w:val="997"/>
    <w:link w:val="1047"/>
    <w:qFormat/>
    <w:rPr>
      <w:rFonts w:ascii="Times New Roman" w:hAnsi="Times New Roman" w:cs="Times New Roman"/>
    </w:rPr>
  </w:style>
  <w:style w:type="table" w:styleId="1407" w:customStyle="1">
    <w:name w:val="网格型2"/>
    <w:next w:val="1048"/>
    <w:uiPriority w:val="3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08" w:customStyle="1">
    <w:name w:val="网格型3"/>
    <w:next w:val="1048"/>
    <w:uiPriority w:val="3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409" w:customStyle="1">
    <w:name w:val="标题 1 字符"/>
    <w:link w:val="988"/>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F681060-2E75-4643-A9DA-180862FB5A7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434</cp:revision>
  <dcterms:created xsi:type="dcterms:W3CDTF">2023-12-20T13:18:00Z</dcterms:created>
  <dcterms:modified xsi:type="dcterms:W3CDTF">2026-10-30T07:38:47Z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