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ascii="宋体" w:hAnsi="宋体" w:cs="宋体"/>
          <w:b/>
          <w:sz w:val="48"/>
          <w:szCs w:val="48"/>
        </w:rPr>
      </w:pPr>
      <w:r/>
      <w:bookmarkStart w:id="0" w:name="_Hlk77778371"/>
      <w:r/>
      <w:bookmarkStart w:id="1" w:name="_Hlk74841385"/>
      <w:r/>
      <w:r/>
    </w:p>
    <w:p>
      <w:pPr>
        <w:jc w:val="center"/>
        <w:spacing w:line="360" w:lineRule="auto"/>
        <w:shd w:val="clear" w:color="auto" w:fill="ffffff"/>
        <w:widowControl/>
        <w:rPr>
          <w:rFonts w:ascii="宋体" w:hAnsi="宋体" w:cs="宋体"/>
          <w:b/>
          <w:sz w:val="48"/>
          <w:szCs w:val="48"/>
        </w:rPr>
      </w:pPr>
      <w:r>
        <w:rPr>
          <w:rFonts w:ascii="宋体" w:hAnsi="宋体" w:cs="宋体"/>
          <w:b/>
          <w:sz w:val="48"/>
          <w:szCs w:val="48"/>
        </w:rPr>
      </w:r>
      <w:r/>
    </w:p>
    <w:p>
      <w:pPr>
        <w:pStyle w:val="954"/>
        <w:rPr>
          <w:rFonts w:ascii="宋体" w:hAnsi="宋体" w:cs="宋体"/>
        </w:rPr>
      </w:pPr>
      <w:r>
        <w:rPr>
          <w:rFonts w:ascii="宋体" w:hAnsi="宋体" w:cs="宋体"/>
        </w:rPr>
      </w:r>
      <w:r/>
    </w:p>
    <w:p>
      <w:pPr>
        <w:pStyle w:val="954"/>
        <w:jc w:val="center"/>
        <w:rPr>
          <w:rFonts w:ascii="宋体" w:hAnsi="宋体" w:cs="宋体"/>
          <w:b/>
          <w:bCs/>
          <w:sz w:val="48"/>
          <w:szCs w:val="48"/>
        </w:rPr>
      </w:pPr>
      <w:r>
        <w:rPr>
          <w:rFonts w:hint="eastAsia" w:ascii="宋体" w:hAnsi="宋体" w:cs="宋体"/>
          <w:b/>
          <w:bCs/>
          <w:sz w:val="48"/>
          <w:szCs w:val="48"/>
        </w:rPr>
        <w:t xml:space="preserve">南京工业职业技术大学</w:t>
      </w:r>
      <w:r/>
    </w:p>
    <w:p>
      <w:pPr>
        <w:pStyle w:val="954"/>
        <w:jc w:val="center"/>
        <w:rPr>
          <w:rFonts w:ascii="宋体" w:hAnsi="宋体" w:cs="宋体"/>
          <w:sz w:val="20"/>
          <w:szCs w:val="21"/>
        </w:rPr>
      </w:pPr>
      <w:r>
        <w:rPr>
          <w:rFonts w:hint="eastAsia" w:ascii="宋体" w:hAnsi="宋体" w:cs="宋体"/>
          <w:b/>
          <w:bCs/>
          <w:sz w:val="48"/>
          <w:szCs w:val="48"/>
        </w:rPr>
        <w:t xml:space="preserve">2026-2028年度教职工体检项目</w:t>
      </w:r>
      <w:r/>
    </w:p>
    <w:p>
      <w:r/>
      <w:r/>
    </w:p>
    <w:p>
      <w:r/>
      <w:r/>
    </w:p>
    <w:p>
      <w:r/>
      <w:r/>
    </w:p>
    <w:p>
      <w:r/>
      <w:r/>
    </w:p>
    <w:p>
      <w:r/>
      <w:r/>
    </w:p>
    <w:p>
      <w:r/>
      <w:r/>
    </w:p>
    <w:p>
      <w:r/>
      <w:r/>
    </w:p>
    <w:p>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jc w:val="center"/>
        <w:spacing w:line="360" w:lineRule="auto"/>
        <w:widowControl/>
        <w:rPr>
          <w:rFonts w:ascii="宋体" w:hAnsi="宋体" w:cs="宋体"/>
          <w:b/>
          <w:sz w:val="72"/>
          <w:szCs w:val="72"/>
        </w:rPr>
      </w:pPr>
      <w:r>
        <w:rPr>
          <w:rFonts w:hint="eastAsia" w:ascii="宋体" w:hAnsi="宋体" w:cs="宋体"/>
          <w:b/>
          <w:sz w:val="72"/>
          <w:szCs w:val="72"/>
        </w:rPr>
        <w:t xml:space="preserve">采购文件</w:t>
      </w:r>
      <w:r/>
    </w:p>
    <w:p>
      <w:pPr>
        <w:jc w:val="cente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hint="eastAsia" w:ascii="宋体" w:hAnsi="宋体" w:eastAsia="宋体" w:cs="宋体"/>
          <w:b/>
          <w:sz w:val="40"/>
          <w:szCs w:val="40"/>
          <w:lang w:eastAsia="zh-CN"/>
        </w:rPr>
      </w:pPr>
      <w:r>
        <w:rPr>
          <w:rFonts w:hint="eastAsia" w:ascii="宋体" w:hAnsi="宋体" w:cs="宋体"/>
          <w:b/>
          <w:sz w:val="32"/>
          <w:szCs w:val="32"/>
        </w:rPr>
        <w:t xml:space="preserve">项目编号：</w:t>
      </w:r>
      <w:r>
        <w:rPr>
          <w:rFonts w:hint="eastAsia" w:ascii="宋体" w:hAnsi="宋体" w:cs="宋体"/>
          <w:b/>
          <w:sz w:val="32"/>
          <w:szCs w:val="32"/>
          <w:lang w:eastAsia="zh-CN"/>
        </w:rPr>
        <w:t xml:space="preserve">JSZC-320000-JCEC-G2026-0401</w:t>
      </w:r>
      <w:r/>
    </w:p>
    <w:p>
      <w:pPr>
        <w:jc w:val="cente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sz w:val="28"/>
          <w:szCs w:val="28"/>
        </w:rPr>
      </w:pPr>
      <w:r>
        <w:rPr>
          <w:rFonts w:ascii="宋体" w:hAnsi="宋体" w:cs="宋体"/>
          <w:b/>
          <w:sz w:val="28"/>
          <w:szCs w:val="28"/>
        </w:rPr>
      </w:r>
      <w:r/>
    </w:p>
    <w:p>
      <w:pPr>
        <w:spacing w:line="360" w:lineRule="auto"/>
        <w:shd w:val="clear" w:color="auto" w:fill="ffffff"/>
        <w:widowControl/>
        <w:rPr>
          <w:rFonts w:ascii="宋体" w:hAnsi="宋体" w:cs="宋体"/>
          <w:sz w:val="32"/>
          <w:szCs w:val="32"/>
        </w:rPr>
      </w:pPr>
      <w:r>
        <w:rPr>
          <w:rFonts w:ascii="宋体" w:hAnsi="宋体" w:cs="宋体"/>
          <w:sz w:val="32"/>
          <w:szCs w:val="32"/>
        </w:rPr>
      </w:r>
      <w:r/>
    </w:p>
    <w:p>
      <w:pPr>
        <w:pStyle w:val="909"/>
        <w:ind w:left="1260"/>
        <w:rPr>
          <w:rFonts w:ascii="宋体" w:hAnsi="宋体" w:cs="宋体"/>
        </w:rPr>
      </w:pPr>
      <w:r>
        <w:rPr>
          <w:rFonts w:ascii="宋体" w:hAnsi="宋体" w:cs="宋体"/>
        </w:rPr>
      </w:r>
      <w:r/>
    </w:p>
    <w:p>
      <w:pPr>
        <w:jc w:val="cente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sz w:val="32"/>
          <w:szCs w:val="32"/>
        </w:rPr>
      </w:pPr>
      <w:r>
        <w:rPr>
          <w:rFonts w:hint="eastAsia" w:ascii="宋体" w:hAnsi="宋体" w:cs="宋体"/>
          <w:b/>
          <w:sz w:val="32"/>
          <w:szCs w:val="32"/>
        </w:rPr>
        <w:t xml:space="preserve">采购人：南京工业职业技术大学</w:t>
      </w:r>
      <w:r/>
    </w:p>
    <w:p>
      <w:pPr>
        <w:jc w:val="center"/>
        <w:spacing w:line="360" w:lineRule="auto"/>
        <w:widowControl/>
        <w:rPr>
          <w:rFonts w:ascii="宋体" w:hAnsi="宋体" w:cs="宋体"/>
          <w:b/>
          <w:sz w:val="32"/>
          <w:szCs w:val="32"/>
        </w:rPr>
      </w:pPr>
      <w:r>
        <w:rPr>
          <w:rFonts w:hint="eastAsia" w:ascii="宋体" w:hAnsi="宋体" w:cs="宋体"/>
          <w:b/>
          <w:sz w:val="32"/>
          <w:szCs w:val="32"/>
        </w:rPr>
        <w:t xml:space="preserve">采购代理机构：江苏省设备成套股份有限公司</w:t>
      </w:r>
      <w:r/>
    </w:p>
    <w:p>
      <w:pPr>
        <w:jc w:val="center"/>
        <w:spacing w:line="360" w:lineRule="auto"/>
        <w:shd w:val="clear" w:color="auto" w:fill="ffffff"/>
        <w:widowControl/>
        <w:rPr>
          <w:rFonts w:ascii="宋体" w:hAnsi="宋体" w:cs="宋体"/>
          <w:b/>
          <w:sz w:val="36"/>
          <w:szCs w:val="36"/>
        </w:rPr>
      </w:pPr>
      <w:r>
        <w:rPr>
          <w:rFonts w:hint="eastAsia" w:ascii="宋体" w:hAnsi="宋体" w:cs="宋体"/>
          <w:b/>
          <w:sz w:val="32"/>
          <w:szCs w:val="32"/>
        </w:rPr>
        <w:t xml:space="preserve">2026年10月</w:t>
      </w:r>
      <w:r>
        <w:rPr>
          <w:rFonts w:hint="eastAsia" w:ascii="宋体" w:hAnsi="宋体" w:cs="宋体"/>
          <w:b/>
          <w:sz w:val="36"/>
          <w:szCs w:val="36"/>
        </w:rPr>
        <w:br w:type="page" w:clear="all"/>
      </w:r>
      <w:r/>
    </w:p>
    <w:p>
      <w:pPr>
        <w:pStyle w:val="1057"/>
        <w:jc w:val="center"/>
        <w:rPr>
          <w:rFonts w:ascii="宋体" w:hAnsi="宋体" w:cs="宋体"/>
          <w:color w:val="auto"/>
          <w:sz w:val="36"/>
          <w:szCs w:val="36"/>
        </w:rPr>
      </w:pPr>
      <w:r>
        <w:rPr>
          <w:rFonts w:hint="eastAsia" w:ascii="宋体" w:hAnsi="宋体" w:cs="宋体"/>
          <w:color w:val="auto"/>
          <w:sz w:val="36"/>
          <w:szCs w:val="36"/>
          <w:lang w:val="zh-CN"/>
        </w:rPr>
        <w:t xml:space="preserve">目录</w:t>
      </w:r>
      <w:r/>
    </w:p>
    <w:p>
      <w:pPr>
        <w:pStyle w:val="920"/>
        <w:spacing w:line="360" w:lineRule="auto"/>
        <w:tabs>
          <w:tab w:val="right" w:pos="8299" w:leader="dot"/>
        </w:tabs>
        <w:rPr>
          <w:rFonts w:ascii="宋体" w:hAnsi="宋体" w:cs="宋体"/>
          <w:sz w:val="24"/>
        </w:rPr>
      </w:pPr>
      <w:r>
        <w:rPr>
          <w:rFonts w:hint="eastAsia" w:ascii="宋体" w:hAnsi="宋体" w:cs="宋体"/>
          <w:szCs w:val="21"/>
        </w:rPr>
        <w:fldChar w:fldCharType="begin"/>
      </w:r>
      <w:r>
        <w:rPr>
          <w:rFonts w:hint="eastAsia" w:ascii="宋体" w:hAnsi="宋体" w:cs="宋体"/>
          <w:szCs w:val="21"/>
        </w:rPr>
        <w:instrText xml:space="preserve">TOC \o "1-1" \h \u </w:instrText>
      </w:r>
      <w:r>
        <w:rPr>
          <w:rFonts w:hint="eastAsia" w:ascii="宋体" w:hAnsi="宋体" w:cs="宋体"/>
          <w:szCs w:val="21"/>
        </w:rPr>
        <w:fldChar w:fldCharType="separate"/>
      </w:r>
      <w:r>
        <w:fldChar w:fldCharType="begin"/>
      </w:r>
      <w:r>
        <w:instrText xml:space="preserve"> HYPERLINK \l "_Toc30685" </w:instrText>
      </w:r>
      <w:r>
        <w:fldChar w:fldCharType="separate"/>
      </w:r>
      <w:r>
        <w:rPr>
          <w:rFonts w:hint="eastAsia" w:ascii="宋体" w:hAnsi="宋体" w:cs="宋体"/>
          <w:sz w:val="24"/>
        </w:rPr>
        <w:t xml:space="preserve">第一章 </w:t>
      </w:r>
      <w:r>
        <w:rPr>
          <w:rFonts w:hint="eastAsia" w:ascii="宋体" w:hAnsi="宋体" w:cs="宋体"/>
          <w:sz w:val="24"/>
        </w:rPr>
        <w:t xml:space="preserve">采购公告</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_Toc30685 \h </w:instrText>
      </w:r>
      <w:r>
        <w:rPr>
          <w:rFonts w:hint="eastAsia" w:ascii="宋体" w:hAnsi="宋体" w:cs="宋体"/>
          <w:sz w:val="24"/>
        </w:rPr>
        <w:fldChar w:fldCharType="separate"/>
      </w:r>
      <w:r>
        <w:rPr>
          <w:rFonts w:hint="eastAsia" w:ascii="宋体" w:hAnsi="宋体" w:cs="宋体"/>
          <w:sz w:val="24"/>
        </w:rPr>
        <w:t xml:space="preserve">1</w:t>
      </w:r>
      <w:r>
        <w:rPr>
          <w:rFonts w:hint="eastAsia" w:ascii="宋体" w:hAnsi="宋体" w:cs="宋体"/>
          <w:sz w:val="24"/>
        </w:rPr>
        <w:fldChar w:fldCharType="end"/>
      </w:r>
      <w:r>
        <w:rPr>
          <w:rFonts w:hint="eastAsia" w:ascii="宋体" w:hAnsi="宋体" w:cs="宋体"/>
          <w:sz w:val="24"/>
        </w:rPr>
        <w:fldChar w:fldCharType="end"/>
      </w:r>
      <w:r/>
    </w:p>
    <w:p>
      <w:pPr>
        <w:pStyle w:val="920"/>
        <w:spacing w:line="360" w:lineRule="auto"/>
        <w:tabs>
          <w:tab w:val="right" w:pos="8299" w:leader="dot"/>
        </w:tabs>
        <w:rPr>
          <w:rFonts w:ascii="宋体" w:hAnsi="宋体" w:cs="宋体"/>
          <w:sz w:val="24"/>
        </w:rPr>
      </w:pPr>
      <w:r>
        <w:fldChar w:fldCharType="begin"/>
      </w:r>
      <w:r>
        <w:instrText xml:space="preserve"> HYPERLINK \l "_Toc26745" </w:instrText>
      </w:r>
      <w:r>
        <w:fldChar w:fldCharType="separate"/>
      </w:r>
      <w:r>
        <w:rPr>
          <w:rFonts w:hint="eastAsia" w:ascii="宋体" w:hAnsi="宋体" w:cs="宋体"/>
          <w:sz w:val="24"/>
        </w:rPr>
        <w:t xml:space="preserve">第二章 供应商须知</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_Toc26745 \h </w:instrText>
      </w:r>
      <w:r>
        <w:rPr>
          <w:rFonts w:hint="eastAsia" w:ascii="宋体" w:hAnsi="宋体" w:cs="宋体"/>
          <w:sz w:val="24"/>
        </w:rPr>
        <w:fldChar w:fldCharType="separate"/>
      </w:r>
      <w:r>
        <w:rPr>
          <w:rFonts w:hint="eastAsia" w:ascii="宋体" w:hAnsi="宋体" w:cs="宋体"/>
          <w:sz w:val="24"/>
        </w:rPr>
        <w:t xml:space="preserve">6</w:t>
      </w:r>
      <w:r>
        <w:rPr>
          <w:rFonts w:hint="eastAsia" w:ascii="宋体" w:hAnsi="宋体" w:cs="宋体"/>
          <w:sz w:val="24"/>
        </w:rPr>
        <w:fldChar w:fldCharType="end"/>
      </w:r>
      <w:r>
        <w:rPr>
          <w:rFonts w:hint="eastAsia" w:ascii="宋体" w:hAnsi="宋体" w:cs="宋体"/>
          <w:sz w:val="24"/>
        </w:rPr>
        <w:fldChar w:fldCharType="end"/>
      </w:r>
      <w:r/>
    </w:p>
    <w:p>
      <w:pPr>
        <w:pStyle w:val="920"/>
        <w:spacing w:line="360" w:lineRule="auto"/>
        <w:tabs>
          <w:tab w:val="right" w:pos="8299" w:leader="dot"/>
        </w:tabs>
        <w:rPr>
          <w:rFonts w:ascii="宋体" w:hAnsi="宋体" w:cs="宋体"/>
          <w:sz w:val="24"/>
        </w:rPr>
      </w:pPr>
      <w:r>
        <w:fldChar w:fldCharType="begin"/>
      </w:r>
      <w:r>
        <w:instrText xml:space="preserve"> HYPERLINK \l "_Toc28285" </w:instrText>
      </w:r>
      <w:r>
        <w:fldChar w:fldCharType="separate"/>
      </w:r>
      <w:r>
        <w:rPr>
          <w:rFonts w:hint="eastAsia" w:ascii="宋体" w:hAnsi="宋体" w:cs="宋体"/>
          <w:sz w:val="24"/>
        </w:rPr>
        <w:t xml:space="preserve">第三章 评标标准</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_Toc28285 \h </w:instrText>
      </w:r>
      <w:r>
        <w:rPr>
          <w:rFonts w:hint="eastAsia" w:ascii="宋体" w:hAnsi="宋体" w:cs="宋体"/>
          <w:sz w:val="24"/>
        </w:rPr>
        <w:fldChar w:fldCharType="separate"/>
      </w:r>
      <w:r>
        <w:rPr>
          <w:rFonts w:hint="eastAsia" w:ascii="宋体" w:hAnsi="宋体" w:cs="宋体"/>
          <w:sz w:val="24"/>
        </w:rPr>
        <w:t xml:space="preserve">20</w:t>
      </w:r>
      <w:r>
        <w:rPr>
          <w:rFonts w:hint="eastAsia" w:ascii="宋体" w:hAnsi="宋体" w:cs="宋体"/>
          <w:sz w:val="24"/>
        </w:rPr>
        <w:fldChar w:fldCharType="end"/>
      </w:r>
      <w:r>
        <w:rPr>
          <w:rFonts w:hint="eastAsia" w:ascii="宋体" w:hAnsi="宋体" w:cs="宋体"/>
          <w:sz w:val="24"/>
        </w:rPr>
        <w:fldChar w:fldCharType="end"/>
      </w:r>
      <w:r/>
    </w:p>
    <w:p>
      <w:pPr>
        <w:pStyle w:val="920"/>
        <w:spacing w:line="360" w:lineRule="auto"/>
        <w:tabs>
          <w:tab w:val="right" w:pos="8299" w:leader="dot"/>
        </w:tabs>
        <w:rPr>
          <w:rFonts w:ascii="宋体" w:hAnsi="宋体" w:cs="宋体"/>
          <w:sz w:val="24"/>
        </w:rPr>
      </w:pPr>
      <w:r>
        <w:fldChar w:fldCharType="begin"/>
      </w:r>
      <w:r>
        <w:instrText xml:space="preserve"> HYPERLINK \l "_Toc6871" </w:instrText>
      </w:r>
      <w:r>
        <w:fldChar w:fldCharType="separate"/>
      </w:r>
      <w:r>
        <w:rPr>
          <w:rFonts w:hint="eastAsia" w:ascii="宋体" w:hAnsi="宋体" w:cs="宋体"/>
          <w:sz w:val="24"/>
        </w:rPr>
        <w:t xml:space="preserve">第四章 采购需求</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_Toc6871 \h </w:instrText>
      </w:r>
      <w:r>
        <w:rPr>
          <w:rFonts w:hint="eastAsia" w:ascii="宋体" w:hAnsi="宋体" w:cs="宋体"/>
          <w:sz w:val="24"/>
        </w:rPr>
        <w:fldChar w:fldCharType="separate"/>
      </w:r>
      <w:r>
        <w:rPr>
          <w:rFonts w:hint="eastAsia" w:ascii="宋体" w:hAnsi="宋体" w:cs="宋体"/>
          <w:sz w:val="24"/>
        </w:rPr>
        <w:t xml:space="preserve">33</w:t>
      </w:r>
      <w:r>
        <w:rPr>
          <w:rFonts w:hint="eastAsia" w:ascii="宋体" w:hAnsi="宋体" w:cs="宋体"/>
          <w:sz w:val="24"/>
        </w:rPr>
        <w:fldChar w:fldCharType="end"/>
      </w:r>
      <w:r>
        <w:rPr>
          <w:rFonts w:hint="eastAsia" w:ascii="宋体" w:hAnsi="宋体" w:cs="宋体"/>
          <w:sz w:val="24"/>
        </w:rPr>
        <w:fldChar w:fldCharType="end"/>
      </w:r>
      <w:r/>
    </w:p>
    <w:p>
      <w:pPr>
        <w:pStyle w:val="920"/>
        <w:spacing w:line="360" w:lineRule="auto"/>
        <w:tabs>
          <w:tab w:val="right" w:pos="8299" w:leader="dot"/>
        </w:tabs>
        <w:rPr>
          <w:rFonts w:ascii="宋体" w:hAnsi="宋体" w:cs="宋体"/>
          <w:sz w:val="24"/>
        </w:rPr>
      </w:pPr>
      <w:r>
        <w:fldChar w:fldCharType="begin"/>
      </w:r>
      <w:r>
        <w:instrText xml:space="preserve"> HYPERLINK \l "_Toc18631" </w:instrText>
      </w:r>
      <w:r>
        <w:fldChar w:fldCharType="separate"/>
      </w:r>
      <w:r>
        <w:rPr>
          <w:rFonts w:hint="eastAsia" w:ascii="宋体" w:hAnsi="宋体" w:cs="宋体"/>
          <w:sz w:val="24"/>
        </w:rPr>
        <w:t xml:space="preserve">第五章 合同主要条款及格式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_Toc18631 \h </w:instrText>
      </w:r>
      <w:r>
        <w:rPr>
          <w:rFonts w:hint="eastAsia" w:ascii="宋体" w:hAnsi="宋体" w:cs="宋体"/>
          <w:sz w:val="24"/>
        </w:rPr>
        <w:fldChar w:fldCharType="separate"/>
      </w:r>
      <w:r>
        <w:rPr>
          <w:rFonts w:hint="eastAsia" w:ascii="宋体" w:hAnsi="宋体" w:cs="宋体"/>
          <w:sz w:val="24"/>
        </w:rPr>
        <w:t xml:space="preserve">50</w:t>
      </w:r>
      <w:r>
        <w:rPr>
          <w:rFonts w:hint="eastAsia" w:ascii="宋体" w:hAnsi="宋体" w:cs="宋体"/>
          <w:sz w:val="24"/>
        </w:rPr>
        <w:fldChar w:fldCharType="end"/>
      </w:r>
      <w:r>
        <w:rPr>
          <w:rFonts w:hint="eastAsia" w:ascii="宋体" w:hAnsi="宋体" w:cs="宋体"/>
          <w:sz w:val="24"/>
        </w:rPr>
        <w:fldChar w:fldCharType="end"/>
      </w:r>
      <w:r/>
    </w:p>
    <w:p>
      <w:pPr>
        <w:pStyle w:val="920"/>
        <w:spacing w:line="360" w:lineRule="auto"/>
        <w:tabs>
          <w:tab w:val="right" w:pos="8299" w:leader="dot"/>
        </w:tabs>
        <w:rPr>
          <w:rFonts w:ascii="宋体" w:hAnsi="宋体" w:cs="宋体"/>
          <w:szCs w:val="21"/>
        </w:rPr>
      </w:pPr>
      <w:r>
        <w:fldChar w:fldCharType="begin"/>
      </w:r>
      <w:r>
        <w:instrText xml:space="preserve"> HYPERLINK \l "_Toc7019" </w:instrText>
      </w:r>
      <w:r>
        <w:fldChar w:fldCharType="separate"/>
      </w:r>
      <w:r>
        <w:rPr>
          <w:rFonts w:hint="eastAsia" w:ascii="宋体" w:hAnsi="宋体" w:cs="宋体"/>
          <w:sz w:val="24"/>
        </w:rPr>
        <w:t xml:space="preserve">第六章 附件</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_Toc7019 \h </w:instrText>
      </w:r>
      <w:r>
        <w:rPr>
          <w:rFonts w:hint="eastAsia" w:ascii="宋体" w:hAnsi="宋体" w:cs="宋体"/>
          <w:sz w:val="24"/>
        </w:rPr>
        <w:fldChar w:fldCharType="separate"/>
      </w:r>
      <w:r>
        <w:rPr>
          <w:rFonts w:hint="eastAsia" w:ascii="宋体" w:hAnsi="宋体" w:cs="宋体"/>
          <w:sz w:val="24"/>
        </w:rPr>
        <w:t xml:space="preserve">55</w:t>
      </w:r>
      <w:r>
        <w:rPr>
          <w:rFonts w:hint="eastAsia" w:ascii="宋体" w:hAnsi="宋体" w:cs="宋体"/>
          <w:sz w:val="24"/>
        </w:rPr>
        <w:fldChar w:fldCharType="end"/>
      </w:r>
      <w:r>
        <w:rPr>
          <w:rFonts w:hint="eastAsia" w:ascii="宋体" w:hAnsi="宋体" w:cs="宋体"/>
          <w:sz w:val="24"/>
        </w:rPr>
        <w:fldChar w:fldCharType="end"/>
      </w:r>
      <w:r/>
    </w:p>
    <w:p>
      <w:pPr>
        <w:spacing w:line="360" w:lineRule="auto"/>
        <w:rPr>
          <w:rFonts w:ascii="宋体" w:hAnsi="宋体" w:cs="宋体"/>
          <w:sz w:val="72"/>
          <w:szCs w:val="72"/>
        </w:rPr>
      </w:pPr>
      <w:r>
        <w:rPr>
          <w:rFonts w:hint="eastAsia" w:ascii="宋体" w:hAnsi="宋体" w:cs="宋体"/>
          <w:szCs w:val="21"/>
        </w:rPr>
        <w:fldChar w:fldCharType="end"/>
      </w:r>
      <w:r/>
    </w:p>
    <w:p>
      <w:pPr>
        <w:jc w:val="center"/>
        <w:spacing w:line="360" w:lineRule="auto"/>
        <w:shd w:val="clear" w:color="auto" w:fill="ffffff"/>
        <w:widowControl/>
        <w:rPr>
          <w:rFonts w:ascii="宋体" w:hAnsi="宋体" w:cs="宋体"/>
          <w:b/>
          <w:sz w:val="36"/>
          <w:szCs w:val="36"/>
        </w:rPr>
      </w:pPr>
      <w:r>
        <w:rPr>
          <w:rFonts w:ascii="宋体" w:hAnsi="宋体" w:cs="宋体"/>
          <w:b/>
          <w:sz w:val="36"/>
          <w:szCs w:val="36"/>
        </w:rPr>
      </w:r>
      <w:r/>
    </w:p>
    <w:p>
      <w:pPr>
        <w:pStyle w:val="887"/>
        <w:rPr>
          <w:rFonts w:ascii="宋体" w:hAnsi="宋体" w:cs="宋体"/>
          <w:szCs w:val="21"/>
        </w:rPr>
        <w:sectPr>
          <w:headerReference w:type="first" r:id="rId9"/>
          <w:footnotePr/>
          <w:endnotePr/>
          <w:type w:val="nextPage"/>
          <w:pgSz w:w="11905" w:h="16838" w:orient="portrait"/>
          <w:pgMar w:top="1440" w:right="1803" w:bottom="1440" w:left="1803" w:header="850" w:footer="992" w:gutter="0"/>
          <w:cols w:num="1" w:sep="0" w:space="0" w:equalWidth="1"/>
          <w:docGrid w:linePitch="360"/>
          <w:titlePg/>
        </w:sectPr>
      </w:pPr>
      <w:r/>
      <w:bookmarkStart w:id="2" w:name="_Toc481057143"/>
      <w:r/>
      <w:r/>
    </w:p>
    <w:p>
      <w:pPr>
        <w:pStyle w:val="887"/>
        <w:numPr>
          <w:ilvl w:val="0"/>
          <w:numId w:val="0"/>
        </w:numPr>
        <w:rPr>
          <w:rFonts w:ascii="宋体" w:hAnsi="宋体" w:cs="宋体"/>
          <w:szCs w:val="21"/>
        </w:rPr>
      </w:pPr>
      <w:r>
        <w:rPr>
          <w:rFonts w:hint="eastAsia" w:ascii="宋体" w:hAnsi="宋体" w:cs="宋体"/>
          <w:szCs w:val="21"/>
        </w:rPr>
        <w:t xml:space="preserve">第一章</w:t>
      </w:r>
      <w:r>
        <w:rPr>
          <w:rFonts w:hint="eastAsia" w:ascii="宋体" w:hAnsi="宋体" w:cs="宋体"/>
          <w:sz w:val="36"/>
          <w:szCs w:val="36"/>
          <w:shd w:val="clear" w:color="auto" w:fill="ffffff"/>
        </w:rPr>
        <w:t xml:space="preserve"> </w:t>
      </w:r>
      <w:bookmarkStart w:id="3" w:name="_Toc30685"/>
      <w:r/>
      <w:bookmarkStart w:id="4" w:name="_Hlk85716974"/>
      <w:r>
        <w:rPr>
          <w:rFonts w:hint="eastAsia" w:ascii="宋体" w:hAnsi="宋体" w:cs="宋体"/>
        </w:rPr>
        <w:t xml:space="preserve">采购公告</w:t>
      </w:r>
      <w:bookmarkEnd w:id="2"/>
      <w:r/>
      <w:bookmarkEnd w:id="3"/>
      <w:r/>
      <w:bookmarkStart w:id="5" w:name="OLE_LINK7"/>
      <w:r/>
      <w:bookmarkStart w:id="6" w:name="OLE_LINK1"/>
      <w:r/>
      <w:bookmarkStart w:id="7" w:name="OLE_LINK5"/>
      <w:r/>
      <w:bookmarkStart w:id="8" w:name="OLE_LINK6"/>
      <w:r/>
      <w:bookmarkStart w:id="9" w:name="_Hlk74842529"/>
      <w:r/>
      <w:r/>
    </w:p>
    <w:p>
      <w:pPr>
        <w:ind w:firstLine="369"/>
        <w:spacing w:line="360" w:lineRule="auto"/>
        <w:shd w:val="clear" w:color="auto" w:fill="ffffff"/>
        <w:widowControl/>
        <w:rPr>
          <w:rFonts w:ascii="宋体" w:hAnsi="宋体" w:cs="宋体"/>
          <w:spacing w:val="8"/>
          <w:szCs w:val="21"/>
        </w:rPr>
        <w:pBdr>
          <w:top w:val="single" w:color="auto" w:sz="4" w:space="1"/>
          <w:left w:val="single" w:color="auto" w:sz="4" w:space="4"/>
          <w:bottom w:val="single" w:color="auto" w:sz="4" w:space="1"/>
          <w:right w:val="single" w:color="auto" w:sz="4" w:space="4"/>
        </w:pBdr>
      </w:pPr>
      <w:r/>
      <w:bookmarkStart w:id="10" w:name="OLE_LINK4"/>
      <w:r/>
      <w:bookmarkStart w:id="11" w:name="OLE_LINK3"/>
      <w:r/>
      <w:bookmarkStart w:id="12" w:name="OLE_LINK2"/>
      <w:r/>
      <w:bookmarkStart w:id="13" w:name="_Hlk74841176"/>
      <w:r>
        <w:rPr>
          <w:rFonts w:hint="eastAsia" w:ascii="宋体" w:hAnsi="宋体" w:cs="宋体"/>
          <w:spacing w:val="8"/>
          <w:szCs w:val="21"/>
        </w:rPr>
        <w:t xml:space="preserve">项目概况</w:t>
      </w:r>
      <w:r/>
    </w:p>
    <w:p>
      <w:pPr>
        <w:ind w:firstLine="369"/>
        <w:spacing w:line="360" w:lineRule="auto"/>
        <w:shd w:val="clear" w:color="auto" w:fill="ffffff"/>
        <w:widowControl/>
        <w:rPr>
          <w:rFonts w:ascii="宋体" w:hAnsi="宋体" w:cs="宋体"/>
          <w:spacing w:val="8"/>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南京工业职业技术大学2026-2028年度教职工体检项目</w:t>
      </w:r>
      <w:r>
        <w:rPr>
          <w:rFonts w:hint="eastAsia" w:ascii="宋体" w:hAnsi="宋体" w:cs="宋体"/>
          <w:spacing w:val="8"/>
          <w:szCs w:val="21"/>
        </w:rPr>
        <w:t xml:space="preserve">的潜在供应商应在</w:t>
      </w:r>
      <w:r>
        <w:rPr>
          <w:rFonts w:hint="eastAsia" w:ascii="宋体" w:hAnsi="宋体" w:cs="宋体"/>
          <w:szCs w:val="21"/>
          <w:u w:val="single"/>
        </w:rPr>
        <w:t xml:space="preserve">苏采云系统注册登记成功后系统内免费</w:t>
      </w:r>
      <w:r>
        <w:rPr>
          <w:rFonts w:hint="eastAsia" w:ascii="宋体" w:hAnsi="宋体" w:cs="宋体"/>
          <w:spacing w:val="8"/>
          <w:szCs w:val="21"/>
        </w:rPr>
        <w:t xml:space="preserve">获取招标文件，并于</w:t>
      </w:r>
      <w:r>
        <w:rPr>
          <w:rFonts w:hint="eastAsia" w:ascii="宋体" w:hAnsi="宋体" w:cs="宋体"/>
          <w:szCs w:val="21"/>
          <w:u w:val="single"/>
        </w:rPr>
        <w:t xml:space="preserve">2026年</w:t>
      </w:r>
      <w:r>
        <w:rPr>
          <w:rFonts w:hint="eastAsia" w:ascii="宋体" w:hAnsi="宋体" w:cs="宋体"/>
          <w:szCs w:val="21"/>
          <w:u w:val="single"/>
          <w:lang w:val="en-US" w:eastAsia="zh-CN"/>
        </w:rPr>
        <w:t xml:space="preserve">11</w:t>
      </w:r>
      <w:r>
        <w:rPr>
          <w:rFonts w:hint="eastAsia" w:ascii="宋体" w:hAnsi="宋体" w:cs="宋体"/>
          <w:szCs w:val="21"/>
          <w:u w:val="single"/>
        </w:rPr>
        <w:t xml:space="preserve">月</w:t>
      </w:r>
      <w:r>
        <w:rPr>
          <w:rFonts w:hint="eastAsia" w:ascii="宋体" w:hAnsi="宋体" w:cs="宋体"/>
          <w:szCs w:val="21"/>
          <w:u w:val="single"/>
          <w:lang w:val="en-US" w:eastAsia="zh-CN"/>
        </w:rPr>
        <w:t xml:space="preserve">3</w:t>
      </w:r>
      <w:r>
        <w:rPr>
          <w:rFonts w:hint="eastAsia" w:ascii="宋体" w:hAnsi="宋体" w:cs="宋体"/>
          <w:szCs w:val="21"/>
          <w:u w:val="single"/>
        </w:rPr>
        <w:t xml:space="preserve">日</w:t>
      </w:r>
      <w:r>
        <w:rPr>
          <w:rFonts w:hint="eastAsia" w:ascii="宋体" w:hAnsi="宋体" w:cs="宋体"/>
          <w:szCs w:val="21"/>
          <w:u w:val="single"/>
          <w:lang w:val="en-US" w:eastAsia="zh-CN"/>
        </w:rPr>
        <w:t xml:space="preserve">9</w:t>
      </w:r>
      <w:r>
        <w:rPr>
          <w:rFonts w:hint="eastAsia" w:ascii="宋体" w:hAnsi="宋体" w:cs="宋体"/>
          <w:szCs w:val="21"/>
          <w:u w:val="single"/>
        </w:rPr>
        <w:t xml:space="preserve">点30分</w:t>
      </w:r>
      <w:r>
        <w:rPr>
          <w:rFonts w:hint="eastAsia" w:ascii="宋体" w:hAnsi="宋体" w:cs="宋体"/>
          <w:spacing w:val="8"/>
          <w:szCs w:val="21"/>
        </w:rPr>
        <w:t xml:space="preserve">（北京时间）前递交投标文件。</w:t>
      </w:r>
      <w:r/>
    </w:p>
    <w:p>
      <w:pPr>
        <w:rPr>
          <w:rFonts w:ascii="宋体" w:hAnsi="宋体" w:cs="宋体"/>
        </w:rPr>
      </w:pPr>
      <w:r>
        <w:rPr>
          <w:rFonts w:ascii="宋体" w:hAnsi="宋体" w:cs="宋体"/>
        </w:rPr>
      </w:r>
      <w:r/>
    </w:p>
    <w:p>
      <w:pPr>
        <w:spacing w:line="360" w:lineRule="auto"/>
        <w:shd w:val="clear" w:color="auto" w:fill="ffffff" w:themeFill="background1"/>
        <w:widowControl/>
        <w:rPr>
          <w:rFonts w:ascii="宋体" w:hAnsi="宋体" w:cs="宋体"/>
          <w:b/>
          <w:spacing w:val="8"/>
          <w:sz w:val="24"/>
        </w:rPr>
        <w:outlineLvl w:val="1"/>
      </w:pPr>
      <w:r>
        <w:rPr>
          <w:rFonts w:hint="eastAsia" w:ascii="宋体" w:hAnsi="宋体" w:cs="宋体"/>
          <w:b/>
          <w:spacing w:val="8"/>
          <w:sz w:val="24"/>
        </w:rPr>
        <w:t xml:space="preserve">一、项目基本情况</w:t>
      </w:r>
      <w:r/>
    </w:p>
    <w:p>
      <w:pPr>
        <w:ind w:firstLine="452"/>
        <w:spacing w:line="360" w:lineRule="auto"/>
        <w:shd w:val="clear" w:color="auto" w:fill="ffffff" w:themeFill="background1"/>
        <w:widowControl/>
        <w:rPr>
          <w:rFonts w:hint="eastAsia" w:ascii="宋体" w:hAnsi="宋体" w:eastAsia="宋体" w:cs="宋体"/>
          <w:spacing w:val="8"/>
          <w:szCs w:val="21"/>
          <w:lang w:eastAsia="zh-CN"/>
        </w:rPr>
      </w:pPr>
      <w:r>
        <w:rPr>
          <w:rFonts w:hint="eastAsia" w:ascii="宋体" w:hAnsi="宋体" w:cs="宋体"/>
          <w:spacing w:val="8"/>
          <w:szCs w:val="21"/>
        </w:rPr>
        <w:t xml:space="preserve">1.1项目编号：</w:t>
      </w:r>
      <w:r>
        <w:rPr>
          <w:rFonts w:hint="eastAsia" w:ascii="宋体" w:hAnsi="宋体" w:cs="宋体"/>
          <w:spacing w:val="8"/>
          <w:szCs w:val="21"/>
          <w:lang w:eastAsia="zh-CN"/>
        </w:rPr>
        <w:t xml:space="preserve">JSZC-320000-JCEC-G2026-0401</w:t>
      </w:r>
      <w:r/>
    </w:p>
    <w:p>
      <w:pPr>
        <w:ind w:firstLine="452"/>
        <w:spacing w:line="360" w:lineRule="auto"/>
        <w:shd w:val="clear" w:color="auto" w:fill="ffffff" w:themeFill="background1"/>
        <w:widowControl/>
        <w:rPr>
          <w:rFonts w:ascii="宋体" w:hAnsi="宋体" w:cs="宋体"/>
          <w:spacing w:val="8"/>
          <w:szCs w:val="21"/>
        </w:rPr>
      </w:pPr>
      <w:r>
        <w:rPr>
          <w:rFonts w:hint="eastAsia" w:ascii="宋体" w:hAnsi="宋体" w:cs="宋体"/>
          <w:spacing w:val="8"/>
          <w:szCs w:val="21"/>
        </w:rPr>
        <w:t xml:space="preserve">1.2项目名称：南京工业职业技术大学2026-2028年度教职工体检项目</w:t>
      </w:r>
      <w:r/>
    </w:p>
    <w:p>
      <w:pPr>
        <w:ind w:firstLine="452"/>
        <w:spacing w:line="360" w:lineRule="auto"/>
        <w:shd w:val="clear" w:color="auto" w:fill="ffffff" w:themeFill="background1"/>
        <w:widowControl/>
        <w:rPr>
          <w:rFonts w:ascii="宋体" w:hAnsi="宋体" w:cs="宋体"/>
          <w:spacing w:val="8"/>
          <w:szCs w:val="21"/>
        </w:rPr>
      </w:pPr>
      <w:r>
        <w:rPr>
          <w:rFonts w:hint="eastAsia" w:ascii="宋体" w:hAnsi="宋体" w:cs="宋体"/>
          <w:spacing w:val="8"/>
          <w:szCs w:val="21"/>
        </w:rPr>
        <w:t xml:space="preserve">1.3预算金额：</w:t>
      </w:r>
      <w:r>
        <w:rPr>
          <w:rFonts w:hint="eastAsia" w:ascii="宋体" w:hAnsi="宋体" w:cs="宋体"/>
          <w:spacing w:val="8"/>
          <w:szCs w:val="21"/>
        </w:rPr>
        <w:t xml:space="preserve">人民币</w:t>
      </w:r>
      <w:r>
        <w:rPr>
          <w:rFonts w:hint="eastAsia" w:ascii="宋体" w:hAnsi="宋体" w:cs="宋体"/>
          <w:spacing w:val="8"/>
          <w:szCs w:val="21"/>
        </w:rPr>
        <w:t xml:space="preserve">780.00万元（采购包1：600.00万元；采购包2：180.00万元）</w:t>
      </w:r>
      <w:r>
        <w:rPr>
          <w:rFonts w:hint="eastAsia" w:ascii="宋体" w:hAnsi="宋体" w:cs="宋体"/>
          <w:spacing w:val="8"/>
          <w:szCs w:val="21"/>
        </w:rPr>
      </w:r>
      <w:r/>
    </w:p>
    <w:p>
      <w:pPr>
        <w:ind w:firstLine="452"/>
        <w:spacing w:line="360" w:lineRule="auto"/>
        <w:shd w:val="clear" w:color="auto" w:fill="ffffff" w:themeFill="background1"/>
        <w:widowControl/>
        <w:rPr>
          <w:rFonts w:ascii="宋体" w:hAnsi="宋体" w:cs="宋体"/>
          <w:spacing w:val="8"/>
          <w:szCs w:val="21"/>
        </w:rPr>
      </w:pPr>
      <w:r>
        <w:rPr>
          <w:rFonts w:hint="eastAsia" w:ascii="宋体" w:hAnsi="宋体" w:cs="宋体"/>
          <w:spacing w:val="8"/>
          <w:szCs w:val="21"/>
        </w:rPr>
        <w:t xml:space="preserve">1.4最高限价：</w:t>
      </w:r>
      <w:r/>
    </w:p>
    <w:p>
      <w:pPr>
        <w:ind w:firstLine="452"/>
        <w:spacing w:line="360" w:lineRule="auto"/>
        <w:shd w:val="clear" w:color="auto" w:fill="ffffff" w:themeFill="background1"/>
        <w:widowControl/>
        <w:rPr>
          <w:rFonts w:ascii="宋体" w:hAnsi="宋体" w:cs="宋体"/>
          <w:spacing w:val="8"/>
          <w:szCs w:val="21"/>
        </w:rPr>
      </w:pPr>
      <w:r>
        <w:rPr>
          <w:rFonts w:hint="eastAsia" w:ascii="宋体" w:hAnsi="宋体" w:cs="宋体"/>
          <w:spacing w:val="8"/>
          <w:szCs w:val="21"/>
        </w:rPr>
        <w:t xml:space="preserve">包一：最高限价200.00万元/年</w:t>
      </w:r>
      <w:r/>
    </w:p>
    <w:p>
      <w:pPr>
        <w:ind w:firstLine="452"/>
        <w:spacing w:line="360" w:lineRule="auto"/>
        <w:shd w:val="clear" w:color="auto" w:fill="ffffff" w:themeFill="background1"/>
        <w:widowControl/>
        <w:rPr>
          <w:rFonts w:ascii="宋体" w:hAnsi="宋体" w:cs="宋体"/>
          <w:spacing w:val="8"/>
          <w:szCs w:val="21"/>
        </w:rPr>
      </w:pPr>
      <w:r>
        <w:rPr>
          <w:rFonts w:hint="eastAsia" w:ascii="宋体" w:hAnsi="宋体" w:cs="宋体"/>
          <w:spacing w:val="8"/>
          <w:szCs w:val="21"/>
        </w:rPr>
        <w:t xml:space="preserve">包二：最高限价60.00万元/年</w:t>
      </w:r>
      <w:r/>
    </w:p>
    <w:p>
      <w:pPr>
        <w:ind w:firstLine="452"/>
        <w:spacing w:line="360" w:lineRule="auto"/>
        <w:shd w:val="clear" w:color="auto" w:fill="ffffff" w:themeFill="background1"/>
        <w:widowControl/>
        <w:rPr>
          <w:rFonts w:ascii="宋体" w:hAnsi="宋体" w:cs="宋体"/>
          <w:spacing w:val="8"/>
          <w:szCs w:val="21"/>
        </w:rPr>
      </w:pPr>
      <w:r>
        <w:rPr>
          <w:rFonts w:hint="eastAsia" w:ascii="宋体" w:hAnsi="宋体" w:cs="宋体"/>
          <w:spacing w:val="8"/>
          <w:szCs w:val="21"/>
        </w:rPr>
        <w:t xml:space="preserve">1.5标包划分：本次招标分为2个标包</w:t>
      </w:r>
      <w:r/>
    </w:p>
    <w:p>
      <w:pPr>
        <w:ind w:firstLine="452"/>
        <w:spacing w:line="360" w:lineRule="auto"/>
        <w:shd w:val="clear" w:color="auto" w:fill="ffffff" w:themeFill="background1"/>
        <w:widowControl/>
        <w:rPr>
          <w:rFonts w:ascii="宋体" w:hAnsi="宋体" w:cs="宋体"/>
          <w:spacing w:val="8"/>
          <w:szCs w:val="21"/>
        </w:rPr>
      </w:pPr>
      <w:r>
        <w:rPr>
          <w:rFonts w:hint="eastAsia" w:ascii="宋体" w:hAnsi="宋体" w:cs="宋体"/>
          <w:spacing w:val="8"/>
          <w:szCs w:val="21"/>
        </w:rPr>
        <w:t xml:space="preserve">包一：三级甲等医院；</w:t>
      </w:r>
      <w:r/>
    </w:p>
    <w:p>
      <w:pPr>
        <w:ind w:firstLine="452"/>
        <w:spacing w:line="360" w:lineRule="auto"/>
        <w:shd w:val="clear" w:color="auto" w:fill="ffffff" w:themeFill="background1"/>
        <w:widowControl/>
        <w:rPr>
          <w:rFonts w:ascii="宋体" w:hAnsi="宋体" w:cs="宋体"/>
          <w:spacing w:val="8"/>
          <w:szCs w:val="21"/>
        </w:rPr>
      </w:pPr>
      <w:r>
        <w:rPr>
          <w:rFonts w:hint="eastAsia" w:ascii="宋体" w:hAnsi="宋体" w:cs="宋体"/>
          <w:spacing w:val="8"/>
          <w:szCs w:val="21"/>
        </w:rPr>
        <w:t xml:space="preserve">包二：允许所有具有正规体检资质的医院、独立体检机构参与投标；</w:t>
      </w:r>
      <w:r/>
    </w:p>
    <w:p>
      <w:pPr>
        <w:ind w:firstLine="454"/>
        <w:spacing w:line="360" w:lineRule="auto"/>
        <w:shd w:val="clear" w:color="auto" w:fill="ffffff" w:themeFill="background1"/>
        <w:widowControl/>
        <w:rPr>
          <w:rFonts w:ascii="宋体" w:hAnsi="宋体" w:cs="宋体"/>
          <w:b/>
          <w:bCs/>
          <w:spacing w:val="8"/>
          <w:szCs w:val="21"/>
        </w:rPr>
      </w:pPr>
      <w:r>
        <w:rPr>
          <w:rFonts w:ascii="宋体" w:hAnsi="宋体" w:cs="宋体"/>
          <w:b/>
          <w:bCs/>
          <w:spacing w:val="8"/>
          <w:szCs w:val="21"/>
        </w:rPr>
        <w:t xml:space="preserve">本项目多个采购包供应商可兼投但不得兼中，评审顺序依次为采购包1、采购包2。同一投标人参与多个采购包投标时，在前一个采购包被确定为排名第一的中标候选人后，不作为其他采购包的合格投标人，由此导致其他采购包的合格投标人少于3家的，该采购包按照合格投标人不足3家处理。</w:t>
      </w:r>
      <w:r/>
    </w:p>
    <w:p>
      <w:pPr>
        <w:ind w:firstLine="452"/>
        <w:spacing w:line="360" w:lineRule="auto"/>
        <w:shd w:val="clear" w:color="auto" w:fill="ffffff" w:themeFill="background1"/>
        <w:widowControl/>
        <w:rPr>
          <w:rFonts w:ascii="宋体" w:hAnsi="宋体" w:cs="宋体"/>
          <w:spacing w:val="8"/>
          <w:szCs w:val="21"/>
        </w:rPr>
      </w:pPr>
      <w:r>
        <w:rPr>
          <w:rFonts w:hint="eastAsia" w:ascii="宋体" w:hAnsi="宋体" w:cs="宋体"/>
          <w:spacing w:val="8"/>
          <w:szCs w:val="21"/>
        </w:rPr>
        <w:t xml:space="preserve">1.6采购需求：南京工业职业技术大学2026-2028年度教职工体检项目，具体内容详见采购文件 第四章 采购需求。</w:t>
      </w:r>
      <w:r/>
    </w:p>
    <w:p>
      <w:pPr>
        <w:pStyle w:val="912"/>
        <w:ind w:firstLine="452"/>
        <w:spacing w:line="360" w:lineRule="auto"/>
        <w:rPr>
          <w:rFonts w:ascii="宋体" w:hAnsi="宋体" w:cs="宋体"/>
          <w:spacing w:val="8"/>
          <w:szCs w:val="21"/>
        </w:rPr>
      </w:pPr>
      <w:r>
        <w:rPr>
          <w:rFonts w:hint="eastAsia" w:ascii="宋体" w:hAnsi="宋体" w:cs="宋体"/>
          <w:spacing w:val="8"/>
          <w:szCs w:val="21"/>
        </w:rPr>
        <w:t xml:space="preserve">1.7合同履行期限：自合同签订之日起，至2028年12月31日内完成项目（具体时间以采购人通知为准）。合同一年一签，每年采购人组织服务质量考核；考核≥80分，续签下一年度合同；考核＜80分，采购人有权向中标人发出整改通知，限期整改；整改后仍达不到80分，采购人有权不予续签下一年度合同。</w:t>
      </w:r>
      <w:r/>
    </w:p>
    <w:p>
      <w:pPr>
        <w:ind w:firstLine="452"/>
        <w:spacing w:line="360" w:lineRule="auto"/>
        <w:shd w:val="clear" w:color="auto" w:fill="ffffff" w:themeFill="background1"/>
        <w:widowControl/>
        <w:rPr>
          <w:rFonts w:ascii="宋体" w:hAnsi="宋体" w:cs="宋体"/>
          <w:spacing w:val="8"/>
          <w:szCs w:val="21"/>
        </w:rPr>
      </w:pPr>
      <w:r>
        <w:rPr>
          <w:rFonts w:hint="eastAsia" w:ascii="宋体" w:hAnsi="宋体" w:cs="宋体"/>
          <w:spacing w:val="8"/>
          <w:szCs w:val="21"/>
        </w:rPr>
        <w:t xml:space="preserve">1.8本项目标的所属行业：其他未列明行业。</w:t>
      </w:r>
      <w:r/>
    </w:p>
    <w:p>
      <w:pPr>
        <w:ind w:firstLine="452"/>
        <w:spacing w:line="360" w:lineRule="auto"/>
        <w:shd w:val="clear" w:color="auto" w:fill="ffffff" w:themeFill="background1"/>
        <w:widowControl/>
        <w:rPr>
          <w:rFonts w:ascii="宋体" w:hAnsi="宋体" w:cs="宋体"/>
          <w:spacing w:val="8"/>
          <w:szCs w:val="21"/>
        </w:rPr>
      </w:pPr>
      <w:r>
        <w:rPr>
          <w:rFonts w:hint="eastAsia" w:ascii="宋体" w:hAnsi="宋体" w:cs="宋体"/>
          <w:spacing w:val="8"/>
          <w:szCs w:val="21"/>
        </w:rPr>
        <w:t xml:space="preserve">1.9本项目</w:t>
      </w:r>
      <w:r>
        <w:rPr>
          <w:rFonts w:hint="eastAsia" w:ascii="宋体" w:hAnsi="宋体" w:cs="宋体"/>
          <w:b/>
          <w:bCs/>
          <w:spacing w:val="8"/>
          <w:szCs w:val="21"/>
        </w:rPr>
        <w:t xml:space="preserve">非专门</w:t>
      </w:r>
      <w:r>
        <w:rPr>
          <w:rFonts w:hint="eastAsia" w:ascii="宋体" w:hAnsi="宋体" w:cs="宋体"/>
          <w:spacing w:val="8"/>
          <w:szCs w:val="21"/>
        </w:rPr>
        <w:t xml:space="preserve">面向中小企业采购。</w:t>
      </w:r>
      <w:r/>
    </w:p>
    <w:p>
      <w:pPr>
        <w:ind w:firstLine="452"/>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1.10本项目</w:t>
      </w:r>
      <w:r>
        <w:rPr>
          <w:rFonts w:hint="eastAsia" w:ascii="宋体" w:hAnsi="宋体" w:cs="宋体"/>
          <w:b/>
          <w:bCs/>
          <w:spacing w:val="8"/>
          <w:szCs w:val="21"/>
        </w:rPr>
        <w:t xml:space="preserve">不接受</w:t>
      </w:r>
      <w:r>
        <w:rPr>
          <w:rFonts w:hint="eastAsia" w:ascii="宋体" w:hAnsi="宋体" w:cs="宋体"/>
          <w:spacing w:val="8"/>
          <w:szCs w:val="21"/>
        </w:rPr>
        <w:t xml:space="preserve">进口产品。</w:t>
      </w:r>
      <w:r/>
    </w:p>
    <w:p>
      <w:pPr>
        <w:ind w:firstLine="452"/>
        <w:spacing w:line="360" w:lineRule="auto"/>
        <w:shd w:val="clear" w:color="auto" w:fill="ffffff" w:themeFill="background1"/>
        <w:widowControl/>
        <w:rPr>
          <w:rFonts w:ascii="宋体" w:hAnsi="宋体" w:cs="宋体"/>
          <w:color w:val="ffffff" w:themeColor="background1"/>
          <w:spacing w:val="8"/>
          <w:szCs w:val="21"/>
          <w14:textFill>
            <w14:solidFill>
              <w14:schemeClr w14:val="bg1"/>
            </w14:solidFill>
          </w14:textFill>
        </w:rPr>
      </w:pPr>
      <w:r>
        <w:rPr>
          <w:rFonts w:hint="eastAsia" w:ascii="宋体" w:hAnsi="宋体" w:cs="宋体"/>
          <w:spacing w:val="8"/>
          <w:szCs w:val="21"/>
        </w:rPr>
        <w:t xml:space="preserve">1.11本项目</w:t>
      </w:r>
      <w:r>
        <w:rPr>
          <w:rFonts w:hint="eastAsia" w:ascii="宋体" w:hAnsi="宋体" w:cs="宋体"/>
          <w:b/>
          <w:bCs/>
          <w:spacing w:val="8"/>
          <w:szCs w:val="21"/>
        </w:rPr>
        <w:t xml:space="preserve">不接受</w:t>
      </w:r>
      <w:r>
        <w:rPr>
          <w:rFonts w:hint="eastAsia" w:ascii="宋体" w:hAnsi="宋体" w:cs="宋体"/>
          <w:spacing w:val="8"/>
          <w:szCs w:val="21"/>
        </w:rPr>
        <w:t xml:space="preserve">联合体投标。</w:t>
      </w:r>
      <w:r/>
    </w:p>
    <w:p>
      <w:pPr>
        <w:spacing w:line="360" w:lineRule="auto"/>
        <w:shd w:val="clear" w:color="auto" w:fill="ffffff" w:themeFill="background1"/>
        <w:widowControl/>
        <w:rPr>
          <w:rFonts w:ascii="宋体" w:hAnsi="宋体" w:cs="宋体"/>
          <w:b/>
          <w:spacing w:val="8"/>
          <w:sz w:val="24"/>
        </w:rPr>
        <w:outlineLvl w:val="1"/>
      </w:pPr>
      <w:r>
        <w:rPr>
          <w:rFonts w:hint="eastAsia" w:ascii="宋体" w:hAnsi="宋体" w:cs="宋体"/>
          <w:b/>
          <w:spacing w:val="8"/>
          <w:sz w:val="24"/>
        </w:rPr>
        <w:t xml:space="preserve">二、申请人的资格要求：</w:t>
      </w:r>
      <w:r/>
    </w:p>
    <w:p>
      <w:pPr>
        <w:ind w:firstLine="454"/>
        <w:spacing w:line="360" w:lineRule="auto"/>
        <w:shd w:val="clear" w:color="auto" w:fill="ffffff" w:themeFill="background1"/>
        <w:widowControl/>
        <w:rPr>
          <w:rFonts w:ascii="宋体" w:hAnsi="宋体" w:cs="宋体"/>
          <w:b/>
          <w:bCs/>
          <w:spacing w:val="8"/>
          <w:szCs w:val="21"/>
        </w:rPr>
      </w:pPr>
      <w:r>
        <w:rPr>
          <w:rFonts w:hint="eastAsia" w:ascii="宋体" w:hAnsi="宋体" w:cs="宋体"/>
          <w:b/>
          <w:bCs/>
          <w:spacing w:val="8"/>
          <w:szCs w:val="21"/>
        </w:rPr>
        <w:t xml:space="preserve">2.1满足《中华人民共和国政府采购法》第二十二条规定；</w:t>
      </w:r>
      <w:r/>
    </w:p>
    <w:p>
      <w:pPr>
        <w:ind w:firstLine="424"/>
        <w:spacing w:line="360" w:lineRule="auto"/>
        <w:rPr>
          <w:rFonts w:ascii="宋体" w:hAnsi="宋体" w:cs="宋体"/>
          <w:bCs/>
          <w:szCs w:val="21"/>
        </w:rPr>
      </w:pPr>
      <w:r>
        <w:rPr>
          <w:rFonts w:hint="eastAsia" w:ascii="宋体" w:hAnsi="宋体" w:cs="宋体"/>
          <w:bCs/>
          <w:szCs w:val="21"/>
        </w:rPr>
        <w:t xml:space="preserve">（1）具有独立承担民事责任的能力</w:t>
      </w:r>
      <w:r>
        <w:rPr>
          <w:rFonts w:hint="eastAsia" w:ascii="宋体" w:hAnsi="宋体" w:cs="宋体"/>
          <w:b/>
          <w:szCs w:val="21"/>
        </w:rPr>
        <w:t xml:space="preserve">（提供法人或者其他组织的营业执照；供应商为自然人的提供其身份证）；</w:t>
      </w:r>
      <w:r>
        <w:rPr>
          <w:rFonts w:hint="eastAsia" w:ascii="宋体" w:hAnsi="宋体" w:cs="宋体"/>
          <w:bCs/>
          <w:szCs w:val="21"/>
        </w:rPr>
        <w:t xml:space="preserve"> </w:t>
      </w:r>
      <w:r/>
    </w:p>
    <w:p>
      <w:pPr>
        <w:ind w:firstLine="424"/>
        <w:spacing w:line="360" w:lineRule="auto"/>
        <w:rPr>
          <w:rFonts w:ascii="宋体" w:hAnsi="宋体" w:cs="宋体"/>
        </w:rPr>
      </w:pPr>
      <w:r>
        <w:rPr>
          <w:rFonts w:hint="eastAsia" w:ascii="宋体" w:hAnsi="宋体" w:cs="宋体"/>
          <w:bCs/>
          <w:szCs w:val="21"/>
        </w:rPr>
        <w:t xml:space="preserve">（2）具有良好的商业信誉和健全的财务会计制度</w:t>
      </w:r>
      <w:r>
        <w:rPr>
          <w:rFonts w:hint="eastAsia" w:ascii="宋体" w:hAnsi="宋体" w:cs="宋体"/>
          <w:b/>
          <w:szCs w:val="21"/>
        </w:rPr>
        <w:t xml:space="preserve">（提供2025年度的财务报告，至少包含资产负债表、利润表；或投标截止时间前六个月内银行出具的资信证明；成立不满一年无须提供）；</w:t>
      </w:r>
      <w:r/>
    </w:p>
    <w:p>
      <w:pPr>
        <w:ind w:firstLine="424"/>
        <w:spacing w:line="360" w:lineRule="auto"/>
        <w:rPr>
          <w:rFonts w:ascii="宋体" w:hAnsi="宋体" w:cs="宋体"/>
          <w:bCs/>
          <w:szCs w:val="21"/>
        </w:rPr>
      </w:pPr>
      <w:r>
        <w:rPr>
          <w:rFonts w:hint="eastAsia" w:ascii="宋体" w:hAnsi="宋体" w:cs="宋体"/>
          <w:bCs/>
          <w:szCs w:val="21"/>
        </w:rPr>
        <w:t xml:space="preserve">（3）具有履行合同所必需的设备和专业技术能力</w:t>
      </w:r>
      <w:r>
        <w:rPr>
          <w:rFonts w:hint="eastAsia" w:ascii="宋体" w:hAnsi="宋体" w:cs="宋体"/>
          <w:b/>
          <w:szCs w:val="21"/>
        </w:rPr>
        <w:t xml:space="preserve">（供应商根据履行采购项目合同需要，提供履行合同所必需的设备和专业技术能力的证明材料或承诺书加盖公章）</w:t>
      </w:r>
      <w:r>
        <w:rPr>
          <w:rFonts w:hint="eastAsia" w:ascii="宋体" w:hAnsi="宋体" w:cs="宋体"/>
          <w:bCs/>
          <w:szCs w:val="21"/>
        </w:rPr>
        <w:t xml:space="preserve">；</w:t>
      </w:r>
      <w:r/>
    </w:p>
    <w:p>
      <w:pPr>
        <w:ind w:firstLine="424"/>
        <w:spacing w:line="360" w:lineRule="auto"/>
        <w:rPr>
          <w:rFonts w:ascii="宋体" w:hAnsi="宋体" w:cs="宋体"/>
          <w:bCs/>
          <w:szCs w:val="21"/>
        </w:rPr>
      </w:pPr>
      <w:r>
        <w:rPr>
          <w:rFonts w:hint="eastAsia" w:ascii="宋体" w:hAnsi="宋体" w:cs="宋体"/>
          <w:bCs/>
          <w:szCs w:val="21"/>
        </w:rPr>
        <w:t xml:space="preserve">（4）有依法缴纳税收和社会保障资金的良好记录</w:t>
      </w:r>
      <w:r>
        <w:rPr>
          <w:rFonts w:hint="eastAsia" w:ascii="宋体" w:hAnsi="宋体" w:cs="宋体"/>
          <w:b/>
          <w:szCs w:val="21"/>
        </w:rPr>
        <w:t xml:space="preserve">（提供自投标截止时间前六个月内任意一个月份：①提供缴纳税收的凭证；②提供缴纳社会保险的凭据，依法享受免缴、缓缴的，提供证明材料）</w:t>
      </w:r>
      <w:r>
        <w:rPr>
          <w:rFonts w:hint="eastAsia" w:ascii="宋体" w:hAnsi="宋体" w:cs="宋体"/>
          <w:bCs/>
          <w:szCs w:val="21"/>
        </w:rPr>
        <w:t xml:space="preserve">；</w:t>
      </w:r>
      <w:r/>
    </w:p>
    <w:p>
      <w:pPr>
        <w:ind w:firstLine="424"/>
        <w:spacing w:line="360" w:lineRule="auto"/>
        <w:rPr>
          <w:rFonts w:ascii="宋体" w:hAnsi="宋体" w:cs="宋体"/>
          <w:bCs/>
          <w:szCs w:val="21"/>
        </w:rPr>
      </w:pPr>
      <w:r>
        <w:rPr>
          <w:rFonts w:hint="eastAsia" w:ascii="宋体" w:hAnsi="宋体" w:cs="宋体"/>
          <w:bCs/>
          <w:szCs w:val="21"/>
        </w:rPr>
        <w:t xml:space="preserve">（5）参加政府采购活动前三年内，在经营活动中没有重大违法记录</w:t>
      </w:r>
      <w:r>
        <w:rPr>
          <w:rFonts w:hint="eastAsia" w:ascii="宋体" w:hAnsi="宋体" w:cs="宋体"/>
          <w:b/>
          <w:szCs w:val="21"/>
        </w:rPr>
        <w:t xml:space="preserve">（提供承诺书加盖公章）</w:t>
      </w:r>
      <w:r>
        <w:rPr>
          <w:rFonts w:hint="eastAsia" w:ascii="宋体" w:hAnsi="宋体" w:cs="宋体"/>
          <w:bCs/>
          <w:szCs w:val="21"/>
        </w:rPr>
        <w:t xml:space="preserve">；</w:t>
      </w:r>
      <w:r/>
    </w:p>
    <w:p>
      <w:pPr>
        <w:ind w:firstLine="424"/>
        <w:spacing w:line="360" w:lineRule="auto"/>
        <w:rPr>
          <w:rFonts w:ascii="宋体" w:hAnsi="宋体" w:cs="宋体"/>
          <w:bCs/>
          <w:szCs w:val="21"/>
        </w:rPr>
      </w:pPr>
      <w:r>
        <w:rPr>
          <w:rFonts w:hint="eastAsia" w:ascii="宋体" w:hAnsi="宋体" w:cs="宋体"/>
          <w:bCs/>
          <w:szCs w:val="21"/>
        </w:rPr>
        <w:t xml:space="preserve">（6）法律、行政法规规定的其他条件：无。</w:t>
      </w:r>
      <w:r/>
    </w:p>
    <w:p>
      <w:pPr>
        <w:ind w:firstLine="454"/>
        <w:spacing w:line="360" w:lineRule="auto"/>
        <w:shd w:val="clear" w:color="auto" w:fill="ffffff" w:themeFill="background1"/>
        <w:widowControl/>
        <w:rPr>
          <w:rFonts w:ascii="宋体" w:hAnsi="宋体" w:cs="宋体"/>
          <w:b/>
          <w:bCs/>
          <w:spacing w:val="8"/>
          <w:szCs w:val="21"/>
        </w:rPr>
      </w:pPr>
      <w:r>
        <w:rPr>
          <w:rFonts w:hint="eastAsia" w:ascii="宋体" w:hAnsi="宋体" w:cs="宋体"/>
          <w:b/>
          <w:bCs/>
          <w:spacing w:val="8"/>
          <w:szCs w:val="21"/>
        </w:rPr>
        <w:t xml:space="preserve">2.2落实政府采购政策需满足的资格要求：无。</w:t>
      </w:r>
      <w:r/>
    </w:p>
    <w:p>
      <w:pPr>
        <w:ind w:firstLine="454"/>
        <w:spacing w:line="360" w:lineRule="auto"/>
        <w:rPr>
          <w:rFonts w:ascii="宋体" w:hAnsi="宋体" w:cs="宋体"/>
          <w:b/>
          <w:spacing w:val="8"/>
          <w:szCs w:val="21"/>
        </w:rPr>
      </w:pPr>
      <w:r>
        <w:rPr>
          <w:rFonts w:hint="eastAsia" w:ascii="宋体" w:hAnsi="宋体" w:cs="宋体"/>
          <w:b/>
          <w:spacing w:val="8"/>
          <w:szCs w:val="21"/>
        </w:rPr>
        <w:t xml:space="preserve">2.3采购人根据采购项目的特殊要求规定的特定条件，并提供符合特殊要求的证明材料或者情况说明：</w:t>
      </w:r>
      <w:r/>
    </w:p>
    <w:p>
      <w:pPr>
        <w:ind w:firstLine="454"/>
        <w:spacing w:line="360" w:lineRule="auto"/>
        <w:rPr>
          <w:rFonts w:ascii="宋体" w:hAnsi="宋体" w:cs="宋体"/>
          <w:b/>
          <w:spacing w:val="8"/>
          <w:szCs w:val="21"/>
        </w:rPr>
      </w:pPr>
      <w:r>
        <w:rPr>
          <w:rFonts w:hint="eastAsia" w:ascii="宋体" w:hAnsi="宋体" w:cs="宋体"/>
          <w:b/>
          <w:spacing w:val="8"/>
          <w:szCs w:val="21"/>
        </w:rPr>
        <w:t xml:space="preserve">包一：投标人具备三级甲等及以上综合性医院等级资格（提供有效证明材料），且同时具备有效的《医疗机构执业许可证》、有效的《放射诊疗许可证》。</w:t>
      </w:r>
      <w:r/>
    </w:p>
    <w:p>
      <w:pPr>
        <w:ind w:firstLine="454"/>
        <w:spacing w:line="360" w:lineRule="auto"/>
        <w:rPr>
          <w:rFonts w:ascii="宋体" w:hAnsi="宋体" w:cs="宋体"/>
          <w:b/>
          <w:spacing w:val="8"/>
          <w:szCs w:val="21"/>
        </w:rPr>
      </w:pPr>
      <w:r>
        <w:rPr>
          <w:rFonts w:hint="eastAsia" w:ascii="宋体" w:hAnsi="宋体" w:cs="宋体"/>
          <w:b/>
          <w:spacing w:val="8"/>
          <w:szCs w:val="21"/>
        </w:rPr>
        <w:t xml:space="preserve">包二：投标人具备有效的《医疗机构执业许可证》、有效的《放射诊疗许可证》。</w:t>
      </w:r>
      <w:r/>
    </w:p>
    <w:p>
      <w:pPr>
        <w:ind w:firstLine="454"/>
        <w:spacing w:line="360" w:lineRule="auto"/>
        <w:rPr>
          <w:rFonts w:ascii="宋体" w:hAnsi="宋体" w:cs="宋体"/>
          <w:b/>
          <w:spacing w:val="8"/>
          <w:szCs w:val="21"/>
        </w:rPr>
      </w:pPr>
      <w:r>
        <w:rPr>
          <w:rFonts w:hint="eastAsia" w:ascii="宋体" w:hAnsi="宋体" w:cs="宋体"/>
          <w:b/>
          <w:spacing w:val="8"/>
          <w:szCs w:val="21"/>
        </w:rPr>
        <w:t xml:space="preserve">备注：提供上述有效证书复印件，证书诊疗科目须包含对应体检、放射诊疗相关范围。</w:t>
      </w:r>
      <w:r/>
    </w:p>
    <w:p>
      <w:pPr>
        <w:ind w:firstLine="454"/>
        <w:spacing w:line="360" w:lineRule="auto"/>
        <w:rPr>
          <w:rFonts w:ascii="宋体" w:hAnsi="宋体" w:cs="宋体"/>
          <w:bCs/>
          <w:szCs w:val="21"/>
        </w:rPr>
      </w:pPr>
      <w:r>
        <w:rPr>
          <w:rFonts w:hint="eastAsia" w:ascii="宋体" w:hAnsi="宋体" w:cs="宋体"/>
          <w:b/>
          <w:spacing w:val="8"/>
          <w:szCs w:val="21"/>
        </w:rPr>
        <w:t xml:space="preserve">2.4第2.1（5）条所称重大违法记录，</w:t>
      </w:r>
      <w:r>
        <w:rPr>
          <w:rFonts w:hint="eastAsia" w:ascii="宋体" w:hAnsi="宋体" w:cs="宋体"/>
          <w:bCs/>
          <w:szCs w:val="21"/>
        </w:rPr>
        <w:t xml:space="preserve">是指供应商因违法经营受到刑事处罚或者责令停产停业、吊销许可证或者执照、较大数额罚款等行政处罚。</w:t>
      </w:r>
      <w:r/>
    </w:p>
    <w:p>
      <w:pPr>
        <w:ind w:firstLine="424"/>
        <w:spacing w:line="360" w:lineRule="auto"/>
        <w:rPr>
          <w:rFonts w:ascii="宋体" w:hAnsi="宋体" w:cs="宋体"/>
          <w:bCs/>
          <w:szCs w:val="21"/>
        </w:rPr>
      </w:pPr>
      <w:r>
        <w:rPr>
          <w:rFonts w:hint="eastAsia" w:ascii="宋体" w:hAnsi="宋体" w:cs="宋体"/>
          <w:bCs/>
          <w:szCs w:val="21"/>
        </w:rPr>
        <w:t xml:space="preserve">2.5 供应商在参加政府采购活动前3年内因违法经营被禁止在一定期限内参加政府采购活动，期限届满的，可以参加政府采购活动。</w:t>
      </w:r>
      <w:r/>
    </w:p>
    <w:p>
      <w:pPr>
        <w:ind w:firstLine="424"/>
        <w:spacing w:line="360" w:lineRule="auto"/>
        <w:rPr>
          <w:rFonts w:ascii="宋体" w:hAnsi="宋体" w:cs="宋体"/>
          <w:bCs/>
          <w:szCs w:val="21"/>
        </w:rPr>
      </w:pPr>
      <w:r>
        <w:rPr>
          <w:rFonts w:hint="eastAsia" w:ascii="宋体" w:hAnsi="宋体" w:cs="宋体"/>
          <w:bCs/>
          <w:szCs w:val="21"/>
        </w:rPr>
        <w:t xml:space="preserve">2.6单位负责人为同一人或者存在直接控股、管理关系的不同供应商，不得参加同一合同项下的政府采购活动。</w:t>
      </w:r>
      <w:r/>
    </w:p>
    <w:p>
      <w:pPr>
        <w:ind w:firstLine="424"/>
        <w:spacing w:line="360" w:lineRule="auto"/>
        <w:rPr>
          <w:rFonts w:ascii="宋体" w:hAnsi="宋体" w:cs="宋体"/>
          <w:bCs/>
          <w:szCs w:val="21"/>
        </w:rPr>
      </w:pPr>
      <w:r>
        <w:rPr>
          <w:rFonts w:hint="eastAsia" w:ascii="宋体" w:hAnsi="宋体" w:cs="宋体"/>
          <w:bCs/>
          <w:szCs w:val="21"/>
        </w:rPr>
        <w:t xml:space="preserve">为采购项目提供整体设计、规范编制或者项目管理、监理、检测等服务的供应商，不得再参加该采购项目的其他采购活动。</w:t>
      </w:r>
      <w:r/>
    </w:p>
    <w:p>
      <w:pPr>
        <w:ind w:firstLine="424"/>
        <w:spacing w:line="360" w:lineRule="auto"/>
        <w:rPr>
          <w:rFonts w:ascii="宋体" w:hAnsi="宋体" w:cs="宋体"/>
          <w:bCs/>
          <w:szCs w:val="21"/>
        </w:rPr>
      </w:pPr>
      <w:r>
        <w:rPr>
          <w:rFonts w:hint="eastAsia" w:ascii="宋体" w:hAnsi="宋体" w:cs="宋体"/>
          <w:bCs/>
          <w:szCs w:val="21"/>
        </w:rPr>
        <w:t xml:space="preserve">2.7拒绝列入失信被执行人、重大税收违法失信主体名单、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供应商信用记录并保存。</w:t>
      </w:r>
      <w:r/>
    </w:p>
    <w:p>
      <w:pPr>
        <w:spacing w:line="360" w:lineRule="auto"/>
        <w:shd w:val="clear" w:color="auto" w:fill="ffffff" w:themeFill="background1"/>
        <w:widowControl/>
        <w:rPr>
          <w:rFonts w:ascii="宋体" w:hAnsi="宋体" w:cs="宋体"/>
          <w:b/>
          <w:spacing w:val="8"/>
          <w:sz w:val="24"/>
        </w:rPr>
        <w:outlineLvl w:val="1"/>
      </w:pPr>
      <w:r>
        <w:rPr>
          <w:rFonts w:hint="eastAsia" w:ascii="宋体" w:hAnsi="宋体" w:cs="宋体"/>
          <w:b/>
          <w:spacing w:val="8"/>
          <w:sz w:val="24"/>
        </w:rPr>
        <w:t xml:space="preserve">三、获取招标文件</w:t>
      </w:r>
      <w:r/>
    </w:p>
    <w:p>
      <w:pPr>
        <w:ind w:firstLine="420"/>
        <w:spacing w:line="360" w:lineRule="auto"/>
        <w:shd w:val="clear" w:color="auto" w:fill="ffffff" w:themeFill="background1"/>
        <w:widowControl/>
        <w:rPr>
          <w:rFonts w:ascii="宋体" w:hAnsi="宋体" w:cs="宋体"/>
          <w:bCs/>
          <w:szCs w:val="21"/>
        </w:rPr>
      </w:pPr>
      <w:r>
        <w:rPr>
          <w:rFonts w:hint="eastAsia" w:ascii="宋体" w:hAnsi="宋体" w:cs="宋体"/>
          <w:bCs/>
          <w:szCs w:val="21"/>
        </w:rPr>
        <w:t xml:space="preserve">3.1时间：自招标文件公告发布之日起5个工作日</w:t>
      </w:r>
      <w:r/>
    </w:p>
    <w:p>
      <w:pPr>
        <w:ind w:firstLine="420"/>
        <w:spacing w:line="360" w:lineRule="auto"/>
        <w:shd w:val="clear" w:color="auto" w:fill="ffffff" w:themeFill="background1"/>
        <w:widowControl/>
        <w:rPr>
          <w:rFonts w:ascii="宋体" w:hAnsi="宋体" w:cs="宋体"/>
          <w:bCs/>
          <w:szCs w:val="21"/>
        </w:rPr>
      </w:pPr>
      <w:r>
        <w:rPr>
          <w:rFonts w:hint="eastAsia" w:ascii="宋体" w:hAnsi="宋体" w:cs="宋体"/>
          <w:bCs/>
          <w:szCs w:val="21"/>
        </w:rPr>
        <w:t xml:space="preserve">3.2地点：苏采云系统注册登记成功后系统内免费下载</w:t>
      </w:r>
      <w:r/>
    </w:p>
    <w:p>
      <w:pPr>
        <w:ind w:firstLine="420"/>
        <w:spacing w:line="360" w:lineRule="auto"/>
        <w:shd w:val="clear" w:color="auto" w:fill="ffffff" w:themeFill="background1"/>
        <w:widowControl/>
        <w:rPr>
          <w:rFonts w:ascii="宋体" w:hAnsi="宋体" w:cs="宋体"/>
          <w:spacing w:val="15"/>
          <w:szCs w:val="21"/>
          <w:shd w:val="clear" w:color="auto" w:fill="ffffff"/>
        </w:rPr>
      </w:pPr>
      <w:r>
        <w:rPr>
          <w:rFonts w:hint="eastAsia" w:ascii="宋体" w:hAnsi="宋体" w:cs="宋体"/>
          <w:bCs/>
          <w:szCs w:val="21"/>
        </w:rPr>
        <w:t xml:space="preserve">3.3方式：</w:t>
      </w:r>
      <w:r>
        <w:rPr>
          <w:rFonts w:hint="eastAsia" w:ascii="宋体" w:hAnsi="宋体" w:cs="宋体"/>
          <w:szCs w:val="21"/>
        </w:rPr>
        <w:t xml:space="preserve">采用网上注册登记方式</w:t>
      </w:r>
      <w:r/>
    </w:p>
    <w:p>
      <w:pPr>
        <w:ind w:firstLine="424"/>
        <w:spacing w:line="360" w:lineRule="auto"/>
        <w:rPr>
          <w:rFonts w:ascii="宋体" w:hAnsi="宋体" w:cs="宋体"/>
          <w:bCs/>
          <w:szCs w:val="21"/>
        </w:rPr>
      </w:pPr>
      <w:r>
        <w:rPr>
          <w:rFonts w:hint="eastAsia" w:ascii="宋体" w:hAnsi="宋体" w:cs="宋体"/>
          <w:bCs/>
          <w:szCs w:val="21"/>
        </w:rPr>
        <w:t xml:space="preserve">3.4</w:t>
      </w:r>
      <w:r>
        <w:rPr>
          <w:rFonts w:hint="eastAsia" w:ascii="宋体" w:hAnsi="宋体" w:cs="宋体"/>
          <w:spacing w:val="8"/>
          <w:szCs w:val="21"/>
        </w:rPr>
        <w:t xml:space="preserve">售价：0.00元</w:t>
      </w:r>
      <w:r/>
    </w:p>
    <w:p>
      <w:pPr>
        <w:spacing w:line="360" w:lineRule="auto"/>
        <w:shd w:val="clear" w:color="auto" w:fill="ffffff" w:themeFill="background1"/>
        <w:widowControl/>
        <w:rPr>
          <w:rFonts w:ascii="宋体" w:hAnsi="宋体" w:cs="宋体"/>
          <w:b/>
          <w:spacing w:val="8"/>
          <w:sz w:val="24"/>
        </w:rPr>
        <w:outlineLvl w:val="1"/>
      </w:pPr>
      <w:r>
        <w:rPr>
          <w:rFonts w:hint="eastAsia" w:ascii="宋体" w:hAnsi="宋体" w:cs="宋体"/>
          <w:b/>
          <w:spacing w:val="8"/>
          <w:sz w:val="24"/>
        </w:rPr>
        <w:t xml:space="preserve">四、提交投标文件截止时间、开标时间和地点</w:t>
      </w:r>
      <w:r/>
    </w:p>
    <w:p>
      <w:pPr>
        <w:ind w:firstLine="370"/>
        <w:spacing w:line="360" w:lineRule="auto"/>
        <w:widowControl/>
        <w:rPr>
          <w:rFonts w:ascii="宋体" w:hAnsi="宋体" w:cs="宋体"/>
          <w:spacing w:val="8"/>
          <w:szCs w:val="21"/>
        </w:rPr>
      </w:pPr>
      <w:r>
        <w:rPr>
          <w:rFonts w:hint="eastAsia" w:ascii="宋体" w:hAnsi="宋体" w:cs="宋体"/>
          <w:spacing w:val="8"/>
          <w:szCs w:val="21"/>
        </w:rPr>
        <w:t xml:space="preserve">4.1</w:t>
      </w:r>
      <w:r>
        <w:rPr>
          <w:rFonts w:hint="eastAsia" w:ascii="宋体" w:hAnsi="宋体" w:cs="宋体"/>
          <w:spacing w:val="15"/>
          <w:szCs w:val="21"/>
          <w:shd w:val="clear" w:color="auto" w:fill="ffffff"/>
        </w:rPr>
        <w:t xml:space="preserve">提交投标文件截止时间、开标时间：</w:t>
      </w:r>
      <w:r>
        <w:rPr>
          <w:rFonts w:hint="eastAsia" w:ascii="宋体" w:hAnsi="宋体" w:cs="宋体"/>
          <w:b/>
          <w:bCs/>
        </w:rPr>
        <w:t xml:space="preserve">2026</w:t>
      </w:r>
      <w:r>
        <w:rPr>
          <w:rFonts w:hint="eastAsia" w:ascii="宋体" w:hAnsi="宋体" w:cs="宋体"/>
          <w:b/>
          <w:bCs/>
          <w:spacing w:val="8"/>
          <w:szCs w:val="21"/>
        </w:rPr>
        <w:t xml:space="preserve">年</w:t>
      </w:r>
      <w:r>
        <w:rPr>
          <w:rFonts w:hint="eastAsia" w:ascii="宋体" w:hAnsi="宋体" w:cs="宋体"/>
          <w:b/>
          <w:bCs/>
          <w:spacing w:val="8"/>
          <w:szCs w:val="21"/>
          <w:lang w:val="en-US" w:eastAsia="zh-CN"/>
        </w:rPr>
        <w:t xml:space="preserve">11</w:t>
      </w:r>
      <w:r>
        <w:rPr>
          <w:rFonts w:hint="eastAsia" w:ascii="宋体" w:hAnsi="宋体" w:cs="宋体"/>
          <w:b/>
          <w:bCs/>
          <w:spacing w:val="8"/>
          <w:szCs w:val="21"/>
        </w:rPr>
        <w:t xml:space="preserve">月</w:t>
      </w:r>
      <w:r>
        <w:rPr>
          <w:rFonts w:hint="eastAsia" w:ascii="宋体" w:hAnsi="宋体" w:cs="宋体"/>
          <w:b/>
          <w:bCs/>
          <w:spacing w:val="8"/>
          <w:szCs w:val="21"/>
          <w:lang w:val="en-US" w:eastAsia="zh-CN"/>
        </w:rPr>
        <w:t xml:space="preserve">3</w:t>
      </w:r>
      <w:r>
        <w:rPr>
          <w:rFonts w:hint="eastAsia" w:ascii="宋体" w:hAnsi="宋体" w:cs="宋体"/>
          <w:b/>
          <w:bCs/>
          <w:spacing w:val="8"/>
          <w:szCs w:val="21"/>
        </w:rPr>
        <w:t xml:space="preserve">日</w:t>
      </w:r>
      <w:r>
        <w:rPr>
          <w:rFonts w:hint="eastAsia" w:ascii="宋体" w:hAnsi="宋体" w:cs="宋体"/>
          <w:b/>
          <w:bCs/>
          <w:lang w:val="en-US" w:eastAsia="zh-CN"/>
        </w:rPr>
        <w:t xml:space="preserve">9</w:t>
      </w:r>
      <w:r>
        <w:rPr>
          <w:rFonts w:hint="eastAsia" w:ascii="宋体" w:hAnsi="宋体" w:cs="宋体"/>
          <w:b/>
          <w:bCs/>
          <w:spacing w:val="8"/>
          <w:szCs w:val="21"/>
        </w:rPr>
        <w:t xml:space="preserve">点</w:t>
      </w:r>
      <w:r>
        <w:rPr>
          <w:rFonts w:hint="eastAsia" w:ascii="宋体" w:hAnsi="宋体" w:cs="宋体"/>
          <w:b/>
          <w:bCs/>
        </w:rPr>
        <w:t xml:space="preserve">30</w:t>
      </w:r>
      <w:r>
        <w:rPr>
          <w:rFonts w:hint="eastAsia" w:ascii="宋体" w:hAnsi="宋体" w:cs="宋体"/>
          <w:b/>
          <w:bCs/>
          <w:spacing w:val="8"/>
          <w:szCs w:val="21"/>
        </w:rPr>
        <w:t xml:space="preserve">分</w:t>
      </w:r>
      <w:r>
        <w:rPr>
          <w:rFonts w:hint="eastAsia" w:ascii="宋体" w:hAnsi="宋体" w:cs="宋体"/>
          <w:spacing w:val="8"/>
          <w:szCs w:val="21"/>
        </w:rPr>
        <w:t xml:space="preserve">（北京时间）</w:t>
      </w:r>
      <w:r/>
    </w:p>
    <w:p>
      <w:pPr>
        <w:pStyle w:val="928"/>
        <w:ind w:firstLine="375"/>
        <w:jc w:val="both"/>
        <w:spacing w:before="0" w:beforeAutospacing="0" w:after="0" w:afterAutospacing="0" w:line="360" w:lineRule="auto"/>
        <w:rPr>
          <w:spacing w:val="15"/>
          <w:sz w:val="21"/>
          <w:szCs w:val="21"/>
          <w:shd w:val="clear" w:color="auto" w:fill="ffffff"/>
        </w:rPr>
      </w:pPr>
      <w:r>
        <w:rPr>
          <w:rFonts w:hint="eastAsia"/>
          <w:spacing w:val="15"/>
          <w:sz w:val="21"/>
          <w:szCs w:val="21"/>
          <w:shd w:val="clear" w:color="auto" w:fill="ffffff"/>
        </w:rPr>
        <w:t xml:space="preserve">4.2地点：江苏省政府采购管理交易系统（苏采云）（以下简称“苏采云”）（网址：</w:t>
      </w:r>
      <w:r>
        <w:fldChar w:fldCharType="begin"/>
      </w:r>
      <w:r>
        <w:instrText xml:space="preserve"> HYPERLINK "http://jszfcg.jsczt.cn/）" </w:instrText>
      </w:r>
      <w:r>
        <w:fldChar w:fldCharType="separate"/>
      </w:r>
      <w:r>
        <w:rPr>
          <w:rFonts w:hint="eastAsia"/>
          <w:spacing w:val="15"/>
          <w:sz w:val="21"/>
          <w:szCs w:val="21"/>
          <w:shd w:val="clear" w:color="auto" w:fill="ffffff"/>
        </w:rPr>
        <w:t xml:space="preserve">https://jszfcg.jsczt.cn）</w:t>
      </w:r>
      <w:r>
        <w:rPr>
          <w:rFonts w:hint="eastAsia"/>
          <w:spacing w:val="15"/>
          <w:sz w:val="21"/>
          <w:szCs w:val="21"/>
          <w:shd w:val="clear" w:color="auto" w:fill="ffffff"/>
        </w:rPr>
        <w:fldChar w:fldCharType="end"/>
      </w:r>
      <w:r/>
    </w:p>
    <w:p>
      <w:pPr>
        <w:spacing w:line="360" w:lineRule="auto"/>
        <w:shd w:val="clear" w:color="auto" w:fill="ffffff" w:themeFill="background1"/>
        <w:widowControl/>
        <w:rPr>
          <w:rFonts w:ascii="宋体" w:hAnsi="宋体" w:cs="宋体"/>
          <w:b/>
          <w:spacing w:val="8"/>
          <w:sz w:val="24"/>
        </w:rPr>
        <w:outlineLvl w:val="1"/>
      </w:pPr>
      <w:r>
        <w:rPr>
          <w:rFonts w:hint="eastAsia" w:ascii="宋体" w:hAnsi="宋体" w:cs="宋体"/>
          <w:b/>
          <w:spacing w:val="8"/>
          <w:sz w:val="24"/>
        </w:rPr>
        <w:t xml:space="preserve">五、公告期限</w:t>
      </w:r>
      <w:r/>
    </w:p>
    <w:p>
      <w:pPr>
        <w:ind w:firstLine="370"/>
        <w:spacing w:line="360" w:lineRule="auto"/>
        <w:shd w:val="clear" w:color="auto" w:fill="ffffff" w:themeFill="background1"/>
        <w:widowControl/>
        <w:rPr>
          <w:rFonts w:ascii="宋体" w:hAnsi="宋体" w:cs="宋体"/>
          <w:spacing w:val="8"/>
          <w:szCs w:val="21"/>
        </w:rPr>
      </w:pPr>
      <w:r>
        <w:rPr>
          <w:rFonts w:hint="eastAsia" w:ascii="宋体" w:hAnsi="宋体" w:cs="宋体"/>
          <w:spacing w:val="8"/>
          <w:szCs w:val="21"/>
        </w:rPr>
        <w:t xml:space="preserve">自本公告发布之日起5个工作日。</w:t>
      </w:r>
      <w:r/>
    </w:p>
    <w:p>
      <w:pPr>
        <w:spacing w:line="360" w:lineRule="auto"/>
        <w:shd w:val="clear" w:color="auto" w:fill="ffffff" w:themeFill="background1"/>
        <w:widowControl/>
        <w:rPr>
          <w:rFonts w:ascii="宋体" w:hAnsi="宋体" w:cs="宋体"/>
          <w:b/>
          <w:spacing w:val="8"/>
          <w:sz w:val="24"/>
        </w:rPr>
        <w:outlineLvl w:val="1"/>
      </w:pPr>
      <w:r>
        <w:rPr>
          <w:rFonts w:hint="eastAsia" w:ascii="宋体" w:hAnsi="宋体" w:cs="宋体"/>
          <w:b/>
          <w:spacing w:val="8"/>
          <w:sz w:val="24"/>
        </w:rPr>
        <w:t xml:space="preserve">六、其他补充事宜</w:t>
      </w:r>
      <w:r/>
    </w:p>
    <w:p>
      <w:pPr>
        <w:ind w:firstLine="424"/>
        <w:spacing w:line="360" w:lineRule="auto"/>
        <w:rPr>
          <w:rFonts w:ascii="宋体" w:hAnsi="宋体" w:cs="宋体"/>
          <w:bCs/>
          <w:szCs w:val="21"/>
          <w:lang w:val="zh-CN"/>
        </w:rPr>
      </w:pPr>
      <w:r>
        <w:rPr>
          <w:rFonts w:hint="eastAsia" w:ascii="宋体" w:hAnsi="宋体" w:cs="宋体"/>
          <w:bCs/>
          <w:szCs w:val="21"/>
          <w:lang w:val="zh-CN"/>
        </w:rPr>
        <w:t xml:space="preserve">6.1本项目在</w:t>
      </w:r>
      <w:r>
        <w:rPr>
          <w:rFonts w:hint="eastAsia" w:ascii="宋体" w:hAnsi="宋体" w:cs="宋体"/>
          <w:b/>
          <w:szCs w:val="21"/>
          <w:u w:val="single"/>
        </w:rPr>
        <w:t xml:space="preserve">江苏政府采购网、中国政府采购网</w:t>
      </w:r>
      <w:r>
        <w:rPr>
          <w:rFonts w:hint="eastAsia" w:ascii="宋体" w:hAnsi="宋体" w:cs="宋体"/>
          <w:bCs/>
          <w:szCs w:val="21"/>
          <w:lang w:val="zh-CN"/>
        </w:rPr>
        <w:t xml:space="preserve">发布公告。</w:t>
      </w:r>
      <w:r/>
    </w:p>
    <w:p>
      <w:pPr>
        <w:ind w:firstLine="484"/>
        <w:spacing w:line="360" w:lineRule="auto"/>
        <w:rPr>
          <w:rFonts w:ascii="宋体" w:hAnsi="宋体" w:cs="宋体"/>
          <w:spacing w:val="15"/>
          <w:szCs w:val="21"/>
          <w:shd w:val="clear" w:color="auto" w:fill="ffffff"/>
        </w:rPr>
      </w:pPr>
      <w:r>
        <w:rPr>
          <w:rFonts w:hint="eastAsia" w:ascii="宋体" w:hAnsi="宋体" w:cs="宋体"/>
          <w:spacing w:val="15"/>
          <w:szCs w:val="21"/>
          <w:shd w:val="clear" w:color="auto" w:fill="ffffff"/>
        </w:rPr>
        <w:t xml:space="preserve">6.2勘察现场或答疑地点：无。</w:t>
      </w:r>
      <w:r/>
    </w:p>
    <w:p>
      <w:pPr>
        <w:ind w:firstLine="484"/>
        <w:spacing w:line="360" w:lineRule="auto"/>
        <w:rPr>
          <w:rFonts w:ascii="宋体" w:hAnsi="宋体" w:cs="宋体"/>
          <w:spacing w:val="15"/>
          <w:szCs w:val="21"/>
          <w:shd w:val="clear" w:color="auto" w:fill="ffffff"/>
        </w:rPr>
      </w:pPr>
      <w:r>
        <w:rPr>
          <w:rFonts w:hint="eastAsia" w:ascii="宋体" w:hAnsi="宋体" w:cs="宋体"/>
          <w:spacing w:val="15"/>
          <w:szCs w:val="21"/>
          <w:shd w:val="clear" w:color="auto" w:fill="ffffff"/>
        </w:rPr>
        <w:t xml:space="preserve">6.3获取招标文件方式补充：本项目采用网上注册登记方式。</w:t>
      </w:r>
      <w:r/>
    </w:p>
    <w:p>
      <w:pPr>
        <w:ind w:firstLine="484"/>
        <w:spacing w:line="360" w:lineRule="auto"/>
        <w:rPr>
          <w:rFonts w:ascii="宋体" w:hAnsi="宋体" w:cs="宋体"/>
          <w:spacing w:val="15"/>
          <w:szCs w:val="21"/>
          <w:shd w:val="clear" w:color="auto" w:fill="ffffff"/>
        </w:rPr>
      </w:pPr>
      <w:r>
        <w:rPr>
          <w:rFonts w:hint="eastAsia" w:ascii="宋体" w:hAnsi="宋体" w:cs="宋体"/>
          <w:spacing w:val="15"/>
          <w:szCs w:val="21"/>
          <w:shd w:val="clear" w:color="auto" w:fill="ffffff"/>
        </w:rPr>
        <w:t xml:space="preserve">①潜在供应商访问电子招标响应交易平台的网络地址和方法：</w:t>
      </w:r>
      <w:r/>
    </w:p>
    <w:p>
      <w:pPr>
        <w:ind w:firstLine="484"/>
        <w:spacing w:line="360" w:lineRule="auto"/>
        <w:rPr>
          <w:rFonts w:ascii="宋体" w:hAnsi="宋体" w:cs="宋体"/>
          <w:spacing w:val="15"/>
          <w:szCs w:val="21"/>
          <w:shd w:val="clear" w:color="auto" w:fill="ffffff"/>
        </w:rPr>
      </w:pPr>
      <w:r>
        <w:rPr>
          <w:rFonts w:hint="eastAsia" w:ascii="宋体" w:hAnsi="宋体" w:cs="宋体"/>
          <w:spacing w:val="15"/>
          <w:szCs w:val="21"/>
          <w:shd w:val="clear" w:color="auto" w:fill="ffffff"/>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4"/>
        <w:spacing w:line="360" w:lineRule="auto"/>
        <w:rPr>
          <w:rFonts w:ascii="宋体" w:hAnsi="宋体" w:cs="宋体"/>
          <w:spacing w:val="15"/>
          <w:szCs w:val="21"/>
          <w:shd w:val="clear" w:color="auto" w:fill="ffffff"/>
        </w:rPr>
      </w:pPr>
      <w:r>
        <w:rPr>
          <w:rFonts w:hint="eastAsia" w:ascii="宋体" w:hAnsi="宋体" w:cs="宋体"/>
          <w:spacing w:val="15"/>
          <w:szCs w:val="21"/>
          <w:shd w:val="clear" w:color="auto" w:fill="ffffff"/>
        </w:rPr>
        <w:t xml:space="preserve">②潜在供应商访问“苏采云”系统的网络地址和方法：“苏采云”系统的网址：https://jszfcg.jsczt.cn。</w:t>
      </w:r>
      <w:r/>
    </w:p>
    <w:p>
      <w:pPr>
        <w:ind w:firstLine="484"/>
        <w:spacing w:line="360" w:lineRule="auto"/>
        <w:rPr>
          <w:rFonts w:ascii="宋体" w:hAnsi="宋体" w:cs="宋体"/>
          <w:spacing w:val="15"/>
          <w:szCs w:val="21"/>
          <w:shd w:val="clear" w:color="auto" w:fill="ffffff"/>
        </w:rPr>
      </w:pPr>
      <w:r>
        <w:rPr>
          <w:rFonts w:hint="eastAsia" w:ascii="宋体" w:hAnsi="宋体" w:cs="宋体"/>
          <w:spacing w:val="15"/>
          <w:szCs w:val="21"/>
          <w:shd w:val="clear" w:color="auto" w:fill="ffffff"/>
        </w:rPr>
        <w:t xml:space="preserve">③“CA数字证书”的获取：</w:t>
      </w:r>
      <w:r/>
    </w:p>
    <w:p>
      <w:pPr>
        <w:ind w:firstLine="484"/>
        <w:spacing w:line="360" w:lineRule="auto"/>
        <w:rPr>
          <w:rFonts w:ascii="宋体" w:hAnsi="宋体" w:cs="宋体"/>
          <w:spacing w:val="15"/>
          <w:szCs w:val="21"/>
          <w:shd w:val="clear" w:color="auto" w:fill="ffffff"/>
        </w:rPr>
      </w:pPr>
      <w:r>
        <w:rPr>
          <w:rFonts w:hint="eastAsia" w:ascii="宋体" w:hAnsi="宋体" w:cs="宋体"/>
          <w:spacing w:val="15"/>
          <w:szCs w:val="21"/>
          <w:shd w:val="clear" w:color="auto" w:fill="ffffff"/>
        </w:rPr>
        <w:t xml:space="preserve">响应供应商需办理“CA 数字证书”，CA办理指南及“苏采云”操作手册可至江苏省政府采购网―办事指南-资料下载中心下载。</w:t>
      </w:r>
      <w:r/>
    </w:p>
    <w:p>
      <w:pPr>
        <w:ind w:firstLine="484"/>
        <w:spacing w:line="360" w:lineRule="auto"/>
        <w:rPr>
          <w:rFonts w:ascii="宋体" w:hAnsi="宋体" w:cs="宋体"/>
          <w:spacing w:val="15"/>
          <w:szCs w:val="21"/>
          <w:shd w:val="clear" w:color="auto" w:fill="ffffff"/>
        </w:rPr>
      </w:pPr>
      <w:r>
        <w:rPr>
          <w:rFonts w:hint="eastAsia" w:ascii="宋体" w:hAnsi="宋体" w:cs="宋体"/>
          <w:spacing w:val="15"/>
          <w:szCs w:val="21"/>
          <w:shd w:val="clear" w:color="auto" w:fill="ffffff"/>
        </w:rPr>
        <w:t xml:space="preserve">通过苏采云系统首页（https://jszfcg.jsczt.cn）的“苏采云控件驱动下载”，选择“政务CA、方正签章控件驱动安装包及安装说明”下载安装，具体安装方法详见下载文件内的《安装说明》。</w:t>
      </w:r>
      <w:r/>
    </w:p>
    <w:p>
      <w:pPr>
        <w:ind w:firstLine="484"/>
        <w:spacing w:line="360" w:lineRule="auto"/>
        <w:rPr>
          <w:rFonts w:ascii="宋体" w:hAnsi="宋体" w:cs="宋体"/>
          <w:spacing w:val="15"/>
          <w:szCs w:val="21"/>
          <w:shd w:val="clear" w:color="auto" w:fill="ffffff"/>
        </w:rPr>
      </w:pPr>
      <w:r>
        <w:rPr>
          <w:rFonts w:hint="eastAsia" w:ascii="宋体" w:hAnsi="宋体" w:cs="宋体"/>
          <w:spacing w:val="15"/>
          <w:szCs w:val="21"/>
          <w:shd w:val="clear" w:color="auto" w:fill="ffffff"/>
        </w:rPr>
        <w:t xml:space="preserve">④采购文件（后缀名为“.kedt”）、供应商操作手册及政府采购客户端工具可通过“苏采云”系统--已报名项目--报名详情页面内相应链接进行下载。</w:t>
      </w:r>
      <w:r/>
    </w:p>
    <w:p>
      <w:pPr>
        <w:ind w:firstLine="484"/>
        <w:spacing w:line="360" w:lineRule="auto"/>
        <w:rPr>
          <w:rFonts w:ascii="宋体" w:hAnsi="宋体" w:cs="宋体"/>
          <w:spacing w:val="15"/>
          <w:szCs w:val="21"/>
          <w:shd w:val="clear" w:color="auto" w:fill="ffffff"/>
        </w:rPr>
      </w:pPr>
      <w:r>
        <w:rPr>
          <w:rFonts w:hint="eastAsia" w:ascii="宋体" w:hAnsi="宋体" w:cs="宋体"/>
          <w:spacing w:val="15"/>
          <w:szCs w:val="21"/>
          <w:shd w:val="clear" w:color="auto" w:fill="ffffff"/>
        </w:rPr>
        <w:t xml:space="preserve">⑤采购人或采购代理机构将数据电文形式的采购文件加载至“苏采云”系统，供潜在供应商下载或者查阅。</w:t>
      </w:r>
      <w:r/>
    </w:p>
    <w:p>
      <w:pPr>
        <w:ind w:firstLine="484"/>
        <w:spacing w:line="360" w:lineRule="auto"/>
        <w:rPr>
          <w:rFonts w:ascii="宋体" w:hAnsi="宋体" w:cs="宋体"/>
          <w:spacing w:val="15"/>
          <w:szCs w:val="21"/>
          <w:shd w:val="clear" w:color="auto" w:fill="ffffff"/>
        </w:rPr>
      </w:pPr>
      <w:r>
        <w:rPr>
          <w:rFonts w:hint="eastAsia" w:ascii="宋体" w:hAnsi="宋体" w:cs="宋体"/>
          <w:spacing w:val="15"/>
          <w:szCs w:val="21"/>
          <w:shd w:val="clear" w:color="auto" w:fill="ffffff"/>
        </w:rPr>
        <w:t xml:space="preserve">⑥请潜在供应商提前安装相应的控件（详见《江苏省政府采购管理交易系统（苏采云）供应商操作手册》）并使用谷歌浏览器登录“苏采云”系统参与不见面开评标。</w:t>
      </w:r>
      <w:r/>
    </w:p>
    <w:p>
      <w:pPr>
        <w:ind w:firstLine="424"/>
        <w:spacing w:line="360" w:lineRule="auto"/>
        <w:rPr>
          <w:rFonts w:ascii="宋体" w:hAnsi="宋体" w:cs="宋体"/>
          <w:bCs/>
          <w:szCs w:val="21"/>
        </w:rPr>
      </w:pPr>
      <w:r>
        <w:rPr>
          <w:rFonts w:hint="eastAsia" w:ascii="宋体" w:hAnsi="宋体" w:cs="宋体"/>
          <w:bCs/>
          <w:szCs w:val="21"/>
        </w:rPr>
        <w:t xml:space="preserve">注：如潜在供应商未按上述要求操作，将自行承担所产生的风险。</w:t>
      </w:r>
      <w:r/>
    </w:p>
    <w:p>
      <w:pPr>
        <w:spacing w:line="360" w:lineRule="auto"/>
        <w:shd w:val="clear" w:color="auto" w:fill="ffffff" w:themeFill="background1"/>
        <w:widowControl/>
        <w:rPr>
          <w:rFonts w:ascii="宋体" w:hAnsi="宋体" w:cs="宋体"/>
          <w:b/>
          <w:spacing w:val="8"/>
          <w:sz w:val="24"/>
        </w:rPr>
      </w:pPr>
      <w:r>
        <w:rPr>
          <w:rFonts w:hint="eastAsia" w:ascii="宋体" w:hAnsi="宋体" w:cs="宋体"/>
          <w:b/>
          <w:spacing w:val="8"/>
          <w:sz w:val="24"/>
        </w:rPr>
        <w:t xml:space="preserve">七、对本次招标提出询问，请按以下方式联系</w:t>
      </w:r>
      <w:bookmarkEnd w:id="5"/>
      <w:r/>
      <w:bookmarkEnd w:id="6"/>
      <w:r/>
      <w:bookmarkEnd w:id="7"/>
      <w:r/>
      <w:bookmarkEnd w:id="8"/>
      <w:r/>
      <w:bookmarkEnd w:id="10"/>
      <w:r/>
      <w:bookmarkEnd w:id="11"/>
      <w:r/>
      <w:bookmarkEnd w:id="12"/>
      <w:r/>
      <w:r/>
    </w:p>
    <w:p>
      <w:pPr>
        <w:ind w:firstLine="424"/>
        <w:spacing w:line="360" w:lineRule="auto"/>
        <w:rPr>
          <w:rFonts w:ascii="宋体" w:hAnsi="宋体" w:cs="宋体"/>
          <w:bCs/>
          <w:szCs w:val="21"/>
          <w:lang w:val="zh-CN"/>
        </w:rPr>
      </w:pPr>
      <w:r>
        <w:rPr>
          <w:rFonts w:hint="eastAsia" w:ascii="宋体" w:hAnsi="宋体" w:cs="宋体"/>
          <w:bCs/>
          <w:szCs w:val="21"/>
          <w:lang w:val="zh-CN"/>
        </w:rPr>
        <w:t xml:space="preserve">7.1采购人信息</w:t>
      </w:r>
      <w:r/>
    </w:p>
    <w:p>
      <w:pPr>
        <w:ind w:firstLine="452"/>
        <w:jc w:val="left"/>
        <w:spacing w:line="360" w:lineRule="auto"/>
        <w:widowControl/>
        <w:rPr>
          <w:rFonts w:ascii="宋体" w:hAnsi="宋体" w:cs="宋体"/>
          <w:spacing w:val="8"/>
          <w:szCs w:val="21"/>
        </w:rPr>
      </w:pPr>
      <w:r>
        <w:rPr>
          <w:rFonts w:hint="eastAsia" w:ascii="宋体" w:hAnsi="宋体" w:cs="宋体"/>
          <w:spacing w:val="8"/>
          <w:szCs w:val="21"/>
        </w:rPr>
        <w:t xml:space="preserve">名称：南京工业职业技术大学 </w:t>
      </w:r>
      <w:r/>
    </w:p>
    <w:p>
      <w:pPr>
        <w:ind w:firstLine="452"/>
        <w:jc w:val="left"/>
        <w:spacing w:line="360" w:lineRule="auto"/>
        <w:widowControl/>
        <w:rPr>
          <w:rFonts w:ascii="宋体" w:hAnsi="宋体" w:cs="宋体"/>
          <w:spacing w:val="8"/>
          <w:szCs w:val="21"/>
        </w:rPr>
      </w:pPr>
      <w:r>
        <w:rPr>
          <w:rFonts w:hint="eastAsia" w:ascii="宋体" w:hAnsi="宋体" w:cs="宋体"/>
          <w:spacing w:val="8"/>
          <w:szCs w:val="21"/>
        </w:rPr>
        <w:t xml:space="preserve">地址：南京市栖霞区仙林大学城羊山北路1号</w:t>
      </w:r>
      <w:r/>
    </w:p>
    <w:p>
      <w:pPr>
        <w:ind w:firstLine="452"/>
        <w:jc w:val="left"/>
        <w:spacing w:line="360" w:lineRule="auto"/>
        <w:widowControl/>
        <w:rPr>
          <w:rFonts w:ascii="宋体" w:hAnsi="宋体" w:cs="宋体"/>
          <w:spacing w:val="8"/>
          <w:szCs w:val="21"/>
        </w:rPr>
      </w:pPr>
      <w:r>
        <w:rPr>
          <w:rFonts w:hint="eastAsia" w:ascii="宋体" w:hAnsi="宋体" w:cs="宋体"/>
          <w:spacing w:val="8"/>
          <w:szCs w:val="21"/>
        </w:rPr>
        <w:t xml:space="preserve">联系人：纪老师</w:t>
      </w:r>
      <w:r/>
    </w:p>
    <w:p>
      <w:pPr>
        <w:ind w:firstLine="452"/>
        <w:jc w:val="left"/>
        <w:spacing w:line="360" w:lineRule="auto"/>
        <w:widowControl/>
        <w:rPr>
          <w:rFonts w:ascii="宋体" w:hAnsi="宋体" w:cs="宋体"/>
          <w:spacing w:val="8"/>
          <w:szCs w:val="21"/>
        </w:rPr>
      </w:pPr>
      <w:r>
        <w:rPr>
          <w:rFonts w:hint="eastAsia" w:ascii="宋体" w:hAnsi="宋体" w:cs="宋体"/>
          <w:spacing w:val="8"/>
          <w:szCs w:val="21"/>
          <w:lang w:val="zh-CN"/>
        </w:rPr>
        <w:t xml:space="preserve">联系电话：025-85864066</w:t>
      </w:r>
      <w:r/>
    </w:p>
    <w:p>
      <w:pPr>
        <w:ind w:firstLine="424"/>
        <w:spacing w:line="360" w:lineRule="auto"/>
        <w:rPr>
          <w:rFonts w:ascii="宋体" w:hAnsi="宋体" w:cs="宋体"/>
          <w:bCs/>
          <w:szCs w:val="21"/>
          <w:lang w:val="zh-CN"/>
        </w:rPr>
      </w:pPr>
      <w:r>
        <w:rPr>
          <w:rFonts w:hint="eastAsia" w:ascii="宋体" w:hAnsi="宋体" w:cs="宋体"/>
          <w:bCs/>
          <w:szCs w:val="21"/>
          <w:lang w:val="zh-CN"/>
        </w:rPr>
        <w:t xml:space="preserve">7.2采购代理机构信息</w:t>
      </w:r>
      <w:r/>
    </w:p>
    <w:p>
      <w:pPr>
        <w:ind w:firstLine="424"/>
        <w:spacing w:line="360" w:lineRule="auto"/>
        <w:rPr>
          <w:rFonts w:ascii="宋体" w:hAnsi="宋体" w:cs="宋体"/>
          <w:bCs/>
          <w:szCs w:val="21"/>
          <w:lang w:val="zh-CN"/>
        </w:rPr>
      </w:pPr>
      <w:r>
        <w:rPr>
          <w:rFonts w:hint="eastAsia" w:ascii="宋体" w:hAnsi="宋体" w:cs="宋体"/>
          <w:bCs/>
          <w:szCs w:val="21"/>
          <w:lang w:val="zh-CN"/>
        </w:rPr>
        <w:t xml:space="preserve">名 称：江苏省设备成套股份有限公司</w:t>
      </w:r>
      <w:r/>
    </w:p>
    <w:p>
      <w:pPr>
        <w:ind w:firstLine="424"/>
        <w:spacing w:line="360" w:lineRule="auto"/>
        <w:rPr>
          <w:rFonts w:ascii="宋体" w:hAnsi="宋体" w:cs="宋体"/>
          <w:bCs/>
          <w:szCs w:val="21"/>
          <w:lang w:val="zh-CN"/>
        </w:rPr>
      </w:pPr>
      <w:r>
        <w:rPr>
          <w:rFonts w:hint="eastAsia" w:ascii="宋体" w:hAnsi="宋体" w:cs="宋体"/>
          <w:bCs/>
          <w:szCs w:val="21"/>
          <w:lang w:val="zh-CN"/>
        </w:rPr>
        <w:t xml:space="preserve">地　址：南京市鼓楼区清江南路18号鼓楼创新广场10楼100</w:t>
      </w:r>
      <w:r>
        <w:rPr>
          <w:rFonts w:hint="eastAsia" w:ascii="宋体" w:hAnsi="宋体" w:cs="宋体"/>
          <w:bCs/>
          <w:szCs w:val="21"/>
        </w:rPr>
        <w:t xml:space="preserve">1</w:t>
      </w:r>
      <w:r>
        <w:rPr>
          <w:rFonts w:hint="eastAsia" w:ascii="宋体" w:hAnsi="宋体" w:cs="宋体"/>
          <w:bCs/>
          <w:szCs w:val="21"/>
          <w:lang w:val="zh-CN"/>
        </w:rPr>
        <w:t xml:space="preserve">室</w:t>
      </w:r>
      <w:r/>
    </w:p>
    <w:p>
      <w:pPr>
        <w:ind w:firstLine="424"/>
        <w:spacing w:line="360" w:lineRule="auto"/>
        <w:rPr>
          <w:rFonts w:ascii="宋体" w:hAnsi="宋体" w:cs="宋体"/>
          <w:bCs/>
          <w:szCs w:val="21"/>
        </w:rPr>
      </w:pPr>
      <w:r>
        <w:rPr>
          <w:rFonts w:hint="eastAsia" w:ascii="宋体" w:hAnsi="宋体" w:cs="宋体"/>
          <w:bCs/>
          <w:szCs w:val="21"/>
          <w:lang w:val="zh-CN"/>
        </w:rPr>
        <w:t xml:space="preserve">联系方式：</w:t>
      </w:r>
      <w:r>
        <w:rPr>
          <w:rFonts w:hint="eastAsia" w:ascii="宋体" w:hAnsi="宋体" w:cs="宋体"/>
          <w:bCs/>
          <w:szCs w:val="21"/>
        </w:rPr>
        <w:t xml:space="preserve">张志豪 </w:t>
      </w:r>
      <w:r>
        <w:rPr>
          <w:rFonts w:hint="eastAsia" w:ascii="宋体" w:hAnsi="宋体" w:cs="宋体"/>
          <w:bCs/>
          <w:szCs w:val="21"/>
          <w:lang w:val="zh-CN"/>
        </w:rPr>
        <w:t xml:space="preserve">025-</w:t>
      </w:r>
      <w:r>
        <w:rPr>
          <w:rFonts w:hint="eastAsia" w:ascii="宋体" w:hAnsi="宋体" w:cs="宋体"/>
          <w:bCs/>
          <w:szCs w:val="21"/>
        </w:rPr>
        <w:t xml:space="preserve">83306855</w:t>
      </w:r>
      <w:r/>
    </w:p>
    <w:p>
      <w:pPr>
        <w:ind w:firstLine="424"/>
        <w:spacing w:line="360" w:lineRule="auto"/>
        <w:rPr>
          <w:rFonts w:ascii="宋体" w:hAnsi="宋体" w:cs="宋体"/>
          <w:bCs/>
          <w:szCs w:val="21"/>
          <w:lang w:val="zh-CN"/>
        </w:rPr>
      </w:pPr>
      <w:r>
        <w:rPr>
          <w:rFonts w:hint="eastAsia" w:ascii="宋体" w:hAnsi="宋体" w:cs="宋体"/>
          <w:bCs/>
          <w:szCs w:val="21"/>
          <w:lang w:val="zh-CN"/>
        </w:rPr>
        <w:t xml:space="preserve">7.3项目联系方式</w:t>
      </w:r>
      <w:r/>
    </w:p>
    <w:p>
      <w:pPr>
        <w:ind w:firstLine="424"/>
        <w:spacing w:line="360" w:lineRule="auto"/>
        <w:rPr>
          <w:rFonts w:ascii="宋体" w:hAnsi="宋体" w:cs="宋体"/>
          <w:bCs/>
          <w:szCs w:val="21"/>
          <w:lang w:val="zh-CN"/>
        </w:rPr>
      </w:pPr>
      <w:r>
        <w:rPr>
          <w:rFonts w:hint="eastAsia" w:ascii="宋体" w:hAnsi="宋体" w:cs="宋体"/>
          <w:bCs/>
          <w:szCs w:val="21"/>
          <w:lang w:val="zh-CN"/>
        </w:rPr>
        <w:t xml:space="preserve">项目联系人：</w:t>
      </w:r>
      <w:r>
        <w:rPr>
          <w:rFonts w:hint="eastAsia" w:ascii="宋体" w:hAnsi="宋体" w:cs="宋体"/>
          <w:bCs/>
          <w:szCs w:val="21"/>
        </w:rPr>
        <w:t xml:space="preserve">张志豪</w:t>
      </w:r>
      <w:r/>
    </w:p>
    <w:p>
      <w:pPr>
        <w:ind w:firstLine="424"/>
        <w:spacing w:line="360" w:lineRule="auto"/>
        <w:rPr>
          <w:rFonts w:ascii="宋体" w:hAnsi="宋体" w:cs="宋体"/>
          <w:bCs/>
          <w:szCs w:val="21"/>
        </w:rPr>
      </w:pPr>
      <w:r>
        <w:rPr>
          <w:rFonts w:hint="eastAsia" w:ascii="宋体" w:hAnsi="宋体" w:cs="宋体"/>
          <w:bCs/>
          <w:szCs w:val="21"/>
          <w:lang w:val="zh-CN"/>
        </w:rPr>
        <w:t xml:space="preserve">电　话：025-</w:t>
      </w:r>
      <w:r>
        <w:rPr>
          <w:rFonts w:hint="eastAsia" w:ascii="宋体" w:hAnsi="宋体" w:cs="宋体"/>
          <w:bCs/>
          <w:szCs w:val="21"/>
        </w:rPr>
        <w:t xml:space="preserve">83306855</w:t>
      </w:r>
      <w:r/>
    </w:p>
    <w:p>
      <w:pPr>
        <w:ind w:firstLine="424"/>
        <w:spacing w:line="360" w:lineRule="auto"/>
        <w:rPr>
          <w:rFonts w:ascii="宋体" w:hAnsi="宋体" w:cs="宋体"/>
          <w:szCs w:val="21"/>
        </w:rPr>
      </w:pPr>
      <w:r>
        <w:rPr>
          <w:rFonts w:hint="eastAsia" w:ascii="宋体" w:hAnsi="宋体" w:cs="宋体"/>
          <w:bCs/>
          <w:szCs w:val="21"/>
        </w:rPr>
        <w:t xml:space="preserve">邮箱：zhangzhh@jcec.cn</w:t>
      </w:r>
      <w:bookmarkEnd w:id="4"/>
      <w:r/>
      <w:bookmarkEnd w:id="9"/>
      <w:r/>
      <w:bookmarkEnd w:id="13"/>
      <w:r>
        <w:rPr>
          <w:rFonts w:hint="eastAsia" w:ascii="宋体" w:hAnsi="宋体" w:cs="宋体"/>
          <w:szCs w:val="21"/>
        </w:rPr>
        <w:br w:type="page" w:clear="all"/>
      </w:r>
      <w:r/>
    </w:p>
    <w:p>
      <w:pPr>
        <w:pStyle w:val="887"/>
        <w:numPr>
          <w:ilvl w:val="0"/>
          <w:numId w:val="0"/>
        </w:numPr>
        <w:rPr>
          <w:rFonts w:ascii="宋体" w:hAnsi="宋体" w:cs="宋体"/>
        </w:rPr>
      </w:pPr>
      <w:r/>
      <w:bookmarkStart w:id="14" w:name="_Toc26745"/>
      <w:r>
        <w:rPr>
          <w:rFonts w:hint="eastAsia" w:ascii="宋体" w:hAnsi="宋体" w:cs="宋体"/>
        </w:rPr>
        <w:t xml:space="preserve">第二章</w:t>
      </w:r>
      <w:bookmarkStart w:id="15" w:name="_Toc452625218"/>
      <w:r>
        <w:rPr>
          <w:rFonts w:hint="eastAsia" w:ascii="宋体" w:hAnsi="宋体" w:cs="宋体"/>
        </w:rPr>
        <w:t xml:space="preserve"> 供应商须知</w:t>
      </w:r>
      <w:bookmarkEnd w:id="14"/>
      <w:r/>
      <w:bookmarkEnd w:id="15"/>
      <w:r/>
      <w:r/>
    </w:p>
    <w:p>
      <w:pPr>
        <w:ind w:firstLine="424"/>
        <w:spacing w:line="360" w:lineRule="auto"/>
        <w:shd w:val="clear" w:color="auto" w:fill="ffffff"/>
        <w:widowControl/>
        <w:rPr>
          <w:rFonts w:ascii="宋体" w:hAnsi="宋体" w:cs="宋体"/>
          <w:szCs w:val="21"/>
        </w:rPr>
      </w:pPr>
      <w:r/>
      <w:bookmarkStart w:id="16" w:name="_Toc25340"/>
      <w:r/>
      <w:bookmarkStart w:id="17" w:name="_Toc481057145"/>
      <w:r>
        <w:rPr>
          <w:rFonts w:hint="eastAsia" w:ascii="宋体" w:hAnsi="宋体" w:cs="宋体"/>
          <w:b/>
          <w:bCs/>
          <w:szCs w:val="21"/>
        </w:rPr>
        <w:t xml:space="preserve">一、总 则</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1、适用法律</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2、定义</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2.1“采购人”是指依法进行政府采购的国家机关、事业单位、团体组织。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2.2“供应商（供应商）”是指参加投标竞争，并符合招标文件规定资格条件的法人、其他组织或者自然人。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2.4“货物和服务”指本招标文件中所述</w:t>
      </w:r>
      <w:r>
        <w:rPr>
          <w:rFonts w:hint="eastAsia" w:ascii="宋体" w:hAnsi="宋体" w:cs="宋体"/>
          <w:bCs/>
          <w:szCs w:val="21"/>
        </w:rPr>
        <w:t xml:space="preserve">产品</w:t>
      </w:r>
      <w:r>
        <w:rPr>
          <w:rFonts w:hint="eastAsia" w:ascii="宋体" w:hAnsi="宋体" w:cs="宋体"/>
          <w:szCs w:val="21"/>
        </w:rPr>
        <w:t xml:space="preserve">及相关服务。</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2.5“用户或使用单位”是指使用货物，接受服务的单位。</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3、政策功能</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3.6进口产品政策</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（1）除采购公告载明接受进口产品参加外，不允许进口产品参加。进口产品认定依照《财政部关于政府采购进口产品管理有关问题的通知》（财办库〔2008〕248号）的规定。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（2）允许进口产品参加的，满足需求的国内产品可以参加。</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3.7本国产品支持政策</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（1）本国产品标准适</w:t>
      </w:r>
      <w:r>
        <w:rPr>
          <w:rFonts w:hint="eastAsia" w:ascii="宋体" w:hAnsi="宋体" w:cs="宋体"/>
          <w:szCs w:val="21"/>
        </w:rPr>
        <w:t xml:space="preserve">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3.8未按要求提供相关材料的，不享受相关政策。</w:t>
      </w:r>
      <w:r/>
    </w:p>
    <w:p>
      <w:pPr>
        <w:ind w:firstLine="412"/>
        <w:spacing w:line="360" w:lineRule="auto"/>
        <w:shd w:val="clear" w:color="auto" w:fill="ffffff"/>
        <w:widowControl/>
        <w:rPr>
          <w:rFonts w:ascii="宋体" w:hAnsi="宋体" w:cs="宋体"/>
          <w:szCs w:val="21"/>
        </w:rPr>
      </w:pPr>
      <w:r>
        <w:rPr>
          <w:rFonts w:hint="eastAsia" w:ascii="宋体" w:hAnsi="宋体" w:cs="宋体"/>
          <w:b/>
          <w:bCs/>
          <w:szCs w:val="21"/>
        </w:rPr>
        <w:t xml:space="preserve">二、招标文件构成</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4、招标文件组成</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4.1招标文件包括以下主要内容：采购公告；供应商须知；供应商应当提交的资格、资信证明文件；为</w:t>
      </w:r>
      <w:r>
        <w:rPr>
          <w:rFonts w:hint="eastAsia" w:ascii="宋体" w:hAnsi="宋体" w:cs="宋体"/>
          <w:szCs w:val="21"/>
        </w:rPr>
        <w:t xml:space="preserve">落实政府采购政策，采购标的需满足的要求，以及供应商须提供的证明材料；投标文件编制要求、投标报价要求；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供应商信用信息查询渠道及截止时点、信用信息查询记录和证据留存的具体方式、信用信息的使用规则等。</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4.2招标的最小单位是包。招标货物数量及技术要求中未分包的，供应商对要求提供的货物和服务不得部分投标；招标货物数量及技术要求中已经分包的，可以以包为单位投标。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4.3采购代理机构如果要求供应商按照招标文件规定提交备选投标方案的，供应商可以提交备选方案；否则，备选方案将被拒绝。</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4.4招标文件中要求的产品品牌或型号，是采购人根据项目所要实现的功能推荐的品牌或型号，仅供供应商参考，并不是限制条件。</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5、招标文件的澄清或者修改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5.2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三、投标文件的编制</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6、投标文件的语言、计量单位、货币和编制</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6.1供应商提交的投标文件、技术文件和资料，包括图纸中的说明，以及供应商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6.2供应商所使用的计量单位应为国家法定计量单位。</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6.3供应商应用人民币报价。投标产品如果是进口产品的，应提供人民币与</w:t>
      </w:r>
      <w:r>
        <w:rPr>
          <w:rFonts w:hint="eastAsia" w:ascii="宋体" w:hAnsi="宋体" w:cs="宋体"/>
          <w:b/>
          <w:bCs/>
          <w:szCs w:val="21"/>
        </w:rPr>
        <w:t xml:space="preserve">外币之间的汇率。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6.4供应商应在投标文件中写清相应的项目编号、项目名称、供应商全称、地址、电话、传真等。</w:t>
      </w:r>
      <w:r/>
    </w:p>
    <w:p>
      <w:pPr>
        <w:ind w:firstLine="412"/>
        <w:spacing w:line="360" w:lineRule="auto"/>
        <w:shd w:val="clear" w:color="auto" w:fill="ffffff"/>
        <w:widowControl/>
        <w:rPr>
          <w:rFonts w:ascii="宋体" w:hAnsi="宋体" w:cs="宋体"/>
          <w:szCs w:val="21"/>
        </w:rPr>
      </w:pPr>
      <w:r>
        <w:rPr>
          <w:rFonts w:hint="eastAsia" w:ascii="宋体" w:hAnsi="宋体" w:cs="宋体"/>
          <w:bCs/>
          <w:szCs w:val="21"/>
        </w:rPr>
        <w:t xml:space="preserve">6.5</w:t>
      </w:r>
      <w:r>
        <w:rPr>
          <w:rFonts w:hint="eastAsia" w:ascii="宋体" w:hAnsi="宋体" w:cs="宋体"/>
          <w:szCs w:val="21"/>
        </w:rPr>
        <w:t xml:space="preserve">供应商根据招标文件载明的标的采购项目实际情况，拟在中标后将中标项目的非主体、非关键性工作交由他人完成的，应当在投标文件中载明。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7、联合体投标</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7.1 两个以上的自然人、法人或者其他组织可以组成一个联合体，以一个供应商的身份共同参加政府采购。</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7.2 联合体中有同类资质的供应商按照联合体分工承担相同工作的，按照资质等级较低的供应商确定资质等级。</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ascii="宋体" w:hAnsi="宋体" w:cs="宋体"/>
          <w:szCs w:val="21"/>
        </w:rPr>
      </w:pPr>
      <w:r>
        <w:rPr>
          <w:rFonts w:hint="eastAsia" w:ascii="宋体" w:hAnsi="宋体" w:cs="宋体"/>
          <w:bCs/>
          <w:szCs w:val="21"/>
        </w:rPr>
        <w:t xml:space="preserve">7.4 以联合体形式参加政府采购活动的，联合体各方不得再单独参加或者与其他供应商另外组成联合体参加同一合同项下的政府采购活动。</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8、投标文件的组成</w:t>
      </w:r>
      <w:r/>
    </w:p>
    <w:p>
      <w:pPr>
        <w:ind w:firstLine="420"/>
        <w:jc w:val="left"/>
        <w:spacing w:line="360" w:lineRule="auto"/>
        <w:shd w:val="clear" w:color="auto" w:fill="ffffff"/>
        <w:widowControl/>
        <w:rPr>
          <w:rFonts w:ascii="宋体" w:hAnsi="宋体" w:cs="宋体"/>
          <w:b/>
          <w:szCs w:val="21"/>
        </w:rPr>
      </w:pPr>
      <w:r>
        <w:rPr>
          <w:rFonts w:hint="eastAsia" w:ascii="宋体" w:hAnsi="宋体" w:cs="宋体"/>
          <w:szCs w:val="21"/>
        </w:rPr>
        <w:t xml:space="preserve">8.1供应商应当根据招标文件要求编制投标文件，投标文件应对招标文件提出的要求和条件作出实质性响应，并在《商务条款偏离表》和《技术条款偏离表》等处逐条标明满足与否。</w:t>
      </w:r>
      <w:r>
        <w:rPr>
          <w:rFonts w:hint="eastAsia" w:ascii="宋体" w:hAnsi="宋体" w:cs="宋体"/>
          <w:b/>
          <w:szCs w:val="21"/>
        </w:rPr>
        <w:t xml:space="preserve">对带</w:t>
      </w:r>
      <w:r>
        <w:rPr>
          <w:rFonts w:hint="eastAsia" w:ascii="宋体" w:hAnsi="宋体" w:cs="宋体"/>
          <w:b/>
          <w:bCs/>
          <w:szCs w:val="21"/>
        </w:rPr>
        <w:t xml:space="preserve">星号（“</w:t>
      </w:r>
      <w:r>
        <w:rPr>
          <w:rFonts w:hint="eastAsia" w:ascii="宋体" w:hAnsi="宋体" w:cs="宋体"/>
          <w:szCs w:val="21"/>
        </w:rPr>
        <w:t xml:space="preserve">★</w:t>
      </w:r>
      <w:r>
        <w:rPr>
          <w:rFonts w:hint="eastAsia" w:ascii="宋体" w:hAnsi="宋体" w:cs="宋体"/>
          <w:b/>
          <w:bCs/>
          <w:szCs w:val="21"/>
        </w:rPr>
        <w:t xml:space="preserve">”）的技术条款必须在投标文件中提供技术支持资料（如彩页、手册、检测报告等，具体详见技术参数要求），未提供技术支持资料的，视为未对招标文件实质性要求作出响应，评审时不予认可。</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9、投标文件的商务内容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9.1商务部分内容是证明供应商有资格参加投标和中标后有能力履行合同的文件，这些文件应能满足招标的要求，包括但不限于下列文件（</w:t>
      </w:r>
      <w:r>
        <w:rPr>
          <w:rFonts w:hint="eastAsia" w:ascii="宋体" w:hAnsi="宋体" w:cs="宋体"/>
          <w:b/>
          <w:szCs w:val="21"/>
        </w:rPr>
        <w:t xml:space="preserve">（1）-（4）所述材料不得有缺失或提供不全或不满足招标文件的实质性要求</w:t>
      </w:r>
      <w:r>
        <w:rPr>
          <w:rFonts w:hint="eastAsia" w:ascii="宋体" w:hAnsi="宋体" w:cs="宋体"/>
          <w:szCs w:val="21"/>
        </w:rPr>
        <w:t xml:space="preserve">）：</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（1）投标函（投标申请及声明）</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rPr>
          <w:rFonts w:hint="eastAsia" w:ascii="宋体" w:hAnsi="宋体" w:cs="宋体"/>
          <w:szCs w:val="21"/>
        </w:rPr>
        <w:t xml:space="preserve">；</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（2）法定代表人授权书及委托代理人的身份证明文件的复印件</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rPr>
          <w:rFonts w:hint="eastAsia" w:ascii="宋体" w:hAnsi="宋体" w:cs="宋体"/>
          <w:szCs w:val="21"/>
        </w:rPr>
        <w:t xml:space="preserve">；</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（3）供应商资格资信证明文件：</w:t>
      </w:r>
      <w:r/>
    </w:p>
    <w:p>
      <w:pPr>
        <w:pStyle w:val="1042"/>
        <w:numPr>
          <w:ilvl w:val="1"/>
          <w:numId w:val="5"/>
        </w:numPr>
        <w:ind w:left="0" w:firstLine="367"/>
        <w:spacing w:line="360" w:lineRule="auto"/>
        <w:tabs>
          <w:tab w:val="left" w:pos="840" w:leader="none"/>
          <w:tab w:val="clear" w:pos="990" w:leader="none"/>
        </w:tabs>
        <w:rPr>
          <w:rFonts w:ascii="宋体" w:hAnsi="宋体" w:cs="宋体"/>
          <w:bCs/>
          <w:szCs w:val="21"/>
        </w:rPr>
      </w:pPr>
      <w:r>
        <w:rPr>
          <w:rFonts w:hint="eastAsia" w:ascii="宋体" w:hAnsi="宋体" w:cs="宋体"/>
          <w:bCs/>
          <w:szCs w:val="21"/>
        </w:rPr>
        <w:t xml:space="preserve">第一章采购公告中 2.1《中华人民共和国政府采购法》规定的资格条件证明文件；</w:t>
      </w:r>
      <w:r/>
    </w:p>
    <w:p>
      <w:pPr>
        <w:pStyle w:val="1042"/>
        <w:numPr>
          <w:ilvl w:val="1"/>
          <w:numId w:val="5"/>
        </w:numPr>
        <w:ind w:left="0" w:firstLine="367"/>
        <w:spacing w:line="360" w:lineRule="auto"/>
        <w:tabs>
          <w:tab w:val="left" w:pos="840" w:leader="none"/>
          <w:tab w:val="clear" w:pos="990" w:leader="none"/>
        </w:tabs>
        <w:rPr>
          <w:rFonts w:ascii="宋体" w:hAnsi="宋体" w:cs="宋体"/>
          <w:bCs/>
          <w:szCs w:val="21"/>
        </w:rPr>
      </w:pPr>
      <w:r>
        <w:rPr>
          <w:rFonts w:hint="eastAsia" w:ascii="宋体" w:hAnsi="宋体" w:cs="宋体"/>
          <w:bCs/>
          <w:szCs w:val="21"/>
        </w:rPr>
        <w:t xml:space="preserve">第一章采购公告中 2.2</w:t>
      </w:r>
      <w:r>
        <w:rPr>
          <w:rFonts w:hint="eastAsia" w:ascii="宋体" w:hAnsi="宋体" w:cs="宋体"/>
          <w:spacing w:val="8"/>
          <w:szCs w:val="21"/>
        </w:rPr>
        <w:t xml:space="preserve">落实政府采购政策需满足的资格要求；</w:t>
      </w:r>
      <w:r/>
    </w:p>
    <w:p>
      <w:pPr>
        <w:pStyle w:val="1042"/>
        <w:numPr>
          <w:ilvl w:val="1"/>
          <w:numId w:val="5"/>
        </w:numPr>
        <w:ind w:left="0" w:firstLine="367"/>
        <w:spacing w:line="360" w:lineRule="auto"/>
        <w:tabs>
          <w:tab w:val="left" w:pos="840" w:leader="none"/>
          <w:tab w:val="clear" w:pos="990" w:leader="none"/>
        </w:tabs>
        <w:rPr>
          <w:rFonts w:ascii="宋体" w:hAnsi="宋体" w:cs="宋体"/>
          <w:bCs/>
          <w:szCs w:val="21"/>
        </w:rPr>
      </w:pPr>
      <w:r>
        <w:rPr>
          <w:rFonts w:hint="eastAsia" w:ascii="宋体" w:hAnsi="宋体" w:cs="宋体"/>
          <w:bCs/>
          <w:szCs w:val="21"/>
        </w:rPr>
        <w:t xml:space="preserve">第一章采购公告中 2.3 采购人根据采购项目的特殊要求规定的特定条件证明文件。</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（4）开标一览表</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（5）《商务条款偏离表》；</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（6）第三章评标标准中对应的所需证明材料；</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（7）其它。</w:t>
      </w:r>
      <w:r/>
    </w:p>
    <w:p>
      <w:pPr>
        <w:ind w:firstLine="420"/>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10、投标文件的技术内容</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技术部分</w:t>
      </w:r>
      <w:r>
        <w:rPr>
          <w:rFonts w:hint="eastAsia" w:ascii="宋体" w:hAnsi="宋体" w:cs="宋体"/>
          <w:szCs w:val="21"/>
        </w:rPr>
        <w:t xml:space="preserve">内容</w:t>
      </w:r>
      <w:r>
        <w:rPr>
          <w:rFonts w:hint="eastAsia" w:ascii="宋体" w:hAnsi="宋体" w:cs="宋体"/>
          <w:szCs w:val="21"/>
          <w:lang w:val="zh-CN"/>
        </w:rPr>
        <w:t xml:space="preserve">是证明</w:t>
      </w:r>
      <w:r>
        <w:rPr>
          <w:rFonts w:hint="eastAsia" w:ascii="宋体" w:hAnsi="宋体" w:cs="宋体"/>
          <w:szCs w:val="21"/>
        </w:rPr>
        <w:t xml:space="preserve">供应商提供的货物和服务是合格的、并符合招标文件要求的证明文件，以及</w:t>
      </w:r>
      <w:r>
        <w:rPr>
          <w:rFonts w:hint="eastAsia" w:ascii="宋体" w:hAnsi="宋体" w:cs="宋体"/>
          <w:szCs w:val="21"/>
          <w:lang w:val="zh-CN"/>
        </w:rPr>
        <w:t xml:space="preserve">对货物和服务的详细说明，这些文件可以是文字资料、图纸、数据</w:t>
      </w:r>
      <w:r>
        <w:rPr>
          <w:rFonts w:hint="eastAsia" w:ascii="宋体" w:hAnsi="宋体" w:cs="宋体"/>
          <w:szCs w:val="21"/>
        </w:rPr>
        <w:t xml:space="preserve">或其他证明文件</w:t>
      </w:r>
      <w:r>
        <w:rPr>
          <w:rFonts w:hint="eastAsia" w:ascii="宋体" w:hAnsi="宋体" w:cs="宋体"/>
          <w:szCs w:val="21"/>
          <w:lang w:val="zh-CN"/>
        </w:rPr>
        <w:t xml:space="preserve">等。提供的货物和服务如与招标文件要求有不符之处，应说明其差别之所在。包括但不限于下列文件：</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（1）技术说明或服务方案；</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（2）《技术条款偏离表》；</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（3）服务承诺；</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（4）供应商拟投入本项目的设备、人员情况一览表；</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（5）供应商认为需要提供的其他技术资料。</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11、投标文件的价格内容</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11.2报价应包含为履行本项目合同项下所有义务的全部含税费用（包括但不限于</w:t>
      </w:r>
      <w:r>
        <w:rPr>
          <w:rFonts w:hint="eastAsia" w:ascii="宋体" w:hAnsi="宋体" w:cs="宋体"/>
          <w:szCs w:val="21"/>
        </w:rPr>
        <w:t xml:space="preserve">货物/服务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szCs w:val="21"/>
        </w:rPr>
        <w:t xml:space="preserve">）</w:t>
      </w:r>
      <w:r>
        <w:rPr>
          <w:rFonts w:hint="eastAsia" w:ascii="宋体" w:hAnsi="宋体" w:cs="宋体"/>
          <w:szCs w:val="21"/>
          <w:lang w:val="zh-CN"/>
        </w:rPr>
        <w:t xml:space="preserve">，</w:t>
      </w:r>
      <w:r>
        <w:rPr>
          <w:rFonts w:hint="eastAsia" w:ascii="宋体" w:hAnsi="宋体" w:cs="宋体"/>
          <w:bCs/>
          <w:szCs w:val="21"/>
        </w:rPr>
        <w:t xml:space="preserve">以</w:t>
      </w:r>
      <w:r>
        <w:rPr>
          <w:rFonts w:hint="eastAsia" w:ascii="宋体" w:hAnsi="宋体" w:cs="宋体"/>
          <w:szCs w:val="21"/>
        </w:rPr>
        <w:t xml:space="preserve">及供应商认为需要的其他费用等</w:t>
      </w:r>
      <w:r>
        <w:rPr>
          <w:rFonts w:hint="eastAsia" w:ascii="宋体" w:hAnsi="宋体" w:cs="宋体"/>
          <w:b/>
          <w:szCs w:val="21"/>
        </w:rPr>
        <w:t xml:space="preserve">。</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11.3供应商的任何错漏、优惠、竞争性报价不得作为减轻责任、减少服务、增加收费、降低质量的理由。</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11.4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w:t>
      </w:r>
      <w:r>
        <w:rPr>
          <w:rFonts w:hint="eastAsia" w:ascii="宋体" w:hAnsi="宋体" w:cs="宋体"/>
          <w:b/>
          <w:bCs/>
          <w:szCs w:val="21"/>
        </w:rPr>
        <w:t xml:space="preserve">无效投标处理</w:t>
      </w:r>
      <w:r>
        <w:rPr>
          <w:rFonts w:hint="eastAsia" w:ascii="宋体" w:hAnsi="宋体" w:cs="宋体"/>
          <w:szCs w:val="21"/>
        </w:rPr>
        <w:t xml:space="preserve">。</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11.5 供应商应在《开标一览表》《分项报价表》等标明投标货物和服务的单价、总价以及分项报价等。</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11.6本项目预算为：详见第一章。</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12、投标文件的其他部分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12.1 其他部分由供应商根据编制投标文件需要提供的其他相关文件组成。</w:t>
      </w:r>
      <w:r/>
    </w:p>
    <w:p>
      <w:pPr>
        <w:ind w:firstLine="420"/>
        <w:spacing w:line="360" w:lineRule="auto"/>
        <w:widowControl/>
        <w:rPr>
          <w:rFonts w:ascii="宋体" w:hAnsi="宋体" w:cs="宋体"/>
          <w:szCs w:val="21"/>
        </w:rPr>
      </w:pPr>
      <w:r>
        <w:rPr>
          <w:rFonts w:hint="eastAsia" w:ascii="宋体" w:hAnsi="宋体" w:cs="宋体"/>
          <w:szCs w:val="21"/>
        </w:rPr>
        <w:t xml:space="preserve">12.2</w:t>
      </w:r>
      <w:r>
        <w:rPr>
          <w:rFonts w:hint="eastAsia" w:ascii="宋体" w:hAnsi="宋体" w:cs="宋体"/>
          <w:color w:val="000000"/>
          <w:szCs w:val="21"/>
        </w:rPr>
        <w:t xml:space="preserve"> </w:t>
      </w:r>
      <w:r>
        <w:rPr>
          <w:rFonts w:hint="eastAsia" w:ascii="宋体" w:hAnsi="宋体" w:cs="宋体"/>
          <w:color w:val="000000"/>
          <w:szCs w:val="21"/>
          <w:lang w:val="zh-CN"/>
        </w:rPr>
        <w:t xml:space="preserve">如标书制作工具中格式和内容与“江苏政府采购网、中国政府采购网”发布的</w:t>
      </w:r>
      <w:r>
        <w:rPr>
          <w:rFonts w:hint="eastAsia" w:ascii="宋体" w:hAnsi="宋体" w:cs="宋体"/>
          <w:color w:val="000000"/>
          <w:szCs w:val="21"/>
        </w:rPr>
        <w:t xml:space="preserve">采购</w:t>
      </w:r>
      <w:r>
        <w:rPr>
          <w:rFonts w:hint="eastAsia" w:ascii="宋体" w:hAnsi="宋体" w:cs="宋体"/>
          <w:color w:val="000000"/>
          <w:szCs w:val="21"/>
          <w:lang w:val="zh-CN"/>
        </w:rPr>
        <w:t xml:space="preserve">文件不一致，以</w:t>
      </w:r>
      <w:r>
        <w:rPr>
          <w:rFonts w:hint="eastAsia" w:ascii="宋体" w:hAnsi="宋体" w:cs="宋体"/>
          <w:color w:val="000000"/>
          <w:szCs w:val="21"/>
        </w:rPr>
        <w:t xml:space="preserve">上述网站</w:t>
      </w:r>
      <w:r>
        <w:rPr>
          <w:rFonts w:hint="eastAsia" w:ascii="宋体" w:hAnsi="宋体" w:cs="宋体"/>
          <w:color w:val="000000"/>
          <w:szCs w:val="21"/>
          <w:lang w:val="zh-CN"/>
        </w:rPr>
        <w:t xml:space="preserve">发布的</w:t>
      </w:r>
      <w:r>
        <w:rPr>
          <w:rFonts w:hint="eastAsia" w:ascii="宋体" w:hAnsi="宋体" w:cs="宋体"/>
          <w:color w:val="000000"/>
          <w:szCs w:val="21"/>
        </w:rPr>
        <w:t xml:space="preserve">采购</w:t>
      </w:r>
      <w:r>
        <w:rPr>
          <w:rFonts w:hint="eastAsia" w:ascii="宋体" w:hAnsi="宋体" w:cs="宋体"/>
          <w:color w:val="000000"/>
          <w:szCs w:val="21"/>
          <w:lang w:val="zh-CN"/>
        </w:rPr>
        <w:t xml:space="preserve">文件为准。</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13、本项目无需缴纳投标保证金。</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14、投标有效期</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14.1 自开标之日起</w:t>
      </w:r>
      <w:r>
        <w:rPr>
          <w:rFonts w:hint="eastAsia" w:ascii="宋体" w:hAnsi="宋体" w:cs="宋体"/>
          <w:b/>
          <w:szCs w:val="21"/>
        </w:rPr>
        <w:t xml:space="preserve">90</w:t>
      </w:r>
      <w:r>
        <w:rPr>
          <w:rFonts w:hint="eastAsia" w:ascii="宋体" w:hAnsi="宋体" w:cs="宋体"/>
          <w:szCs w:val="21"/>
        </w:rPr>
        <w:t xml:space="preserve">天内投标有效</w:t>
      </w:r>
      <w:r>
        <w:rPr>
          <w:rFonts w:hint="eastAsia" w:ascii="宋体" w:hAnsi="宋体" w:cs="宋体"/>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14.2 特殊情况下，在原投标有效期截止之前，采购代理机构可要求供应商同意延长投标有效期，这种要求与答复均应以书面形式提交。供应商可拒绝这种要求，接受延长投标有效期的供应商将不会要求和允许修正其投标。</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15、投标文件签署</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15.1 投标文件应按照招标文件要求加盖电子公章，否则视为无效投标。</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16、投标费用</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16.1 供应商应承担所有与准备和参加投标有关的费用，无论招标结果如何，采购代理机构和采购人在任何情况下均无义务和责任承担这些费用。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16.2 招标代理服务费：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招标代理服务费：本次招标，每分包中标人参照《招标代理服务费管理暂行办法》（国家发展计划委员会计价格〔2002〕1980号）代理 </w:t>
      </w:r>
      <w:r>
        <w:rPr>
          <w:rFonts w:hint="eastAsia" w:ascii="宋体" w:hAnsi="宋体" w:cs="宋体"/>
          <w:szCs w:val="21"/>
          <w:u w:val="single"/>
        </w:rPr>
        <w:t xml:space="preserve"> 服务  </w:t>
      </w:r>
      <w:r>
        <w:rPr>
          <w:rFonts w:hint="eastAsia" w:ascii="宋体" w:hAnsi="宋体" w:cs="宋体"/>
          <w:szCs w:val="21"/>
        </w:rPr>
        <w:t xml:space="preserve">招标收费基准费率</w:t>
      </w:r>
      <w:r>
        <w:rPr>
          <w:rFonts w:hint="eastAsia" w:ascii="宋体" w:hAnsi="宋体" w:cs="宋体"/>
          <w:szCs w:val="21"/>
          <w:u w:val="single"/>
        </w:rPr>
        <w:t xml:space="preserve"> 60 %</w:t>
      </w:r>
      <w:r>
        <w:rPr>
          <w:rFonts w:hint="eastAsia" w:ascii="宋体" w:hAnsi="宋体" w:cs="宋体"/>
          <w:szCs w:val="21"/>
        </w:rPr>
        <w:t xml:space="preserve">计算，在领取中标通知书前向采购代理机构支付招标服务费。如计算出的代理服务费低于4000元的，则按4000元收取。收费基数为中标分包预算金额。本项费用无需在投标报价表中单列。</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四、投标文件的递交</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17、投标文件的递交</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18、投标文件的解密</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18.1 投标人应当按照《操作手册》规定，在“苏采云”系统规定的时间内对投标文件进行解密。</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19、投标文件的修改和撤回</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19.2 投标截止时间之后，投标文件不得撤回；如撤回，投标保证金不予退还。</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20、诚实信用</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20.1供应商应当遵循公平竞争的原则，不得恶意串通，不得妨碍其他供应商的竞争行为，不得损害采购人或者其他供应商的合法权益。</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20.2在评标过程中发现供应商有上述情形的，评标委员会应当认定其投标无效。</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五、开标、评标与定标</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21、开标</w:t>
      </w:r>
      <w:r/>
    </w:p>
    <w:p>
      <w:pPr>
        <w:ind w:firstLine="420"/>
        <w:spacing w:line="360" w:lineRule="auto"/>
        <w:rPr>
          <w:rFonts w:ascii="宋体" w:hAnsi="宋体" w:cs="宋体"/>
        </w:rPr>
      </w:pPr>
      <w:r>
        <w:rPr>
          <w:rFonts w:hint="eastAsia" w:ascii="宋体" w:hAnsi="宋体" w:cs="宋体"/>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ascii="宋体" w:hAnsi="宋体" w:cs="宋体"/>
        </w:rPr>
      </w:pPr>
      <w:r>
        <w:rPr>
          <w:rFonts w:hint="eastAsia" w:ascii="宋体" w:hAnsi="宋体" w:cs="宋体"/>
        </w:rPr>
        <w:t xml:space="preserve">21.2 投标人在开标过程中涉及到的投标文件解密、开标结果确认等工作，应按照《操作手册》规定执行。</w:t>
      </w:r>
      <w:r/>
    </w:p>
    <w:p>
      <w:pPr>
        <w:ind w:firstLine="420"/>
        <w:spacing w:line="360" w:lineRule="auto"/>
        <w:rPr>
          <w:rFonts w:ascii="宋体" w:hAnsi="宋体" w:cs="宋体"/>
        </w:rPr>
      </w:pPr>
      <w:r>
        <w:rPr>
          <w:rFonts w:hint="eastAsia" w:ascii="宋体" w:hAnsi="宋体" w:cs="宋体"/>
        </w:rPr>
        <w:t xml:space="preserve">21.3投标人不足3家的，不得开标。</w:t>
      </w:r>
      <w:r/>
    </w:p>
    <w:p>
      <w:pPr>
        <w:ind w:firstLine="420"/>
        <w:spacing w:line="360" w:lineRule="auto"/>
        <w:rPr>
          <w:rFonts w:ascii="宋体" w:hAnsi="宋体" w:cs="宋体"/>
        </w:rPr>
      </w:pPr>
      <w:r>
        <w:rPr>
          <w:rFonts w:hint="eastAsia" w:ascii="宋体" w:hAnsi="宋体" w:cs="宋体"/>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cs="宋体"/>
        </w:rPr>
      </w:pPr>
      <w:r>
        <w:rPr>
          <w:rFonts w:hint="eastAsia" w:ascii="宋体" w:hAnsi="宋体" w:cs="宋体"/>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ascii="宋体" w:hAnsi="宋体" w:cs="宋体"/>
        </w:rPr>
      </w:pPr>
      <w:r>
        <w:rPr>
          <w:rFonts w:hint="eastAsia" w:ascii="宋体" w:hAnsi="宋体" w:cs="宋体"/>
        </w:rPr>
        <w:t xml:space="preserve">（1）招标文件存在不合理条款或者招标程序不符合规定的，采购人、采购代理机构改正后依法重新招标；</w:t>
      </w:r>
      <w:r/>
    </w:p>
    <w:p>
      <w:pPr>
        <w:ind w:firstLine="420"/>
        <w:spacing w:line="360" w:lineRule="auto"/>
        <w:widowControl/>
        <w:rPr>
          <w:rFonts w:ascii="宋体" w:hAnsi="宋体" w:cs="宋体"/>
          <w:szCs w:val="21"/>
        </w:rPr>
      </w:pPr>
      <w:r>
        <w:rPr>
          <w:rFonts w:hint="eastAsia" w:ascii="宋体" w:hAnsi="宋体" w:cs="宋体"/>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22、评标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22.1 评标委员会</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22.1.1评标委员会负责具体评标事务，并独立履行下列职责：</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（一）审查、评价投标文件是否符合招标文件的商务、技术等实质性要求；</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（二）要求投标人对投标文件有关事项作出澄清或者说明；</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（三）对投标文件进行比较和评价；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（四）确定中标候选人名单，以及根据采购人委托直接确定中标人；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（五）向采购人、采购代理机构或者有关部门报告评标中发现的违法行为。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22.1.2 评标委员会由采购人代表和有关技术、经济等方面的专家组成，独立开展评审工作。</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22.2 评标程序</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22.2.1 投标文件的资格性检查。公开招标采购项目开标结束后，采购人或者采购代理机构应当依法对投标人的资格进行审查。合格投标人不足3家的，不得评标。</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（1）同一投标人提交两个（含两个）以上不同的投标报价的；</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（2）投标文件未按照招标文件要求加盖电子公章的；</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（3）报价超过招标文件中规定的预算金额或者最高限价的；</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（4）投标文件含有采购人不能接受的附加条件的；</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（5）投标文件内容不全或不符合招标文件中规定的其他实质性要求的；</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（6）现行法律、法规、规章和招标文件规定的其他无效情形。</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22.2.2.1 实质性要求是指本招标文件中用带星号（“</w:t>
      </w:r>
      <w:r>
        <w:rPr>
          <w:rFonts w:hint="eastAsia" w:ascii="宋体" w:hAnsi="宋体" w:cs="宋体"/>
          <w:b/>
          <w:bCs/>
          <w:szCs w:val="21"/>
        </w:rPr>
        <w:t xml:space="preserve">★</w:t>
      </w:r>
      <w:r>
        <w:rPr>
          <w:rFonts w:hint="eastAsia" w:ascii="宋体" w:hAnsi="宋体" w:cs="宋体"/>
          <w:b/>
          <w:bCs/>
          <w:szCs w:val="21"/>
        </w:rPr>
        <w:t xml:space="preserve">”）或其他文字说明的商务和技术要求。</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22.2.2.2未通过资格审查或符合性审查的投标人，代理机构将通过“苏采云”系统告知其具体原因，评标结束后不再接受有关询问。</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22.2.2.3有下列情形之一的予以废标：</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（1）符合专业条件的投标人或者对招标文件作实质性响应的投标人不足三家的；</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（2）出现影响采购公正的违法、违规行为的；</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（3）投标人的报价均超过了采购预算，采购人不能支付的；</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（4）因苏采云系统故障造成开标不成功的；</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（5）因重大变故，采购任务取消的。</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（6）投标人以明显低于其他通过符合性审查投标人的报价，有可能影响产品质量或者不能诚信履约的，且不能证明其报价合理性的。</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22.2.3澄清有关问题。</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22.2.3.1 评标期间，评委会对投标文件中含义不明确、同类问题表述不一致或者有明显文字和计算错误的内容，有权要求投标人作出必要的澄清、说明或者补正。</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投标人的澄清、说明或者补正不得超出投标文件的范围或者改变投标文件的实质性内容。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评委会并非对每个投标人都做澄清要求。</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22.2.3.4投标文件报价出现前后不一致的，除招标文件另有规定外，按照下列规定修正：</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（2）大写金额和小写金额不一致的，以大写金额为准；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22.2.3.5投标人在开、评标全过程中应保持通讯畅通，及时登录苏采云系统查阅、答复相关信息，并安排专人与代理机构及评委会联系。</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22.2.3.6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22.2.4比较与评价。评标委员会应当按照招标文件中规定的评标方法和标准，对符合性审查合格的投标文件进行商务和技术评估，综合比较与评价。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22.3 评标方法和标准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22.3.1评标方法分为最低评标价法和综合评分法。本次招标的评标方法和标准，详见本招标文件第三章。</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22.3.2最低评标价法，是指投标文件满足招标文件全部实质性要求，且投标报价最低的投标人为中标候选人的评标方法。</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采用最低评标价法评标时，除了算术修正和落实政府采购政策需进行的价格扣除外，不对投标人的投标价格进行任何调整。</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22.3.3综合评分法，是指投标文件满足招标文件全部实质性要求，且按照评审因素的量化指标评审得分最高的投标人为中标候选人的评标方法。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评审因素，包括价格、技术、商务等。</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评标时，评标委员会各成员应当独立对每个投标人的投标文件进行评价，并汇总每个投标人的得分。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价格分采用低价优先法计算，即满足招标文件要求且投标价格最低的投标报价为评标基准价，其价格分为满分。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评标总得分＝F1×A1＋F2×A2＋……＋Fn×An</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F1、F2……Fn分别为各项评审因素的得分；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A1、A2、……An 分别为各项评审因素所占的权重(A1＋A2＋……＋An＝1)。</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因落实政府采购政策进行价格调整的，以调整后的价格计算评标基准价和投标报价。</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22.4 评标委员会启动异常低价投标审查的情形和具体要求</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22.4.1评标过程中出现下列情形之一的，评标委员会应当启动异常低价投标审查程序： </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（1）投标报价低于全部通过符合性审查投标人投标报价平均值50%的，即投标报价&lt;全部通过符合性审查投标人投标报价平均值×50%；</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（2）投标报价低于通过符合性审查的次低报价投标人投标报价50%的，即投标报价&lt;通过符合性审查的次低报价投标人投标报价×50%；</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（3）投标报价低于本项目最高限价45%的，即投标报价&lt;本项目最高限价×45%；</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（4）评标委员会基于专业判断，认为投标人报价过低，有可能影响产品质量或者不能诚信履约的其他情形。</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22.4.3 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22.4.4 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23、确定中标人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23.4 中标通知书对采购人和中标人具有同等法律效力。中标通知书发出后，采购人不得违法改变中标结果，中标人无正当理由不得放弃中标。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23.5 所有投标文件不论中标与否，均不退回。</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24、编写评标报告</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24.1评标委员会根据全体评标成员签字的原始评标记录和评标结果编写评标报告。</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25、评标过程的保密性</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25.1 采购人和采购代理机构将采取必要措施，保证评标在严格保密的情况下进行。</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25.2 任何单位和个人不得非法干预、影响评标办法的确定，以及评标过程和结果。</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六、签订合同</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26、签订合同</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26.2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26.3采购人不得向中标人提出任何不合理的要求作为签订合同的条件。</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26.6 采购人与中标人应当根据合同的约定依法履行合同义务。</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七、质疑和投诉</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27、质疑</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27.1供应商对招标活动事项有疑问的，可以向采购代理机构提出询问，采购代理机构将依法作出答复，但答复的内容不涉及商业秘密。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27.3供应商认为采购文件、采购过程和中标结果使自己的合法权益受到损害的，可以在知道或者应知其权益受到损害之日起七个工作日内，以书面形式向采购人或采购代理机构提出质疑。</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供应商必须在法定质疑期内一次性提出针对同一采购程序环节的质疑。</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27.4 供应商提出质疑应当提交质疑函和必要的证明材料。质疑函应当包括下列内容：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（一）供应商的姓名或者名称、地址、邮编、联系人及联系电话；</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（二）质疑项目的名称、编号；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（三）具体、明确的质疑事项和与质疑事项相关的请求（具体条款）；</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（四）事实依据（具体条款）；</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（五）必要的法律依据（具体条款）；</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（六）提出质疑的日期。</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宋体" w:hAnsi="宋体" w:cs="宋体"/>
        </w:rPr>
      </w:pPr>
      <w:r>
        <w:rPr>
          <w:rFonts w:hint="eastAsia" w:ascii="宋体" w:hAnsi="宋体" w:cs="宋体"/>
          <w:szCs w:val="21"/>
        </w:rPr>
        <w:t xml:space="preserve">27.5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27.6采购代理机构在收到投标人的书面质疑后将及时组织调查核实，在</w:t>
      </w:r>
      <w:r>
        <w:rPr>
          <w:rFonts w:hint="eastAsia" w:ascii="宋体" w:hAnsi="宋体" w:cs="宋体"/>
          <w:b/>
          <w:bCs/>
          <w:szCs w:val="21"/>
        </w:rPr>
        <w:t xml:space="preserve">七个工作日内</w:t>
      </w:r>
      <w:r>
        <w:rPr>
          <w:rFonts w:hint="eastAsia" w:ascii="宋体" w:hAnsi="宋体" w:cs="宋体"/>
          <w:szCs w:val="21"/>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ascii="宋体" w:hAnsi="宋体" w:cs="宋体"/>
          <w:szCs w:val="21"/>
        </w:rPr>
      </w:pPr>
      <w:r>
        <w:rPr>
          <w:rFonts w:hint="eastAsia" w:ascii="宋体" w:hAnsi="宋体" w:cs="宋体"/>
          <w:b/>
          <w:bCs/>
          <w:szCs w:val="21"/>
        </w:rPr>
        <w:t xml:space="preserve">28、投诉</w:t>
      </w:r>
      <w:r/>
    </w:p>
    <w:p>
      <w:pPr>
        <w:ind w:firstLine="420"/>
        <w:spacing w:line="420" w:lineRule="exact"/>
        <w:rPr>
          <w:rFonts w:ascii="宋体" w:hAnsi="宋体" w:cs="宋体"/>
        </w:rPr>
      </w:pPr>
      <w:r>
        <w:rPr>
          <w:rFonts w:hint="eastAsia" w:ascii="宋体" w:hAnsi="宋体" w:cs="宋体"/>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ascii="宋体" w:hAnsi="宋体" w:cs="宋体"/>
        </w:rPr>
      </w:pPr>
      <w:r>
        <w:rPr>
          <w:rFonts w:hint="eastAsia" w:ascii="宋体" w:hAnsi="宋体" w:cs="宋体"/>
          <w:szCs w:val="21"/>
        </w:rPr>
        <w:t xml:space="preserve">28.2供应商投诉应当有明确的请求和必要的证明材料。供应商投诉的事项不得超出已质疑事项的范围。</w:t>
      </w:r>
      <w:r/>
    </w:p>
    <w:p>
      <w:pPr>
        <w:ind w:firstLine="420"/>
        <w:spacing w:line="420" w:lineRule="exact"/>
        <w:rPr>
          <w:rFonts w:ascii="宋体" w:hAnsi="宋体" w:cs="宋体"/>
        </w:rPr>
      </w:pPr>
      <w:r>
        <w:rPr>
          <w:rFonts w:hint="eastAsia" w:ascii="宋体" w:hAnsi="宋体" w:cs="宋体"/>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ascii="宋体" w:hAnsi="宋体" w:cs="宋体"/>
          <w:szCs w:val="21"/>
        </w:rPr>
      </w:pPr>
      <w:r>
        <w:rPr>
          <w:rFonts w:hint="eastAsia" w:ascii="宋体" w:hAnsi="宋体" w:cs="宋体"/>
        </w:rPr>
        <w:t xml:space="preserve">28.4 投诉人有下列行为之一的，属于严重失信行为，</w:t>
      </w:r>
      <w:r>
        <w:rPr>
          <w:rFonts w:hint="eastAsia" w:ascii="宋体" w:hAnsi="宋体" w:cs="宋体"/>
          <w:szCs w:val="21"/>
        </w:rPr>
        <w:t xml:space="preserve">由财政部门列入不良行为记录名单，禁止其一至三年内参加政府采购活动。</w:t>
      </w:r>
      <w:r/>
    </w:p>
    <w:p>
      <w:pPr>
        <w:ind w:firstLine="420"/>
        <w:spacing w:line="420" w:lineRule="exact"/>
        <w:rPr>
          <w:rFonts w:ascii="宋体" w:hAnsi="宋体" w:cs="宋体"/>
        </w:rPr>
      </w:pPr>
      <w:r>
        <w:rPr>
          <w:rFonts w:hint="eastAsia" w:ascii="宋体" w:hAnsi="宋体" w:cs="宋体"/>
        </w:rPr>
        <w:t xml:space="preserve">（1）投诉人在全国范围12个月内三次以上投诉查无实据的；</w:t>
      </w:r>
      <w:r/>
    </w:p>
    <w:p>
      <w:pPr>
        <w:ind w:firstLine="420"/>
        <w:spacing w:line="420" w:lineRule="exact"/>
        <w:rPr>
          <w:rFonts w:ascii="宋体" w:hAnsi="宋体" w:cs="宋体"/>
        </w:rPr>
      </w:pPr>
      <w:r>
        <w:rPr>
          <w:rFonts w:hint="eastAsia" w:ascii="宋体" w:hAnsi="宋体" w:cs="宋体"/>
        </w:rPr>
        <w:t xml:space="preserve">（2）采用捏造事实、提供虚假材料或者以非法手段取得证明材料等方式进行虚假、恶意投诉。</w:t>
      </w:r>
      <w:r/>
    </w:p>
    <w:p>
      <w:pPr>
        <w:ind w:firstLine="420"/>
        <w:spacing w:line="420" w:lineRule="exact"/>
        <w:rPr>
          <w:rFonts w:ascii="宋体" w:hAnsi="宋体" w:cs="宋体"/>
        </w:rPr>
      </w:pPr>
      <w:r>
        <w:rPr>
          <w:rFonts w:hint="eastAsia" w:ascii="宋体" w:hAnsi="宋体" w:cs="宋体"/>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ascii="宋体" w:hAnsi="宋体" w:cs="宋体"/>
          <w:b/>
          <w:bCs/>
          <w:szCs w:val="21"/>
        </w:rPr>
      </w:pPr>
      <w:r>
        <w:rPr>
          <w:rFonts w:hint="eastAsia" w:ascii="宋体" w:hAnsi="宋体" w:cs="宋体"/>
          <w:b/>
          <w:bCs/>
          <w:szCs w:val="21"/>
        </w:rPr>
        <w:t xml:space="preserve">29、其他</w:t>
      </w:r>
      <w:r/>
    </w:p>
    <w:p>
      <w:pPr>
        <w:ind w:firstLine="420"/>
        <w:spacing w:line="360" w:lineRule="auto"/>
        <w:rPr>
          <w:rFonts w:ascii="宋体" w:hAnsi="宋体" w:cs="宋体"/>
          <w:szCs w:val="21"/>
        </w:rPr>
      </w:pPr>
      <w:r>
        <w:rPr>
          <w:rFonts w:hint="eastAsia" w:ascii="宋体" w:hAnsi="宋体" w:cs="宋体"/>
          <w:szCs w:val="20"/>
        </w:rPr>
        <w:t xml:space="preserve">29.1本项目根据江苏省财政厅关于加强政府绿色采购有关事项的通知（苏财购</w:t>
      </w:r>
      <w:r>
        <w:rPr>
          <w:rFonts w:hint="eastAsia" w:ascii="宋体" w:hAnsi="宋体" w:cs="宋体"/>
          <w:szCs w:val="21"/>
        </w:rPr>
        <w:t xml:space="preserve">〔2023〕65号</w:t>
      </w:r>
      <w:r>
        <w:rPr>
          <w:rFonts w:hint="eastAsia" w:ascii="宋体" w:hAnsi="宋体" w:cs="宋体"/>
          <w:szCs w:val="20"/>
        </w:rPr>
        <w:t xml:space="preserve">）规定，执行绿色采购需求标准。</w:t>
      </w:r>
      <w:r/>
    </w:p>
    <w:p>
      <w:pPr>
        <w:rPr>
          <w:rFonts w:ascii="宋体" w:hAnsi="宋体" w:cs="宋体"/>
        </w:rPr>
      </w:pPr>
      <w:r>
        <w:rPr>
          <w:rFonts w:hint="eastAsia" w:ascii="宋体" w:hAnsi="宋体" w:cs="宋体"/>
        </w:rPr>
        <w:br w:type="page" w:clear="all"/>
      </w:r>
      <w:bookmarkEnd w:id="16"/>
      <w:r/>
      <w:bookmarkEnd w:id="17"/>
      <w:r/>
      <w:r/>
    </w:p>
    <w:p>
      <w:pPr>
        <w:pStyle w:val="887"/>
        <w:numPr>
          <w:ilvl w:val="0"/>
          <w:numId w:val="0"/>
        </w:numPr>
        <w:rPr>
          <w:rFonts w:ascii="宋体" w:hAnsi="宋体" w:cs="宋体"/>
        </w:rPr>
      </w:pPr>
      <w:r/>
      <w:bookmarkStart w:id="18" w:name="_Toc28285"/>
      <w:r>
        <w:rPr>
          <w:rFonts w:hint="eastAsia" w:ascii="宋体" w:hAnsi="宋体" w:cs="宋体"/>
        </w:rPr>
        <w:t xml:space="preserve">第三章 评分标准</w:t>
      </w:r>
      <w:bookmarkEnd w:id="18"/>
      <w:r/>
      <w:r/>
    </w:p>
    <w:p>
      <w:pPr>
        <w:ind w:firstLine="420"/>
        <w:spacing w:line="360" w:lineRule="auto"/>
        <w:tabs>
          <w:tab w:val="left" w:pos="960" w:leader="none"/>
        </w:tabs>
      </w:pPr>
      <w:r>
        <w:rPr>
          <w:rFonts w:hint="eastAsia" w:ascii="宋体" w:hAnsi="宋体" w:cs="宋体"/>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力量得分高低顺序排列，技术响应情况得分也相等的，由评标委员会投票决定。</w:t>
      </w:r>
      <w:r/>
    </w:p>
    <w:p>
      <w:pPr>
        <w:ind w:firstLine="442"/>
        <w:spacing w:line="360" w:lineRule="auto"/>
        <w:tabs>
          <w:tab w:val="left" w:pos="960" w:leader="none"/>
        </w:tabs>
        <w:rPr>
          <w:b/>
          <w:bCs/>
          <w:sz w:val="22"/>
          <w:szCs w:val="28"/>
          <w:u w:val="single"/>
        </w:rPr>
      </w:pPr>
      <w:r>
        <w:rPr>
          <w:rFonts w:hint="eastAsia"/>
          <w:b/>
          <w:bCs/>
          <w:sz w:val="22"/>
          <w:szCs w:val="28"/>
        </w:rPr>
        <w:t xml:space="preserve">评分标准中注明“投标主体点”，如供应商有多个体检点，则本评分表中与体检相关的信息，须由供应商确定本项目实际开展体检服务的唯一体检场所，本项所有设备、场地评审只针对该体检场所，</w:t>
      </w:r>
      <w:r>
        <w:rPr>
          <w:rFonts w:hint="eastAsia"/>
          <w:b/>
          <w:bCs/>
          <w:sz w:val="22"/>
          <w:szCs w:val="28"/>
          <w:u w:val="single"/>
        </w:rPr>
        <w:t xml:space="preserve">供应商投标时必须明确该体检场所详细地址；中标后不得擅自变更实际体检场所，如需变更必须经采购人书面同意，且变更后条件不得低于投标响应条件。</w:t>
      </w:r>
      <w:r/>
    </w:p>
    <w:p>
      <w:pPr>
        <w:rPr>
          <w:sz w:val="32"/>
          <w:szCs w:val="22"/>
        </w:rPr>
      </w:pPr>
      <w:r>
        <w:rPr>
          <w:rFonts w:hint="eastAsia"/>
          <w:sz w:val="32"/>
          <w:szCs w:val="22"/>
        </w:rPr>
        <w:br w:type="page" w:clear="all"/>
      </w:r>
      <w:r/>
    </w:p>
    <w:p>
      <w:pPr>
        <w:pStyle w:val="901"/>
        <w:spacing w:before="317" w:after="317"/>
        <w:rPr>
          <w:sz w:val="32"/>
          <w:szCs w:val="22"/>
        </w:rPr>
        <w:outlineLvl w:val="1"/>
      </w:pPr>
      <w:r>
        <w:rPr>
          <w:rFonts w:hint="eastAsia"/>
          <w:sz w:val="32"/>
          <w:szCs w:val="22"/>
        </w:rPr>
        <w:t xml:space="preserve">采购包1：</w:t>
      </w:r>
      <w:r/>
    </w:p>
    <w:tbl>
      <w:tblPr>
        <w:tblStyle w:val="897"/>
        <w:tblW w:w="482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0"/>
        <w:gridCol w:w="1355"/>
        <w:gridCol w:w="5229"/>
        <w:gridCol w:w="685"/>
      </w:tblGrid>
      <w:tr>
        <w:trPr>
          <w:jc w:val="center"/>
          <w:trHeight w:val="504"/>
          <w:tblHeader/>
        </w:trPr>
        <w:tc>
          <w:tcPr>
            <w:shd w:val="clear" w:color="auto" w:fill="bebebe" w:themeFill="background1" w:themeFillShade="BF"/>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spacing w:line="300" w:lineRule="exact"/>
              <w:rPr>
                <w:rFonts w:ascii="宋体" w:hAnsi="宋体" w:cs="宋体"/>
                <w:b/>
                <w:bCs/>
                <w:szCs w:val="21"/>
              </w:rPr>
            </w:pPr>
            <w:r>
              <w:rPr>
                <w:rFonts w:hint="eastAsia" w:ascii="宋体" w:hAnsi="宋体" w:cs="宋体"/>
                <w:b/>
                <w:bCs/>
                <w:szCs w:val="21"/>
              </w:rPr>
              <w:br w:type="page" w:clear="all"/>
            </w:r>
            <w:r>
              <w:rPr>
                <w:rFonts w:hint="eastAsia" w:ascii="宋体" w:hAnsi="宋体" w:cs="宋体"/>
                <w:b/>
                <w:bCs/>
                <w:szCs w:val="21"/>
              </w:rPr>
              <w:br w:type="page" w:clear="all"/>
            </w:r>
            <w:r>
              <w:rPr>
                <w:rFonts w:hint="eastAsia" w:ascii="宋体" w:hAnsi="宋体" w:cs="宋体"/>
                <w:b/>
                <w:bCs/>
                <w:szCs w:val="21"/>
              </w:rPr>
              <w:t xml:space="preserve">序号</w:t>
            </w:r>
            <w:r/>
          </w:p>
        </w:tc>
        <w:tc>
          <w:tcPr>
            <w:shd w:val="clear" w:color="auto" w:fill="bebebe" w:themeFill="background1" w:themeFillShade="BF"/>
            <w:tcBorders>
              <w:top w:val="single" w:color="auto" w:sz="4" w:space="0"/>
              <w:left w:val="single" w:color="auto" w:sz="4" w:space="0"/>
              <w:bottom w:val="single" w:color="auto" w:sz="4" w:space="0"/>
              <w:right w:val="single" w:color="auto" w:sz="4" w:space="0"/>
            </w:tcBorders>
            <w:tcW w:w="847" w:type="pct"/>
            <w:vAlign w:val="center"/>
            <w:textDirection w:val="lrTb"/>
            <w:noWrap w:val="false"/>
          </w:tcPr>
          <w:p>
            <w:pPr>
              <w:jc w:val="center"/>
              <w:spacing w:line="300" w:lineRule="exact"/>
              <w:rPr>
                <w:rFonts w:ascii="宋体" w:hAnsi="宋体" w:cs="宋体"/>
                <w:b/>
                <w:bCs/>
                <w:szCs w:val="21"/>
              </w:rPr>
            </w:pPr>
            <w:r>
              <w:rPr>
                <w:rFonts w:hint="eastAsia" w:ascii="宋体" w:hAnsi="宋体" w:cs="宋体"/>
                <w:b/>
                <w:bCs/>
                <w:szCs w:val="21"/>
              </w:rPr>
              <w:t xml:space="preserve">评分项目</w:t>
            </w:r>
            <w:r/>
          </w:p>
        </w:tc>
        <w:tc>
          <w:tcPr>
            <w:shd w:val="clear" w:color="auto" w:fill="bebebe" w:themeFill="background1" w:themeFillShade="BF"/>
            <w:tcBorders>
              <w:top w:val="single" w:color="auto" w:sz="4" w:space="0"/>
              <w:left w:val="single" w:color="auto" w:sz="4" w:space="0"/>
              <w:bottom w:val="single" w:color="auto" w:sz="4" w:space="0"/>
              <w:right w:val="single" w:color="auto" w:sz="4" w:space="0"/>
            </w:tcBorders>
            <w:tcW w:w="3268" w:type="pct"/>
            <w:vAlign w:val="center"/>
            <w:textDirection w:val="lrTb"/>
            <w:noWrap w:val="false"/>
          </w:tcPr>
          <w:p>
            <w:pPr>
              <w:jc w:val="center"/>
              <w:spacing w:line="300" w:lineRule="exact"/>
              <w:rPr>
                <w:rFonts w:ascii="宋体" w:hAnsi="宋体" w:cs="宋体"/>
                <w:b/>
                <w:bCs/>
                <w:szCs w:val="21"/>
              </w:rPr>
            </w:pPr>
            <w:r>
              <w:rPr>
                <w:rFonts w:hint="eastAsia" w:ascii="宋体" w:hAnsi="宋体" w:cs="宋体"/>
                <w:b/>
                <w:bCs/>
                <w:szCs w:val="21"/>
              </w:rPr>
              <w:t xml:space="preserve">评分标准及细则</w:t>
            </w:r>
            <w:r/>
          </w:p>
        </w:tc>
        <w:tc>
          <w:tcPr>
            <w:shd w:val="clear" w:color="auto" w:fill="bebebe" w:themeFill="background1" w:themeFillShade="BF"/>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00" w:lineRule="exact"/>
              <w:rPr>
                <w:rFonts w:ascii="宋体" w:hAnsi="宋体" w:cs="宋体"/>
                <w:b/>
                <w:bCs/>
                <w:szCs w:val="21"/>
              </w:rPr>
            </w:pPr>
            <w:r>
              <w:rPr>
                <w:rFonts w:hint="eastAsia" w:ascii="宋体" w:hAnsi="宋体" w:cs="宋体"/>
                <w:b/>
                <w:bCs/>
                <w:szCs w:val="21"/>
              </w:rPr>
              <w:t xml:space="preserve">分值</w:t>
            </w:r>
            <w:r/>
          </w:p>
        </w:tc>
      </w:tr>
      <w:tr>
        <w:trPr>
          <w:jc w:val="center"/>
          <w:trHeight w:val="1340"/>
        </w:trPr>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847"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价格分</w:t>
            </w:r>
            <w:r/>
          </w:p>
        </w:tc>
        <w:tc>
          <w:tcPr>
            <w:tcBorders>
              <w:top w:val="single" w:color="auto" w:sz="4" w:space="0"/>
              <w:left w:val="single" w:color="auto" w:sz="4" w:space="0"/>
              <w:bottom w:val="single" w:color="auto" w:sz="4" w:space="0"/>
              <w:right w:val="single" w:color="auto" w:sz="4" w:space="0"/>
            </w:tcBorders>
            <w:tcW w:w="3268" w:type="pct"/>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价格分采用低价优先法计算，即满足采购文件要求且报价最低的投标人的报价为评审基准价，其价格分为对应分值，其它投标人的价格分统一按照以下公式计算：报价得分=(评审基准价/该投标人的报价)×对应分值。按照以下分类报价：</w:t>
            </w:r>
            <w:r/>
          </w:p>
          <w:p>
            <w:pPr>
              <w:spacing w:line="400" w:lineRule="exact"/>
              <w:rPr>
                <w:rFonts w:ascii="宋体" w:hAnsi="宋体" w:cs="宋体"/>
                <w:szCs w:val="21"/>
              </w:rPr>
            </w:pPr>
            <w:r>
              <w:rPr>
                <w:rFonts w:hint="eastAsia" w:ascii="宋体" w:hAnsi="宋体" w:cs="宋体"/>
                <w:szCs w:val="21"/>
              </w:rPr>
              <w:t xml:space="preserve">报价1：45岁以下在职男性套餐单价，</w:t>
            </w:r>
            <w:r>
              <w:rPr>
                <w:rFonts w:ascii="宋体" w:hAnsi="宋体" w:cs="宋体"/>
                <w:szCs w:val="21"/>
              </w:rPr>
              <w:t xml:space="preserve">3</w:t>
            </w:r>
            <w:r>
              <w:rPr>
                <w:rFonts w:hint="eastAsia" w:ascii="宋体" w:hAnsi="宋体" w:cs="宋体"/>
                <w:szCs w:val="21"/>
              </w:rPr>
              <w:t xml:space="preserve">分；</w:t>
            </w:r>
            <w:r/>
          </w:p>
          <w:p>
            <w:pPr>
              <w:spacing w:line="400" w:lineRule="exact"/>
              <w:rPr>
                <w:rFonts w:ascii="宋体" w:hAnsi="宋体" w:cs="宋体"/>
                <w:szCs w:val="21"/>
              </w:rPr>
            </w:pPr>
            <w:r>
              <w:rPr>
                <w:rFonts w:hint="eastAsia" w:ascii="宋体" w:hAnsi="宋体" w:cs="宋体"/>
                <w:szCs w:val="21"/>
              </w:rPr>
              <w:t xml:space="preserve">报价2：45岁以下在职女性已婚套餐单价，4分；</w:t>
            </w:r>
            <w:r/>
          </w:p>
          <w:p>
            <w:pPr>
              <w:spacing w:line="400" w:lineRule="exact"/>
              <w:rPr>
                <w:rFonts w:ascii="宋体" w:hAnsi="宋体" w:cs="宋体"/>
                <w:szCs w:val="21"/>
              </w:rPr>
            </w:pPr>
            <w:r>
              <w:rPr>
                <w:rFonts w:hint="eastAsia" w:ascii="宋体" w:hAnsi="宋体" w:cs="宋体"/>
                <w:szCs w:val="21"/>
              </w:rPr>
              <w:t xml:space="preserve">报价3：45岁以下在职女性未婚套餐单价，</w:t>
            </w:r>
            <w:r>
              <w:rPr>
                <w:rFonts w:ascii="宋体" w:hAnsi="宋体" w:cs="宋体"/>
                <w:szCs w:val="21"/>
              </w:rPr>
              <w:t xml:space="preserve">3</w:t>
            </w:r>
            <w:r>
              <w:rPr>
                <w:rFonts w:hint="eastAsia" w:ascii="宋体" w:hAnsi="宋体" w:cs="宋体"/>
                <w:szCs w:val="21"/>
              </w:rPr>
              <w:t xml:space="preserve">分；</w:t>
            </w:r>
            <w:r/>
          </w:p>
          <w:p>
            <w:pPr>
              <w:spacing w:line="400" w:lineRule="exact"/>
              <w:rPr>
                <w:rFonts w:ascii="宋体" w:hAnsi="宋体" w:cs="宋体"/>
                <w:szCs w:val="21"/>
              </w:rPr>
            </w:pPr>
            <w:r>
              <w:rPr>
                <w:rFonts w:hint="eastAsia" w:ascii="宋体" w:hAnsi="宋体" w:cs="宋体"/>
                <w:szCs w:val="21"/>
              </w:rPr>
              <w:t xml:space="preserve">报价4：45岁（含）以上在职、正高职称、退休人员男性套餐单价，</w:t>
            </w:r>
            <w:r>
              <w:rPr>
                <w:rFonts w:ascii="宋体" w:hAnsi="宋体" w:cs="宋体"/>
                <w:szCs w:val="21"/>
              </w:rPr>
              <w:t xml:space="preserve">3</w:t>
            </w:r>
            <w:r>
              <w:rPr>
                <w:rFonts w:hint="eastAsia" w:ascii="宋体" w:hAnsi="宋体" w:cs="宋体"/>
                <w:szCs w:val="21"/>
              </w:rPr>
              <w:t xml:space="preserve">分；</w:t>
            </w:r>
            <w:r/>
          </w:p>
          <w:p>
            <w:pPr>
              <w:spacing w:line="400" w:lineRule="exact"/>
              <w:rPr>
                <w:rFonts w:ascii="宋体" w:hAnsi="宋体" w:cs="宋体"/>
                <w:szCs w:val="21"/>
              </w:rPr>
            </w:pPr>
            <w:r>
              <w:rPr>
                <w:rFonts w:hint="eastAsia" w:ascii="宋体" w:hAnsi="宋体" w:cs="宋体"/>
                <w:szCs w:val="21"/>
              </w:rPr>
              <w:t xml:space="preserve">报价5：45岁（含）以上在职、正高职称、退休人员女性已婚套餐单价，4分；</w:t>
            </w:r>
            <w:r/>
          </w:p>
          <w:p>
            <w:pPr>
              <w:spacing w:line="400" w:lineRule="exact"/>
              <w:rPr>
                <w:rFonts w:ascii="宋体" w:hAnsi="宋体" w:cs="宋体"/>
                <w:szCs w:val="21"/>
              </w:rPr>
            </w:pPr>
            <w:r>
              <w:rPr>
                <w:rFonts w:hint="eastAsia" w:ascii="宋体" w:hAnsi="宋体" w:cs="宋体"/>
                <w:szCs w:val="21"/>
              </w:rPr>
              <w:t xml:space="preserve">报价6：45岁（含）以上在职、正高职称、退休人员女性未婚套餐单价，</w:t>
            </w:r>
            <w:r>
              <w:rPr>
                <w:rFonts w:ascii="宋体" w:hAnsi="宋体" w:cs="宋体"/>
                <w:szCs w:val="21"/>
              </w:rPr>
              <w:t xml:space="preserve">3</w:t>
            </w:r>
            <w:r>
              <w:rPr>
                <w:rFonts w:hint="eastAsia" w:ascii="宋体" w:hAnsi="宋体" w:cs="宋体"/>
                <w:szCs w:val="21"/>
              </w:rPr>
              <w:t xml:space="preserve">分。</w:t>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00" w:lineRule="exact"/>
              <w:rPr>
                <w:rFonts w:ascii="宋体" w:hAnsi="宋体" w:cs="宋体"/>
                <w:szCs w:val="21"/>
              </w:rPr>
            </w:pPr>
            <w:r>
              <w:rPr>
                <w:rFonts w:ascii="宋体" w:hAnsi="宋体" w:cs="宋体"/>
                <w:szCs w:val="21"/>
              </w:rPr>
              <w:t xml:space="preserve">20</w:t>
            </w:r>
            <w:r/>
          </w:p>
        </w:tc>
      </w:tr>
      <w:tr>
        <w:trPr>
          <w:jc w:val="center"/>
          <w:trHeight w:val="1505"/>
        </w:trPr>
        <w:tc>
          <w:tcPr>
            <w:tcBorders>
              <w:left w:val="single" w:color="auto" w:sz="4" w:space="0"/>
              <w:right w:val="single" w:color="auto" w:sz="4" w:space="0"/>
            </w:tcBorders>
            <w:tcW w:w="456"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2</w:t>
            </w:r>
            <w:r/>
          </w:p>
        </w:tc>
        <w:tc>
          <w:tcPr>
            <w:tcBorders>
              <w:left w:val="single" w:color="auto" w:sz="4" w:space="0"/>
              <w:right w:val="single" w:color="auto" w:sz="4" w:space="0"/>
            </w:tcBorders>
            <w:tcW w:w="847"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业绩</w:t>
            </w:r>
            <w:r/>
          </w:p>
        </w:tc>
        <w:tc>
          <w:tcPr>
            <w:tcBorders>
              <w:top w:val="single" w:color="auto" w:sz="4" w:space="0"/>
              <w:left w:val="single" w:color="auto" w:sz="4" w:space="0"/>
              <w:bottom w:val="single" w:color="auto" w:sz="4" w:space="0"/>
              <w:right w:val="single" w:color="auto" w:sz="4" w:space="0"/>
            </w:tcBorders>
            <w:tcW w:w="3268" w:type="pct"/>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投标人提供自2023年10月1日以来</w:t>
            </w:r>
            <w:r>
              <w:rPr>
                <w:rFonts w:hint="eastAsia" w:ascii="宋体" w:hAnsi="宋体" w:cs="宋体"/>
                <w:b/>
                <w:bCs/>
                <w:szCs w:val="21"/>
              </w:rPr>
              <w:t xml:space="preserve">（以合同签订时间为准）</w:t>
            </w:r>
            <w:r>
              <w:rPr>
                <w:rFonts w:hint="eastAsia" w:ascii="宋体" w:hAnsi="宋体" w:cs="宋体"/>
                <w:szCs w:val="21"/>
              </w:rPr>
              <w:t xml:space="preserve">承担过类似项目体检服务的业绩，每提供一个业绩得3分，最高9分。（提供合同复印件并加盖公章，</w:t>
            </w:r>
            <w:r>
              <w:rPr>
                <w:rFonts w:ascii="宋体" w:hAnsi="宋体" w:cs="宋体"/>
                <w:szCs w:val="21"/>
              </w:rPr>
              <w:t xml:space="preserve">合同中必须能够体现体检服务内容、服务对象，仅框架协议无执行证明不计分</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9</w:t>
            </w:r>
            <w:r/>
          </w:p>
        </w:tc>
      </w:tr>
      <w:tr>
        <w:trPr>
          <w:jc w:val="center"/>
          <w:trHeight w:val="1602"/>
        </w:trPr>
        <w:tc>
          <w:tcPr>
            <w:tcBorders>
              <w:left w:val="single" w:color="auto" w:sz="4" w:space="0"/>
              <w:right w:val="single" w:color="auto" w:sz="4" w:space="0"/>
            </w:tcBorders>
            <w:tcW w:w="456"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3</w:t>
            </w:r>
            <w:r/>
          </w:p>
        </w:tc>
        <w:tc>
          <w:tcPr>
            <w:tcBorders>
              <w:left w:val="single" w:color="auto" w:sz="4" w:space="0"/>
              <w:right w:val="single" w:color="auto" w:sz="4" w:space="0"/>
            </w:tcBorders>
            <w:tcW w:w="847"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技术力量</w:t>
            </w:r>
            <w:r/>
          </w:p>
        </w:tc>
        <w:tc>
          <w:tcPr>
            <w:tcBorders>
              <w:top w:val="single" w:color="auto" w:sz="4" w:space="0"/>
              <w:left w:val="single" w:color="auto" w:sz="4" w:space="0"/>
              <w:bottom w:val="single" w:color="auto" w:sz="4" w:space="0"/>
              <w:right w:val="single" w:color="auto" w:sz="4" w:space="0"/>
            </w:tcBorders>
            <w:tcW w:w="3268" w:type="pct"/>
            <w:vAlign w:val="center"/>
            <w:textDirection w:val="lrTb"/>
            <w:noWrap w:val="false"/>
          </w:tcPr>
          <w:p>
            <w:pPr>
              <w:spacing w:line="400" w:lineRule="exact"/>
              <w:rPr>
                <w:rFonts w:ascii="宋体" w:hAnsi="宋体" w:cs="宋体"/>
                <w:szCs w:val="21"/>
              </w:rPr>
            </w:pPr>
            <w:r>
              <w:rPr>
                <w:rFonts w:hint="eastAsia" w:ascii="宋体" w:hAnsi="宋体" w:cs="宋体"/>
                <w:b/>
                <w:bCs/>
                <w:szCs w:val="21"/>
              </w:rPr>
              <w:t xml:space="preserve">提供本项目各科室拟派体检医生、护士一览表</w:t>
            </w:r>
            <w:r>
              <w:rPr>
                <w:rFonts w:hint="eastAsia" w:ascii="宋体" w:hAnsi="宋体" w:cs="宋体"/>
                <w:szCs w:val="21"/>
              </w:rPr>
              <w:t xml:space="preserve">（医生必须提供医师资格证书、医师执业证书、专业技术资格证的</w:t>
            </w:r>
            <w:r>
              <w:rPr>
                <w:rFonts w:hint="eastAsia" w:ascii="宋体" w:hAnsi="宋体" w:cs="宋体"/>
                <w:b/>
                <w:bCs/>
                <w:szCs w:val="21"/>
              </w:rPr>
              <w:t xml:space="preserve">姓名页、证书编号页、有内容的变更注册记录页以及执业记录页</w:t>
            </w:r>
            <w:r>
              <w:rPr>
                <w:rFonts w:hint="eastAsia" w:ascii="宋体" w:hAnsi="宋体" w:cs="宋体"/>
                <w:szCs w:val="21"/>
              </w:rPr>
              <w:t xml:space="preserve">扫描件，护士必须提供护士执业证书</w:t>
            </w:r>
            <w:r>
              <w:rPr>
                <w:rStyle w:val="940"/>
                <w:rFonts w:hint="eastAsia" w:ascii="宋体" w:hAnsi="宋体" w:cs="宋体"/>
              </w:rPr>
              <w:t xml:space="preserve">的</w:t>
            </w:r>
            <w:r>
              <w:rPr>
                <w:rFonts w:hint="eastAsia" w:ascii="宋体" w:hAnsi="宋体" w:cs="宋体"/>
                <w:b/>
                <w:bCs/>
                <w:szCs w:val="21"/>
              </w:rPr>
              <w:t xml:space="preserve">姓名及编号页、有内容的变更注册页及延续注册页</w:t>
            </w:r>
            <w:r>
              <w:rPr>
                <w:rFonts w:hint="eastAsia" w:ascii="宋体" w:hAnsi="宋体" w:cs="宋体"/>
                <w:szCs w:val="21"/>
              </w:rPr>
              <w:t xml:space="preserve">扫描件，提供的证明材料必须能体现评审内容，否则视为未提供）：</w:t>
            </w:r>
            <w:r/>
          </w:p>
          <w:p>
            <w:pPr>
              <w:spacing w:line="400" w:lineRule="exact"/>
              <w:rPr>
                <w:rFonts w:ascii="宋体" w:hAnsi="宋体" w:cs="宋体"/>
                <w:szCs w:val="21"/>
              </w:rPr>
            </w:pPr>
            <w:r>
              <w:rPr>
                <w:rFonts w:hint="eastAsia" w:ascii="宋体" w:hAnsi="宋体" w:cs="宋体"/>
                <w:szCs w:val="21"/>
              </w:rPr>
              <w:t xml:space="preserve">1.总审医生：每提供一名高级（副主任医师或主任医师）职称医师得1分，本条满分</w:t>
            </w:r>
            <w:r>
              <w:rPr>
                <w:rFonts w:ascii="宋体" w:hAnsi="宋体" w:cs="宋体"/>
                <w:szCs w:val="21"/>
              </w:rPr>
              <w:t xml:space="preserve">4</w:t>
            </w:r>
            <w:r>
              <w:rPr>
                <w:rFonts w:hint="eastAsia" w:ascii="宋体" w:hAnsi="宋体" w:cs="宋体"/>
                <w:szCs w:val="21"/>
              </w:rPr>
              <w:t xml:space="preserve">分；</w:t>
            </w:r>
            <w:r/>
          </w:p>
          <w:p>
            <w:pPr>
              <w:spacing w:line="400" w:lineRule="exact"/>
              <w:rPr>
                <w:rFonts w:ascii="宋体" w:hAnsi="宋体" w:cs="宋体"/>
                <w:szCs w:val="21"/>
              </w:rPr>
            </w:pPr>
            <w:r>
              <w:rPr>
                <w:rFonts w:hint="eastAsia" w:ascii="宋体" w:hAnsi="宋体" w:cs="宋体"/>
                <w:szCs w:val="21"/>
              </w:rPr>
              <w:t xml:space="preserve">2.B超医生：每提供一名高级（副主任医师或主任医师）职称医师得1分，本条满分</w:t>
            </w:r>
            <w:r>
              <w:rPr>
                <w:rFonts w:ascii="宋体" w:hAnsi="宋体" w:cs="宋体"/>
                <w:szCs w:val="21"/>
              </w:rPr>
              <w:t xml:space="preserve">4</w:t>
            </w:r>
            <w:r>
              <w:rPr>
                <w:rFonts w:hint="eastAsia" w:ascii="宋体" w:hAnsi="宋体" w:cs="宋体"/>
                <w:szCs w:val="21"/>
              </w:rPr>
              <w:t xml:space="preserve">分；</w:t>
            </w:r>
            <w:r/>
          </w:p>
          <w:p>
            <w:pPr>
              <w:spacing w:line="400" w:lineRule="exact"/>
              <w:rPr>
                <w:rFonts w:ascii="宋体" w:hAnsi="宋体" w:cs="宋体"/>
                <w:szCs w:val="21"/>
              </w:rPr>
            </w:pPr>
            <w:r>
              <w:rPr>
                <w:rFonts w:hint="eastAsia" w:ascii="宋体" w:hAnsi="宋体" w:cs="宋体"/>
                <w:szCs w:val="21"/>
              </w:rPr>
              <w:t xml:space="preserve">3.妇科医生：每提供一名高级（副主任医师或主任医师）职称医师得1分，本条满分</w:t>
            </w:r>
            <w:r>
              <w:rPr>
                <w:rFonts w:ascii="宋体" w:hAnsi="宋体" w:cs="宋体"/>
                <w:szCs w:val="21"/>
              </w:rPr>
              <w:t xml:space="preserve">4</w:t>
            </w:r>
            <w:r>
              <w:rPr>
                <w:rFonts w:hint="eastAsia" w:ascii="宋体" w:hAnsi="宋体" w:cs="宋体"/>
                <w:szCs w:val="21"/>
              </w:rPr>
              <w:t xml:space="preserve">分；</w:t>
            </w:r>
            <w:r/>
          </w:p>
          <w:p>
            <w:pPr>
              <w:spacing w:line="400" w:lineRule="exact"/>
              <w:rPr>
                <w:rFonts w:ascii="宋体" w:hAnsi="宋体" w:cs="宋体"/>
                <w:szCs w:val="21"/>
              </w:rPr>
            </w:pPr>
            <w:r>
              <w:rPr>
                <w:rFonts w:hint="eastAsia" w:ascii="宋体" w:hAnsi="宋体" w:cs="宋体"/>
                <w:szCs w:val="21"/>
              </w:rPr>
              <w:t xml:space="preserve">4.放射科医生：每提供一名高级（副主任医师或主任医师）职称医师得1分，本条满分</w:t>
            </w:r>
            <w:r>
              <w:rPr>
                <w:rFonts w:ascii="宋体" w:hAnsi="宋体" w:cs="宋体"/>
                <w:szCs w:val="21"/>
              </w:rPr>
              <w:t xml:space="preserve">4</w:t>
            </w:r>
            <w:r>
              <w:rPr>
                <w:rFonts w:hint="eastAsia" w:ascii="宋体" w:hAnsi="宋体" w:cs="宋体"/>
                <w:szCs w:val="21"/>
              </w:rPr>
              <w:t xml:space="preserve">分；</w:t>
            </w:r>
            <w:r/>
          </w:p>
          <w:p>
            <w:pPr>
              <w:spacing w:line="400" w:lineRule="exact"/>
              <w:rPr>
                <w:rFonts w:ascii="宋体" w:hAnsi="宋体" w:cs="宋体"/>
                <w:szCs w:val="21"/>
              </w:rPr>
            </w:pPr>
            <w:r>
              <w:rPr>
                <w:rFonts w:hint="eastAsia" w:ascii="宋体" w:hAnsi="宋体" w:cs="宋体"/>
                <w:szCs w:val="21"/>
              </w:rPr>
              <w:t xml:space="preserve">5.内科医生：每提供一名高级（副主任医师或主任医师）职称医师得1分，本条满分</w:t>
            </w:r>
            <w:r>
              <w:rPr>
                <w:rFonts w:ascii="宋体" w:hAnsi="宋体" w:cs="宋体"/>
                <w:szCs w:val="21"/>
              </w:rPr>
              <w:t xml:space="preserve">4</w:t>
            </w:r>
            <w:r>
              <w:rPr>
                <w:rFonts w:hint="eastAsia" w:ascii="宋体" w:hAnsi="宋体" w:cs="宋体"/>
                <w:szCs w:val="21"/>
              </w:rPr>
              <w:t xml:space="preserve">分；</w:t>
            </w:r>
            <w:r/>
          </w:p>
          <w:p>
            <w:pPr>
              <w:spacing w:line="400" w:lineRule="exact"/>
              <w:rPr>
                <w:rFonts w:ascii="宋体" w:hAnsi="宋体" w:cs="宋体"/>
                <w:szCs w:val="21"/>
              </w:rPr>
            </w:pPr>
            <w:r>
              <w:rPr>
                <w:rFonts w:hint="eastAsia" w:ascii="宋体" w:hAnsi="宋体" w:cs="宋体"/>
                <w:szCs w:val="21"/>
              </w:rPr>
              <w:t xml:space="preserve">6.外科医生：每提供一名高级（副主任医师或主任医师）职称医师得1分，本条满分</w:t>
            </w:r>
            <w:r>
              <w:rPr>
                <w:rFonts w:ascii="宋体" w:hAnsi="宋体" w:cs="宋体"/>
                <w:szCs w:val="21"/>
              </w:rPr>
              <w:t xml:space="preserve">4</w:t>
            </w:r>
            <w:r>
              <w:rPr>
                <w:rFonts w:hint="eastAsia" w:ascii="宋体" w:hAnsi="宋体" w:cs="宋体"/>
                <w:szCs w:val="21"/>
              </w:rPr>
              <w:t xml:space="preserve">分。</w:t>
            </w:r>
            <w:r/>
          </w:p>
          <w:p>
            <w:pPr>
              <w:spacing w:line="400" w:lineRule="exact"/>
              <w:rPr>
                <w:rFonts w:ascii="宋体" w:hAnsi="宋体" w:cs="宋体"/>
                <w:szCs w:val="21"/>
              </w:rPr>
            </w:pPr>
            <w:r>
              <w:rPr>
                <w:rFonts w:hint="eastAsia" w:ascii="宋体" w:hAnsi="宋体" w:cs="宋体"/>
                <w:szCs w:val="21"/>
              </w:rPr>
              <w:t xml:space="preserve">7.护理：有10-</w:t>
            </w:r>
            <w:r>
              <w:rPr>
                <w:rFonts w:ascii="宋体" w:hAnsi="宋体" w:cs="宋体"/>
                <w:szCs w:val="21"/>
              </w:rPr>
              <w:t xml:space="preserve">19</w:t>
            </w:r>
            <w:r>
              <w:rPr>
                <w:rFonts w:hint="eastAsia" w:ascii="宋体" w:hAnsi="宋体" w:cs="宋体"/>
                <w:szCs w:val="21"/>
              </w:rPr>
              <w:t xml:space="preserve">名注册专职护士，得1分；有20名及以上注册专职护士，得3分，本条满分3分；</w:t>
            </w:r>
            <w:r/>
          </w:p>
          <w:p>
            <w:pPr>
              <w:spacing w:line="400" w:lineRule="exact"/>
              <w:rPr>
                <w:rFonts w:ascii="宋体" w:hAnsi="宋体" w:cs="宋体"/>
                <w:b/>
                <w:bCs/>
                <w:szCs w:val="21"/>
              </w:rPr>
            </w:pPr>
            <w:r>
              <w:rPr>
                <w:rFonts w:hint="eastAsia" w:ascii="宋体" w:hAnsi="宋体" w:cs="宋体"/>
                <w:szCs w:val="21"/>
              </w:rPr>
              <w:t xml:space="preserve">拟派体检医生要求执业地点与投标主体医院的地点一致，若医师申请多点执业，须提供证明，否则不计分。</w:t>
            </w:r>
            <w:r>
              <w:rPr>
                <w:rFonts w:hint="eastAsia" w:ascii="宋体" w:hAnsi="宋体" w:cs="宋体"/>
                <w:b/>
                <w:bCs/>
                <w:szCs w:val="21"/>
              </w:rPr>
              <w:t xml:space="preserve">（医师多点执业可从国家卫生健康委员会电子化注册信息系统查询、截图打印，须同时提供该医师与投标单位签订的劳务聘用/服务协议；未提供的不予计分。）</w:t>
            </w:r>
            <w:r/>
          </w:p>
          <w:p>
            <w:pPr>
              <w:spacing w:line="400" w:lineRule="exact"/>
              <w:rPr>
                <w:rFonts w:ascii="宋体" w:hAnsi="宋体" w:cs="宋体"/>
                <w:szCs w:val="21"/>
              </w:rPr>
            </w:pPr>
            <w:r>
              <w:rPr>
                <w:rFonts w:hint="eastAsia" w:ascii="宋体" w:hAnsi="宋体" w:cs="宋体"/>
                <w:szCs w:val="21"/>
              </w:rPr>
              <w:t xml:space="preserve">中标后采购人有权核查拟派人员在岗情况，如实际进场人员与投标文件不一致，按虚假响应、违约处理。</w:t>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00" w:lineRule="exact"/>
              <w:rPr>
                <w:rFonts w:ascii="宋体" w:hAnsi="宋体" w:cs="宋体"/>
                <w:szCs w:val="21"/>
              </w:rPr>
            </w:pPr>
            <w:r>
              <w:rPr>
                <w:rFonts w:ascii="宋体" w:hAnsi="宋体" w:cs="宋体"/>
                <w:szCs w:val="21"/>
              </w:rPr>
              <w:t xml:space="preserve">27</w:t>
            </w:r>
            <w:r/>
          </w:p>
        </w:tc>
      </w:tr>
      <w:tr>
        <w:trPr>
          <w:jc w:val="center"/>
          <w:trHeight w:val="1058"/>
        </w:trPr>
        <w:tc>
          <w:tcPr>
            <w:tcBorders>
              <w:left w:val="single" w:color="auto" w:sz="4" w:space="0"/>
              <w:right w:val="single" w:color="auto" w:sz="4" w:space="0"/>
            </w:tcBorders>
            <w:tcW w:w="456"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4</w:t>
            </w:r>
            <w:r/>
          </w:p>
        </w:tc>
        <w:tc>
          <w:tcPr>
            <w:tcBorders>
              <w:left w:val="single" w:color="auto" w:sz="4" w:space="0"/>
              <w:right w:val="single" w:color="auto" w:sz="4" w:space="0"/>
            </w:tcBorders>
            <w:tcW w:w="847" w:type="pct"/>
            <w:vAlign w:val="center"/>
            <w:textDirection w:val="lrTb"/>
            <w:noWrap w:val="false"/>
          </w:tcPr>
          <w:p>
            <w:pPr>
              <w:jc w:val="center"/>
              <w:spacing w:line="378" w:lineRule="exact"/>
              <w:rPr>
                <w:rFonts w:ascii="宋体" w:hAnsi="宋体" w:cs="宋体"/>
                <w:szCs w:val="21"/>
              </w:rPr>
            </w:pPr>
            <w:r>
              <w:rPr>
                <w:rFonts w:ascii="宋体" w:hAnsi="宋体" w:cs="宋体"/>
                <w:color w:val="000000"/>
              </w:rPr>
              <w:t xml:space="preserve">设备数量</w:t>
            </w:r>
            <w:r/>
          </w:p>
        </w:tc>
        <w:tc>
          <w:tcPr>
            <w:tcBorders>
              <w:top w:val="single" w:color="auto" w:sz="4" w:space="0"/>
              <w:left w:val="single" w:color="auto" w:sz="4" w:space="0"/>
              <w:right w:val="single" w:color="auto" w:sz="4" w:space="0"/>
            </w:tcBorders>
            <w:tcW w:w="3268" w:type="pct"/>
            <w:vAlign w:val="center"/>
            <w:textDirection w:val="lrTb"/>
            <w:noWrap w:val="false"/>
          </w:tcPr>
          <w:p>
            <w:pPr>
              <w:spacing w:line="400" w:lineRule="exact"/>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b/>
                <w:bCs/>
                <w:szCs w:val="21"/>
                <w:highlight w:val="none"/>
              </w:rPr>
              <w:t xml:space="preserve">超声诊断仪超声源：</w:t>
            </w:r>
            <w:r>
              <w:rPr>
                <w:rFonts w:hint="eastAsia" w:ascii="宋体" w:hAnsi="宋体" w:cs="宋体"/>
                <w:szCs w:val="21"/>
                <w:highlight w:val="none"/>
              </w:rPr>
              <w:t xml:space="preserve">体检专用（</w:t>
            </w:r>
            <w:r>
              <w:rPr>
                <w:rFonts w:hint="eastAsia" w:ascii="宋体" w:hAnsi="宋体" w:cs="宋体"/>
                <w:b/>
                <w:bCs/>
                <w:szCs w:val="21"/>
                <w:highlight w:val="none"/>
              </w:rPr>
              <w:t xml:space="preserve">仅计算投标主体点</w:t>
            </w:r>
            <w:r>
              <w:rPr>
                <w:rFonts w:hint="eastAsia" w:ascii="宋体" w:hAnsi="宋体" w:cs="宋体"/>
                <w:szCs w:val="21"/>
                <w:highlight w:val="none"/>
              </w:rPr>
              <w:t xml:space="preserve">）的超声诊断仪超声源数量，提供</w:t>
            </w:r>
            <w:r>
              <w:rPr>
                <w:rFonts w:ascii="宋体" w:hAnsi="宋体" w:cs="宋体"/>
                <w:szCs w:val="21"/>
                <w:highlight w:val="none"/>
              </w:rPr>
              <w:t xml:space="preserve">5</w:t>
            </w:r>
            <w:r>
              <w:rPr>
                <w:rFonts w:hint="eastAsia" w:ascii="宋体" w:hAnsi="宋体" w:cs="宋体"/>
                <w:szCs w:val="21"/>
                <w:highlight w:val="none"/>
              </w:rPr>
              <w:t xml:space="preserve">台以下不得分，提供</w:t>
            </w:r>
            <w:r>
              <w:rPr>
                <w:rFonts w:ascii="宋体" w:hAnsi="宋体" w:cs="宋体"/>
                <w:szCs w:val="21"/>
                <w:highlight w:val="none"/>
              </w:rPr>
              <w:t xml:space="preserve">5</w:t>
            </w:r>
            <w:r>
              <w:rPr>
                <w:rFonts w:hint="eastAsia" w:ascii="宋体" w:hAnsi="宋体" w:cs="宋体"/>
                <w:szCs w:val="21"/>
                <w:highlight w:val="none"/>
              </w:rPr>
              <w:t xml:space="preserve">台得</w:t>
            </w:r>
            <w:r>
              <w:rPr>
                <w:rFonts w:ascii="宋体" w:hAnsi="宋体" w:cs="宋体"/>
                <w:szCs w:val="21"/>
                <w:highlight w:val="none"/>
              </w:rPr>
              <w:t xml:space="preserve">1</w:t>
            </w:r>
            <w:r>
              <w:rPr>
                <w:rFonts w:hint="eastAsia" w:ascii="宋体" w:hAnsi="宋体" w:cs="宋体"/>
                <w:szCs w:val="21"/>
                <w:highlight w:val="none"/>
              </w:rPr>
              <w:t xml:space="preserve">分，超过</w:t>
            </w:r>
            <w:r>
              <w:rPr>
                <w:rFonts w:ascii="宋体" w:hAnsi="宋体" w:cs="宋体"/>
                <w:szCs w:val="21"/>
                <w:highlight w:val="none"/>
              </w:rPr>
              <w:t xml:space="preserve">5</w:t>
            </w:r>
            <w:r>
              <w:rPr>
                <w:rFonts w:hint="eastAsia" w:ascii="宋体" w:hAnsi="宋体" w:cs="宋体"/>
                <w:szCs w:val="21"/>
                <w:highlight w:val="none"/>
              </w:rPr>
              <w:t xml:space="preserve">台的，每增加1台加</w:t>
            </w:r>
            <w:r>
              <w:rPr>
                <w:rFonts w:ascii="宋体" w:hAnsi="宋体" w:cs="宋体"/>
                <w:szCs w:val="21"/>
                <w:highlight w:val="none"/>
              </w:rPr>
              <w:t xml:space="preserve">1</w:t>
            </w:r>
            <w:r>
              <w:rPr>
                <w:rFonts w:hint="eastAsia" w:ascii="宋体" w:hAnsi="宋体" w:cs="宋体"/>
                <w:szCs w:val="21"/>
                <w:highlight w:val="none"/>
              </w:rPr>
              <w:t xml:space="preserve">分，最多得</w:t>
            </w:r>
            <w:r>
              <w:rPr>
                <w:rFonts w:ascii="宋体" w:hAnsi="宋体" w:cs="宋体"/>
                <w:szCs w:val="21"/>
                <w:highlight w:val="none"/>
              </w:rPr>
              <w:t xml:space="preserve">4</w:t>
            </w:r>
            <w:r>
              <w:rPr>
                <w:rFonts w:hint="eastAsia" w:ascii="宋体" w:hAnsi="宋体" w:cs="宋体"/>
                <w:szCs w:val="21"/>
                <w:highlight w:val="none"/>
              </w:rPr>
              <w:t xml:space="preserve">分。</w:t>
            </w:r>
            <w:r/>
          </w:p>
          <w:p>
            <w:pPr>
              <w:spacing w:line="400" w:lineRule="exact"/>
              <w:rPr>
                <w:rFonts w:ascii="宋体" w:hAnsi="宋体" w:cs="宋体"/>
                <w:strike/>
                <w:szCs w:val="21"/>
              </w:rPr>
            </w:pPr>
            <w:r>
              <w:rPr>
                <w:rFonts w:hint="eastAsia" w:ascii="宋体" w:hAnsi="宋体" w:cs="宋体"/>
                <w:szCs w:val="21"/>
                <w:highlight w:val="none"/>
              </w:rPr>
              <w:t xml:space="preserve">2、</w:t>
            </w:r>
            <w:r>
              <w:rPr>
                <w:rFonts w:hint="eastAsia" w:ascii="宋体" w:hAnsi="宋体" w:cs="宋体"/>
                <w:b/>
                <w:bCs/>
                <w:szCs w:val="21"/>
                <w:highlight w:val="none"/>
              </w:rPr>
              <w:t xml:space="preserve">CT：</w:t>
            </w:r>
            <w:r>
              <w:rPr>
                <w:rFonts w:hint="eastAsia" w:ascii="宋体" w:hAnsi="宋体" w:cs="宋体"/>
                <w:bCs/>
                <w:szCs w:val="21"/>
                <w:highlight w:val="none"/>
              </w:rPr>
              <w:t xml:space="preserve">体检专用的CT数量（仅计算投标主体点的CT，须为</w:t>
            </w:r>
            <w:r>
              <w:rPr>
                <w:rFonts w:ascii="宋体" w:hAnsi="宋体" w:cs="宋体"/>
                <w:bCs/>
                <w:szCs w:val="21"/>
                <w:highlight w:val="none"/>
              </w:rPr>
              <w:t xml:space="preserve">16</w:t>
            </w:r>
            <w:r>
              <w:rPr>
                <w:rFonts w:hint="eastAsia" w:ascii="宋体" w:hAnsi="宋体" w:cs="宋体"/>
                <w:bCs/>
                <w:szCs w:val="21"/>
                <w:highlight w:val="none"/>
              </w:rPr>
              <w:t xml:space="preserve">排及以上CT，提供CT品牌名称、设定层厚、放射剂量参数等），提供1台得1分，最多</w:t>
            </w:r>
            <w:r>
              <w:rPr>
                <w:rFonts w:ascii="宋体" w:hAnsi="宋体" w:cs="宋体"/>
                <w:bCs/>
                <w:szCs w:val="21"/>
                <w:highlight w:val="none"/>
              </w:rPr>
              <w:t xml:space="preserve">9</w:t>
            </w:r>
            <w:r>
              <w:rPr>
                <w:rFonts w:hint="eastAsia" w:ascii="宋体" w:hAnsi="宋体" w:cs="宋体"/>
                <w:bCs/>
                <w:szCs w:val="21"/>
                <w:highlight w:val="none"/>
              </w:rPr>
              <w:t xml:space="preserve">分。</w:t>
            </w:r>
            <w:r/>
          </w:p>
        </w:tc>
        <w:tc>
          <w:tcPr>
            <w:tcBorders>
              <w:top w:val="single" w:color="auto" w:sz="4" w:space="0"/>
              <w:left w:val="single" w:color="auto" w:sz="4" w:space="0"/>
              <w:right w:val="single" w:color="auto" w:sz="4" w:space="0"/>
            </w:tcBorders>
            <w:tcW w:w="428" w:type="pct"/>
            <w:vAlign w:val="center"/>
            <w:textDirection w:val="lrTb"/>
            <w:noWrap w:val="false"/>
          </w:tcPr>
          <w:p>
            <w:pPr>
              <w:jc w:val="center"/>
              <w:spacing w:line="300" w:lineRule="exact"/>
              <w:tabs>
                <w:tab w:val="center" w:pos="251" w:leader="none"/>
                <w:tab w:val="left" w:pos="365" w:leader="none"/>
              </w:tabs>
              <w:rPr>
                <w:rFonts w:ascii="宋体" w:hAnsi="宋体" w:cs="宋体"/>
                <w:szCs w:val="21"/>
              </w:rPr>
            </w:pPr>
            <w:r>
              <w:rPr>
                <w:rFonts w:ascii="宋体" w:hAnsi="宋体" w:cs="宋体"/>
                <w:szCs w:val="21"/>
              </w:rPr>
              <w:t xml:space="preserve">13</w:t>
            </w:r>
            <w:r/>
          </w:p>
        </w:tc>
      </w:tr>
      <w:tr>
        <w:trPr>
          <w:jc w:val="center"/>
          <w:trHeight w:val="486"/>
        </w:trPr>
        <w:tc>
          <w:tcPr>
            <w:tcBorders>
              <w:left w:val="single" w:color="auto" w:sz="4" w:space="0"/>
              <w:right w:val="single" w:color="auto" w:sz="4" w:space="0"/>
            </w:tcBorders>
            <w:tcW w:w="456"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5</w:t>
            </w:r>
            <w:r/>
          </w:p>
        </w:tc>
        <w:tc>
          <w:tcPr>
            <w:tcBorders>
              <w:left w:val="single" w:color="auto" w:sz="4" w:space="0"/>
              <w:right w:val="single" w:color="auto" w:sz="4" w:space="0"/>
            </w:tcBorders>
            <w:tcW w:w="847" w:type="pct"/>
            <w:vAlign w:val="center"/>
            <w:textDirection w:val="lrTb"/>
            <w:noWrap w:val="false"/>
          </w:tcPr>
          <w:p>
            <w:pPr>
              <w:jc w:val="center"/>
              <w:spacing w:line="378" w:lineRule="exact"/>
              <w:rPr>
                <w:rFonts w:ascii="宋体" w:hAnsi="宋体" w:cs="宋体"/>
                <w:szCs w:val="21"/>
              </w:rPr>
            </w:pPr>
            <w:r>
              <w:rPr>
                <w:rFonts w:ascii="宋体" w:hAnsi="宋体" w:cs="宋体"/>
                <w:color w:val="000000"/>
              </w:rPr>
              <w:t xml:space="preserve">距离及交通</w:t>
            </w:r>
            <w:r/>
          </w:p>
        </w:tc>
        <w:tc>
          <w:tcPr>
            <w:tcBorders>
              <w:top w:val="single" w:color="auto" w:sz="4" w:space="0"/>
              <w:left w:val="single" w:color="auto" w:sz="4" w:space="0"/>
              <w:right w:val="single" w:color="auto" w:sz="4" w:space="0"/>
            </w:tcBorders>
            <w:tcW w:w="3268" w:type="pct"/>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公共交通：</w:t>
            </w:r>
            <w:r/>
          </w:p>
          <w:p>
            <w:pPr>
              <w:spacing w:line="400" w:lineRule="exact"/>
              <w:rPr>
                <w:rFonts w:ascii="宋体" w:hAnsi="宋体" w:cs="宋体"/>
                <w:szCs w:val="21"/>
              </w:rPr>
            </w:pPr>
            <w:r>
              <w:rPr>
                <w:rFonts w:hint="eastAsia" w:ascii="宋体" w:hAnsi="宋体" w:cs="宋体"/>
                <w:szCs w:val="21"/>
              </w:rPr>
              <w:t xml:space="preserve">——体检地点交通非常便利，体检点距离地铁出站口或公交站，步行距离≤500米，得</w:t>
            </w:r>
            <w:r>
              <w:rPr>
                <w:rFonts w:ascii="宋体" w:hAnsi="宋体" w:cs="宋体"/>
                <w:szCs w:val="21"/>
              </w:rPr>
              <w:t xml:space="preserve">3</w:t>
            </w:r>
            <w:r>
              <w:rPr>
                <w:rFonts w:hint="eastAsia" w:ascii="宋体" w:hAnsi="宋体" w:cs="宋体"/>
                <w:szCs w:val="21"/>
              </w:rPr>
              <w:t xml:space="preserve">分；</w:t>
            </w:r>
            <w:r/>
          </w:p>
          <w:p>
            <w:pPr>
              <w:spacing w:line="400" w:lineRule="exact"/>
              <w:rPr>
                <w:rFonts w:ascii="宋体" w:hAnsi="宋体" w:cs="宋体"/>
                <w:szCs w:val="21"/>
              </w:rPr>
            </w:pPr>
            <w:r>
              <w:rPr>
                <w:rFonts w:hint="eastAsia" w:ascii="宋体" w:hAnsi="宋体" w:cs="宋体"/>
                <w:szCs w:val="21"/>
              </w:rPr>
              <w:t xml:space="preserve">——体检地点交通较为便利，体检点距离地铁出站口或公交站，步行距离≤1000米，得</w:t>
            </w:r>
            <w:r>
              <w:rPr>
                <w:rFonts w:ascii="宋体" w:hAnsi="宋体" w:cs="宋体"/>
                <w:szCs w:val="21"/>
              </w:rPr>
              <w:t xml:space="preserve">1</w:t>
            </w:r>
            <w:r>
              <w:rPr>
                <w:rFonts w:hint="eastAsia" w:ascii="宋体" w:hAnsi="宋体" w:cs="宋体"/>
                <w:szCs w:val="21"/>
              </w:rPr>
              <w:t xml:space="preserve">分；</w:t>
            </w:r>
            <w:r/>
          </w:p>
          <w:p>
            <w:pPr>
              <w:spacing w:line="400" w:lineRule="exact"/>
              <w:rPr>
                <w:rFonts w:ascii="宋体" w:hAnsi="宋体" w:cs="宋体"/>
                <w:szCs w:val="21"/>
              </w:rPr>
            </w:pPr>
            <w:r>
              <w:rPr>
                <w:rFonts w:hint="eastAsia" w:ascii="宋体" w:hAnsi="宋体" w:cs="宋体"/>
                <w:szCs w:val="21"/>
              </w:rPr>
              <w:t xml:space="preserve">——体检地点交通不方便，体检点距离地铁出站口或公交站，步行距离均超过1000米，不得分。</w:t>
            </w:r>
            <w:r/>
          </w:p>
          <w:p>
            <w:pPr>
              <w:spacing w:line="400" w:lineRule="exact"/>
              <w:rPr>
                <w:rFonts w:ascii="宋体" w:hAnsi="宋体" w:cs="宋体"/>
                <w:szCs w:val="21"/>
              </w:rPr>
            </w:pPr>
            <w:r>
              <w:rPr>
                <w:rFonts w:hint="eastAsia" w:ascii="宋体" w:hAnsi="宋体" w:cs="宋体"/>
                <w:szCs w:val="21"/>
              </w:rPr>
              <w:t xml:space="preserve">(注：上述距离需提供百度地图或高德地图道路交通路线证明加盖公章，不提供或提供不全面不得分)</w:t>
            </w:r>
            <w:r/>
          </w:p>
        </w:tc>
        <w:tc>
          <w:tcPr>
            <w:tcBorders>
              <w:top w:val="single" w:color="auto" w:sz="4" w:space="0"/>
              <w:left w:val="single" w:color="auto" w:sz="4" w:space="0"/>
              <w:right w:val="single" w:color="auto" w:sz="4" w:space="0"/>
            </w:tcBorders>
            <w:tcW w:w="428" w:type="pct"/>
            <w:vAlign w:val="center"/>
            <w:textDirection w:val="lrTb"/>
            <w:noWrap w:val="false"/>
          </w:tcPr>
          <w:p>
            <w:pPr>
              <w:jc w:val="center"/>
              <w:spacing w:line="300" w:lineRule="exact"/>
              <w:tabs>
                <w:tab w:val="center" w:pos="251" w:leader="none"/>
                <w:tab w:val="left" w:pos="365" w:leader="none"/>
              </w:tabs>
              <w:rPr>
                <w:rFonts w:ascii="宋体" w:hAnsi="宋体" w:cs="宋体"/>
                <w:szCs w:val="21"/>
              </w:rPr>
            </w:pPr>
            <w:r>
              <w:rPr>
                <w:rFonts w:ascii="宋体" w:hAnsi="宋体" w:cs="宋体"/>
                <w:szCs w:val="21"/>
              </w:rPr>
              <w:t xml:space="preserve">3</w:t>
            </w:r>
            <w:r/>
          </w:p>
        </w:tc>
      </w:tr>
      <w:tr>
        <w:trPr>
          <w:jc w:val="center"/>
          <w:trHeight w:val="1058"/>
        </w:trPr>
        <w:tc>
          <w:tcPr>
            <w:tcBorders>
              <w:left w:val="single" w:color="auto" w:sz="4" w:space="0"/>
              <w:right w:val="single" w:color="auto" w:sz="4" w:space="0"/>
            </w:tcBorders>
            <w:tcW w:w="456"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6</w:t>
            </w:r>
            <w:r/>
          </w:p>
        </w:tc>
        <w:tc>
          <w:tcPr>
            <w:tcBorders>
              <w:left w:val="single" w:color="auto" w:sz="4" w:space="0"/>
              <w:right w:val="single" w:color="auto" w:sz="4" w:space="0"/>
            </w:tcBorders>
            <w:tcW w:w="847" w:type="pct"/>
            <w:vAlign w:val="center"/>
            <w:textDirection w:val="lrTb"/>
            <w:noWrap w:val="false"/>
          </w:tcPr>
          <w:p>
            <w:pPr>
              <w:jc w:val="center"/>
              <w:spacing w:line="378" w:lineRule="exact"/>
              <w:rPr>
                <w:rFonts w:ascii="宋体" w:hAnsi="宋体" w:cs="宋体"/>
                <w:color w:val="000000"/>
              </w:rPr>
            </w:pPr>
            <w:r>
              <w:rPr>
                <w:rFonts w:ascii="宋体" w:hAnsi="宋体" w:cs="宋体"/>
                <w:color w:val="000000"/>
              </w:rPr>
              <w:t xml:space="preserve">增值服务</w:t>
            </w:r>
            <w:r/>
          </w:p>
        </w:tc>
        <w:tc>
          <w:tcPr>
            <w:tcBorders>
              <w:top w:val="single" w:color="auto" w:sz="4" w:space="0"/>
              <w:left w:val="single" w:color="auto" w:sz="4" w:space="0"/>
              <w:right w:val="single" w:color="auto" w:sz="4" w:space="0"/>
            </w:tcBorders>
            <w:tcW w:w="3268" w:type="pct"/>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投标人须提供增值服务方案，方案内容至少包含投标人在本项目基础体检套餐之外承诺免费增加的有效体检项目。评标委员会结合增值项目数量、实用性、合理性、可行性综合评审：</w:t>
            </w:r>
            <w:r/>
          </w:p>
          <w:p>
            <w:pPr>
              <w:spacing w:line="400" w:lineRule="exact"/>
              <w:rPr>
                <w:rFonts w:ascii="宋体" w:hAnsi="宋体" w:cs="宋体"/>
                <w:szCs w:val="21"/>
              </w:rPr>
            </w:pPr>
            <w:r>
              <w:rPr>
                <w:rFonts w:hint="eastAsia" w:ascii="宋体" w:hAnsi="宋体" w:cs="宋体"/>
                <w:szCs w:val="21"/>
              </w:rPr>
              <w:t xml:space="preserve">增值服务方案内容完整，免费新增体检项目实用性强、贴合教职工体检需求，可行性好，得5分；</w:t>
            </w:r>
            <w:r/>
          </w:p>
          <w:p>
            <w:pPr>
              <w:spacing w:line="400" w:lineRule="exact"/>
              <w:rPr>
                <w:rFonts w:ascii="宋体" w:hAnsi="宋体" w:cs="宋体"/>
                <w:szCs w:val="21"/>
              </w:rPr>
            </w:pPr>
            <w:r>
              <w:rPr>
                <w:rFonts w:hint="eastAsia" w:ascii="宋体" w:hAnsi="宋体" w:cs="宋体"/>
                <w:szCs w:val="21"/>
              </w:rPr>
              <w:t xml:space="preserve">增值服务方案内容较完整，免费新增体检项目具备实用性，可行性较好，得3分；</w:t>
            </w:r>
            <w:r/>
          </w:p>
          <w:p>
            <w:pPr>
              <w:spacing w:line="400" w:lineRule="exact"/>
              <w:rPr>
                <w:rFonts w:ascii="宋体" w:hAnsi="宋体" w:cs="宋体"/>
                <w:szCs w:val="21"/>
              </w:rPr>
            </w:pPr>
            <w:r>
              <w:rPr>
                <w:rFonts w:hint="eastAsia" w:ascii="宋体" w:hAnsi="宋体" w:cs="宋体"/>
                <w:szCs w:val="21"/>
              </w:rPr>
              <w:t xml:space="preserve">增值服务方案内容简略，仅少量免费新增体检项目，实用性一般，得1分；</w:t>
            </w:r>
            <w:r/>
          </w:p>
          <w:p>
            <w:pPr>
              <w:spacing w:line="400" w:lineRule="exact"/>
              <w:rPr>
                <w:rFonts w:ascii="宋体" w:hAnsi="宋体" w:cs="宋体"/>
                <w:szCs w:val="21"/>
              </w:rPr>
            </w:pPr>
            <w:r>
              <w:rPr>
                <w:rFonts w:hint="eastAsia" w:ascii="宋体" w:hAnsi="宋体" w:cs="宋体"/>
                <w:szCs w:val="21"/>
              </w:rPr>
              <w:t xml:space="preserve">未提供增值服务方案或方案无免费新增有效体检项目的，得0分。</w:t>
            </w:r>
            <w:r/>
          </w:p>
        </w:tc>
        <w:tc>
          <w:tcPr>
            <w:tcBorders>
              <w:top w:val="single" w:color="auto" w:sz="4" w:space="0"/>
              <w:left w:val="single" w:color="auto" w:sz="4" w:space="0"/>
              <w:right w:val="single" w:color="auto" w:sz="4" w:space="0"/>
            </w:tcBorders>
            <w:tcW w:w="428" w:type="pct"/>
            <w:vAlign w:val="center"/>
            <w:textDirection w:val="lrTb"/>
            <w:noWrap w:val="false"/>
          </w:tcPr>
          <w:p>
            <w:pPr>
              <w:jc w:val="center"/>
              <w:spacing w:line="300" w:lineRule="exact"/>
              <w:tabs>
                <w:tab w:val="center" w:pos="251" w:leader="none"/>
                <w:tab w:val="left" w:pos="365" w:leader="none"/>
              </w:tabs>
              <w:rPr>
                <w:rFonts w:ascii="宋体" w:hAnsi="宋体" w:cs="宋体"/>
                <w:szCs w:val="21"/>
              </w:rPr>
            </w:pPr>
            <w:r>
              <w:rPr>
                <w:rFonts w:ascii="宋体" w:hAnsi="宋体" w:cs="宋体"/>
                <w:szCs w:val="21"/>
              </w:rPr>
              <w:t xml:space="preserve">5</w:t>
            </w:r>
            <w:r/>
          </w:p>
        </w:tc>
      </w:tr>
      <w:tr>
        <w:trPr>
          <w:jc w:val="center"/>
          <w:trHeight w:val="1058"/>
        </w:trPr>
        <w:tc>
          <w:tcPr>
            <w:tcBorders>
              <w:left w:val="single" w:color="auto" w:sz="4" w:space="0"/>
              <w:right w:val="single" w:color="auto" w:sz="4" w:space="0"/>
            </w:tcBorders>
            <w:tcW w:w="456"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7</w:t>
            </w:r>
            <w:r/>
          </w:p>
        </w:tc>
        <w:tc>
          <w:tcPr>
            <w:tcBorders>
              <w:left w:val="single" w:color="auto" w:sz="4" w:space="0"/>
              <w:right w:val="single" w:color="auto" w:sz="4" w:space="0"/>
            </w:tcBorders>
            <w:tcW w:w="847" w:type="pct"/>
            <w:vAlign w:val="center"/>
            <w:textDirection w:val="lrTb"/>
            <w:noWrap w:val="false"/>
          </w:tcPr>
          <w:p>
            <w:pPr>
              <w:jc w:val="center"/>
              <w:spacing w:line="378" w:lineRule="exact"/>
              <w:rPr>
                <w:rFonts w:ascii="宋体" w:hAnsi="宋体" w:cs="宋体"/>
                <w:szCs w:val="21"/>
              </w:rPr>
            </w:pPr>
            <w:r>
              <w:rPr>
                <w:rFonts w:ascii="宋体" w:hAnsi="宋体" w:cs="宋体"/>
                <w:color w:val="000000"/>
              </w:rPr>
              <w:t xml:space="preserve">体检环境</w:t>
            </w:r>
            <w:r/>
          </w:p>
        </w:tc>
        <w:tc>
          <w:tcPr>
            <w:tcBorders>
              <w:top w:val="single" w:color="auto" w:sz="4" w:space="0"/>
              <w:left w:val="single" w:color="auto" w:sz="4" w:space="0"/>
              <w:right w:val="single" w:color="auto" w:sz="4" w:space="0"/>
            </w:tcBorders>
            <w:tcW w:w="3268" w:type="pct"/>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指专门用于本次体检场所的环境</w:t>
            </w:r>
            <w:r>
              <w:rPr>
                <w:rFonts w:hint="eastAsia" w:ascii="宋体" w:hAnsi="宋体" w:cs="宋体"/>
                <w:b/>
                <w:bCs/>
                <w:szCs w:val="21"/>
              </w:rPr>
              <w:t xml:space="preserve">（如供应商有多个体检点，则本评分表中与体检相关的信息，须由供应商确定某一个体检点为本次投标专用体检点，只针对专用体检点打分）</w:t>
            </w:r>
            <w:r>
              <w:rPr>
                <w:rFonts w:hint="eastAsia" w:ascii="宋体" w:hAnsi="宋体" w:cs="宋体"/>
                <w:szCs w:val="21"/>
              </w:rPr>
              <w:t xml:space="preserve">，供应商需提供体检中心功能布局平面图，图纸标注各功能房间长宽、面积、功能用途、候诊区位置、男女分区，明确体检中心总建筑面积等信息。评标委员会依据体检场地布局、候诊空间、功能分区、环境条件以及提供的体检早餐情况综合评审：</w:t>
            </w:r>
            <w:r/>
          </w:p>
          <w:p>
            <w:pPr>
              <w:spacing w:line="400" w:lineRule="exact"/>
              <w:rPr>
                <w:rFonts w:ascii="宋体" w:hAnsi="宋体" w:cs="宋体"/>
                <w:szCs w:val="21"/>
              </w:rPr>
            </w:pPr>
            <w:r>
              <w:rPr>
                <w:rFonts w:hint="eastAsia" w:ascii="宋体" w:hAnsi="宋体" w:cs="宋体"/>
                <w:szCs w:val="21"/>
              </w:rPr>
              <w:t xml:space="preserve">体检环境宽敞整洁、舒适美观，候诊区域充足有序，各功能分区标识清晰、布局合理，早餐种类丰富多样，得5分；</w:t>
            </w:r>
            <w:r/>
          </w:p>
          <w:p>
            <w:pPr>
              <w:spacing w:line="400" w:lineRule="exact"/>
              <w:rPr>
                <w:rFonts w:ascii="宋体" w:hAnsi="宋体" w:cs="宋体"/>
                <w:szCs w:val="21"/>
              </w:rPr>
            </w:pPr>
            <w:r>
              <w:rPr>
                <w:rFonts w:hint="eastAsia" w:ascii="宋体" w:hAnsi="宋体" w:cs="宋体"/>
                <w:szCs w:val="21"/>
              </w:rPr>
              <w:t xml:space="preserve">体检环境较为宽敞整洁，功能区域划分明确，候诊环境舒适性较好，早餐种类较丰富，得3分；</w:t>
            </w:r>
            <w:r/>
          </w:p>
          <w:p>
            <w:pPr>
              <w:spacing w:line="400" w:lineRule="exact"/>
              <w:rPr>
                <w:rFonts w:ascii="宋体" w:hAnsi="宋体" w:cs="宋体"/>
                <w:szCs w:val="21"/>
              </w:rPr>
            </w:pPr>
            <w:r>
              <w:rPr>
                <w:rFonts w:hint="eastAsia" w:ascii="宋体" w:hAnsi="宋体" w:cs="宋体"/>
                <w:szCs w:val="21"/>
              </w:rPr>
              <w:t xml:space="preserve">体检场地空间狭小，候诊区域不足，难以满足大批量人员集中体检需求，早餐种类单一，得1分；</w:t>
            </w:r>
            <w:r/>
          </w:p>
          <w:p>
            <w:pPr>
              <w:spacing w:line="400" w:lineRule="exact"/>
              <w:rPr>
                <w:rFonts w:ascii="宋体" w:hAnsi="宋体" w:cs="宋体"/>
                <w:szCs w:val="21"/>
              </w:rPr>
            </w:pPr>
            <w:r>
              <w:rPr>
                <w:rFonts w:hint="eastAsia" w:ascii="宋体" w:hAnsi="宋体" w:cs="宋体"/>
                <w:szCs w:val="21"/>
              </w:rPr>
              <w:t xml:space="preserve">未按要求提供的，本项不得分。</w:t>
            </w:r>
            <w:r/>
          </w:p>
        </w:tc>
        <w:tc>
          <w:tcPr>
            <w:tcBorders>
              <w:top w:val="single" w:color="auto" w:sz="4" w:space="0"/>
              <w:left w:val="single" w:color="auto" w:sz="4" w:space="0"/>
              <w:right w:val="single" w:color="auto" w:sz="4" w:space="0"/>
            </w:tcBorders>
            <w:tcW w:w="428" w:type="pct"/>
            <w:vAlign w:val="center"/>
            <w:textDirection w:val="lrTb"/>
            <w:noWrap w:val="false"/>
          </w:tcPr>
          <w:p>
            <w:pPr>
              <w:jc w:val="center"/>
              <w:spacing w:line="300" w:lineRule="exact"/>
              <w:tabs>
                <w:tab w:val="center" w:pos="251" w:leader="none"/>
                <w:tab w:val="left" w:pos="365" w:leader="none"/>
              </w:tabs>
              <w:rPr>
                <w:rFonts w:ascii="宋体" w:hAnsi="宋体" w:cs="宋体"/>
                <w:szCs w:val="21"/>
              </w:rPr>
            </w:pPr>
            <w:r>
              <w:rPr>
                <w:rFonts w:hint="eastAsia" w:ascii="宋体" w:hAnsi="宋体" w:cs="宋体"/>
                <w:szCs w:val="21"/>
              </w:rPr>
              <w:t xml:space="preserve">5</w:t>
            </w:r>
            <w:r/>
          </w:p>
        </w:tc>
      </w:tr>
      <w:tr>
        <w:trPr>
          <w:jc w:val="center"/>
          <w:trHeight w:val="557"/>
        </w:trPr>
        <w:tc>
          <w:tcPr>
            <w:tcBorders>
              <w:left w:val="single" w:color="auto" w:sz="4" w:space="0"/>
              <w:right w:val="single" w:color="auto" w:sz="4" w:space="0"/>
            </w:tcBorders>
            <w:tcW w:w="456"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8</w:t>
            </w:r>
            <w:r/>
          </w:p>
        </w:tc>
        <w:tc>
          <w:tcPr>
            <w:tcBorders>
              <w:left w:val="single" w:color="auto" w:sz="4" w:space="0"/>
              <w:right w:val="single" w:color="auto" w:sz="4" w:space="0"/>
            </w:tcBorders>
            <w:tcW w:w="847" w:type="pct"/>
            <w:vAlign w:val="center"/>
            <w:textDirection w:val="lrTb"/>
            <w:noWrap w:val="false"/>
          </w:tcPr>
          <w:p>
            <w:pPr>
              <w:jc w:val="center"/>
              <w:spacing w:line="378" w:lineRule="exact"/>
              <w:rPr>
                <w:rFonts w:ascii="宋体" w:hAnsi="宋体" w:cs="宋体"/>
                <w:szCs w:val="21"/>
              </w:rPr>
            </w:pPr>
            <w:r>
              <w:rPr>
                <w:rFonts w:ascii="宋体" w:hAnsi="宋体" w:cs="宋体"/>
                <w:color w:val="000000"/>
              </w:rPr>
              <w:t xml:space="preserve">体检流程、质量控制方案</w:t>
            </w:r>
            <w:r/>
          </w:p>
        </w:tc>
        <w:tc>
          <w:tcPr>
            <w:tcBorders>
              <w:top w:val="single" w:color="auto" w:sz="4" w:space="0"/>
              <w:left w:val="single" w:color="auto" w:sz="4" w:space="0"/>
              <w:right w:val="single" w:color="auto" w:sz="4" w:space="0"/>
            </w:tcBorders>
            <w:tcW w:w="3268" w:type="pct"/>
            <w:textDirection w:val="lrTb"/>
            <w:noWrap w:val="false"/>
          </w:tcPr>
          <w:p>
            <w:pPr>
              <w:spacing w:line="400" w:lineRule="exact"/>
              <w:rPr>
                <w:rFonts w:ascii="宋体" w:hAnsi="宋体" w:cs="宋体"/>
                <w:color w:val="000000"/>
              </w:rPr>
            </w:pPr>
            <w:r>
              <w:rPr>
                <w:rFonts w:hint="eastAsia" w:ascii="宋体" w:hAnsi="宋体" w:cs="宋体"/>
                <w:color w:val="000000"/>
              </w:rPr>
              <w:t xml:space="preserve">投标人须提供体检服务流程及质量控制方案。评标委员会对方案完整性、流程规范性、质控措施科学性综合评审：</w:t>
            </w:r>
            <w:r/>
          </w:p>
          <w:p>
            <w:pPr>
              <w:spacing w:line="400" w:lineRule="exact"/>
              <w:rPr>
                <w:rFonts w:ascii="宋体" w:hAnsi="宋体" w:cs="宋体"/>
                <w:color w:val="000000"/>
              </w:rPr>
            </w:pPr>
            <w:r>
              <w:rPr>
                <w:rFonts w:ascii="宋体" w:hAnsi="宋体" w:cs="宋体"/>
                <w:color w:val="000000"/>
              </w:rPr>
              <w:t xml:space="preserve">体检流程规范完整，放射诊疗检查时，对受检者邻近照射野的敏感器官和组织屏蔽防护措施</w:t>
            </w:r>
            <w:r>
              <w:rPr>
                <w:rFonts w:hint="eastAsia" w:ascii="宋体" w:hAnsi="宋体" w:cs="宋体"/>
                <w:color w:val="000000"/>
              </w:rPr>
              <w:t xml:space="preserve">准确</w:t>
            </w:r>
            <w:r>
              <w:rPr>
                <w:rFonts w:ascii="宋体" w:hAnsi="宋体" w:cs="宋体"/>
                <w:color w:val="000000"/>
              </w:rPr>
              <w:t xml:space="preserve">到位</w:t>
            </w:r>
            <w:r>
              <w:rPr>
                <w:rFonts w:hint="eastAsia" w:ascii="宋体" w:hAnsi="宋体" w:cs="宋体"/>
                <w:color w:val="000000"/>
              </w:rPr>
              <w:t xml:space="preserve">，</w:t>
            </w:r>
            <w:r>
              <w:rPr>
                <w:rFonts w:ascii="宋体" w:hAnsi="宋体" w:cs="宋体"/>
                <w:color w:val="000000"/>
              </w:rPr>
              <w:t xml:space="preserve">质量控制方案科学合理、措施详实，得10分；</w:t>
            </w:r>
            <w:r/>
          </w:p>
          <w:p>
            <w:pPr>
              <w:spacing w:line="400" w:lineRule="exact"/>
              <w:rPr>
                <w:rFonts w:ascii="宋体" w:hAnsi="宋体" w:cs="宋体"/>
                <w:color w:val="000000"/>
              </w:rPr>
            </w:pPr>
            <w:r>
              <w:rPr>
                <w:rFonts w:ascii="宋体" w:hAnsi="宋体" w:cs="宋体"/>
                <w:color w:val="000000"/>
              </w:rPr>
              <w:t xml:space="preserve">体检流程规范，放射诊疗检查时，对受检者邻近照射野的敏感器官和组织屏蔽防护措施</w:t>
            </w:r>
            <w:r>
              <w:rPr>
                <w:rFonts w:hint="eastAsia" w:ascii="宋体" w:hAnsi="宋体" w:cs="宋体"/>
                <w:color w:val="000000"/>
              </w:rPr>
              <w:t xml:space="preserve">规范，</w:t>
            </w:r>
            <w:r>
              <w:rPr>
                <w:rFonts w:ascii="宋体" w:hAnsi="宋体" w:cs="宋体"/>
                <w:color w:val="000000"/>
              </w:rPr>
              <w:t xml:space="preserve">质量控制方案较为科学、措施较完善，得7分；</w:t>
            </w:r>
            <w:r/>
          </w:p>
          <w:p>
            <w:pPr>
              <w:spacing w:line="400" w:lineRule="exact"/>
              <w:rPr>
                <w:rFonts w:ascii="宋体" w:hAnsi="宋体" w:cs="宋体"/>
                <w:color w:val="000000"/>
              </w:rPr>
            </w:pPr>
            <w:r>
              <w:rPr>
                <w:rFonts w:ascii="宋体" w:hAnsi="宋体" w:cs="宋体"/>
                <w:color w:val="000000"/>
              </w:rPr>
              <w:t xml:space="preserve">体检流程较规范，放射诊疗检查时，对受检者邻近照射野的敏感器官和组织屏蔽防护措施</w:t>
            </w:r>
            <w:r>
              <w:rPr>
                <w:rFonts w:hint="eastAsia" w:ascii="宋体" w:hAnsi="宋体" w:cs="宋体"/>
                <w:color w:val="000000"/>
              </w:rPr>
              <w:t xml:space="preserve">较规范</w:t>
            </w:r>
            <w:r>
              <w:rPr>
                <w:rFonts w:ascii="宋体" w:hAnsi="宋体" w:cs="宋体"/>
                <w:color w:val="000000"/>
              </w:rPr>
              <w:t xml:space="preserve">，质量控制方案较为科学，核心质控措施基本齐全，得4分；</w:t>
            </w:r>
            <w:r/>
          </w:p>
          <w:p>
            <w:pPr>
              <w:spacing w:line="400" w:lineRule="exact"/>
              <w:rPr>
                <w:rFonts w:ascii="宋体" w:hAnsi="宋体" w:cs="宋体"/>
                <w:color w:val="000000"/>
              </w:rPr>
            </w:pPr>
            <w:r>
              <w:rPr>
                <w:rFonts w:ascii="宋体" w:hAnsi="宋体" w:cs="宋体"/>
                <w:color w:val="000000"/>
              </w:rPr>
              <w:t xml:space="preserve">体检流程规范性一般，放射诊疗检查时，对受检者邻近照射野的敏感器官和组织屏蔽防护措施</w:t>
            </w:r>
            <w:r>
              <w:rPr>
                <w:rFonts w:hint="eastAsia" w:ascii="宋体" w:hAnsi="宋体" w:cs="宋体"/>
                <w:color w:val="000000"/>
              </w:rPr>
              <w:t xml:space="preserve">一般</w:t>
            </w:r>
            <w:r>
              <w:rPr>
                <w:rFonts w:ascii="宋体" w:hAnsi="宋体" w:cs="宋体"/>
                <w:color w:val="000000"/>
              </w:rPr>
              <w:t xml:space="preserve">，质量控制方案科学性一般，内容简略，得1分；</w:t>
            </w:r>
            <w:r/>
          </w:p>
          <w:p>
            <w:pPr>
              <w:spacing w:line="400" w:lineRule="exact"/>
              <w:rPr>
                <w:rFonts w:ascii="宋体" w:hAnsi="宋体" w:cs="宋体"/>
                <w:szCs w:val="21"/>
              </w:rPr>
            </w:pPr>
            <w:r>
              <w:rPr>
                <w:rFonts w:ascii="宋体" w:hAnsi="宋体" w:cs="宋体"/>
                <w:color w:val="000000"/>
              </w:rPr>
              <w:t xml:space="preserve">未提供本项资料的，本项不得分。</w:t>
            </w:r>
            <w:r/>
          </w:p>
        </w:tc>
        <w:tc>
          <w:tcPr>
            <w:tcBorders>
              <w:top w:val="single" w:color="auto" w:sz="4" w:space="0"/>
              <w:left w:val="single" w:color="auto" w:sz="4" w:space="0"/>
              <w:right w:val="single" w:color="auto" w:sz="4" w:space="0"/>
            </w:tcBorders>
            <w:tcW w:w="428" w:type="pct"/>
            <w:vAlign w:val="center"/>
            <w:textDirection w:val="lrTb"/>
            <w:noWrap w:val="false"/>
          </w:tcPr>
          <w:p>
            <w:pPr>
              <w:jc w:val="center"/>
              <w:spacing w:line="300" w:lineRule="exact"/>
              <w:tabs>
                <w:tab w:val="center" w:pos="251" w:leader="none"/>
                <w:tab w:val="left" w:pos="365" w:leader="none"/>
              </w:tabs>
              <w:rPr>
                <w:rFonts w:ascii="宋体" w:hAnsi="宋体" w:cs="宋体"/>
                <w:szCs w:val="21"/>
              </w:rPr>
            </w:pPr>
            <w:r>
              <w:rPr>
                <w:rFonts w:ascii="宋体" w:hAnsi="宋体" w:cs="宋体"/>
                <w:szCs w:val="21"/>
              </w:rPr>
              <w:t xml:space="preserve">10</w:t>
            </w:r>
            <w:r/>
          </w:p>
        </w:tc>
      </w:tr>
      <w:tr>
        <w:trPr>
          <w:jc w:val="center"/>
          <w:trHeight w:val="1058"/>
        </w:trPr>
        <w:tc>
          <w:tcPr>
            <w:tcBorders>
              <w:left w:val="single" w:color="auto" w:sz="4" w:space="0"/>
              <w:right w:val="single" w:color="auto" w:sz="4" w:space="0"/>
            </w:tcBorders>
            <w:tcW w:w="456"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9</w:t>
            </w:r>
            <w:r/>
          </w:p>
        </w:tc>
        <w:tc>
          <w:tcPr>
            <w:tcBorders>
              <w:left w:val="single" w:color="auto" w:sz="4" w:space="0"/>
              <w:right w:val="single" w:color="auto" w:sz="4" w:space="0"/>
            </w:tcBorders>
            <w:tcW w:w="847" w:type="pct"/>
            <w:vAlign w:val="center"/>
            <w:textDirection w:val="lrTb"/>
            <w:noWrap w:val="false"/>
          </w:tcPr>
          <w:p>
            <w:pPr>
              <w:jc w:val="center"/>
              <w:spacing w:line="378" w:lineRule="exact"/>
              <w:rPr>
                <w:rFonts w:ascii="宋体" w:hAnsi="宋体" w:cs="宋体"/>
                <w:szCs w:val="21"/>
              </w:rPr>
            </w:pPr>
            <w:r>
              <w:rPr>
                <w:rFonts w:ascii="宋体" w:hAnsi="宋体" w:cs="宋体"/>
                <w:color w:val="000000"/>
              </w:rPr>
              <w:t xml:space="preserve">大流量应对方案</w:t>
            </w:r>
            <w:r/>
          </w:p>
        </w:tc>
        <w:tc>
          <w:tcPr>
            <w:tcBorders>
              <w:top w:val="single" w:color="auto" w:sz="4" w:space="0"/>
              <w:left w:val="single" w:color="auto" w:sz="4" w:space="0"/>
              <w:right w:val="single" w:color="auto" w:sz="4" w:space="0"/>
            </w:tcBorders>
            <w:tcW w:w="3268" w:type="pct"/>
            <w:textDirection w:val="lrTb"/>
            <w:noWrap w:val="false"/>
          </w:tcPr>
          <w:p>
            <w:pPr>
              <w:spacing w:line="400" w:lineRule="exact"/>
              <w:rPr>
                <w:rFonts w:ascii="宋体" w:hAnsi="宋体" w:cs="宋体"/>
                <w:color w:val="000000"/>
              </w:rPr>
            </w:pPr>
            <w:r>
              <w:rPr>
                <w:rFonts w:ascii="宋体" w:hAnsi="宋体" w:cs="宋体"/>
                <w:color w:val="000000"/>
              </w:rPr>
              <w:t xml:space="preserve">投标人须针对本项目教职工集中体检、大流量参检特点，制定专项人群分流及应急应对方案。评标委员会结合方案针对性、合理性及实操性综合评审：</w:t>
            </w:r>
            <w:r/>
          </w:p>
          <w:p>
            <w:pPr>
              <w:spacing w:line="400" w:lineRule="exact"/>
              <w:rPr>
                <w:rFonts w:ascii="宋体" w:hAnsi="宋体" w:cs="宋体"/>
                <w:color w:val="000000"/>
              </w:rPr>
            </w:pPr>
            <w:r>
              <w:rPr>
                <w:rFonts w:ascii="宋体" w:hAnsi="宋体" w:cs="宋体"/>
                <w:color w:val="000000"/>
              </w:rPr>
              <w:t xml:space="preserve">大流量体检应对方案贴合项目实际、科学合理，分流疏导、错峰体检、人员管控、应急保障等措施完善，可落地操作性强，得5分；</w:t>
            </w:r>
            <w:r/>
          </w:p>
          <w:p>
            <w:pPr>
              <w:spacing w:line="400" w:lineRule="exact"/>
              <w:rPr>
                <w:rFonts w:ascii="宋体" w:hAnsi="宋体" w:cs="宋体"/>
                <w:color w:val="000000"/>
              </w:rPr>
            </w:pPr>
            <w:r>
              <w:rPr>
                <w:rFonts w:ascii="宋体" w:hAnsi="宋体" w:cs="宋体"/>
                <w:color w:val="000000"/>
              </w:rPr>
              <w:t xml:space="preserve">大流量体检应对方案整体合理，核心保障措施齐全，具备较强的落地操作性，得3分；</w:t>
            </w:r>
            <w:r/>
          </w:p>
          <w:p>
            <w:pPr>
              <w:spacing w:line="400" w:lineRule="exact"/>
              <w:rPr>
                <w:rFonts w:ascii="宋体" w:hAnsi="宋体" w:cs="宋体"/>
                <w:color w:val="000000"/>
              </w:rPr>
            </w:pPr>
            <w:r>
              <w:rPr>
                <w:rFonts w:ascii="宋体" w:hAnsi="宋体" w:cs="宋体"/>
                <w:color w:val="000000"/>
              </w:rPr>
              <w:t xml:space="preserve">大流量体检应对方案内容较为简单、设计常规，管控及分流措施不完善，易出现人员拥堵、体检秩序混乱等问题，得1分；</w:t>
            </w:r>
            <w:r/>
          </w:p>
          <w:p>
            <w:pPr>
              <w:spacing w:line="400" w:lineRule="exact"/>
              <w:rPr>
                <w:rFonts w:ascii="宋体" w:hAnsi="宋体" w:cs="宋体"/>
                <w:szCs w:val="21"/>
              </w:rPr>
            </w:pPr>
            <w:r>
              <w:rPr>
                <w:rFonts w:ascii="宋体" w:hAnsi="宋体" w:cs="宋体"/>
                <w:color w:val="000000"/>
              </w:rPr>
              <w:t xml:space="preserve">未提供专项应对方案的，本项不得分。</w:t>
            </w:r>
            <w:r/>
          </w:p>
        </w:tc>
        <w:tc>
          <w:tcPr>
            <w:tcBorders>
              <w:top w:val="single" w:color="auto" w:sz="4" w:space="0"/>
              <w:left w:val="single" w:color="auto" w:sz="4" w:space="0"/>
              <w:right w:val="single" w:color="auto" w:sz="4" w:space="0"/>
            </w:tcBorders>
            <w:tcW w:w="428" w:type="pct"/>
            <w:vAlign w:val="center"/>
            <w:textDirection w:val="lrTb"/>
            <w:noWrap w:val="false"/>
          </w:tcPr>
          <w:p>
            <w:pPr>
              <w:jc w:val="center"/>
              <w:spacing w:line="300" w:lineRule="exact"/>
              <w:tabs>
                <w:tab w:val="center" w:pos="251" w:leader="none"/>
                <w:tab w:val="left" w:pos="365" w:leader="none"/>
              </w:tabs>
              <w:rPr>
                <w:rFonts w:ascii="宋体" w:hAnsi="宋体" w:cs="宋体"/>
                <w:szCs w:val="21"/>
              </w:rPr>
            </w:pPr>
            <w:r>
              <w:rPr>
                <w:rFonts w:hint="eastAsia" w:ascii="宋体" w:hAnsi="宋体" w:cs="宋体"/>
                <w:szCs w:val="21"/>
              </w:rPr>
              <w:t xml:space="preserve">5</w:t>
            </w:r>
            <w:r/>
          </w:p>
        </w:tc>
      </w:tr>
      <w:tr>
        <w:trPr>
          <w:jc w:val="center"/>
          <w:trHeight w:val="1058"/>
        </w:trPr>
        <w:tc>
          <w:tcPr>
            <w:tcBorders>
              <w:left w:val="single" w:color="auto" w:sz="4" w:space="0"/>
              <w:right w:val="single" w:color="auto" w:sz="4" w:space="0"/>
            </w:tcBorders>
            <w:tcW w:w="456"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10</w:t>
            </w:r>
            <w:r/>
          </w:p>
        </w:tc>
        <w:tc>
          <w:tcPr>
            <w:tcBorders>
              <w:left w:val="single" w:color="auto" w:sz="4" w:space="0"/>
              <w:right w:val="single" w:color="auto" w:sz="4" w:space="0"/>
            </w:tcBorders>
            <w:tcW w:w="847" w:type="pct"/>
            <w:vAlign w:val="center"/>
            <w:textDirection w:val="lrTb"/>
            <w:noWrap w:val="false"/>
          </w:tcPr>
          <w:p>
            <w:pPr>
              <w:jc w:val="center"/>
              <w:spacing w:line="378" w:lineRule="exact"/>
              <w:rPr>
                <w:rFonts w:ascii="宋体" w:hAnsi="宋体" w:cs="宋体"/>
                <w:szCs w:val="21"/>
              </w:rPr>
            </w:pPr>
            <w:r>
              <w:rPr>
                <w:rFonts w:ascii="宋体" w:hAnsi="宋体" w:cs="宋体"/>
                <w:color w:val="000000"/>
              </w:rPr>
              <w:t xml:space="preserve">体检报告解读、健康指导、转诊建议</w:t>
            </w:r>
            <w:r/>
          </w:p>
        </w:tc>
        <w:tc>
          <w:tcPr>
            <w:tcBorders>
              <w:top w:val="single" w:color="auto" w:sz="4" w:space="0"/>
              <w:left w:val="single" w:color="auto" w:sz="4" w:space="0"/>
              <w:right w:val="single" w:color="auto" w:sz="4" w:space="0"/>
            </w:tcBorders>
            <w:tcW w:w="3268" w:type="pct"/>
            <w:textDirection w:val="lrTb"/>
            <w:noWrap w:val="false"/>
          </w:tcPr>
          <w:p>
            <w:pPr>
              <w:spacing w:line="400" w:lineRule="exact"/>
              <w:rPr>
                <w:rFonts w:ascii="宋体" w:hAnsi="宋体" w:cs="宋体"/>
                <w:color w:val="000000"/>
              </w:rPr>
            </w:pPr>
            <w:r>
              <w:rPr>
                <w:rFonts w:ascii="宋体" w:hAnsi="宋体" w:cs="宋体"/>
                <w:color w:val="000000"/>
              </w:rPr>
              <w:t xml:space="preserve">投标人须提供完整的体检报告解读、健康科普指导、异常指标转诊建议专项方案，并承诺安排专业专家上门开展一对一体检报告解读服务。评标委员会结合方案完整性、科学性、针对性及落地性综合评审：</w:t>
            </w:r>
            <w:r/>
          </w:p>
          <w:p>
            <w:pPr>
              <w:spacing w:line="400" w:lineRule="exact"/>
              <w:rPr>
                <w:rFonts w:ascii="宋体" w:hAnsi="宋体" w:cs="宋体"/>
                <w:color w:val="000000"/>
              </w:rPr>
            </w:pPr>
            <w:r>
              <w:rPr>
                <w:rFonts w:ascii="宋体" w:hAnsi="宋体" w:cs="宋体"/>
                <w:color w:val="000000"/>
              </w:rPr>
              <w:t xml:space="preserve">方案体系完整、科学规范，报告解读、健康指导、转诊闭环服务内容详实，上门一对一专家解读服务</w:t>
            </w:r>
            <w:r>
              <w:rPr>
                <w:rFonts w:hint="eastAsia" w:ascii="宋体" w:hAnsi="宋体" w:cs="宋体"/>
                <w:color w:val="000000"/>
              </w:rPr>
              <w:t xml:space="preserve">次数不少于2次/年，</w:t>
            </w:r>
            <w:r>
              <w:rPr>
                <w:rFonts w:ascii="宋体" w:hAnsi="宋体" w:cs="宋体"/>
                <w:color w:val="000000"/>
              </w:rPr>
              <w:t xml:space="preserve">完全贴合教职工健康服务需求，得3分；</w:t>
            </w:r>
            <w:r/>
          </w:p>
          <w:p>
            <w:pPr>
              <w:spacing w:line="400" w:lineRule="exact"/>
              <w:rPr>
                <w:rFonts w:ascii="宋体" w:hAnsi="宋体" w:cs="宋体"/>
                <w:color w:val="000000"/>
              </w:rPr>
            </w:pPr>
            <w:r>
              <w:rPr>
                <w:rFonts w:ascii="宋体" w:hAnsi="宋体" w:cs="宋体"/>
                <w:color w:val="000000"/>
              </w:rPr>
              <w:t xml:space="preserve">方案内容较完整、科学合理，涵盖核心报告解读、健康指导及转诊服务，上门专家解读服务</w:t>
            </w:r>
            <w:r>
              <w:rPr>
                <w:rFonts w:hint="eastAsia" w:ascii="宋体" w:hAnsi="宋体" w:cs="宋体"/>
                <w:color w:val="000000"/>
              </w:rPr>
              <w:t xml:space="preserve">次数不少于</w:t>
            </w:r>
            <w:r>
              <w:rPr>
                <w:rFonts w:ascii="宋体" w:hAnsi="宋体" w:cs="宋体"/>
                <w:color w:val="000000"/>
              </w:rPr>
              <w:t xml:space="preserve">1</w:t>
            </w:r>
            <w:r>
              <w:rPr>
                <w:rFonts w:hint="eastAsia" w:ascii="宋体" w:hAnsi="宋体" w:cs="宋体"/>
                <w:color w:val="000000"/>
              </w:rPr>
              <w:t xml:space="preserve">次/年</w:t>
            </w:r>
            <w:r>
              <w:rPr>
                <w:rFonts w:ascii="宋体" w:hAnsi="宋体" w:cs="宋体"/>
                <w:color w:val="000000"/>
              </w:rPr>
              <w:t xml:space="preserve">，可满足项目基本服务需求，得2分；</w:t>
            </w:r>
            <w:r/>
          </w:p>
          <w:p>
            <w:pPr>
              <w:spacing w:line="400" w:lineRule="exact"/>
              <w:rPr>
                <w:rFonts w:ascii="宋体" w:hAnsi="宋体" w:cs="宋体"/>
                <w:color w:val="000000"/>
              </w:rPr>
            </w:pPr>
            <w:r>
              <w:rPr>
                <w:rFonts w:ascii="宋体" w:hAnsi="宋体" w:cs="宋体"/>
                <w:color w:val="000000"/>
              </w:rPr>
              <w:t xml:space="preserve">方案内容简略、完整性不足，服务流程及保障措施较为单一，整体科学合理性一般，仅能满足基础服务需求，得1分；</w:t>
            </w:r>
            <w:r/>
          </w:p>
          <w:p>
            <w:pPr>
              <w:spacing w:line="400" w:lineRule="exact"/>
              <w:rPr>
                <w:rFonts w:ascii="宋体" w:hAnsi="宋体" w:cs="宋体"/>
                <w:szCs w:val="21"/>
              </w:rPr>
            </w:pPr>
            <w:r>
              <w:rPr>
                <w:rFonts w:ascii="宋体" w:hAnsi="宋体" w:cs="宋体"/>
                <w:color w:val="000000"/>
              </w:rPr>
              <w:t xml:space="preserve">未提供本项专项服务方案的，本项不得分。</w:t>
            </w:r>
            <w:r/>
          </w:p>
        </w:tc>
        <w:tc>
          <w:tcPr>
            <w:tcBorders>
              <w:top w:val="single" w:color="auto" w:sz="4" w:space="0"/>
              <w:left w:val="single" w:color="auto" w:sz="4" w:space="0"/>
              <w:right w:val="single" w:color="auto" w:sz="4" w:space="0"/>
            </w:tcBorders>
            <w:tcW w:w="428" w:type="pct"/>
            <w:vAlign w:val="center"/>
            <w:textDirection w:val="lrTb"/>
            <w:noWrap w:val="false"/>
          </w:tcPr>
          <w:p>
            <w:pPr>
              <w:jc w:val="center"/>
              <w:spacing w:line="300" w:lineRule="exact"/>
              <w:tabs>
                <w:tab w:val="center" w:pos="251" w:leader="none"/>
                <w:tab w:val="left" w:pos="365" w:leader="none"/>
              </w:tabs>
              <w:rPr>
                <w:rFonts w:ascii="宋体" w:hAnsi="宋体" w:cs="宋体"/>
                <w:szCs w:val="21"/>
              </w:rPr>
            </w:pPr>
            <w:r>
              <w:rPr>
                <w:rFonts w:ascii="宋体" w:hAnsi="宋体" w:cs="宋体"/>
                <w:szCs w:val="21"/>
              </w:rPr>
              <w:t xml:space="preserve">3</w:t>
            </w:r>
            <w:r/>
          </w:p>
        </w:tc>
      </w:tr>
      <w:tr>
        <w:trPr>
          <w:jc w:val="center"/>
          <w:trHeight w:val="724"/>
        </w:trPr>
        <w:tc>
          <w:tcPr>
            <w:tcBorders>
              <w:left w:val="single" w:color="auto" w:sz="4" w:space="0"/>
              <w:right w:val="single" w:color="auto" w:sz="4" w:space="0"/>
            </w:tcBorders>
            <w:tcW w:w="456" w:type="pct"/>
            <w:vAlign w:val="center"/>
            <w:textDirection w:val="lrTb"/>
            <w:noWrap w:val="false"/>
          </w:tcPr>
          <w:p>
            <w:pPr>
              <w:jc w:val="center"/>
              <w:spacing w:line="300" w:lineRule="exact"/>
              <w:rPr>
                <w:rFonts w:ascii="宋体" w:hAnsi="宋体" w:cs="宋体"/>
                <w:szCs w:val="21"/>
              </w:rPr>
            </w:pPr>
            <w:r>
              <w:rPr>
                <w:rFonts w:ascii="宋体" w:hAnsi="宋体" w:cs="宋体"/>
                <w:szCs w:val="21"/>
              </w:rPr>
            </w:r>
            <w:r/>
          </w:p>
        </w:tc>
        <w:tc>
          <w:tcPr>
            <w:gridSpan w:val="2"/>
            <w:tcBorders>
              <w:left w:val="single" w:color="auto" w:sz="4" w:space="0"/>
              <w:right w:val="single" w:color="auto" w:sz="4" w:space="0"/>
            </w:tcBorders>
            <w:tcW w:w="4115"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合计</w:t>
            </w:r>
            <w:r/>
          </w:p>
        </w:tc>
        <w:tc>
          <w:tcPr>
            <w:tcBorders>
              <w:left w:val="single" w:color="auto" w:sz="4" w:space="0"/>
              <w:right w:val="single" w:color="auto" w:sz="4" w:space="0"/>
            </w:tcBorders>
            <w:tcW w:w="428"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100</w:t>
            </w:r>
            <w:r/>
          </w:p>
        </w:tc>
      </w:tr>
    </w:tbl>
    <w:p>
      <w:pPr>
        <w:ind w:left="420" w:firstLine="420"/>
        <w:spacing w:line="360" w:lineRule="auto"/>
        <w:tabs>
          <w:tab w:val="left" w:pos="960" w:leader="none"/>
        </w:tabs>
        <w:rPr>
          <w:rFonts w:ascii="宋体" w:hAnsi="宋体" w:cs="宋体"/>
        </w:rPr>
      </w:pPr>
      <w:r>
        <w:rPr>
          <w:rFonts w:ascii="宋体" w:hAnsi="宋体" w:cs="宋体"/>
        </w:rPr>
      </w:r>
      <w:r/>
    </w:p>
    <w:p>
      <w:pPr>
        <w:ind w:firstLine="420"/>
        <w:rPr>
          <w:rFonts w:ascii="宋体" w:hAnsi="宋体" w:cs="宋体"/>
          <w:bCs/>
          <w:szCs w:val="21"/>
        </w:rPr>
      </w:pPr>
      <w:r>
        <w:rPr>
          <w:rFonts w:hint="eastAsia" w:ascii="宋体" w:hAnsi="宋体" w:cs="宋体"/>
          <w:bCs/>
          <w:szCs w:val="21"/>
        </w:rPr>
        <w:t xml:space="preserve">说明：</w:t>
      </w:r>
      <w:r/>
    </w:p>
    <w:p>
      <w:pPr>
        <w:ind w:firstLine="420"/>
        <w:rPr>
          <w:rFonts w:ascii="宋体" w:hAnsi="宋体" w:cs="宋体"/>
          <w:bCs/>
          <w:szCs w:val="21"/>
        </w:rPr>
      </w:pPr>
      <w:r>
        <w:rPr>
          <w:rFonts w:hint="eastAsia" w:ascii="宋体" w:hAnsi="宋体" w:cs="宋体"/>
          <w:bCs/>
          <w:szCs w:val="21"/>
        </w:rPr>
        <w:t xml:space="preserve">1.所有认证、证明和业绩均以有效清晰的证明文件的复印件为依据，原件备查。</w:t>
      </w:r>
      <w:r/>
    </w:p>
    <w:p>
      <w:pPr>
        <w:ind w:firstLine="420"/>
        <w:spacing w:line="360" w:lineRule="auto"/>
        <w:rPr>
          <w:rFonts w:ascii="宋体" w:hAnsi="宋体" w:cs="宋体"/>
          <w:bCs/>
          <w:szCs w:val="21"/>
        </w:rPr>
      </w:pPr>
      <w:r>
        <w:rPr>
          <w:rFonts w:hint="eastAsia" w:ascii="宋体" w:hAnsi="宋体" w:cs="宋体"/>
          <w:bCs/>
          <w:szCs w:val="21"/>
        </w:rPr>
        <w:t xml:space="preserve">2.小微企业价格扣除</w:t>
      </w:r>
      <w:r/>
    </w:p>
    <w:p>
      <w:pPr>
        <w:ind w:firstLine="420"/>
        <w:spacing w:line="360" w:lineRule="auto"/>
        <w:rPr>
          <w:rFonts w:ascii="宋体" w:hAnsi="宋体" w:cs="宋体"/>
          <w:bCs/>
          <w:szCs w:val="21"/>
        </w:rPr>
      </w:pPr>
      <w:r>
        <w:rPr>
          <w:rFonts w:hint="eastAsia" w:ascii="宋体" w:hAnsi="宋体" w:cs="宋体"/>
          <w:bCs/>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0"/>
        <w:spacing w:line="360" w:lineRule="auto"/>
        <w:rPr>
          <w:rFonts w:ascii="宋体" w:hAnsi="宋体" w:cs="宋体"/>
          <w:bCs/>
          <w:szCs w:val="21"/>
        </w:rPr>
      </w:pPr>
      <w:r>
        <w:rPr>
          <w:rFonts w:hint="eastAsia" w:ascii="宋体" w:hAnsi="宋体" w:cs="宋体"/>
          <w:bCs/>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spacing w:line="360" w:lineRule="auto"/>
        <w:rPr>
          <w:rFonts w:ascii="宋体" w:hAnsi="宋体" w:cs="宋体"/>
          <w:bCs/>
          <w:szCs w:val="21"/>
        </w:rPr>
      </w:pPr>
      <w:r>
        <w:rPr>
          <w:rFonts w:hint="eastAsia" w:ascii="宋体" w:hAnsi="宋体" w:cs="宋体"/>
          <w:bCs/>
          <w:szCs w:val="21"/>
        </w:rPr>
        <w:t xml:space="preserve">3.监狱和戒毒企业的价格扣除</w:t>
      </w:r>
      <w:r/>
    </w:p>
    <w:p>
      <w:pPr>
        <w:ind w:firstLine="420"/>
        <w:spacing w:line="360" w:lineRule="auto"/>
        <w:rPr>
          <w:rFonts w:ascii="宋体" w:hAnsi="宋体" w:cs="宋体"/>
          <w:bCs/>
          <w:szCs w:val="21"/>
        </w:rPr>
      </w:pPr>
      <w:r>
        <w:rPr>
          <w:rFonts w:hint="eastAsia" w:ascii="宋体" w:hAnsi="宋体" w:cs="宋体"/>
          <w:bCs/>
          <w:szCs w:val="21"/>
        </w:rPr>
        <w:t xml:space="preserve">3.1 本项目对监狱和戒毒企业，给予10%的价格扣除，用扣除后的价格参与评审。</w:t>
      </w:r>
      <w:r/>
    </w:p>
    <w:p>
      <w:pPr>
        <w:ind w:firstLine="420"/>
        <w:spacing w:line="360" w:lineRule="auto"/>
        <w:rPr>
          <w:rFonts w:ascii="宋体" w:hAnsi="宋体" w:cs="宋体"/>
          <w:bCs/>
          <w:szCs w:val="21"/>
        </w:rPr>
      </w:pPr>
      <w:r>
        <w:rPr>
          <w:rFonts w:hint="eastAsia" w:ascii="宋体" w:hAnsi="宋体" w:cs="宋体"/>
          <w:bCs/>
          <w:szCs w:val="21"/>
        </w:rPr>
        <w:t xml:space="preserve">3.2 监狱企业需提供由省级以上监狱管理局、戒毒管理局（含新疆生产建设兵团）出具的属于监狱企业的证明文件。</w:t>
      </w:r>
      <w:r/>
    </w:p>
    <w:p>
      <w:pPr>
        <w:ind w:firstLine="420"/>
        <w:spacing w:line="360" w:lineRule="auto"/>
        <w:rPr>
          <w:rFonts w:ascii="宋体" w:hAnsi="宋体" w:cs="宋体"/>
          <w:bCs/>
          <w:szCs w:val="21"/>
        </w:rPr>
      </w:pPr>
      <w:r>
        <w:rPr>
          <w:rFonts w:hint="eastAsia" w:ascii="宋体" w:hAnsi="宋体" w:cs="宋体"/>
          <w:bCs/>
          <w:szCs w:val="21"/>
        </w:rPr>
        <w:t xml:space="preserve">3.3 监狱企业标准请参照《关于政府采购支持监狱企业发展有关问题的通知》（财库〔2014〕68号）。</w:t>
      </w:r>
      <w:r/>
    </w:p>
    <w:p>
      <w:pPr>
        <w:ind w:firstLine="420"/>
        <w:spacing w:line="360" w:lineRule="auto"/>
        <w:rPr>
          <w:rFonts w:ascii="宋体" w:hAnsi="宋体" w:cs="宋体"/>
          <w:bCs/>
          <w:szCs w:val="21"/>
        </w:rPr>
      </w:pPr>
      <w:r>
        <w:rPr>
          <w:rFonts w:hint="eastAsia" w:ascii="宋体" w:hAnsi="宋体" w:cs="宋体"/>
          <w:bCs/>
          <w:szCs w:val="21"/>
        </w:rPr>
        <w:t xml:space="preserve">4.残疾人福利性单位的价格扣除</w:t>
      </w:r>
      <w:r/>
    </w:p>
    <w:p>
      <w:pPr>
        <w:ind w:firstLine="420"/>
        <w:spacing w:line="360" w:lineRule="auto"/>
        <w:rPr>
          <w:rFonts w:ascii="宋体" w:hAnsi="宋体" w:cs="宋体"/>
          <w:bCs/>
          <w:szCs w:val="21"/>
        </w:rPr>
      </w:pPr>
      <w:r>
        <w:rPr>
          <w:rFonts w:hint="eastAsia" w:ascii="宋体" w:hAnsi="宋体" w:cs="宋体"/>
          <w:bCs/>
          <w:szCs w:val="21"/>
        </w:rPr>
        <w:t xml:space="preserve">4.1 本项目对残疾人福利性单位，给予10%的价格扣除，用扣除后的价格参与评审。</w:t>
      </w:r>
      <w:r/>
    </w:p>
    <w:p>
      <w:pPr>
        <w:ind w:firstLine="420"/>
        <w:spacing w:line="360" w:lineRule="auto"/>
        <w:rPr>
          <w:rFonts w:ascii="宋体" w:hAnsi="宋体" w:cs="宋体"/>
          <w:bCs/>
          <w:szCs w:val="21"/>
        </w:rPr>
      </w:pPr>
      <w:r>
        <w:rPr>
          <w:rFonts w:hint="eastAsia" w:ascii="宋体" w:hAnsi="宋体" w:cs="宋体"/>
          <w:bCs/>
          <w:szCs w:val="21"/>
        </w:rPr>
        <w:t xml:space="preserve">4.2 残疾人福利性单位需提供《残疾人福利性单位声明函》</w:t>
      </w:r>
      <w:r/>
    </w:p>
    <w:p>
      <w:pPr>
        <w:ind w:firstLine="420"/>
        <w:spacing w:line="360" w:lineRule="auto"/>
        <w:rPr>
          <w:rFonts w:ascii="宋体" w:hAnsi="宋体" w:cs="宋体"/>
          <w:bCs/>
          <w:szCs w:val="21"/>
        </w:rPr>
      </w:pPr>
      <w:r>
        <w:rPr>
          <w:rFonts w:hint="eastAsia" w:ascii="宋体" w:hAnsi="宋体" w:cs="宋体"/>
          <w:bCs/>
          <w:szCs w:val="21"/>
        </w:rPr>
        <w:t xml:space="preserve">4.3 残疾人福利性单位标准请参照《关于促进残疾人就业政府采购政策的通知》（财库〔2017〕141号）。</w:t>
      </w:r>
      <w:r/>
    </w:p>
    <w:p>
      <w:pPr>
        <w:ind w:firstLine="420"/>
        <w:spacing w:line="360" w:lineRule="auto"/>
        <w:rPr>
          <w:rFonts w:ascii="宋体" w:hAnsi="宋体" w:cs="宋体"/>
          <w:bCs/>
          <w:szCs w:val="21"/>
        </w:rPr>
      </w:pPr>
      <w:r>
        <w:rPr>
          <w:rFonts w:hint="eastAsia" w:ascii="宋体" w:hAnsi="宋体" w:cs="宋体"/>
          <w:bCs/>
          <w:szCs w:val="21"/>
        </w:rPr>
        <w:t xml:space="preserve">5. 监狱企业、残疾人福利性单位属于小型、微型企业的，不重复享受政策。</w:t>
      </w:r>
      <w:r/>
    </w:p>
    <w:p>
      <w:pPr>
        <w:ind w:firstLine="420"/>
        <w:spacing w:line="360" w:lineRule="auto"/>
        <w:rPr>
          <w:rFonts w:ascii="宋体" w:hAnsi="宋体" w:cs="宋体"/>
          <w:bCs/>
          <w:szCs w:val="21"/>
        </w:rPr>
      </w:pPr>
      <w:r>
        <w:rPr>
          <w:rFonts w:hint="eastAsia" w:ascii="宋体" w:hAnsi="宋体" w:cs="宋体"/>
          <w:bCs/>
          <w:szCs w:val="21"/>
        </w:rPr>
        <w:t xml:space="preserve">6.本国产品的价格扣除</w:t>
      </w:r>
      <w:r/>
    </w:p>
    <w:p>
      <w:pPr>
        <w:ind w:firstLine="420"/>
        <w:spacing w:line="360" w:lineRule="auto"/>
        <w:rPr>
          <w:rFonts w:ascii="宋体" w:hAnsi="宋体" w:cs="宋体"/>
          <w:bCs/>
          <w:szCs w:val="21"/>
        </w:rPr>
      </w:pPr>
      <w:r>
        <w:rPr>
          <w:rFonts w:hint="eastAsia" w:ascii="宋体" w:hAnsi="宋体" w:cs="宋体"/>
          <w:bCs/>
          <w:szCs w:val="21"/>
        </w:rPr>
        <w:t xml:space="preserve">6.1本国产品标准、本国产品标准的适用范围、对本国产品的支持政策等详见《国务院办公厅关于在政府采购中实施本国产品标准及相关政策的通知》（国办发〔2025〕34号）。</w:t>
      </w:r>
      <w:r/>
    </w:p>
    <w:p>
      <w:pPr>
        <w:ind w:firstLine="420"/>
        <w:spacing w:line="360" w:lineRule="auto"/>
        <w:rPr>
          <w:rFonts w:ascii="宋体" w:hAnsi="宋体" w:cs="宋体"/>
          <w:bCs/>
          <w:szCs w:val="21"/>
        </w:rPr>
      </w:pPr>
      <w:r>
        <w:rPr>
          <w:rFonts w:hint="eastAsia" w:ascii="宋体" w:hAnsi="宋体" w:cs="宋体"/>
          <w:bCs/>
          <w:szCs w:val="21"/>
        </w:rPr>
        <w:t xml:space="preserve">6.2 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ascii="宋体" w:hAnsi="宋体" w:cs="宋体"/>
          <w:bCs/>
          <w:szCs w:val="21"/>
        </w:rPr>
      </w:pPr>
      <w:r>
        <w:rPr>
          <w:rFonts w:hint="eastAsia" w:ascii="宋体" w:hAnsi="宋体" w:cs="宋体"/>
          <w:bCs/>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left"/>
        <w:widowControl/>
        <w:rPr>
          <w:rFonts w:ascii="宋体" w:hAnsi="宋体" w:cs="宋体"/>
          <w:b/>
          <w:sz w:val="22"/>
          <w:szCs w:val="28"/>
        </w:rPr>
        <w:sectPr>
          <w:headerReference w:type="default" r:id="rId10"/>
          <w:footerReference w:type="default" r:id="rId11"/>
          <w:footerReference w:type="first" r:id="rId12"/>
          <w:footnotePr/>
          <w:endnotePr/>
          <w:type w:val="nextPage"/>
          <w:pgSz w:w="11905" w:h="16838" w:orient="portrait"/>
          <w:pgMar w:top="1440" w:right="1803" w:bottom="1440" w:left="1803" w:header="850" w:footer="992" w:gutter="0"/>
          <w:pgNumType w:start="1"/>
          <w:cols w:num="1" w:sep="0" w:space="0" w:equalWidth="1"/>
          <w:docGrid w:linePitch="360"/>
          <w:titlePg/>
        </w:sectPr>
      </w:pPr>
      <w:r>
        <w:rPr>
          <w:rFonts w:hint="eastAsia" w:ascii="宋体" w:hAnsi="宋体" w:cs="宋体"/>
          <w:b/>
          <w:sz w:val="22"/>
          <w:szCs w:val="28"/>
        </w:rPr>
        <w:br w:type="page" w:clear="all"/>
      </w:r>
      <w:r/>
    </w:p>
    <w:p>
      <w:pPr>
        <w:ind w:firstLine="420"/>
        <w:spacing w:before="317" w:after="317"/>
        <w:rPr>
          <w:b/>
          <w:sz w:val="32"/>
          <w:szCs w:val="22"/>
        </w:rPr>
        <w:outlineLvl w:val="1"/>
      </w:pPr>
      <w:r>
        <w:rPr>
          <w:rFonts w:hint="eastAsia"/>
          <w:b/>
          <w:sz w:val="32"/>
          <w:szCs w:val="22"/>
        </w:rPr>
        <w:t xml:space="preserve">采购包2：</w:t>
      </w:r>
      <w:r/>
    </w:p>
    <w:tbl>
      <w:tblPr>
        <w:tblStyle w:val="897"/>
        <w:tblW w:w="47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1"/>
        <w:gridCol w:w="1320"/>
        <w:gridCol w:w="5120"/>
        <w:gridCol w:w="725"/>
      </w:tblGrid>
      <w:tr>
        <w:trPr>
          <w:jc w:val="center"/>
          <w:trHeight w:val="676"/>
          <w:tblHeader/>
        </w:trPr>
        <w:tc>
          <w:tcPr>
            <w:shd w:val="clear" w:color="auto" w:fill="bebebe" w:themeFill="background1" w:themeFillShade="BF"/>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center"/>
              <w:spacing w:line="300" w:lineRule="exact"/>
              <w:rPr>
                <w:rFonts w:ascii="宋体" w:hAnsi="宋体" w:cs="宋体"/>
                <w:b/>
                <w:bCs/>
                <w:szCs w:val="21"/>
              </w:rPr>
            </w:pPr>
            <w:r>
              <w:rPr>
                <w:rFonts w:hint="eastAsia" w:ascii="宋体" w:hAnsi="宋体" w:cs="宋体"/>
                <w:b/>
                <w:bCs/>
                <w:szCs w:val="21"/>
              </w:rPr>
              <w:br w:type="page" w:clear="all"/>
            </w:r>
            <w:r>
              <w:rPr>
                <w:rFonts w:hint="eastAsia" w:ascii="宋体" w:hAnsi="宋体" w:cs="宋体"/>
                <w:b/>
                <w:bCs/>
                <w:szCs w:val="21"/>
              </w:rPr>
              <w:br w:type="page" w:clear="all"/>
            </w:r>
            <w:r>
              <w:rPr>
                <w:rFonts w:hint="eastAsia" w:ascii="宋体" w:hAnsi="宋体" w:cs="宋体"/>
                <w:b/>
                <w:bCs/>
                <w:szCs w:val="21"/>
              </w:rPr>
              <w:t xml:space="preserve">序号</w:t>
            </w:r>
            <w:r/>
          </w:p>
        </w:tc>
        <w:tc>
          <w:tcPr>
            <w:shd w:val="clear" w:color="auto" w:fill="bebebe" w:themeFill="background1" w:themeFillShade="BF"/>
            <w:tcBorders>
              <w:top w:val="single" w:color="auto" w:sz="4" w:space="0"/>
              <w:left w:val="single" w:color="auto" w:sz="4" w:space="0"/>
              <w:bottom w:val="single" w:color="auto" w:sz="4" w:space="0"/>
              <w:right w:val="single" w:color="auto" w:sz="4" w:space="0"/>
            </w:tcBorders>
            <w:tcW w:w="843" w:type="pct"/>
            <w:vAlign w:val="center"/>
            <w:textDirection w:val="lrTb"/>
            <w:noWrap w:val="false"/>
          </w:tcPr>
          <w:p>
            <w:pPr>
              <w:jc w:val="center"/>
              <w:spacing w:line="300" w:lineRule="exact"/>
              <w:rPr>
                <w:rFonts w:ascii="宋体" w:hAnsi="宋体" w:cs="宋体"/>
                <w:b/>
                <w:bCs/>
                <w:szCs w:val="21"/>
              </w:rPr>
            </w:pPr>
            <w:r>
              <w:rPr>
                <w:rFonts w:hint="eastAsia" w:ascii="宋体" w:hAnsi="宋体" w:cs="宋体"/>
                <w:b/>
                <w:bCs/>
                <w:szCs w:val="21"/>
              </w:rPr>
              <w:t xml:space="preserve">评分项目</w:t>
            </w:r>
            <w:r/>
          </w:p>
        </w:tc>
        <w:tc>
          <w:tcPr>
            <w:shd w:val="clear" w:color="auto" w:fill="bebebe" w:themeFill="background1" w:themeFillShade="BF"/>
            <w:tcBorders>
              <w:top w:val="single" w:color="auto" w:sz="4" w:space="0"/>
              <w:left w:val="single" w:color="auto" w:sz="4" w:space="0"/>
              <w:bottom w:val="single" w:color="auto" w:sz="4" w:space="0"/>
              <w:right w:val="single" w:color="auto" w:sz="4" w:space="0"/>
            </w:tcBorders>
            <w:tcW w:w="3269" w:type="pct"/>
            <w:vAlign w:val="center"/>
            <w:textDirection w:val="lrTb"/>
            <w:noWrap w:val="false"/>
          </w:tcPr>
          <w:p>
            <w:pPr>
              <w:jc w:val="center"/>
              <w:spacing w:line="300" w:lineRule="exact"/>
              <w:rPr>
                <w:rFonts w:ascii="宋体" w:hAnsi="宋体" w:cs="宋体"/>
                <w:b/>
                <w:bCs/>
                <w:szCs w:val="21"/>
              </w:rPr>
            </w:pPr>
            <w:r>
              <w:rPr>
                <w:rFonts w:hint="eastAsia" w:ascii="宋体" w:hAnsi="宋体" w:cs="宋体"/>
                <w:b/>
                <w:bCs/>
                <w:szCs w:val="21"/>
              </w:rPr>
              <w:t xml:space="preserve">评分标准及细则</w:t>
            </w:r>
            <w:r/>
          </w:p>
        </w:tc>
        <w:tc>
          <w:tcPr>
            <w:shd w:val="clear" w:color="auto" w:fill="bebebe" w:themeFill="background1" w:themeFillShade="BF"/>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jc w:val="center"/>
              <w:spacing w:line="300" w:lineRule="exact"/>
              <w:rPr>
                <w:rFonts w:ascii="宋体" w:hAnsi="宋体" w:cs="宋体"/>
                <w:b/>
                <w:bCs/>
                <w:szCs w:val="21"/>
              </w:rPr>
            </w:pPr>
            <w:r>
              <w:rPr>
                <w:rFonts w:hint="eastAsia" w:ascii="宋体" w:hAnsi="宋体" w:cs="宋体"/>
                <w:b/>
                <w:bCs/>
                <w:szCs w:val="21"/>
              </w:rPr>
              <w:t xml:space="preserve">分值</w:t>
            </w:r>
            <w:r/>
          </w:p>
        </w:tc>
      </w:tr>
      <w:tr>
        <w:trPr>
          <w:jc w:val="center"/>
          <w:trHeight w:val="5819"/>
        </w:trPr>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843"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价格分</w:t>
            </w:r>
            <w:r/>
          </w:p>
        </w:tc>
        <w:tc>
          <w:tcPr>
            <w:tcBorders>
              <w:top w:val="single" w:color="auto" w:sz="4" w:space="0"/>
              <w:left w:val="single" w:color="auto" w:sz="4" w:space="0"/>
              <w:bottom w:val="single" w:color="auto" w:sz="4" w:space="0"/>
              <w:right w:val="single" w:color="auto" w:sz="4" w:space="0"/>
            </w:tcBorders>
            <w:tcW w:w="3269" w:type="pct"/>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价格分采用低价优先法计算，即满足采购文件要求且报价最低的投标人的报价为评审基准价，其价格分为对应分值，其它投标人的价格分统一按照以下公式计算：报价得分=(评审基准价/该投标人的报价)×对应分值。按照以下分类报价</w:t>
            </w:r>
            <w:r>
              <w:rPr>
                <w:rFonts w:ascii="宋体" w:hAnsi="宋体" w:cs="宋体"/>
                <w:szCs w:val="21"/>
              </w:rPr>
              <w:t xml:space="preserve">：</w:t>
            </w:r>
            <w:r/>
          </w:p>
          <w:p>
            <w:pPr>
              <w:spacing w:line="400" w:lineRule="exact"/>
              <w:rPr>
                <w:rFonts w:ascii="宋体" w:hAnsi="宋体" w:cs="宋体"/>
                <w:bCs/>
                <w:szCs w:val="21"/>
              </w:rPr>
            </w:pPr>
            <w:r>
              <w:rPr>
                <w:rFonts w:hint="eastAsia" w:ascii="宋体" w:hAnsi="宋体" w:cs="宋体"/>
                <w:szCs w:val="21"/>
              </w:rPr>
              <w:t xml:space="preserve">报价1：</w:t>
            </w:r>
            <w:r>
              <w:rPr>
                <w:rFonts w:ascii="宋体" w:hAnsi="宋体" w:cs="宋体"/>
                <w:bCs/>
                <w:szCs w:val="21"/>
              </w:rPr>
              <w:t xml:space="preserve">45</w:t>
            </w:r>
            <w:r>
              <w:rPr>
                <w:rFonts w:hint="eastAsia" w:ascii="宋体" w:hAnsi="宋体" w:cs="宋体"/>
                <w:bCs/>
                <w:szCs w:val="21"/>
              </w:rPr>
              <w:t xml:space="preserve">岁以下在职</w:t>
            </w:r>
            <w:r>
              <w:rPr>
                <w:rFonts w:ascii="宋体" w:hAnsi="宋体" w:cs="宋体"/>
                <w:bCs/>
                <w:szCs w:val="21"/>
              </w:rPr>
              <w:t xml:space="preserve">男性套餐单价</w:t>
            </w:r>
            <w:r>
              <w:rPr>
                <w:rFonts w:hint="eastAsia" w:ascii="宋体" w:hAnsi="宋体" w:cs="宋体"/>
                <w:bCs/>
                <w:szCs w:val="21"/>
              </w:rPr>
              <w:t xml:space="preserve">，3分；</w:t>
            </w:r>
            <w:r/>
          </w:p>
          <w:p>
            <w:pPr>
              <w:spacing w:line="400" w:lineRule="exact"/>
              <w:rPr>
                <w:rFonts w:ascii="宋体" w:hAnsi="宋体" w:cs="宋体"/>
                <w:bCs/>
                <w:szCs w:val="21"/>
              </w:rPr>
            </w:pPr>
            <w:r>
              <w:rPr>
                <w:rFonts w:hint="eastAsia" w:ascii="宋体" w:hAnsi="宋体" w:cs="宋体"/>
                <w:bCs/>
                <w:szCs w:val="21"/>
              </w:rPr>
              <w:t xml:space="preserve">报价2：</w:t>
            </w:r>
            <w:r>
              <w:rPr>
                <w:rFonts w:ascii="宋体" w:hAnsi="宋体" w:cs="宋体"/>
                <w:bCs/>
                <w:szCs w:val="21"/>
              </w:rPr>
              <w:t xml:space="preserve">45</w:t>
            </w:r>
            <w:r>
              <w:rPr>
                <w:rFonts w:hint="eastAsia" w:ascii="宋体" w:hAnsi="宋体" w:cs="宋体"/>
                <w:bCs/>
                <w:szCs w:val="21"/>
              </w:rPr>
              <w:t xml:space="preserve">岁以下在职</w:t>
            </w:r>
            <w:r>
              <w:rPr>
                <w:rFonts w:ascii="宋体" w:hAnsi="宋体" w:cs="宋体"/>
                <w:bCs/>
                <w:szCs w:val="21"/>
              </w:rPr>
              <w:t xml:space="preserve">女性</w:t>
            </w:r>
            <w:r>
              <w:rPr>
                <w:rFonts w:hint="eastAsia" w:ascii="宋体" w:hAnsi="宋体" w:cs="宋体"/>
                <w:bCs/>
                <w:szCs w:val="21"/>
              </w:rPr>
              <w:t xml:space="preserve">已婚</w:t>
            </w:r>
            <w:r>
              <w:rPr>
                <w:rFonts w:ascii="宋体" w:hAnsi="宋体" w:cs="宋体"/>
                <w:bCs/>
                <w:szCs w:val="21"/>
              </w:rPr>
              <w:t xml:space="preserve">套餐单价</w:t>
            </w:r>
            <w:r>
              <w:rPr>
                <w:rFonts w:hint="eastAsia" w:ascii="宋体" w:hAnsi="宋体" w:cs="宋体"/>
                <w:bCs/>
                <w:szCs w:val="21"/>
              </w:rPr>
              <w:t xml:space="preserve">，4</w:t>
            </w:r>
            <w:r>
              <w:rPr>
                <w:rFonts w:ascii="宋体" w:hAnsi="宋体" w:cs="宋体"/>
                <w:bCs/>
                <w:szCs w:val="21"/>
              </w:rPr>
              <w:t xml:space="preserve">分</w:t>
            </w:r>
            <w:r>
              <w:rPr>
                <w:rFonts w:hint="eastAsia" w:ascii="宋体" w:hAnsi="宋体" w:cs="宋体"/>
                <w:bCs/>
                <w:szCs w:val="21"/>
              </w:rPr>
              <w:t xml:space="preserve">；</w:t>
            </w:r>
            <w:r/>
          </w:p>
          <w:p>
            <w:pPr>
              <w:spacing w:line="400" w:lineRule="exact"/>
              <w:rPr>
                <w:rFonts w:ascii="宋体" w:hAnsi="宋体" w:cs="宋体"/>
                <w:bCs/>
                <w:szCs w:val="21"/>
              </w:rPr>
            </w:pPr>
            <w:r>
              <w:rPr>
                <w:rFonts w:hint="eastAsia" w:ascii="宋体" w:hAnsi="宋体" w:cs="宋体"/>
                <w:bCs/>
                <w:szCs w:val="21"/>
              </w:rPr>
              <w:t xml:space="preserve">报价3：4</w:t>
            </w:r>
            <w:r>
              <w:rPr>
                <w:rFonts w:ascii="宋体" w:hAnsi="宋体" w:cs="宋体"/>
                <w:bCs/>
                <w:szCs w:val="21"/>
              </w:rPr>
              <w:t xml:space="preserve">5</w:t>
            </w:r>
            <w:r>
              <w:rPr>
                <w:rFonts w:hint="eastAsia" w:ascii="宋体" w:hAnsi="宋体" w:cs="宋体"/>
                <w:bCs/>
                <w:szCs w:val="21"/>
              </w:rPr>
              <w:t xml:space="preserve">岁以下在职女性未婚套餐单价，3</w:t>
            </w:r>
            <w:r>
              <w:rPr>
                <w:rFonts w:ascii="宋体" w:hAnsi="宋体" w:cs="宋体"/>
                <w:bCs/>
                <w:szCs w:val="21"/>
              </w:rPr>
              <w:t xml:space="preserve">分</w:t>
            </w:r>
            <w:r>
              <w:rPr>
                <w:rFonts w:hint="eastAsia" w:ascii="宋体" w:hAnsi="宋体" w:cs="宋体"/>
                <w:bCs/>
                <w:szCs w:val="21"/>
              </w:rPr>
              <w:t xml:space="preserve">；</w:t>
            </w:r>
            <w:r/>
          </w:p>
          <w:p>
            <w:pPr>
              <w:spacing w:line="400" w:lineRule="exact"/>
              <w:rPr>
                <w:rFonts w:ascii="宋体" w:hAnsi="宋体" w:cs="宋体"/>
                <w:bCs/>
                <w:szCs w:val="21"/>
              </w:rPr>
            </w:pPr>
            <w:r>
              <w:rPr>
                <w:rFonts w:hint="eastAsia" w:ascii="宋体" w:hAnsi="宋体" w:cs="宋体"/>
                <w:bCs/>
                <w:szCs w:val="21"/>
              </w:rPr>
              <w:t xml:space="preserve">报价4：</w:t>
            </w:r>
            <w:r>
              <w:rPr>
                <w:rFonts w:ascii="宋体" w:hAnsi="宋体" w:cs="宋体"/>
                <w:bCs/>
                <w:szCs w:val="21"/>
              </w:rPr>
              <w:t xml:space="preserve">45</w:t>
            </w:r>
            <w:r>
              <w:rPr>
                <w:rFonts w:hint="eastAsia" w:ascii="宋体" w:hAnsi="宋体" w:cs="宋体"/>
                <w:bCs/>
                <w:szCs w:val="21"/>
              </w:rPr>
              <w:t xml:space="preserve">岁（含）以上在职、正高职称、退休人员</w:t>
            </w:r>
            <w:r>
              <w:rPr>
                <w:rFonts w:ascii="宋体" w:hAnsi="宋体" w:cs="宋体"/>
                <w:bCs/>
                <w:szCs w:val="21"/>
              </w:rPr>
              <w:t xml:space="preserve">男性套餐单价</w:t>
            </w:r>
            <w:r>
              <w:rPr>
                <w:rFonts w:hint="eastAsia" w:ascii="宋体" w:hAnsi="宋体" w:cs="宋体"/>
                <w:bCs/>
                <w:szCs w:val="21"/>
              </w:rPr>
              <w:t xml:space="preserve">，3</w:t>
            </w:r>
            <w:r>
              <w:rPr>
                <w:rFonts w:ascii="宋体" w:hAnsi="宋体" w:cs="宋体"/>
                <w:bCs/>
                <w:szCs w:val="21"/>
              </w:rPr>
              <w:t xml:space="preserve">分</w:t>
            </w:r>
            <w:r>
              <w:rPr>
                <w:rFonts w:hint="eastAsia" w:ascii="宋体" w:hAnsi="宋体" w:cs="宋体"/>
                <w:bCs/>
                <w:szCs w:val="21"/>
              </w:rPr>
              <w:t xml:space="preserve">；</w:t>
            </w:r>
            <w:r/>
          </w:p>
          <w:p>
            <w:pPr>
              <w:spacing w:line="400" w:lineRule="exact"/>
              <w:rPr>
                <w:rFonts w:ascii="宋体" w:hAnsi="宋体" w:cs="宋体"/>
                <w:bCs/>
                <w:szCs w:val="21"/>
              </w:rPr>
            </w:pPr>
            <w:r>
              <w:rPr>
                <w:rFonts w:hint="eastAsia" w:ascii="宋体" w:hAnsi="宋体" w:cs="宋体"/>
                <w:bCs/>
                <w:szCs w:val="21"/>
              </w:rPr>
              <w:t xml:space="preserve">报价</w:t>
            </w:r>
            <w:r>
              <w:rPr>
                <w:rFonts w:ascii="宋体" w:hAnsi="宋体" w:cs="宋体"/>
                <w:bCs/>
                <w:szCs w:val="21"/>
              </w:rPr>
              <w:t xml:space="preserve">5</w:t>
            </w:r>
            <w:r>
              <w:rPr>
                <w:rFonts w:hint="eastAsia" w:ascii="宋体" w:hAnsi="宋体" w:cs="宋体"/>
                <w:bCs/>
                <w:szCs w:val="21"/>
              </w:rPr>
              <w:t xml:space="preserve">：</w:t>
            </w:r>
            <w:r>
              <w:rPr>
                <w:rFonts w:ascii="宋体" w:hAnsi="宋体" w:cs="宋体"/>
                <w:bCs/>
                <w:szCs w:val="21"/>
              </w:rPr>
              <w:t xml:space="preserve">45</w:t>
            </w:r>
            <w:r>
              <w:rPr>
                <w:rFonts w:hint="eastAsia" w:ascii="宋体" w:hAnsi="宋体" w:cs="宋体"/>
                <w:bCs/>
                <w:szCs w:val="21"/>
              </w:rPr>
              <w:t xml:space="preserve">岁（含）以上在职、正高职称、退休人员</w:t>
            </w:r>
            <w:r>
              <w:rPr>
                <w:rFonts w:ascii="宋体" w:hAnsi="宋体" w:cs="宋体"/>
                <w:bCs/>
                <w:szCs w:val="21"/>
              </w:rPr>
              <w:t xml:space="preserve">女性</w:t>
            </w:r>
            <w:r>
              <w:rPr>
                <w:rFonts w:hint="eastAsia" w:ascii="宋体" w:hAnsi="宋体" w:cs="宋体"/>
                <w:bCs/>
                <w:szCs w:val="21"/>
              </w:rPr>
              <w:t xml:space="preserve">已婚</w:t>
            </w:r>
            <w:r>
              <w:rPr>
                <w:rFonts w:ascii="宋体" w:hAnsi="宋体" w:cs="宋体"/>
                <w:bCs/>
                <w:szCs w:val="21"/>
              </w:rPr>
              <w:t xml:space="preserve">套餐单价</w:t>
            </w:r>
            <w:r>
              <w:rPr>
                <w:rFonts w:hint="eastAsia" w:ascii="宋体" w:hAnsi="宋体" w:cs="宋体"/>
                <w:bCs/>
                <w:szCs w:val="21"/>
              </w:rPr>
              <w:t xml:space="preserve">，4</w:t>
            </w:r>
            <w:r>
              <w:rPr>
                <w:rFonts w:ascii="宋体" w:hAnsi="宋体" w:cs="宋体"/>
                <w:bCs/>
                <w:szCs w:val="21"/>
              </w:rPr>
              <w:t xml:space="preserve">分</w:t>
            </w:r>
            <w:r>
              <w:rPr>
                <w:rFonts w:hint="eastAsia" w:ascii="宋体" w:hAnsi="宋体" w:cs="宋体"/>
                <w:bCs/>
                <w:szCs w:val="21"/>
              </w:rPr>
              <w:t xml:space="preserve">；</w:t>
            </w:r>
            <w:r/>
          </w:p>
          <w:p>
            <w:pPr>
              <w:spacing w:line="400" w:lineRule="exact"/>
              <w:rPr>
                <w:rFonts w:ascii="宋体" w:hAnsi="宋体" w:cs="宋体"/>
                <w:szCs w:val="21"/>
              </w:rPr>
            </w:pPr>
            <w:r>
              <w:rPr>
                <w:rFonts w:hint="eastAsia" w:ascii="宋体" w:hAnsi="宋体" w:cs="宋体"/>
                <w:bCs/>
                <w:szCs w:val="21"/>
              </w:rPr>
              <w:t xml:space="preserve">报价</w:t>
            </w:r>
            <w:r>
              <w:rPr>
                <w:rFonts w:ascii="宋体" w:hAnsi="宋体" w:cs="宋体"/>
                <w:bCs/>
                <w:szCs w:val="21"/>
              </w:rPr>
              <w:t xml:space="preserve">6</w:t>
            </w:r>
            <w:r>
              <w:rPr>
                <w:rFonts w:hint="eastAsia" w:ascii="宋体" w:hAnsi="宋体" w:cs="宋体"/>
                <w:bCs/>
                <w:szCs w:val="21"/>
              </w:rPr>
              <w:t xml:space="preserve">：</w:t>
            </w:r>
            <w:r>
              <w:rPr>
                <w:rFonts w:ascii="宋体" w:hAnsi="宋体" w:cs="宋体"/>
                <w:bCs/>
                <w:szCs w:val="21"/>
              </w:rPr>
              <w:t xml:space="preserve">45</w:t>
            </w:r>
            <w:r>
              <w:rPr>
                <w:rFonts w:hint="eastAsia" w:ascii="宋体" w:hAnsi="宋体" w:cs="宋体"/>
                <w:bCs/>
                <w:szCs w:val="21"/>
              </w:rPr>
              <w:t xml:space="preserve">岁（含）以上在职、正高职称、退休人员</w:t>
            </w:r>
            <w:r>
              <w:rPr>
                <w:rFonts w:ascii="宋体" w:hAnsi="宋体" w:cs="宋体"/>
                <w:bCs/>
                <w:szCs w:val="21"/>
              </w:rPr>
              <w:t xml:space="preserve">女性</w:t>
            </w:r>
            <w:r>
              <w:rPr>
                <w:rFonts w:hint="eastAsia" w:ascii="宋体" w:hAnsi="宋体" w:cs="宋体"/>
                <w:bCs/>
                <w:szCs w:val="21"/>
              </w:rPr>
              <w:t xml:space="preserve">未婚</w:t>
            </w:r>
            <w:r>
              <w:rPr>
                <w:rFonts w:ascii="宋体" w:hAnsi="宋体" w:cs="宋体"/>
                <w:bCs/>
                <w:szCs w:val="21"/>
              </w:rPr>
              <w:t xml:space="preserve">套餐单价</w:t>
            </w:r>
            <w:r>
              <w:rPr>
                <w:rFonts w:hint="eastAsia" w:ascii="宋体" w:hAnsi="宋体" w:cs="宋体"/>
                <w:bCs/>
                <w:szCs w:val="21"/>
              </w:rPr>
              <w:t xml:space="preserve">，3</w:t>
            </w:r>
            <w:r>
              <w:rPr>
                <w:rFonts w:ascii="宋体" w:hAnsi="宋体" w:cs="宋体"/>
                <w:bCs/>
                <w:szCs w:val="21"/>
              </w:rPr>
              <w:t xml:space="preserve">分</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jc w:val="center"/>
              <w:spacing w:line="300" w:lineRule="exact"/>
              <w:rPr>
                <w:rFonts w:ascii="宋体" w:hAnsi="宋体" w:cs="宋体"/>
                <w:szCs w:val="21"/>
              </w:rPr>
            </w:pPr>
            <w:r>
              <w:rPr>
                <w:rFonts w:ascii="宋体" w:hAnsi="宋体" w:cs="宋体"/>
                <w:szCs w:val="21"/>
              </w:rPr>
              <w:t xml:space="preserve">2</w:t>
            </w:r>
            <w:r>
              <w:rPr>
                <w:rFonts w:hint="eastAsia" w:ascii="宋体" w:hAnsi="宋体" w:cs="宋体"/>
                <w:szCs w:val="21"/>
              </w:rPr>
              <w:t xml:space="preserve">0</w:t>
            </w:r>
            <w:r/>
          </w:p>
        </w:tc>
      </w:tr>
      <w:tr>
        <w:trPr>
          <w:jc w:val="center"/>
          <w:trHeight w:val="1407"/>
        </w:trPr>
        <w:tc>
          <w:tcPr>
            <w:tcBorders>
              <w:left w:val="single" w:color="auto" w:sz="4" w:space="0"/>
              <w:right w:val="single" w:color="auto" w:sz="4" w:space="0"/>
            </w:tcBorders>
            <w:tcW w:w="422"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2</w:t>
            </w:r>
            <w:r/>
          </w:p>
        </w:tc>
        <w:tc>
          <w:tcPr>
            <w:tcBorders>
              <w:left w:val="single" w:color="auto" w:sz="4" w:space="0"/>
              <w:right w:val="single" w:color="auto" w:sz="4" w:space="0"/>
            </w:tcBorders>
            <w:tcW w:w="843"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业绩</w:t>
            </w:r>
            <w:r/>
          </w:p>
        </w:tc>
        <w:tc>
          <w:tcPr>
            <w:tcBorders>
              <w:top w:val="single" w:color="auto" w:sz="4" w:space="0"/>
              <w:left w:val="single" w:color="auto" w:sz="4" w:space="0"/>
              <w:bottom w:val="single" w:color="auto" w:sz="4" w:space="0"/>
              <w:right w:val="single" w:color="auto" w:sz="4" w:space="0"/>
            </w:tcBorders>
            <w:tcW w:w="3269" w:type="pct"/>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投标人提供自2023年10月1日以来</w:t>
            </w:r>
            <w:r>
              <w:rPr>
                <w:rFonts w:hint="eastAsia" w:ascii="宋体" w:hAnsi="宋体" w:cs="宋体"/>
                <w:b/>
                <w:bCs/>
                <w:szCs w:val="21"/>
              </w:rPr>
              <w:t xml:space="preserve">（以合同签订时间为准）</w:t>
            </w:r>
            <w:r>
              <w:rPr>
                <w:rFonts w:hint="eastAsia" w:ascii="宋体" w:hAnsi="宋体" w:cs="宋体"/>
                <w:szCs w:val="21"/>
              </w:rPr>
              <w:t xml:space="preserve">承担过类似项目体检服务的业绩，每提供一个业绩得3分，最高9分。（提供合同复印件并加盖公章，</w:t>
            </w:r>
            <w:r>
              <w:rPr>
                <w:rFonts w:ascii="宋体" w:hAnsi="宋体" w:cs="宋体"/>
                <w:szCs w:val="21"/>
              </w:rPr>
              <w:t xml:space="preserve">合同中必须能够体现体检服务内容、服务对象，仅框架协议无执行证明不计分</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9</w:t>
            </w:r>
            <w:r/>
          </w:p>
        </w:tc>
      </w:tr>
      <w:tr>
        <w:trPr>
          <w:jc w:val="center"/>
          <w:trHeight w:val="537"/>
        </w:trPr>
        <w:tc>
          <w:tcPr>
            <w:tcBorders>
              <w:left w:val="single" w:color="auto" w:sz="4" w:space="0"/>
              <w:right w:val="single" w:color="auto" w:sz="4" w:space="0"/>
            </w:tcBorders>
            <w:tcW w:w="422"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3</w:t>
            </w:r>
            <w:r/>
          </w:p>
        </w:tc>
        <w:tc>
          <w:tcPr>
            <w:tcBorders>
              <w:left w:val="single" w:color="auto" w:sz="4" w:space="0"/>
              <w:right w:val="single" w:color="auto" w:sz="4" w:space="0"/>
            </w:tcBorders>
            <w:tcW w:w="843"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技术力量</w:t>
            </w:r>
            <w:r/>
          </w:p>
        </w:tc>
        <w:tc>
          <w:tcPr>
            <w:tcBorders>
              <w:top w:val="single" w:color="auto" w:sz="4" w:space="0"/>
              <w:left w:val="single" w:color="auto" w:sz="4" w:space="0"/>
              <w:bottom w:val="single" w:color="auto" w:sz="4" w:space="0"/>
              <w:right w:val="single" w:color="auto" w:sz="4" w:space="0"/>
            </w:tcBorders>
            <w:tcW w:w="3269" w:type="pct"/>
            <w:vAlign w:val="center"/>
            <w:textDirection w:val="lrTb"/>
            <w:noWrap w:val="false"/>
          </w:tcPr>
          <w:p>
            <w:pPr>
              <w:spacing w:line="400" w:lineRule="exact"/>
              <w:rPr>
                <w:rFonts w:ascii="宋体" w:hAnsi="宋体" w:cs="宋体"/>
                <w:szCs w:val="21"/>
                <w:highlight w:val="none"/>
              </w:rPr>
            </w:pPr>
            <w:r>
              <w:rPr>
                <w:rFonts w:hint="eastAsia" w:ascii="宋体" w:hAnsi="宋体" w:cs="宋体"/>
                <w:b/>
                <w:bCs/>
                <w:szCs w:val="21"/>
                <w:highlight w:val="none"/>
              </w:rPr>
              <w:t xml:space="preserve">提供本项目各科室拟派体检医生、护士一览表</w:t>
            </w:r>
            <w:r>
              <w:rPr>
                <w:rFonts w:hint="eastAsia" w:ascii="宋体" w:hAnsi="宋体" w:cs="宋体"/>
                <w:szCs w:val="21"/>
                <w:highlight w:val="none"/>
              </w:rPr>
              <w:t xml:space="preserve">（医生必须提供医师资格证书、医师执业证书、专业技术资格证</w:t>
            </w:r>
            <w:r>
              <w:rPr>
                <w:rFonts w:hint="eastAsia" w:ascii="宋体" w:hAnsi="宋体" w:cs="宋体"/>
                <w:b/>
                <w:bCs/>
                <w:szCs w:val="21"/>
                <w:highlight w:val="none"/>
              </w:rPr>
              <w:t xml:space="preserve">的姓名页、证书编号页、有内容的变更注册记录页以及执业记录页</w:t>
            </w:r>
            <w:r>
              <w:rPr>
                <w:rFonts w:hint="eastAsia" w:ascii="宋体" w:hAnsi="宋体" w:cs="宋体"/>
                <w:szCs w:val="21"/>
                <w:highlight w:val="none"/>
              </w:rPr>
              <w:t xml:space="preserve">扫描件，护士必须提供护士执业证书的</w:t>
            </w:r>
            <w:r>
              <w:rPr>
                <w:rFonts w:hint="eastAsia" w:ascii="宋体" w:hAnsi="宋体" w:cs="宋体"/>
                <w:b/>
                <w:bCs/>
                <w:szCs w:val="21"/>
                <w:highlight w:val="none"/>
              </w:rPr>
              <w:t xml:space="preserve">姓名及编号页、有内容的变更注册页及延续注册页</w:t>
            </w:r>
            <w:r>
              <w:rPr>
                <w:rFonts w:hint="eastAsia" w:ascii="宋体" w:hAnsi="宋体" w:cs="宋体"/>
                <w:szCs w:val="21"/>
                <w:highlight w:val="none"/>
              </w:rPr>
              <w:t xml:space="preserve">扫描件，提供的证明材料必须能体现评审内容，否则视为未提供）：</w:t>
            </w:r>
            <w:r/>
          </w:p>
          <w:p>
            <w:pPr>
              <w:spacing w:line="400" w:lineRule="exact"/>
              <w:rPr>
                <w:rFonts w:ascii="宋体" w:hAnsi="宋体" w:cs="宋体"/>
                <w:szCs w:val="21"/>
                <w:highlight w:val="none"/>
              </w:rPr>
            </w:pPr>
            <w:r>
              <w:rPr>
                <w:rFonts w:hint="eastAsia" w:ascii="宋体" w:hAnsi="宋体" w:cs="宋体"/>
                <w:szCs w:val="21"/>
                <w:highlight w:val="none"/>
              </w:rPr>
              <w:t xml:space="preserve">1.总审医生：每提供一名高级（副主任医师或主任医师）职称医师得1分，本条满分</w:t>
            </w:r>
            <w:r>
              <w:rPr>
                <w:rFonts w:ascii="宋体" w:hAnsi="宋体" w:cs="宋体"/>
                <w:szCs w:val="21"/>
                <w:highlight w:val="none"/>
              </w:rPr>
              <w:t xml:space="preserve">4</w:t>
            </w:r>
            <w:r>
              <w:rPr>
                <w:rFonts w:hint="eastAsia" w:ascii="宋体" w:hAnsi="宋体" w:cs="宋体"/>
                <w:szCs w:val="21"/>
                <w:highlight w:val="none"/>
              </w:rPr>
              <w:t xml:space="preserve">分；</w:t>
            </w:r>
            <w:r/>
          </w:p>
          <w:p>
            <w:pPr>
              <w:spacing w:line="400" w:lineRule="exact"/>
              <w:rPr>
                <w:rFonts w:ascii="宋体" w:hAnsi="宋体" w:cs="宋体"/>
                <w:szCs w:val="21"/>
                <w:highlight w:val="none"/>
              </w:rPr>
            </w:pPr>
            <w:r>
              <w:rPr>
                <w:rFonts w:hint="eastAsia" w:ascii="宋体" w:hAnsi="宋体" w:cs="宋体"/>
                <w:szCs w:val="21"/>
                <w:highlight w:val="none"/>
              </w:rPr>
              <w:t xml:space="preserve">2.B超医生：每提供一名高级（副主任医师或主任医师）职称医师得1分，本条满分4分；</w:t>
            </w:r>
            <w:r/>
          </w:p>
          <w:p>
            <w:pPr>
              <w:spacing w:line="400" w:lineRule="exact"/>
              <w:rPr>
                <w:rFonts w:ascii="宋体" w:hAnsi="宋体" w:cs="宋体"/>
                <w:szCs w:val="21"/>
                <w:highlight w:val="none"/>
              </w:rPr>
            </w:pPr>
            <w:r>
              <w:rPr>
                <w:rFonts w:hint="eastAsia" w:ascii="宋体" w:hAnsi="宋体" w:cs="宋体"/>
                <w:szCs w:val="21"/>
                <w:highlight w:val="none"/>
              </w:rPr>
              <w:t xml:space="preserve">3.妇科医生：每提供一名高级（副主任医师或主任医师）职称医师得1分，本条满分</w:t>
            </w:r>
            <w:r>
              <w:rPr>
                <w:rFonts w:ascii="宋体" w:hAnsi="宋体" w:cs="宋体"/>
                <w:szCs w:val="21"/>
                <w:highlight w:val="none"/>
              </w:rPr>
              <w:t xml:space="preserve">4</w:t>
            </w:r>
            <w:r>
              <w:rPr>
                <w:rFonts w:hint="eastAsia" w:ascii="宋体" w:hAnsi="宋体" w:cs="宋体"/>
                <w:szCs w:val="21"/>
                <w:highlight w:val="none"/>
              </w:rPr>
              <w:t xml:space="preserve">分；</w:t>
            </w:r>
            <w:r/>
          </w:p>
          <w:p>
            <w:pPr>
              <w:spacing w:line="400" w:lineRule="exact"/>
              <w:rPr>
                <w:rFonts w:ascii="宋体" w:hAnsi="宋体" w:cs="宋体"/>
                <w:szCs w:val="21"/>
                <w:highlight w:val="none"/>
              </w:rPr>
            </w:pPr>
            <w:r>
              <w:rPr>
                <w:rFonts w:hint="eastAsia" w:ascii="宋体" w:hAnsi="宋体" w:cs="宋体"/>
                <w:szCs w:val="21"/>
                <w:highlight w:val="none"/>
              </w:rPr>
              <w:t xml:space="preserve">4.放射科医生：每提供一名高级（副主任医师或主任医师）职称医师得1分，本条满分4分；</w:t>
            </w:r>
            <w:r/>
          </w:p>
          <w:p>
            <w:pPr>
              <w:spacing w:line="400" w:lineRule="exact"/>
              <w:rPr>
                <w:rFonts w:ascii="宋体" w:hAnsi="宋体" w:cs="宋体"/>
                <w:szCs w:val="21"/>
                <w:highlight w:val="none"/>
              </w:rPr>
            </w:pPr>
            <w:r>
              <w:rPr>
                <w:rFonts w:hint="eastAsia" w:ascii="宋体" w:hAnsi="宋体" w:cs="宋体"/>
                <w:szCs w:val="21"/>
                <w:highlight w:val="none"/>
              </w:rPr>
              <w:t xml:space="preserve">5.内科医生：每提供一名高级（副主任医师或主任医师）职称医师得1分，本条满分</w:t>
            </w:r>
            <w:r>
              <w:rPr>
                <w:rFonts w:ascii="宋体" w:hAnsi="宋体" w:cs="宋体"/>
                <w:szCs w:val="21"/>
                <w:highlight w:val="none"/>
              </w:rPr>
              <w:t xml:space="preserve">4</w:t>
            </w:r>
            <w:r>
              <w:rPr>
                <w:rFonts w:hint="eastAsia" w:ascii="宋体" w:hAnsi="宋体" w:cs="宋体"/>
                <w:szCs w:val="21"/>
                <w:highlight w:val="none"/>
              </w:rPr>
              <w:t xml:space="preserve">分；</w:t>
            </w:r>
            <w:r/>
          </w:p>
          <w:p>
            <w:pPr>
              <w:spacing w:line="400" w:lineRule="exact"/>
              <w:rPr>
                <w:rFonts w:ascii="宋体" w:hAnsi="宋体" w:cs="宋体"/>
                <w:szCs w:val="21"/>
                <w:highlight w:val="none"/>
              </w:rPr>
            </w:pPr>
            <w:r>
              <w:rPr>
                <w:rFonts w:hint="eastAsia" w:ascii="宋体" w:hAnsi="宋体" w:cs="宋体"/>
                <w:szCs w:val="21"/>
                <w:highlight w:val="none"/>
              </w:rPr>
              <w:t xml:space="preserve">6.外科医生：每提供一名高级（副主任医师或主任医师）职称医师得1分，本条满分</w:t>
            </w:r>
            <w:r>
              <w:rPr>
                <w:rFonts w:ascii="宋体" w:hAnsi="宋体" w:cs="宋体"/>
                <w:szCs w:val="21"/>
                <w:highlight w:val="none"/>
              </w:rPr>
              <w:t xml:space="preserve">4</w:t>
            </w:r>
            <w:r>
              <w:rPr>
                <w:rFonts w:hint="eastAsia" w:ascii="宋体" w:hAnsi="宋体" w:cs="宋体"/>
                <w:szCs w:val="21"/>
                <w:highlight w:val="none"/>
              </w:rPr>
              <w:t xml:space="preserve">分。</w:t>
            </w:r>
            <w:r/>
          </w:p>
          <w:p>
            <w:pPr>
              <w:spacing w:line="400" w:lineRule="exact"/>
              <w:rPr>
                <w:rFonts w:ascii="宋体" w:hAnsi="宋体" w:cs="宋体"/>
                <w:szCs w:val="21"/>
                <w:highlight w:val="none"/>
              </w:rPr>
            </w:pPr>
            <w:r>
              <w:rPr>
                <w:rFonts w:hint="eastAsia" w:ascii="宋体" w:hAnsi="宋体" w:cs="宋体"/>
                <w:szCs w:val="21"/>
                <w:highlight w:val="none"/>
              </w:rPr>
              <w:t xml:space="preserve">7.护理：有10-</w:t>
            </w:r>
            <w:r>
              <w:rPr>
                <w:rFonts w:ascii="宋体" w:hAnsi="宋体" w:cs="宋体"/>
                <w:szCs w:val="21"/>
                <w:highlight w:val="none"/>
              </w:rPr>
              <w:t xml:space="preserve">19</w:t>
            </w:r>
            <w:r>
              <w:rPr>
                <w:rFonts w:hint="eastAsia" w:ascii="宋体" w:hAnsi="宋体" w:cs="宋体"/>
                <w:szCs w:val="21"/>
                <w:highlight w:val="none"/>
              </w:rPr>
              <w:t xml:space="preserve">名注册专职护士，得1分；有20名及以上注册专职护士，得3分，本条满分3分；</w:t>
            </w:r>
            <w:r/>
          </w:p>
          <w:p>
            <w:pPr>
              <w:spacing w:line="400" w:lineRule="exact"/>
              <w:rPr>
                <w:rFonts w:ascii="宋体" w:hAnsi="宋体" w:cs="宋体"/>
                <w:b/>
                <w:bCs/>
                <w:szCs w:val="21"/>
                <w:highlight w:val="none"/>
              </w:rPr>
            </w:pPr>
            <w:r>
              <w:rPr>
                <w:rFonts w:hint="eastAsia" w:ascii="宋体" w:hAnsi="宋体" w:cs="宋体"/>
                <w:szCs w:val="21"/>
                <w:highlight w:val="none"/>
              </w:rPr>
              <w:t xml:space="preserve">拟派体检医生要求执业地点与投标主体医院的地点一致，若医师申请多点执业，须提供证明，否则不计分。</w:t>
            </w:r>
            <w:r>
              <w:rPr>
                <w:rFonts w:hint="eastAsia" w:ascii="宋体" w:hAnsi="宋体" w:cs="宋体"/>
                <w:b/>
                <w:bCs/>
                <w:szCs w:val="21"/>
                <w:highlight w:val="none"/>
              </w:rPr>
              <w:t xml:space="preserve">（医师多点执业可从国家卫生健康委员会电子化注册信息系统查询、截图打印，须同时提供该医师与投标单位签订的劳务聘用/服务协议；未提供的不予计分。）</w:t>
            </w:r>
            <w:r/>
          </w:p>
          <w:p>
            <w:pPr>
              <w:spacing w:line="400" w:lineRule="exact"/>
              <w:rPr>
                <w:rFonts w:ascii="宋体" w:hAnsi="宋体" w:cs="宋体"/>
                <w:szCs w:val="21"/>
                <w:highlight w:val="none"/>
              </w:rPr>
            </w:pPr>
            <w:r>
              <w:rPr>
                <w:rFonts w:hint="eastAsia" w:ascii="宋体" w:hAnsi="宋体" w:cs="宋体"/>
                <w:szCs w:val="21"/>
                <w:highlight w:val="none"/>
              </w:rPr>
              <w:t xml:space="preserve">中标后采购人有权核查拟派人员在岗情况，如实际进场人员与投标文件不一致，按虚假响应、违约处理。</w:t>
            </w:r>
            <w:r/>
          </w:p>
        </w:tc>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jc w:val="center"/>
              <w:spacing w:line="300" w:lineRule="exact"/>
              <w:rPr>
                <w:rFonts w:ascii="宋体" w:hAnsi="宋体" w:cs="宋体"/>
                <w:szCs w:val="21"/>
                <w:highlight w:val="none"/>
              </w:rPr>
            </w:pPr>
            <w:r>
              <w:rPr>
                <w:rFonts w:ascii="宋体" w:hAnsi="宋体" w:cs="宋体"/>
                <w:szCs w:val="21"/>
                <w:highlight w:val="none"/>
              </w:rPr>
              <w:t xml:space="preserve">2</w:t>
            </w:r>
            <w:r>
              <w:rPr>
                <w:rFonts w:hint="eastAsia" w:ascii="宋体" w:hAnsi="宋体" w:cs="宋体"/>
                <w:szCs w:val="21"/>
                <w:highlight w:val="none"/>
              </w:rPr>
              <w:t xml:space="preserve">7</w:t>
            </w:r>
            <w:r/>
          </w:p>
        </w:tc>
      </w:tr>
      <w:tr>
        <w:trPr>
          <w:jc w:val="center"/>
          <w:trHeight w:val="90"/>
        </w:trPr>
        <w:tc>
          <w:tcPr>
            <w:tcBorders>
              <w:left w:val="single" w:color="auto" w:sz="4" w:space="0"/>
              <w:right w:val="single" w:color="auto" w:sz="4" w:space="0"/>
            </w:tcBorders>
            <w:tcW w:w="422"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4</w:t>
            </w:r>
            <w:r/>
          </w:p>
        </w:tc>
        <w:tc>
          <w:tcPr>
            <w:tcBorders>
              <w:left w:val="single" w:color="auto" w:sz="4" w:space="0"/>
              <w:right w:val="single" w:color="auto" w:sz="4" w:space="0"/>
            </w:tcBorders>
            <w:tcW w:w="843" w:type="pct"/>
            <w:vAlign w:val="center"/>
            <w:textDirection w:val="lrTb"/>
            <w:noWrap w:val="false"/>
          </w:tcPr>
          <w:p>
            <w:pPr>
              <w:jc w:val="center"/>
              <w:spacing w:line="378" w:lineRule="exact"/>
              <w:rPr>
                <w:rFonts w:ascii="宋体" w:hAnsi="宋体" w:cs="宋体"/>
                <w:szCs w:val="21"/>
              </w:rPr>
            </w:pPr>
            <w:r>
              <w:rPr>
                <w:rFonts w:ascii="宋体" w:hAnsi="宋体" w:cs="宋体"/>
                <w:color w:val="000000"/>
              </w:rPr>
              <w:t xml:space="preserve">设备数量</w:t>
            </w:r>
            <w:r/>
          </w:p>
        </w:tc>
        <w:tc>
          <w:tcPr>
            <w:tcBorders>
              <w:top w:val="single" w:color="auto" w:sz="4" w:space="0"/>
              <w:left w:val="single" w:color="auto" w:sz="4" w:space="0"/>
              <w:right w:val="single" w:color="auto" w:sz="4" w:space="0"/>
            </w:tcBorders>
            <w:tcW w:w="3269" w:type="pct"/>
            <w:vAlign w:val="center"/>
            <w:textDirection w:val="lrTb"/>
            <w:noWrap w:val="false"/>
          </w:tcPr>
          <w:p>
            <w:pPr>
              <w:spacing w:line="400" w:lineRule="exact"/>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b/>
                <w:bCs/>
                <w:szCs w:val="21"/>
                <w:highlight w:val="none"/>
              </w:rPr>
              <w:t xml:space="preserve">超声诊断仪超声源：</w:t>
            </w:r>
            <w:r>
              <w:rPr>
                <w:rFonts w:hint="eastAsia" w:ascii="宋体" w:hAnsi="宋体" w:cs="宋体"/>
                <w:szCs w:val="21"/>
                <w:highlight w:val="none"/>
              </w:rPr>
              <w:t xml:space="preserve">体检专用（</w:t>
            </w:r>
            <w:r>
              <w:rPr>
                <w:rFonts w:hint="eastAsia" w:ascii="宋体" w:hAnsi="宋体" w:cs="宋体"/>
                <w:b/>
                <w:bCs/>
                <w:szCs w:val="21"/>
                <w:highlight w:val="none"/>
              </w:rPr>
              <w:t xml:space="preserve">仅计算投标主体点</w:t>
            </w:r>
            <w:r>
              <w:rPr>
                <w:rFonts w:hint="eastAsia" w:ascii="宋体" w:hAnsi="宋体" w:cs="宋体"/>
                <w:szCs w:val="21"/>
                <w:highlight w:val="none"/>
              </w:rPr>
              <w:t xml:space="preserve">）的超声诊断仪超声源数量，提供5台以下不得分，提供5台得1分，超过5台的，每增加1台加</w:t>
            </w:r>
            <w:r>
              <w:rPr>
                <w:rFonts w:ascii="宋体" w:hAnsi="宋体" w:cs="宋体"/>
                <w:szCs w:val="21"/>
                <w:highlight w:val="none"/>
              </w:rPr>
              <w:t xml:space="preserve">1</w:t>
            </w:r>
            <w:r>
              <w:rPr>
                <w:rFonts w:hint="eastAsia" w:ascii="宋体" w:hAnsi="宋体" w:cs="宋体"/>
                <w:szCs w:val="21"/>
                <w:highlight w:val="none"/>
              </w:rPr>
              <w:t xml:space="preserve">分，最多得4分。</w:t>
            </w:r>
            <w:r/>
          </w:p>
          <w:p>
            <w:pPr>
              <w:spacing w:line="400" w:lineRule="exact"/>
              <w:rPr>
                <w:rFonts w:ascii="宋体" w:hAnsi="宋体" w:cs="宋体"/>
                <w:szCs w:val="21"/>
              </w:rPr>
            </w:pPr>
            <w:r>
              <w:rPr>
                <w:rFonts w:hint="eastAsia" w:ascii="宋体" w:hAnsi="宋体" w:cs="宋体"/>
                <w:szCs w:val="21"/>
                <w:highlight w:val="none"/>
              </w:rPr>
              <w:t xml:space="preserve">2、</w:t>
            </w:r>
            <w:r>
              <w:rPr>
                <w:rFonts w:hint="eastAsia" w:ascii="宋体" w:hAnsi="宋体" w:cs="宋体"/>
                <w:b/>
                <w:bCs/>
                <w:szCs w:val="21"/>
                <w:highlight w:val="none"/>
              </w:rPr>
              <w:t xml:space="preserve">CT：</w:t>
            </w:r>
            <w:r>
              <w:rPr>
                <w:rFonts w:hint="eastAsia" w:ascii="宋体" w:hAnsi="宋体" w:cs="宋体"/>
                <w:bCs/>
                <w:szCs w:val="21"/>
                <w:highlight w:val="none"/>
              </w:rPr>
              <w:t xml:space="preserve">体检专用的CT数量（仅计算投标主体点的CT，须为</w:t>
            </w:r>
            <w:r>
              <w:rPr>
                <w:rFonts w:ascii="宋体" w:hAnsi="宋体" w:cs="宋体"/>
                <w:bCs/>
                <w:szCs w:val="21"/>
                <w:highlight w:val="none"/>
              </w:rPr>
              <w:t xml:space="preserve">16</w:t>
            </w:r>
            <w:r>
              <w:rPr>
                <w:rFonts w:hint="eastAsia" w:ascii="宋体" w:hAnsi="宋体" w:cs="宋体"/>
                <w:bCs/>
                <w:szCs w:val="21"/>
                <w:highlight w:val="none"/>
              </w:rPr>
              <w:t xml:space="preserve">排及以上CT，提供CT品牌名称、设定层厚、放射剂量参数等），每提供1台得1分，最多</w:t>
            </w:r>
            <w:r>
              <w:rPr>
                <w:rFonts w:ascii="宋体" w:hAnsi="宋体" w:cs="宋体"/>
                <w:bCs/>
                <w:szCs w:val="21"/>
                <w:highlight w:val="none"/>
              </w:rPr>
              <w:t xml:space="preserve">9</w:t>
            </w:r>
            <w:r>
              <w:rPr>
                <w:rFonts w:hint="eastAsia" w:ascii="宋体" w:hAnsi="宋体" w:cs="宋体"/>
                <w:bCs/>
                <w:szCs w:val="21"/>
                <w:highlight w:val="none"/>
              </w:rPr>
              <w:t xml:space="preserve">分。</w:t>
            </w:r>
            <w:r/>
          </w:p>
        </w:tc>
        <w:tc>
          <w:tcPr>
            <w:tcBorders>
              <w:top w:val="single" w:color="auto" w:sz="4" w:space="0"/>
              <w:left w:val="single" w:color="auto" w:sz="4" w:space="0"/>
              <w:right w:val="single" w:color="auto" w:sz="4" w:space="0"/>
            </w:tcBorders>
            <w:tcW w:w="463" w:type="pct"/>
            <w:vAlign w:val="center"/>
            <w:textDirection w:val="lrTb"/>
            <w:noWrap w:val="false"/>
          </w:tcPr>
          <w:p>
            <w:pPr>
              <w:jc w:val="center"/>
              <w:spacing w:line="300" w:lineRule="exact"/>
              <w:tabs>
                <w:tab w:val="center" w:pos="251" w:leader="none"/>
                <w:tab w:val="left" w:pos="365" w:leader="none"/>
              </w:tabs>
              <w:rPr>
                <w:rFonts w:ascii="宋体" w:hAnsi="宋体" w:cs="宋体"/>
                <w:szCs w:val="21"/>
              </w:rPr>
            </w:pPr>
            <w:r>
              <w:rPr>
                <w:rFonts w:hint="eastAsia" w:ascii="宋体" w:hAnsi="宋体" w:cs="宋体"/>
                <w:szCs w:val="21"/>
              </w:rPr>
              <w:t xml:space="preserve">13</w:t>
            </w:r>
            <w:r/>
          </w:p>
        </w:tc>
      </w:tr>
      <w:tr>
        <w:trPr>
          <w:jc w:val="center"/>
          <w:trHeight w:val="487"/>
        </w:trPr>
        <w:tc>
          <w:tcPr>
            <w:tcBorders>
              <w:left w:val="single" w:color="auto" w:sz="4" w:space="0"/>
              <w:right w:val="single" w:color="auto" w:sz="4" w:space="0"/>
            </w:tcBorders>
            <w:tcW w:w="422"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5</w:t>
            </w:r>
            <w:r/>
          </w:p>
        </w:tc>
        <w:tc>
          <w:tcPr>
            <w:tcBorders>
              <w:left w:val="single" w:color="auto" w:sz="4" w:space="0"/>
              <w:right w:val="single" w:color="auto" w:sz="4" w:space="0"/>
            </w:tcBorders>
            <w:tcW w:w="843" w:type="pct"/>
            <w:vAlign w:val="center"/>
            <w:textDirection w:val="lrTb"/>
            <w:noWrap w:val="false"/>
          </w:tcPr>
          <w:p>
            <w:pPr>
              <w:jc w:val="center"/>
              <w:spacing w:line="378" w:lineRule="exact"/>
              <w:rPr>
                <w:rFonts w:ascii="宋体" w:hAnsi="宋体" w:cs="宋体"/>
                <w:szCs w:val="21"/>
              </w:rPr>
            </w:pPr>
            <w:r>
              <w:rPr>
                <w:rFonts w:ascii="宋体" w:hAnsi="宋体" w:cs="宋体"/>
                <w:color w:val="000000"/>
              </w:rPr>
              <w:t xml:space="preserve">距离及交通</w:t>
            </w:r>
            <w:r/>
          </w:p>
        </w:tc>
        <w:tc>
          <w:tcPr>
            <w:tcBorders>
              <w:top w:val="single" w:color="auto" w:sz="4" w:space="0"/>
              <w:left w:val="single" w:color="auto" w:sz="4" w:space="0"/>
              <w:right w:val="single" w:color="auto" w:sz="4" w:space="0"/>
            </w:tcBorders>
            <w:tcW w:w="3269" w:type="pct"/>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公共交通：</w:t>
            </w:r>
            <w:r/>
          </w:p>
          <w:p>
            <w:pPr>
              <w:spacing w:line="400" w:lineRule="exact"/>
              <w:rPr>
                <w:rFonts w:ascii="宋体" w:hAnsi="宋体" w:cs="宋体"/>
                <w:szCs w:val="21"/>
              </w:rPr>
            </w:pPr>
            <w:r>
              <w:rPr>
                <w:rFonts w:hint="eastAsia" w:ascii="宋体" w:hAnsi="宋体" w:cs="宋体"/>
                <w:szCs w:val="21"/>
              </w:rPr>
              <w:t xml:space="preserve">——体检地点交通非常便利，体检点距离地铁出站口或公交站，步行距离≤500米，得</w:t>
            </w:r>
            <w:r>
              <w:rPr>
                <w:rFonts w:ascii="宋体" w:hAnsi="宋体" w:cs="宋体"/>
                <w:szCs w:val="21"/>
              </w:rPr>
              <w:t xml:space="preserve">3</w:t>
            </w:r>
            <w:r>
              <w:rPr>
                <w:rFonts w:hint="eastAsia" w:ascii="宋体" w:hAnsi="宋体" w:cs="宋体"/>
                <w:szCs w:val="21"/>
              </w:rPr>
              <w:t xml:space="preserve">分；</w:t>
            </w:r>
            <w:r/>
          </w:p>
          <w:p>
            <w:pPr>
              <w:spacing w:line="400" w:lineRule="exact"/>
              <w:rPr>
                <w:rFonts w:ascii="宋体" w:hAnsi="宋体" w:cs="宋体"/>
                <w:szCs w:val="21"/>
              </w:rPr>
            </w:pPr>
            <w:r>
              <w:rPr>
                <w:rFonts w:hint="eastAsia" w:ascii="宋体" w:hAnsi="宋体" w:cs="宋体"/>
                <w:szCs w:val="21"/>
              </w:rPr>
              <w:t xml:space="preserve">——体检地点交通较为便利，体检点距离地铁出站口或公交站，步行距离≤1000米，得</w:t>
            </w:r>
            <w:r>
              <w:rPr>
                <w:rFonts w:ascii="宋体" w:hAnsi="宋体" w:cs="宋体"/>
                <w:szCs w:val="21"/>
              </w:rPr>
              <w:t xml:space="preserve">1</w:t>
            </w:r>
            <w:r>
              <w:rPr>
                <w:rFonts w:hint="eastAsia" w:ascii="宋体" w:hAnsi="宋体" w:cs="宋体"/>
                <w:szCs w:val="21"/>
              </w:rPr>
              <w:t xml:space="preserve">分；</w:t>
            </w:r>
            <w:r/>
          </w:p>
          <w:p>
            <w:pPr>
              <w:spacing w:line="400" w:lineRule="exact"/>
              <w:rPr>
                <w:rFonts w:ascii="宋体" w:hAnsi="宋体" w:cs="宋体"/>
                <w:szCs w:val="21"/>
              </w:rPr>
            </w:pPr>
            <w:r>
              <w:rPr>
                <w:rFonts w:hint="eastAsia" w:ascii="宋体" w:hAnsi="宋体" w:cs="宋体"/>
                <w:szCs w:val="21"/>
              </w:rPr>
              <w:t xml:space="preserve">——体检地点交通不方便，体检点距离地铁出站口或公交站，步行距离均超过1000米，不得分。</w:t>
            </w:r>
            <w:r/>
          </w:p>
          <w:p>
            <w:pPr>
              <w:spacing w:line="400" w:lineRule="exact"/>
              <w:rPr>
                <w:rFonts w:ascii="宋体" w:hAnsi="宋体" w:cs="宋体"/>
                <w:szCs w:val="21"/>
              </w:rPr>
            </w:pPr>
            <w:r>
              <w:rPr>
                <w:rFonts w:hint="eastAsia" w:ascii="宋体" w:hAnsi="宋体" w:cs="宋体"/>
                <w:szCs w:val="21"/>
              </w:rPr>
              <w:t xml:space="preserve">(注：上述距离需提供百度地图或高德地图道路交通路线证明加盖公章，不提供或提供不全面不得分)</w:t>
            </w:r>
            <w:r/>
          </w:p>
        </w:tc>
        <w:tc>
          <w:tcPr>
            <w:tcBorders>
              <w:top w:val="single" w:color="auto" w:sz="4" w:space="0"/>
              <w:left w:val="single" w:color="auto" w:sz="4" w:space="0"/>
              <w:right w:val="single" w:color="auto" w:sz="4" w:space="0"/>
            </w:tcBorders>
            <w:tcW w:w="463" w:type="pct"/>
            <w:vAlign w:val="center"/>
            <w:textDirection w:val="lrTb"/>
            <w:noWrap w:val="false"/>
          </w:tcPr>
          <w:p>
            <w:pPr>
              <w:jc w:val="center"/>
              <w:spacing w:line="300" w:lineRule="exact"/>
              <w:tabs>
                <w:tab w:val="center" w:pos="251" w:leader="none"/>
                <w:tab w:val="left" w:pos="365" w:leader="none"/>
              </w:tabs>
              <w:rPr>
                <w:rFonts w:ascii="宋体" w:hAnsi="宋体" w:cs="宋体"/>
                <w:szCs w:val="21"/>
              </w:rPr>
            </w:pPr>
            <w:r>
              <w:rPr>
                <w:rFonts w:ascii="宋体" w:hAnsi="宋体" w:cs="宋体"/>
                <w:szCs w:val="21"/>
              </w:rPr>
              <w:t xml:space="preserve">3</w:t>
            </w:r>
            <w:r/>
          </w:p>
        </w:tc>
      </w:tr>
      <w:tr>
        <w:trPr>
          <w:jc w:val="center"/>
          <w:trHeight w:val="1058"/>
        </w:trPr>
        <w:tc>
          <w:tcPr>
            <w:tcBorders>
              <w:left w:val="single" w:color="auto" w:sz="4" w:space="0"/>
              <w:right w:val="single" w:color="auto" w:sz="4" w:space="0"/>
            </w:tcBorders>
            <w:tcW w:w="422"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6</w:t>
            </w:r>
            <w:r/>
          </w:p>
        </w:tc>
        <w:tc>
          <w:tcPr>
            <w:tcBorders>
              <w:left w:val="single" w:color="auto" w:sz="4" w:space="0"/>
              <w:right w:val="single" w:color="auto" w:sz="4" w:space="0"/>
            </w:tcBorders>
            <w:tcW w:w="843" w:type="pct"/>
            <w:vAlign w:val="center"/>
            <w:textDirection w:val="lrTb"/>
            <w:noWrap w:val="false"/>
          </w:tcPr>
          <w:p>
            <w:pPr>
              <w:jc w:val="center"/>
              <w:spacing w:line="378" w:lineRule="exact"/>
              <w:rPr>
                <w:rFonts w:ascii="宋体" w:hAnsi="宋体" w:cs="宋体"/>
                <w:color w:val="000000"/>
              </w:rPr>
            </w:pPr>
            <w:r>
              <w:rPr>
                <w:rFonts w:ascii="宋体" w:hAnsi="宋体" w:cs="宋体"/>
                <w:color w:val="000000"/>
              </w:rPr>
              <w:t xml:space="preserve">增值服务</w:t>
            </w:r>
            <w:r/>
          </w:p>
        </w:tc>
        <w:tc>
          <w:tcPr>
            <w:tcBorders>
              <w:top w:val="single" w:color="auto" w:sz="4" w:space="0"/>
              <w:left w:val="single" w:color="auto" w:sz="4" w:space="0"/>
              <w:right w:val="single" w:color="auto" w:sz="4" w:space="0"/>
            </w:tcBorders>
            <w:tcW w:w="3269" w:type="pct"/>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（1）提供至少</w:t>
            </w:r>
            <w:r>
              <w:rPr>
                <w:rFonts w:ascii="宋体" w:hAnsi="宋体" w:cs="宋体"/>
                <w:szCs w:val="21"/>
              </w:rPr>
              <w:t xml:space="preserve">6</w:t>
            </w:r>
            <w:r>
              <w:rPr>
                <w:rFonts w:hint="eastAsia" w:ascii="宋体" w:hAnsi="宋体" w:cs="宋体"/>
                <w:szCs w:val="21"/>
              </w:rPr>
              <w:t xml:space="preserve">个月内符合采购人需求的专场体检场次，每提供1场得1分，最高2分；</w:t>
            </w:r>
            <w:r>
              <w:rPr>
                <w:rFonts w:hint="eastAsia" w:ascii="宋体" w:hAnsi="宋体" w:cs="宋体"/>
                <w:b/>
                <w:bCs/>
                <w:szCs w:val="21"/>
              </w:rPr>
              <w:t xml:space="preserve">（提供承诺书并加盖供应商公章）</w:t>
            </w:r>
            <w:r/>
          </w:p>
          <w:p>
            <w:pPr>
              <w:spacing w:line="400" w:lineRule="exact"/>
              <w:rPr>
                <w:rFonts w:ascii="宋体" w:hAnsi="宋体" w:cs="宋体"/>
                <w:szCs w:val="21"/>
              </w:rPr>
            </w:pPr>
            <w:r>
              <w:rPr>
                <w:rFonts w:hint="eastAsia" w:ascii="宋体" w:hAnsi="宋体" w:cs="宋体"/>
                <w:szCs w:val="21"/>
              </w:rPr>
              <w:t xml:space="preserve">（2）增加南京市内教职工定点往返接送服务，按体检预约批次提供合规营运大巴，体检日早间完成指定地点</w:t>
            </w:r>
            <w:r>
              <w:rPr>
                <w:rFonts w:hint="eastAsia" w:ascii="MS Gothic" w:hAnsi="MS Gothic" w:eastAsia="MS Gothic" w:cs="MS Gothic"/>
                <w:szCs w:val="21"/>
              </w:rPr>
              <w:t xml:space="preserve">‑</w:t>
            </w:r>
            <w:r>
              <w:rPr>
                <w:rFonts w:hint="eastAsia" w:ascii="宋体" w:hAnsi="宋体" w:cs="宋体"/>
                <w:szCs w:val="21"/>
              </w:rPr>
              <w:t xml:space="preserve">体检点往返接驳。根据学校需要，承诺每年</w:t>
            </w:r>
            <w:r>
              <w:rPr>
                <w:rFonts w:ascii="宋体" w:hAnsi="宋体" w:cs="宋体"/>
                <w:szCs w:val="21"/>
              </w:rPr>
              <w:t xml:space="preserve">3-5</w:t>
            </w:r>
            <w:r>
              <w:rPr>
                <w:rFonts w:hint="eastAsia" w:ascii="宋体" w:hAnsi="宋体" w:cs="宋体"/>
                <w:szCs w:val="21"/>
              </w:rPr>
              <w:t xml:space="preserve">个接送批次得</w:t>
            </w:r>
            <w:r>
              <w:rPr>
                <w:rFonts w:ascii="宋体" w:hAnsi="宋体" w:cs="宋体"/>
                <w:szCs w:val="21"/>
              </w:rPr>
              <w:t xml:space="preserve">3</w:t>
            </w:r>
            <w:r>
              <w:rPr>
                <w:rFonts w:hint="eastAsia" w:ascii="宋体" w:hAnsi="宋体" w:cs="宋体"/>
                <w:szCs w:val="21"/>
              </w:rPr>
              <w:t xml:space="preserve">分，每年1</w:t>
            </w:r>
            <w:r>
              <w:rPr>
                <w:rFonts w:ascii="宋体" w:hAnsi="宋体" w:cs="宋体"/>
                <w:szCs w:val="21"/>
              </w:rPr>
              <w:t xml:space="preserve">-2</w:t>
            </w:r>
            <w:r>
              <w:rPr>
                <w:rFonts w:hint="eastAsia" w:ascii="宋体" w:hAnsi="宋体" w:cs="宋体"/>
                <w:szCs w:val="21"/>
              </w:rPr>
              <w:t xml:space="preserve">个接送批次得</w:t>
            </w:r>
            <w:r>
              <w:rPr>
                <w:rFonts w:ascii="宋体" w:hAnsi="宋体" w:cs="宋体"/>
                <w:szCs w:val="21"/>
              </w:rPr>
              <w:t xml:space="preserve">1</w:t>
            </w:r>
            <w:r>
              <w:rPr>
                <w:rFonts w:hint="eastAsia" w:ascii="宋体" w:hAnsi="宋体" w:cs="宋体"/>
                <w:szCs w:val="21"/>
              </w:rPr>
              <w:t xml:space="preserve">分，未承诺不得分。同时承诺车辆保险、司乘人员合规。最高</w:t>
            </w:r>
            <w:r>
              <w:rPr>
                <w:rFonts w:ascii="宋体" w:hAnsi="宋体" w:cs="宋体"/>
                <w:szCs w:val="21"/>
              </w:rPr>
              <w:t xml:space="preserve">3</w:t>
            </w:r>
            <w:r>
              <w:rPr>
                <w:rFonts w:hint="eastAsia" w:ascii="宋体" w:hAnsi="宋体" w:cs="宋体"/>
                <w:szCs w:val="21"/>
              </w:rPr>
              <w:t xml:space="preserve">分。</w:t>
            </w:r>
            <w:r>
              <w:rPr>
                <w:rFonts w:hint="eastAsia" w:ascii="宋体" w:hAnsi="宋体" w:cs="宋体"/>
                <w:b/>
                <w:bCs/>
                <w:szCs w:val="21"/>
              </w:rPr>
              <w:t xml:space="preserve">（提供承诺书并加盖供应商公章）</w:t>
            </w:r>
            <w:r/>
          </w:p>
          <w:p>
            <w:pPr>
              <w:spacing w:line="400" w:lineRule="exact"/>
              <w:rPr>
                <w:rFonts w:ascii="宋体" w:hAnsi="宋体" w:cs="宋体"/>
                <w:szCs w:val="21"/>
              </w:rPr>
            </w:pPr>
            <w:r>
              <w:rPr>
                <w:rFonts w:hint="eastAsia" w:ascii="宋体" w:hAnsi="宋体" w:cs="宋体"/>
                <w:szCs w:val="21"/>
              </w:rPr>
              <w:t xml:space="preserve">（3）投标人须提供增值服务方案，方案内容至少包含投标人在本项目基础体检套餐之外承诺免费增加的有效体检项目。评标委员会结合增值项目数量、实用性、合理性、可行性综合评审：</w:t>
            </w:r>
            <w:r/>
          </w:p>
          <w:p>
            <w:pPr>
              <w:spacing w:line="400" w:lineRule="exact"/>
              <w:rPr>
                <w:rFonts w:ascii="宋体" w:hAnsi="宋体" w:cs="宋体"/>
                <w:szCs w:val="21"/>
              </w:rPr>
            </w:pPr>
            <w:r>
              <w:rPr>
                <w:rFonts w:hint="eastAsia" w:ascii="宋体" w:hAnsi="宋体" w:cs="宋体"/>
                <w:szCs w:val="21"/>
              </w:rPr>
              <w:t xml:space="preserve">增值服务方案内容完整，免费新增体检项目实用性强、贴合教职工体检需求，可行性好，得3分；</w:t>
            </w:r>
            <w:r/>
          </w:p>
          <w:p>
            <w:pPr>
              <w:spacing w:line="400" w:lineRule="exact"/>
              <w:rPr>
                <w:rFonts w:ascii="宋体" w:hAnsi="宋体" w:cs="宋体"/>
                <w:szCs w:val="21"/>
              </w:rPr>
            </w:pPr>
            <w:r>
              <w:rPr>
                <w:rFonts w:hint="eastAsia" w:ascii="宋体" w:hAnsi="宋体" w:cs="宋体"/>
                <w:szCs w:val="21"/>
              </w:rPr>
              <w:t xml:space="preserve">增值服务方案内容较完整，免费新增体检项目具备实用性，可行性较好，得2分；</w:t>
            </w:r>
            <w:r/>
          </w:p>
          <w:p>
            <w:pPr>
              <w:spacing w:line="400" w:lineRule="exact"/>
              <w:rPr>
                <w:rFonts w:ascii="宋体" w:hAnsi="宋体" w:cs="宋体"/>
                <w:szCs w:val="21"/>
              </w:rPr>
            </w:pPr>
            <w:r>
              <w:rPr>
                <w:rFonts w:hint="eastAsia" w:ascii="宋体" w:hAnsi="宋体" w:cs="宋体"/>
                <w:szCs w:val="21"/>
              </w:rPr>
              <w:t xml:space="preserve">增值服务方案内容简略，仅少量免费新增体检项目，实用性一般，得1分；</w:t>
            </w:r>
            <w:r/>
          </w:p>
          <w:p>
            <w:pPr>
              <w:spacing w:line="400" w:lineRule="exact"/>
              <w:rPr>
                <w:rFonts w:ascii="宋体" w:hAnsi="宋体" w:cs="宋体"/>
                <w:color w:val="000000"/>
              </w:rPr>
            </w:pPr>
            <w:r>
              <w:rPr>
                <w:rFonts w:hint="eastAsia" w:ascii="宋体" w:hAnsi="宋体" w:cs="宋体"/>
                <w:szCs w:val="21"/>
              </w:rPr>
              <w:t xml:space="preserve">未提供增值服务方案或方案无免费新增有效体检项目的，得0分。</w:t>
            </w:r>
            <w:r/>
          </w:p>
        </w:tc>
        <w:tc>
          <w:tcPr>
            <w:tcBorders>
              <w:top w:val="single" w:color="auto" w:sz="4" w:space="0"/>
              <w:left w:val="single" w:color="auto" w:sz="4" w:space="0"/>
              <w:right w:val="single" w:color="auto" w:sz="4" w:space="0"/>
            </w:tcBorders>
            <w:tcW w:w="463" w:type="pct"/>
            <w:vAlign w:val="center"/>
            <w:textDirection w:val="lrTb"/>
            <w:noWrap w:val="false"/>
          </w:tcPr>
          <w:p>
            <w:pPr>
              <w:jc w:val="center"/>
              <w:spacing w:line="300" w:lineRule="exact"/>
              <w:tabs>
                <w:tab w:val="center" w:pos="251" w:leader="none"/>
                <w:tab w:val="left" w:pos="365" w:leader="none"/>
              </w:tabs>
              <w:rPr>
                <w:rFonts w:ascii="宋体" w:hAnsi="宋体" w:cs="宋体"/>
                <w:szCs w:val="21"/>
              </w:rPr>
            </w:pPr>
            <w:r>
              <w:rPr>
                <w:rFonts w:ascii="宋体" w:hAnsi="宋体" w:cs="宋体"/>
                <w:szCs w:val="21"/>
              </w:rPr>
              <w:t xml:space="preserve">8</w:t>
            </w:r>
            <w:r/>
          </w:p>
        </w:tc>
      </w:tr>
      <w:tr>
        <w:trPr>
          <w:jc w:val="center"/>
          <w:trHeight w:val="1058"/>
        </w:trPr>
        <w:tc>
          <w:tcPr>
            <w:tcBorders>
              <w:left w:val="single" w:color="auto" w:sz="4" w:space="0"/>
              <w:right w:val="single" w:color="auto" w:sz="4" w:space="0"/>
            </w:tcBorders>
            <w:tcW w:w="422"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7</w:t>
            </w:r>
            <w:r/>
          </w:p>
        </w:tc>
        <w:tc>
          <w:tcPr>
            <w:tcBorders>
              <w:left w:val="single" w:color="auto" w:sz="4" w:space="0"/>
              <w:right w:val="single" w:color="auto" w:sz="4" w:space="0"/>
            </w:tcBorders>
            <w:tcW w:w="843" w:type="pct"/>
            <w:vAlign w:val="center"/>
            <w:textDirection w:val="lrTb"/>
            <w:noWrap w:val="false"/>
          </w:tcPr>
          <w:p>
            <w:pPr>
              <w:jc w:val="center"/>
              <w:spacing w:line="378" w:lineRule="exact"/>
              <w:rPr>
                <w:rFonts w:ascii="宋体" w:hAnsi="宋体" w:cs="宋体"/>
                <w:color w:val="000000"/>
              </w:rPr>
            </w:pPr>
            <w:r>
              <w:rPr>
                <w:rFonts w:hint="eastAsia" w:ascii="宋体" w:hAnsi="宋体" w:cs="宋体"/>
                <w:color w:val="000000"/>
              </w:rPr>
              <w:t xml:space="preserve">异地居住教职工体检方案</w:t>
            </w:r>
            <w:r/>
          </w:p>
        </w:tc>
        <w:tc>
          <w:tcPr>
            <w:tcBorders>
              <w:top w:val="single" w:color="auto" w:sz="4" w:space="0"/>
              <w:left w:val="single" w:color="auto" w:sz="4" w:space="0"/>
              <w:right w:val="single" w:color="auto" w:sz="4" w:space="0"/>
            </w:tcBorders>
            <w:tcW w:w="3269" w:type="pct"/>
            <w:textDirection w:val="lrTb"/>
            <w:noWrap w:val="false"/>
          </w:tcPr>
          <w:p>
            <w:pPr>
              <w:spacing w:line="400" w:lineRule="exact"/>
              <w:rPr>
                <w:rFonts w:ascii="宋体" w:hAnsi="宋体" w:cs="宋体"/>
                <w:color w:val="000000"/>
              </w:rPr>
            </w:pPr>
            <w:r>
              <w:rPr>
                <w:rFonts w:hint="eastAsia" w:ascii="宋体" w:hAnsi="宋体" w:cs="宋体"/>
                <w:color w:val="000000"/>
              </w:rPr>
              <w:t xml:space="preserve">投标人须提供异地居住教职工体检实施方案，方案需明确异地居住教职工两种体检可选路径：①异地定点合作医疗机构代为体检；②回宁参加集中体检；明确预约流程、报告流转、费用结算、隐私保护；</w:t>
            </w:r>
            <w:r/>
          </w:p>
          <w:p>
            <w:pPr>
              <w:spacing w:line="400" w:lineRule="exact"/>
              <w:rPr>
                <w:rFonts w:ascii="宋体" w:hAnsi="宋体" w:cs="宋体"/>
                <w:color w:val="000000"/>
              </w:rPr>
            </w:pPr>
            <w:r>
              <w:rPr>
                <w:rFonts w:hint="eastAsia" w:ascii="宋体" w:hAnsi="宋体" w:cs="宋体"/>
                <w:color w:val="000000"/>
              </w:rPr>
              <w:t xml:space="preserve">方案流程完整、合作机制清晰，各项措施详实可行，得2分；仅有简单概述，无具体实施流程，得1分；</w:t>
            </w:r>
            <w:r/>
          </w:p>
          <w:p>
            <w:pPr>
              <w:spacing w:line="400" w:lineRule="exact"/>
              <w:rPr>
                <w:rFonts w:ascii="宋体" w:hAnsi="宋体" w:cs="宋体"/>
                <w:color w:val="000000"/>
              </w:rPr>
            </w:pPr>
            <w:r>
              <w:rPr>
                <w:rFonts w:hint="eastAsia" w:ascii="宋体" w:hAnsi="宋体" w:cs="宋体"/>
                <w:color w:val="000000"/>
              </w:rPr>
              <w:t xml:space="preserve">未提供方案不得分。</w:t>
            </w:r>
            <w:r/>
          </w:p>
        </w:tc>
        <w:tc>
          <w:tcPr>
            <w:tcBorders>
              <w:top w:val="single" w:color="auto" w:sz="4" w:space="0"/>
              <w:left w:val="single" w:color="auto" w:sz="4" w:space="0"/>
              <w:right w:val="single" w:color="auto" w:sz="4" w:space="0"/>
            </w:tcBorders>
            <w:tcW w:w="463" w:type="pct"/>
            <w:vAlign w:val="center"/>
            <w:textDirection w:val="lrTb"/>
            <w:noWrap w:val="false"/>
          </w:tcPr>
          <w:p>
            <w:pPr>
              <w:jc w:val="center"/>
              <w:spacing w:line="300" w:lineRule="exact"/>
              <w:tabs>
                <w:tab w:val="center" w:pos="251" w:leader="none"/>
                <w:tab w:val="left" w:pos="365" w:leader="none"/>
              </w:tabs>
              <w:rPr>
                <w:rFonts w:ascii="宋体" w:hAnsi="宋体" w:cs="宋体"/>
                <w:szCs w:val="21"/>
              </w:rPr>
            </w:pPr>
            <w:r>
              <w:rPr>
                <w:rFonts w:ascii="宋体" w:hAnsi="宋体" w:cs="宋体"/>
                <w:szCs w:val="21"/>
              </w:rPr>
              <w:t xml:space="preserve">2</w:t>
            </w:r>
            <w:r/>
          </w:p>
        </w:tc>
      </w:tr>
      <w:tr>
        <w:trPr>
          <w:jc w:val="center"/>
          <w:trHeight w:val="448"/>
        </w:trPr>
        <w:tc>
          <w:tcPr>
            <w:tcBorders>
              <w:left w:val="single" w:color="auto" w:sz="4" w:space="0"/>
              <w:right w:val="single" w:color="auto" w:sz="4" w:space="0"/>
            </w:tcBorders>
            <w:tcW w:w="422"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8</w:t>
            </w:r>
            <w:r/>
          </w:p>
        </w:tc>
        <w:tc>
          <w:tcPr>
            <w:tcBorders>
              <w:left w:val="single" w:color="auto" w:sz="4" w:space="0"/>
              <w:right w:val="single" w:color="auto" w:sz="4" w:space="0"/>
            </w:tcBorders>
            <w:tcW w:w="843" w:type="pct"/>
            <w:vAlign w:val="center"/>
            <w:textDirection w:val="lrTb"/>
            <w:noWrap w:val="false"/>
          </w:tcPr>
          <w:p>
            <w:pPr>
              <w:jc w:val="center"/>
              <w:spacing w:line="378" w:lineRule="exact"/>
              <w:rPr>
                <w:rFonts w:ascii="宋体" w:hAnsi="宋体" w:cs="宋体"/>
                <w:color w:val="000000"/>
              </w:rPr>
            </w:pPr>
            <w:r>
              <w:rPr>
                <w:rFonts w:ascii="宋体" w:hAnsi="宋体" w:cs="宋体"/>
                <w:color w:val="000000"/>
              </w:rPr>
              <w:t xml:space="preserve">体检环境</w:t>
            </w:r>
            <w:r/>
          </w:p>
        </w:tc>
        <w:tc>
          <w:tcPr>
            <w:tcBorders>
              <w:top w:val="single" w:color="auto" w:sz="4" w:space="0"/>
              <w:left w:val="single" w:color="auto" w:sz="4" w:space="0"/>
              <w:right w:val="single" w:color="auto" w:sz="4" w:space="0"/>
            </w:tcBorders>
            <w:tcW w:w="3269" w:type="pct"/>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指专门用于本次体检场所的环境</w:t>
            </w:r>
            <w:r>
              <w:rPr>
                <w:rFonts w:hint="eastAsia" w:ascii="宋体" w:hAnsi="宋体" w:cs="宋体"/>
                <w:b/>
                <w:bCs/>
                <w:szCs w:val="21"/>
              </w:rPr>
              <w:t xml:space="preserve">（如供应商有多个体检点，则本评分表中与体检相关的信息，须由供应商确定某一个体检点为本次投标专用体检点，只针对专用体检点打分）</w:t>
            </w:r>
            <w:r>
              <w:rPr>
                <w:rFonts w:hint="eastAsia" w:ascii="宋体" w:hAnsi="宋体" w:cs="宋体"/>
                <w:szCs w:val="21"/>
              </w:rPr>
              <w:t xml:space="preserve">，供应商需提供体检中心功能布局平面图，图纸标注各功能房间长宽、面积、功能用途、候诊区位置、男女分区，明确体检中心总建筑面积等信息。评标委员会依据体检场地布局、候诊空间、功能分区、环境条件以及提供的体检早餐情况综合评审：</w:t>
            </w:r>
            <w:r/>
          </w:p>
          <w:p>
            <w:pPr>
              <w:spacing w:line="400" w:lineRule="exact"/>
              <w:rPr>
                <w:rFonts w:ascii="宋体" w:hAnsi="宋体" w:cs="宋体"/>
                <w:szCs w:val="21"/>
              </w:rPr>
            </w:pPr>
            <w:r>
              <w:rPr>
                <w:rFonts w:hint="eastAsia" w:ascii="宋体" w:hAnsi="宋体" w:cs="宋体"/>
                <w:szCs w:val="21"/>
              </w:rPr>
              <w:t xml:space="preserve">体检环境宽敞整洁、舒适美观，候诊区域充足有序，各功能分区标识清晰、布局合理，早餐种类丰富多样，得5分；</w:t>
            </w:r>
            <w:r/>
          </w:p>
          <w:p>
            <w:pPr>
              <w:spacing w:line="400" w:lineRule="exact"/>
              <w:rPr>
                <w:rFonts w:ascii="宋体" w:hAnsi="宋体" w:cs="宋体"/>
                <w:szCs w:val="21"/>
              </w:rPr>
            </w:pPr>
            <w:r>
              <w:rPr>
                <w:rFonts w:hint="eastAsia" w:ascii="宋体" w:hAnsi="宋体" w:cs="宋体"/>
                <w:szCs w:val="21"/>
              </w:rPr>
              <w:t xml:space="preserve">体检环境较为宽敞整洁，功能区域划分明确，候诊环境舒适性较好，早餐种类较丰富，得3分；</w:t>
            </w:r>
            <w:r/>
          </w:p>
          <w:p>
            <w:pPr>
              <w:spacing w:line="400" w:lineRule="exact"/>
              <w:rPr>
                <w:rFonts w:ascii="宋体" w:hAnsi="宋体" w:cs="宋体"/>
                <w:szCs w:val="21"/>
              </w:rPr>
            </w:pPr>
            <w:r>
              <w:rPr>
                <w:rFonts w:hint="eastAsia" w:ascii="宋体" w:hAnsi="宋体" w:cs="宋体"/>
                <w:szCs w:val="21"/>
              </w:rPr>
              <w:t xml:space="preserve">体检场地空间狭小，候诊区域不足，难以满足大批量人员集中体检需求，早餐种类单一，得1分；</w:t>
            </w:r>
            <w:r/>
          </w:p>
          <w:p>
            <w:pPr>
              <w:spacing w:line="400" w:lineRule="exact"/>
              <w:rPr>
                <w:rFonts w:ascii="宋体" w:hAnsi="宋体" w:cs="宋体"/>
                <w:color w:val="000000"/>
              </w:rPr>
            </w:pPr>
            <w:r>
              <w:rPr>
                <w:rFonts w:hint="eastAsia" w:ascii="宋体" w:hAnsi="宋体" w:cs="宋体"/>
                <w:szCs w:val="21"/>
              </w:rPr>
              <w:t xml:space="preserve">未按要求提供的，本项不得分。</w:t>
            </w:r>
            <w:r/>
          </w:p>
        </w:tc>
        <w:tc>
          <w:tcPr>
            <w:tcBorders>
              <w:top w:val="single" w:color="auto" w:sz="4" w:space="0"/>
              <w:left w:val="single" w:color="auto" w:sz="4" w:space="0"/>
              <w:right w:val="single" w:color="auto" w:sz="4" w:space="0"/>
            </w:tcBorders>
            <w:tcW w:w="463" w:type="pct"/>
            <w:vAlign w:val="center"/>
            <w:textDirection w:val="lrTb"/>
            <w:noWrap w:val="false"/>
          </w:tcPr>
          <w:p>
            <w:pPr>
              <w:jc w:val="center"/>
              <w:spacing w:line="300" w:lineRule="exact"/>
              <w:tabs>
                <w:tab w:val="center" w:pos="251" w:leader="none"/>
                <w:tab w:val="left" w:pos="365" w:leader="none"/>
              </w:tabs>
              <w:rPr>
                <w:rFonts w:ascii="宋体" w:hAnsi="宋体" w:cs="宋体"/>
                <w:szCs w:val="21"/>
              </w:rPr>
            </w:pPr>
            <w:r>
              <w:rPr>
                <w:rFonts w:hint="eastAsia" w:ascii="宋体" w:hAnsi="宋体" w:cs="宋体"/>
                <w:szCs w:val="21"/>
              </w:rPr>
              <w:t xml:space="preserve">5</w:t>
            </w:r>
            <w:r/>
          </w:p>
        </w:tc>
      </w:tr>
      <w:tr>
        <w:trPr>
          <w:jc w:val="center"/>
          <w:trHeight w:val="1058"/>
        </w:trPr>
        <w:tc>
          <w:tcPr>
            <w:tcBorders>
              <w:left w:val="single" w:color="auto" w:sz="4" w:space="0"/>
              <w:right w:val="single" w:color="auto" w:sz="4" w:space="0"/>
            </w:tcBorders>
            <w:tcW w:w="422"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9</w:t>
            </w:r>
            <w:r/>
          </w:p>
        </w:tc>
        <w:tc>
          <w:tcPr>
            <w:tcBorders>
              <w:left w:val="single" w:color="auto" w:sz="4" w:space="0"/>
              <w:right w:val="single" w:color="auto" w:sz="4" w:space="0"/>
            </w:tcBorders>
            <w:tcW w:w="843" w:type="pct"/>
            <w:vAlign w:val="center"/>
            <w:textDirection w:val="lrTb"/>
            <w:noWrap w:val="false"/>
          </w:tcPr>
          <w:p>
            <w:pPr>
              <w:jc w:val="center"/>
              <w:spacing w:line="378" w:lineRule="exact"/>
              <w:rPr>
                <w:rFonts w:ascii="宋体" w:hAnsi="宋体" w:cs="宋体"/>
                <w:szCs w:val="21"/>
              </w:rPr>
            </w:pPr>
            <w:r>
              <w:rPr>
                <w:rFonts w:ascii="宋体" w:hAnsi="宋体" w:cs="宋体"/>
                <w:color w:val="000000"/>
              </w:rPr>
              <w:t xml:space="preserve">体检流程、质量控制方案</w:t>
            </w:r>
            <w:r/>
          </w:p>
        </w:tc>
        <w:tc>
          <w:tcPr>
            <w:tcBorders>
              <w:top w:val="single" w:color="auto" w:sz="4" w:space="0"/>
              <w:left w:val="single" w:color="auto" w:sz="4" w:space="0"/>
              <w:right w:val="single" w:color="auto" w:sz="4" w:space="0"/>
            </w:tcBorders>
            <w:tcW w:w="3269" w:type="pct"/>
            <w:textDirection w:val="lrTb"/>
            <w:noWrap w:val="false"/>
          </w:tcPr>
          <w:p>
            <w:pPr>
              <w:spacing w:line="400" w:lineRule="exact"/>
              <w:rPr>
                <w:rFonts w:ascii="宋体" w:hAnsi="宋体" w:cs="宋体"/>
                <w:color w:val="000000"/>
              </w:rPr>
            </w:pPr>
            <w:r>
              <w:rPr>
                <w:rFonts w:hint="eastAsia" w:ascii="宋体" w:hAnsi="宋体" w:cs="宋体"/>
                <w:color w:val="000000"/>
              </w:rPr>
              <w:t xml:space="preserve">投标人须提供体检服务流程及质量控制方案。评标委员会对方案完整性、流程规范性、质控措施科学性综合评审：</w:t>
            </w:r>
            <w:r/>
          </w:p>
          <w:p>
            <w:pPr>
              <w:spacing w:line="400" w:lineRule="exact"/>
              <w:rPr>
                <w:rFonts w:ascii="宋体" w:hAnsi="宋体" w:cs="宋体"/>
                <w:color w:val="000000"/>
              </w:rPr>
            </w:pPr>
            <w:r>
              <w:rPr>
                <w:rFonts w:ascii="宋体" w:hAnsi="宋体" w:cs="宋体"/>
                <w:color w:val="000000"/>
              </w:rPr>
              <w:t xml:space="preserve">体检流程规范完整，放射诊疗检查时，对受检者邻近照射野的敏感器官和组织屏蔽防护措施准确到位，质量控制方案科学合理、措施详实，得</w:t>
            </w:r>
            <w:r>
              <w:rPr>
                <w:rFonts w:hint="eastAsia" w:ascii="宋体" w:hAnsi="宋体" w:cs="宋体"/>
                <w:color w:val="000000"/>
              </w:rPr>
              <w:t xml:space="preserve">7</w:t>
            </w:r>
            <w:r>
              <w:rPr>
                <w:rFonts w:ascii="宋体" w:hAnsi="宋体" w:cs="宋体"/>
                <w:color w:val="000000"/>
              </w:rPr>
              <w:t xml:space="preserve">分；</w:t>
            </w:r>
            <w:r/>
          </w:p>
          <w:p>
            <w:pPr>
              <w:spacing w:line="400" w:lineRule="exact"/>
              <w:rPr>
                <w:rFonts w:ascii="宋体" w:hAnsi="宋体" w:cs="宋体"/>
                <w:color w:val="000000"/>
              </w:rPr>
            </w:pPr>
            <w:r>
              <w:rPr>
                <w:rFonts w:ascii="宋体" w:hAnsi="宋体" w:cs="宋体"/>
                <w:color w:val="000000"/>
              </w:rPr>
              <w:t xml:space="preserve">体检流程规范，放射诊疗检查时，对受检者邻近照射野的敏感器官和组织屏蔽防护措施</w:t>
            </w:r>
            <w:r>
              <w:rPr>
                <w:rFonts w:hint="eastAsia" w:ascii="宋体" w:hAnsi="宋体" w:cs="宋体"/>
                <w:color w:val="000000"/>
              </w:rPr>
              <w:t xml:space="preserve">规范</w:t>
            </w:r>
            <w:r>
              <w:rPr>
                <w:rFonts w:ascii="宋体" w:hAnsi="宋体" w:cs="宋体"/>
                <w:color w:val="000000"/>
              </w:rPr>
              <w:t xml:space="preserve">，质量控制方案较为科学、措施较完善，得</w:t>
            </w:r>
            <w:r>
              <w:rPr>
                <w:rFonts w:hint="eastAsia" w:ascii="宋体" w:hAnsi="宋体" w:cs="宋体"/>
                <w:color w:val="000000"/>
              </w:rPr>
              <w:t xml:space="preserve">5</w:t>
            </w:r>
            <w:r>
              <w:rPr>
                <w:rFonts w:ascii="宋体" w:hAnsi="宋体" w:cs="宋体"/>
                <w:color w:val="000000"/>
              </w:rPr>
              <w:t xml:space="preserve">分；</w:t>
            </w:r>
            <w:r/>
          </w:p>
          <w:p>
            <w:pPr>
              <w:spacing w:line="400" w:lineRule="exact"/>
              <w:rPr>
                <w:rFonts w:ascii="宋体" w:hAnsi="宋体" w:cs="宋体"/>
                <w:color w:val="000000"/>
              </w:rPr>
            </w:pPr>
            <w:r>
              <w:rPr>
                <w:rFonts w:ascii="宋体" w:hAnsi="宋体" w:cs="宋体"/>
                <w:color w:val="000000"/>
              </w:rPr>
              <w:t xml:space="preserve">体检流程较规范，放射诊疗检查时，对受检者邻近照射野的敏感器官和组织屏蔽防护措施</w:t>
            </w:r>
            <w:r>
              <w:rPr>
                <w:rFonts w:hint="eastAsia" w:ascii="宋体" w:hAnsi="宋体" w:cs="宋体"/>
                <w:color w:val="000000"/>
              </w:rPr>
              <w:t xml:space="preserve">较规范</w:t>
            </w:r>
            <w:r>
              <w:rPr>
                <w:rFonts w:ascii="宋体" w:hAnsi="宋体" w:cs="宋体"/>
                <w:color w:val="000000"/>
              </w:rPr>
              <w:t xml:space="preserve">，质量控制方案较为科学，核心质控措施基本齐全，得</w:t>
            </w:r>
            <w:r>
              <w:rPr>
                <w:rFonts w:hint="eastAsia" w:ascii="宋体" w:hAnsi="宋体" w:cs="宋体"/>
                <w:color w:val="000000"/>
              </w:rPr>
              <w:t xml:space="preserve">3</w:t>
            </w:r>
            <w:r>
              <w:rPr>
                <w:rFonts w:ascii="宋体" w:hAnsi="宋体" w:cs="宋体"/>
                <w:color w:val="000000"/>
              </w:rPr>
              <w:t xml:space="preserve">分；</w:t>
            </w:r>
            <w:r/>
          </w:p>
          <w:p>
            <w:pPr>
              <w:spacing w:line="400" w:lineRule="exact"/>
              <w:rPr>
                <w:rFonts w:ascii="宋体" w:hAnsi="宋体" w:cs="宋体"/>
                <w:color w:val="000000"/>
              </w:rPr>
            </w:pPr>
            <w:r>
              <w:rPr>
                <w:rFonts w:ascii="宋体" w:hAnsi="宋体" w:cs="宋体"/>
                <w:color w:val="000000"/>
              </w:rPr>
              <w:t xml:space="preserve">体检流程规范性一般，放射诊疗检查时，对受检者邻近照射野的敏感器官和组织屏蔽防护措施</w:t>
            </w:r>
            <w:r>
              <w:rPr>
                <w:rFonts w:hint="eastAsia" w:ascii="宋体" w:hAnsi="宋体" w:cs="宋体"/>
                <w:color w:val="000000"/>
              </w:rPr>
              <w:t xml:space="preserve">规范</w:t>
            </w:r>
            <w:r>
              <w:rPr>
                <w:rFonts w:ascii="宋体" w:hAnsi="宋体" w:cs="宋体"/>
                <w:color w:val="000000"/>
              </w:rPr>
              <w:t xml:space="preserve">，质量控制方案科学性一般，内容简略，得1分；</w:t>
            </w:r>
            <w:r/>
          </w:p>
          <w:p>
            <w:pPr>
              <w:spacing w:line="400" w:lineRule="exact"/>
              <w:rPr>
                <w:rFonts w:ascii="宋体" w:hAnsi="宋体" w:cs="宋体"/>
                <w:szCs w:val="21"/>
              </w:rPr>
            </w:pPr>
            <w:r>
              <w:rPr>
                <w:rFonts w:ascii="宋体" w:hAnsi="宋体" w:cs="宋体"/>
                <w:color w:val="000000"/>
              </w:rPr>
              <w:t xml:space="preserve">未提供本项资料的，本项不得分。</w:t>
            </w:r>
            <w:r/>
          </w:p>
        </w:tc>
        <w:tc>
          <w:tcPr>
            <w:tcBorders>
              <w:top w:val="single" w:color="auto" w:sz="4" w:space="0"/>
              <w:left w:val="single" w:color="auto" w:sz="4" w:space="0"/>
              <w:right w:val="single" w:color="auto" w:sz="4" w:space="0"/>
            </w:tcBorders>
            <w:tcW w:w="463" w:type="pct"/>
            <w:vAlign w:val="center"/>
            <w:textDirection w:val="lrTb"/>
            <w:noWrap w:val="false"/>
          </w:tcPr>
          <w:p>
            <w:pPr>
              <w:jc w:val="center"/>
              <w:spacing w:line="300" w:lineRule="exact"/>
              <w:tabs>
                <w:tab w:val="center" w:pos="251" w:leader="none"/>
                <w:tab w:val="left" w:pos="365" w:leader="none"/>
              </w:tabs>
              <w:rPr>
                <w:rFonts w:ascii="宋体" w:hAnsi="宋体" w:cs="宋体"/>
                <w:szCs w:val="21"/>
              </w:rPr>
            </w:pPr>
            <w:r>
              <w:rPr>
                <w:rFonts w:hint="eastAsia" w:ascii="宋体" w:hAnsi="宋体" w:cs="宋体"/>
                <w:szCs w:val="21"/>
              </w:rPr>
              <w:t xml:space="preserve">7</w:t>
            </w:r>
            <w:r/>
          </w:p>
        </w:tc>
      </w:tr>
      <w:tr>
        <w:trPr>
          <w:jc w:val="center"/>
          <w:trHeight w:val="1058"/>
        </w:trPr>
        <w:tc>
          <w:tcPr>
            <w:tcBorders>
              <w:left w:val="single" w:color="auto" w:sz="4" w:space="0"/>
              <w:right w:val="single" w:color="auto" w:sz="4" w:space="0"/>
            </w:tcBorders>
            <w:tcW w:w="422" w:type="pct"/>
            <w:vAlign w:val="center"/>
            <w:textDirection w:val="lrTb"/>
            <w:noWrap w:val="false"/>
          </w:tcPr>
          <w:p>
            <w:pPr>
              <w:jc w:val="center"/>
              <w:spacing w:line="300" w:lineRule="exact"/>
              <w:rPr>
                <w:rFonts w:ascii="宋体" w:hAnsi="宋体" w:cs="宋体"/>
                <w:szCs w:val="21"/>
              </w:rPr>
            </w:pPr>
            <w:r>
              <w:rPr>
                <w:rFonts w:ascii="宋体" w:hAnsi="宋体" w:cs="宋体"/>
                <w:szCs w:val="21"/>
              </w:rPr>
              <w:t xml:space="preserve">10</w:t>
            </w:r>
            <w:r/>
          </w:p>
        </w:tc>
        <w:tc>
          <w:tcPr>
            <w:tcBorders>
              <w:left w:val="single" w:color="auto" w:sz="4" w:space="0"/>
              <w:right w:val="single" w:color="auto" w:sz="4" w:space="0"/>
            </w:tcBorders>
            <w:tcW w:w="843" w:type="pct"/>
            <w:vAlign w:val="center"/>
            <w:textDirection w:val="lrTb"/>
            <w:noWrap w:val="false"/>
          </w:tcPr>
          <w:p>
            <w:pPr>
              <w:jc w:val="center"/>
              <w:spacing w:line="378" w:lineRule="exact"/>
              <w:rPr>
                <w:rFonts w:ascii="宋体" w:hAnsi="宋体" w:cs="宋体"/>
                <w:szCs w:val="21"/>
              </w:rPr>
            </w:pPr>
            <w:r>
              <w:rPr>
                <w:rFonts w:ascii="宋体" w:hAnsi="宋体" w:cs="宋体"/>
                <w:color w:val="000000"/>
              </w:rPr>
              <w:t xml:space="preserve">大流量应对方案</w:t>
            </w:r>
            <w:r/>
          </w:p>
        </w:tc>
        <w:tc>
          <w:tcPr>
            <w:tcBorders>
              <w:top w:val="single" w:color="auto" w:sz="4" w:space="0"/>
              <w:left w:val="single" w:color="auto" w:sz="4" w:space="0"/>
              <w:right w:val="single" w:color="auto" w:sz="4" w:space="0"/>
            </w:tcBorders>
            <w:tcW w:w="3269" w:type="pct"/>
            <w:textDirection w:val="lrTb"/>
            <w:noWrap w:val="false"/>
          </w:tcPr>
          <w:p>
            <w:pPr>
              <w:spacing w:line="400" w:lineRule="exact"/>
              <w:rPr>
                <w:rFonts w:ascii="宋体" w:hAnsi="宋体" w:cs="宋体"/>
                <w:color w:val="000000"/>
              </w:rPr>
            </w:pPr>
            <w:r>
              <w:rPr>
                <w:rFonts w:ascii="宋体" w:hAnsi="宋体" w:cs="宋体"/>
                <w:color w:val="000000"/>
              </w:rPr>
              <w:t xml:space="preserve">投标人须针对本项目教职工集中体检、大流量参检特点，制定专项人群分流及应急应对方案。评标委员会结合方案针对性、合理性及实操性综合评审：</w:t>
            </w:r>
            <w:r/>
          </w:p>
          <w:p>
            <w:pPr>
              <w:spacing w:line="400" w:lineRule="exact"/>
              <w:rPr>
                <w:rFonts w:ascii="宋体" w:hAnsi="宋体" w:cs="宋体"/>
                <w:color w:val="000000"/>
              </w:rPr>
            </w:pPr>
            <w:r>
              <w:rPr>
                <w:rFonts w:ascii="宋体" w:hAnsi="宋体" w:cs="宋体"/>
                <w:color w:val="000000"/>
              </w:rPr>
              <w:t xml:space="preserve">大流量体检应对方案贴合项目实际、科学合理，分流疏导、错峰体检、人员管控、应急保障等措施完善，可落地操作性强，得</w:t>
            </w:r>
            <w:r>
              <w:rPr>
                <w:rFonts w:hint="eastAsia" w:ascii="宋体" w:hAnsi="宋体" w:cs="宋体"/>
                <w:color w:val="000000"/>
              </w:rPr>
              <w:t xml:space="preserve">3</w:t>
            </w:r>
            <w:r>
              <w:rPr>
                <w:rFonts w:ascii="宋体" w:hAnsi="宋体" w:cs="宋体"/>
                <w:color w:val="000000"/>
              </w:rPr>
              <w:t xml:space="preserve">分；</w:t>
            </w:r>
            <w:r/>
          </w:p>
          <w:p>
            <w:pPr>
              <w:spacing w:line="400" w:lineRule="exact"/>
              <w:rPr>
                <w:rFonts w:ascii="宋体" w:hAnsi="宋体" w:cs="宋体"/>
                <w:color w:val="000000"/>
              </w:rPr>
            </w:pPr>
            <w:r>
              <w:rPr>
                <w:rFonts w:ascii="宋体" w:hAnsi="宋体" w:cs="宋体"/>
                <w:color w:val="000000"/>
              </w:rPr>
              <w:t xml:space="preserve">大流量体检应对方案整体合理，核心保障措施齐全，具备较强的落地操作性，得</w:t>
            </w:r>
            <w:r>
              <w:rPr>
                <w:rFonts w:hint="eastAsia" w:ascii="宋体" w:hAnsi="宋体" w:cs="宋体"/>
                <w:color w:val="000000"/>
              </w:rPr>
              <w:t xml:space="preserve">2</w:t>
            </w:r>
            <w:r>
              <w:rPr>
                <w:rFonts w:ascii="宋体" w:hAnsi="宋体" w:cs="宋体"/>
                <w:color w:val="000000"/>
              </w:rPr>
              <w:t xml:space="preserve">分；</w:t>
            </w:r>
            <w:r/>
          </w:p>
          <w:p>
            <w:pPr>
              <w:spacing w:line="400" w:lineRule="exact"/>
              <w:rPr>
                <w:rFonts w:ascii="宋体" w:hAnsi="宋体" w:cs="宋体"/>
                <w:color w:val="000000"/>
              </w:rPr>
            </w:pPr>
            <w:r>
              <w:rPr>
                <w:rFonts w:ascii="宋体" w:hAnsi="宋体" w:cs="宋体"/>
                <w:color w:val="000000"/>
              </w:rPr>
              <w:t xml:space="preserve">大流量体检应对方案内容较为简单、设计常规，管控及分流措施不完善，易出现人员拥堵、体检秩序混乱等问题，得1分；</w:t>
            </w:r>
            <w:r/>
          </w:p>
          <w:p>
            <w:pPr>
              <w:spacing w:line="400" w:lineRule="exact"/>
              <w:rPr>
                <w:rFonts w:ascii="宋体" w:hAnsi="宋体" w:cs="宋体"/>
                <w:szCs w:val="21"/>
              </w:rPr>
            </w:pPr>
            <w:r>
              <w:rPr>
                <w:rFonts w:ascii="宋体" w:hAnsi="宋体" w:cs="宋体"/>
                <w:color w:val="000000"/>
              </w:rPr>
              <w:t xml:space="preserve">未提供专项应对方案的，本项不得分。</w:t>
            </w:r>
            <w:r/>
          </w:p>
        </w:tc>
        <w:tc>
          <w:tcPr>
            <w:tcBorders>
              <w:top w:val="single" w:color="auto" w:sz="4" w:space="0"/>
              <w:left w:val="single" w:color="auto" w:sz="4" w:space="0"/>
              <w:right w:val="single" w:color="auto" w:sz="4" w:space="0"/>
            </w:tcBorders>
            <w:tcW w:w="463" w:type="pct"/>
            <w:vAlign w:val="center"/>
            <w:textDirection w:val="lrTb"/>
            <w:noWrap w:val="false"/>
          </w:tcPr>
          <w:p>
            <w:pPr>
              <w:jc w:val="center"/>
              <w:spacing w:line="300" w:lineRule="exact"/>
              <w:tabs>
                <w:tab w:val="center" w:pos="251" w:leader="none"/>
                <w:tab w:val="left" w:pos="365" w:leader="none"/>
              </w:tabs>
              <w:rPr>
                <w:rFonts w:ascii="宋体" w:hAnsi="宋体" w:cs="宋体"/>
                <w:szCs w:val="21"/>
              </w:rPr>
            </w:pPr>
            <w:r>
              <w:rPr>
                <w:rFonts w:hint="eastAsia" w:ascii="宋体" w:hAnsi="宋体" w:cs="宋体"/>
                <w:szCs w:val="21"/>
              </w:rPr>
              <w:t xml:space="preserve">3</w:t>
            </w:r>
            <w:r/>
          </w:p>
        </w:tc>
      </w:tr>
      <w:tr>
        <w:trPr>
          <w:jc w:val="center"/>
          <w:trHeight w:val="1058"/>
        </w:trPr>
        <w:tc>
          <w:tcPr>
            <w:tcBorders>
              <w:left w:val="single" w:color="auto" w:sz="4" w:space="0"/>
              <w:right w:val="single" w:color="auto" w:sz="4" w:space="0"/>
            </w:tcBorders>
            <w:tcW w:w="422" w:type="pct"/>
            <w:vAlign w:val="center"/>
            <w:textDirection w:val="lrTb"/>
            <w:noWrap w:val="false"/>
          </w:tcPr>
          <w:p>
            <w:pPr>
              <w:jc w:val="center"/>
              <w:spacing w:line="300" w:lineRule="exact"/>
              <w:rPr>
                <w:rFonts w:ascii="宋体" w:hAnsi="宋体" w:cs="宋体"/>
                <w:szCs w:val="21"/>
              </w:rPr>
            </w:pPr>
            <w:r>
              <w:rPr>
                <w:rFonts w:ascii="宋体" w:hAnsi="宋体" w:cs="宋体"/>
                <w:szCs w:val="21"/>
              </w:rPr>
              <w:t xml:space="preserve">11</w:t>
            </w:r>
            <w:r/>
          </w:p>
        </w:tc>
        <w:tc>
          <w:tcPr>
            <w:tcBorders>
              <w:left w:val="single" w:color="auto" w:sz="4" w:space="0"/>
              <w:right w:val="single" w:color="auto" w:sz="4" w:space="0"/>
            </w:tcBorders>
            <w:tcW w:w="843" w:type="pct"/>
            <w:vAlign w:val="center"/>
            <w:textDirection w:val="lrTb"/>
            <w:noWrap w:val="false"/>
          </w:tcPr>
          <w:p>
            <w:pPr>
              <w:jc w:val="center"/>
              <w:spacing w:line="378" w:lineRule="exact"/>
              <w:rPr>
                <w:rFonts w:ascii="宋体" w:hAnsi="宋体" w:cs="宋体"/>
                <w:szCs w:val="21"/>
              </w:rPr>
            </w:pPr>
            <w:r>
              <w:rPr>
                <w:rFonts w:ascii="宋体" w:hAnsi="宋体" w:cs="宋体"/>
                <w:color w:val="000000"/>
              </w:rPr>
              <w:t xml:space="preserve">体检报告解读、健康指导、转诊建议</w:t>
            </w:r>
            <w:r/>
          </w:p>
        </w:tc>
        <w:tc>
          <w:tcPr>
            <w:tcBorders>
              <w:top w:val="single" w:color="auto" w:sz="4" w:space="0"/>
              <w:left w:val="single" w:color="auto" w:sz="4" w:space="0"/>
              <w:right w:val="single" w:color="auto" w:sz="4" w:space="0"/>
            </w:tcBorders>
            <w:tcW w:w="3269" w:type="pct"/>
            <w:textDirection w:val="lrTb"/>
            <w:noWrap w:val="false"/>
          </w:tcPr>
          <w:p>
            <w:pPr>
              <w:spacing w:line="400" w:lineRule="exact"/>
              <w:rPr>
                <w:rFonts w:ascii="宋体" w:hAnsi="宋体" w:cs="宋体"/>
                <w:color w:val="000000"/>
              </w:rPr>
            </w:pPr>
            <w:r>
              <w:rPr>
                <w:rFonts w:ascii="宋体" w:hAnsi="宋体" w:cs="宋体"/>
                <w:color w:val="000000"/>
              </w:rPr>
              <w:t xml:space="preserve">投标人须提供完整的体检报告解读</w:t>
            </w:r>
            <w:r>
              <w:rPr>
                <w:rFonts w:hint="eastAsia" w:ascii="宋体" w:hAnsi="宋体" w:cs="宋体"/>
                <w:color w:val="000000"/>
              </w:rPr>
              <w:t xml:space="preserve">、体检报告邮寄</w:t>
            </w:r>
            <w:r>
              <w:rPr>
                <w:rFonts w:ascii="宋体" w:hAnsi="宋体" w:cs="宋体"/>
                <w:color w:val="000000"/>
              </w:rPr>
              <w:t xml:space="preserve">、健康科普指导、异常指标转诊建议专项方案，并承诺安排专业专家上门开展一对一体检报告解读服务。评标委员会结合方案完整性、科学性、针对性及落地性综合评审：</w:t>
            </w:r>
            <w:r/>
          </w:p>
          <w:p>
            <w:pPr>
              <w:spacing w:line="400" w:lineRule="exact"/>
              <w:rPr>
                <w:rFonts w:ascii="宋体" w:hAnsi="宋体" w:cs="宋体"/>
                <w:color w:val="000000"/>
              </w:rPr>
            </w:pPr>
            <w:r>
              <w:rPr>
                <w:rFonts w:ascii="宋体" w:hAnsi="宋体" w:cs="宋体"/>
                <w:color w:val="000000"/>
              </w:rPr>
              <w:t xml:space="preserve">方案体系完整、科学规范，报告解读、健康指导、转诊闭环服务内容详实，上门一对一专家解读服务</w:t>
            </w:r>
            <w:r>
              <w:rPr>
                <w:rFonts w:hint="eastAsia" w:ascii="宋体" w:hAnsi="宋体" w:cs="宋体"/>
                <w:color w:val="000000"/>
              </w:rPr>
              <w:t xml:space="preserve">次数不少于2次/年，</w:t>
            </w:r>
            <w:r>
              <w:rPr>
                <w:rFonts w:ascii="宋体" w:hAnsi="宋体" w:cs="宋体"/>
                <w:color w:val="000000"/>
              </w:rPr>
              <w:t xml:space="preserve">完全贴合教职工健康服务需求，得3分；</w:t>
            </w:r>
            <w:r/>
          </w:p>
          <w:p>
            <w:pPr>
              <w:spacing w:line="400" w:lineRule="exact"/>
              <w:rPr>
                <w:rFonts w:ascii="宋体" w:hAnsi="宋体" w:cs="宋体"/>
                <w:color w:val="000000"/>
              </w:rPr>
            </w:pPr>
            <w:r>
              <w:rPr>
                <w:rFonts w:ascii="宋体" w:hAnsi="宋体" w:cs="宋体"/>
                <w:color w:val="000000"/>
              </w:rPr>
              <w:t xml:space="preserve">方案内容较完整、科学合理，涵盖核心报告解读、健康指导及转诊服务，上门专家解读服务</w:t>
            </w:r>
            <w:r>
              <w:rPr>
                <w:rFonts w:hint="eastAsia" w:ascii="宋体" w:hAnsi="宋体" w:cs="宋体"/>
                <w:color w:val="000000"/>
              </w:rPr>
              <w:t xml:space="preserve">次数不少于</w:t>
            </w:r>
            <w:r>
              <w:rPr>
                <w:rFonts w:ascii="宋体" w:hAnsi="宋体" w:cs="宋体"/>
                <w:color w:val="000000"/>
              </w:rPr>
              <w:t xml:space="preserve">1</w:t>
            </w:r>
            <w:r>
              <w:rPr>
                <w:rFonts w:hint="eastAsia" w:ascii="宋体" w:hAnsi="宋体" w:cs="宋体"/>
                <w:color w:val="000000"/>
              </w:rPr>
              <w:t xml:space="preserve">次/年</w:t>
            </w:r>
            <w:r>
              <w:rPr>
                <w:rFonts w:ascii="宋体" w:hAnsi="宋体" w:cs="宋体"/>
                <w:color w:val="000000"/>
              </w:rPr>
              <w:t xml:space="preserve">，可满足项目基本服务需求，得2分；</w:t>
            </w:r>
            <w:r/>
          </w:p>
          <w:p>
            <w:pPr>
              <w:spacing w:line="400" w:lineRule="exact"/>
              <w:rPr>
                <w:rFonts w:ascii="宋体" w:hAnsi="宋体" w:cs="宋体"/>
                <w:color w:val="000000"/>
              </w:rPr>
            </w:pPr>
            <w:r>
              <w:rPr>
                <w:rFonts w:ascii="宋体" w:hAnsi="宋体" w:cs="宋体"/>
                <w:color w:val="000000"/>
              </w:rPr>
              <w:t xml:space="preserve">方案内容简略、完整性不足，服务流程及保障措施较为单一，整体科学合理性一般，仅能满足基础服务需求，得1分；</w:t>
            </w:r>
            <w:r/>
          </w:p>
          <w:p>
            <w:pPr>
              <w:spacing w:line="400" w:lineRule="exact"/>
              <w:rPr>
                <w:rFonts w:ascii="宋体" w:hAnsi="宋体" w:cs="宋体"/>
                <w:szCs w:val="21"/>
              </w:rPr>
            </w:pPr>
            <w:r>
              <w:rPr>
                <w:rFonts w:ascii="宋体" w:hAnsi="宋体" w:cs="宋体"/>
                <w:color w:val="000000"/>
              </w:rPr>
              <w:t xml:space="preserve">未提供本项专项服务方案的，本项不得分。</w:t>
            </w:r>
            <w:r/>
          </w:p>
        </w:tc>
        <w:tc>
          <w:tcPr>
            <w:tcBorders>
              <w:top w:val="single" w:color="auto" w:sz="4" w:space="0"/>
              <w:left w:val="single" w:color="auto" w:sz="4" w:space="0"/>
              <w:right w:val="single" w:color="auto" w:sz="4" w:space="0"/>
            </w:tcBorders>
            <w:tcW w:w="463" w:type="pct"/>
            <w:vAlign w:val="center"/>
            <w:textDirection w:val="lrTb"/>
            <w:noWrap w:val="false"/>
          </w:tcPr>
          <w:p>
            <w:pPr>
              <w:jc w:val="center"/>
              <w:spacing w:line="300" w:lineRule="exact"/>
              <w:tabs>
                <w:tab w:val="center" w:pos="251" w:leader="none"/>
                <w:tab w:val="left" w:pos="365" w:leader="none"/>
              </w:tabs>
              <w:rPr>
                <w:rFonts w:ascii="宋体" w:hAnsi="宋体" w:cs="宋体"/>
                <w:szCs w:val="21"/>
              </w:rPr>
            </w:pPr>
            <w:r>
              <w:rPr>
                <w:rFonts w:ascii="宋体" w:hAnsi="宋体" w:cs="宋体"/>
                <w:szCs w:val="21"/>
              </w:rPr>
              <w:t xml:space="preserve">3</w:t>
            </w:r>
            <w:r/>
          </w:p>
        </w:tc>
      </w:tr>
      <w:tr>
        <w:trPr>
          <w:jc w:val="center"/>
          <w:trHeight w:val="724"/>
        </w:trPr>
        <w:tc>
          <w:tcPr>
            <w:tcBorders>
              <w:left w:val="single" w:color="auto" w:sz="4" w:space="0"/>
              <w:right w:val="single" w:color="auto" w:sz="4" w:space="0"/>
            </w:tcBorders>
            <w:tcW w:w="422" w:type="pct"/>
            <w:vAlign w:val="center"/>
            <w:textDirection w:val="lrTb"/>
            <w:noWrap w:val="false"/>
          </w:tcPr>
          <w:p>
            <w:pPr>
              <w:jc w:val="center"/>
              <w:spacing w:line="300" w:lineRule="exact"/>
              <w:rPr>
                <w:rFonts w:ascii="宋体" w:hAnsi="宋体" w:cs="宋体"/>
                <w:szCs w:val="21"/>
              </w:rPr>
            </w:pPr>
            <w:r>
              <w:rPr>
                <w:rFonts w:ascii="宋体" w:hAnsi="宋体" w:cs="宋体"/>
                <w:szCs w:val="21"/>
              </w:rPr>
            </w:r>
            <w:r/>
          </w:p>
        </w:tc>
        <w:tc>
          <w:tcPr>
            <w:gridSpan w:val="2"/>
            <w:tcBorders>
              <w:left w:val="single" w:color="auto" w:sz="4" w:space="0"/>
              <w:right w:val="single" w:color="auto" w:sz="4" w:space="0"/>
            </w:tcBorders>
            <w:tcW w:w="4113"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合计</w:t>
            </w:r>
            <w:r/>
          </w:p>
        </w:tc>
        <w:tc>
          <w:tcPr>
            <w:tcBorders>
              <w:left w:val="single" w:color="auto" w:sz="4" w:space="0"/>
              <w:right w:val="single" w:color="auto" w:sz="4" w:space="0"/>
            </w:tcBorders>
            <w:tcW w:w="463"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100</w:t>
            </w:r>
            <w:r/>
          </w:p>
        </w:tc>
      </w:tr>
    </w:tbl>
    <w:p>
      <w:pPr>
        <w:ind w:left="420" w:firstLine="420"/>
        <w:spacing w:line="360" w:lineRule="auto"/>
        <w:tabs>
          <w:tab w:val="left" w:pos="960" w:leader="none"/>
        </w:tabs>
        <w:rPr>
          <w:rFonts w:ascii="宋体" w:hAnsi="宋体" w:cs="宋体"/>
        </w:rPr>
      </w:pPr>
      <w:r>
        <w:rPr>
          <w:rFonts w:ascii="宋体" w:hAnsi="宋体" w:cs="宋体"/>
        </w:rPr>
      </w:r>
      <w:r/>
    </w:p>
    <w:p>
      <w:pPr>
        <w:ind w:firstLine="422"/>
        <w:rPr>
          <w:rFonts w:ascii="宋体" w:hAnsi="宋体" w:cs="宋体"/>
          <w:b/>
          <w:szCs w:val="21"/>
        </w:rPr>
      </w:pPr>
      <w:r>
        <w:rPr>
          <w:rFonts w:hint="eastAsia" w:ascii="宋体" w:hAnsi="宋体" w:cs="宋体"/>
          <w:b/>
          <w:szCs w:val="21"/>
        </w:rPr>
        <w:t xml:space="preserve">说明：1.所有认证、证明和业绩均以有效清晰的证明文件的复印件为依据，原件备查。</w:t>
      </w:r>
      <w:r/>
    </w:p>
    <w:p>
      <w:pPr>
        <w:ind w:firstLine="422"/>
        <w:spacing w:line="360" w:lineRule="auto"/>
        <w:rPr>
          <w:rFonts w:ascii="宋体" w:hAnsi="宋体" w:cs="宋体"/>
          <w:b/>
          <w:szCs w:val="21"/>
        </w:rPr>
      </w:pPr>
      <w:r>
        <w:rPr>
          <w:rFonts w:hint="eastAsia" w:ascii="宋体" w:hAnsi="宋体" w:cs="宋体"/>
          <w:b/>
          <w:szCs w:val="21"/>
        </w:rPr>
        <w:t xml:space="preserve">2.小微企业价格扣除</w:t>
      </w:r>
      <w:r/>
    </w:p>
    <w:p>
      <w:pPr>
        <w:ind w:firstLine="422"/>
        <w:spacing w:line="360" w:lineRule="auto"/>
        <w:rPr>
          <w:rFonts w:ascii="宋体" w:hAnsi="宋体" w:cs="宋体"/>
          <w:szCs w:val="21"/>
        </w:rPr>
      </w:pPr>
      <w:r>
        <w:rPr>
          <w:rFonts w:hint="eastAsia" w:ascii="宋体" w:hAnsi="宋体" w:cs="宋体"/>
          <w:b/>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2"/>
        <w:spacing w:line="360" w:lineRule="auto"/>
        <w:rPr>
          <w:rFonts w:ascii="宋体" w:hAnsi="宋体" w:cs="宋体"/>
          <w:b/>
          <w:szCs w:val="21"/>
        </w:rPr>
      </w:pPr>
      <w:r>
        <w:rPr>
          <w:rFonts w:hint="eastAsia" w:ascii="宋体" w:hAnsi="宋体" w:cs="宋体"/>
          <w:b/>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2"/>
        <w:spacing w:line="360" w:lineRule="auto"/>
        <w:rPr>
          <w:rFonts w:ascii="宋体" w:hAnsi="宋体" w:cs="宋体"/>
          <w:b/>
          <w:szCs w:val="21"/>
        </w:rPr>
      </w:pPr>
      <w:r>
        <w:rPr>
          <w:rFonts w:hint="eastAsia" w:ascii="宋体" w:hAnsi="宋体" w:cs="宋体"/>
          <w:b/>
          <w:szCs w:val="21"/>
        </w:rPr>
        <w:t xml:space="preserve">3.监狱和戒毒企业的价格扣除</w:t>
      </w:r>
      <w:r/>
    </w:p>
    <w:p>
      <w:pPr>
        <w:ind w:firstLine="422"/>
        <w:spacing w:line="360" w:lineRule="auto"/>
        <w:rPr>
          <w:rFonts w:ascii="宋体" w:hAnsi="宋体" w:cs="宋体"/>
          <w:b/>
          <w:szCs w:val="21"/>
        </w:rPr>
      </w:pPr>
      <w:r>
        <w:rPr>
          <w:rFonts w:hint="eastAsia" w:ascii="宋体" w:hAnsi="宋体" w:cs="宋体"/>
          <w:b/>
          <w:szCs w:val="21"/>
        </w:rPr>
        <w:t xml:space="preserve">3.1 本项目对监狱和戒毒企业，给予10%的价格扣除，用扣除后的价格参与评审。</w:t>
      </w:r>
      <w:r/>
    </w:p>
    <w:p>
      <w:pPr>
        <w:ind w:firstLine="422"/>
        <w:spacing w:line="360" w:lineRule="auto"/>
        <w:rPr>
          <w:rFonts w:ascii="宋体" w:hAnsi="宋体" w:cs="宋体"/>
          <w:b/>
          <w:szCs w:val="21"/>
        </w:rPr>
      </w:pPr>
      <w:r>
        <w:rPr>
          <w:rFonts w:hint="eastAsia" w:ascii="宋体" w:hAnsi="宋体" w:cs="宋体"/>
          <w:b/>
          <w:szCs w:val="21"/>
        </w:rPr>
        <w:t xml:space="preserve">3.2 监狱企业需提供由省级以上监狱管理局、戒毒管理局（含新疆生产建设兵团）出具的属于监狱企业的证明文件。</w:t>
      </w:r>
      <w:r/>
    </w:p>
    <w:p>
      <w:pPr>
        <w:ind w:firstLine="422"/>
        <w:spacing w:line="360" w:lineRule="auto"/>
        <w:rPr>
          <w:rFonts w:ascii="宋体" w:hAnsi="宋体" w:cs="宋体"/>
          <w:b/>
          <w:szCs w:val="21"/>
        </w:rPr>
      </w:pPr>
      <w:r>
        <w:rPr>
          <w:rFonts w:hint="eastAsia" w:ascii="宋体" w:hAnsi="宋体" w:cs="宋体"/>
          <w:b/>
          <w:szCs w:val="21"/>
        </w:rPr>
        <w:t xml:space="preserve">3.3 监狱企业标准请参照《关于政府采购支持监狱企业发展有关问题的通知》（财库〔2014〕68号）。</w:t>
      </w:r>
      <w:r/>
    </w:p>
    <w:p>
      <w:pPr>
        <w:ind w:firstLine="422"/>
        <w:spacing w:line="360" w:lineRule="auto"/>
        <w:rPr>
          <w:rFonts w:ascii="宋体" w:hAnsi="宋体" w:cs="宋体"/>
          <w:b/>
          <w:szCs w:val="21"/>
        </w:rPr>
      </w:pPr>
      <w:r>
        <w:rPr>
          <w:rFonts w:hint="eastAsia" w:ascii="宋体" w:hAnsi="宋体" w:cs="宋体"/>
          <w:b/>
          <w:szCs w:val="21"/>
        </w:rPr>
        <w:t xml:space="preserve">4.残疾人福利性单位的价格扣除</w:t>
      </w:r>
      <w:r/>
    </w:p>
    <w:p>
      <w:pPr>
        <w:ind w:firstLine="422"/>
        <w:spacing w:line="360" w:lineRule="auto"/>
        <w:rPr>
          <w:rFonts w:ascii="宋体" w:hAnsi="宋体" w:cs="宋体"/>
          <w:b/>
          <w:szCs w:val="21"/>
        </w:rPr>
      </w:pPr>
      <w:r>
        <w:rPr>
          <w:rFonts w:hint="eastAsia" w:ascii="宋体" w:hAnsi="宋体" w:cs="宋体"/>
          <w:b/>
          <w:szCs w:val="21"/>
        </w:rPr>
        <w:t xml:space="preserve">4.1 本项目对残疾人福利性单位，给予10%的价格扣除，用扣除后的价格参与评审。</w:t>
      </w:r>
      <w:r/>
    </w:p>
    <w:p>
      <w:pPr>
        <w:ind w:firstLine="422"/>
        <w:spacing w:line="360" w:lineRule="auto"/>
        <w:rPr>
          <w:rFonts w:ascii="宋体" w:hAnsi="宋体" w:cs="宋体"/>
          <w:b/>
          <w:szCs w:val="21"/>
        </w:rPr>
      </w:pPr>
      <w:r>
        <w:rPr>
          <w:rFonts w:hint="eastAsia" w:ascii="宋体" w:hAnsi="宋体" w:cs="宋体"/>
          <w:b/>
          <w:szCs w:val="21"/>
        </w:rPr>
        <w:t xml:space="preserve">4.2 残疾人福利性单位需提供《残疾人福利性单位声明函》</w:t>
      </w:r>
      <w:r/>
    </w:p>
    <w:p>
      <w:pPr>
        <w:ind w:firstLine="422"/>
        <w:spacing w:line="360" w:lineRule="auto"/>
        <w:rPr>
          <w:rFonts w:ascii="宋体" w:hAnsi="宋体" w:cs="宋体"/>
          <w:b/>
          <w:szCs w:val="21"/>
        </w:rPr>
      </w:pPr>
      <w:r>
        <w:rPr>
          <w:rFonts w:hint="eastAsia" w:ascii="宋体" w:hAnsi="宋体" w:cs="宋体"/>
          <w:b/>
          <w:szCs w:val="21"/>
        </w:rPr>
        <w:t xml:space="preserve">4.3 残疾人福利性单位标准请参照《关于促进残疾人就业政府采购政策的通知》（财库〔2017〕141号）。</w:t>
      </w:r>
      <w:r/>
    </w:p>
    <w:p>
      <w:pPr>
        <w:ind w:firstLine="422"/>
        <w:spacing w:line="360" w:lineRule="auto"/>
        <w:rPr>
          <w:rFonts w:ascii="宋体" w:hAnsi="宋体" w:cs="宋体"/>
          <w:b/>
          <w:szCs w:val="21"/>
        </w:rPr>
      </w:pPr>
      <w:r>
        <w:rPr>
          <w:rFonts w:hint="eastAsia" w:ascii="宋体" w:hAnsi="宋体" w:cs="宋体"/>
          <w:b/>
          <w:szCs w:val="21"/>
        </w:rPr>
        <w:t xml:space="preserve">5. 监狱企业、残疾人福利性单位属于小型、微型企业的，不重复享受政策。</w:t>
      </w:r>
      <w:r/>
    </w:p>
    <w:p>
      <w:pPr>
        <w:ind w:firstLine="422"/>
        <w:spacing w:line="360" w:lineRule="auto"/>
        <w:rPr>
          <w:rFonts w:ascii="宋体" w:hAnsi="宋体" w:cs="宋体"/>
          <w:b/>
          <w:szCs w:val="21"/>
        </w:rPr>
      </w:pPr>
      <w:r>
        <w:rPr>
          <w:rFonts w:hint="eastAsia" w:ascii="宋体" w:hAnsi="宋体" w:cs="宋体"/>
          <w:b/>
          <w:szCs w:val="21"/>
        </w:rPr>
        <w:t xml:space="preserve">6.本国产品的价格扣除</w:t>
      </w:r>
      <w:r/>
    </w:p>
    <w:p>
      <w:pPr>
        <w:ind w:firstLine="422"/>
        <w:spacing w:line="360" w:lineRule="auto"/>
        <w:rPr>
          <w:rFonts w:ascii="宋体" w:hAnsi="宋体" w:cs="宋体"/>
          <w:b/>
          <w:szCs w:val="21"/>
        </w:rPr>
      </w:pPr>
      <w:r>
        <w:rPr>
          <w:rFonts w:hint="eastAsia" w:ascii="宋体" w:hAnsi="宋体" w:cs="宋体"/>
          <w:b/>
          <w:szCs w:val="21"/>
        </w:rPr>
        <w:t xml:space="preserve">6.1 本国产品标准、本国产品标准的适用范围、对本国产品的支持政策等详见《国务院办公厅关于在政府采购中实施本国产品标准及相关政策的通知》（国办发〔2025〕34号）。</w:t>
      </w:r>
      <w:r/>
    </w:p>
    <w:p>
      <w:pPr>
        <w:ind w:firstLine="422"/>
        <w:spacing w:line="360" w:lineRule="auto"/>
        <w:rPr>
          <w:rFonts w:ascii="宋体" w:hAnsi="宋体" w:cs="宋体"/>
          <w:b/>
          <w:szCs w:val="21"/>
        </w:rPr>
      </w:pPr>
      <w:r>
        <w:rPr>
          <w:rFonts w:hint="eastAsia" w:ascii="宋体" w:hAnsi="宋体" w:cs="宋体"/>
          <w:b/>
          <w:szCs w:val="21"/>
        </w:rPr>
        <w:t xml:space="preserve">6.2 政府采购活动中既有本国产品又有非本国产品参与竞争的，依法对本国产品给予价格评审优惠，对本国产品的报价给予20%的价格扣除，用扣除后的价格参与评审。</w:t>
      </w:r>
      <w:r/>
    </w:p>
    <w:p>
      <w:pPr>
        <w:ind w:firstLine="422"/>
        <w:spacing w:line="360" w:lineRule="auto"/>
        <w:rPr>
          <w:rFonts w:ascii="宋体" w:hAnsi="宋体" w:cs="宋体"/>
          <w:b/>
          <w:szCs w:val="21"/>
        </w:rPr>
      </w:pPr>
      <w:r>
        <w:rPr>
          <w:rFonts w:hint="eastAsia" w:ascii="宋体" w:hAnsi="宋体" w:cs="宋体"/>
          <w:b/>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left"/>
        <w:widowControl/>
        <w:rPr>
          <w:rFonts w:ascii="宋体" w:hAnsi="宋体" w:cs="宋体"/>
          <w:b/>
          <w:sz w:val="22"/>
          <w:szCs w:val="28"/>
        </w:rPr>
        <w:sectPr>
          <w:footnotePr/>
          <w:endnotePr/>
          <w:type w:val="nextPage"/>
          <w:pgSz w:w="11905" w:h="16838" w:orient="portrait"/>
          <w:pgMar w:top="1440" w:right="1803" w:bottom="1440" w:left="1803" w:header="850" w:footer="992" w:gutter="0"/>
          <w:cols w:num="1" w:sep="0" w:space="0" w:equalWidth="1"/>
          <w:docGrid w:linePitch="360"/>
          <w:titlePg/>
        </w:sectPr>
      </w:pPr>
      <w:r>
        <w:rPr>
          <w:rFonts w:ascii="宋体" w:hAnsi="宋体" w:cs="宋体"/>
          <w:b/>
          <w:sz w:val="22"/>
          <w:szCs w:val="28"/>
        </w:rPr>
      </w:r>
      <w:r/>
    </w:p>
    <w:p>
      <w:pPr>
        <w:pStyle w:val="887"/>
        <w:numPr>
          <w:ilvl w:val="0"/>
          <w:numId w:val="0"/>
        </w:numPr>
        <w:rPr>
          <w:rFonts w:ascii="宋体" w:hAnsi="宋体" w:cs="宋体"/>
        </w:rPr>
      </w:pPr>
      <w:r/>
      <w:bookmarkStart w:id="19" w:name="_Toc6871"/>
      <w:r>
        <w:rPr>
          <w:rFonts w:hint="eastAsia" w:ascii="宋体" w:hAnsi="宋体" w:cs="宋体"/>
        </w:rPr>
        <w:t xml:space="preserve">第四章 采购需求</w:t>
      </w:r>
      <w:bookmarkEnd w:id="19"/>
      <w:r/>
      <w:bookmarkStart w:id="20" w:name="_Toc481057147"/>
      <w:r/>
      <w:r/>
    </w:p>
    <w:p>
      <w:pPr>
        <w:pStyle w:val="888"/>
        <w:numPr>
          <w:ilvl w:val="0"/>
          <w:numId w:val="0"/>
        </w:numPr>
        <w:jc w:val="left"/>
        <w:rPr>
          <w:rFonts w:ascii="宋体" w:hAnsi="宋体" w:cs="宋体"/>
          <w:color w:val="000000" w:themeColor="text1"/>
          <w:spacing w:val="8"/>
          <w:szCs w:val="2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采购包一采购需求：</w:t>
      </w:r>
      <w:r/>
    </w:p>
    <w:p>
      <w:pPr>
        <w:spacing w:before="158" w:after="158"/>
        <w:rPr>
          <w:rFonts w:ascii="宋体" w:hAnsi="宋体" w:cs="宋体"/>
          <w:b/>
          <w:bCs/>
          <w:sz w:val="22"/>
          <w:szCs w:val="28"/>
        </w:rPr>
        <w:outlineLvl w:val="2"/>
      </w:pPr>
      <w:r>
        <w:rPr>
          <w:rFonts w:hint="eastAsia" w:ascii="宋体" w:hAnsi="宋体" w:cs="宋体"/>
          <w:b/>
          <w:bCs/>
          <w:sz w:val="22"/>
          <w:szCs w:val="28"/>
        </w:rPr>
        <w:t xml:space="preserve">一、项目概况</w:t>
      </w:r>
      <w:r/>
    </w:p>
    <w:p>
      <w:pPr>
        <w:ind w:firstLine="420"/>
        <w:spacing w:line="360" w:lineRule="auto"/>
        <w:rPr>
          <w:rFonts w:ascii="宋体" w:hAnsi="宋体" w:cs="宋体"/>
        </w:rPr>
      </w:pPr>
      <w:r>
        <w:rPr>
          <w:rFonts w:hint="eastAsia" w:ascii="宋体" w:hAnsi="宋体" w:cs="宋体"/>
        </w:rPr>
        <w:t xml:space="preserve">根据教职工调研结果以及对三甲医院体检需求，现拟采购2</w:t>
      </w:r>
      <w:r>
        <w:rPr>
          <w:rFonts w:ascii="宋体" w:hAnsi="宋体" w:cs="宋体"/>
        </w:rPr>
        <w:t xml:space="preserve">026-2028</w:t>
      </w:r>
      <w:r>
        <w:rPr>
          <w:rFonts w:hint="eastAsia" w:ascii="宋体" w:hAnsi="宋体" w:cs="宋体"/>
        </w:rPr>
        <w:t xml:space="preserve">年度教职工体检服务，共划分2个采购包。本项目为南京工业职业技术大学2026-2028年度教职工体检项目，全校共有在职教职工</w:t>
      </w:r>
      <w:r>
        <w:rPr>
          <w:rFonts w:ascii="宋体" w:hAnsi="宋体" w:cs="宋体"/>
        </w:rPr>
        <w:t xml:space="preserve">1238</w:t>
      </w:r>
      <w:r>
        <w:rPr>
          <w:rFonts w:hint="eastAsia" w:ascii="宋体" w:hAnsi="宋体" w:cs="宋体"/>
        </w:rPr>
        <w:t xml:space="preserve">人，退休教职工</w:t>
      </w:r>
      <w:r>
        <w:rPr>
          <w:rFonts w:ascii="宋体" w:hAnsi="宋体" w:cs="宋体"/>
        </w:rPr>
        <w:t xml:space="preserve">268</w:t>
      </w:r>
      <w:r>
        <w:rPr>
          <w:rFonts w:hint="eastAsia" w:ascii="宋体" w:hAnsi="宋体" w:cs="宋体"/>
        </w:rPr>
        <w:t xml:space="preserve">人。</w:t>
      </w:r>
      <w:r/>
    </w:p>
    <w:p>
      <w:pPr>
        <w:ind w:firstLine="422"/>
        <w:spacing w:line="360" w:lineRule="auto"/>
        <w:rPr>
          <w:rFonts w:ascii="宋体" w:hAnsi="宋体" w:cs="宋体"/>
          <w:b/>
          <w:bCs/>
        </w:rPr>
      </w:pPr>
      <w:r>
        <w:rPr>
          <w:rFonts w:hint="eastAsia" w:ascii="宋体" w:hAnsi="宋体" w:cs="宋体"/>
          <w:b/>
          <w:bCs/>
        </w:rPr>
        <w:t xml:space="preserve">采购包一：三级甲等医院，完成当年度选取该项目的教职工（含退休人员）体检工作，预估参检人数为</w:t>
      </w:r>
      <w:r>
        <w:rPr>
          <w:rFonts w:ascii="宋体" w:hAnsi="宋体" w:cs="宋体"/>
          <w:b/>
          <w:bCs/>
        </w:rPr>
        <w:t xml:space="preserve">1152</w:t>
      </w:r>
      <w:r>
        <w:rPr>
          <w:rFonts w:hint="eastAsia" w:ascii="宋体" w:hAnsi="宋体" w:cs="宋体"/>
          <w:b/>
          <w:bCs/>
        </w:rPr>
        <w:t xml:space="preserve">人，该人数仅作为报价参考，采购人不保证最终实际体检人数，最终以实际参加体检人数及体检项目结算体检费用。</w:t>
      </w:r>
      <w:r/>
    </w:p>
    <w:p>
      <w:pPr>
        <w:ind w:firstLine="422"/>
        <w:spacing w:line="360" w:lineRule="auto"/>
        <w:rPr>
          <w:rFonts w:ascii="宋体" w:hAnsi="宋体" w:cs="宋体"/>
          <w:b/>
          <w:bCs/>
        </w:rPr>
      </w:pPr>
      <w:r>
        <w:rPr>
          <w:rFonts w:hint="eastAsia" w:ascii="宋体" w:hAnsi="宋体" w:cs="宋体"/>
          <w:b/>
          <w:bCs/>
        </w:rPr>
        <w:t xml:space="preserve">本项目包一采购预算200.00万元/年。本项目采用单价报价模式，结算价款按实际参检人数及中标单价核算，各包最终结算总价均不得超过对应包年度采购预算；若按实际参检人数测算费用达到对应包年度预算上限，超出部分采购人不予支付。</w:t>
      </w:r>
      <w:r/>
    </w:p>
    <w:p>
      <w:pPr>
        <w:ind w:firstLine="420"/>
        <w:spacing w:line="360" w:lineRule="auto"/>
        <w:rPr>
          <w:rFonts w:ascii="宋体" w:hAnsi="宋体" w:cs="宋体"/>
        </w:rPr>
      </w:pPr>
      <w:r>
        <w:rPr>
          <w:rFonts w:hint="eastAsia" w:ascii="宋体" w:hAnsi="宋体" w:cs="宋体"/>
        </w:rPr>
        <w:t xml:space="preserve">体检时间初步定为每年</w:t>
      </w:r>
      <w:r>
        <w:rPr>
          <w:rFonts w:ascii="宋体" w:hAnsi="宋体" w:cs="宋体"/>
        </w:rPr>
        <w:t xml:space="preserve">8</w:t>
      </w:r>
      <w:r>
        <w:rPr>
          <w:rFonts w:hint="eastAsia" w:ascii="宋体" w:hAnsi="宋体" w:cs="宋体"/>
        </w:rPr>
        <w:t xml:space="preserve">月-1</w:t>
      </w:r>
      <w:r>
        <w:rPr>
          <w:rFonts w:ascii="宋体" w:hAnsi="宋体" w:cs="宋体"/>
        </w:rPr>
        <w:t xml:space="preserve">2</w:t>
      </w:r>
      <w:r>
        <w:rPr>
          <w:rFonts w:hint="eastAsia" w:ascii="宋体" w:hAnsi="宋体" w:cs="宋体"/>
        </w:rPr>
        <w:t xml:space="preserve">月，每年用5个月左右时间完成体检工作，必要时提供包场服务。</w:t>
      </w:r>
      <w:r/>
    </w:p>
    <w:p>
      <w:pPr>
        <w:rPr>
          <w:rFonts w:ascii="宋体" w:hAnsi="宋体" w:cs="宋体"/>
        </w:rPr>
      </w:pPr>
      <w:r>
        <w:rPr>
          <w:rFonts w:ascii="宋体" w:hAnsi="宋体" w:cs="宋体"/>
        </w:rPr>
      </w:r>
      <w:r/>
    </w:p>
    <w:p>
      <w:pPr>
        <w:spacing w:before="158" w:after="158"/>
        <w:rPr>
          <w:rFonts w:ascii="宋体" w:hAnsi="宋体" w:cs="宋体"/>
          <w:b/>
          <w:bCs/>
          <w:sz w:val="22"/>
          <w:szCs w:val="28"/>
        </w:rPr>
        <w:outlineLvl w:val="2"/>
      </w:pPr>
      <w:r>
        <w:rPr>
          <w:rFonts w:hint="eastAsia" w:ascii="宋体" w:hAnsi="宋体" w:cs="宋体"/>
          <w:b/>
          <w:bCs/>
          <w:sz w:val="22"/>
          <w:szCs w:val="28"/>
        </w:rPr>
        <w:t xml:space="preserve">二、服务要求</w:t>
      </w:r>
      <w:r/>
    </w:p>
    <w:p>
      <w:pPr>
        <w:ind w:firstLine="420"/>
        <w:spacing w:line="360" w:lineRule="auto"/>
        <w:rPr>
          <w:rFonts w:ascii="宋体" w:hAnsi="宋体" w:cs="宋体"/>
        </w:rPr>
      </w:pPr>
      <w:r>
        <w:rPr>
          <w:rFonts w:hint="eastAsia" w:ascii="宋体" w:hAnsi="宋体" w:cs="宋体"/>
        </w:rPr>
        <w:t xml:space="preserve">1.供应商为采购人组织经验丰富且有执业资质的医师、检验师及护理工作人员为采购人员工进行健康检查。</w:t>
      </w:r>
      <w:r/>
    </w:p>
    <w:p>
      <w:pPr>
        <w:ind w:firstLine="420"/>
        <w:spacing w:line="360" w:lineRule="auto"/>
        <w:rPr>
          <w:rFonts w:ascii="宋体" w:hAnsi="宋体" w:cs="宋体"/>
        </w:rPr>
      </w:pPr>
      <w:r>
        <w:rPr>
          <w:rFonts w:hint="eastAsia" w:ascii="宋体" w:hAnsi="宋体" w:cs="宋体"/>
        </w:rPr>
        <w:t xml:space="preserve">2.供应商向采购人离退休教职工提供书面体检报告壹份（密封）、供应商向采购人教职工提供电子版体检报告，采购人教职工可通过手机App、微信小程序或供应商官网主页等方式查询本人体检报告，如采购人教职工需书面体检报告，供应商需提供现场免费打印服务。</w:t>
      </w:r>
      <w:r/>
    </w:p>
    <w:p>
      <w:pPr>
        <w:ind w:firstLine="420"/>
        <w:spacing w:line="360" w:lineRule="auto"/>
        <w:rPr>
          <w:rFonts w:ascii="宋体" w:hAnsi="宋体" w:cs="宋体"/>
        </w:rPr>
      </w:pPr>
      <w:r>
        <w:rPr>
          <w:rFonts w:hint="eastAsia" w:ascii="宋体" w:hAnsi="宋体" w:cs="宋体"/>
        </w:rPr>
        <w:t xml:space="preserve">3.体检完成之后，供应商将针对采购人教职工的体检结果，根据采购人的通知，在合理时间内为采购人员工安排专家对体检结果进行讲解，并提供健康管理改进方案，如需要，供应商还为采购人提供办理医疗转诊服务。</w:t>
      </w:r>
      <w:r/>
    </w:p>
    <w:p>
      <w:pPr>
        <w:ind w:firstLine="420"/>
        <w:spacing w:line="360" w:lineRule="auto"/>
        <w:rPr>
          <w:rFonts w:ascii="宋体" w:hAnsi="宋体" w:cs="宋体"/>
        </w:rPr>
      </w:pPr>
      <w:r>
        <w:rPr>
          <w:rFonts w:hint="eastAsia" w:ascii="宋体" w:hAnsi="宋体" w:cs="宋体"/>
        </w:rPr>
        <w:t xml:space="preserve">4.供应商负责对采购人员工的个人信息和体检结果做好保密工作：</w:t>
      </w:r>
      <w:r/>
    </w:p>
    <w:p>
      <w:pPr>
        <w:ind w:firstLine="420"/>
        <w:spacing w:line="360" w:lineRule="auto"/>
        <w:rPr>
          <w:rFonts w:ascii="宋体" w:hAnsi="宋体" w:cs="宋体"/>
        </w:rPr>
      </w:pPr>
      <w:r>
        <w:rPr>
          <w:rFonts w:hint="eastAsia" w:ascii="宋体" w:hAnsi="宋体" w:cs="宋体"/>
        </w:rPr>
        <w:t xml:space="preserve">（1）所有教职工个人身份信息、体检原始数据、体检报告属于敏感个人信息，供应商不得擅自复制、外传、用于广告营销；</w:t>
      </w:r>
      <w:r/>
    </w:p>
    <w:p>
      <w:pPr>
        <w:ind w:firstLine="420"/>
        <w:spacing w:line="360" w:lineRule="auto"/>
        <w:rPr>
          <w:rFonts w:ascii="宋体" w:hAnsi="宋体" w:cs="宋体"/>
        </w:rPr>
      </w:pPr>
      <w:r>
        <w:rPr>
          <w:rFonts w:hint="eastAsia" w:ascii="宋体" w:hAnsi="宋体" w:cs="宋体"/>
        </w:rPr>
        <w:t xml:space="preserve">（2）电子报告系统必须账号密码实名认证登录，不得公开查询；</w:t>
      </w:r>
      <w:r/>
    </w:p>
    <w:p>
      <w:pPr>
        <w:ind w:firstLine="420"/>
        <w:spacing w:line="360" w:lineRule="auto"/>
        <w:rPr>
          <w:rFonts w:ascii="宋体" w:hAnsi="宋体" w:cs="宋体"/>
        </w:rPr>
      </w:pPr>
      <w:r>
        <w:rPr>
          <w:rFonts w:hint="eastAsia" w:ascii="宋体" w:hAnsi="宋体" w:cs="宋体"/>
        </w:rPr>
        <w:t xml:space="preserve">（3）发生信息泄露，供应商承担全部法律责任，采购人有权扣除履约保证金、解除合同。</w:t>
      </w:r>
      <w:r/>
    </w:p>
    <w:p>
      <w:pPr>
        <w:ind w:firstLine="420"/>
        <w:spacing w:line="360" w:lineRule="auto"/>
        <w:rPr>
          <w:rFonts w:ascii="宋体" w:hAnsi="宋体" w:cs="宋体"/>
        </w:rPr>
      </w:pPr>
      <w:r>
        <w:rPr>
          <w:rFonts w:hint="eastAsia" w:ascii="宋体" w:hAnsi="宋体" w:cs="宋体"/>
        </w:rPr>
        <w:t xml:space="preserve">5.供应商为采购人体检员工建立个人健康档案。</w:t>
      </w:r>
      <w:r/>
    </w:p>
    <w:p>
      <w:pPr>
        <w:ind w:firstLine="420"/>
        <w:spacing w:line="360" w:lineRule="auto"/>
        <w:rPr>
          <w:rFonts w:ascii="宋体" w:hAnsi="宋体" w:cs="宋体"/>
        </w:rPr>
      </w:pPr>
      <w:r>
        <w:rPr>
          <w:rFonts w:hint="eastAsia" w:ascii="宋体" w:hAnsi="宋体" w:cs="宋体"/>
        </w:rPr>
        <w:t xml:space="preserve">6.供应商为采购人体检员工免费提供营养早餐，</w:t>
      </w:r>
      <w:r>
        <w:rPr>
          <w:rFonts w:ascii="宋体" w:hAnsi="宋体" w:cs="宋体"/>
        </w:rPr>
        <w:t xml:space="preserve">明确早餐基本品类要求，保障糖尿病等特殊饮食人群基础可选食品</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7.供应商应制定规范、合理的体检流程，确保体检工作顺利开展。</w:t>
      </w:r>
      <w:r/>
    </w:p>
    <w:p>
      <w:pPr>
        <w:ind w:firstLine="420"/>
        <w:spacing w:line="360" w:lineRule="auto"/>
        <w:rPr>
          <w:rFonts w:ascii="宋体" w:hAnsi="宋体" w:cs="宋体"/>
        </w:rPr>
      </w:pPr>
      <w:r>
        <w:rPr>
          <w:rFonts w:hint="eastAsia" w:ascii="宋体" w:hAnsi="宋体" w:cs="宋体"/>
        </w:rPr>
        <w:t xml:space="preserve">8.供应商应制定完善的质量控制方案，确保体检质量。</w:t>
      </w:r>
      <w:r/>
    </w:p>
    <w:p>
      <w:pPr>
        <w:ind w:firstLine="420"/>
        <w:spacing w:line="360" w:lineRule="auto"/>
        <w:rPr>
          <w:rFonts w:ascii="宋体" w:hAnsi="宋体" w:cs="宋体"/>
        </w:rPr>
      </w:pPr>
      <w:r>
        <w:rPr>
          <w:rFonts w:hint="eastAsia" w:ascii="宋体" w:hAnsi="宋体" w:cs="宋体"/>
        </w:rPr>
        <w:t xml:space="preserve">9.供应商应制定大流量应对方案，为采购人提供舒适的体检环境。</w:t>
      </w:r>
      <w:r/>
    </w:p>
    <w:p>
      <w:pPr>
        <w:ind w:firstLine="420"/>
        <w:spacing w:line="360" w:lineRule="auto"/>
        <w:rPr>
          <w:rFonts w:ascii="宋体" w:hAnsi="宋体" w:cs="宋体"/>
        </w:rPr>
      </w:pPr>
      <w:r>
        <w:rPr>
          <w:rFonts w:hint="eastAsia" w:ascii="宋体" w:hAnsi="宋体" w:cs="宋体"/>
        </w:rPr>
        <w:t xml:space="preserve">10.体检预约：允许教职工灵活预约体检日期，不限于集中体检批次，对因教学科研、异地居住错过集中体检的，提供补检通道。</w:t>
      </w:r>
      <w:r/>
    </w:p>
    <w:p>
      <w:pPr>
        <w:ind w:firstLine="420"/>
        <w:spacing w:line="360" w:lineRule="auto"/>
        <w:rPr>
          <w:rFonts w:ascii="宋体" w:hAnsi="宋体" w:cs="宋体"/>
        </w:rPr>
      </w:pPr>
      <w:r>
        <w:rPr>
          <w:rFonts w:hint="eastAsia" w:ascii="宋体" w:hAnsi="宋体" w:cs="宋体"/>
        </w:rPr>
        <w:t xml:space="preserve">11.退休人员特殊关怀：退休老同志提供咨询通道，报告解读尽量通俗易懂；对高龄行动不便退休人员，优化预约及现场引导服务。</w:t>
      </w:r>
      <w:r/>
    </w:p>
    <w:p>
      <w:pPr>
        <w:ind w:firstLine="420"/>
        <w:spacing w:line="360" w:lineRule="auto"/>
        <w:rPr>
          <w:rFonts w:ascii="宋体" w:hAnsi="宋体" w:cs="宋体"/>
        </w:rPr>
      </w:pPr>
      <w:r>
        <w:rPr>
          <w:rFonts w:hint="eastAsia" w:ascii="宋体" w:hAnsi="宋体" w:cs="宋体"/>
        </w:rPr>
        <w:t xml:space="preserve">12.中标后履约核查：采购人有权组织人员实地复核投标体检点场地、设备、拟派医护人员，与投标文件重大不一致，按虚假响应，解除合同，上报政府采购不良行为记录。</w:t>
      </w:r>
      <w:r/>
    </w:p>
    <w:p>
      <w:pPr>
        <w:ind w:firstLine="422"/>
        <w:spacing w:line="360" w:lineRule="auto"/>
        <w:rPr>
          <w:rFonts w:ascii="宋体" w:hAnsi="宋体" w:cs="宋体"/>
          <w:b/>
          <w:bCs/>
        </w:rPr>
      </w:pPr>
      <w:r>
        <w:rPr>
          <w:rFonts w:hint="eastAsia" w:ascii="宋体" w:hAnsi="宋体" w:cs="宋体"/>
          <w:b/>
          <w:bCs/>
        </w:rPr>
        <w:t xml:space="preserve">13.采购需求中45岁（含）以上人员体检套餐内包含允许教职工三选一（心血管检查/脑血管检查/胃肠道检查）项目。投标人须结合项目预估选择比例、服务成本等因素综合测算报送45岁（含）以上人员的相应单价，该三选一项目相关费用均已包含在投标报价中，履约过程中采购人不再另行支付任何费用。</w:t>
      </w:r>
      <w:r/>
    </w:p>
    <w:p>
      <w:pPr>
        <w:ind w:firstLine="420"/>
        <w:spacing w:line="360" w:lineRule="auto"/>
        <w:rPr>
          <w:rFonts w:ascii="宋体" w:hAnsi="宋体" w:cs="宋体"/>
        </w:rPr>
      </w:pPr>
      <w:r>
        <w:rPr>
          <w:rFonts w:hint="eastAsia" w:ascii="宋体" w:hAnsi="宋体" w:cs="宋体"/>
        </w:rPr>
        <w:t xml:space="preserve">14.体检服务方案</w:t>
      </w:r>
      <w:r/>
    </w:p>
    <w:p>
      <w:pPr>
        <w:ind w:firstLine="420"/>
        <w:spacing w:line="360" w:lineRule="auto"/>
        <w:rPr>
          <w:rFonts w:ascii="宋体" w:hAnsi="宋体" w:cs="宋体"/>
        </w:rPr>
      </w:pPr>
      <w:r>
        <w:rPr>
          <w:rFonts w:hint="eastAsia" w:ascii="宋体" w:hAnsi="宋体" w:cs="宋体"/>
        </w:rPr>
        <w:t xml:space="preserve">（1）体检环境：指专门用于本次体检场所的环境（如供应商有多个体检点，须由供应商确定某一个体检点为本次投标专用体检点），供应商需提供体检中心功能布局平面图，图纸标注各功能房间长宽、面积、功能用途、候诊区位置、男女分区，明确体检中心总建筑面积等信息。</w:t>
      </w:r>
      <w:r/>
    </w:p>
    <w:p>
      <w:pPr>
        <w:ind w:firstLine="420"/>
        <w:spacing w:line="360" w:lineRule="auto"/>
        <w:rPr>
          <w:rFonts w:ascii="宋体" w:hAnsi="宋体" w:cs="宋体"/>
        </w:rPr>
      </w:pPr>
      <w:r>
        <w:rPr>
          <w:rFonts w:hint="eastAsia" w:ascii="宋体" w:hAnsi="宋体" w:cs="宋体"/>
        </w:rPr>
        <w:t xml:space="preserve">（2）体检流程、质量控制方案：供应商须提供体检服务流程及质量控制方案。评标委员会根据方案完整性、流程规范性、质控措施科学性进行综合评审，包括但不限于放射诊疗检查时，对受检者邻近照射野的敏感器官和组织屏蔽防护措施等。</w:t>
      </w:r>
      <w:r/>
    </w:p>
    <w:p>
      <w:pPr>
        <w:ind w:firstLine="420"/>
        <w:spacing w:line="360" w:lineRule="auto"/>
        <w:rPr>
          <w:rFonts w:ascii="宋体" w:hAnsi="宋体" w:cs="宋体"/>
        </w:rPr>
      </w:pPr>
      <w:r>
        <w:rPr>
          <w:rFonts w:hint="eastAsia" w:ascii="宋体" w:hAnsi="宋体" w:cs="宋体"/>
        </w:rPr>
        <w:t xml:space="preserve">（3）投标人须针对本项目教职工集中体检、大流量参检特点，制定专项人群分流及应急应对方案，包括但不限于方案针对性、合理性及实操性。</w:t>
      </w:r>
      <w:r/>
    </w:p>
    <w:p>
      <w:pPr>
        <w:ind w:firstLine="420"/>
        <w:spacing w:line="360" w:lineRule="auto"/>
        <w:rPr>
          <w:rFonts w:ascii="宋体" w:hAnsi="宋体" w:cs="宋体"/>
        </w:rPr>
      </w:pPr>
      <w:r>
        <w:rPr>
          <w:rFonts w:hint="eastAsia" w:ascii="宋体" w:hAnsi="宋体" w:cs="宋体"/>
        </w:rPr>
        <w:t xml:space="preserve">（4）投标人须提供完整的体检报告解读、健康科普指导、异常指标转诊建议专项方案，并承诺安排专业专家上门开展一对一体检报告解读服务。</w:t>
      </w:r>
      <w:r/>
    </w:p>
    <w:p>
      <w:pPr>
        <w:ind w:firstLine="420"/>
        <w:spacing w:line="360" w:lineRule="auto"/>
        <w:rPr>
          <w:rFonts w:ascii="宋体" w:hAnsi="宋体" w:cs="宋体"/>
        </w:rPr>
      </w:pPr>
      <w:r>
        <w:rPr>
          <w:rFonts w:hint="eastAsia" w:ascii="宋体" w:hAnsi="宋体" w:cs="宋体"/>
        </w:rPr>
        <w:t xml:space="preserve">（5）投标人须提供增值服务方案，方案内容至少包含投标人在本项目基础体检套餐之外承诺免费增加的有效体检项目。评标委员会结合增值项目数量、实用性、合理性、可行性综合评审。</w:t>
      </w:r>
      <w:r/>
    </w:p>
    <w:p>
      <w:pPr>
        <w:ind w:firstLine="420"/>
        <w:spacing w:line="360" w:lineRule="auto"/>
        <w:rPr>
          <w:rFonts w:ascii="宋体" w:hAnsi="宋体" w:cs="宋体"/>
        </w:rPr>
      </w:pPr>
      <w:r>
        <w:rPr>
          <w:rFonts w:ascii="宋体" w:hAnsi="宋体" w:cs="宋体"/>
        </w:rPr>
      </w:r>
      <w:r/>
    </w:p>
    <w:p>
      <w:pPr>
        <w:spacing w:line="360" w:lineRule="auto"/>
        <w:rPr>
          <w:rFonts w:ascii="宋体" w:hAnsi="宋体" w:cs="宋体"/>
          <w:b/>
          <w:bCs/>
          <w:sz w:val="22"/>
          <w:szCs w:val="28"/>
        </w:rPr>
      </w:pPr>
      <w:r>
        <w:rPr>
          <w:rFonts w:hint="eastAsia" w:ascii="宋体" w:hAnsi="宋体" w:cs="宋体"/>
          <w:b/>
          <w:bCs/>
          <w:sz w:val="22"/>
          <w:szCs w:val="28"/>
        </w:rPr>
        <w:t xml:space="preserve">三、报价要求</w:t>
      </w:r>
      <w:r/>
    </w:p>
    <w:p>
      <w:pPr>
        <w:ind w:firstLine="420"/>
        <w:spacing w:line="360" w:lineRule="auto"/>
        <w:rPr>
          <w:rFonts w:ascii="宋体" w:hAnsi="宋体" w:cs="宋体"/>
        </w:rPr>
      </w:pPr>
      <w:r>
        <w:rPr>
          <w:rFonts w:hint="eastAsia" w:ascii="宋体" w:hAnsi="宋体" w:cs="宋体"/>
        </w:rPr>
        <w:t xml:space="preserve">按六个分项分别报价：1、45岁以下在职男性（正高除外）套餐单价；2、45岁以下在职女性已婚（正高除外）套餐单价；3、45岁以下在职女性未婚（正高除外）套餐单价；4、45岁（含）以上在职、正高职称、退休人员男性套餐单价；5、45岁（含）以上在职、正高职称、退休人员女性已婚套餐单价；6、45岁（含）以上在职、正高职称、退休人员女性未婚套餐单价。</w:t>
      </w:r>
      <w:r/>
    </w:p>
    <w:p>
      <w:pPr>
        <w:ind w:firstLine="420"/>
        <w:rPr>
          <w:rFonts w:ascii="宋体" w:hAnsi="宋体" w:cs="宋体"/>
        </w:rPr>
      </w:pPr>
      <w:r>
        <w:rPr>
          <w:rFonts w:ascii="宋体" w:hAnsi="宋体" w:cs="宋体"/>
        </w:rPr>
      </w:r>
      <w:r/>
    </w:p>
    <w:p>
      <w:pPr>
        <w:spacing w:before="158" w:after="158"/>
        <w:rPr>
          <w:rFonts w:ascii="宋体" w:hAnsi="宋体" w:cs="宋体"/>
          <w:b/>
          <w:bCs/>
          <w:sz w:val="22"/>
          <w:szCs w:val="28"/>
        </w:rPr>
        <w:outlineLvl w:val="2"/>
      </w:pPr>
      <w:r>
        <w:rPr>
          <w:rFonts w:hint="eastAsia" w:ascii="宋体" w:hAnsi="宋体" w:cs="宋体"/>
          <w:b/>
          <w:bCs/>
          <w:sz w:val="22"/>
          <w:szCs w:val="28"/>
        </w:rPr>
        <w:t xml:space="preserve">四、体检内容</w:t>
      </w:r>
      <w:r/>
    </w:p>
    <w:p>
      <w:pPr>
        <w:rPr>
          <w:rFonts w:ascii="宋体" w:hAnsi="宋体" w:cs="宋体"/>
          <w:b/>
          <w:bCs/>
          <w:sz w:val="22"/>
          <w:szCs w:val="28"/>
        </w:rPr>
      </w:pPr>
      <w:r>
        <w:rPr>
          <w:rFonts w:hint="eastAsia" w:ascii="宋体" w:hAnsi="宋体" w:cs="宋体"/>
          <w:b/>
          <w:bCs/>
          <w:sz w:val="22"/>
          <w:szCs w:val="28"/>
        </w:rPr>
        <w:t xml:space="preserve">1、45岁以下在职男性（正高除外）套餐</w:t>
      </w:r>
      <w:r/>
    </w:p>
    <w:tbl>
      <w:tblPr>
        <w:tblStyle w:val="897"/>
        <w:tblW w:w="4955" w:type="pct"/>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1558"/>
        <w:gridCol w:w="6666"/>
      </w:tblGrid>
      <w:tr>
        <w:trPr>
          <w:jc w:val="center"/>
          <w:trHeight w:val="359"/>
        </w:trPr>
        <w:tc>
          <w:tcPr>
            <w:gridSpan w:val="2"/>
            <w:shd w:val="clear" w:color="auto" w:fill="c0c0c0"/>
            <w:tcBorders>
              <w:top w:val="single" w:color="auto" w:sz="4" w:space="0"/>
              <w:left w:val="single" w:color="000000" w:sz="6" w:space="0"/>
              <w:bottom w:val="single" w:color="000000" w:sz="6" w:space="0"/>
              <w:right w:val="single" w:color="000000" w:sz="6" w:space="0"/>
            </w:tcBorders>
            <w:tcW w:w="5000" w:type="pct"/>
            <w:vAlign w:val="center"/>
            <w:textDirection w:val="lrTb"/>
            <w:noWrap w:val="false"/>
          </w:tcPr>
          <w:p>
            <w:pPr>
              <w:jc w:val="center"/>
              <w:spacing w:line="351" w:lineRule="exact"/>
              <w:rPr>
                <w:rFonts w:ascii="Calibri" w:hAnsi="Calibri"/>
                <w:szCs w:val="22"/>
              </w:rPr>
            </w:pPr>
            <w:r>
              <w:rPr>
                <w:rFonts w:hint="eastAsia" w:ascii="宋体" w:hAnsi="宋体" w:cs="宋体"/>
                <w:b/>
                <w:bCs/>
                <w:color w:val="000000"/>
                <w:sz w:val="19"/>
                <w:szCs w:val="22"/>
              </w:rPr>
              <w:t xml:space="preserve">45岁以下在职男性（正高除外）套餐</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基本检查</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身高、体重、血压、脉搏、体重指数</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内科</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心、肺听诊、腹部触诊</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外科</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浅表淋巴结、甲状腺、乳房、脊柱、四肢、皮肤、浅表淋巴结等</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眼科</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外眼、视力、眼底、眼压</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耳、鼻、喉科</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外耳道、鼓膜、鼻腔、鼻中隔、扁桃体、咽部等</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口腔科</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检查牙齿、牙周组织、口腔黏膜及颞下颌关节等有无异常</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血常规</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18项</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甲状腺功能</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T3、T4、TSH</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肝功能</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谷丙转氨酶、r-转肽酶、谷草转氨酶、总胆红素、直接胆红素、间接胆红素、血清白蛋白、血清总蛋白、血清球蛋白、ALB/GLO</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肿瘤标记筛选</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CEA、AFP、CA199、NSE、CA724、CA242、CA50、CYFRA21-1、PSA、FPSA</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肾脏机能</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血尿素氮、血清尿酸、血清肌酐</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血脂</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胆固醇、甘油三脂、高密度脂蛋白胆固醇、低密度脂蛋白胆固醇</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血糖</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空腹血糖测定</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尿常规</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10项</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粪便隐血试验（免疫法定量）</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粪便隐血试验（免疫法定量）</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心电图</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12导心电图</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影像学检查</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胸部CT平扫</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彩色B超</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肝、胆、胰、脾、双肾、膀胱、前列腺彩色超声检查（含图文）</w:t>
            </w:r>
            <w:r/>
          </w:p>
        </w:tc>
      </w:tr>
    </w:tbl>
    <w:p>
      <w:pPr>
        <w:rPr>
          <w:rFonts w:ascii="宋体" w:hAnsi="宋体" w:cs="宋体"/>
        </w:rPr>
      </w:pPr>
      <w:r>
        <w:rPr>
          <w:rFonts w:ascii="宋体" w:hAnsi="宋体" w:cs="宋体"/>
        </w:rPr>
      </w:r>
      <w:r/>
    </w:p>
    <w:p>
      <w:pPr>
        <w:rPr>
          <w:rFonts w:ascii="宋体" w:hAnsi="宋体" w:cs="宋体"/>
        </w:rPr>
      </w:pPr>
      <w:r>
        <w:rPr>
          <w:rFonts w:ascii="宋体" w:hAnsi="宋体" w:cs="宋体"/>
          <w:b/>
          <w:bCs/>
          <w:sz w:val="22"/>
          <w:szCs w:val="28"/>
        </w:rPr>
        <w:t xml:space="preserve">2</w:t>
      </w:r>
      <w:r>
        <w:rPr>
          <w:rFonts w:hint="eastAsia" w:ascii="宋体" w:hAnsi="宋体" w:cs="宋体"/>
          <w:b/>
          <w:bCs/>
          <w:sz w:val="22"/>
          <w:szCs w:val="28"/>
        </w:rPr>
        <w:t xml:space="preserve">、45岁以下在职女性已婚（正高除外）套餐</w:t>
      </w:r>
      <w:r/>
    </w:p>
    <w:tbl>
      <w:tblPr>
        <w:tblStyle w:val="897"/>
        <w:tblW w:w="5000" w:type="pct"/>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1555"/>
        <w:gridCol w:w="6744"/>
      </w:tblGrid>
      <w:tr>
        <w:trPr>
          <w:jc w:val="center"/>
          <w:trHeight w:val="300"/>
        </w:trPr>
        <w:tc>
          <w:tcPr>
            <w:gridSpan w:val="2"/>
            <w:shd w:val="clear" w:color="auto" w:fill="c0c0c0"/>
            <w:tcBorders>
              <w:top w:val="single" w:color="auto" w:sz="4" w:space="0"/>
              <w:left w:val="single" w:color="000000" w:sz="6" w:space="0"/>
              <w:bottom w:val="single" w:color="000000" w:sz="6" w:space="0"/>
              <w:right w:val="single" w:color="000000" w:sz="6" w:space="0"/>
            </w:tcBorders>
            <w:tcW w:w="5000" w:type="pct"/>
            <w:vAlign w:val="center"/>
            <w:textDirection w:val="lrTb"/>
            <w:noWrap w:val="false"/>
          </w:tcPr>
          <w:p>
            <w:pPr>
              <w:jc w:val="center"/>
              <w:spacing w:line="351" w:lineRule="exact"/>
              <w:rPr>
                <w:rFonts w:ascii="Calibri" w:hAnsi="Calibri"/>
                <w:szCs w:val="22"/>
              </w:rPr>
            </w:pPr>
            <w:r>
              <w:rPr>
                <w:rFonts w:hint="eastAsia" w:ascii="宋体" w:hAnsi="宋体" w:cs="宋体"/>
                <w:b/>
                <w:bCs/>
                <w:color w:val="000000"/>
                <w:sz w:val="19"/>
                <w:szCs w:val="22"/>
              </w:rPr>
              <w:t xml:space="preserve">45岁以下在职女性已婚（正高除外）套餐</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基本检查</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身高、体重、血压、脉搏、体重指数</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内科</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心、肺听诊、腹部触诊</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外科</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浅表淋巴结、甲状腺、乳房、脊柱、四肢、皮肤、浅表淋巴结等</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眼科</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外眼、视力、眼底、眼压</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耳、鼻、喉科</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外耳道、鼓膜、鼻腔、鼻中隔、扁桃体、咽部等</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口腔科</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检查牙齿、牙周组织、口腔黏膜及颞下颌关节等有无异常</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妇科</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妇科检查、白带常规、宫颈液基细胞学检查（TCT）</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血常规</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18项</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甲状腺功能</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T3、T4、TSH</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肝功能</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谷丙转氨酶、r-转肽酶、谷草转氨酶、总胆红素、直接胆红素、间接胆红素、血清白蛋白、血清总蛋白、血清球蛋白、ALB/GLO</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肿瘤标记筛选</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CEA、AFP、CA199、NSE、CA724、CA242、CA50、CYFRA21-1、CA125、CA153</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肾脏机能</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血尿素氮、血清尿酸、血清肌酐</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血脂</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胆固醇、甘油三脂、高密度脂蛋白胆固醇、低密度脂蛋白胆固醇</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血糖</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空腹血糖测定</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尿常规</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10项</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粪便隐血试验（免疫法定量）</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粪便隐血试验（免疫法定量）</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心电图</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12导心电图</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影像学检查</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胸部CT平扫</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彩色B超</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肝、胆、胰、脾、双肾、膀胱、乳腺、子宫、附件彩色超声检查（含图文）</w:t>
            </w:r>
            <w:r/>
          </w:p>
        </w:tc>
      </w:tr>
    </w:tbl>
    <w:p>
      <w:pPr>
        <w:rPr>
          <w:rFonts w:ascii="宋体" w:hAnsi="宋体" w:cs="宋体"/>
        </w:rPr>
      </w:pPr>
      <w:r>
        <w:rPr>
          <w:rFonts w:ascii="宋体" w:hAnsi="宋体" w:cs="宋体"/>
        </w:rPr>
      </w:r>
      <w:r/>
    </w:p>
    <w:p>
      <w:pPr>
        <w:rPr>
          <w:rFonts w:ascii="宋体" w:hAnsi="宋体" w:cs="宋体"/>
          <w:b/>
          <w:bCs/>
          <w:sz w:val="22"/>
          <w:szCs w:val="28"/>
        </w:rPr>
      </w:pPr>
      <w:r>
        <w:rPr>
          <w:rFonts w:hint="eastAsia" w:ascii="宋体" w:hAnsi="宋体" w:cs="宋体"/>
          <w:b/>
          <w:bCs/>
          <w:sz w:val="22"/>
          <w:szCs w:val="28"/>
        </w:rPr>
        <w:t xml:space="preserve">3、45岁以下在职女性未婚（正高除外）套餐</w:t>
      </w:r>
      <w:r/>
    </w:p>
    <w:tbl>
      <w:tblPr>
        <w:tblStyle w:val="897"/>
        <w:tblW w:w="4968" w:type="pct"/>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1555"/>
        <w:gridCol w:w="6691"/>
      </w:tblGrid>
      <w:tr>
        <w:trPr>
          <w:jc w:val="center"/>
          <w:trHeight w:val="300"/>
        </w:trPr>
        <w:tc>
          <w:tcPr>
            <w:gridSpan w:val="2"/>
            <w:shd w:val="clear" w:color="auto" w:fill="c0c0c0"/>
            <w:tcBorders>
              <w:top w:val="single" w:color="auto" w:sz="4" w:space="0"/>
              <w:left w:val="single" w:color="000000" w:sz="6" w:space="0"/>
              <w:bottom w:val="single" w:color="000000" w:sz="6" w:space="0"/>
              <w:right w:val="single" w:color="000000" w:sz="6" w:space="0"/>
            </w:tcBorders>
            <w:tcW w:w="5000" w:type="pct"/>
            <w:vAlign w:val="center"/>
            <w:textDirection w:val="lrTb"/>
            <w:noWrap w:val="false"/>
          </w:tcPr>
          <w:p>
            <w:pPr>
              <w:jc w:val="center"/>
              <w:rPr>
                <w:rFonts w:cs="宋体" w:asciiTheme="minorEastAsia" w:hAnsiTheme="minorEastAsia" w:eastAsiaTheme="minorEastAsia"/>
                <w:sz w:val="19"/>
                <w:szCs w:val="19"/>
              </w:rPr>
            </w:pPr>
            <w:r>
              <w:rPr>
                <w:rFonts w:hint="eastAsia" w:cs="宋体" w:asciiTheme="minorEastAsia" w:hAnsiTheme="minorEastAsia" w:eastAsiaTheme="minorEastAsia"/>
                <w:b/>
                <w:bCs/>
                <w:sz w:val="19"/>
                <w:szCs w:val="19"/>
              </w:rPr>
              <w:t xml:space="preserve">45岁以下在职女性未婚（正高除外）套餐</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基本检查</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身高、体重、血压、脉搏、体重指数</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内科</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心、肺听诊、腹部触诊</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外科</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浅表淋巴结、甲状腺、乳房、脊柱、四肢、皮肤、浅表淋巴结等</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眼科</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外眼、视力、眼底、眼压</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耳、鼻、喉科</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外耳道、鼓膜、鼻腔、鼻中隔、扁桃体、咽部等</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口腔科</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检查牙齿、牙周组织、口腔黏膜及颞下颌关节等有无异常</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血常规</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18项</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甲状腺功能</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T3、T4、TSH</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肝功能</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谷丙转氨酶、r-转肽酶、谷草转氨酶、总胆红素、直接胆红素、间接胆红素、血清白蛋白、血清总蛋白、血清球蛋白、ALB/GLO</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肿瘤标记筛选</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CEA、AFP、CA199、NSE、CA724、CA242、CA50、CYFRA21-1、CA125、CA153</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肾脏机能</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血尿素氮、血清尿酸、血清肌酐</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血脂</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胆固醇、甘油三脂、高密度脂蛋白胆固醇、低密度脂蛋白胆固醇</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血糖</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空腹血糖测定</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尿常规</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10项</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粪便隐血试验（免疫法定量）</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粪便隐血试验（免疫法定量）</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心电图</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12导心电图</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影像学检查</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胸部CT平扫</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彩色B超</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肝、胆、胰、脾、双肾、膀胱、乳腺、子宫、附件彩色超声检查（含图文）</w:t>
            </w:r>
            <w:r/>
          </w:p>
        </w:tc>
      </w:tr>
    </w:tbl>
    <w:p>
      <w:pPr>
        <w:rPr>
          <w:rFonts w:ascii="宋体" w:hAnsi="宋体" w:cs="宋体"/>
        </w:rPr>
      </w:pPr>
      <w:r>
        <w:rPr>
          <w:rFonts w:ascii="宋体" w:hAnsi="宋体" w:cs="宋体"/>
        </w:rPr>
      </w:r>
      <w:r/>
    </w:p>
    <w:p>
      <w:pPr>
        <w:rPr>
          <w:rFonts w:ascii="宋体" w:hAnsi="宋体" w:cs="宋体"/>
          <w:b/>
          <w:bCs/>
          <w:sz w:val="22"/>
          <w:szCs w:val="28"/>
        </w:rPr>
      </w:pPr>
      <w:r>
        <w:rPr>
          <w:rFonts w:hint="eastAsia" w:ascii="宋体" w:hAnsi="宋体" w:cs="宋体"/>
          <w:b/>
          <w:bCs/>
          <w:sz w:val="22"/>
          <w:szCs w:val="28"/>
        </w:rPr>
        <w:t xml:space="preserve">4、45岁（含）以上在职、正高职称、退休人员男性套餐</w:t>
      </w:r>
      <w:r/>
    </w:p>
    <w:tbl>
      <w:tblPr>
        <w:tblStyle w:val="897"/>
        <w:tblW w:w="4873" w:type="pct"/>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1412"/>
        <w:gridCol w:w="1136"/>
        <w:gridCol w:w="5540"/>
      </w:tblGrid>
      <w:tr>
        <w:trPr>
          <w:jc w:val="center"/>
          <w:trHeight w:val="300"/>
        </w:trPr>
        <w:tc>
          <w:tcPr>
            <w:gridSpan w:val="3"/>
            <w:shd w:val="clear" w:color="auto" w:fill="c0c0c0"/>
            <w:tcBorders>
              <w:top w:val="single" w:color="auto" w:sz="4" w:space="0"/>
              <w:left w:val="single" w:color="000000" w:sz="6" w:space="0"/>
              <w:bottom w:val="single" w:color="000000" w:sz="6" w:space="0"/>
              <w:right w:val="single" w:color="000000" w:sz="6" w:space="0"/>
            </w:tcBorders>
            <w:tcW w:w="5000" w:type="pct"/>
            <w:vAlign w:val="center"/>
            <w:textDirection w:val="lrTb"/>
            <w:noWrap w:val="false"/>
          </w:tcPr>
          <w:p>
            <w:pPr>
              <w:jc w:val="center"/>
              <w:rPr>
                <w:rFonts w:ascii="宋体" w:hAnsi="宋体" w:cs="宋体"/>
                <w:sz w:val="19"/>
                <w:szCs w:val="19"/>
              </w:rPr>
            </w:pPr>
            <w:r>
              <w:rPr>
                <w:rFonts w:hint="eastAsia" w:ascii="宋体" w:hAnsi="宋体" w:cs="宋体"/>
                <w:b/>
                <w:bCs/>
                <w:sz w:val="19"/>
                <w:szCs w:val="19"/>
              </w:rPr>
              <w:t xml:space="preserve">45岁（含）以上在职、正高职称、退休人员男性套餐</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基本检查</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身高、体重、血压、脉搏、体重指数</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内科</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心、肺听诊、腹部触诊</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外科</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浅表淋巴结、甲状腺、乳房、脊柱、四肢、皮肤、浅表淋巴结等</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眼科</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外眼、视力、眼底、眼压</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耳、鼻、喉科</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外耳道、鼓膜、鼻腔、鼻中隔、扁桃体、咽部等</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口腔科</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检查牙齿、牙周组织、口腔黏膜及颞下颌关节等有无异常</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血常规</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18项</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甲状腺功能</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T3、T4、TSH</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肝功能</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谷丙转氨酶、r-转肽酶、谷草转氨酶、总胆红素、直接胆红素、间接胆红素、血清白蛋白、血清总蛋白、血清球蛋白、ALB/GLO</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肿瘤标记筛选</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CEA、AFP、CA199、NSE、CA724、CA242、CA50、CYFRA21-1、PSA、FPSA</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肾脏机能</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血尿素氮、血清尿酸、血清肌酐</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血脂</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胆固醇、甘油三脂、高密度脂蛋白胆固醇、低密度脂蛋白胆固醇</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血糖</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空腹血糖测定</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尿常规</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10项</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粪便隐血试验（免疫法定量）</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粪便隐血试验（免疫法定量）</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心电图</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12导心电图</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影像学检查</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胸部CT平扫</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彩色B超</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肝、胆、胰、脾、双肾、膀胱、前列腺彩色超声检查（含图文）</w:t>
            </w:r>
            <w:r/>
          </w:p>
        </w:tc>
      </w:tr>
      <w:tr>
        <w:trPr>
          <w:jc w:val="center"/>
          <w:trHeight w:val="300"/>
        </w:trPr>
        <w:tc>
          <w:tcPr>
            <w:tcBorders>
              <w:top w:val="none" w:color="000000" w:sz="4" w:space="0"/>
              <w:left w:val="single" w:color="000000" w:sz="6" w:space="0"/>
              <w:right w:val="single" w:color="000000" w:sz="6" w:space="0"/>
            </w:tcBorders>
            <w:tcW w:w="873" w:type="pct"/>
            <w:vAlign w:val="center"/>
            <w:vMerge w:val="restart"/>
            <w:textDirection w:val="lrTb"/>
            <w:noWrap w:val="false"/>
          </w:tcPr>
          <w:p>
            <w:pPr>
              <w:rPr>
                <w:rFonts w:ascii="宋体" w:hAnsi="宋体" w:cs="宋体"/>
                <w:sz w:val="19"/>
                <w:szCs w:val="19"/>
              </w:rPr>
            </w:pPr>
            <w:r>
              <w:rPr>
                <w:rFonts w:ascii="宋体" w:hAnsi="宋体" w:cs="宋体"/>
                <w:sz w:val="19"/>
                <w:szCs w:val="19"/>
              </w:rPr>
              <w:t xml:space="preserve">允许教职工三选一</w:t>
            </w:r>
            <w:r/>
          </w:p>
        </w:tc>
        <w:tc>
          <w:tcPr>
            <w:tcBorders>
              <w:top w:val="none" w:color="000000" w:sz="4" w:space="0"/>
              <w:left w:val="single" w:color="000000" w:sz="6" w:space="0"/>
              <w:right w:val="single" w:color="000000" w:sz="6" w:space="0"/>
            </w:tcBorders>
            <w:tcW w:w="702" w:type="pct"/>
            <w:vAlign w:val="center"/>
            <w:textDirection w:val="lrTb"/>
            <w:noWrap w:val="false"/>
          </w:tcPr>
          <w:p>
            <w:pPr>
              <w:rPr>
                <w:rFonts w:ascii="宋体" w:hAnsi="宋体" w:cs="宋体"/>
                <w:sz w:val="19"/>
                <w:szCs w:val="19"/>
              </w:rPr>
            </w:pPr>
            <w:r>
              <w:rPr>
                <w:rFonts w:ascii="宋体" w:hAnsi="宋体" w:cs="宋体"/>
                <w:sz w:val="19"/>
                <w:szCs w:val="19"/>
              </w:rPr>
              <w:t xml:space="preserve">心血管检查</w:t>
            </w:r>
            <w:r/>
          </w:p>
        </w:tc>
        <w:tc>
          <w:tcPr>
            <w:tcBorders>
              <w:top w:val="none" w:color="000000" w:sz="4" w:space="0"/>
              <w:left w:val="single" w:color="000000" w:sz="6" w:space="0"/>
              <w:right w:val="single" w:color="000000" w:sz="6" w:space="0"/>
            </w:tcBorders>
            <w:tcW w:w="3425" w:type="pct"/>
            <w:vAlign w:val="center"/>
            <w:textDirection w:val="lrTb"/>
            <w:noWrap w:val="false"/>
          </w:tcPr>
          <w:p>
            <w:pPr>
              <w:rPr>
                <w:rFonts w:ascii="宋体" w:hAnsi="宋体" w:cs="宋体"/>
                <w:sz w:val="19"/>
                <w:szCs w:val="19"/>
              </w:rPr>
            </w:pPr>
            <w:r>
              <w:rPr>
                <w:rFonts w:ascii="宋体" w:hAnsi="宋体" w:cs="宋体"/>
                <w:sz w:val="19"/>
                <w:szCs w:val="19"/>
              </w:rPr>
              <w:t xml:space="preserve">彩超心脏（超声心动图），血流变，凝血4项</w:t>
            </w:r>
            <w:r/>
          </w:p>
        </w:tc>
      </w:tr>
      <w:tr>
        <w:trPr>
          <w:jc w:val="center"/>
          <w:trHeight w:val="300"/>
        </w:trPr>
        <w:tc>
          <w:tcPr>
            <w:tcBorders>
              <w:left w:val="single" w:color="000000" w:sz="6" w:space="0"/>
              <w:right w:val="single" w:color="000000" w:sz="6" w:space="0"/>
            </w:tcBorders>
            <w:tcW w:w="873" w:type="pct"/>
            <w:vMerge w:val="continue"/>
            <w:textDirection w:val="lrTb"/>
            <w:noWrap w:val="false"/>
          </w:tcPr>
          <w:p>
            <w:pPr>
              <w:rPr>
                <w:rFonts w:ascii="宋体" w:hAnsi="宋体" w:cs="宋体"/>
                <w:sz w:val="19"/>
                <w:szCs w:val="19"/>
              </w:rPr>
            </w:pPr>
            <w:r>
              <w:rPr>
                <w:rFonts w:ascii="宋体" w:hAnsi="宋体" w:cs="宋体"/>
                <w:sz w:val="19"/>
                <w:szCs w:val="19"/>
              </w:rPr>
            </w:r>
            <w:r/>
          </w:p>
        </w:tc>
        <w:tc>
          <w:tcPr>
            <w:tcBorders>
              <w:left w:val="single" w:color="000000" w:sz="6" w:space="0"/>
              <w:right w:val="single" w:color="000000" w:sz="6" w:space="0"/>
            </w:tcBorders>
            <w:tcW w:w="702" w:type="pct"/>
            <w:textDirection w:val="lrTb"/>
            <w:noWrap w:val="false"/>
          </w:tcPr>
          <w:p>
            <w:pPr>
              <w:rPr>
                <w:rFonts w:ascii="宋体" w:hAnsi="宋体" w:cs="宋体"/>
                <w:sz w:val="19"/>
                <w:szCs w:val="19"/>
              </w:rPr>
            </w:pPr>
            <w:r>
              <w:rPr>
                <w:rFonts w:ascii="宋体" w:hAnsi="宋体" w:cs="宋体"/>
                <w:sz w:val="19"/>
                <w:szCs w:val="19"/>
              </w:rPr>
              <w:t xml:space="preserve">脑血管检查</w:t>
            </w:r>
            <w:r/>
          </w:p>
        </w:tc>
        <w:tc>
          <w:tcPr>
            <w:tcBorders>
              <w:left w:val="single" w:color="000000" w:sz="6" w:space="0"/>
              <w:right w:val="single" w:color="000000" w:sz="6" w:space="0"/>
            </w:tcBorders>
            <w:tcW w:w="3425" w:type="pct"/>
            <w:textDirection w:val="lrTb"/>
            <w:noWrap w:val="false"/>
          </w:tcPr>
          <w:p>
            <w:pPr>
              <w:rPr>
                <w:rFonts w:ascii="宋体" w:hAnsi="宋体" w:cs="宋体"/>
                <w:sz w:val="19"/>
                <w:szCs w:val="19"/>
              </w:rPr>
            </w:pPr>
            <w:r>
              <w:rPr>
                <w:rFonts w:ascii="宋体" w:hAnsi="宋体" w:cs="宋体"/>
                <w:sz w:val="19"/>
                <w:szCs w:val="19"/>
              </w:rPr>
              <w:t xml:space="preserve">头颅CT平扫，彩超血管（双侧颈动脉）+多普勒血流图，经颅多普勒超声（TCD）</w:t>
            </w:r>
            <w:r/>
          </w:p>
        </w:tc>
      </w:tr>
      <w:tr>
        <w:trPr>
          <w:jc w:val="center"/>
          <w:trHeight w:val="300"/>
        </w:trPr>
        <w:tc>
          <w:tcPr>
            <w:tcBorders>
              <w:left w:val="single" w:color="000000" w:sz="6" w:space="0"/>
              <w:bottom w:val="single" w:color="000000" w:sz="6" w:space="0"/>
              <w:right w:val="single" w:color="000000" w:sz="6" w:space="0"/>
            </w:tcBorders>
            <w:tcW w:w="873" w:type="pct"/>
            <w:vMerge w:val="continue"/>
            <w:textDirection w:val="lrTb"/>
            <w:noWrap w:val="false"/>
          </w:tcPr>
          <w:p>
            <w:pPr>
              <w:rPr>
                <w:rFonts w:ascii="宋体" w:hAnsi="宋体" w:cs="宋体"/>
                <w:sz w:val="19"/>
                <w:szCs w:val="19"/>
              </w:rPr>
            </w:pPr>
            <w:r>
              <w:rPr>
                <w:rFonts w:ascii="宋体" w:hAnsi="宋体" w:cs="宋体"/>
                <w:sz w:val="19"/>
                <w:szCs w:val="19"/>
              </w:rPr>
            </w:r>
            <w:r/>
          </w:p>
        </w:tc>
        <w:tc>
          <w:tcPr>
            <w:tcBorders>
              <w:left w:val="single" w:color="000000" w:sz="6" w:space="0"/>
              <w:bottom w:val="single" w:color="000000" w:sz="6" w:space="0"/>
              <w:right w:val="single" w:color="000000" w:sz="6" w:space="0"/>
            </w:tcBorders>
            <w:tcW w:w="702" w:type="pct"/>
            <w:textDirection w:val="lrTb"/>
            <w:noWrap w:val="false"/>
          </w:tcPr>
          <w:p>
            <w:pPr>
              <w:rPr>
                <w:rFonts w:ascii="宋体" w:hAnsi="宋体" w:cs="宋体"/>
                <w:sz w:val="19"/>
                <w:szCs w:val="19"/>
              </w:rPr>
            </w:pPr>
            <w:r>
              <w:rPr>
                <w:rFonts w:ascii="宋体" w:hAnsi="宋体" w:cs="宋体"/>
                <w:sz w:val="19"/>
                <w:szCs w:val="19"/>
              </w:rPr>
              <w:t xml:space="preserve">胃肠道检查</w:t>
            </w:r>
            <w:r/>
          </w:p>
        </w:tc>
        <w:tc>
          <w:tcPr>
            <w:tcBorders>
              <w:left w:val="single" w:color="000000" w:sz="6" w:space="0"/>
              <w:bottom w:val="single" w:color="000000" w:sz="6" w:space="0"/>
              <w:right w:val="single" w:color="000000" w:sz="6" w:space="0"/>
            </w:tcBorders>
            <w:tcW w:w="3425" w:type="pct"/>
            <w:textDirection w:val="lrTb"/>
            <w:noWrap w:val="false"/>
          </w:tcPr>
          <w:p>
            <w:pPr>
              <w:rPr>
                <w:rFonts w:ascii="宋体" w:hAnsi="宋体" w:cs="宋体"/>
                <w:sz w:val="19"/>
                <w:szCs w:val="19"/>
              </w:rPr>
            </w:pPr>
            <w:r>
              <w:rPr>
                <w:rFonts w:ascii="宋体" w:hAnsi="宋体" w:cs="宋体"/>
                <w:sz w:val="19"/>
                <w:szCs w:val="19"/>
              </w:rPr>
              <w:t xml:space="preserve">胃蛋白酶I（化学发光法）、胃蛋白酶II（化学发光法）、血清胃泌素-17测定、碳13尿素呼气试验</w:t>
            </w:r>
            <w:r/>
          </w:p>
        </w:tc>
      </w:tr>
    </w:tbl>
    <w:p>
      <w:pPr>
        <w:rPr>
          <w:rFonts w:ascii="宋体" w:hAnsi="宋体" w:cs="宋体"/>
        </w:rPr>
      </w:pPr>
      <w:r>
        <w:rPr>
          <w:rFonts w:ascii="宋体" w:hAnsi="宋体" w:cs="宋体"/>
        </w:rPr>
      </w:r>
      <w:r/>
    </w:p>
    <w:p>
      <w:pPr>
        <w:rPr>
          <w:rFonts w:ascii="宋体" w:hAnsi="宋体" w:cs="宋体"/>
          <w:b/>
          <w:bCs/>
          <w:sz w:val="22"/>
          <w:szCs w:val="28"/>
        </w:rPr>
      </w:pPr>
      <w:r>
        <w:rPr>
          <w:rFonts w:hint="eastAsia" w:ascii="宋体" w:hAnsi="宋体" w:cs="宋体"/>
          <w:b/>
          <w:bCs/>
          <w:sz w:val="22"/>
          <w:szCs w:val="28"/>
        </w:rPr>
        <w:t xml:space="preserve">5、45岁（含）以上在职、正高职称、退休人员女性已婚套餐</w:t>
      </w:r>
      <w:r/>
    </w:p>
    <w:tbl>
      <w:tblPr>
        <w:tblStyle w:val="897"/>
        <w:tblW w:w="5044" w:type="pct"/>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1413"/>
        <w:gridCol w:w="10"/>
        <w:gridCol w:w="1125"/>
        <w:gridCol w:w="5824"/>
      </w:tblGrid>
      <w:tr>
        <w:trPr>
          <w:jc w:val="center"/>
          <w:trHeight w:val="300"/>
        </w:trPr>
        <w:tc>
          <w:tcPr>
            <w:gridSpan w:val="4"/>
            <w:shd w:val="clear" w:color="auto" w:fill="c0c0c0"/>
            <w:tcBorders>
              <w:top w:val="single" w:color="auto" w:sz="4" w:space="0"/>
              <w:left w:val="single" w:color="000000" w:sz="6" w:space="0"/>
              <w:bottom w:val="single" w:color="000000" w:sz="6" w:space="0"/>
              <w:right w:val="single" w:color="000000" w:sz="6" w:space="0"/>
            </w:tcBorders>
            <w:tcW w:w="5000" w:type="pct"/>
            <w:vAlign w:val="center"/>
            <w:textDirection w:val="lrTb"/>
            <w:noWrap w:val="false"/>
          </w:tcPr>
          <w:p>
            <w:pPr>
              <w:jc w:val="center"/>
              <w:rPr>
                <w:rFonts w:ascii="宋体" w:hAnsi="宋体" w:cs="宋体"/>
              </w:rPr>
            </w:pPr>
            <w:r>
              <w:rPr>
                <w:rFonts w:hint="eastAsia" w:ascii="宋体" w:hAnsi="宋体" w:cs="宋体"/>
                <w:b/>
                <w:bCs/>
              </w:rPr>
              <w:t xml:space="preserve">45岁（含）以上在职、正高职称、退休人员女性已婚套餐</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基本检查</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身高、体重、血压、脉搏、体重指数</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内科</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心、肺听诊、腹部触诊</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外科</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浅表淋巴结、甲状腺、乳房、脊柱、四肢、皮肤、浅表淋巴结等</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眼科</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外眼、视力、眼底、眼压</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耳、鼻、喉科</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外耳道、鼓膜、鼻腔、鼻中隔、扁桃体、咽部等</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口腔科</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检查牙齿、牙周组织、口腔黏膜及颞下颌关节等有无异常</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妇科</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妇科检查、白带常规、宫颈液基细胞学检查（TCT）</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血常规</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18项</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甲状腺功能</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T3、T4、TSH</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肝功能</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谷丙转氨酶、r-转肽酶、谷草转氨酶、总胆红素、直接胆红素、间接胆红素、血清白蛋白、血清总蛋白、血清球蛋白、ALB/GLO</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肿瘤标记筛选</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CEA、AFP、CA199、NSE、CA724、CA242、CA50、CYFRA21-1、CA125、CA153</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肾脏机能</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血尿素氮、血清尿酸、血清肌酐</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血脂</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胆固醇、甘油三脂、高密度脂蛋白胆固醇、低密度脂蛋白胆固醇</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血糖</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空腹血糖测定</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尿常规</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10项</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粪便隐血试验（免疫法定量）</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粪便隐血试验（免疫法定量）</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心电图</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12导心电图</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影像学检查</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胸部CT平扫</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彩色B超</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肝、胆、胰、脾、双肾、膀胱、乳腺、子宫、附件彩色超声检查（含图文）</w:t>
            </w:r>
            <w:r/>
          </w:p>
        </w:tc>
      </w:tr>
      <w:tr>
        <w:trPr>
          <w:jc w:val="center"/>
          <w:trHeight w:val="300"/>
        </w:trPr>
        <w:tc>
          <w:tcPr>
            <w:tcBorders>
              <w:top w:val="none" w:color="000000" w:sz="4" w:space="0"/>
              <w:left w:val="single" w:color="000000" w:sz="6" w:space="0"/>
              <w:right w:val="single" w:color="000000" w:sz="6" w:space="0"/>
            </w:tcBorders>
            <w:tcW w:w="844" w:type="pct"/>
            <w:vAlign w:val="center"/>
            <w:vMerge w:val="restart"/>
            <w:textDirection w:val="lrTb"/>
            <w:noWrap w:val="false"/>
          </w:tcPr>
          <w:p>
            <w:pPr>
              <w:rPr>
                <w:rFonts w:ascii="宋体" w:hAnsi="宋体" w:cs="宋体"/>
                <w:sz w:val="19"/>
                <w:szCs w:val="19"/>
              </w:rPr>
            </w:pPr>
            <w:r>
              <w:rPr>
                <w:rFonts w:ascii="宋体" w:hAnsi="宋体" w:cs="宋体"/>
                <w:sz w:val="19"/>
                <w:szCs w:val="19"/>
              </w:rPr>
              <w:t xml:space="preserve">允许教职工三选一</w:t>
            </w:r>
            <w:r/>
          </w:p>
        </w:tc>
        <w:tc>
          <w:tcPr>
            <w:gridSpan w:val="2"/>
            <w:tcBorders>
              <w:top w:val="none" w:color="000000" w:sz="4" w:space="0"/>
              <w:left w:val="single" w:color="000000" w:sz="6" w:space="0"/>
              <w:right w:val="single" w:color="000000" w:sz="6" w:space="0"/>
            </w:tcBorders>
            <w:tcW w:w="678" w:type="pct"/>
            <w:vAlign w:val="center"/>
            <w:textDirection w:val="lrTb"/>
            <w:noWrap w:val="false"/>
          </w:tcPr>
          <w:p>
            <w:pPr>
              <w:rPr>
                <w:rFonts w:ascii="宋体" w:hAnsi="宋体" w:cs="宋体"/>
                <w:sz w:val="19"/>
                <w:szCs w:val="19"/>
              </w:rPr>
            </w:pPr>
            <w:r>
              <w:rPr>
                <w:rFonts w:ascii="宋体" w:hAnsi="宋体" w:cs="宋体"/>
                <w:sz w:val="19"/>
                <w:szCs w:val="19"/>
              </w:rPr>
              <w:t xml:space="preserve">心血管检查</w:t>
            </w:r>
            <w:r/>
          </w:p>
        </w:tc>
        <w:tc>
          <w:tcPr>
            <w:tcBorders>
              <w:top w:val="none" w:color="000000" w:sz="4" w:space="0"/>
              <w:left w:val="single" w:color="000000" w:sz="6" w:space="0"/>
              <w:right w:val="single" w:color="000000" w:sz="6" w:space="0"/>
            </w:tcBorders>
            <w:tcW w:w="3478" w:type="pct"/>
            <w:vAlign w:val="center"/>
            <w:textDirection w:val="lrTb"/>
            <w:noWrap w:val="false"/>
          </w:tcPr>
          <w:p>
            <w:pPr>
              <w:rPr>
                <w:rFonts w:ascii="宋体" w:hAnsi="宋体" w:cs="宋体"/>
                <w:sz w:val="19"/>
                <w:szCs w:val="19"/>
              </w:rPr>
            </w:pPr>
            <w:r>
              <w:rPr>
                <w:rFonts w:ascii="宋体" w:hAnsi="宋体" w:cs="宋体"/>
                <w:sz w:val="19"/>
                <w:szCs w:val="19"/>
              </w:rPr>
              <w:t xml:space="preserve">彩超心脏（超声心动图），血流变，凝血4项</w:t>
            </w:r>
            <w:r/>
          </w:p>
        </w:tc>
      </w:tr>
      <w:tr>
        <w:trPr>
          <w:jc w:val="center"/>
          <w:trHeight w:val="300"/>
        </w:trPr>
        <w:tc>
          <w:tcPr>
            <w:tcBorders>
              <w:left w:val="single" w:color="000000" w:sz="6" w:space="0"/>
              <w:right w:val="single" w:color="000000" w:sz="6" w:space="0"/>
            </w:tcBorders>
            <w:tcW w:w="844" w:type="pct"/>
            <w:vMerge w:val="continue"/>
            <w:textDirection w:val="lrTb"/>
            <w:noWrap w:val="false"/>
          </w:tcPr>
          <w:p>
            <w:pPr>
              <w:rPr>
                <w:rFonts w:ascii="宋体" w:hAnsi="宋体" w:cs="宋体"/>
                <w:sz w:val="19"/>
                <w:szCs w:val="19"/>
              </w:rPr>
            </w:pPr>
            <w:r>
              <w:rPr>
                <w:rFonts w:ascii="宋体" w:hAnsi="宋体" w:cs="宋体"/>
                <w:sz w:val="19"/>
                <w:szCs w:val="19"/>
              </w:rPr>
            </w:r>
            <w:r/>
          </w:p>
        </w:tc>
        <w:tc>
          <w:tcPr>
            <w:gridSpan w:val="2"/>
            <w:tcBorders>
              <w:left w:val="single" w:color="000000" w:sz="6" w:space="0"/>
              <w:right w:val="single" w:color="000000" w:sz="6" w:space="0"/>
            </w:tcBorders>
            <w:tcW w:w="678" w:type="pct"/>
            <w:textDirection w:val="lrTb"/>
            <w:noWrap w:val="false"/>
          </w:tcPr>
          <w:p>
            <w:pPr>
              <w:rPr>
                <w:rFonts w:ascii="宋体" w:hAnsi="宋体" w:cs="宋体"/>
                <w:sz w:val="19"/>
                <w:szCs w:val="19"/>
              </w:rPr>
            </w:pPr>
            <w:r>
              <w:rPr>
                <w:rFonts w:ascii="宋体" w:hAnsi="宋体" w:cs="宋体"/>
                <w:sz w:val="19"/>
                <w:szCs w:val="19"/>
              </w:rPr>
              <w:t xml:space="preserve">脑血管检查</w:t>
            </w:r>
            <w:r/>
          </w:p>
        </w:tc>
        <w:tc>
          <w:tcPr>
            <w:tcBorders>
              <w:left w:val="single" w:color="000000" w:sz="6" w:space="0"/>
              <w:right w:val="single" w:color="000000" w:sz="6" w:space="0"/>
            </w:tcBorders>
            <w:tcW w:w="3478" w:type="pct"/>
            <w:textDirection w:val="lrTb"/>
            <w:noWrap w:val="false"/>
          </w:tcPr>
          <w:p>
            <w:pPr>
              <w:rPr>
                <w:rFonts w:ascii="宋体" w:hAnsi="宋体" w:cs="宋体"/>
                <w:sz w:val="19"/>
                <w:szCs w:val="19"/>
              </w:rPr>
            </w:pPr>
            <w:r>
              <w:rPr>
                <w:rFonts w:ascii="宋体" w:hAnsi="宋体" w:cs="宋体"/>
                <w:sz w:val="19"/>
                <w:szCs w:val="19"/>
              </w:rPr>
              <w:t xml:space="preserve">头颅CT平扫，彩超血管（双侧颈动脉）+多普勒血流图，经颅多普勒超声（TCD）</w:t>
            </w:r>
            <w:r/>
          </w:p>
        </w:tc>
      </w:tr>
      <w:tr>
        <w:trPr>
          <w:jc w:val="center"/>
          <w:trHeight w:val="300"/>
        </w:trPr>
        <w:tc>
          <w:tcPr>
            <w:tcBorders>
              <w:left w:val="single" w:color="000000" w:sz="6" w:space="0"/>
              <w:bottom w:val="single" w:color="000000" w:sz="6" w:space="0"/>
              <w:right w:val="single" w:color="000000" w:sz="6" w:space="0"/>
            </w:tcBorders>
            <w:tcW w:w="844" w:type="pct"/>
            <w:vMerge w:val="continue"/>
            <w:textDirection w:val="lrTb"/>
            <w:noWrap w:val="false"/>
          </w:tcPr>
          <w:p>
            <w:pPr>
              <w:rPr>
                <w:rFonts w:ascii="宋体" w:hAnsi="宋体" w:cs="宋体"/>
                <w:sz w:val="19"/>
                <w:szCs w:val="19"/>
              </w:rPr>
            </w:pPr>
            <w:r>
              <w:rPr>
                <w:rFonts w:ascii="宋体" w:hAnsi="宋体" w:cs="宋体"/>
                <w:sz w:val="19"/>
                <w:szCs w:val="19"/>
              </w:rPr>
            </w:r>
            <w:r/>
          </w:p>
        </w:tc>
        <w:tc>
          <w:tcPr>
            <w:gridSpan w:val="2"/>
            <w:tcBorders>
              <w:left w:val="single" w:color="000000" w:sz="6" w:space="0"/>
              <w:bottom w:val="single" w:color="000000" w:sz="6" w:space="0"/>
              <w:right w:val="single" w:color="000000" w:sz="6" w:space="0"/>
            </w:tcBorders>
            <w:tcW w:w="678" w:type="pct"/>
            <w:textDirection w:val="lrTb"/>
            <w:noWrap w:val="false"/>
          </w:tcPr>
          <w:p>
            <w:pPr>
              <w:rPr>
                <w:rFonts w:ascii="宋体" w:hAnsi="宋体" w:cs="宋体"/>
                <w:sz w:val="19"/>
                <w:szCs w:val="19"/>
              </w:rPr>
            </w:pPr>
            <w:r>
              <w:rPr>
                <w:rFonts w:ascii="宋体" w:hAnsi="宋体" w:cs="宋体"/>
                <w:sz w:val="19"/>
                <w:szCs w:val="19"/>
              </w:rPr>
              <w:t xml:space="preserve">胃肠道检查</w:t>
            </w:r>
            <w:r/>
          </w:p>
        </w:tc>
        <w:tc>
          <w:tcPr>
            <w:tcBorders>
              <w:left w:val="single" w:color="000000" w:sz="6" w:space="0"/>
              <w:bottom w:val="single" w:color="000000" w:sz="6" w:space="0"/>
              <w:right w:val="single" w:color="000000" w:sz="6" w:space="0"/>
            </w:tcBorders>
            <w:tcW w:w="3478" w:type="pct"/>
            <w:textDirection w:val="lrTb"/>
            <w:noWrap w:val="false"/>
          </w:tcPr>
          <w:p>
            <w:pPr>
              <w:rPr>
                <w:rFonts w:ascii="宋体" w:hAnsi="宋体" w:cs="宋体"/>
                <w:sz w:val="19"/>
                <w:szCs w:val="19"/>
              </w:rPr>
            </w:pPr>
            <w:r>
              <w:rPr>
                <w:rFonts w:ascii="宋体" w:hAnsi="宋体" w:cs="宋体"/>
                <w:sz w:val="19"/>
                <w:szCs w:val="19"/>
              </w:rPr>
              <w:t xml:space="preserve">胃蛋白酶I（化学发光法）、胃蛋白酶II（化学发光法）、血清胃泌素-17测定、碳13尿素呼气试验</w:t>
            </w:r>
            <w:r/>
          </w:p>
        </w:tc>
      </w:tr>
    </w:tbl>
    <w:p>
      <w:pPr>
        <w:rPr>
          <w:rFonts w:ascii="宋体" w:hAnsi="宋体" w:cs="宋体"/>
        </w:rPr>
      </w:pPr>
      <w:r>
        <w:rPr>
          <w:rFonts w:ascii="宋体" w:hAnsi="宋体" w:cs="宋体"/>
        </w:rPr>
      </w:r>
      <w:r/>
    </w:p>
    <w:p>
      <w:pPr>
        <w:rPr>
          <w:rFonts w:ascii="宋体" w:hAnsi="宋体" w:cs="宋体"/>
          <w:b/>
          <w:bCs/>
          <w:sz w:val="22"/>
          <w:szCs w:val="28"/>
        </w:rPr>
      </w:pPr>
      <w:r>
        <w:rPr>
          <w:rFonts w:hint="eastAsia" w:ascii="宋体" w:hAnsi="宋体" w:cs="宋体"/>
          <w:b/>
          <w:bCs/>
          <w:sz w:val="22"/>
          <w:szCs w:val="28"/>
        </w:rPr>
        <w:t xml:space="preserve">6、45岁（含）以上在职、正高职称、退休人员女性未婚套餐</w:t>
      </w:r>
      <w:r/>
    </w:p>
    <w:tbl>
      <w:tblPr>
        <w:tblStyle w:val="897"/>
        <w:tblW w:w="504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1411"/>
        <w:gridCol w:w="10"/>
        <w:gridCol w:w="1124"/>
        <w:gridCol w:w="5817"/>
      </w:tblGrid>
      <w:tr>
        <w:trPr>
          <w:jc w:val="center"/>
          <w:trHeight w:val="300"/>
        </w:trPr>
        <w:tc>
          <w:tcPr>
            <w:gridSpan w:val="4"/>
            <w:shd w:val="clear" w:color="auto" w:fill="c0c0c0"/>
            <w:tcW w:w="5000" w:type="pct"/>
            <w:vAlign w:val="center"/>
            <w:textDirection w:val="lrTb"/>
            <w:noWrap w:val="false"/>
          </w:tcPr>
          <w:p>
            <w:pPr>
              <w:jc w:val="center"/>
              <w:rPr>
                <w:rFonts w:ascii="宋体" w:hAnsi="宋体" w:cs="宋体"/>
                <w:sz w:val="19"/>
                <w:szCs w:val="19"/>
              </w:rPr>
            </w:pPr>
            <w:r>
              <w:rPr>
                <w:rFonts w:hint="eastAsia" w:ascii="宋体" w:hAnsi="宋体" w:cs="宋体"/>
                <w:b/>
                <w:bCs/>
                <w:sz w:val="19"/>
                <w:szCs w:val="19"/>
              </w:rPr>
              <w:t xml:space="preserve">45岁（含）以上在职、正高职称、退休人员女性未婚</w:t>
            </w:r>
            <w:r/>
          </w:p>
        </w:tc>
      </w:tr>
      <w:tr>
        <w:trPr>
          <w:jc w:val="center"/>
          <w:trHeight w:val="300"/>
        </w:trPr>
        <w:tc>
          <w:tcPr>
            <w:gridSpan w:val="2"/>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基本检查</w:t>
            </w:r>
            <w:r/>
          </w:p>
        </w:tc>
        <w:tc>
          <w:tcPr>
            <w:gridSpan w:val="2"/>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身高、体重、血压、脉搏、体重指数</w:t>
            </w:r>
            <w:r/>
          </w:p>
        </w:tc>
      </w:tr>
      <w:tr>
        <w:trPr>
          <w:jc w:val="center"/>
          <w:trHeight w:val="300"/>
        </w:trPr>
        <w:tc>
          <w:tcPr>
            <w:gridSpan w:val="2"/>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内科</w:t>
            </w:r>
            <w:r/>
          </w:p>
        </w:tc>
        <w:tc>
          <w:tcPr>
            <w:gridSpan w:val="2"/>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心、肺听诊、腹部触诊</w:t>
            </w:r>
            <w:r/>
          </w:p>
        </w:tc>
      </w:tr>
      <w:tr>
        <w:trPr>
          <w:jc w:val="center"/>
          <w:trHeight w:val="300"/>
        </w:trPr>
        <w:tc>
          <w:tcPr>
            <w:gridSpan w:val="2"/>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外科</w:t>
            </w:r>
            <w:r/>
          </w:p>
        </w:tc>
        <w:tc>
          <w:tcPr>
            <w:gridSpan w:val="2"/>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浅表淋巴结、甲状腺、乳房、脊柱、四肢、皮肤、浅表淋巴结等</w:t>
            </w:r>
            <w:r/>
          </w:p>
        </w:tc>
      </w:tr>
      <w:tr>
        <w:trPr>
          <w:jc w:val="center"/>
          <w:trHeight w:val="300"/>
        </w:trPr>
        <w:tc>
          <w:tcPr>
            <w:gridSpan w:val="2"/>
            <w:tcW w:w="850" w:type="pct"/>
            <w:vAlign w:val="center"/>
            <w:textDirection w:val="lrTb"/>
            <w:noWrap w:val="false"/>
          </w:tcPr>
          <w:p>
            <w:pPr>
              <w:rPr>
                <w:rFonts w:ascii="宋体" w:hAnsi="宋体" w:cs="宋体"/>
                <w:sz w:val="19"/>
                <w:szCs w:val="19"/>
              </w:rPr>
            </w:pPr>
            <w:r>
              <w:rPr>
                <w:rFonts w:ascii="宋体" w:hAnsi="宋体" w:cs="宋体"/>
                <w:sz w:val="19"/>
                <w:szCs w:val="19"/>
              </w:rPr>
              <w:t xml:space="preserve">眼科</w:t>
            </w:r>
            <w:r/>
          </w:p>
        </w:tc>
        <w:tc>
          <w:tcPr>
            <w:gridSpan w:val="2"/>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外眼、视力、眼底、眼压</w:t>
            </w:r>
            <w:r/>
          </w:p>
        </w:tc>
      </w:tr>
      <w:tr>
        <w:trPr>
          <w:jc w:val="center"/>
          <w:trHeight w:val="300"/>
        </w:trPr>
        <w:tc>
          <w:tcPr>
            <w:gridSpan w:val="2"/>
            <w:tcW w:w="850" w:type="pct"/>
            <w:vAlign w:val="center"/>
            <w:textDirection w:val="lrTb"/>
            <w:noWrap w:val="false"/>
          </w:tcPr>
          <w:p>
            <w:pPr>
              <w:rPr>
                <w:rFonts w:ascii="宋体" w:hAnsi="宋体" w:cs="宋体"/>
                <w:sz w:val="19"/>
                <w:szCs w:val="19"/>
              </w:rPr>
            </w:pPr>
            <w:r>
              <w:rPr>
                <w:rFonts w:ascii="宋体" w:hAnsi="宋体" w:cs="宋体"/>
                <w:sz w:val="19"/>
                <w:szCs w:val="19"/>
              </w:rPr>
              <w:t xml:space="preserve">耳、鼻、喉科</w:t>
            </w:r>
            <w:r/>
          </w:p>
        </w:tc>
        <w:tc>
          <w:tcPr>
            <w:gridSpan w:val="2"/>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外耳道、鼓膜、鼻腔、鼻中隔、扁桃体、咽部等</w:t>
            </w:r>
            <w:r/>
          </w:p>
        </w:tc>
      </w:tr>
      <w:tr>
        <w:trPr>
          <w:jc w:val="center"/>
          <w:trHeight w:val="300"/>
        </w:trPr>
        <w:tc>
          <w:tcPr>
            <w:gridSpan w:val="2"/>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口腔科</w:t>
            </w:r>
            <w:r/>
          </w:p>
        </w:tc>
        <w:tc>
          <w:tcPr>
            <w:gridSpan w:val="2"/>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检查牙齿、牙周组织、口腔黏膜及颞下颌关节等有无异常</w:t>
            </w:r>
            <w:r/>
          </w:p>
        </w:tc>
      </w:tr>
      <w:tr>
        <w:trPr>
          <w:jc w:val="center"/>
          <w:trHeight w:val="300"/>
        </w:trPr>
        <w:tc>
          <w:tcPr>
            <w:gridSpan w:val="2"/>
            <w:tcW w:w="850" w:type="pct"/>
            <w:vAlign w:val="center"/>
            <w:textDirection w:val="lrTb"/>
            <w:noWrap w:val="false"/>
          </w:tcPr>
          <w:p>
            <w:pPr>
              <w:rPr>
                <w:rFonts w:ascii="宋体" w:hAnsi="宋体" w:cs="宋体"/>
                <w:sz w:val="19"/>
                <w:szCs w:val="19"/>
              </w:rPr>
            </w:pPr>
            <w:r>
              <w:rPr>
                <w:rFonts w:ascii="宋体" w:hAnsi="宋体" w:cs="宋体"/>
                <w:sz w:val="19"/>
                <w:szCs w:val="19"/>
              </w:rPr>
              <w:t xml:space="preserve">血常规</w:t>
            </w:r>
            <w:r/>
          </w:p>
        </w:tc>
        <w:tc>
          <w:tcPr>
            <w:gridSpan w:val="2"/>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18项</w:t>
            </w:r>
            <w:r/>
          </w:p>
        </w:tc>
      </w:tr>
      <w:tr>
        <w:trPr>
          <w:jc w:val="center"/>
          <w:trHeight w:val="300"/>
        </w:trPr>
        <w:tc>
          <w:tcPr>
            <w:gridSpan w:val="2"/>
            <w:tcW w:w="850" w:type="pct"/>
            <w:vAlign w:val="center"/>
            <w:textDirection w:val="lrTb"/>
            <w:noWrap w:val="false"/>
          </w:tcPr>
          <w:p>
            <w:pPr>
              <w:rPr>
                <w:rFonts w:ascii="宋体" w:hAnsi="宋体" w:cs="宋体"/>
                <w:sz w:val="19"/>
                <w:szCs w:val="19"/>
              </w:rPr>
            </w:pPr>
            <w:r>
              <w:rPr>
                <w:rFonts w:ascii="宋体" w:hAnsi="宋体" w:cs="宋体"/>
                <w:sz w:val="19"/>
                <w:szCs w:val="19"/>
              </w:rPr>
              <w:t xml:space="preserve">甲状腺功能</w:t>
            </w:r>
            <w:r/>
          </w:p>
        </w:tc>
        <w:tc>
          <w:tcPr>
            <w:gridSpan w:val="2"/>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T3、T4、TSH</w:t>
            </w:r>
            <w:r/>
          </w:p>
        </w:tc>
      </w:tr>
      <w:tr>
        <w:trPr>
          <w:jc w:val="center"/>
          <w:trHeight w:val="300"/>
        </w:trPr>
        <w:tc>
          <w:tcPr>
            <w:gridSpan w:val="2"/>
            <w:tcW w:w="850" w:type="pct"/>
            <w:vAlign w:val="center"/>
            <w:textDirection w:val="lrTb"/>
            <w:noWrap w:val="false"/>
          </w:tcPr>
          <w:p>
            <w:pPr>
              <w:rPr>
                <w:rFonts w:ascii="宋体" w:hAnsi="宋体" w:cs="宋体"/>
                <w:sz w:val="19"/>
                <w:szCs w:val="19"/>
              </w:rPr>
            </w:pPr>
            <w:r>
              <w:rPr>
                <w:rFonts w:ascii="宋体" w:hAnsi="宋体" w:cs="宋体"/>
                <w:sz w:val="19"/>
                <w:szCs w:val="19"/>
              </w:rPr>
              <w:t xml:space="preserve">肝功能</w:t>
            </w:r>
            <w:r/>
          </w:p>
        </w:tc>
        <w:tc>
          <w:tcPr>
            <w:gridSpan w:val="2"/>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谷丙转氨酶、r-转肽酶、谷草转氨酶、总胆红素、直接胆红素、间接胆红素、血清白蛋白、血清总蛋白、血清球蛋白、ALB/GLO</w:t>
            </w:r>
            <w:r/>
          </w:p>
        </w:tc>
      </w:tr>
      <w:tr>
        <w:trPr>
          <w:jc w:val="center"/>
          <w:trHeight w:val="300"/>
        </w:trPr>
        <w:tc>
          <w:tcPr>
            <w:gridSpan w:val="2"/>
            <w:tcW w:w="850" w:type="pct"/>
            <w:vAlign w:val="center"/>
            <w:textDirection w:val="lrTb"/>
            <w:noWrap w:val="false"/>
          </w:tcPr>
          <w:p>
            <w:pPr>
              <w:rPr>
                <w:rFonts w:ascii="宋体" w:hAnsi="宋体" w:cs="宋体"/>
                <w:sz w:val="19"/>
                <w:szCs w:val="19"/>
              </w:rPr>
            </w:pPr>
            <w:r>
              <w:rPr>
                <w:rFonts w:ascii="宋体" w:hAnsi="宋体" w:cs="宋体"/>
                <w:sz w:val="19"/>
                <w:szCs w:val="19"/>
              </w:rPr>
              <w:t xml:space="preserve">肿瘤标记筛选</w:t>
            </w:r>
            <w:r/>
          </w:p>
        </w:tc>
        <w:tc>
          <w:tcPr>
            <w:gridSpan w:val="2"/>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CEA、AFP、CA199、NSE、CA724、CA242、CA50、CYFRA21-1、CA125、CA153</w:t>
            </w:r>
            <w:r/>
          </w:p>
        </w:tc>
      </w:tr>
      <w:tr>
        <w:trPr>
          <w:jc w:val="center"/>
          <w:trHeight w:val="300"/>
        </w:trPr>
        <w:tc>
          <w:tcPr>
            <w:gridSpan w:val="2"/>
            <w:tcW w:w="850" w:type="pct"/>
            <w:vAlign w:val="center"/>
            <w:textDirection w:val="lrTb"/>
            <w:noWrap w:val="false"/>
          </w:tcPr>
          <w:p>
            <w:pPr>
              <w:rPr>
                <w:rFonts w:ascii="宋体" w:hAnsi="宋体" w:cs="宋体"/>
                <w:sz w:val="19"/>
                <w:szCs w:val="19"/>
              </w:rPr>
            </w:pPr>
            <w:r>
              <w:rPr>
                <w:rFonts w:ascii="宋体" w:hAnsi="宋体" w:cs="宋体"/>
                <w:sz w:val="19"/>
                <w:szCs w:val="19"/>
              </w:rPr>
              <w:t xml:space="preserve">肾脏机能</w:t>
            </w:r>
            <w:r/>
          </w:p>
        </w:tc>
        <w:tc>
          <w:tcPr>
            <w:gridSpan w:val="2"/>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血尿素氮、血清尿酸、血清肌酐</w:t>
            </w:r>
            <w:r/>
          </w:p>
        </w:tc>
      </w:tr>
      <w:tr>
        <w:trPr>
          <w:jc w:val="center"/>
          <w:trHeight w:val="300"/>
        </w:trPr>
        <w:tc>
          <w:tcPr>
            <w:gridSpan w:val="2"/>
            <w:tcW w:w="850" w:type="pct"/>
            <w:vAlign w:val="center"/>
            <w:textDirection w:val="lrTb"/>
            <w:noWrap w:val="false"/>
          </w:tcPr>
          <w:p>
            <w:pPr>
              <w:rPr>
                <w:rFonts w:ascii="宋体" w:hAnsi="宋体" w:cs="宋体"/>
                <w:sz w:val="19"/>
                <w:szCs w:val="19"/>
              </w:rPr>
            </w:pPr>
            <w:r>
              <w:rPr>
                <w:rFonts w:ascii="宋体" w:hAnsi="宋体" w:cs="宋体"/>
                <w:sz w:val="19"/>
                <w:szCs w:val="19"/>
              </w:rPr>
              <w:t xml:space="preserve">血脂</w:t>
            </w:r>
            <w:r/>
          </w:p>
        </w:tc>
        <w:tc>
          <w:tcPr>
            <w:gridSpan w:val="2"/>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胆固醇、甘油三脂、高密度脂蛋白胆固醇、低密度脂蛋白胆固醇</w:t>
            </w:r>
            <w:r/>
          </w:p>
        </w:tc>
      </w:tr>
      <w:tr>
        <w:trPr>
          <w:jc w:val="center"/>
          <w:trHeight w:val="300"/>
        </w:trPr>
        <w:tc>
          <w:tcPr>
            <w:gridSpan w:val="2"/>
            <w:tcW w:w="850" w:type="pct"/>
            <w:vAlign w:val="center"/>
            <w:textDirection w:val="lrTb"/>
            <w:noWrap w:val="false"/>
          </w:tcPr>
          <w:p>
            <w:pPr>
              <w:rPr>
                <w:rFonts w:ascii="宋体" w:hAnsi="宋体" w:cs="宋体"/>
                <w:sz w:val="19"/>
                <w:szCs w:val="19"/>
              </w:rPr>
            </w:pPr>
            <w:r>
              <w:rPr>
                <w:rFonts w:ascii="宋体" w:hAnsi="宋体" w:cs="宋体"/>
                <w:sz w:val="19"/>
                <w:szCs w:val="19"/>
              </w:rPr>
              <w:t xml:space="preserve">血糖</w:t>
            </w:r>
            <w:r/>
          </w:p>
        </w:tc>
        <w:tc>
          <w:tcPr>
            <w:gridSpan w:val="2"/>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空腹血糖测定</w:t>
            </w:r>
            <w:r/>
          </w:p>
        </w:tc>
      </w:tr>
      <w:tr>
        <w:trPr>
          <w:jc w:val="center"/>
          <w:trHeight w:val="300"/>
        </w:trPr>
        <w:tc>
          <w:tcPr>
            <w:gridSpan w:val="2"/>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尿常规</w:t>
            </w:r>
            <w:r/>
          </w:p>
        </w:tc>
        <w:tc>
          <w:tcPr>
            <w:gridSpan w:val="2"/>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10项</w:t>
            </w:r>
            <w:r/>
          </w:p>
        </w:tc>
      </w:tr>
      <w:tr>
        <w:trPr>
          <w:jc w:val="center"/>
          <w:trHeight w:val="300"/>
        </w:trPr>
        <w:tc>
          <w:tcPr>
            <w:gridSpan w:val="2"/>
            <w:tcW w:w="850" w:type="pct"/>
            <w:vAlign w:val="center"/>
            <w:textDirection w:val="lrTb"/>
            <w:noWrap w:val="false"/>
          </w:tcPr>
          <w:p>
            <w:pPr>
              <w:rPr>
                <w:rFonts w:ascii="宋体" w:hAnsi="宋体" w:cs="宋体"/>
                <w:sz w:val="19"/>
                <w:szCs w:val="19"/>
              </w:rPr>
            </w:pPr>
            <w:r>
              <w:rPr>
                <w:rFonts w:ascii="宋体" w:hAnsi="宋体" w:cs="宋体"/>
                <w:sz w:val="19"/>
                <w:szCs w:val="19"/>
              </w:rPr>
              <w:t xml:space="preserve">粪便隐血试验（免疫法定量）</w:t>
            </w:r>
            <w:r/>
          </w:p>
        </w:tc>
        <w:tc>
          <w:tcPr>
            <w:gridSpan w:val="2"/>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粪便隐血试验（免疫法定量）</w:t>
            </w:r>
            <w:r/>
          </w:p>
        </w:tc>
      </w:tr>
      <w:tr>
        <w:trPr>
          <w:jc w:val="center"/>
          <w:trHeight w:val="300"/>
        </w:trPr>
        <w:tc>
          <w:tcPr>
            <w:gridSpan w:val="2"/>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心电图</w:t>
            </w:r>
            <w:r/>
          </w:p>
        </w:tc>
        <w:tc>
          <w:tcPr>
            <w:gridSpan w:val="2"/>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12导心电图</w:t>
            </w:r>
            <w:r/>
          </w:p>
        </w:tc>
      </w:tr>
      <w:tr>
        <w:trPr>
          <w:jc w:val="center"/>
          <w:trHeight w:val="300"/>
        </w:trPr>
        <w:tc>
          <w:tcPr>
            <w:gridSpan w:val="2"/>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影像学检查</w:t>
            </w:r>
            <w:r/>
          </w:p>
        </w:tc>
        <w:tc>
          <w:tcPr>
            <w:gridSpan w:val="2"/>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胸部CT平扫</w:t>
            </w:r>
            <w:r/>
          </w:p>
        </w:tc>
      </w:tr>
      <w:tr>
        <w:trPr>
          <w:jc w:val="center"/>
          <w:trHeight w:val="300"/>
        </w:trPr>
        <w:tc>
          <w:tcPr>
            <w:gridSpan w:val="2"/>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彩色B超</w:t>
            </w:r>
            <w:r/>
          </w:p>
        </w:tc>
        <w:tc>
          <w:tcPr>
            <w:gridSpan w:val="2"/>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肝、胆、胰、脾、双肾、膀胱、乳腺、子宫、附件彩色超声检查（含图文）</w:t>
            </w:r>
            <w:r/>
          </w:p>
        </w:tc>
      </w:tr>
      <w:tr>
        <w:trPr>
          <w:jc w:val="center"/>
          <w:trHeight w:val="300"/>
        </w:trPr>
        <w:tc>
          <w:tcPr>
            <w:tcW w:w="844" w:type="pct"/>
            <w:vAlign w:val="center"/>
            <w:vMerge w:val="restart"/>
            <w:textDirection w:val="lrTb"/>
            <w:noWrap w:val="false"/>
          </w:tcPr>
          <w:p>
            <w:pPr>
              <w:rPr>
                <w:rFonts w:ascii="宋体" w:hAnsi="宋体" w:cs="宋体"/>
                <w:sz w:val="19"/>
                <w:szCs w:val="19"/>
              </w:rPr>
            </w:pPr>
            <w:r>
              <w:rPr>
                <w:rFonts w:ascii="宋体" w:hAnsi="宋体" w:cs="宋体"/>
                <w:sz w:val="19"/>
                <w:szCs w:val="19"/>
              </w:rPr>
              <w:t xml:space="preserve">允许教职工三选一</w:t>
            </w:r>
            <w:r/>
          </w:p>
        </w:tc>
        <w:tc>
          <w:tcPr>
            <w:gridSpan w:val="2"/>
            <w:tcW w:w="678" w:type="pct"/>
            <w:vAlign w:val="center"/>
            <w:textDirection w:val="lrTb"/>
            <w:noWrap w:val="false"/>
          </w:tcPr>
          <w:p>
            <w:pPr>
              <w:rPr>
                <w:rFonts w:ascii="宋体" w:hAnsi="宋体" w:cs="宋体"/>
                <w:sz w:val="19"/>
                <w:szCs w:val="19"/>
              </w:rPr>
            </w:pPr>
            <w:r>
              <w:rPr>
                <w:rFonts w:ascii="宋体" w:hAnsi="宋体" w:cs="宋体"/>
                <w:sz w:val="19"/>
                <w:szCs w:val="19"/>
              </w:rPr>
              <w:t xml:space="preserve">心血管检查</w:t>
            </w:r>
            <w:r/>
          </w:p>
        </w:tc>
        <w:tc>
          <w:tcPr>
            <w:tcW w:w="3478" w:type="pct"/>
            <w:vAlign w:val="center"/>
            <w:textDirection w:val="lrTb"/>
            <w:noWrap w:val="false"/>
          </w:tcPr>
          <w:p>
            <w:pPr>
              <w:rPr>
                <w:rFonts w:ascii="宋体" w:hAnsi="宋体" w:cs="宋体"/>
                <w:sz w:val="19"/>
                <w:szCs w:val="19"/>
              </w:rPr>
            </w:pPr>
            <w:r>
              <w:rPr>
                <w:rFonts w:ascii="宋体" w:hAnsi="宋体" w:cs="宋体"/>
                <w:sz w:val="19"/>
                <w:szCs w:val="19"/>
              </w:rPr>
              <w:t xml:space="preserve">彩超心脏（超声心动图），血流变，凝血4项</w:t>
            </w:r>
            <w:r/>
          </w:p>
        </w:tc>
      </w:tr>
      <w:tr>
        <w:trPr>
          <w:jc w:val="center"/>
          <w:trHeight w:val="300"/>
        </w:trPr>
        <w:tc>
          <w:tcPr>
            <w:tcW w:w="844" w:type="pct"/>
            <w:vMerge w:val="continue"/>
            <w:textDirection w:val="lrTb"/>
            <w:noWrap w:val="false"/>
          </w:tcPr>
          <w:p>
            <w:pPr>
              <w:rPr>
                <w:rFonts w:ascii="宋体" w:hAnsi="宋体" w:cs="宋体"/>
                <w:sz w:val="19"/>
                <w:szCs w:val="19"/>
              </w:rPr>
            </w:pPr>
            <w:r>
              <w:rPr>
                <w:rFonts w:ascii="宋体" w:hAnsi="宋体" w:cs="宋体"/>
                <w:sz w:val="19"/>
                <w:szCs w:val="19"/>
              </w:rPr>
            </w:r>
            <w:r/>
          </w:p>
        </w:tc>
        <w:tc>
          <w:tcPr>
            <w:gridSpan w:val="2"/>
            <w:tcW w:w="678" w:type="pct"/>
            <w:textDirection w:val="lrTb"/>
            <w:noWrap w:val="false"/>
          </w:tcPr>
          <w:p>
            <w:pPr>
              <w:rPr>
                <w:rFonts w:ascii="宋体" w:hAnsi="宋体" w:cs="宋体"/>
                <w:sz w:val="19"/>
                <w:szCs w:val="19"/>
              </w:rPr>
            </w:pPr>
            <w:r>
              <w:rPr>
                <w:rFonts w:ascii="宋体" w:hAnsi="宋体" w:cs="宋体"/>
                <w:sz w:val="19"/>
                <w:szCs w:val="19"/>
              </w:rPr>
              <w:t xml:space="preserve">脑血管检查</w:t>
            </w:r>
            <w:r/>
          </w:p>
        </w:tc>
        <w:tc>
          <w:tcPr>
            <w:tcW w:w="3478" w:type="pct"/>
            <w:textDirection w:val="lrTb"/>
            <w:noWrap w:val="false"/>
          </w:tcPr>
          <w:p>
            <w:pPr>
              <w:rPr>
                <w:rFonts w:ascii="宋体" w:hAnsi="宋体" w:cs="宋体"/>
                <w:sz w:val="19"/>
                <w:szCs w:val="19"/>
              </w:rPr>
            </w:pPr>
            <w:r>
              <w:rPr>
                <w:rFonts w:ascii="宋体" w:hAnsi="宋体" w:cs="宋体"/>
                <w:sz w:val="19"/>
                <w:szCs w:val="19"/>
              </w:rPr>
              <w:t xml:space="preserve">头颅CT平扫，彩超血管（双侧颈动脉）+多普勒血流图，经颅多普勒超声（TCD）</w:t>
            </w:r>
            <w:r/>
          </w:p>
        </w:tc>
      </w:tr>
      <w:tr>
        <w:trPr>
          <w:jc w:val="center"/>
          <w:trHeight w:val="300"/>
        </w:trPr>
        <w:tc>
          <w:tcPr>
            <w:tcW w:w="844" w:type="pct"/>
            <w:vMerge w:val="continue"/>
            <w:textDirection w:val="lrTb"/>
            <w:noWrap w:val="false"/>
          </w:tcPr>
          <w:p>
            <w:pPr>
              <w:rPr>
                <w:rFonts w:ascii="宋体" w:hAnsi="宋体" w:cs="宋体"/>
                <w:sz w:val="19"/>
                <w:szCs w:val="19"/>
              </w:rPr>
            </w:pPr>
            <w:r>
              <w:rPr>
                <w:rFonts w:ascii="宋体" w:hAnsi="宋体" w:cs="宋体"/>
                <w:sz w:val="19"/>
                <w:szCs w:val="19"/>
              </w:rPr>
            </w:r>
            <w:r/>
          </w:p>
        </w:tc>
        <w:tc>
          <w:tcPr>
            <w:gridSpan w:val="2"/>
            <w:tcW w:w="678" w:type="pct"/>
            <w:textDirection w:val="lrTb"/>
            <w:noWrap w:val="false"/>
          </w:tcPr>
          <w:p>
            <w:pPr>
              <w:rPr>
                <w:rFonts w:ascii="宋体" w:hAnsi="宋体" w:cs="宋体"/>
                <w:sz w:val="19"/>
                <w:szCs w:val="19"/>
              </w:rPr>
            </w:pPr>
            <w:r>
              <w:rPr>
                <w:rFonts w:ascii="宋体" w:hAnsi="宋体" w:cs="宋体"/>
                <w:sz w:val="19"/>
                <w:szCs w:val="19"/>
              </w:rPr>
              <w:t xml:space="preserve">胃肠道检查</w:t>
            </w:r>
            <w:r/>
          </w:p>
        </w:tc>
        <w:tc>
          <w:tcPr>
            <w:tcW w:w="3478" w:type="pct"/>
            <w:textDirection w:val="lrTb"/>
            <w:noWrap w:val="false"/>
          </w:tcPr>
          <w:p>
            <w:pPr>
              <w:rPr>
                <w:rFonts w:ascii="宋体" w:hAnsi="宋体" w:cs="宋体"/>
                <w:sz w:val="19"/>
                <w:szCs w:val="19"/>
              </w:rPr>
            </w:pPr>
            <w:r>
              <w:rPr>
                <w:rFonts w:ascii="宋体" w:hAnsi="宋体" w:cs="宋体"/>
                <w:sz w:val="19"/>
                <w:szCs w:val="19"/>
              </w:rPr>
              <w:t xml:space="preserve">胃蛋白酶I（化学发光法）、胃蛋白酶II（化学发光法）、血清胃泌素-17测定、碳13尿素呼气试验</w:t>
            </w:r>
            <w:r/>
          </w:p>
        </w:tc>
      </w:tr>
    </w:tbl>
    <w:p>
      <w:pPr>
        <w:rPr>
          <w:rFonts w:ascii="宋体" w:hAnsi="宋体" w:cs="宋体"/>
        </w:rPr>
      </w:pPr>
      <w:r>
        <w:rPr>
          <w:rFonts w:ascii="宋体" w:hAnsi="宋体" w:cs="宋体"/>
        </w:rPr>
      </w:r>
      <w:r/>
    </w:p>
    <w:p>
      <w:pPr>
        <w:spacing w:before="158" w:after="158"/>
        <w:rPr>
          <w:rFonts w:ascii="宋体" w:hAnsi="宋体" w:cs="宋体"/>
          <w:b/>
          <w:bCs/>
          <w:sz w:val="22"/>
          <w:szCs w:val="28"/>
        </w:rPr>
        <w:outlineLvl w:val="2"/>
      </w:pPr>
      <w:r>
        <w:rPr>
          <w:rFonts w:hint="eastAsia" w:ascii="宋体" w:hAnsi="宋体" w:cs="宋体"/>
          <w:b/>
          <w:bCs/>
          <w:sz w:val="22"/>
          <w:szCs w:val="28"/>
        </w:rPr>
        <w:t xml:space="preserve">五、其它要求</w:t>
      </w:r>
      <w:r/>
    </w:p>
    <w:p>
      <w:pPr>
        <w:ind w:firstLine="420"/>
        <w:spacing w:line="360" w:lineRule="auto"/>
        <w:rPr>
          <w:rFonts w:ascii="宋体" w:hAnsi="宋体" w:cs="宋体"/>
        </w:rPr>
      </w:pPr>
      <w:r>
        <w:rPr>
          <w:rFonts w:hint="eastAsia" w:ascii="宋体" w:hAnsi="宋体" w:cs="宋体"/>
        </w:rPr>
        <w:t xml:space="preserve">1、合同履行期限（服务期）：自合同签订之日起，至2028年12月31日内完成项目（具体时间以采购人通知为准）。</w:t>
      </w:r>
      <w:r>
        <w:rPr>
          <w:rFonts w:hint="eastAsia" w:ascii="宋体" w:hAnsi="宋体" w:cs="宋体"/>
          <w:spacing w:val="8"/>
          <w:szCs w:val="21"/>
        </w:rPr>
        <w:t xml:space="preserve">合同一年一签，每年采购人组织服务质量考核；考核≥80 分，续签下一年度合同；考核＜80 分，采购人有权向中标人发出整改通知，限期整改；整改后仍达不到 80 分，采购人有权不予续签下一年度合同。</w:t>
      </w:r>
      <w:r>
        <w:rPr>
          <w:rFonts w:hint="eastAsia" w:ascii="宋体" w:hAnsi="宋体" w:cs="宋体"/>
        </w:rPr>
        <w:t xml:space="preserve">（详见考核细则）</w:t>
      </w:r>
      <w:r/>
    </w:p>
    <w:p>
      <w:pPr>
        <w:ind w:firstLine="420"/>
        <w:spacing w:line="360" w:lineRule="auto"/>
        <w:rPr>
          <w:rFonts w:ascii="宋体" w:hAnsi="宋体" w:cs="宋体"/>
        </w:rPr>
      </w:pPr>
      <w:r>
        <w:rPr>
          <w:rFonts w:hint="eastAsia" w:ascii="宋体" w:hAnsi="宋体" w:cs="宋体"/>
        </w:rPr>
        <w:t xml:space="preserve">2、体检时间：双方协商确定。</w:t>
      </w:r>
      <w:r/>
    </w:p>
    <w:p>
      <w:pPr>
        <w:ind w:firstLine="420"/>
        <w:spacing w:line="360" w:lineRule="auto"/>
        <w:rPr>
          <w:rFonts w:ascii="宋体" w:hAnsi="宋体" w:cs="宋体"/>
        </w:rPr>
      </w:pPr>
      <w:r>
        <w:rPr>
          <w:rFonts w:hint="eastAsia" w:ascii="宋体" w:hAnsi="宋体" w:cs="宋体"/>
        </w:rPr>
        <w:t xml:space="preserve">3、付款方式：</w:t>
      </w:r>
      <w:r/>
    </w:p>
    <w:p>
      <w:pPr>
        <w:ind w:firstLine="420"/>
        <w:spacing w:line="360" w:lineRule="auto"/>
        <w:rPr>
          <w:rFonts w:ascii="宋体" w:hAnsi="宋体" w:cs="宋体"/>
        </w:rPr>
      </w:pPr>
      <w:r>
        <w:rPr>
          <w:rFonts w:hint="eastAsia" w:ascii="宋体" w:hAnsi="宋体" w:cs="宋体"/>
        </w:rPr>
        <w:t xml:space="preserve">当年体检完成并提交体检报告（按要求提供纸质或电子体检报告），经采购人对中标人体检服务进行考核，考核合格后，中标人应在10个工作日内向采购人列出结算单。采购人审核通过后，中标人按采购人财务规定出具正式发票，同时附体检人员及费用清单。采购人在2个月内支付当年结算金额。最终体检服务费用按中标报价、实际体检人数结算。</w:t>
      </w:r>
      <w:r/>
    </w:p>
    <w:p>
      <w:pPr>
        <w:ind w:firstLine="420"/>
        <w:spacing w:line="360" w:lineRule="auto"/>
        <w:rPr>
          <w:rFonts w:ascii="宋体" w:hAnsi="宋体" w:cs="宋体"/>
        </w:rPr>
      </w:pPr>
      <w:r>
        <w:rPr>
          <w:rFonts w:hint="eastAsia" w:ascii="宋体" w:hAnsi="宋体" w:cs="宋体"/>
        </w:rPr>
        <w:t xml:space="preserve">4、履约保证金</w:t>
      </w:r>
      <w:r/>
    </w:p>
    <w:p>
      <w:pPr>
        <w:ind w:firstLine="420"/>
        <w:spacing w:line="360" w:lineRule="auto"/>
        <w:rPr>
          <w:rFonts w:ascii="宋体" w:hAnsi="宋体" w:cs="宋体"/>
        </w:rPr>
      </w:pPr>
      <w:r>
        <w:rPr>
          <w:rFonts w:hint="eastAsia" w:ascii="宋体" w:hAnsi="宋体" w:cs="宋体"/>
        </w:rPr>
        <w:t xml:space="preserve">（1）履约保证金用于约束中标供应商在合同履行中的行为，弥补合同执行中由于自身行为可能给采购人带来的各种损失。因中标供应商原因导致合同未能正常履行的，采购人将扣除中标供应商的全部履约保证金。</w:t>
      </w:r>
      <w:r/>
    </w:p>
    <w:p>
      <w:pPr>
        <w:ind w:firstLine="420"/>
        <w:spacing w:line="360" w:lineRule="auto"/>
        <w:rPr>
          <w:rFonts w:ascii="宋体" w:hAnsi="宋体" w:cs="宋体"/>
        </w:rPr>
      </w:pPr>
      <w:r>
        <w:rPr>
          <w:rFonts w:hint="eastAsia" w:ascii="宋体" w:hAnsi="宋体" w:cs="宋体"/>
        </w:rPr>
        <w:t xml:space="preserve">（2）</w:t>
      </w:r>
      <w:r>
        <w:rPr>
          <w:rFonts w:hint="eastAsia" w:ascii="宋体" w:hAnsi="宋体" w:cs="宋体"/>
          <w:b/>
          <w:bCs/>
          <w:u w:val="single"/>
        </w:rPr>
        <w:t xml:space="preserve">中标供应商在签订合同前向采购人缴纳履约保证金人民币四万元整</w:t>
      </w:r>
      <w:r>
        <w:rPr>
          <w:rFonts w:hint="eastAsia" w:ascii="宋体" w:hAnsi="宋体" w:cs="宋体"/>
        </w:rPr>
        <w:t xml:space="preserve">。</w:t>
      </w:r>
      <w:r>
        <w:rPr>
          <w:rFonts w:ascii="宋体" w:hAnsi="宋体" w:cs="宋体"/>
        </w:rPr>
        <w:t xml:space="preserve">履约保证金可以采用银行转账或者银行 / 担保机构保函形式提交，保函有效期须覆盖整个服务周期。</w:t>
      </w:r>
      <w:r/>
    </w:p>
    <w:p>
      <w:pPr>
        <w:ind w:firstLine="420"/>
        <w:spacing w:line="360" w:lineRule="auto"/>
        <w:rPr>
          <w:rFonts w:ascii="宋体" w:hAnsi="宋体" w:cs="宋体"/>
        </w:rPr>
        <w:sectPr>
          <w:footnotePr/>
          <w:endnotePr/>
          <w:type w:val="nextPage"/>
          <w:pgSz w:w="11905" w:h="16838" w:orient="portrait"/>
          <w:pgMar w:top="1440" w:right="1803" w:bottom="1440" w:left="1803" w:header="850" w:footer="992" w:gutter="0"/>
          <w:cols w:num="1" w:sep="0" w:space="0" w:equalWidth="1"/>
          <w:docGrid w:linePitch="360"/>
          <w:titlePg/>
        </w:sectPr>
      </w:pPr>
      <w:r>
        <w:rPr>
          <w:rFonts w:hint="eastAsia" w:ascii="宋体" w:hAnsi="宋体" w:cs="宋体"/>
        </w:rPr>
        <w:t xml:space="preserve">（3）履约保证金退还方式：合同履行期限结束后，由中标供应商提出退还履约保证金申请，中标供应商不存在任何违约行为的，履约保证金予以无息返还至中标供应商账户。</w:t>
      </w:r>
      <w:r/>
    </w:p>
    <w:p>
      <w:pPr>
        <w:jc w:val="left"/>
        <w:keepLines/>
        <w:keepNext/>
        <w:spacing w:before="260" w:after="260" w:line="416" w:lineRule="auto"/>
        <w:rPr>
          <w:rFonts w:ascii="宋体" w:hAnsi="宋体" w:cs="宋体"/>
          <w:b/>
          <w:bCs/>
          <w:color w:val="000000" w:themeColor="text1"/>
          <w:spacing w:val="8"/>
          <w:sz w:val="32"/>
          <w:szCs w:val="21"/>
          <w14:textFill>
            <w14:solidFill>
              <w14:schemeClr w14:val="tx1"/>
            </w14:solidFill>
          </w14:textFill>
        </w:rPr>
        <w:outlineLvl w:val="1"/>
      </w:pPr>
      <w:r>
        <w:rPr>
          <w:rFonts w:hint="eastAsia" w:ascii="宋体" w:hAnsi="宋体" w:cs="宋体"/>
          <w:b/>
          <w:bCs/>
          <w:color w:val="000000" w:themeColor="text1"/>
          <w:spacing w:val="8"/>
          <w:sz w:val="32"/>
          <w:szCs w:val="21"/>
          <w14:textFill>
            <w14:solidFill>
              <w14:schemeClr w14:val="tx1"/>
            </w14:solidFill>
          </w14:textFill>
        </w:rPr>
        <w:t xml:space="preserve">采购包二采购需求：</w:t>
      </w:r>
      <w:r/>
    </w:p>
    <w:p>
      <w:pPr>
        <w:spacing w:before="158" w:after="158"/>
        <w:rPr>
          <w:rFonts w:ascii="宋体" w:hAnsi="宋体" w:cs="宋体"/>
          <w:b/>
          <w:bCs/>
          <w:sz w:val="22"/>
          <w:szCs w:val="28"/>
        </w:rPr>
        <w:outlineLvl w:val="2"/>
      </w:pPr>
      <w:r>
        <w:rPr>
          <w:rFonts w:hint="eastAsia" w:ascii="宋体" w:hAnsi="宋体" w:cs="宋体"/>
          <w:b/>
          <w:bCs/>
          <w:sz w:val="22"/>
          <w:szCs w:val="28"/>
        </w:rPr>
        <w:t xml:space="preserve">一、项目概况</w:t>
      </w:r>
      <w:r/>
    </w:p>
    <w:p>
      <w:pPr>
        <w:ind w:firstLine="420"/>
        <w:spacing w:line="360" w:lineRule="auto"/>
        <w:rPr>
          <w:rFonts w:ascii="宋体" w:hAnsi="宋体" w:cs="宋体"/>
        </w:rPr>
      </w:pPr>
      <w:r>
        <w:rPr>
          <w:rFonts w:hint="eastAsia" w:ascii="宋体" w:hAnsi="宋体" w:cs="宋体"/>
        </w:rPr>
        <w:t xml:space="preserve">根据教职工调研结果以及对三甲医院体检需求，现拟采购2026-2028年度教职工体检服务，共划分2个采购包。本项目为南京工业职业技术大学2026-2028年度教职工体检项目，全校共有在职教职工</w:t>
      </w:r>
      <w:r>
        <w:rPr>
          <w:rFonts w:ascii="宋体" w:hAnsi="宋体" w:cs="宋体"/>
        </w:rPr>
        <w:t xml:space="preserve">1238</w:t>
      </w:r>
      <w:r>
        <w:rPr>
          <w:rFonts w:hint="eastAsia" w:ascii="宋体" w:hAnsi="宋体" w:cs="宋体"/>
        </w:rPr>
        <w:t xml:space="preserve">人，退休教职工</w:t>
      </w:r>
      <w:r>
        <w:rPr>
          <w:rFonts w:ascii="宋体" w:hAnsi="宋体" w:cs="宋体"/>
        </w:rPr>
        <w:t xml:space="preserve">268</w:t>
      </w:r>
      <w:r>
        <w:rPr>
          <w:rFonts w:hint="eastAsia" w:ascii="宋体" w:hAnsi="宋体" w:cs="宋体"/>
        </w:rPr>
        <w:t xml:space="preserve">人。</w:t>
      </w:r>
      <w:r/>
    </w:p>
    <w:p>
      <w:pPr>
        <w:ind w:firstLine="422"/>
        <w:spacing w:line="360" w:lineRule="auto"/>
        <w:rPr>
          <w:rFonts w:ascii="宋体" w:hAnsi="宋体" w:cs="宋体"/>
          <w:b/>
          <w:bCs/>
        </w:rPr>
      </w:pPr>
      <w:r>
        <w:rPr>
          <w:rFonts w:hint="eastAsia" w:ascii="宋体" w:hAnsi="宋体" w:cs="宋体"/>
          <w:b/>
          <w:bCs/>
        </w:rPr>
        <w:t xml:space="preserve">采购包二：允许所有具有正规体检资质的医院、独立体检机构参与投标，完成当年度选取该项目的教职工（含退休人员）体检工作，预估参检人数为</w:t>
      </w:r>
      <w:r>
        <w:rPr>
          <w:rFonts w:ascii="宋体" w:hAnsi="宋体" w:cs="宋体"/>
          <w:b/>
          <w:bCs/>
        </w:rPr>
        <w:t xml:space="preserve">354</w:t>
      </w:r>
      <w:r>
        <w:rPr>
          <w:rFonts w:hint="eastAsia" w:ascii="宋体" w:hAnsi="宋体" w:cs="宋体"/>
          <w:b/>
          <w:bCs/>
        </w:rPr>
        <w:t xml:space="preserve">人，该人数仅作为报价参考，采购人不保证最终实际体检人数，最终以实际参加体检人数及体检项目结算体检费用。</w:t>
      </w:r>
      <w:r/>
    </w:p>
    <w:p>
      <w:pPr>
        <w:ind w:firstLine="422"/>
        <w:spacing w:line="360" w:lineRule="auto"/>
        <w:rPr>
          <w:rFonts w:ascii="宋体" w:hAnsi="宋体" w:cs="宋体"/>
          <w:b/>
          <w:bCs/>
        </w:rPr>
      </w:pPr>
      <w:r>
        <w:rPr>
          <w:rFonts w:hint="eastAsia" w:ascii="宋体" w:hAnsi="宋体" w:cs="宋体"/>
          <w:b/>
          <w:bCs/>
        </w:rPr>
        <w:t xml:space="preserve">本项目包二采购预算60.00万元/年。本项目采用单价报价模式，结算价款按实际参检人数及中标单价核算，各包最终结算总价均不得超过对应包年度采购预算；若按实际参检人数测算费用达到对应包年度预算上限，超出部分采购人不予支付。</w:t>
      </w:r>
      <w:r/>
    </w:p>
    <w:p>
      <w:pPr>
        <w:ind w:firstLine="420"/>
        <w:spacing w:line="360" w:lineRule="auto"/>
        <w:rPr>
          <w:rFonts w:ascii="宋体" w:hAnsi="宋体" w:cs="宋体"/>
        </w:rPr>
      </w:pPr>
      <w:r>
        <w:rPr>
          <w:rFonts w:hint="eastAsia" w:ascii="宋体" w:hAnsi="宋体" w:cs="宋体"/>
        </w:rPr>
        <w:t xml:space="preserve">体检时间初步定为每年</w:t>
      </w:r>
      <w:r>
        <w:rPr>
          <w:rFonts w:ascii="宋体" w:hAnsi="宋体" w:cs="宋体"/>
        </w:rPr>
        <w:t xml:space="preserve">8月</w:t>
      </w:r>
      <w:r>
        <w:rPr>
          <w:rFonts w:hint="eastAsia" w:ascii="宋体" w:hAnsi="宋体" w:cs="宋体"/>
        </w:rPr>
        <w:t xml:space="preserve">-1</w:t>
      </w:r>
      <w:r>
        <w:rPr>
          <w:rFonts w:ascii="宋体" w:hAnsi="宋体" w:cs="宋体"/>
        </w:rPr>
        <w:t xml:space="preserve">2</w:t>
      </w:r>
      <w:r>
        <w:rPr>
          <w:rFonts w:hint="eastAsia" w:ascii="宋体" w:hAnsi="宋体" w:cs="宋体"/>
        </w:rPr>
        <w:t xml:space="preserve">月，每年用5个月左右时间完成体检工作，必要时提供包场服务。</w:t>
      </w:r>
      <w:r/>
    </w:p>
    <w:p>
      <w:pPr>
        <w:rPr>
          <w:rFonts w:ascii="宋体" w:hAnsi="宋体" w:cs="宋体"/>
        </w:rPr>
      </w:pPr>
      <w:r>
        <w:rPr>
          <w:rFonts w:ascii="宋体" w:hAnsi="宋体" w:cs="宋体"/>
        </w:rPr>
      </w:r>
      <w:r/>
    </w:p>
    <w:p>
      <w:pPr>
        <w:spacing w:before="158" w:after="158"/>
        <w:rPr>
          <w:rFonts w:ascii="宋体" w:hAnsi="宋体" w:cs="宋体"/>
          <w:b/>
          <w:bCs/>
          <w:sz w:val="22"/>
          <w:szCs w:val="28"/>
        </w:rPr>
        <w:outlineLvl w:val="2"/>
      </w:pPr>
      <w:r>
        <w:rPr>
          <w:rFonts w:hint="eastAsia" w:ascii="宋体" w:hAnsi="宋体" w:cs="宋体"/>
          <w:b/>
          <w:bCs/>
          <w:sz w:val="22"/>
          <w:szCs w:val="28"/>
        </w:rPr>
        <w:t xml:space="preserve">二、服务要求</w:t>
      </w:r>
      <w:r/>
    </w:p>
    <w:p>
      <w:pPr>
        <w:ind w:firstLine="420"/>
        <w:spacing w:line="360" w:lineRule="auto"/>
        <w:rPr>
          <w:rFonts w:ascii="宋体" w:hAnsi="宋体" w:cs="宋体"/>
        </w:rPr>
      </w:pPr>
      <w:r>
        <w:rPr>
          <w:rFonts w:hint="eastAsia" w:ascii="宋体" w:hAnsi="宋体" w:cs="宋体"/>
        </w:rPr>
        <w:t xml:space="preserve">1.供应商为采购人组织经验丰富且有执业资质的医师、检验师及护理工作人员为采购人员工进行健康检查。</w:t>
      </w:r>
      <w:r/>
    </w:p>
    <w:p>
      <w:pPr>
        <w:ind w:firstLine="420"/>
        <w:spacing w:line="360" w:lineRule="auto"/>
        <w:rPr>
          <w:rFonts w:ascii="宋体" w:hAnsi="宋体" w:cs="宋体"/>
        </w:rPr>
      </w:pPr>
      <w:r>
        <w:rPr>
          <w:rFonts w:hint="eastAsia" w:ascii="宋体" w:hAnsi="宋体" w:cs="宋体"/>
        </w:rPr>
        <w:t xml:space="preserve">2.供应商向采购人离退休教职工提供书面体检报告壹份（密封）、供应商向采购人在职教职工提供电子版体检报告，采购人教职工可通过手机App、微信小程序或供应商官网主页等方式查询本人体检报告，如采购人在职职工需书面体检报告，供应商需提供现场免费打印服务。</w:t>
      </w:r>
      <w:r/>
    </w:p>
    <w:p>
      <w:pPr>
        <w:ind w:firstLine="420"/>
        <w:spacing w:line="360" w:lineRule="auto"/>
        <w:rPr>
          <w:rFonts w:ascii="宋体" w:hAnsi="宋体" w:cs="宋体"/>
        </w:rPr>
      </w:pPr>
      <w:r>
        <w:rPr>
          <w:rFonts w:hint="eastAsia" w:ascii="宋体" w:hAnsi="宋体" w:cs="宋体"/>
        </w:rPr>
        <w:t xml:space="preserve">3.体检完成之后，供应商将针对采购人员工的体检结果，根据采购人的通知，在合理时间内为采购人员工安排专家对体检结果进行讲解，并提供健康管理改进方案，如需要，供应商还为采购人提供办理医疗转诊服务。</w:t>
      </w:r>
      <w:r/>
    </w:p>
    <w:p>
      <w:pPr>
        <w:ind w:firstLine="420"/>
        <w:spacing w:line="360" w:lineRule="auto"/>
        <w:rPr>
          <w:rFonts w:ascii="宋体" w:hAnsi="宋体" w:cs="宋体"/>
        </w:rPr>
      </w:pPr>
      <w:r>
        <w:rPr>
          <w:rFonts w:hint="eastAsia" w:ascii="宋体" w:hAnsi="宋体" w:cs="宋体"/>
        </w:rPr>
        <w:t xml:space="preserve">4.供应商负责对采购人员工的个人信息和体检结果做好保密工作：</w:t>
      </w:r>
      <w:r/>
    </w:p>
    <w:p>
      <w:pPr>
        <w:ind w:firstLine="420"/>
        <w:spacing w:line="360" w:lineRule="auto"/>
        <w:rPr>
          <w:rFonts w:ascii="宋体" w:hAnsi="宋体" w:cs="宋体"/>
        </w:rPr>
      </w:pPr>
      <w:r>
        <w:rPr>
          <w:rFonts w:hint="eastAsia" w:ascii="宋体" w:hAnsi="宋体" w:cs="宋体"/>
        </w:rPr>
        <w:t xml:space="preserve">（1）所有教职工个人身份信息、体检原始数据、体检报告属于敏感个人信息，供应商不得擅自复制、外传、用于广告营销；</w:t>
      </w:r>
      <w:r/>
    </w:p>
    <w:p>
      <w:pPr>
        <w:ind w:firstLine="420"/>
        <w:spacing w:line="360" w:lineRule="auto"/>
        <w:rPr>
          <w:rFonts w:ascii="宋体" w:hAnsi="宋体" w:cs="宋体"/>
        </w:rPr>
      </w:pPr>
      <w:r>
        <w:rPr>
          <w:rFonts w:hint="eastAsia" w:ascii="宋体" w:hAnsi="宋体" w:cs="宋体"/>
        </w:rPr>
        <w:t xml:space="preserve">（2）电子报告系统必须账号密码实名认证登录，不得公开查询；</w:t>
      </w:r>
      <w:r/>
    </w:p>
    <w:p>
      <w:pPr>
        <w:ind w:firstLine="420"/>
        <w:spacing w:line="360" w:lineRule="auto"/>
        <w:rPr>
          <w:rFonts w:ascii="宋体" w:hAnsi="宋体" w:cs="宋体"/>
        </w:rPr>
      </w:pPr>
      <w:r>
        <w:rPr>
          <w:rFonts w:hint="eastAsia" w:ascii="宋体" w:hAnsi="宋体" w:cs="宋体"/>
        </w:rPr>
        <w:t xml:space="preserve">（3）发生信息泄露，供应商承担全部法律责任，采购人有权扣除履约保证金、解除合同。</w:t>
      </w:r>
      <w:r/>
    </w:p>
    <w:p>
      <w:pPr>
        <w:ind w:firstLine="420"/>
        <w:spacing w:line="360" w:lineRule="auto"/>
        <w:rPr>
          <w:rFonts w:ascii="宋体" w:hAnsi="宋体" w:cs="宋体"/>
        </w:rPr>
      </w:pPr>
      <w:r>
        <w:rPr>
          <w:rFonts w:hint="eastAsia" w:ascii="宋体" w:hAnsi="宋体" w:cs="宋体"/>
        </w:rPr>
        <w:t xml:space="preserve">5.供应商为采购人体检员工建立个人健康档案。</w:t>
      </w:r>
      <w:r/>
    </w:p>
    <w:p>
      <w:pPr>
        <w:ind w:firstLine="420"/>
        <w:spacing w:line="360" w:lineRule="auto"/>
        <w:rPr>
          <w:rFonts w:ascii="宋体" w:hAnsi="宋体" w:cs="宋体"/>
        </w:rPr>
      </w:pPr>
      <w:r>
        <w:rPr>
          <w:rFonts w:hint="eastAsia" w:ascii="宋体" w:hAnsi="宋体" w:cs="宋体"/>
        </w:rPr>
        <w:t xml:space="preserve">6.供应商为采购人体检员工免费提供营养早餐，</w:t>
      </w:r>
      <w:r>
        <w:rPr>
          <w:rFonts w:ascii="宋体" w:hAnsi="宋体" w:cs="宋体"/>
        </w:rPr>
        <w:t xml:space="preserve">明确早餐基本品类要求，保障糖尿病等特殊饮食人群基础可选食品</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7.供应商应制定规范、合理的体检流程，确保体检工作顺利开展。</w:t>
      </w:r>
      <w:r/>
    </w:p>
    <w:p>
      <w:pPr>
        <w:ind w:firstLine="420"/>
        <w:spacing w:line="360" w:lineRule="auto"/>
        <w:rPr>
          <w:rFonts w:ascii="宋体" w:hAnsi="宋体" w:cs="宋体"/>
        </w:rPr>
      </w:pPr>
      <w:r>
        <w:rPr>
          <w:rFonts w:hint="eastAsia" w:ascii="宋体" w:hAnsi="宋体" w:cs="宋体"/>
        </w:rPr>
        <w:t xml:space="preserve">8.供应商应制定完善的质量控制方案，确保体检质量。</w:t>
      </w:r>
      <w:r/>
    </w:p>
    <w:p>
      <w:pPr>
        <w:ind w:firstLine="420"/>
        <w:spacing w:line="360" w:lineRule="auto"/>
        <w:rPr>
          <w:rFonts w:ascii="宋体" w:hAnsi="宋体" w:cs="宋体"/>
        </w:rPr>
      </w:pPr>
      <w:r>
        <w:rPr>
          <w:rFonts w:hint="eastAsia" w:ascii="宋体" w:hAnsi="宋体" w:cs="宋体"/>
        </w:rPr>
        <w:t xml:space="preserve">9.供应商应针对采购人长期在异地居住的离退休教职工等，提供</w:t>
      </w:r>
      <w:r>
        <w:rPr>
          <w:rFonts w:hint="eastAsia" w:ascii="宋体" w:hAnsi="宋体" w:cs="宋体"/>
          <w:color w:val="000000"/>
        </w:rPr>
        <w:t xml:space="preserve">可选路径：①异地定点合作医疗机构代为体检；②回宁参加集中体检</w:t>
      </w:r>
      <w:r>
        <w:rPr>
          <w:rFonts w:hint="eastAsia" w:ascii="宋体" w:hAnsi="宋体" w:cs="宋体"/>
        </w:rPr>
        <w:t xml:space="preserve">等多种解决方案。</w:t>
      </w:r>
      <w:r/>
    </w:p>
    <w:p>
      <w:pPr>
        <w:ind w:firstLine="420"/>
        <w:spacing w:line="360" w:lineRule="auto"/>
        <w:rPr>
          <w:rFonts w:ascii="宋体" w:hAnsi="宋体" w:cs="宋体"/>
        </w:rPr>
      </w:pPr>
      <w:r>
        <w:rPr>
          <w:rFonts w:hint="eastAsia" w:ascii="宋体" w:hAnsi="宋体" w:cs="宋体"/>
        </w:rPr>
        <w:t xml:space="preserve">10.供应商应制定大流量应对方案，为采购人提供舒适的体检环境。</w:t>
      </w:r>
      <w:r/>
    </w:p>
    <w:p>
      <w:pPr>
        <w:ind w:firstLine="420"/>
        <w:spacing w:line="360" w:lineRule="auto"/>
        <w:rPr>
          <w:rFonts w:ascii="宋体" w:hAnsi="宋体" w:cs="宋体"/>
        </w:rPr>
      </w:pPr>
      <w:r>
        <w:rPr>
          <w:rFonts w:hint="eastAsia" w:ascii="宋体" w:hAnsi="宋体" w:cs="宋体"/>
        </w:rPr>
        <w:t xml:space="preserve">11.体检预约：允许教职工灵活预约体检日期，不限于集中体检批次，对因教学科研、异地居住错过集中体检的，提供补检通道。</w:t>
      </w:r>
      <w:r/>
    </w:p>
    <w:p>
      <w:pPr>
        <w:ind w:firstLine="420"/>
        <w:spacing w:line="360" w:lineRule="auto"/>
        <w:rPr>
          <w:rFonts w:ascii="宋体" w:hAnsi="宋体" w:cs="宋体"/>
        </w:rPr>
      </w:pPr>
      <w:r>
        <w:rPr>
          <w:rFonts w:hint="eastAsia" w:ascii="宋体" w:hAnsi="宋体" w:cs="宋体"/>
        </w:rPr>
        <w:t xml:space="preserve">12.退休人员特殊关怀：退休老同志提供咨询通道，报告解读尽量通俗易懂；对高龄行动不便退休人员，优化预约及现场引导服务。</w:t>
      </w:r>
      <w:r/>
    </w:p>
    <w:p>
      <w:pPr>
        <w:ind w:firstLine="420"/>
        <w:spacing w:line="360" w:lineRule="auto"/>
        <w:rPr>
          <w:rFonts w:ascii="宋体" w:hAnsi="宋体" w:cs="宋体"/>
        </w:rPr>
      </w:pPr>
      <w:r>
        <w:rPr>
          <w:rFonts w:hint="eastAsia" w:ascii="宋体" w:hAnsi="宋体" w:cs="宋体"/>
        </w:rPr>
        <w:t xml:space="preserve">13.中标后履约核查：采购人有权组织人员实地复核投标体检点场地、设备、拟派医护人员，与投标文件重大不一致，按虚假响应，解除合同，上报政府采购不良行为记录。</w:t>
      </w:r>
      <w:r/>
    </w:p>
    <w:p>
      <w:pPr>
        <w:ind w:firstLine="422"/>
        <w:spacing w:line="360" w:lineRule="auto"/>
        <w:rPr>
          <w:rFonts w:ascii="宋体" w:hAnsi="宋体" w:cs="宋体"/>
          <w:b/>
          <w:bCs/>
        </w:rPr>
      </w:pPr>
      <w:r>
        <w:rPr>
          <w:rFonts w:hint="eastAsia" w:ascii="宋体" w:hAnsi="宋体" w:cs="宋体"/>
          <w:b/>
          <w:bCs/>
        </w:rPr>
        <w:t xml:space="preserve">14.采购需求中45岁（含）以上人员体检套餐内包含允许教职工三选一（心血管检查/脑血管检查/胃肠道检查）项目。投标人须结合项目预估选择比例、服务成本等因素综合测算报送45岁（含）以上人员的相应单价，该三选一项目相关费用均已包含在投标报价中，履约过程中采购人不再另行支付任何费用。</w:t>
      </w:r>
      <w:r/>
    </w:p>
    <w:p>
      <w:pPr>
        <w:ind w:firstLine="420"/>
        <w:spacing w:line="360" w:lineRule="auto"/>
        <w:rPr>
          <w:rFonts w:ascii="宋体" w:hAnsi="宋体" w:cs="宋体"/>
        </w:rPr>
      </w:pPr>
      <w:r>
        <w:rPr>
          <w:rFonts w:hint="eastAsia" w:ascii="宋体" w:hAnsi="宋体" w:cs="宋体"/>
        </w:rPr>
        <w:t xml:space="preserve">15.体检服务方案</w:t>
      </w:r>
      <w:r/>
    </w:p>
    <w:p>
      <w:pPr>
        <w:ind w:firstLine="420"/>
        <w:spacing w:line="360" w:lineRule="auto"/>
        <w:rPr>
          <w:rFonts w:ascii="宋体" w:hAnsi="宋体" w:cs="宋体"/>
        </w:rPr>
      </w:pPr>
      <w:r>
        <w:rPr>
          <w:rFonts w:hint="eastAsia" w:ascii="宋体" w:hAnsi="宋体" w:cs="宋体"/>
        </w:rPr>
        <w:t xml:space="preserve">（1）体检环境：指专门用于本次体检场所的环境（如供应商有多个体检点，须由供应商确定某一个体检点为本次投标专用体检点），供应商需提供体检中心功能布局平面图，图纸标注各功能房间长宽、面积、功能用途、候诊区位置、男女分区，明确体检中心总建筑面积等信息。</w:t>
      </w:r>
      <w:r/>
    </w:p>
    <w:p>
      <w:pPr>
        <w:ind w:firstLine="420"/>
        <w:spacing w:line="360" w:lineRule="auto"/>
        <w:rPr>
          <w:rFonts w:ascii="宋体" w:hAnsi="宋体" w:cs="宋体"/>
        </w:rPr>
      </w:pPr>
      <w:r>
        <w:rPr>
          <w:rFonts w:hint="eastAsia" w:ascii="宋体" w:hAnsi="宋体" w:cs="宋体"/>
        </w:rPr>
        <w:t xml:space="preserve">（2）体检流程、质量控制方案：供应商须提供体检服务流程及质量控制方案。评标委员会根据方案完整性、流程规范性、质控措施科学性进行综合评审，包括但不限于放射诊疗检查时，对受检者邻近照射野的敏感器官和组织屏蔽防护措施等。</w:t>
      </w:r>
      <w:r/>
    </w:p>
    <w:p>
      <w:pPr>
        <w:ind w:firstLine="420"/>
        <w:spacing w:line="360" w:lineRule="auto"/>
        <w:rPr>
          <w:rFonts w:ascii="宋体" w:hAnsi="宋体" w:cs="宋体"/>
        </w:rPr>
      </w:pPr>
      <w:r>
        <w:rPr>
          <w:rFonts w:hint="eastAsia" w:ascii="宋体" w:hAnsi="宋体" w:cs="宋体"/>
        </w:rPr>
        <w:t xml:space="preserve">（3）投标人须针对本项目教职工集中体检、大流量参检特点，制定专项人群分流及应急应对方案，包括但不限于方案针对性、合理性及实操性。</w:t>
      </w:r>
      <w:r/>
    </w:p>
    <w:p>
      <w:pPr>
        <w:ind w:firstLine="420"/>
        <w:spacing w:line="360" w:lineRule="auto"/>
        <w:rPr>
          <w:rFonts w:ascii="宋体" w:hAnsi="宋体" w:cs="宋体"/>
        </w:rPr>
      </w:pPr>
      <w:r>
        <w:rPr>
          <w:rFonts w:hint="eastAsia" w:ascii="宋体" w:hAnsi="宋体" w:cs="宋体"/>
        </w:rPr>
        <w:t xml:space="preserve">（4）投标人须提供完整的体检报告解读、健康科普指导、异常指标转诊建议专项方案，并承诺安排专业专家上门开展一对一体检报告解读服务。</w:t>
      </w:r>
      <w:r/>
    </w:p>
    <w:p>
      <w:pPr>
        <w:ind w:firstLine="420"/>
        <w:spacing w:line="360" w:lineRule="auto"/>
        <w:rPr>
          <w:rFonts w:ascii="宋体" w:hAnsi="宋体" w:cs="宋体"/>
        </w:rPr>
      </w:pPr>
      <w:r>
        <w:rPr>
          <w:rFonts w:hint="eastAsia" w:ascii="宋体" w:hAnsi="宋体" w:cs="宋体"/>
        </w:rPr>
        <w:t xml:space="preserve">（5）投标人须提供增值服务方案，方案内容至少包含投标人在本项目基础体检套餐之外承诺免费增加的有效体检项目。评标委员会结合增值项目数量、实用性、合理性、可行性综合评审。</w:t>
      </w:r>
      <w:r/>
    </w:p>
    <w:p>
      <w:pPr>
        <w:ind w:firstLine="420"/>
        <w:spacing w:line="360" w:lineRule="auto"/>
        <w:rPr>
          <w:rFonts w:ascii="宋体" w:hAnsi="宋体" w:cs="宋体"/>
        </w:rPr>
      </w:pPr>
      <w:r>
        <w:rPr>
          <w:rFonts w:ascii="宋体" w:hAnsi="宋体" w:cs="宋体"/>
        </w:rPr>
      </w:r>
      <w:r/>
    </w:p>
    <w:p>
      <w:pPr>
        <w:spacing w:before="158" w:after="158"/>
        <w:rPr>
          <w:rFonts w:ascii="宋体" w:hAnsi="宋体" w:cs="宋体"/>
          <w:b/>
          <w:bCs/>
          <w:sz w:val="22"/>
          <w:szCs w:val="28"/>
        </w:rPr>
        <w:outlineLvl w:val="2"/>
      </w:pPr>
      <w:r>
        <w:rPr>
          <w:rFonts w:hint="eastAsia" w:ascii="宋体" w:hAnsi="宋体" w:cs="宋体"/>
          <w:b/>
          <w:bCs/>
          <w:sz w:val="22"/>
          <w:szCs w:val="28"/>
        </w:rPr>
        <w:t xml:space="preserve">三、报价要求</w:t>
      </w:r>
      <w:r/>
    </w:p>
    <w:p>
      <w:pPr>
        <w:ind w:firstLine="420"/>
        <w:spacing w:line="360" w:lineRule="auto"/>
        <w:rPr>
          <w:rFonts w:ascii="宋体" w:hAnsi="宋体" w:cs="宋体"/>
        </w:rPr>
      </w:pPr>
      <w:r>
        <w:rPr>
          <w:rFonts w:hint="eastAsia" w:ascii="宋体" w:hAnsi="宋体" w:cs="宋体"/>
        </w:rPr>
        <w:t xml:space="preserve">按六个分项分别报价：1、45岁以下在职男性（正高除外）套餐单价；2、45岁以下在职女性已婚（正高除外）套餐单价；3、45岁以下在职女性未婚（正高除外）套餐单价；4、45岁（含）以上在职、正高职称、退休人员男性套餐单价；5、45岁（含）以上在职、正高职称、退休人员女性已婚套餐单价；6、45岁（含）以上在职、正高职称、退休人员女性未婚套餐单价。</w:t>
      </w:r>
      <w:r/>
    </w:p>
    <w:p>
      <w:pPr>
        <w:ind w:firstLine="420"/>
        <w:rPr>
          <w:rFonts w:ascii="宋体" w:hAnsi="宋体" w:cs="宋体"/>
        </w:rPr>
      </w:pPr>
      <w:r>
        <w:rPr>
          <w:rFonts w:ascii="宋体" w:hAnsi="宋体" w:cs="宋体"/>
        </w:rPr>
      </w:r>
      <w:r/>
    </w:p>
    <w:p>
      <w:pPr>
        <w:spacing w:before="158" w:after="158"/>
        <w:rPr>
          <w:rFonts w:ascii="宋体" w:hAnsi="宋体" w:cs="宋体"/>
          <w:b/>
          <w:bCs/>
          <w:sz w:val="22"/>
          <w:szCs w:val="28"/>
        </w:rPr>
        <w:outlineLvl w:val="2"/>
      </w:pPr>
      <w:r>
        <w:rPr>
          <w:rFonts w:hint="eastAsia" w:ascii="宋体" w:hAnsi="宋体" w:cs="宋体"/>
          <w:b/>
          <w:bCs/>
          <w:sz w:val="22"/>
          <w:szCs w:val="28"/>
        </w:rPr>
        <w:t xml:space="preserve">四、体检内容</w:t>
      </w:r>
      <w:r/>
    </w:p>
    <w:p>
      <w:pPr>
        <w:spacing w:before="158" w:after="158"/>
        <w:rPr>
          <w:rFonts w:ascii="宋体" w:hAnsi="宋体" w:cs="宋体"/>
          <w:b/>
          <w:bCs/>
          <w:sz w:val="22"/>
          <w:szCs w:val="28"/>
        </w:rPr>
        <w:outlineLvl w:val="2"/>
      </w:pPr>
      <w:r>
        <w:rPr>
          <w:rFonts w:hint="eastAsia" w:ascii="宋体" w:hAnsi="宋体" w:cs="宋体"/>
          <w:b/>
          <w:bCs/>
          <w:sz w:val="22"/>
          <w:szCs w:val="28"/>
        </w:rPr>
        <w:t xml:space="preserve">1、45岁以下在职男性（正高除外）套餐</w:t>
      </w:r>
      <w:r/>
    </w:p>
    <w:tbl>
      <w:tblPr>
        <w:tblStyle w:val="897"/>
        <w:tblW w:w="4955" w:type="pct"/>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1558"/>
        <w:gridCol w:w="6666"/>
      </w:tblGrid>
      <w:tr>
        <w:trPr>
          <w:jc w:val="center"/>
          <w:trHeight w:val="359"/>
        </w:trPr>
        <w:tc>
          <w:tcPr>
            <w:gridSpan w:val="2"/>
            <w:shd w:val="clear" w:color="auto" w:fill="c0c0c0"/>
            <w:tcBorders>
              <w:top w:val="single" w:color="auto" w:sz="4" w:space="0"/>
              <w:left w:val="single" w:color="000000" w:sz="6" w:space="0"/>
              <w:bottom w:val="single" w:color="000000" w:sz="6" w:space="0"/>
              <w:right w:val="single" w:color="000000" w:sz="6" w:space="0"/>
            </w:tcBorders>
            <w:tcW w:w="5000" w:type="pct"/>
            <w:vAlign w:val="center"/>
            <w:textDirection w:val="lrTb"/>
            <w:noWrap w:val="false"/>
          </w:tcPr>
          <w:p>
            <w:pPr>
              <w:jc w:val="center"/>
              <w:spacing w:line="351" w:lineRule="exact"/>
              <w:rPr>
                <w:rFonts w:ascii="Calibri" w:hAnsi="Calibri"/>
                <w:szCs w:val="22"/>
              </w:rPr>
            </w:pPr>
            <w:r>
              <w:rPr>
                <w:rFonts w:hint="eastAsia" w:ascii="宋体" w:hAnsi="宋体" w:cs="宋体"/>
                <w:b/>
                <w:bCs/>
                <w:color w:val="000000"/>
                <w:sz w:val="19"/>
                <w:szCs w:val="22"/>
              </w:rPr>
              <w:t xml:space="preserve">45岁以下在职男性（正高除外）套餐</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基本检查</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身高、体重、血压、脉搏、体重指数</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内科</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心、肺听诊、腹部触诊</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外科</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浅表淋巴结、甲状腺、乳房、脊柱、四肢、皮肤、浅表淋巴结等</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眼科</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外眼、视力、眼底、眼压</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耳、鼻、喉科</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外耳道、鼓膜、鼻腔、鼻中隔、扁桃体、咽部等</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口腔科</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检查牙齿、牙周组织、口腔黏膜及颞下颌关节等有无异常</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血常规</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18项</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甲状腺功能</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T3、T4、TSH</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肝功能</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谷丙转氨酶、r-转肽酶、谷草转氨酶、总胆红素、直接胆红素、间接胆红素、血清白蛋白、血清总蛋白、血清球蛋白、ALB/GLO</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肿瘤标记筛选</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CEA、AFP、CA199、NSE、CA724、CA242、CA50、CYFRA21-1、PSA、FPSA</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肾脏机能</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血尿素氮、血清尿酸、血清肌酐</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血脂</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胆固醇、甘油三脂、高密度脂蛋白胆固醇、低密度脂蛋白胆固醇</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血糖</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空腹血糖测定</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尿常规</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10项</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粪便隐血试验（免疫法定量）</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粪便隐血试验（免疫法定量）</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心电图</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12导心电图</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影像学检查</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胸部CT平扫</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彩色B超</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肝、胆、胰、脾、双肾、膀胱、前列腺彩色超声检查（含图文）</w:t>
            </w:r>
            <w:r/>
          </w:p>
        </w:tc>
      </w:tr>
    </w:tbl>
    <w:p>
      <w:pPr>
        <w:rPr>
          <w:rFonts w:ascii="宋体" w:hAnsi="宋体" w:cs="宋体"/>
        </w:rPr>
      </w:pPr>
      <w:r>
        <w:rPr>
          <w:rFonts w:ascii="宋体" w:hAnsi="宋体" w:cs="宋体"/>
        </w:rPr>
      </w:r>
      <w:r/>
    </w:p>
    <w:p>
      <w:pPr>
        <w:rPr>
          <w:rFonts w:ascii="宋体" w:hAnsi="宋体" w:cs="宋体"/>
        </w:rPr>
      </w:pPr>
      <w:r>
        <w:rPr>
          <w:rFonts w:ascii="宋体" w:hAnsi="宋体" w:cs="宋体"/>
          <w:b/>
          <w:bCs/>
          <w:sz w:val="22"/>
          <w:szCs w:val="28"/>
        </w:rPr>
        <w:t xml:space="preserve">2</w:t>
      </w:r>
      <w:r>
        <w:rPr>
          <w:rFonts w:hint="eastAsia" w:ascii="宋体" w:hAnsi="宋体" w:cs="宋体"/>
          <w:b/>
          <w:bCs/>
          <w:sz w:val="22"/>
          <w:szCs w:val="28"/>
        </w:rPr>
        <w:t xml:space="preserve">、45岁以下在职女性已婚（正高除外）套餐</w:t>
      </w:r>
      <w:r/>
    </w:p>
    <w:tbl>
      <w:tblPr>
        <w:tblStyle w:val="897"/>
        <w:tblW w:w="5000" w:type="pct"/>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1555"/>
        <w:gridCol w:w="6744"/>
      </w:tblGrid>
      <w:tr>
        <w:trPr>
          <w:jc w:val="center"/>
          <w:trHeight w:val="300"/>
        </w:trPr>
        <w:tc>
          <w:tcPr>
            <w:gridSpan w:val="2"/>
            <w:shd w:val="clear" w:color="auto" w:fill="c0c0c0"/>
            <w:tcBorders>
              <w:top w:val="single" w:color="auto" w:sz="4" w:space="0"/>
              <w:left w:val="single" w:color="000000" w:sz="6" w:space="0"/>
              <w:bottom w:val="single" w:color="000000" w:sz="6" w:space="0"/>
              <w:right w:val="single" w:color="000000" w:sz="6" w:space="0"/>
            </w:tcBorders>
            <w:tcW w:w="5000" w:type="pct"/>
            <w:vAlign w:val="center"/>
            <w:textDirection w:val="lrTb"/>
            <w:noWrap w:val="false"/>
          </w:tcPr>
          <w:p>
            <w:pPr>
              <w:jc w:val="center"/>
              <w:spacing w:line="351" w:lineRule="exact"/>
              <w:rPr>
                <w:rFonts w:ascii="Calibri" w:hAnsi="Calibri"/>
                <w:szCs w:val="22"/>
              </w:rPr>
            </w:pPr>
            <w:r>
              <w:rPr>
                <w:rFonts w:hint="eastAsia" w:ascii="宋体" w:hAnsi="宋体" w:cs="宋体"/>
                <w:b/>
                <w:bCs/>
                <w:color w:val="000000"/>
                <w:sz w:val="19"/>
                <w:szCs w:val="22"/>
              </w:rPr>
              <w:t xml:space="preserve">45岁以下在职女性已婚（正高除外）套餐</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基本检查</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身高、体重、血压、脉搏、体重指数</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内科</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心、肺听诊、腹部触诊</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外科</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浅表淋巴结、甲状腺、乳房、脊柱、四肢、皮肤、浅表淋巴结等</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眼科</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外眼、视力、眼底、眼压</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耳、鼻、喉科</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外耳道、鼓膜、鼻腔、鼻中隔、扁桃体、咽部等</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口腔科</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检查牙齿、牙周组织、口腔黏膜及颞下颌关节等有无异常</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妇科</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妇科检查、白带常规、宫颈液基细胞学检查（TCT）</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血常规</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18项</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甲状腺功能</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T3、T4、TSH</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肝功能</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谷丙转氨酶、r-转肽酶、谷草转氨酶、总胆红素、直接胆红素、间接胆红素、血清白蛋白、血清总蛋白、血清球蛋白、ALB/GLO</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肿瘤标记筛选</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CEA、AFP、CA199、NSE、CA724、CA242、CA50、CYFRA21-1、CA125、CA153</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肾脏机能</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血尿素氮、血清尿酸、血清肌酐</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血脂</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胆固醇、甘油三脂、高密度脂蛋白胆固醇、低密度脂蛋白胆固醇</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血糖</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空腹血糖测定</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尿常规</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10项</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粪便隐血试验（免疫法定量）</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粪便隐血试验（免疫法定量）</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心电图</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12导心电图</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影像学检查</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胸部CT平扫</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彩色B超</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肝、胆、胰、脾、双肾、膀胱、乳腺、子宫、附件彩色超声检查（含图文）</w:t>
            </w:r>
            <w:r/>
          </w:p>
        </w:tc>
      </w:tr>
    </w:tbl>
    <w:p>
      <w:pPr>
        <w:rPr>
          <w:rFonts w:ascii="宋体" w:hAnsi="宋体" w:cs="宋体"/>
        </w:rPr>
      </w:pPr>
      <w:r>
        <w:rPr>
          <w:rFonts w:ascii="宋体" w:hAnsi="宋体" w:cs="宋体"/>
        </w:rPr>
      </w:r>
      <w:r/>
    </w:p>
    <w:p>
      <w:pPr>
        <w:rPr>
          <w:rFonts w:ascii="宋体" w:hAnsi="宋体" w:cs="宋体"/>
          <w:b/>
          <w:bCs/>
          <w:sz w:val="22"/>
          <w:szCs w:val="28"/>
        </w:rPr>
      </w:pPr>
      <w:r>
        <w:rPr>
          <w:rFonts w:hint="eastAsia" w:ascii="宋体" w:hAnsi="宋体" w:cs="宋体"/>
          <w:b/>
          <w:bCs/>
          <w:sz w:val="22"/>
          <w:szCs w:val="28"/>
        </w:rPr>
        <w:t xml:space="preserve">3、45岁以下在职女性未婚（正高除外）套餐</w:t>
      </w:r>
      <w:r/>
    </w:p>
    <w:tbl>
      <w:tblPr>
        <w:tblStyle w:val="897"/>
        <w:tblW w:w="4968" w:type="pct"/>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1555"/>
        <w:gridCol w:w="6691"/>
      </w:tblGrid>
      <w:tr>
        <w:trPr>
          <w:jc w:val="center"/>
          <w:trHeight w:val="300"/>
        </w:trPr>
        <w:tc>
          <w:tcPr>
            <w:gridSpan w:val="2"/>
            <w:shd w:val="clear" w:color="auto" w:fill="c0c0c0"/>
            <w:tcBorders>
              <w:top w:val="single" w:color="auto" w:sz="4" w:space="0"/>
              <w:left w:val="single" w:color="000000" w:sz="6" w:space="0"/>
              <w:bottom w:val="single" w:color="000000" w:sz="6" w:space="0"/>
              <w:right w:val="single" w:color="000000" w:sz="6" w:space="0"/>
            </w:tcBorders>
            <w:tcW w:w="5000" w:type="pct"/>
            <w:vAlign w:val="center"/>
            <w:textDirection w:val="lrTb"/>
            <w:noWrap w:val="false"/>
          </w:tcPr>
          <w:p>
            <w:pPr>
              <w:jc w:val="center"/>
              <w:rPr>
                <w:rFonts w:cs="宋体" w:asciiTheme="minorEastAsia" w:hAnsiTheme="minorEastAsia" w:eastAsiaTheme="minorEastAsia"/>
                <w:sz w:val="19"/>
                <w:szCs w:val="19"/>
              </w:rPr>
            </w:pPr>
            <w:r>
              <w:rPr>
                <w:rFonts w:hint="eastAsia" w:cs="宋体" w:asciiTheme="minorEastAsia" w:hAnsiTheme="minorEastAsia" w:eastAsiaTheme="minorEastAsia"/>
                <w:b/>
                <w:bCs/>
                <w:sz w:val="19"/>
                <w:szCs w:val="19"/>
              </w:rPr>
              <w:t xml:space="preserve">45岁以下在职女性未婚（正高除外）套餐</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基本检查</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身高、体重、血压、脉搏、体重指数</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内科</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心、肺听诊、腹部触诊</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外科</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浅表淋巴结、甲状腺、乳房、脊柱、四肢、皮肤、浅表淋巴结等</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眼科</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外眼、视力、眼底、眼压</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耳、鼻、喉科</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外耳道、鼓膜、鼻腔、鼻中隔、扁桃体、咽部等</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口腔科</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检查牙齿、牙周组织、口腔黏膜及颞下颌关节等有无异常</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血常规</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18项</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甲状腺功能</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T3、T4、TSH</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肝功能</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谷丙转氨酶、r-转肽酶、谷草转氨酶、总胆红素、直接胆红素、间接胆红素、血清白蛋白、血清总蛋白、血清球蛋白、ALB/GLO</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肿瘤标记筛选</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CEA、AFP、CA199、NSE、CA724、CA242、CA50、CYFRA21-1、CA125、CA153</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肾脏机能</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血尿素氮、血清尿酸、血清肌酐</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血脂</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胆固醇、甘油三脂、高密度脂蛋白胆固醇、低密度脂蛋白胆固醇</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血糖</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空腹血糖测定</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尿常规</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10项</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粪便隐血试验（免疫法定量）</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粪便隐血试验（免疫法定量）</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心电图</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12导心电图</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影像学检查</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胸部CT平扫</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彩色B超</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肝、胆、胰、脾、双肾、膀胱、乳腺、子宫、附件彩色超声检查（含图文）</w:t>
            </w:r>
            <w:r/>
          </w:p>
        </w:tc>
      </w:tr>
    </w:tbl>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b/>
          <w:bCs/>
          <w:sz w:val="22"/>
          <w:szCs w:val="28"/>
        </w:rPr>
      </w:pPr>
      <w:r>
        <w:rPr>
          <w:rFonts w:hint="eastAsia" w:ascii="宋体" w:hAnsi="宋体" w:cs="宋体"/>
          <w:b/>
          <w:bCs/>
          <w:sz w:val="22"/>
          <w:szCs w:val="28"/>
        </w:rPr>
        <w:t xml:space="preserve">4、45岁（含）以上在职、正高职称、退休人员男性套餐</w:t>
      </w:r>
      <w:r/>
    </w:p>
    <w:tbl>
      <w:tblPr>
        <w:tblStyle w:val="897"/>
        <w:tblW w:w="4873" w:type="pct"/>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1412"/>
        <w:gridCol w:w="1136"/>
        <w:gridCol w:w="5540"/>
      </w:tblGrid>
      <w:tr>
        <w:trPr>
          <w:jc w:val="center"/>
          <w:trHeight w:val="300"/>
        </w:trPr>
        <w:tc>
          <w:tcPr>
            <w:gridSpan w:val="3"/>
            <w:shd w:val="clear" w:color="auto" w:fill="c0c0c0"/>
            <w:tcBorders>
              <w:top w:val="single" w:color="auto" w:sz="4" w:space="0"/>
              <w:left w:val="single" w:color="000000" w:sz="6" w:space="0"/>
              <w:bottom w:val="single" w:color="000000" w:sz="6" w:space="0"/>
              <w:right w:val="single" w:color="000000" w:sz="6" w:space="0"/>
            </w:tcBorders>
            <w:tcW w:w="5000" w:type="pct"/>
            <w:vAlign w:val="center"/>
            <w:textDirection w:val="lrTb"/>
            <w:noWrap w:val="false"/>
          </w:tcPr>
          <w:p>
            <w:pPr>
              <w:jc w:val="center"/>
              <w:rPr>
                <w:rFonts w:ascii="宋体" w:hAnsi="宋体" w:cs="宋体"/>
                <w:sz w:val="19"/>
                <w:szCs w:val="19"/>
              </w:rPr>
            </w:pPr>
            <w:r>
              <w:rPr>
                <w:rFonts w:hint="eastAsia" w:ascii="宋体" w:hAnsi="宋体" w:cs="宋体"/>
                <w:b/>
                <w:bCs/>
                <w:sz w:val="19"/>
                <w:szCs w:val="19"/>
              </w:rPr>
              <w:t xml:space="preserve">45岁（含）以上在职、正高职称、退休人员男性套餐</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基本检查</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身高、体重、血压、脉搏、体重指数</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内科</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心、肺听诊、腹部触诊</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外科</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浅表淋巴结、甲状腺、乳房、脊柱、四肢、皮肤、浅表淋巴结等</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眼科</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外眼、视力、眼底、眼压</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耳、鼻、喉科</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外耳道、鼓膜、鼻腔、鼻中隔、扁桃体、咽部等</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口腔科</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检查牙齿、牙周组织、口腔黏膜及颞下颌关节等有无异常</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血常规</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18项</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甲状腺功能</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T3、T4、TSH</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肝功能</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谷丙转氨酶、r-转肽酶、谷草转氨酶、总胆红素、直接胆红素、间接胆红素、血清白蛋白、血清总蛋白、血清球蛋白、ALB/GLO</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肿瘤标记筛选</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CEA、AFP、CA199、NSE、CA724、CA242、CA50、CYFRA21-1、PSA、FPSA</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肾脏机能</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血尿素氮、血清尿酸、血清肌酐</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血脂</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胆固醇、甘油三脂、高密度脂蛋白胆固醇、低密度脂蛋白胆固醇</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血糖</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空腹血糖测定</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尿常规</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10项</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粪便隐血试验（免疫法定量）</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粪便隐血试验（免疫法定量）</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心电图</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12导心电图</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影像学检查</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胸部CT平扫</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彩色B超</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肝、胆、胰、脾、双肾、膀胱、前列腺彩色超声检查（含图文）</w:t>
            </w:r>
            <w:r/>
          </w:p>
        </w:tc>
      </w:tr>
      <w:tr>
        <w:trPr>
          <w:jc w:val="center"/>
          <w:trHeight w:val="300"/>
        </w:trPr>
        <w:tc>
          <w:tcPr>
            <w:tcBorders>
              <w:top w:val="none" w:color="000000" w:sz="4" w:space="0"/>
              <w:left w:val="single" w:color="000000" w:sz="6" w:space="0"/>
              <w:right w:val="single" w:color="000000" w:sz="6" w:space="0"/>
            </w:tcBorders>
            <w:tcW w:w="873" w:type="pct"/>
            <w:vAlign w:val="center"/>
            <w:vMerge w:val="restart"/>
            <w:textDirection w:val="lrTb"/>
            <w:noWrap w:val="false"/>
          </w:tcPr>
          <w:p>
            <w:pPr>
              <w:rPr>
                <w:rFonts w:ascii="宋体" w:hAnsi="宋体" w:cs="宋体"/>
                <w:sz w:val="19"/>
                <w:szCs w:val="19"/>
              </w:rPr>
            </w:pPr>
            <w:r>
              <w:rPr>
                <w:rFonts w:ascii="宋体" w:hAnsi="宋体" w:cs="宋体"/>
                <w:sz w:val="19"/>
                <w:szCs w:val="19"/>
              </w:rPr>
              <w:t xml:space="preserve">允许教职工三选一</w:t>
            </w:r>
            <w:r/>
          </w:p>
        </w:tc>
        <w:tc>
          <w:tcPr>
            <w:tcBorders>
              <w:top w:val="none" w:color="000000" w:sz="4" w:space="0"/>
              <w:left w:val="single" w:color="000000" w:sz="6" w:space="0"/>
              <w:right w:val="single" w:color="000000" w:sz="6" w:space="0"/>
            </w:tcBorders>
            <w:tcW w:w="702" w:type="pct"/>
            <w:vAlign w:val="center"/>
            <w:textDirection w:val="lrTb"/>
            <w:noWrap w:val="false"/>
          </w:tcPr>
          <w:p>
            <w:pPr>
              <w:rPr>
                <w:rFonts w:ascii="宋体" w:hAnsi="宋体" w:cs="宋体"/>
                <w:sz w:val="19"/>
                <w:szCs w:val="19"/>
              </w:rPr>
            </w:pPr>
            <w:r>
              <w:rPr>
                <w:rFonts w:ascii="宋体" w:hAnsi="宋体" w:cs="宋体"/>
                <w:sz w:val="19"/>
                <w:szCs w:val="19"/>
              </w:rPr>
              <w:t xml:space="preserve">心血管检查</w:t>
            </w:r>
            <w:r/>
          </w:p>
        </w:tc>
        <w:tc>
          <w:tcPr>
            <w:tcBorders>
              <w:top w:val="none" w:color="000000" w:sz="4" w:space="0"/>
              <w:left w:val="single" w:color="000000" w:sz="6" w:space="0"/>
              <w:right w:val="single" w:color="000000" w:sz="6" w:space="0"/>
            </w:tcBorders>
            <w:tcW w:w="3425" w:type="pct"/>
            <w:vAlign w:val="center"/>
            <w:textDirection w:val="lrTb"/>
            <w:noWrap w:val="false"/>
          </w:tcPr>
          <w:p>
            <w:pPr>
              <w:rPr>
                <w:rFonts w:ascii="宋体" w:hAnsi="宋体" w:cs="宋体"/>
                <w:sz w:val="19"/>
                <w:szCs w:val="19"/>
              </w:rPr>
            </w:pPr>
            <w:r>
              <w:rPr>
                <w:rFonts w:ascii="宋体" w:hAnsi="宋体" w:cs="宋体"/>
                <w:sz w:val="19"/>
                <w:szCs w:val="19"/>
              </w:rPr>
              <w:t xml:space="preserve">彩超心脏（超声心动图），血流变，凝血4项</w:t>
            </w:r>
            <w:r/>
          </w:p>
        </w:tc>
      </w:tr>
      <w:tr>
        <w:trPr>
          <w:jc w:val="center"/>
          <w:trHeight w:val="300"/>
        </w:trPr>
        <w:tc>
          <w:tcPr>
            <w:tcBorders>
              <w:left w:val="single" w:color="000000" w:sz="6" w:space="0"/>
              <w:right w:val="single" w:color="000000" w:sz="6" w:space="0"/>
            </w:tcBorders>
            <w:tcW w:w="873" w:type="pct"/>
            <w:vMerge w:val="continue"/>
            <w:textDirection w:val="lrTb"/>
            <w:noWrap w:val="false"/>
          </w:tcPr>
          <w:p>
            <w:pPr>
              <w:rPr>
                <w:rFonts w:ascii="宋体" w:hAnsi="宋体" w:cs="宋体"/>
                <w:sz w:val="19"/>
                <w:szCs w:val="19"/>
              </w:rPr>
            </w:pPr>
            <w:r>
              <w:rPr>
                <w:rFonts w:ascii="宋体" w:hAnsi="宋体" w:cs="宋体"/>
                <w:sz w:val="19"/>
                <w:szCs w:val="19"/>
              </w:rPr>
            </w:r>
            <w:r/>
          </w:p>
        </w:tc>
        <w:tc>
          <w:tcPr>
            <w:tcBorders>
              <w:left w:val="single" w:color="000000" w:sz="6" w:space="0"/>
              <w:right w:val="single" w:color="000000" w:sz="6" w:space="0"/>
            </w:tcBorders>
            <w:tcW w:w="702" w:type="pct"/>
            <w:textDirection w:val="lrTb"/>
            <w:noWrap w:val="false"/>
          </w:tcPr>
          <w:p>
            <w:pPr>
              <w:rPr>
                <w:rFonts w:ascii="宋体" w:hAnsi="宋体" w:cs="宋体"/>
                <w:sz w:val="19"/>
                <w:szCs w:val="19"/>
              </w:rPr>
            </w:pPr>
            <w:r>
              <w:rPr>
                <w:rFonts w:ascii="宋体" w:hAnsi="宋体" w:cs="宋体"/>
                <w:sz w:val="19"/>
                <w:szCs w:val="19"/>
              </w:rPr>
              <w:t xml:space="preserve">脑血管检查</w:t>
            </w:r>
            <w:r/>
          </w:p>
        </w:tc>
        <w:tc>
          <w:tcPr>
            <w:tcBorders>
              <w:left w:val="single" w:color="000000" w:sz="6" w:space="0"/>
              <w:right w:val="single" w:color="000000" w:sz="6" w:space="0"/>
            </w:tcBorders>
            <w:tcW w:w="3425" w:type="pct"/>
            <w:textDirection w:val="lrTb"/>
            <w:noWrap w:val="false"/>
          </w:tcPr>
          <w:p>
            <w:pPr>
              <w:rPr>
                <w:rFonts w:ascii="宋体" w:hAnsi="宋体" w:cs="宋体"/>
                <w:sz w:val="19"/>
                <w:szCs w:val="19"/>
              </w:rPr>
            </w:pPr>
            <w:r>
              <w:rPr>
                <w:rFonts w:ascii="宋体" w:hAnsi="宋体" w:cs="宋体"/>
                <w:sz w:val="19"/>
                <w:szCs w:val="19"/>
              </w:rPr>
              <w:t xml:space="preserve">头颅CT平扫，彩超血管（双侧颈动脉）+多普勒血流图，经颅多普勒超声（TCD）</w:t>
            </w:r>
            <w:r/>
          </w:p>
        </w:tc>
      </w:tr>
      <w:tr>
        <w:trPr>
          <w:jc w:val="center"/>
          <w:trHeight w:val="300"/>
        </w:trPr>
        <w:tc>
          <w:tcPr>
            <w:tcBorders>
              <w:left w:val="single" w:color="000000" w:sz="6" w:space="0"/>
              <w:bottom w:val="single" w:color="000000" w:sz="6" w:space="0"/>
              <w:right w:val="single" w:color="000000" w:sz="6" w:space="0"/>
            </w:tcBorders>
            <w:tcW w:w="873" w:type="pct"/>
            <w:vMerge w:val="continue"/>
            <w:textDirection w:val="lrTb"/>
            <w:noWrap w:val="false"/>
          </w:tcPr>
          <w:p>
            <w:pPr>
              <w:rPr>
                <w:rFonts w:ascii="宋体" w:hAnsi="宋体" w:cs="宋体"/>
                <w:sz w:val="19"/>
                <w:szCs w:val="19"/>
              </w:rPr>
            </w:pPr>
            <w:r>
              <w:rPr>
                <w:rFonts w:ascii="宋体" w:hAnsi="宋体" w:cs="宋体"/>
                <w:sz w:val="19"/>
                <w:szCs w:val="19"/>
              </w:rPr>
            </w:r>
            <w:r/>
          </w:p>
        </w:tc>
        <w:tc>
          <w:tcPr>
            <w:tcBorders>
              <w:left w:val="single" w:color="000000" w:sz="6" w:space="0"/>
              <w:bottom w:val="single" w:color="000000" w:sz="6" w:space="0"/>
              <w:right w:val="single" w:color="000000" w:sz="6" w:space="0"/>
            </w:tcBorders>
            <w:tcW w:w="702" w:type="pct"/>
            <w:textDirection w:val="lrTb"/>
            <w:noWrap w:val="false"/>
          </w:tcPr>
          <w:p>
            <w:pPr>
              <w:rPr>
                <w:rFonts w:ascii="宋体" w:hAnsi="宋体" w:cs="宋体"/>
                <w:sz w:val="19"/>
                <w:szCs w:val="19"/>
              </w:rPr>
            </w:pPr>
            <w:r>
              <w:rPr>
                <w:rFonts w:ascii="宋体" w:hAnsi="宋体" w:cs="宋体"/>
                <w:sz w:val="19"/>
                <w:szCs w:val="19"/>
              </w:rPr>
              <w:t xml:space="preserve">胃肠道检查</w:t>
            </w:r>
            <w:r/>
          </w:p>
        </w:tc>
        <w:tc>
          <w:tcPr>
            <w:tcBorders>
              <w:left w:val="single" w:color="000000" w:sz="6" w:space="0"/>
              <w:bottom w:val="single" w:color="000000" w:sz="6" w:space="0"/>
              <w:right w:val="single" w:color="000000" w:sz="6" w:space="0"/>
            </w:tcBorders>
            <w:tcW w:w="3425" w:type="pct"/>
            <w:textDirection w:val="lrTb"/>
            <w:noWrap w:val="false"/>
          </w:tcPr>
          <w:p>
            <w:pPr>
              <w:rPr>
                <w:rFonts w:ascii="宋体" w:hAnsi="宋体" w:cs="宋体"/>
                <w:sz w:val="19"/>
                <w:szCs w:val="19"/>
              </w:rPr>
            </w:pPr>
            <w:r>
              <w:rPr>
                <w:rFonts w:ascii="宋体" w:hAnsi="宋体" w:cs="宋体"/>
                <w:sz w:val="19"/>
                <w:szCs w:val="19"/>
              </w:rPr>
              <w:t xml:space="preserve">胃蛋白酶I（化学发光法）、胃蛋白酶II（化学发光法）、血清胃泌素-17测定、碳13尿素呼气试验</w:t>
            </w:r>
            <w:r/>
          </w:p>
        </w:tc>
      </w:tr>
    </w:tbl>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b/>
          <w:bCs/>
          <w:sz w:val="22"/>
          <w:szCs w:val="28"/>
        </w:rPr>
      </w:pPr>
      <w:r>
        <w:rPr>
          <w:rFonts w:hint="eastAsia" w:ascii="宋体" w:hAnsi="宋体" w:cs="宋体"/>
          <w:b/>
          <w:bCs/>
          <w:sz w:val="22"/>
          <w:szCs w:val="28"/>
        </w:rPr>
        <w:t xml:space="preserve">5、45岁（含）以上在职、正高职称、退休人员女性已婚套餐</w:t>
      </w:r>
      <w:r/>
    </w:p>
    <w:tbl>
      <w:tblPr>
        <w:tblStyle w:val="897"/>
        <w:tblW w:w="5044" w:type="pct"/>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1413"/>
        <w:gridCol w:w="10"/>
        <w:gridCol w:w="1125"/>
        <w:gridCol w:w="5824"/>
      </w:tblGrid>
      <w:tr>
        <w:trPr>
          <w:jc w:val="center"/>
          <w:trHeight w:val="300"/>
        </w:trPr>
        <w:tc>
          <w:tcPr>
            <w:gridSpan w:val="4"/>
            <w:shd w:val="clear" w:color="auto" w:fill="c0c0c0"/>
            <w:tcBorders>
              <w:top w:val="single" w:color="auto" w:sz="4" w:space="0"/>
              <w:left w:val="single" w:color="000000" w:sz="6" w:space="0"/>
              <w:bottom w:val="single" w:color="000000" w:sz="6" w:space="0"/>
              <w:right w:val="single" w:color="000000" w:sz="6" w:space="0"/>
            </w:tcBorders>
            <w:tcW w:w="5000" w:type="pct"/>
            <w:vAlign w:val="center"/>
            <w:textDirection w:val="lrTb"/>
            <w:noWrap w:val="false"/>
          </w:tcPr>
          <w:p>
            <w:pPr>
              <w:jc w:val="center"/>
              <w:rPr>
                <w:rFonts w:ascii="宋体" w:hAnsi="宋体" w:cs="宋体"/>
              </w:rPr>
            </w:pPr>
            <w:r>
              <w:rPr>
                <w:rFonts w:hint="eastAsia" w:ascii="宋体" w:hAnsi="宋体" w:cs="宋体"/>
                <w:b/>
                <w:bCs/>
              </w:rPr>
              <w:t xml:space="preserve">45岁（含）以上在职、正高职称、退休人员女性已婚套餐</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基本检查</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身高、体重、血压、脉搏、体重指数</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内科</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心、肺听诊、腹部触诊</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外科</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浅表淋巴结、甲状腺、乳房、脊柱、四肢、皮肤、浅表淋巴结等</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眼科</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外眼、视力、眼底、眼压</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耳、鼻、喉科</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外耳道、鼓膜、鼻腔、鼻中隔、扁桃体、咽部等</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口腔科</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检查牙齿、牙周组织、口腔黏膜及颞下颌关节等有无异常</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妇科</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妇科检查、白带常规、宫颈液基细胞学检查（TCT）</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血常规</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18项</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甲状腺功能</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T3、T4、TSH</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肝功能</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谷丙转氨酶、r-转肽酶、谷草转氨酶、总胆红素、直接胆红素、间接胆红素、血清白蛋白、血清总蛋白、血清球蛋白、ALB/GLO</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肿瘤标记筛选</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CEA、AFP、CA199、NSE、CA724、CA242、CA50、CYFRA21-1、CA125、CA153</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肾脏机能</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血尿素氮、血清尿酸、血清肌酐</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血脂</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胆固醇、甘油三脂、高密度脂蛋白胆固醇、低密度脂蛋白胆固醇</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血糖</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空腹血糖测定</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尿常规</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10项</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粪便隐血试验（免疫法定量）</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粪便隐血试验（免疫法定量）</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心电图</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12导心电图</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影像学检查</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胸部CT平扫</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彩色B超</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肝、胆、胰、脾、双肾、膀胱、乳腺、子宫、附件彩色超声检查（含图文）</w:t>
            </w:r>
            <w:r/>
          </w:p>
        </w:tc>
      </w:tr>
      <w:tr>
        <w:trPr>
          <w:jc w:val="center"/>
          <w:trHeight w:val="300"/>
        </w:trPr>
        <w:tc>
          <w:tcPr>
            <w:tcBorders>
              <w:top w:val="none" w:color="000000" w:sz="4" w:space="0"/>
              <w:left w:val="single" w:color="000000" w:sz="6" w:space="0"/>
              <w:right w:val="single" w:color="000000" w:sz="6" w:space="0"/>
            </w:tcBorders>
            <w:tcW w:w="844" w:type="pct"/>
            <w:vAlign w:val="center"/>
            <w:vMerge w:val="restart"/>
            <w:textDirection w:val="lrTb"/>
            <w:noWrap w:val="false"/>
          </w:tcPr>
          <w:p>
            <w:pPr>
              <w:rPr>
                <w:rFonts w:ascii="宋体" w:hAnsi="宋体" w:cs="宋体"/>
                <w:sz w:val="19"/>
                <w:szCs w:val="19"/>
              </w:rPr>
            </w:pPr>
            <w:r>
              <w:rPr>
                <w:rFonts w:ascii="宋体" w:hAnsi="宋体" w:cs="宋体"/>
                <w:sz w:val="19"/>
                <w:szCs w:val="19"/>
              </w:rPr>
              <w:t xml:space="preserve">允许教职工三选一</w:t>
            </w:r>
            <w:r/>
          </w:p>
        </w:tc>
        <w:tc>
          <w:tcPr>
            <w:gridSpan w:val="2"/>
            <w:tcBorders>
              <w:top w:val="none" w:color="000000" w:sz="4" w:space="0"/>
              <w:left w:val="single" w:color="000000" w:sz="6" w:space="0"/>
              <w:right w:val="single" w:color="000000" w:sz="6" w:space="0"/>
            </w:tcBorders>
            <w:tcW w:w="678" w:type="pct"/>
            <w:vAlign w:val="center"/>
            <w:textDirection w:val="lrTb"/>
            <w:noWrap w:val="false"/>
          </w:tcPr>
          <w:p>
            <w:pPr>
              <w:rPr>
                <w:rFonts w:ascii="宋体" w:hAnsi="宋体" w:cs="宋体"/>
                <w:sz w:val="19"/>
                <w:szCs w:val="19"/>
              </w:rPr>
            </w:pPr>
            <w:r>
              <w:rPr>
                <w:rFonts w:ascii="宋体" w:hAnsi="宋体" w:cs="宋体"/>
                <w:sz w:val="19"/>
                <w:szCs w:val="19"/>
              </w:rPr>
              <w:t xml:space="preserve">心血管检查</w:t>
            </w:r>
            <w:r/>
          </w:p>
        </w:tc>
        <w:tc>
          <w:tcPr>
            <w:tcBorders>
              <w:top w:val="none" w:color="000000" w:sz="4" w:space="0"/>
              <w:left w:val="single" w:color="000000" w:sz="6" w:space="0"/>
              <w:right w:val="single" w:color="000000" w:sz="6" w:space="0"/>
            </w:tcBorders>
            <w:tcW w:w="3478" w:type="pct"/>
            <w:vAlign w:val="center"/>
            <w:textDirection w:val="lrTb"/>
            <w:noWrap w:val="false"/>
          </w:tcPr>
          <w:p>
            <w:pPr>
              <w:rPr>
                <w:rFonts w:ascii="宋体" w:hAnsi="宋体" w:cs="宋体"/>
                <w:sz w:val="19"/>
                <w:szCs w:val="19"/>
              </w:rPr>
            </w:pPr>
            <w:r>
              <w:rPr>
                <w:rFonts w:ascii="宋体" w:hAnsi="宋体" w:cs="宋体"/>
                <w:sz w:val="19"/>
                <w:szCs w:val="19"/>
              </w:rPr>
              <w:t xml:space="preserve">彩超心脏（超声心动图），血流变，凝血4项</w:t>
            </w:r>
            <w:r/>
          </w:p>
        </w:tc>
      </w:tr>
      <w:tr>
        <w:trPr>
          <w:jc w:val="center"/>
          <w:trHeight w:val="300"/>
        </w:trPr>
        <w:tc>
          <w:tcPr>
            <w:tcBorders>
              <w:left w:val="single" w:color="000000" w:sz="6" w:space="0"/>
              <w:right w:val="single" w:color="000000" w:sz="6" w:space="0"/>
            </w:tcBorders>
            <w:tcW w:w="844" w:type="pct"/>
            <w:vMerge w:val="continue"/>
            <w:textDirection w:val="lrTb"/>
            <w:noWrap w:val="false"/>
          </w:tcPr>
          <w:p>
            <w:pPr>
              <w:rPr>
                <w:rFonts w:ascii="宋体" w:hAnsi="宋体" w:cs="宋体"/>
                <w:sz w:val="19"/>
                <w:szCs w:val="19"/>
              </w:rPr>
            </w:pPr>
            <w:r>
              <w:rPr>
                <w:rFonts w:ascii="宋体" w:hAnsi="宋体" w:cs="宋体"/>
                <w:sz w:val="19"/>
                <w:szCs w:val="19"/>
              </w:rPr>
            </w:r>
            <w:r/>
          </w:p>
        </w:tc>
        <w:tc>
          <w:tcPr>
            <w:gridSpan w:val="2"/>
            <w:tcBorders>
              <w:left w:val="single" w:color="000000" w:sz="6" w:space="0"/>
              <w:right w:val="single" w:color="000000" w:sz="6" w:space="0"/>
            </w:tcBorders>
            <w:tcW w:w="678" w:type="pct"/>
            <w:textDirection w:val="lrTb"/>
            <w:noWrap w:val="false"/>
          </w:tcPr>
          <w:p>
            <w:pPr>
              <w:rPr>
                <w:rFonts w:ascii="宋体" w:hAnsi="宋体" w:cs="宋体"/>
                <w:sz w:val="19"/>
                <w:szCs w:val="19"/>
              </w:rPr>
            </w:pPr>
            <w:r>
              <w:rPr>
                <w:rFonts w:ascii="宋体" w:hAnsi="宋体" w:cs="宋体"/>
                <w:sz w:val="19"/>
                <w:szCs w:val="19"/>
              </w:rPr>
              <w:t xml:space="preserve">脑血管检查</w:t>
            </w:r>
            <w:r/>
          </w:p>
        </w:tc>
        <w:tc>
          <w:tcPr>
            <w:tcBorders>
              <w:left w:val="single" w:color="000000" w:sz="6" w:space="0"/>
              <w:right w:val="single" w:color="000000" w:sz="6" w:space="0"/>
            </w:tcBorders>
            <w:tcW w:w="3478" w:type="pct"/>
            <w:textDirection w:val="lrTb"/>
            <w:noWrap w:val="false"/>
          </w:tcPr>
          <w:p>
            <w:pPr>
              <w:rPr>
                <w:rFonts w:ascii="宋体" w:hAnsi="宋体" w:cs="宋体"/>
                <w:sz w:val="19"/>
                <w:szCs w:val="19"/>
              </w:rPr>
            </w:pPr>
            <w:r>
              <w:rPr>
                <w:rFonts w:ascii="宋体" w:hAnsi="宋体" w:cs="宋体"/>
                <w:sz w:val="19"/>
                <w:szCs w:val="19"/>
              </w:rPr>
              <w:t xml:space="preserve">头颅CT平扫，彩超血管（双侧颈动脉）+多普勒血流图，经颅多普勒超声（TCD）</w:t>
            </w:r>
            <w:r/>
          </w:p>
        </w:tc>
      </w:tr>
      <w:tr>
        <w:trPr>
          <w:jc w:val="center"/>
          <w:trHeight w:val="300"/>
        </w:trPr>
        <w:tc>
          <w:tcPr>
            <w:tcBorders>
              <w:left w:val="single" w:color="000000" w:sz="6" w:space="0"/>
              <w:bottom w:val="single" w:color="000000" w:sz="6" w:space="0"/>
              <w:right w:val="single" w:color="000000" w:sz="6" w:space="0"/>
            </w:tcBorders>
            <w:tcW w:w="844" w:type="pct"/>
            <w:vMerge w:val="continue"/>
            <w:textDirection w:val="lrTb"/>
            <w:noWrap w:val="false"/>
          </w:tcPr>
          <w:p>
            <w:pPr>
              <w:rPr>
                <w:rFonts w:ascii="宋体" w:hAnsi="宋体" w:cs="宋体"/>
                <w:sz w:val="19"/>
                <w:szCs w:val="19"/>
              </w:rPr>
            </w:pPr>
            <w:r>
              <w:rPr>
                <w:rFonts w:ascii="宋体" w:hAnsi="宋体" w:cs="宋体"/>
                <w:sz w:val="19"/>
                <w:szCs w:val="19"/>
              </w:rPr>
            </w:r>
            <w:r/>
          </w:p>
        </w:tc>
        <w:tc>
          <w:tcPr>
            <w:gridSpan w:val="2"/>
            <w:tcBorders>
              <w:left w:val="single" w:color="000000" w:sz="6" w:space="0"/>
              <w:bottom w:val="single" w:color="000000" w:sz="6" w:space="0"/>
              <w:right w:val="single" w:color="000000" w:sz="6" w:space="0"/>
            </w:tcBorders>
            <w:tcW w:w="678" w:type="pct"/>
            <w:textDirection w:val="lrTb"/>
            <w:noWrap w:val="false"/>
          </w:tcPr>
          <w:p>
            <w:pPr>
              <w:rPr>
                <w:rFonts w:ascii="宋体" w:hAnsi="宋体" w:cs="宋体"/>
                <w:sz w:val="19"/>
                <w:szCs w:val="19"/>
              </w:rPr>
            </w:pPr>
            <w:r>
              <w:rPr>
                <w:rFonts w:ascii="宋体" w:hAnsi="宋体" w:cs="宋体"/>
                <w:sz w:val="19"/>
                <w:szCs w:val="19"/>
              </w:rPr>
              <w:t xml:space="preserve">胃肠道检查</w:t>
            </w:r>
            <w:r/>
          </w:p>
        </w:tc>
        <w:tc>
          <w:tcPr>
            <w:tcBorders>
              <w:left w:val="single" w:color="000000" w:sz="6" w:space="0"/>
              <w:bottom w:val="single" w:color="000000" w:sz="6" w:space="0"/>
              <w:right w:val="single" w:color="000000" w:sz="6" w:space="0"/>
            </w:tcBorders>
            <w:tcW w:w="3478" w:type="pct"/>
            <w:textDirection w:val="lrTb"/>
            <w:noWrap w:val="false"/>
          </w:tcPr>
          <w:p>
            <w:pPr>
              <w:rPr>
                <w:rFonts w:ascii="宋体" w:hAnsi="宋体" w:cs="宋体"/>
                <w:sz w:val="19"/>
                <w:szCs w:val="19"/>
              </w:rPr>
            </w:pPr>
            <w:r>
              <w:rPr>
                <w:rFonts w:ascii="宋体" w:hAnsi="宋体" w:cs="宋体"/>
                <w:sz w:val="19"/>
                <w:szCs w:val="19"/>
              </w:rPr>
              <w:t xml:space="preserve">胃蛋白酶I（化学发光法）、胃蛋白酶II（化学发光法）、血清胃泌素-17测定、碳13尿素呼气试验</w:t>
            </w:r>
            <w:r/>
          </w:p>
        </w:tc>
      </w:tr>
    </w:tbl>
    <w:p>
      <w:pPr>
        <w:rPr>
          <w:rFonts w:ascii="宋体" w:hAnsi="宋体" w:cs="宋体"/>
        </w:rPr>
      </w:pPr>
      <w:r>
        <w:rPr>
          <w:rFonts w:ascii="宋体" w:hAnsi="宋体" w:cs="宋体"/>
        </w:rPr>
      </w:r>
      <w:r/>
    </w:p>
    <w:p>
      <w:pPr>
        <w:rPr>
          <w:rFonts w:ascii="宋体" w:hAnsi="宋体" w:cs="宋体"/>
          <w:b/>
          <w:bCs/>
          <w:sz w:val="22"/>
          <w:szCs w:val="28"/>
        </w:rPr>
      </w:pPr>
      <w:r>
        <w:rPr>
          <w:rFonts w:hint="eastAsia" w:ascii="宋体" w:hAnsi="宋体" w:cs="宋体"/>
          <w:b/>
          <w:bCs/>
          <w:sz w:val="22"/>
          <w:szCs w:val="28"/>
        </w:rPr>
        <w:t xml:space="preserve">6、45岁（含）以上在职、正高职称、退休人员女性未婚套餐</w:t>
      </w:r>
      <w:r/>
    </w:p>
    <w:tbl>
      <w:tblPr>
        <w:tblStyle w:val="897"/>
        <w:tblW w:w="5044" w:type="pct"/>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1413"/>
        <w:gridCol w:w="10"/>
        <w:gridCol w:w="1125"/>
        <w:gridCol w:w="5824"/>
      </w:tblGrid>
      <w:tr>
        <w:trPr>
          <w:jc w:val="center"/>
          <w:trHeight w:val="300"/>
        </w:trPr>
        <w:tc>
          <w:tcPr>
            <w:gridSpan w:val="4"/>
            <w:shd w:val="clear" w:color="auto" w:fill="c0c0c0"/>
            <w:tcBorders>
              <w:top w:val="single" w:color="auto" w:sz="4" w:space="0"/>
              <w:left w:val="single" w:color="000000" w:sz="6" w:space="0"/>
              <w:bottom w:val="single" w:color="000000" w:sz="6" w:space="0"/>
              <w:right w:val="single" w:color="000000" w:sz="6" w:space="0"/>
            </w:tcBorders>
            <w:tcW w:w="5000" w:type="pct"/>
            <w:vAlign w:val="center"/>
            <w:textDirection w:val="lrTb"/>
            <w:noWrap w:val="false"/>
          </w:tcPr>
          <w:p>
            <w:pPr>
              <w:jc w:val="center"/>
              <w:rPr>
                <w:rFonts w:ascii="宋体" w:hAnsi="宋体" w:cs="宋体"/>
                <w:sz w:val="19"/>
                <w:szCs w:val="19"/>
              </w:rPr>
            </w:pPr>
            <w:r>
              <w:rPr>
                <w:rFonts w:hint="eastAsia" w:ascii="宋体" w:hAnsi="宋体" w:cs="宋体"/>
                <w:b/>
                <w:bCs/>
                <w:sz w:val="19"/>
                <w:szCs w:val="19"/>
              </w:rPr>
              <w:t xml:space="preserve">45岁（含）以上在职、正高职称、退休人员女性未婚</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基本检查</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身高、体重、血压、脉搏、体重指数</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内科</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心、肺听诊、腹部触诊</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外科</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浅表淋巴结、甲状腺、乳房、脊柱、四肢、皮肤、浅表淋巴结等</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眼科</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外眼、视力、眼底、眼压</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耳、鼻、喉科</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外耳道、鼓膜、鼻腔、鼻中隔、扁桃体、咽部等</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口腔科</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检查牙齿、牙周组织、口腔黏膜及颞下颌关节等有无异常</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血常规</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18项</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甲状腺功能</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T3、T4、TSH</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肝功能</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谷丙转氨酶、r-转肽酶、谷草转氨酶、总胆红素、直接胆红素、间接胆红素、血清白蛋白、血清总蛋白、血清球蛋白、ALB/GLO</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肿瘤标记筛选</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CEA、AFP、CA199、NSE、CA724、CA242、CA50、CYFRA21-1、CA125、CA153</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肾脏机能</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血尿素氮、血清尿酸、血清肌酐</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血脂</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胆固醇、甘油三脂、高密度脂蛋白胆固醇、低密度脂蛋白胆固醇</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血糖</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空腹血糖测定</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尿常规</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10项</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粪便隐血试验（免疫法定量）</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粪便隐血试验（免疫法定量）</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心电图</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12导心电图</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影像学检查</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胸部CT平扫</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彩色B超</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肝、胆、胰、脾、双肾、膀胱、乳腺、子宫、附件彩色超声检查（含图文）</w:t>
            </w:r>
            <w:r/>
          </w:p>
        </w:tc>
      </w:tr>
      <w:tr>
        <w:trPr>
          <w:jc w:val="center"/>
          <w:trHeight w:val="300"/>
        </w:trPr>
        <w:tc>
          <w:tcPr>
            <w:tcBorders>
              <w:top w:val="none" w:color="000000" w:sz="4" w:space="0"/>
              <w:left w:val="single" w:color="000000" w:sz="6" w:space="0"/>
              <w:right w:val="single" w:color="000000" w:sz="6" w:space="0"/>
            </w:tcBorders>
            <w:tcW w:w="844" w:type="pct"/>
            <w:vAlign w:val="center"/>
            <w:vMerge w:val="restart"/>
            <w:textDirection w:val="lrTb"/>
            <w:noWrap w:val="false"/>
          </w:tcPr>
          <w:p>
            <w:pPr>
              <w:rPr>
                <w:rFonts w:ascii="宋体" w:hAnsi="宋体" w:cs="宋体"/>
                <w:sz w:val="19"/>
                <w:szCs w:val="19"/>
              </w:rPr>
            </w:pPr>
            <w:r>
              <w:rPr>
                <w:rFonts w:ascii="宋体" w:hAnsi="宋体" w:cs="宋体"/>
                <w:sz w:val="19"/>
                <w:szCs w:val="19"/>
              </w:rPr>
              <w:t xml:space="preserve">允许教职工三选一</w:t>
            </w:r>
            <w:r/>
          </w:p>
        </w:tc>
        <w:tc>
          <w:tcPr>
            <w:gridSpan w:val="2"/>
            <w:tcBorders>
              <w:top w:val="none" w:color="000000" w:sz="4" w:space="0"/>
              <w:left w:val="single" w:color="000000" w:sz="6" w:space="0"/>
              <w:right w:val="single" w:color="000000" w:sz="6" w:space="0"/>
            </w:tcBorders>
            <w:tcW w:w="678" w:type="pct"/>
            <w:vAlign w:val="center"/>
            <w:textDirection w:val="lrTb"/>
            <w:noWrap w:val="false"/>
          </w:tcPr>
          <w:p>
            <w:pPr>
              <w:rPr>
                <w:rFonts w:ascii="宋体" w:hAnsi="宋体" w:cs="宋体"/>
                <w:sz w:val="19"/>
                <w:szCs w:val="19"/>
              </w:rPr>
            </w:pPr>
            <w:r>
              <w:rPr>
                <w:rFonts w:ascii="宋体" w:hAnsi="宋体" w:cs="宋体"/>
                <w:sz w:val="19"/>
                <w:szCs w:val="19"/>
              </w:rPr>
              <w:t xml:space="preserve">心血管检查</w:t>
            </w:r>
            <w:r/>
          </w:p>
        </w:tc>
        <w:tc>
          <w:tcPr>
            <w:tcBorders>
              <w:top w:val="none" w:color="000000" w:sz="4" w:space="0"/>
              <w:left w:val="single" w:color="000000" w:sz="6" w:space="0"/>
              <w:right w:val="single" w:color="000000" w:sz="6" w:space="0"/>
            </w:tcBorders>
            <w:tcW w:w="3478" w:type="pct"/>
            <w:vAlign w:val="center"/>
            <w:textDirection w:val="lrTb"/>
            <w:noWrap w:val="false"/>
          </w:tcPr>
          <w:p>
            <w:pPr>
              <w:rPr>
                <w:rFonts w:ascii="宋体" w:hAnsi="宋体" w:cs="宋体"/>
                <w:sz w:val="19"/>
                <w:szCs w:val="19"/>
              </w:rPr>
            </w:pPr>
            <w:r>
              <w:rPr>
                <w:rFonts w:ascii="宋体" w:hAnsi="宋体" w:cs="宋体"/>
                <w:sz w:val="19"/>
                <w:szCs w:val="19"/>
              </w:rPr>
              <w:t xml:space="preserve">彩超心脏（超声心动图），血流变，凝血4项</w:t>
            </w:r>
            <w:r/>
          </w:p>
        </w:tc>
      </w:tr>
      <w:tr>
        <w:trPr>
          <w:jc w:val="center"/>
          <w:trHeight w:val="300"/>
        </w:trPr>
        <w:tc>
          <w:tcPr>
            <w:tcBorders>
              <w:left w:val="single" w:color="000000" w:sz="6" w:space="0"/>
              <w:right w:val="single" w:color="000000" w:sz="6" w:space="0"/>
            </w:tcBorders>
            <w:tcW w:w="844" w:type="pct"/>
            <w:vMerge w:val="continue"/>
            <w:textDirection w:val="lrTb"/>
            <w:noWrap w:val="false"/>
          </w:tcPr>
          <w:p>
            <w:pPr>
              <w:rPr>
                <w:rFonts w:ascii="宋体" w:hAnsi="宋体" w:cs="宋体"/>
                <w:sz w:val="19"/>
                <w:szCs w:val="19"/>
              </w:rPr>
            </w:pPr>
            <w:r>
              <w:rPr>
                <w:rFonts w:ascii="宋体" w:hAnsi="宋体" w:cs="宋体"/>
                <w:sz w:val="19"/>
                <w:szCs w:val="19"/>
              </w:rPr>
            </w:r>
            <w:r/>
          </w:p>
        </w:tc>
        <w:tc>
          <w:tcPr>
            <w:gridSpan w:val="2"/>
            <w:tcBorders>
              <w:left w:val="single" w:color="000000" w:sz="6" w:space="0"/>
              <w:right w:val="single" w:color="000000" w:sz="6" w:space="0"/>
            </w:tcBorders>
            <w:tcW w:w="678" w:type="pct"/>
            <w:textDirection w:val="lrTb"/>
            <w:noWrap w:val="false"/>
          </w:tcPr>
          <w:p>
            <w:pPr>
              <w:rPr>
                <w:rFonts w:ascii="宋体" w:hAnsi="宋体" w:cs="宋体"/>
                <w:sz w:val="19"/>
                <w:szCs w:val="19"/>
              </w:rPr>
            </w:pPr>
            <w:r>
              <w:rPr>
                <w:rFonts w:ascii="宋体" w:hAnsi="宋体" w:cs="宋体"/>
                <w:sz w:val="19"/>
                <w:szCs w:val="19"/>
              </w:rPr>
              <w:t xml:space="preserve">脑血管检查</w:t>
            </w:r>
            <w:r/>
          </w:p>
        </w:tc>
        <w:tc>
          <w:tcPr>
            <w:tcBorders>
              <w:left w:val="single" w:color="000000" w:sz="6" w:space="0"/>
              <w:right w:val="single" w:color="000000" w:sz="6" w:space="0"/>
            </w:tcBorders>
            <w:tcW w:w="3478" w:type="pct"/>
            <w:textDirection w:val="lrTb"/>
            <w:noWrap w:val="false"/>
          </w:tcPr>
          <w:p>
            <w:pPr>
              <w:rPr>
                <w:rFonts w:ascii="宋体" w:hAnsi="宋体" w:cs="宋体"/>
                <w:sz w:val="19"/>
                <w:szCs w:val="19"/>
              </w:rPr>
            </w:pPr>
            <w:r>
              <w:rPr>
                <w:rFonts w:ascii="宋体" w:hAnsi="宋体" w:cs="宋体"/>
                <w:sz w:val="19"/>
                <w:szCs w:val="19"/>
              </w:rPr>
              <w:t xml:space="preserve">头颅CT平扫，彩超血管（双侧颈动脉）+多普勒血流图，经颅多普勒超声（TCD）</w:t>
            </w:r>
            <w:r/>
          </w:p>
        </w:tc>
      </w:tr>
      <w:tr>
        <w:trPr>
          <w:jc w:val="center"/>
          <w:trHeight w:val="300"/>
        </w:trPr>
        <w:tc>
          <w:tcPr>
            <w:tcBorders>
              <w:left w:val="single" w:color="000000" w:sz="6" w:space="0"/>
              <w:bottom w:val="single" w:color="000000" w:sz="6" w:space="0"/>
              <w:right w:val="single" w:color="000000" w:sz="6" w:space="0"/>
            </w:tcBorders>
            <w:tcW w:w="844" w:type="pct"/>
            <w:vMerge w:val="continue"/>
            <w:textDirection w:val="lrTb"/>
            <w:noWrap w:val="false"/>
          </w:tcPr>
          <w:p>
            <w:pPr>
              <w:rPr>
                <w:rFonts w:ascii="宋体" w:hAnsi="宋体" w:cs="宋体"/>
                <w:sz w:val="19"/>
                <w:szCs w:val="19"/>
              </w:rPr>
            </w:pPr>
            <w:r>
              <w:rPr>
                <w:rFonts w:ascii="宋体" w:hAnsi="宋体" w:cs="宋体"/>
                <w:sz w:val="19"/>
                <w:szCs w:val="19"/>
              </w:rPr>
            </w:r>
            <w:r/>
          </w:p>
        </w:tc>
        <w:tc>
          <w:tcPr>
            <w:gridSpan w:val="2"/>
            <w:tcBorders>
              <w:left w:val="single" w:color="000000" w:sz="6" w:space="0"/>
              <w:bottom w:val="single" w:color="000000" w:sz="6" w:space="0"/>
              <w:right w:val="single" w:color="000000" w:sz="6" w:space="0"/>
            </w:tcBorders>
            <w:tcW w:w="678" w:type="pct"/>
            <w:textDirection w:val="lrTb"/>
            <w:noWrap w:val="false"/>
          </w:tcPr>
          <w:p>
            <w:pPr>
              <w:rPr>
                <w:rFonts w:ascii="宋体" w:hAnsi="宋体" w:cs="宋体"/>
                <w:sz w:val="19"/>
                <w:szCs w:val="19"/>
              </w:rPr>
            </w:pPr>
            <w:r>
              <w:rPr>
                <w:rFonts w:ascii="宋体" w:hAnsi="宋体" w:cs="宋体"/>
                <w:sz w:val="19"/>
                <w:szCs w:val="19"/>
              </w:rPr>
              <w:t xml:space="preserve">胃肠道检查</w:t>
            </w:r>
            <w:r/>
          </w:p>
        </w:tc>
        <w:tc>
          <w:tcPr>
            <w:tcBorders>
              <w:left w:val="single" w:color="000000" w:sz="6" w:space="0"/>
              <w:bottom w:val="single" w:color="000000" w:sz="6" w:space="0"/>
              <w:right w:val="single" w:color="000000" w:sz="6" w:space="0"/>
            </w:tcBorders>
            <w:tcW w:w="3478" w:type="pct"/>
            <w:textDirection w:val="lrTb"/>
            <w:noWrap w:val="false"/>
          </w:tcPr>
          <w:p>
            <w:pPr>
              <w:rPr>
                <w:rFonts w:ascii="宋体" w:hAnsi="宋体" w:cs="宋体"/>
                <w:sz w:val="19"/>
                <w:szCs w:val="19"/>
              </w:rPr>
            </w:pPr>
            <w:r>
              <w:rPr>
                <w:rFonts w:ascii="宋体" w:hAnsi="宋体" w:cs="宋体"/>
                <w:sz w:val="19"/>
                <w:szCs w:val="19"/>
              </w:rPr>
              <w:t xml:space="preserve">胃蛋白酶I（化学发光法）、胃蛋白酶II（化学发光法）、血清胃泌素-17测定、碳13尿素呼气试验</w:t>
            </w:r>
            <w:r/>
          </w:p>
        </w:tc>
      </w:tr>
    </w:tbl>
    <w:p>
      <w:pPr>
        <w:rPr>
          <w:rFonts w:ascii="宋体" w:hAnsi="宋体" w:cs="宋体"/>
        </w:rPr>
      </w:pPr>
      <w:r>
        <w:rPr>
          <w:rFonts w:ascii="宋体" w:hAnsi="宋体" w:cs="宋体"/>
        </w:rPr>
      </w:r>
      <w:r/>
    </w:p>
    <w:p>
      <w:pPr>
        <w:spacing w:before="158" w:after="158"/>
        <w:rPr>
          <w:rFonts w:ascii="宋体" w:hAnsi="宋体" w:cs="宋体"/>
          <w:b/>
          <w:bCs/>
          <w:sz w:val="22"/>
          <w:szCs w:val="28"/>
        </w:rPr>
        <w:outlineLvl w:val="2"/>
      </w:pPr>
      <w:r>
        <w:rPr>
          <w:rFonts w:hint="eastAsia" w:ascii="宋体" w:hAnsi="宋体" w:cs="宋体"/>
          <w:b/>
          <w:bCs/>
          <w:sz w:val="22"/>
          <w:szCs w:val="28"/>
        </w:rPr>
        <w:t xml:space="preserve">五、其它要求</w:t>
      </w:r>
      <w:r/>
    </w:p>
    <w:p>
      <w:pPr>
        <w:ind w:firstLine="420"/>
        <w:spacing w:line="360" w:lineRule="auto"/>
        <w:rPr>
          <w:rFonts w:ascii="宋体" w:hAnsi="宋体" w:cs="宋体"/>
        </w:rPr>
      </w:pPr>
      <w:r>
        <w:rPr>
          <w:rFonts w:hint="eastAsia" w:ascii="宋体" w:hAnsi="宋体" w:cs="宋体"/>
        </w:rPr>
        <w:t xml:space="preserve">1、合同履行期限（服务期）：自合同签订之日起，至2028年12月31日内完成项目（具体时间以采购人通知为准）。</w:t>
      </w:r>
      <w:r>
        <w:rPr>
          <w:rFonts w:hint="eastAsia" w:ascii="宋体" w:hAnsi="宋体" w:cs="宋体"/>
          <w:spacing w:val="8"/>
          <w:szCs w:val="21"/>
        </w:rPr>
        <w:t xml:space="preserve">合同一年一签，每年采购人组织服务质量考核；考核≥80 分，续签下一年度合同；考核＜80 分，采购人有权向中标人发出整改通知，限期整改；整改后仍达不到 80 分，采购人有权不予续签下一年度合同。</w:t>
      </w:r>
      <w:r>
        <w:rPr>
          <w:rFonts w:hint="eastAsia" w:ascii="宋体" w:hAnsi="宋体" w:cs="宋体"/>
        </w:rPr>
        <w:t xml:space="preserve">（详见考核细则）</w:t>
      </w:r>
      <w:r/>
    </w:p>
    <w:p>
      <w:pPr>
        <w:ind w:firstLine="420"/>
        <w:spacing w:line="360" w:lineRule="auto"/>
        <w:rPr>
          <w:rFonts w:ascii="宋体" w:hAnsi="宋体" w:cs="宋体"/>
        </w:rPr>
      </w:pPr>
      <w:r>
        <w:rPr>
          <w:rFonts w:hint="eastAsia" w:ascii="宋体" w:hAnsi="宋体" w:cs="宋体"/>
        </w:rPr>
        <w:t xml:space="preserve">2、体检时间：双方协商确定。</w:t>
      </w:r>
      <w:r/>
    </w:p>
    <w:p>
      <w:pPr>
        <w:ind w:firstLine="420"/>
        <w:spacing w:line="360" w:lineRule="auto"/>
        <w:rPr>
          <w:rFonts w:ascii="宋体" w:hAnsi="宋体" w:cs="宋体"/>
        </w:rPr>
      </w:pPr>
      <w:r>
        <w:rPr>
          <w:rFonts w:hint="eastAsia" w:ascii="宋体" w:hAnsi="宋体" w:cs="宋体"/>
        </w:rPr>
        <w:t xml:space="preserve">3、付款方式：</w:t>
      </w:r>
      <w:r/>
    </w:p>
    <w:p>
      <w:pPr>
        <w:ind w:firstLine="420"/>
        <w:spacing w:line="360" w:lineRule="auto"/>
        <w:rPr>
          <w:rFonts w:ascii="宋体" w:hAnsi="宋体" w:cs="宋体"/>
        </w:rPr>
      </w:pPr>
      <w:r>
        <w:rPr>
          <w:rFonts w:hint="eastAsia" w:ascii="宋体" w:hAnsi="宋体" w:cs="宋体"/>
        </w:rPr>
        <w:t xml:space="preserve">当年体检完成并提交体检报告（按要求提供纸质或电子体检报告），经采购人对中标人体检服务进行考核，考核合格后，中标人应在10个工作日内向采购人列出结算单。采购人审核通过后，中标人按采购人财务规定出具正式发票，同时附体检人员及费用清单。采购人在2个月内支付当年结算金额。最终体检服务费用按中标报价、实际体检人数结算。</w:t>
      </w:r>
      <w:r/>
    </w:p>
    <w:p>
      <w:pPr>
        <w:ind w:firstLine="420"/>
        <w:spacing w:line="360" w:lineRule="auto"/>
        <w:rPr>
          <w:rFonts w:ascii="宋体" w:hAnsi="宋体" w:cs="宋体"/>
        </w:rPr>
      </w:pPr>
      <w:r>
        <w:rPr>
          <w:rFonts w:hint="eastAsia" w:ascii="宋体" w:hAnsi="宋体" w:cs="宋体"/>
        </w:rPr>
        <w:t xml:space="preserve">4、履约保证金</w:t>
      </w:r>
      <w:r/>
    </w:p>
    <w:p>
      <w:pPr>
        <w:ind w:firstLine="420"/>
        <w:spacing w:line="360" w:lineRule="auto"/>
        <w:rPr>
          <w:rFonts w:ascii="宋体" w:hAnsi="宋体" w:cs="宋体"/>
        </w:rPr>
      </w:pPr>
      <w:r>
        <w:rPr>
          <w:rFonts w:hint="eastAsia" w:ascii="宋体" w:hAnsi="宋体" w:cs="宋体"/>
        </w:rPr>
        <w:t xml:space="preserve">（1）履约保证金用于约束中标供应商在合同履行中的行为，弥补合同执行中由于自身行为可能给采购人带来的各种损失。因中标供应商原因导致合同未能正常履行的，采购人将扣除中标供应商的全部履约保证金。</w:t>
      </w:r>
      <w:r/>
    </w:p>
    <w:p>
      <w:pPr>
        <w:ind w:firstLine="420"/>
        <w:spacing w:line="360" w:lineRule="auto"/>
        <w:rPr>
          <w:rFonts w:ascii="宋体" w:hAnsi="宋体" w:cs="宋体"/>
        </w:rPr>
      </w:pPr>
      <w:r>
        <w:rPr>
          <w:rFonts w:hint="eastAsia" w:ascii="宋体" w:hAnsi="宋体" w:cs="宋体"/>
        </w:rPr>
        <w:t xml:space="preserve">（2）</w:t>
      </w:r>
      <w:r>
        <w:rPr>
          <w:rFonts w:hint="eastAsia" w:ascii="宋体" w:hAnsi="宋体" w:cs="宋体"/>
          <w:b/>
          <w:bCs/>
          <w:u w:val="single"/>
        </w:rPr>
        <w:t xml:space="preserve">中标供应商在签订合同前向采购人缴纳履约保证金人民币一万元整</w:t>
      </w:r>
      <w:r>
        <w:rPr>
          <w:rFonts w:hint="eastAsia" w:ascii="宋体" w:hAnsi="宋体" w:cs="宋体"/>
        </w:rPr>
        <w:t xml:space="preserve">。</w:t>
      </w:r>
      <w:r>
        <w:rPr>
          <w:rFonts w:ascii="宋体" w:hAnsi="宋体" w:cs="宋体"/>
        </w:rPr>
        <w:t xml:space="preserve">履约保证金可以采用银行转账或者银行 / 担保机构保函形式提交，保函有效期须覆盖整个服务周期。</w:t>
      </w:r>
      <w:r/>
    </w:p>
    <w:p>
      <w:pPr>
        <w:ind w:firstLine="420"/>
        <w:spacing w:line="360" w:lineRule="auto"/>
        <w:rPr>
          <w:rFonts w:ascii="宋体" w:hAnsi="宋体" w:cs="宋体"/>
        </w:rPr>
      </w:pPr>
      <w:r>
        <w:rPr>
          <w:rFonts w:hint="eastAsia" w:ascii="宋体" w:hAnsi="宋体" w:cs="宋体"/>
        </w:rPr>
        <w:t xml:space="preserve">（3）履约保证金退还方式：合同履行期限结束后，由中标供应商提出退还履约保证金申请，中标供应商不存在任何违约行为的，履约保证金予以无息返还至中标供应商账户。</w:t>
      </w:r>
      <w:r/>
    </w:p>
    <w:p>
      <w:pPr>
        <w:ind w:firstLine="420"/>
        <w:spacing w:line="360" w:lineRule="auto"/>
        <w:rPr>
          <w:rFonts w:ascii="宋体" w:hAnsi="宋体" w:cs="宋体"/>
        </w:rPr>
        <w:sectPr>
          <w:footnotePr/>
          <w:endnotePr/>
          <w:type w:val="nextPage"/>
          <w:pgSz w:w="11905" w:h="16838" w:orient="portrait"/>
          <w:pgMar w:top="1440" w:right="1803" w:bottom="1440" w:left="1803" w:header="850" w:footer="992" w:gutter="0"/>
          <w:cols w:num="1" w:sep="0" w:space="0" w:equalWidth="1"/>
          <w:docGrid w:linePitch="360"/>
          <w:titlePg/>
        </w:sectPr>
      </w:pPr>
      <w:r>
        <w:rPr>
          <w:rFonts w:ascii="宋体" w:hAnsi="宋体" w:cs="宋体"/>
        </w:rPr>
      </w:r>
      <w:r/>
    </w:p>
    <w:p>
      <w:pPr>
        <w:spacing w:line="360" w:lineRule="auto"/>
        <w:widowControl/>
        <w:rPr>
          <w:b/>
          <w:bCs/>
          <w:color w:val="000000"/>
          <w:sz w:val="30"/>
          <w:szCs w:val="30"/>
        </w:rPr>
      </w:pPr>
      <w:r>
        <w:rPr>
          <w:rFonts w:hint="eastAsia"/>
          <w:b/>
          <w:bCs/>
          <w:color w:val="000000"/>
          <w:sz w:val="30"/>
          <w:szCs w:val="30"/>
        </w:rPr>
        <w:t xml:space="preserve">附：</w:t>
      </w:r>
      <w:r>
        <w:rPr>
          <w:b/>
          <w:bCs/>
          <w:color w:val="000000"/>
          <w:sz w:val="30"/>
          <w:szCs w:val="30"/>
        </w:rPr>
        <w:t xml:space="preserve">考核细则</w:t>
      </w:r>
      <w:r/>
    </w:p>
    <w:p>
      <w:pPr>
        <w:ind w:firstLine="480"/>
        <w:jc w:val="left"/>
        <w:spacing w:line="360" w:lineRule="auto"/>
        <w:widowControl/>
        <w:rPr>
          <w:color w:val="000000"/>
          <w:sz w:val="22"/>
          <w:szCs w:val="22"/>
        </w:rPr>
      </w:pPr>
      <w:r>
        <w:rPr>
          <w:color w:val="000000"/>
          <w:sz w:val="22"/>
          <w:szCs w:val="22"/>
        </w:rPr>
        <w:t xml:space="preserve">为推进教职工体检服务实施规范化，体检结果准确性，增强教职工获得感和幸福感，根据教职工体检服务要求与合同约定，制定教职工体检服务考核细则。</w:t>
      </w:r>
      <w:r/>
    </w:p>
    <w:p>
      <w:pPr>
        <w:ind w:firstLine="482"/>
        <w:jc w:val="left"/>
        <w:spacing w:line="360" w:lineRule="auto"/>
        <w:widowControl/>
        <w:rPr>
          <w:b/>
          <w:color w:val="000000"/>
          <w:sz w:val="22"/>
          <w:szCs w:val="22"/>
        </w:rPr>
      </w:pPr>
      <w:r>
        <w:rPr>
          <w:b/>
          <w:color w:val="000000"/>
          <w:sz w:val="22"/>
          <w:szCs w:val="22"/>
        </w:rPr>
        <w:t xml:space="preserve">一、考核目的及对象</w:t>
      </w:r>
      <w:r/>
    </w:p>
    <w:p>
      <w:pPr>
        <w:ind w:firstLine="480"/>
        <w:jc w:val="left"/>
        <w:spacing w:line="360" w:lineRule="auto"/>
        <w:widowControl/>
        <w:rPr>
          <w:color w:val="000000"/>
          <w:sz w:val="22"/>
          <w:szCs w:val="22"/>
        </w:rPr>
      </w:pPr>
      <w:r>
        <w:rPr>
          <w:color w:val="000000"/>
          <w:sz w:val="22"/>
          <w:szCs w:val="22"/>
        </w:rPr>
        <w:t xml:space="preserve">目的：通过过程检查和考核，实现对合同履行的有效控制，确保合同双方服务要求明确，维护学校和广大教职工权益。</w:t>
      </w:r>
      <w:r/>
    </w:p>
    <w:p>
      <w:pPr>
        <w:ind w:firstLine="480"/>
        <w:jc w:val="left"/>
        <w:spacing w:line="360" w:lineRule="auto"/>
        <w:widowControl/>
        <w:rPr>
          <w:color w:val="000000"/>
          <w:sz w:val="22"/>
          <w:szCs w:val="22"/>
        </w:rPr>
      </w:pPr>
      <w:r>
        <w:rPr>
          <w:color w:val="000000"/>
          <w:sz w:val="22"/>
          <w:szCs w:val="22"/>
        </w:rPr>
        <w:t xml:space="preserve">对象：体检服务单位。</w:t>
      </w:r>
      <w:r/>
    </w:p>
    <w:p>
      <w:pPr>
        <w:ind w:firstLine="482"/>
        <w:jc w:val="left"/>
        <w:spacing w:line="360" w:lineRule="auto"/>
        <w:widowControl/>
        <w:rPr>
          <w:b/>
          <w:color w:val="000000"/>
          <w:sz w:val="22"/>
          <w:szCs w:val="22"/>
        </w:rPr>
      </w:pPr>
      <w:r>
        <w:rPr>
          <w:b/>
          <w:color w:val="000000"/>
          <w:sz w:val="22"/>
          <w:szCs w:val="22"/>
        </w:rPr>
        <w:t xml:space="preserve">二、考核的方式方法</w:t>
      </w:r>
      <w:r/>
    </w:p>
    <w:p>
      <w:pPr>
        <w:ind w:firstLine="480"/>
        <w:jc w:val="left"/>
        <w:spacing w:line="360" w:lineRule="auto"/>
        <w:widowControl/>
        <w:rPr>
          <w:color w:val="000000"/>
          <w:sz w:val="22"/>
          <w:szCs w:val="22"/>
        </w:rPr>
      </w:pPr>
      <w:r>
        <w:rPr>
          <w:color w:val="000000"/>
          <w:sz w:val="22"/>
          <w:szCs w:val="22"/>
        </w:rPr>
        <w:t xml:space="preserve">1、考核采取综合评分的方式，考核小组由</w:t>
      </w:r>
      <w:r>
        <w:rPr>
          <w:rFonts w:hint="eastAsia"/>
          <w:color w:val="000000"/>
          <w:sz w:val="22"/>
          <w:szCs w:val="22"/>
        </w:rPr>
        <w:t xml:space="preserve">后勤管理服务中心</w:t>
      </w:r>
      <w:r>
        <w:rPr>
          <w:color w:val="000000"/>
          <w:sz w:val="22"/>
          <w:szCs w:val="22"/>
        </w:rPr>
        <w:t xml:space="preserve">牵头，校工会、离退休</w:t>
      </w:r>
      <w:r>
        <w:rPr>
          <w:rFonts w:hint="eastAsia"/>
          <w:color w:val="000000"/>
          <w:sz w:val="22"/>
          <w:szCs w:val="22"/>
        </w:rPr>
        <w:t xml:space="preserve">处</w:t>
      </w:r>
      <w:r>
        <w:rPr>
          <w:color w:val="000000"/>
          <w:sz w:val="22"/>
          <w:szCs w:val="22"/>
        </w:rPr>
        <w:t xml:space="preserve">等部门组成。</w:t>
      </w:r>
      <w:r/>
    </w:p>
    <w:p>
      <w:pPr>
        <w:ind w:firstLine="480"/>
        <w:jc w:val="left"/>
        <w:spacing w:line="360" w:lineRule="auto"/>
        <w:widowControl/>
        <w:rPr>
          <w:color w:val="000000"/>
          <w:sz w:val="22"/>
          <w:szCs w:val="22"/>
        </w:rPr>
      </w:pPr>
      <w:r>
        <w:rPr>
          <w:color w:val="000000"/>
          <w:sz w:val="22"/>
          <w:szCs w:val="22"/>
        </w:rPr>
        <w:t xml:space="preserve">2、考核要素及分值设计，见考核表。</w:t>
      </w:r>
      <w:r/>
    </w:p>
    <w:p>
      <w:pPr>
        <w:ind w:firstLine="482"/>
        <w:jc w:val="left"/>
        <w:spacing w:line="360" w:lineRule="auto"/>
        <w:widowControl/>
        <w:rPr>
          <w:b/>
          <w:color w:val="000000"/>
          <w:sz w:val="22"/>
          <w:szCs w:val="22"/>
        </w:rPr>
      </w:pPr>
      <w:r>
        <w:rPr>
          <w:b/>
          <w:color w:val="000000"/>
          <w:sz w:val="22"/>
          <w:szCs w:val="22"/>
        </w:rPr>
        <w:t xml:space="preserve">三、考核内容</w:t>
      </w:r>
      <w:r/>
    </w:p>
    <w:p>
      <w:pPr>
        <w:ind w:firstLine="480"/>
        <w:jc w:val="left"/>
        <w:spacing w:line="360" w:lineRule="auto"/>
        <w:widowControl/>
        <w:rPr>
          <w:color w:val="000000"/>
          <w:sz w:val="22"/>
          <w:szCs w:val="22"/>
        </w:rPr>
      </w:pPr>
      <w:r>
        <w:rPr>
          <w:color w:val="000000"/>
          <w:sz w:val="22"/>
          <w:szCs w:val="22"/>
        </w:rPr>
        <w:t xml:space="preserve">1、医护团队人员资质和配备数量充分响应投标文件，人员和器材配置合理、数量充足。</w:t>
      </w:r>
      <w:r/>
    </w:p>
    <w:p>
      <w:pPr>
        <w:ind w:firstLine="480"/>
        <w:jc w:val="left"/>
        <w:spacing w:line="360" w:lineRule="auto"/>
        <w:widowControl/>
        <w:rPr>
          <w:color w:val="000000"/>
          <w:sz w:val="22"/>
          <w:szCs w:val="22"/>
        </w:rPr>
      </w:pPr>
      <w:r>
        <w:rPr>
          <w:color w:val="000000"/>
          <w:sz w:val="22"/>
          <w:szCs w:val="22"/>
        </w:rPr>
        <w:t xml:space="preserve">2、现场医护人员业务熟练，热情友好，耐心细致。</w:t>
      </w:r>
      <w:r/>
    </w:p>
    <w:p>
      <w:pPr>
        <w:ind w:firstLine="480"/>
        <w:jc w:val="left"/>
        <w:spacing w:line="360" w:lineRule="auto"/>
        <w:widowControl/>
        <w:rPr>
          <w:color w:val="000000"/>
          <w:sz w:val="22"/>
          <w:szCs w:val="22"/>
        </w:rPr>
      </w:pPr>
      <w:r>
        <w:rPr>
          <w:color w:val="000000"/>
          <w:sz w:val="22"/>
          <w:szCs w:val="22"/>
        </w:rPr>
        <w:t xml:space="preserve">3、体检点环境舒适、卫生、男女体检区域划分清晰，私密性好。体检环节顺畅、并提供有营养早餐。</w:t>
      </w:r>
      <w:r/>
    </w:p>
    <w:p>
      <w:pPr>
        <w:ind w:firstLine="480"/>
        <w:jc w:val="left"/>
        <w:spacing w:line="360" w:lineRule="auto"/>
        <w:widowControl/>
        <w:rPr>
          <w:color w:val="000000"/>
          <w:sz w:val="22"/>
          <w:szCs w:val="22"/>
        </w:rPr>
      </w:pPr>
      <w:r>
        <w:rPr>
          <w:color w:val="000000"/>
          <w:sz w:val="22"/>
          <w:szCs w:val="22"/>
        </w:rPr>
        <w:t xml:space="preserve">4、为保证教职工体检安全，所有体检使用的器具应做到及时清洁和消毒，检查所用卫生耗材做到一人一换，安全卫生。</w:t>
      </w:r>
      <w:r/>
    </w:p>
    <w:p>
      <w:pPr>
        <w:ind w:firstLine="480"/>
        <w:jc w:val="left"/>
        <w:spacing w:line="360" w:lineRule="auto"/>
        <w:widowControl/>
        <w:rPr>
          <w:color w:val="000000"/>
          <w:sz w:val="22"/>
          <w:szCs w:val="22"/>
        </w:rPr>
      </w:pPr>
      <w:r>
        <w:rPr>
          <w:color w:val="000000"/>
          <w:sz w:val="22"/>
          <w:szCs w:val="22"/>
        </w:rPr>
        <w:t xml:space="preserve">5、体检预约方便、导检单信息准确，在规定的时间内是否能做到随到随检。</w:t>
      </w:r>
      <w:r/>
    </w:p>
    <w:p>
      <w:pPr>
        <w:ind w:firstLine="480"/>
        <w:jc w:val="left"/>
        <w:spacing w:line="360" w:lineRule="auto"/>
        <w:widowControl/>
        <w:rPr>
          <w:color w:val="000000"/>
          <w:sz w:val="22"/>
          <w:szCs w:val="22"/>
        </w:rPr>
      </w:pPr>
      <w:r>
        <w:rPr>
          <w:color w:val="000000"/>
          <w:sz w:val="22"/>
          <w:szCs w:val="22"/>
        </w:rPr>
        <w:t xml:space="preserve">6、有充足的停车资源以满足自驾者停车需求。</w:t>
      </w:r>
      <w:r/>
    </w:p>
    <w:p>
      <w:pPr>
        <w:ind w:firstLine="480"/>
        <w:jc w:val="left"/>
        <w:spacing w:line="360" w:lineRule="auto"/>
        <w:widowControl/>
        <w:rPr>
          <w:color w:val="000000"/>
          <w:sz w:val="22"/>
          <w:szCs w:val="22"/>
        </w:rPr>
      </w:pPr>
      <w:r>
        <w:rPr>
          <w:color w:val="000000"/>
          <w:sz w:val="22"/>
          <w:szCs w:val="22"/>
        </w:rPr>
        <w:t xml:space="preserve">7、体检结束1</w:t>
      </w:r>
      <w:r>
        <w:rPr>
          <w:rFonts w:hint="eastAsia"/>
          <w:color w:val="000000"/>
          <w:sz w:val="22"/>
          <w:szCs w:val="22"/>
        </w:rPr>
        <w:t xml:space="preserve">5</w:t>
      </w:r>
      <w:r>
        <w:rPr>
          <w:color w:val="000000"/>
          <w:sz w:val="22"/>
          <w:szCs w:val="22"/>
        </w:rPr>
        <w:t xml:space="preserve">个工作日内出具个人体检报告；针对每个受检人员健康状况提供书面综合评价并提出防治意见；体检报告准确、客观且满足校方要求，满足线上可查条件。</w:t>
      </w:r>
      <w:r/>
    </w:p>
    <w:p>
      <w:pPr>
        <w:ind w:firstLine="480"/>
        <w:jc w:val="left"/>
        <w:spacing w:line="360" w:lineRule="auto"/>
        <w:widowControl/>
        <w:rPr>
          <w:color w:val="000000"/>
          <w:sz w:val="22"/>
          <w:szCs w:val="22"/>
        </w:rPr>
      </w:pPr>
      <w:r>
        <w:rPr>
          <w:color w:val="000000"/>
          <w:sz w:val="22"/>
          <w:szCs w:val="22"/>
        </w:rPr>
        <w:t xml:space="preserve">8、为教职工的身体状况进行健康评估和意见指导，提供重大疾病、疑难病症患者就医服务方案和预约就诊增值服务，针对学校高层次人才提供个性化健康服务方案。提供的方案合理、针对性强。</w:t>
      </w:r>
      <w:r/>
    </w:p>
    <w:p>
      <w:pPr>
        <w:ind w:firstLine="480"/>
        <w:jc w:val="left"/>
        <w:spacing w:line="360" w:lineRule="auto"/>
        <w:widowControl/>
        <w:rPr>
          <w:color w:val="000000"/>
          <w:sz w:val="22"/>
          <w:szCs w:val="22"/>
        </w:rPr>
      </w:pPr>
      <w:r>
        <w:rPr>
          <w:color w:val="000000"/>
          <w:sz w:val="22"/>
          <w:szCs w:val="22"/>
        </w:rPr>
        <w:t xml:space="preserve">9、现场应急处理预案等完善并且可行性高。出现的突发情况、医疗事故、投诉等，能快速妥善处置。</w:t>
      </w:r>
      <w:r/>
    </w:p>
    <w:p>
      <w:pPr>
        <w:ind w:firstLine="480"/>
        <w:jc w:val="left"/>
        <w:spacing w:line="360" w:lineRule="auto"/>
        <w:widowControl/>
        <w:rPr>
          <w:color w:val="000000"/>
          <w:sz w:val="22"/>
          <w:szCs w:val="22"/>
        </w:rPr>
      </w:pPr>
      <w:r>
        <w:rPr>
          <w:color w:val="000000"/>
          <w:sz w:val="22"/>
          <w:szCs w:val="22"/>
        </w:rPr>
        <w:t xml:space="preserve">10、体检中若发现传染病及重大疾病等要求在第一时间通知学校医保办，并在24小时内提出进一步诊疗意见或方案。</w:t>
      </w:r>
      <w:r/>
    </w:p>
    <w:p>
      <w:pPr>
        <w:ind w:firstLine="480"/>
        <w:jc w:val="left"/>
        <w:spacing w:line="360" w:lineRule="auto"/>
        <w:widowControl/>
        <w:rPr>
          <w:b/>
          <w:color w:val="000000"/>
          <w:sz w:val="22"/>
          <w:szCs w:val="22"/>
        </w:rPr>
      </w:pPr>
      <w:r>
        <w:rPr>
          <w:color w:val="000000"/>
          <w:sz w:val="22"/>
          <w:szCs w:val="22"/>
        </w:rPr>
        <w:t xml:space="preserve">11、</w:t>
      </w:r>
      <w:r>
        <w:rPr>
          <w:b/>
          <w:color w:val="000000"/>
          <w:sz w:val="22"/>
          <w:szCs w:val="22"/>
        </w:rPr>
        <w:t xml:space="preserve">增值服务履行情况</w:t>
      </w:r>
      <w:r/>
    </w:p>
    <w:p>
      <w:pPr>
        <w:ind w:firstLine="480"/>
        <w:jc w:val="left"/>
        <w:spacing w:line="360" w:lineRule="auto"/>
        <w:widowControl/>
        <w:rPr>
          <w:color w:val="000000"/>
          <w:sz w:val="22"/>
          <w:szCs w:val="22"/>
        </w:rPr>
      </w:pPr>
      <w:r>
        <w:rPr>
          <w:color w:val="000000"/>
          <w:sz w:val="22"/>
          <w:szCs w:val="22"/>
        </w:rPr>
        <w:t xml:space="preserve">参照中标单位标书及合同。</w:t>
      </w:r>
      <w:r/>
    </w:p>
    <w:p>
      <w:pPr>
        <w:ind w:firstLine="482"/>
        <w:jc w:val="left"/>
        <w:spacing w:line="360" w:lineRule="auto"/>
        <w:widowControl/>
        <w:rPr>
          <w:b/>
          <w:color w:val="000000"/>
          <w:sz w:val="22"/>
          <w:szCs w:val="22"/>
        </w:rPr>
      </w:pPr>
      <w:r>
        <w:rPr>
          <w:b/>
          <w:color w:val="000000"/>
          <w:sz w:val="22"/>
          <w:szCs w:val="22"/>
        </w:rPr>
        <w:t xml:space="preserve">四、考核结果应用</w:t>
      </w:r>
      <w:r/>
    </w:p>
    <w:p>
      <w:pPr>
        <w:ind w:firstLine="420"/>
        <w:spacing w:line="360" w:lineRule="auto"/>
        <w:rPr>
          <w:rFonts w:ascii="宋体" w:hAnsi="宋体" w:cs="宋体"/>
          <w:color w:val="000000"/>
          <w:sz w:val="22"/>
          <w:szCs w:val="22"/>
        </w:rPr>
      </w:pPr>
      <w:r>
        <w:rPr>
          <w:rFonts w:ascii="宋体" w:hAnsi="宋体" w:cs="宋体"/>
          <w:color w:val="000000"/>
          <w:sz w:val="22"/>
          <w:szCs w:val="22"/>
        </w:rPr>
        <w:t xml:space="preserve">(1)</w:t>
      </w:r>
      <w:r>
        <w:rPr>
          <w:rFonts w:hint="eastAsia"/>
        </w:rPr>
        <w:t xml:space="preserve"> 当年</w:t>
      </w:r>
      <w:r>
        <w:rPr>
          <w:rFonts w:ascii="宋体" w:hAnsi="宋体" w:cs="宋体"/>
          <w:color w:val="000000"/>
          <w:sz w:val="22"/>
          <w:szCs w:val="22"/>
        </w:rPr>
        <w:t xml:space="preserve">综合评分 8</w:t>
      </w:r>
      <w:r>
        <w:rPr>
          <w:rFonts w:hint="eastAsia" w:ascii="宋体" w:hAnsi="宋体" w:cs="宋体"/>
          <w:color w:val="000000"/>
          <w:sz w:val="22"/>
          <w:szCs w:val="22"/>
        </w:rPr>
        <w:t xml:space="preserve">0</w:t>
      </w:r>
      <w:r>
        <w:rPr>
          <w:rFonts w:ascii="宋体" w:hAnsi="宋体" w:cs="宋体"/>
          <w:color w:val="000000"/>
          <w:sz w:val="22"/>
          <w:szCs w:val="22"/>
        </w:rPr>
        <w:t xml:space="preserve"> 分（含）以上：不扣履约保证金，全额支付当年服务费，可续签下一年合同。</w:t>
      </w:r>
      <w:r/>
    </w:p>
    <w:p>
      <w:pPr>
        <w:ind w:firstLine="420"/>
        <w:spacing w:line="360" w:lineRule="auto"/>
        <w:rPr>
          <w:rFonts w:ascii="宋体" w:hAnsi="宋体" w:cs="宋体"/>
          <w:color w:val="000000"/>
          <w:sz w:val="22"/>
          <w:szCs w:val="22"/>
        </w:rPr>
      </w:pPr>
      <w:r>
        <w:rPr>
          <w:rFonts w:ascii="宋体" w:hAnsi="宋体" w:cs="宋体"/>
          <w:color w:val="000000"/>
          <w:sz w:val="22"/>
          <w:szCs w:val="22"/>
        </w:rPr>
        <w:t xml:space="preserve">(2)当年综合评分低于 8</w:t>
      </w:r>
      <w:r>
        <w:rPr>
          <w:rFonts w:hint="eastAsia" w:ascii="宋体" w:hAnsi="宋体" w:cs="宋体"/>
          <w:color w:val="000000"/>
          <w:sz w:val="22"/>
          <w:szCs w:val="22"/>
        </w:rPr>
        <w:t xml:space="preserve">0</w:t>
      </w:r>
      <w:r>
        <w:rPr>
          <w:rFonts w:ascii="宋体" w:hAnsi="宋体" w:cs="宋体"/>
          <w:color w:val="000000"/>
          <w:sz w:val="22"/>
          <w:szCs w:val="22"/>
        </w:rPr>
        <w:t xml:space="preserve"> 分：采购人向</w:t>
      </w:r>
      <w:r>
        <w:rPr>
          <w:rFonts w:hint="eastAsia" w:ascii="宋体" w:hAnsi="宋体" w:cs="宋体"/>
          <w:color w:val="000000"/>
          <w:sz w:val="22"/>
          <w:szCs w:val="22"/>
        </w:rPr>
        <w:t xml:space="preserve">供应商</w:t>
      </w:r>
      <w:r>
        <w:rPr>
          <w:rFonts w:ascii="宋体" w:hAnsi="宋体" w:cs="宋体"/>
          <w:color w:val="000000"/>
          <w:sz w:val="22"/>
          <w:szCs w:val="22"/>
        </w:rPr>
        <w:t xml:space="preserve">出具整改通知书，限期完成整改；整改完成重新复核达到 8</w:t>
      </w:r>
      <w:r>
        <w:rPr>
          <w:rFonts w:hint="eastAsia" w:ascii="宋体" w:hAnsi="宋体" w:cs="宋体"/>
          <w:color w:val="000000"/>
          <w:sz w:val="22"/>
          <w:szCs w:val="22"/>
        </w:rPr>
        <w:t xml:space="preserve">0</w:t>
      </w:r>
      <w:r>
        <w:rPr>
          <w:rFonts w:ascii="宋体" w:hAnsi="宋体" w:cs="宋体"/>
          <w:color w:val="000000"/>
          <w:sz w:val="22"/>
          <w:szCs w:val="22"/>
        </w:rPr>
        <w:t xml:space="preserve"> 分，全额付款；整改后仍低于 8</w:t>
      </w:r>
      <w:r>
        <w:rPr>
          <w:rFonts w:hint="eastAsia" w:ascii="宋体" w:hAnsi="宋体" w:cs="宋体"/>
          <w:color w:val="000000"/>
          <w:sz w:val="22"/>
          <w:szCs w:val="22"/>
        </w:rPr>
        <w:t xml:space="preserve">0</w:t>
      </w:r>
      <w:r>
        <w:rPr>
          <w:rFonts w:ascii="宋体" w:hAnsi="宋体" w:cs="宋体"/>
          <w:color w:val="000000"/>
          <w:sz w:val="22"/>
          <w:szCs w:val="22"/>
        </w:rPr>
        <w:t xml:space="preserve"> 分：不予续签下一年度合同，按合同约定追究违约责任，</w:t>
      </w:r>
      <w:r>
        <w:rPr>
          <w:rFonts w:hint="eastAsia" w:ascii="宋体" w:hAnsi="宋体" w:cs="宋体"/>
          <w:color w:val="000000"/>
          <w:sz w:val="22"/>
          <w:szCs w:val="22"/>
        </w:rPr>
        <w:t xml:space="preserve">扣罚</w:t>
      </w:r>
      <w:r>
        <w:rPr>
          <w:rFonts w:ascii="宋体" w:hAnsi="宋体" w:cs="宋体"/>
          <w:color w:val="000000"/>
          <w:sz w:val="22"/>
          <w:szCs w:val="22"/>
        </w:rPr>
        <w:t xml:space="preserve"> 50% 履约保证金，支付当年全部服务款项的 80%</w:t>
      </w:r>
      <w:r>
        <w:rPr>
          <w:rFonts w:hint="eastAsia" w:ascii="宋体" w:hAnsi="宋体" w:cs="宋体"/>
          <w:color w:val="000000"/>
          <w:sz w:val="22"/>
          <w:szCs w:val="22"/>
        </w:rPr>
        <w:t xml:space="preserve">。</w:t>
      </w:r>
      <w:r/>
    </w:p>
    <w:p>
      <w:pPr>
        <w:ind w:firstLine="420"/>
        <w:spacing w:line="360" w:lineRule="auto"/>
        <w:rPr>
          <w:rFonts w:ascii="宋体" w:hAnsi="宋体" w:cs="宋体"/>
          <w:color w:val="000000"/>
          <w:sz w:val="22"/>
          <w:szCs w:val="22"/>
        </w:rPr>
      </w:pPr>
      <w:r>
        <w:rPr>
          <w:rFonts w:ascii="宋体" w:hAnsi="宋体" w:cs="宋体"/>
          <w:color w:val="000000"/>
          <w:sz w:val="22"/>
          <w:szCs w:val="22"/>
        </w:rPr>
        <w:t xml:space="preserve">2、不合格说明</w:t>
      </w:r>
      <w:r/>
    </w:p>
    <w:p>
      <w:pPr>
        <w:ind w:firstLine="420"/>
        <w:spacing w:line="360" w:lineRule="auto"/>
        <w:rPr>
          <w:rFonts w:ascii="宋体" w:hAnsi="宋体" w:cs="宋体"/>
          <w:color w:val="000000"/>
          <w:sz w:val="22"/>
          <w:szCs w:val="22"/>
        </w:rPr>
      </w:pPr>
      <w:r>
        <w:rPr>
          <w:rFonts w:ascii="宋体" w:hAnsi="宋体" w:cs="宋体"/>
          <w:color w:val="000000"/>
          <w:sz w:val="22"/>
          <w:szCs w:val="22"/>
        </w:rPr>
        <w:t xml:space="preserve">(1)学校考核小组对服务单位进行综合考核不合格。</w:t>
      </w:r>
      <w:r/>
    </w:p>
    <w:p>
      <w:pPr>
        <w:ind w:firstLine="420"/>
        <w:spacing w:line="360" w:lineRule="auto"/>
        <w:rPr>
          <w:rFonts w:ascii="宋体" w:hAnsi="宋体" w:cs="宋体"/>
          <w:color w:val="000000"/>
          <w:sz w:val="22"/>
          <w:szCs w:val="22"/>
        </w:rPr>
      </w:pPr>
      <w:r>
        <w:rPr>
          <w:rFonts w:ascii="宋体" w:hAnsi="宋体" w:cs="宋体"/>
          <w:color w:val="000000"/>
          <w:sz w:val="22"/>
          <w:szCs w:val="22"/>
        </w:rPr>
        <w:t xml:space="preserve">(2)体检过程中，发生经核实的群体性集中投诉、重大医疗差错、泄露教职工体检隐私、媒体负面舆情，直接判定考核不合格；普通个体投诉，先限期整改，计入考核扣分。</w:t>
      </w:r>
      <w:r/>
    </w:p>
    <w:p>
      <w:pPr>
        <w:ind w:firstLine="420"/>
        <w:spacing w:line="360" w:lineRule="auto"/>
        <w:rPr>
          <w:rFonts w:ascii="宋体" w:hAnsi="宋体" w:cs="宋体"/>
          <w:color w:val="000000"/>
          <w:sz w:val="22"/>
          <w:szCs w:val="22"/>
        </w:rPr>
      </w:pPr>
      <w:r>
        <w:rPr>
          <w:rFonts w:ascii="宋体" w:hAnsi="宋体" w:cs="宋体"/>
          <w:color w:val="000000"/>
          <w:sz w:val="22"/>
          <w:szCs w:val="22"/>
        </w:rPr>
        <w:t xml:space="preserve">(3)出现批量检验结果错误、报告批量错漏，造成多名教职工重大误导，经第三方复核确认属实的，考核直接不合格。</w:t>
      </w:r>
      <w:r/>
    </w:p>
    <w:p>
      <w:pPr>
        <w:ind w:firstLine="472"/>
        <w:jc w:val="left"/>
        <w:spacing w:line="360" w:lineRule="auto"/>
        <w:widowControl/>
        <w:rPr>
          <w:b/>
          <w:color w:val="000000"/>
          <w:sz w:val="22"/>
          <w:szCs w:val="22"/>
        </w:rPr>
      </w:pPr>
      <w:r>
        <w:rPr>
          <w:b/>
          <w:color w:val="000000"/>
          <w:sz w:val="22"/>
          <w:szCs w:val="22"/>
        </w:rPr>
        <w:t xml:space="preserve">五、考核评分标准</w:t>
      </w:r>
      <w:r/>
    </w:p>
    <w:p>
      <w:pPr>
        <w:ind w:left="1470" w:right="1470" w:firstLine="422"/>
        <w:jc w:val="center"/>
        <w:spacing w:line="360" w:lineRule="auto"/>
        <w:rPr>
          <w:rFonts w:ascii="宋体" w:hAnsi="宋体" w:cs="宋体"/>
          <w:b/>
          <w:color w:val="000000"/>
          <w:sz w:val="22"/>
          <w:szCs w:val="22"/>
        </w:rPr>
      </w:pPr>
      <w:r>
        <w:rPr>
          <w:rFonts w:ascii="宋体" w:hAnsi="宋体" w:cs="宋体"/>
          <w:b/>
          <w:color w:val="000000"/>
          <w:sz w:val="22"/>
          <w:szCs w:val="22"/>
        </w:rPr>
        <w:t xml:space="preserve">考核表</w:t>
      </w:r>
      <w:r/>
    </w:p>
    <w:tbl>
      <w:tblPr>
        <w:tblStyle w:val="897"/>
        <w:tblW w:w="92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6915"/>
        <w:gridCol w:w="710"/>
        <w:gridCol w:w="816"/>
      </w:tblGrid>
      <w:tr>
        <w:trPr>
          <w:jc w:val="center"/>
          <w:trHeight w:val="408"/>
        </w:trPr>
        <w:tc>
          <w:tcPr>
            <w:tcW w:w="796" w:type="dxa"/>
            <w:vAlign w:val="center"/>
            <w:textDirection w:val="lrTb"/>
            <w:noWrap w:val="false"/>
          </w:tcPr>
          <w:p>
            <w:pPr>
              <w:jc w:val="center"/>
              <w:spacing w:line="360" w:lineRule="auto"/>
              <w:widowControl/>
              <w:rPr>
                <w:b/>
                <w:color w:val="000000"/>
                <w:sz w:val="22"/>
                <w:szCs w:val="22"/>
                <w:lang w:eastAsia="en-US"/>
              </w:rPr>
            </w:pPr>
            <w:r>
              <w:rPr>
                <w:b/>
                <w:color w:val="000000"/>
                <w:sz w:val="22"/>
                <w:szCs w:val="22"/>
              </w:rPr>
              <w:br w:type="page" w:clear="all"/>
            </w:r>
            <w:r>
              <w:rPr>
                <w:b/>
                <w:color w:val="000000"/>
                <w:sz w:val="22"/>
                <w:szCs w:val="22"/>
                <w:lang w:eastAsia="en-US"/>
              </w:rPr>
              <w:t xml:space="preserve">序号</w:t>
            </w:r>
            <w:r/>
          </w:p>
        </w:tc>
        <w:tc>
          <w:tcPr>
            <w:tcW w:w="6915" w:type="dxa"/>
            <w:vAlign w:val="center"/>
            <w:textDirection w:val="lrTb"/>
            <w:noWrap w:val="false"/>
          </w:tcPr>
          <w:p>
            <w:pPr>
              <w:jc w:val="center"/>
              <w:spacing w:line="360" w:lineRule="auto"/>
              <w:widowControl/>
              <w:rPr>
                <w:b/>
                <w:color w:val="000000"/>
                <w:sz w:val="22"/>
                <w:szCs w:val="22"/>
                <w:lang w:eastAsia="en-US"/>
              </w:rPr>
            </w:pPr>
            <w:r>
              <w:rPr>
                <w:b/>
                <w:color w:val="000000"/>
                <w:sz w:val="22"/>
                <w:szCs w:val="22"/>
                <w:lang w:eastAsia="en-US"/>
              </w:rPr>
              <w:t xml:space="preserve">考核内容</w:t>
            </w:r>
            <w:r/>
          </w:p>
        </w:tc>
        <w:tc>
          <w:tcPr>
            <w:tcW w:w="710" w:type="dxa"/>
            <w:vAlign w:val="center"/>
            <w:textDirection w:val="lrTb"/>
            <w:noWrap w:val="false"/>
          </w:tcPr>
          <w:p>
            <w:pPr>
              <w:jc w:val="left"/>
              <w:spacing w:line="360" w:lineRule="auto"/>
              <w:widowControl/>
              <w:rPr>
                <w:b/>
                <w:color w:val="000000"/>
                <w:sz w:val="22"/>
                <w:szCs w:val="22"/>
                <w:lang w:eastAsia="en-US"/>
              </w:rPr>
            </w:pPr>
            <w:r>
              <w:rPr>
                <w:b/>
                <w:color w:val="000000"/>
                <w:sz w:val="22"/>
                <w:szCs w:val="22"/>
                <w:lang w:eastAsia="en-US"/>
              </w:rPr>
              <w:t xml:space="preserve">标准分值</w:t>
            </w:r>
            <w:r/>
          </w:p>
        </w:tc>
        <w:tc>
          <w:tcPr>
            <w:tcW w:w="816" w:type="dxa"/>
            <w:vAlign w:val="center"/>
            <w:textDirection w:val="lrTb"/>
            <w:noWrap w:val="false"/>
          </w:tcPr>
          <w:p>
            <w:pPr>
              <w:jc w:val="left"/>
              <w:spacing w:line="360" w:lineRule="auto"/>
              <w:widowControl/>
              <w:rPr>
                <w:b/>
                <w:color w:val="000000"/>
                <w:sz w:val="22"/>
                <w:szCs w:val="22"/>
                <w:lang w:eastAsia="en-US"/>
              </w:rPr>
            </w:pPr>
            <w:r>
              <w:rPr>
                <w:b/>
                <w:color w:val="000000"/>
                <w:sz w:val="22"/>
                <w:szCs w:val="22"/>
                <w:lang w:eastAsia="en-US"/>
              </w:rPr>
              <w:t xml:space="preserve">得分</w:t>
            </w:r>
            <w:r/>
          </w:p>
        </w:tc>
      </w:tr>
      <w:tr>
        <w:trPr>
          <w:jc w:val="center"/>
          <w:trHeight w:val="408"/>
        </w:trPr>
        <w:tc>
          <w:tcPr>
            <w:tcW w:w="796" w:type="dxa"/>
            <w:vAlign w:val="center"/>
            <w:textDirection w:val="lrTb"/>
            <w:noWrap w:val="false"/>
          </w:tcPr>
          <w:p>
            <w:pPr>
              <w:jc w:val="center"/>
              <w:widowControl/>
              <w:rPr>
                <w:color w:val="000000"/>
                <w:sz w:val="22"/>
                <w:szCs w:val="22"/>
              </w:rPr>
            </w:pPr>
            <w:r>
              <w:rPr>
                <w:rFonts w:hint="eastAsia"/>
                <w:color w:val="000000"/>
                <w:sz w:val="22"/>
                <w:szCs w:val="22"/>
              </w:rPr>
              <w:t xml:space="preserve">1</w:t>
            </w:r>
            <w:r/>
          </w:p>
        </w:tc>
        <w:tc>
          <w:tcPr>
            <w:tcW w:w="6915" w:type="dxa"/>
            <w:vAlign w:val="center"/>
            <w:textDirection w:val="lrTb"/>
            <w:noWrap w:val="false"/>
          </w:tcPr>
          <w:p>
            <w:pPr>
              <w:jc w:val="left"/>
              <w:widowControl/>
              <w:rPr>
                <w:color w:val="000000"/>
                <w:sz w:val="22"/>
                <w:szCs w:val="22"/>
              </w:rPr>
            </w:pPr>
            <w:r>
              <w:rPr>
                <w:color w:val="000000"/>
                <w:sz w:val="22"/>
                <w:szCs w:val="22"/>
              </w:rPr>
              <w:t xml:space="preserve">按合同要求提供相应的医护团队、器材设备</w:t>
            </w:r>
            <w:r/>
          </w:p>
        </w:tc>
        <w:tc>
          <w:tcPr>
            <w:tcW w:w="710" w:type="dxa"/>
            <w:vAlign w:val="center"/>
            <w:textDirection w:val="lrTb"/>
            <w:noWrap w:val="false"/>
          </w:tcPr>
          <w:p>
            <w:pPr>
              <w:jc w:val="center"/>
              <w:widowControl/>
              <w:rPr>
                <w:color w:val="000000"/>
                <w:sz w:val="22"/>
                <w:szCs w:val="22"/>
                <w:lang w:eastAsia="en-US"/>
              </w:rPr>
            </w:pPr>
            <w:r>
              <w:rPr>
                <w:color w:val="000000"/>
                <w:sz w:val="22"/>
                <w:szCs w:val="22"/>
              </w:rPr>
              <w:t xml:space="preserve">10</w:t>
            </w:r>
            <w:r/>
          </w:p>
        </w:tc>
        <w:tc>
          <w:tcPr>
            <w:tcW w:w="816" w:type="dxa"/>
            <w:vAlign w:val="center"/>
            <w:textDirection w:val="lrTb"/>
            <w:noWrap w:val="false"/>
          </w:tcPr>
          <w:p>
            <w:pPr>
              <w:jc w:val="left"/>
              <w:widowControl/>
              <w:rPr>
                <w:b/>
                <w:color w:val="000000"/>
                <w:sz w:val="22"/>
                <w:szCs w:val="22"/>
                <w:lang w:eastAsia="en-US"/>
              </w:rPr>
            </w:pPr>
            <w:r>
              <w:rPr>
                <w:b/>
                <w:color w:val="000000"/>
                <w:sz w:val="22"/>
                <w:szCs w:val="22"/>
                <w:lang w:eastAsia="en-US"/>
              </w:rPr>
            </w:r>
            <w:r/>
          </w:p>
        </w:tc>
      </w:tr>
      <w:tr>
        <w:trPr>
          <w:jc w:val="center"/>
          <w:trHeight w:val="408"/>
        </w:trPr>
        <w:tc>
          <w:tcPr>
            <w:tcW w:w="796" w:type="dxa"/>
            <w:vAlign w:val="center"/>
            <w:textDirection w:val="lrTb"/>
            <w:noWrap w:val="false"/>
          </w:tcPr>
          <w:p>
            <w:pPr>
              <w:jc w:val="center"/>
              <w:widowControl/>
              <w:rPr>
                <w:color w:val="000000"/>
                <w:sz w:val="22"/>
                <w:szCs w:val="22"/>
              </w:rPr>
            </w:pPr>
            <w:r>
              <w:rPr>
                <w:rFonts w:hint="eastAsia"/>
                <w:color w:val="000000"/>
                <w:sz w:val="22"/>
                <w:szCs w:val="22"/>
              </w:rPr>
              <w:t xml:space="preserve">2</w:t>
            </w:r>
            <w:r/>
          </w:p>
        </w:tc>
        <w:tc>
          <w:tcPr>
            <w:tcW w:w="6915" w:type="dxa"/>
            <w:vAlign w:val="center"/>
            <w:textDirection w:val="lrTb"/>
            <w:noWrap w:val="false"/>
          </w:tcPr>
          <w:p>
            <w:pPr>
              <w:ind w:hanging="50"/>
              <w:jc w:val="left"/>
              <w:widowControl/>
              <w:rPr>
                <w:color w:val="000000"/>
                <w:sz w:val="22"/>
                <w:szCs w:val="22"/>
              </w:rPr>
            </w:pPr>
            <w:r>
              <w:rPr>
                <w:rFonts w:hint="eastAsia"/>
                <w:color w:val="000000"/>
                <w:sz w:val="22"/>
                <w:szCs w:val="22"/>
              </w:rPr>
              <w:t xml:space="preserve">按照合同约定的</w:t>
            </w:r>
            <w:r>
              <w:rPr>
                <w:color w:val="000000"/>
                <w:sz w:val="22"/>
                <w:szCs w:val="22"/>
              </w:rPr>
              <w:t xml:space="preserve">体检报告解读、健康指导、转诊建议</w:t>
            </w:r>
            <w:r>
              <w:rPr>
                <w:rFonts w:hint="eastAsia"/>
                <w:color w:val="000000"/>
                <w:sz w:val="22"/>
                <w:szCs w:val="22"/>
              </w:rPr>
              <w:t xml:space="preserve">等提供情况</w:t>
            </w:r>
            <w:r/>
          </w:p>
        </w:tc>
        <w:tc>
          <w:tcPr>
            <w:tcW w:w="710" w:type="dxa"/>
            <w:textDirection w:val="lrTb"/>
            <w:noWrap w:val="false"/>
          </w:tcPr>
          <w:p>
            <w:pPr>
              <w:jc w:val="center"/>
              <w:widowControl/>
              <w:rPr>
                <w:color w:val="000000"/>
                <w:sz w:val="22"/>
                <w:szCs w:val="22"/>
                <w:lang w:eastAsia="en-US"/>
              </w:rPr>
            </w:pPr>
            <w:r>
              <w:rPr>
                <w:color w:val="000000"/>
                <w:sz w:val="22"/>
                <w:szCs w:val="22"/>
                <w:lang w:eastAsia="en-US"/>
              </w:rPr>
              <w:t xml:space="preserve">10</w:t>
            </w:r>
            <w:r/>
          </w:p>
        </w:tc>
        <w:tc>
          <w:tcPr>
            <w:tcW w:w="816" w:type="dxa"/>
            <w:vAlign w:val="center"/>
            <w:textDirection w:val="lrTb"/>
            <w:noWrap w:val="false"/>
          </w:tcPr>
          <w:p>
            <w:pPr>
              <w:jc w:val="center"/>
              <w:widowControl/>
              <w:rPr>
                <w:color w:val="000000"/>
                <w:sz w:val="22"/>
                <w:szCs w:val="22"/>
                <w:lang w:eastAsia="en-US"/>
              </w:rPr>
            </w:pPr>
            <w:r>
              <w:rPr>
                <w:color w:val="000000"/>
                <w:sz w:val="22"/>
                <w:szCs w:val="22"/>
                <w:lang w:eastAsia="en-US"/>
              </w:rPr>
            </w:r>
            <w:r/>
          </w:p>
        </w:tc>
      </w:tr>
      <w:tr>
        <w:trPr>
          <w:jc w:val="center"/>
          <w:trHeight w:val="809"/>
        </w:trPr>
        <w:tc>
          <w:tcPr>
            <w:tcW w:w="796" w:type="dxa"/>
            <w:vAlign w:val="center"/>
            <w:textDirection w:val="lrTb"/>
            <w:noWrap w:val="false"/>
          </w:tcPr>
          <w:p>
            <w:pPr>
              <w:jc w:val="center"/>
              <w:widowControl/>
              <w:rPr>
                <w:color w:val="000000"/>
                <w:sz w:val="22"/>
                <w:szCs w:val="22"/>
              </w:rPr>
            </w:pPr>
            <w:r>
              <w:rPr>
                <w:rFonts w:hint="eastAsia"/>
                <w:color w:val="000000"/>
                <w:sz w:val="22"/>
                <w:szCs w:val="22"/>
              </w:rPr>
              <w:t xml:space="preserve">3</w:t>
            </w:r>
            <w:r/>
          </w:p>
        </w:tc>
        <w:tc>
          <w:tcPr>
            <w:tcW w:w="6915" w:type="dxa"/>
            <w:vAlign w:val="center"/>
            <w:textDirection w:val="lrTb"/>
            <w:noWrap w:val="false"/>
          </w:tcPr>
          <w:p>
            <w:pPr>
              <w:ind w:hanging="50"/>
              <w:jc w:val="left"/>
              <w:widowControl/>
              <w:rPr>
                <w:color w:val="000000"/>
                <w:sz w:val="22"/>
                <w:szCs w:val="22"/>
              </w:rPr>
            </w:pPr>
            <w:r>
              <w:rPr>
                <w:color w:val="000000"/>
                <w:sz w:val="22"/>
                <w:szCs w:val="22"/>
              </w:rPr>
              <w:t xml:space="preserve">体检中发现传染病阳性及重大疾病，肺结核及现场突发事件等应急处置及时</w:t>
            </w:r>
            <w:r>
              <w:rPr>
                <w:rFonts w:hint="eastAsia"/>
                <w:color w:val="000000"/>
                <w:sz w:val="22"/>
                <w:szCs w:val="22"/>
              </w:rPr>
              <w:t xml:space="preserve">并及时告知学校情况</w:t>
            </w:r>
            <w:r/>
          </w:p>
        </w:tc>
        <w:tc>
          <w:tcPr>
            <w:tcW w:w="710" w:type="dxa"/>
            <w:textDirection w:val="lrTb"/>
            <w:noWrap w:val="false"/>
          </w:tcPr>
          <w:p>
            <w:pPr>
              <w:jc w:val="center"/>
              <w:widowControl/>
              <w:rPr>
                <w:color w:val="000000"/>
                <w:sz w:val="22"/>
                <w:szCs w:val="22"/>
                <w:lang w:eastAsia="en-US"/>
              </w:rPr>
            </w:pPr>
            <w:r>
              <w:rPr>
                <w:color w:val="000000"/>
                <w:sz w:val="22"/>
                <w:szCs w:val="22"/>
                <w:lang w:eastAsia="en-US"/>
              </w:rPr>
              <w:t xml:space="preserve">10</w:t>
            </w:r>
            <w:r/>
          </w:p>
        </w:tc>
        <w:tc>
          <w:tcPr>
            <w:tcW w:w="816" w:type="dxa"/>
            <w:vAlign w:val="center"/>
            <w:textDirection w:val="lrTb"/>
            <w:noWrap w:val="false"/>
          </w:tcPr>
          <w:p>
            <w:pPr>
              <w:jc w:val="center"/>
              <w:widowControl/>
              <w:rPr>
                <w:color w:val="000000"/>
                <w:sz w:val="22"/>
                <w:szCs w:val="22"/>
                <w:lang w:eastAsia="en-US"/>
              </w:rPr>
            </w:pPr>
            <w:r>
              <w:rPr>
                <w:color w:val="000000"/>
                <w:sz w:val="22"/>
                <w:szCs w:val="22"/>
                <w:lang w:eastAsia="en-US"/>
              </w:rPr>
            </w:r>
            <w:r/>
          </w:p>
        </w:tc>
      </w:tr>
      <w:tr>
        <w:trPr>
          <w:jc w:val="center"/>
          <w:trHeight w:val="408"/>
        </w:trPr>
        <w:tc>
          <w:tcPr>
            <w:tcW w:w="796" w:type="dxa"/>
            <w:vAlign w:val="center"/>
            <w:textDirection w:val="lrTb"/>
            <w:noWrap w:val="false"/>
          </w:tcPr>
          <w:p>
            <w:pPr>
              <w:jc w:val="center"/>
              <w:widowControl/>
              <w:rPr>
                <w:color w:val="000000"/>
                <w:sz w:val="22"/>
                <w:szCs w:val="22"/>
              </w:rPr>
            </w:pPr>
            <w:r>
              <w:rPr>
                <w:rFonts w:hint="eastAsia"/>
                <w:color w:val="000000"/>
                <w:sz w:val="22"/>
                <w:szCs w:val="22"/>
              </w:rPr>
              <w:t xml:space="preserve">4</w:t>
            </w:r>
            <w:r/>
          </w:p>
        </w:tc>
        <w:tc>
          <w:tcPr>
            <w:tcW w:w="6915" w:type="dxa"/>
            <w:vAlign w:val="center"/>
            <w:textDirection w:val="lrTb"/>
            <w:noWrap w:val="false"/>
          </w:tcPr>
          <w:p>
            <w:pPr>
              <w:ind w:hanging="50"/>
              <w:jc w:val="left"/>
              <w:widowControl/>
              <w:rPr>
                <w:color w:val="000000"/>
                <w:sz w:val="22"/>
                <w:szCs w:val="22"/>
              </w:rPr>
            </w:pPr>
            <w:r>
              <w:rPr>
                <w:color w:val="000000"/>
                <w:sz w:val="22"/>
                <w:szCs w:val="22"/>
              </w:rPr>
              <w:t xml:space="preserve">体检结束1</w:t>
            </w:r>
            <w:r>
              <w:rPr>
                <w:rFonts w:hint="eastAsia"/>
                <w:color w:val="000000"/>
                <w:sz w:val="22"/>
                <w:szCs w:val="22"/>
              </w:rPr>
              <w:t xml:space="preserve">5</w:t>
            </w:r>
            <w:r>
              <w:rPr>
                <w:color w:val="000000"/>
                <w:sz w:val="22"/>
                <w:szCs w:val="22"/>
              </w:rPr>
              <w:t xml:space="preserve">个工作日内出具准确且满足校方要求的电子体检报告，并</w:t>
            </w:r>
            <w:r>
              <w:rPr>
                <w:rFonts w:hint="eastAsia"/>
                <w:color w:val="000000"/>
                <w:sz w:val="22"/>
                <w:szCs w:val="22"/>
              </w:rPr>
              <w:t xml:space="preserve">推送给教职工个人</w:t>
            </w:r>
            <w:r/>
          </w:p>
        </w:tc>
        <w:tc>
          <w:tcPr>
            <w:tcW w:w="710" w:type="dxa"/>
            <w:textDirection w:val="lrTb"/>
            <w:noWrap w:val="false"/>
          </w:tcPr>
          <w:p>
            <w:pPr>
              <w:jc w:val="center"/>
              <w:widowControl/>
              <w:rPr>
                <w:color w:val="000000"/>
                <w:sz w:val="22"/>
                <w:szCs w:val="22"/>
                <w:lang w:eastAsia="en-US"/>
              </w:rPr>
            </w:pPr>
            <w:r>
              <w:rPr>
                <w:color w:val="000000"/>
                <w:sz w:val="22"/>
                <w:szCs w:val="22"/>
              </w:rPr>
              <w:t xml:space="preserve">10</w:t>
            </w:r>
            <w:r/>
          </w:p>
        </w:tc>
        <w:tc>
          <w:tcPr>
            <w:tcW w:w="816" w:type="dxa"/>
            <w:vAlign w:val="center"/>
            <w:textDirection w:val="lrTb"/>
            <w:noWrap w:val="false"/>
          </w:tcPr>
          <w:p>
            <w:pPr>
              <w:jc w:val="center"/>
              <w:widowControl/>
              <w:rPr>
                <w:color w:val="000000"/>
                <w:sz w:val="22"/>
                <w:szCs w:val="22"/>
                <w:lang w:eastAsia="en-US"/>
              </w:rPr>
            </w:pPr>
            <w:r>
              <w:rPr>
                <w:color w:val="000000"/>
                <w:sz w:val="22"/>
                <w:szCs w:val="22"/>
                <w:lang w:eastAsia="en-US"/>
              </w:rPr>
            </w:r>
            <w:r/>
          </w:p>
        </w:tc>
      </w:tr>
      <w:tr>
        <w:trPr>
          <w:jc w:val="center"/>
          <w:trHeight w:val="408"/>
        </w:trPr>
        <w:tc>
          <w:tcPr>
            <w:tcW w:w="796" w:type="dxa"/>
            <w:vAlign w:val="center"/>
            <w:textDirection w:val="lrTb"/>
            <w:noWrap w:val="false"/>
          </w:tcPr>
          <w:p>
            <w:pPr>
              <w:jc w:val="center"/>
              <w:widowControl/>
              <w:rPr>
                <w:color w:val="000000"/>
                <w:sz w:val="22"/>
                <w:szCs w:val="22"/>
              </w:rPr>
            </w:pPr>
            <w:r>
              <w:rPr>
                <w:rFonts w:hint="eastAsia"/>
                <w:color w:val="000000"/>
                <w:sz w:val="22"/>
                <w:szCs w:val="22"/>
              </w:rPr>
              <w:t xml:space="preserve">5</w:t>
            </w:r>
            <w:r/>
          </w:p>
        </w:tc>
        <w:tc>
          <w:tcPr>
            <w:tcW w:w="6915" w:type="dxa"/>
            <w:vAlign w:val="center"/>
            <w:textDirection w:val="lrTb"/>
            <w:noWrap w:val="false"/>
          </w:tcPr>
          <w:p>
            <w:pPr>
              <w:ind w:hanging="50"/>
              <w:jc w:val="left"/>
              <w:widowControl/>
              <w:rPr>
                <w:color w:val="000000"/>
                <w:sz w:val="22"/>
                <w:szCs w:val="22"/>
              </w:rPr>
            </w:pPr>
            <w:r>
              <w:rPr>
                <w:color w:val="000000"/>
                <w:sz w:val="22"/>
                <w:szCs w:val="22"/>
              </w:rPr>
              <w:t xml:space="preserve">承诺增值服务项目履行情况</w:t>
            </w:r>
            <w:r/>
          </w:p>
        </w:tc>
        <w:tc>
          <w:tcPr>
            <w:tcW w:w="710" w:type="dxa"/>
            <w:textDirection w:val="lrTb"/>
            <w:noWrap w:val="false"/>
          </w:tcPr>
          <w:p>
            <w:pPr>
              <w:jc w:val="center"/>
              <w:widowControl/>
              <w:rPr>
                <w:color w:val="000000"/>
                <w:sz w:val="22"/>
                <w:szCs w:val="22"/>
                <w:lang w:eastAsia="en-US"/>
              </w:rPr>
            </w:pPr>
            <w:r>
              <w:rPr>
                <w:color w:val="000000"/>
                <w:sz w:val="22"/>
                <w:szCs w:val="22"/>
                <w:lang w:eastAsia="en-US"/>
              </w:rPr>
              <w:t xml:space="preserve">10</w:t>
            </w:r>
            <w:r/>
          </w:p>
        </w:tc>
        <w:tc>
          <w:tcPr>
            <w:tcW w:w="816" w:type="dxa"/>
            <w:vAlign w:val="center"/>
            <w:textDirection w:val="lrTb"/>
            <w:noWrap w:val="false"/>
          </w:tcPr>
          <w:p>
            <w:pPr>
              <w:jc w:val="center"/>
              <w:widowControl/>
              <w:rPr>
                <w:color w:val="000000"/>
                <w:sz w:val="22"/>
                <w:szCs w:val="22"/>
                <w:lang w:eastAsia="en-US"/>
              </w:rPr>
            </w:pPr>
            <w:r>
              <w:rPr>
                <w:color w:val="000000"/>
                <w:sz w:val="22"/>
                <w:szCs w:val="22"/>
                <w:lang w:eastAsia="en-US"/>
              </w:rPr>
            </w:r>
            <w:r/>
          </w:p>
        </w:tc>
      </w:tr>
      <w:tr>
        <w:trPr>
          <w:jc w:val="center"/>
          <w:trHeight w:val="408"/>
        </w:trPr>
        <w:tc>
          <w:tcPr>
            <w:tcW w:w="796" w:type="dxa"/>
            <w:vAlign w:val="center"/>
            <w:textDirection w:val="lrTb"/>
            <w:noWrap w:val="false"/>
          </w:tcPr>
          <w:p>
            <w:pPr>
              <w:jc w:val="center"/>
              <w:widowControl/>
              <w:rPr>
                <w:color w:val="000000"/>
                <w:sz w:val="22"/>
                <w:szCs w:val="22"/>
              </w:rPr>
            </w:pPr>
            <w:r>
              <w:rPr>
                <w:rFonts w:hint="eastAsia"/>
                <w:color w:val="000000"/>
                <w:sz w:val="22"/>
                <w:szCs w:val="22"/>
              </w:rPr>
              <w:t xml:space="preserve">6</w:t>
            </w:r>
            <w:r/>
          </w:p>
        </w:tc>
        <w:tc>
          <w:tcPr>
            <w:tcW w:w="6915" w:type="dxa"/>
            <w:vAlign w:val="center"/>
            <w:textDirection w:val="lrTb"/>
            <w:noWrap w:val="false"/>
          </w:tcPr>
          <w:p>
            <w:pPr>
              <w:ind w:hanging="50"/>
              <w:jc w:val="left"/>
              <w:widowControl/>
              <w:rPr>
                <w:color w:val="000000"/>
                <w:sz w:val="22"/>
                <w:szCs w:val="22"/>
              </w:rPr>
            </w:pPr>
            <w:r>
              <w:rPr>
                <w:color w:val="000000"/>
                <w:sz w:val="22"/>
                <w:szCs w:val="22"/>
              </w:rPr>
              <w:t xml:space="preserve">教职工满意度调查</w:t>
            </w:r>
            <w:r>
              <w:rPr>
                <w:rFonts w:hint="eastAsia"/>
                <w:color w:val="000000"/>
                <w:sz w:val="22"/>
                <w:szCs w:val="22"/>
              </w:rPr>
              <w:t xml:space="preserve">：</w:t>
            </w:r>
            <w:r>
              <w:rPr>
                <w:color w:val="000000"/>
                <w:sz w:val="22"/>
                <w:szCs w:val="22"/>
              </w:rPr>
              <w:t xml:space="preserve">通过线上问卷收集在职、退休教职工对体检预约、现场服务、报告</w:t>
            </w:r>
            <w:r>
              <w:rPr>
                <w:rFonts w:hint="eastAsia"/>
                <w:color w:val="000000"/>
                <w:sz w:val="22"/>
                <w:szCs w:val="22"/>
              </w:rPr>
              <w:t xml:space="preserve">提供时效</w:t>
            </w:r>
            <w:r>
              <w:rPr>
                <w:color w:val="000000"/>
                <w:sz w:val="22"/>
                <w:szCs w:val="22"/>
              </w:rPr>
              <w:t xml:space="preserve">、导检、早餐的评价等</w:t>
            </w:r>
            <w:r>
              <w:rPr>
                <w:rFonts w:hint="eastAsia"/>
                <w:color w:val="000000"/>
                <w:sz w:val="22"/>
                <w:szCs w:val="22"/>
              </w:rPr>
              <w:t xml:space="preserve">方面</w:t>
            </w:r>
            <w:r/>
          </w:p>
        </w:tc>
        <w:tc>
          <w:tcPr>
            <w:tcW w:w="710" w:type="dxa"/>
            <w:textDirection w:val="lrTb"/>
            <w:noWrap w:val="false"/>
          </w:tcPr>
          <w:p>
            <w:pPr>
              <w:jc w:val="center"/>
              <w:widowControl/>
              <w:rPr>
                <w:color w:val="000000"/>
                <w:sz w:val="22"/>
                <w:szCs w:val="22"/>
              </w:rPr>
            </w:pPr>
            <w:r>
              <w:rPr>
                <w:color w:val="000000"/>
                <w:sz w:val="22"/>
                <w:szCs w:val="22"/>
              </w:rPr>
              <w:t xml:space="preserve">50</w:t>
            </w:r>
            <w:r/>
          </w:p>
        </w:tc>
        <w:tc>
          <w:tcPr>
            <w:tcW w:w="816" w:type="dxa"/>
            <w:vAlign w:val="center"/>
            <w:textDirection w:val="lrTb"/>
            <w:noWrap w:val="false"/>
          </w:tcPr>
          <w:p>
            <w:pPr>
              <w:jc w:val="center"/>
              <w:widowControl/>
              <w:rPr>
                <w:color w:val="000000"/>
                <w:sz w:val="22"/>
                <w:szCs w:val="22"/>
              </w:rPr>
            </w:pPr>
            <w:r>
              <w:rPr>
                <w:color w:val="000000"/>
                <w:sz w:val="22"/>
                <w:szCs w:val="22"/>
              </w:rPr>
            </w:r>
            <w:r/>
          </w:p>
        </w:tc>
      </w:tr>
      <w:tr>
        <w:trPr>
          <w:jc w:val="center"/>
          <w:trHeight w:val="417"/>
        </w:trPr>
        <w:tc>
          <w:tcPr>
            <w:tcW w:w="796" w:type="dxa"/>
            <w:vAlign w:val="center"/>
            <w:textDirection w:val="lrTb"/>
            <w:noWrap w:val="false"/>
          </w:tcPr>
          <w:p>
            <w:pPr>
              <w:jc w:val="center"/>
              <w:spacing w:line="360" w:lineRule="auto"/>
              <w:widowControl/>
              <w:rPr>
                <w:color w:val="000000"/>
                <w:sz w:val="22"/>
                <w:szCs w:val="22"/>
              </w:rPr>
            </w:pPr>
            <w:r>
              <w:rPr>
                <w:color w:val="000000"/>
                <w:sz w:val="22"/>
                <w:szCs w:val="22"/>
              </w:rPr>
            </w:r>
            <w:r/>
          </w:p>
        </w:tc>
        <w:tc>
          <w:tcPr>
            <w:tcW w:w="6915" w:type="dxa"/>
            <w:vAlign w:val="center"/>
            <w:textDirection w:val="lrTb"/>
            <w:noWrap w:val="false"/>
          </w:tcPr>
          <w:p>
            <w:pPr>
              <w:ind w:hanging="50"/>
              <w:jc w:val="left"/>
              <w:spacing w:line="360" w:lineRule="auto"/>
              <w:widowControl/>
              <w:rPr>
                <w:color w:val="000000"/>
                <w:sz w:val="22"/>
                <w:szCs w:val="22"/>
                <w:lang w:eastAsia="en-US"/>
              </w:rPr>
            </w:pPr>
            <w:r>
              <w:rPr>
                <w:color w:val="000000"/>
                <w:sz w:val="22"/>
                <w:szCs w:val="22"/>
                <w:lang w:eastAsia="en-US"/>
              </w:rPr>
              <w:t xml:space="preserve">合计</w:t>
            </w:r>
            <w:r/>
          </w:p>
        </w:tc>
        <w:tc>
          <w:tcPr>
            <w:tcW w:w="710" w:type="dxa"/>
            <w:textDirection w:val="lrTb"/>
            <w:noWrap w:val="false"/>
          </w:tcPr>
          <w:p>
            <w:pPr>
              <w:jc w:val="center"/>
              <w:spacing w:line="360" w:lineRule="auto"/>
              <w:widowControl/>
              <w:rPr>
                <w:color w:val="000000"/>
                <w:sz w:val="22"/>
                <w:szCs w:val="22"/>
                <w:lang w:eastAsia="en-US"/>
              </w:rPr>
            </w:pPr>
            <w:r>
              <w:rPr>
                <w:color w:val="000000"/>
                <w:sz w:val="22"/>
                <w:szCs w:val="22"/>
                <w:lang w:eastAsia="en-US"/>
              </w:rPr>
              <w:fldChar w:fldCharType="begin"/>
            </w:r>
            <w:r>
              <w:rPr>
                <w:color w:val="000000"/>
                <w:sz w:val="22"/>
                <w:szCs w:val="22"/>
                <w:lang w:eastAsia="en-US"/>
              </w:rPr>
              <w:instrText xml:space="preserve"> =SUM(ABOVE) </w:instrText>
            </w:r>
            <w:r>
              <w:rPr>
                <w:color w:val="000000"/>
                <w:sz w:val="22"/>
                <w:szCs w:val="22"/>
                <w:lang w:eastAsia="en-US"/>
              </w:rPr>
              <w:fldChar w:fldCharType="separate"/>
            </w:r>
            <w:r>
              <w:rPr>
                <w:color w:val="000000"/>
                <w:sz w:val="22"/>
                <w:szCs w:val="22"/>
                <w:lang w:eastAsia="en-US"/>
              </w:rPr>
              <w:t xml:space="preserve">100</w:t>
            </w:r>
            <w:r>
              <w:rPr>
                <w:color w:val="000000"/>
                <w:sz w:val="22"/>
                <w:szCs w:val="22"/>
                <w:lang w:eastAsia="en-US"/>
              </w:rPr>
              <w:fldChar w:fldCharType="end"/>
            </w:r>
            <w:r/>
          </w:p>
        </w:tc>
        <w:tc>
          <w:tcPr>
            <w:tcW w:w="816" w:type="dxa"/>
            <w:vAlign w:val="center"/>
            <w:textDirection w:val="lrTb"/>
            <w:noWrap w:val="false"/>
          </w:tcPr>
          <w:p>
            <w:pPr>
              <w:jc w:val="center"/>
              <w:spacing w:line="360" w:lineRule="auto"/>
              <w:widowControl/>
              <w:rPr>
                <w:color w:val="000000"/>
                <w:sz w:val="22"/>
                <w:szCs w:val="22"/>
                <w:lang w:eastAsia="en-US"/>
              </w:rPr>
            </w:pPr>
            <w:r>
              <w:rPr>
                <w:color w:val="000000"/>
                <w:sz w:val="22"/>
                <w:szCs w:val="22"/>
                <w:lang w:eastAsia="en-US"/>
              </w:rPr>
            </w:r>
            <w:r/>
          </w:p>
        </w:tc>
      </w:tr>
    </w:tbl>
    <w:p>
      <w:pPr>
        <w:ind w:firstLine="420"/>
        <w:spacing w:line="360" w:lineRule="auto"/>
        <w:rPr>
          <w:rFonts w:ascii="宋体" w:hAnsi="宋体" w:cs="宋体"/>
        </w:rPr>
      </w:pPr>
      <w:r>
        <w:rPr>
          <w:rFonts w:ascii="宋体" w:hAnsi="宋体" w:cs="宋体"/>
        </w:rPr>
      </w:r>
      <w:r/>
    </w:p>
    <w:p>
      <w:pPr>
        <w:pStyle w:val="887"/>
        <w:numPr>
          <w:ilvl w:val="0"/>
          <w:numId w:val="0"/>
        </w:numPr>
        <w:rPr>
          <w:rFonts w:ascii="宋体" w:hAnsi="宋体" w:cs="宋体"/>
        </w:rPr>
      </w:pPr>
      <w:r>
        <w:rPr>
          <w:rFonts w:hint="eastAsia" w:ascii="宋体" w:hAnsi="宋体" w:cs="宋体"/>
        </w:rPr>
        <w:br w:type="page" w:clear="all"/>
      </w:r>
      <w:bookmarkStart w:id="21" w:name="_Toc18631"/>
      <w:r>
        <w:rPr>
          <w:rFonts w:hint="eastAsia" w:ascii="宋体" w:hAnsi="宋体" w:cs="宋体"/>
        </w:rPr>
        <w:t xml:space="preserve">第五章 合同主要条款及格式</w:t>
      </w:r>
      <w:bookmarkEnd w:id="20"/>
      <w:r>
        <w:rPr>
          <w:rFonts w:hint="eastAsia" w:ascii="宋体" w:hAnsi="宋体" w:cs="宋体"/>
        </w:rPr>
        <w:t xml:space="preserve"> </w:t>
      </w:r>
      <w:bookmarkEnd w:id="21"/>
      <w:r/>
      <w:r/>
    </w:p>
    <w:p>
      <w:pPr>
        <w:rPr>
          <w:rFonts w:ascii="宋体" w:hAnsi="宋体" w:cs="宋体"/>
        </w:rPr>
      </w:pPr>
      <w:r>
        <w:rPr>
          <w:rFonts w:hint="eastAsia" w:ascii="宋体" w:hAnsi="宋体" w:cs="宋体"/>
        </w:rPr>
        <w:br w:type="page" w:clear="all"/>
      </w:r>
      <w:r/>
    </w:p>
    <w:p>
      <w:pPr>
        <w:rPr>
          <w:rFonts w:ascii="宋体" w:hAnsi="宋体"/>
          <w:color w:val="000000"/>
          <w:sz w:val="22"/>
          <w:szCs w:val="22"/>
          <w:u w:val="single"/>
        </w:rPr>
      </w:pPr>
      <w:r>
        <w:rPr>
          <w:rFonts w:hint="eastAsia" w:ascii="宋体" w:hAnsi="宋体"/>
          <w:color w:val="000000"/>
          <w:sz w:val="22"/>
          <w:szCs w:val="22"/>
        </w:rPr>
        <w:t xml:space="preserve">甲    方：</w:t>
      </w:r>
      <w:r>
        <w:rPr>
          <w:rFonts w:hint="eastAsia" w:ascii="宋体" w:hAnsi="宋体"/>
          <w:color w:val="000000"/>
          <w:sz w:val="22"/>
          <w:szCs w:val="22"/>
          <w:u w:val="single"/>
        </w:rPr>
        <w:t xml:space="preserve"> 南京工业职业技术大学                                            </w:t>
      </w:r>
      <w:r/>
    </w:p>
    <w:p>
      <w:pPr>
        <w:jc w:val="left"/>
        <w:spacing w:line="360" w:lineRule="auto"/>
        <w:widowControl/>
        <w:rPr>
          <w:rFonts w:ascii="宋体" w:hAnsi="宋体"/>
          <w:color w:val="000000"/>
          <w:sz w:val="22"/>
          <w:szCs w:val="22"/>
          <w:u w:val="single"/>
        </w:rPr>
      </w:pPr>
      <w:r>
        <w:rPr>
          <w:rFonts w:hint="eastAsia" w:ascii="宋体" w:hAnsi="宋体"/>
          <w:color w:val="000000"/>
          <w:sz w:val="22"/>
          <w:szCs w:val="22"/>
        </w:rPr>
        <w:t xml:space="preserve">联系地址: </w:t>
      </w:r>
      <w:r>
        <w:rPr>
          <w:rFonts w:hint="eastAsia" w:ascii="宋体" w:hAnsi="宋体"/>
          <w:color w:val="000000"/>
          <w:sz w:val="22"/>
          <w:szCs w:val="22"/>
          <w:u w:val="single"/>
        </w:rPr>
        <w:t xml:space="preserve"> 南京市栖霞区仙林大学城羊山北路1号                              </w:t>
      </w:r>
      <w:r/>
    </w:p>
    <w:p>
      <w:pPr>
        <w:jc w:val="left"/>
        <w:spacing w:line="360" w:lineRule="auto"/>
        <w:widowControl/>
        <w:rPr>
          <w:rFonts w:ascii="宋体" w:hAnsi="宋体"/>
          <w:color w:val="000000"/>
          <w:sz w:val="22"/>
          <w:szCs w:val="22"/>
          <w:u w:val="single"/>
        </w:rPr>
      </w:pPr>
      <w:r>
        <w:rPr>
          <w:rFonts w:hint="eastAsia" w:ascii="宋体" w:hAnsi="宋体"/>
          <w:color w:val="000000"/>
          <w:sz w:val="22"/>
          <w:szCs w:val="22"/>
        </w:rPr>
        <w:t xml:space="preserve">联系电话：</w:t>
      </w:r>
      <w:r>
        <w:rPr>
          <w:rFonts w:hint="eastAsia" w:ascii="宋体" w:hAnsi="宋体"/>
          <w:color w:val="000000"/>
          <w:sz w:val="22"/>
          <w:szCs w:val="22"/>
          <w:u w:val="single"/>
        </w:rPr>
        <w:t xml:space="preserve">                            </w:t>
      </w:r>
      <w:r/>
    </w:p>
    <w:p>
      <w:pPr>
        <w:rPr>
          <w:rFonts w:ascii="宋体" w:hAnsi="宋体"/>
          <w:color w:val="000000"/>
          <w:sz w:val="22"/>
          <w:szCs w:val="22"/>
          <w:u w:val="single"/>
        </w:rPr>
      </w:pPr>
      <w:r>
        <w:rPr>
          <w:rFonts w:hint="eastAsia" w:ascii="宋体" w:hAnsi="宋体"/>
          <w:color w:val="000000"/>
          <w:sz w:val="22"/>
          <w:szCs w:val="22"/>
        </w:rPr>
        <w:t xml:space="preserve">乙    方：</w:t>
      </w:r>
      <w:r>
        <w:rPr>
          <w:rFonts w:hint="eastAsia" w:ascii="宋体" w:hAnsi="宋体"/>
          <w:color w:val="000000"/>
          <w:sz w:val="22"/>
          <w:szCs w:val="22"/>
          <w:u w:val="single"/>
        </w:rPr>
        <w:t xml:space="preserve">                            </w:t>
      </w:r>
      <w:r/>
    </w:p>
    <w:p>
      <w:pPr>
        <w:jc w:val="left"/>
        <w:spacing w:line="360" w:lineRule="auto"/>
        <w:widowControl/>
        <w:rPr>
          <w:rFonts w:ascii="宋体" w:hAnsi="宋体"/>
          <w:color w:val="000000"/>
          <w:sz w:val="22"/>
          <w:szCs w:val="22"/>
          <w:u w:val="single"/>
        </w:rPr>
      </w:pPr>
      <w:r>
        <w:rPr>
          <w:rFonts w:hint="eastAsia" w:ascii="宋体" w:hAnsi="宋体"/>
          <w:color w:val="000000"/>
          <w:sz w:val="22"/>
          <w:szCs w:val="22"/>
        </w:rPr>
        <w:t xml:space="preserve">联系地址：</w:t>
      </w:r>
      <w:r>
        <w:rPr>
          <w:rFonts w:hint="eastAsia" w:ascii="宋体" w:hAnsi="宋体"/>
          <w:color w:val="000000"/>
          <w:sz w:val="22"/>
          <w:szCs w:val="22"/>
          <w:u w:val="single"/>
        </w:rPr>
        <w:t xml:space="preserve">                            </w:t>
      </w:r>
      <w:r/>
    </w:p>
    <w:p>
      <w:pPr>
        <w:jc w:val="left"/>
        <w:spacing w:line="360" w:lineRule="auto"/>
        <w:widowControl/>
        <w:rPr>
          <w:rFonts w:ascii="宋体" w:hAnsi="宋体"/>
          <w:b/>
          <w:color w:val="000000"/>
          <w:sz w:val="22"/>
          <w:szCs w:val="22"/>
          <w:u w:val="single"/>
        </w:rPr>
      </w:pPr>
      <w:r>
        <w:rPr>
          <w:rFonts w:hint="eastAsia" w:ascii="宋体" w:hAnsi="宋体"/>
          <w:color w:val="000000"/>
          <w:sz w:val="22"/>
          <w:szCs w:val="22"/>
        </w:rPr>
        <w:t xml:space="preserve">联系电话：</w:t>
      </w:r>
      <w:r>
        <w:rPr>
          <w:rFonts w:hint="eastAsia" w:ascii="宋体" w:hAnsi="宋体"/>
          <w:color w:val="000000"/>
          <w:sz w:val="22"/>
          <w:szCs w:val="22"/>
          <w:u w:val="single"/>
        </w:rPr>
        <w:t xml:space="preserve">                            </w:t>
      </w:r>
      <w:r/>
    </w:p>
    <w:p>
      <w:pPr>
        <w:ind w:firstLine="440"/>
        <w:jc w:val="left"/>
        <w:spacing w:line="360" w:lineRule="auto"/>
        <w:widowControl/>
        <w:rPr>
          <w:rFonts w:ascii="宋体" w:hAnsi="宋体"/>
          <w:color w:val="000000"/>
          <w:sz w:val="22"/>
          <w:szCs w:val="22"/>
        </w:rPr>
      </w:pPr>
      <w:r>
        <w:rPr>
          <w:rFonts w:ascii="宋体" w:hAnsi="宋体"/>
          <w:color w:val="000000"/>
          <w:sz w:val="22"/>
          <w:szCs w:val="22"/>
        </w:rPr>
      </w:r>
      <w:r/>
    </w:p>
    <w:p>
      <w:pPr>
        <w:ind w:firstLine="440"/>
        <w:jc w:val="left"/>
        <w:spacing w:line="360" w:lineRule="auto"/>
        <w:widowControl/>
        <w:rPr>
          <w:rFonts w:ascii="宋体" w:hAnsi="宋体"/>
          <w:color w:val="000000"/>
          <w:sz w:val="22"/>
          <w:szCs w:val="22"/>
        </w:rPr>
      </w:pPr>
      <w:r>
        <w:rPr>
          <w:rFonts w:hint="eastAsia" w:ascii="宋体" w:hAnsi="宋体"/>
          <w:color w:val="000000"/>
          <w:sz w:val="22"/>
          <w:szCs w:val="22"/>
          <w:u w:val="single"/>
        </w:rPr>
        <w:t xml:space="preserve">南京工业职业技术大学</w:t>
      </w:r>
      <w:r>
        <w:rPr>
          <w:rFonts w:ascii="宋体" w:hAnsi="宋体"/>
          <w:color w:val="000000"/>
          <w:sz w:val="22"/>
          <w:szCs w:val="22"/>
        </w:rPr>
        <w:t xml:space="preserve">（以下简称甲方）就</w:t>
      </w:r>
      <w:r>
        <w:rPr>
          <w:rFonts w:ascii="宋体" w:hAnsi="宋体"/>
          <w:color w:val="000000"/>
          <w:sz w:val="22"/>
          <w:szCs w:val="22"/>
          <w:u w:val="single"/>
        </w:rPr>
        <w:t xml:space="preserve">南京工业职业技术大学2026-2028年度教职工体检</w:t>
      </w:r>
      <w:r>
        <w:rPr>
          <w:rFonts w:hint="eastAsia" w:ascii="宋体" w:hAnsi="宋体"/>
          <w:color w:val="000000"/>
          <w:sz w:val="22"/>
          <w:szCs w:val="22"/>
          <w:u w:val="single"/>
        </w:rPr>
        <w:t xml:space="preserve"> </w:t>
      </w:r>
      <w:r>
        <w:rPr>
          <w:rFonts w:ascii="宋体" w:hAnsi="宋体"/>
          <w:color w:val="000000"/>
          <w:sz w:val="22"/>
          <w:szCs w:val="22"/>
        </w:rPr>
        <w:t xml:space="preserve">项目，</w:t>
      </w:r>
      <w:r>
        <w:rPr>
          <w:rFonts w:hint="eastAsia" w:ascii="宋体" w:hAnsi="宋体"/>
          <w:color w:val="000000"/>
          <w:sz w:val="22"/>
          <w:szCs w:val="22"/>
        </w:rPr>
        <w:t xml:space="preserve">根据《中华人民共和国民法典》《中华人民共和国政府采购法》等法律、法规规定，按照 招标文件、投标文件规定条款和中标供应商承诺，甲方向乙方购置相关服务，</w:t>
      </w:r>
      <w:r>
        <w:rPr>
          <w:rFonts w:ascii="宋体" w:hAnsi="宋体"/>
          <w:color w:val="000000"/>
          <w:sz w:val="22"/>
          <w:szCs w:val="22"/>
        </w:rPr>
        <w:t xml:space="preserve">签订本合同书。</w:t>
      </w:r>
      <w:r>
        <w:rPr>
          <w:rFonts w:hint="eastAsia" w:ascii="宋体" w:hAnsi="宋体"/>
          <w:color w:val="000000"/>
          <w:sz w:val="22"/>
          <w:szCs w:val="22"/>
        </w:rPr>
        <w:t xml:space="preserve">具体合同如下：</w:t>
      </w:r>
      <w:r/>
    </w:p>
    <w:p>
      <w:pPr>
        <w:ind w:firstLine="442"/>
        <w:jc w:val="left"/>
        <w:spacing w:line="360" w:lineRule="auto"/>
        <w:widowControl/>
        <w:rPr>
          <w:rFonts w:ascii="宋体" w:hAnsi="宋体"/>
          <w:b/>
          <w:bCs/>
          <w:color w:val="000000"/>
          <w:sz w:val="22"/>
          <w:szCs w:val="22"/>
        </w:rPr>
      </w:pPr>
      <w:r>
        <w:rPr>
          <w:rFonts w:hint="eastAsia" w:ascii="宋体" w:hAnsi="宋体"/>
          <w:b/>
          <w:bCs/>
          <w:color w:val="000000"/>
          <w:sz w:val="22"/>
          <w:szCs w:val="22"/>
        </w:rPr>
        <w:t xml:space="preserve">一、健康体检服务</w:t>
      </w:r>
      <w:r/>
    </w:p>
    <w:p>
      <w:pPr>
        <w:ind w:firstLine="440"/>
        <w:jc w:val="left"/>
        <w:spacing w:line="360" w:lineRule="auto"/>
        <w:rPr>
          <w:rFonts w:ascii="宋体" w:hAnsi="宋体"/>
          <w:color w:val="000000"/>
          <w:sz w:val="22"/>
          <w:szCs w:val="22"/>
        </w:rPr>
      </w:pPr>
      <w:r>
        <w:rPr>
          <w:rFonts w:hint="eastAsia" w:ascii="宋体" w:hAnsi="宋体"/>
          <w:color w:val="000000"/>
          <w:sz w:val="22"/>
          <w:szCs w:val="22"/>
        </w:rPr>
        <w:t xml:space="preserve">1、</w:t>
      </w:r>
      <w:r>
        <w:rPr>
          <w:rFonts w:ascii="宋体" w:hAnsi="宋体"/>
          <w:color w:val="000000"/>
          <w:sz w:val="22"/>
          <w:szCs w:val="22"/>
        </w:rPr>
        <w:t xml:space="preserve">2026</w:t>
      </w:r>
      <w:r>
        <w:rPr>
          <w:rFonts w:hint="eastAsia" w:ascii="宋体" w:hAnsi="宋体"/>
          <w:color w:val="000000"/>
          <w:sz w:val="22"/>
          <w:szCs w:val="22"/>
        </w:rPr>
        <w:t xml:space="preserve">-</w:t>
      </w:r>
      <w:r>
        <w:rPr>
          <w:rFonts w:ascii="宋体" w:hAnsi="宋体"/>
          <w:color w:val="000000"/>
          <w:sz w:val="22"/>
          <w:szCs w:val="22"/>
        </w:rPr>
        <w:t xml:space="preserve">2028</w:t>
      </w:r>
      <w:r>
        <w:rPr>
          <w:rFonts w:hint="eastAsia" w:ascii="宋体" w:hAnsi="宋体"/>
          <w:color w:val="000000"/>
          <w:sz w:val="22"/>
          <w:szCs w:val="22"/>
        </w:rPr>
        <w:t xml:space="preserve">年教职工体检套餐，详见附件；如甲方受检人员在指定体检套餐外要求增加其他体检项目，费用由受检人员自理。</w:t>
      </w:r>
      <w:r/>
    </w:p>
    <w:p>
      <w:pPr>
        <w:ind w:firstLine="440"/>
        <w:jc w:val="left"/>
        <w:spacing w:line="360" w:lineRule="auto"/>
        <w:rPr>
          <w:rFonts w:ascii="宋体" w:hAnsi="宋体"/>
          <w:color w:val="000000"/>
          <w:sz w:val="22"/>
          <w:szCs w:val="22"/>
        </w:rPr>
      </w:pPr>
      <w:r>
        <w:rPr>
          <w:rFonts w:hint="eastAsia" w:ascii="宋体" w:hAnsi="宋体"/>
          <w:color w:val="000000"/>
          <w:sz w:val="22"/>
          <w:szCs w:val="22"/>
        </w:rPr>
        <w:t xml:space="preserve">2、合同履行期限：自合同签订之日起，至2028年12月31日内完成项目（具体时间以甲方通知为准）。合同一年一签，每年由甲方根据其服务质量进行考核，考核无问题可继续按合同约定执行，否则合同自动终止。</w:t>
      </w:r>
      <w:r/>
    </w:p>
    <w:p>
      <w:pPr>
        <w:ind w:firstLine="440"/>
        <w:jc w:val="left"/>
        <w:spacing w:line="360" w:lineRule="auto"/>
        <w:widowControl/>
        <w:rPr>
          <w:rFonts w:ascii="宋体" w:hAnsi="宋体"/>
          <w:color w:val="000000"/>
          <w:sz w:val="22"/>
          <w:szCs w:val="22"/>
        </w:rPr>
      </w:pPr>
      <w:r>
        <w:rPr>
          <w:rFonts w:hint="eastAsia" w:ascii="宋体" w:hAnsi="宋体"/>
          <w:color w:val="000000"/>
          <w:sz w:val="22"/>
          <w:szCs w:val="22"/>
        </w:rPr>
        <w:t xml:space="preserve">3、体检时间：体检时间初步定为每年8月-12月（具体时间以甲方通知为准），每年用5个月左右时间完成体检工作，必要时提供包场服务。</w:t>
      </w:r>
      <w:r/>
    </w:p>
    <w:p>
      <w:pPr>
        <w:ind w:firstLine="440"/>
        <w:jc w:val="left"/>
        <w:spacing w:line="360" w:lineRule="auto"/>
        <w:widowControl/>
        <w:rPr>
          <w:rFonts w:ascii="宋体" w:hAnsi="宋体"/>
          <w:color w:val="000000"/>
          <w:sz w:val="22"/>
          <w:szCs w:val="22"/>
        </w:rPr>
      </w:pPr>
      <w:r>
        <w:rPr>
          <w:rFonts w:hint="eastAsia" w:ascii="宋体" w:hAnsi="宋体"/>
          <w:color w:val="000000"/>
          <w:sz w:val="22"/>
          <w:szCs w:val="22"/>
        </w:rPr>
        <w:t xml:space="preserve">4、甲方责任和义务：</w:t>
      </w:r>
      <w:r/>
    </w:p>
    <w:p>
      <w:pPr>
        <w:ind w:firstLine="440"/>
        <w:jc w:val="left"/>
        <w:spacing w:line="360" w:lineRule="auto"/>
        <w:widowControl/>
        <w:rPr>
          <w:rFonts w:ascii="宋体" w:hAnsi="宋体"/>
          <w:color w:val="000000"/>
          <w:sz w:val="22"/>
          <w:szCs w:val="22"/>
        </w:rPr>
      </w:pPr>
      <w:r>
        <w:rPr>
          <w:rFonts w:hint="eastAsia" w:ascii="宋体" w:hAnsi="宋体"/>
          <w:color w:val="000000"/>
          <w:sz w:val="22"/>
          <w:szCs w:val="22"/>
        </w:rPr>
        <w:t xml:space="preserve">（1）体检开始前一周，提供受检人员基本信息（姓名、性别、年龄、工卡号等），少量未确定人员临时通知，列后体检；</w:t>
      </w:r>
      <w:r/>
    </w:p>
    <w:p>
      <w:pPr>
        <w:ind w:firstLine="440"/>
        <w:jc w:val="left"/>
        <w:spacing w:line="360" w:lineRule="auto"/>
        <w:widowControl/>
        <w:rPr>
          <w:rFonts w:ascii="宋体" w:hAnsi="宋体"/>
          <w:color w:val="000000"/>
          <w:sz w:val="22"/>
          <w:szCs w:val="22"/>
        </w:rPr>
      </w:pPr>
      <w:r>
        <w:rPr>
          <w:rFonts w:hint="eastAsia" w:ascii="宋体" w:hAnsi="宋体"/>
          <w:color w:val="000000"/>
          <w:sz w:val="22"/>
          <w:szCs w:val="22"/>
        </w:rPr>
        <w:t xml:space="preserve">（2）负责安排好受检人员的组织准备和协调工作；</w:t>
      </w:r>
      <w:r/>
    </w:p>
    <w:p>
      <w:pPr>
        <w:ind w:firstLine="440"/>
        <w:jc w:val="left"/>
        <w:spacing w:line="360" w:lineRule="auto"/>
        <w:widowControl/>
        <w:rPr>
          <w:rFonts w:ascii="宋体" w:hAnsi="宋体"/>
          <w:color w:val="000000"/>
          <w:sz w:val="22"/>
          <w:szCs w:val="22"/>
        </w:rPr>
      </w:pPr>
      <w:r>
        <w:rPr>
          <w:rFonts w:hint="eastAsia" w:ascii="宋体" w:hAnsi="宋体"/>
          <w:color w:val="000000"/>
          <w:sz w:val="22"/>
          <w:szCs w:val="22"/>
        </w:rPr>
        <w:t xml:space="preserve">（3）负责通知受检人员体检时间，地点及检查等注意事项；</w:t>
      </w:r>
      <w:r/>
    </w:p>
    <w:p>
      <w:pPr>
        <w:ind w:firstLine="440"/>
        <w:jc w:val="left"/>
        <w:spacing w:line="360" w:lineRule="auto"/>
        <w:widowControl/>
        <w:rPr>
          <w:rFonts w:ascii="宋体" w:hAnsi="宋体"/>
          <w:color w:val="000000"/>
          <w:sz w:val="22"/>
          <w:szCs w:val="22"/>
        </w:rPr>
      </w:pPr>
      <w:r>
        <w:rPr>
          <w:rFonts w:hint="eastAsia" w:ascii="宋体" w:hAnsi="宋体"/>
          <w:color w:val="000000"/>
          <w:sz w:val="22"/>
          <w:szCs w:val="22"/>
        </w:rPr>
        <w:t xml:space="preserve">（4）组织引导受检人员在体检中，配合乙方对体检程序的安排；</w:t>
      </w:r>
      <w:r/>
    </w:p>
    <w:p>
      <w:pPr>
        <w:ind w:firstLine="440"/>
        <w:jc w:val="left"/>
        <w:spacing w:line="360" w:lineRule="auto"/>
        <w:widowControl/>
        <w:rPr>
          <w:rFonts w:ascii="宋体" w:hAnsi="宋体"/>
          <w:color w:val="000000"/>
          <w:sz w:val="22"/>
          <w:szCs w:val="22"/>
        </w:rPr>
      </w:pPr>
      <w:r>
        <w:rPr>
          <w:rFonts w:hint="eastAsia" w:ascii="宋体" w:hAnsi="宋体"/>
          <w:color w:val="000000"/>
          <w:sz w:val="22"/>
          <w:szCs w:val="22"/>
        </w:rPr>
        <w:t xml:space="preserve">（5）体检结束后，个人体检表由甲方负责发给受检人。</w:t>
      </w:r>
      <w:r/>
    </w:p>
    <w:p>
      <w:pPr>
        <w:ind w:firstLine="330"/>
        <w:jc w:val="left"/>
        <w:spacing w:line="360" w:lineRule="auto"/>
        <w:widowControl/>
        <w:rPr>
          <w:rFonts w:ascii="宋体" w:hAnsi="宋体"/>
          <w:color w:val="000000"/>
          <w:sz w:val="22"/>
          <w:szCs w:val="22"/>
        </w:rPr>
      </w:pPr>
      <w:r>
        <w:rPr>
          <w:rFonts w:hint="eastAsia" w:ascii="宋体" w:hAnsi="宋体"/>
          <w:color w:val="000000"/>
          <w:sz w:val="22"/>
          <w:szCs w:val="22"/>
        </w:rPr>
        <w:t xml:space="preserve">5、乙方责任和义务：</w:t>
      </w:r>
      <w:r/>
    </w:p>
    <w:p>
      <w:pPr>
        <w:ind w:firstLine="440"/>
        <w:jc w:val="left"/>
        <w:spacing w:line="360" w:lineRule="auto"/>
        <w:widowControl/>
        <w:rPr>
          <w:rFonts w:ascii="宋体" w:hAnsi="宋体"/>
          <w:color w:val="000000"/>
          <w:sz w:val="22"/>
          <w:szCs w:val="22"/>
        </w:rPr>
      </w:pPr>
      <w:r>
        <w:rPr>
          <w:rFonts w:hint="eastAsia" w:ascii="宋体" w:hAnsi="宋体"/>
          <w:color w:val="000000"/>
          <w:sz w:val="22"/>
          <w:szCs w:val="22"/>
        </w:rPr>
        <w:t xml:space="preserve">（1）负责完成体检项目，保证体检质量，确保体检的医疗安全； </w:t>
      </w:r>
      <w:r/>
    </w:p>
    <w:p>
      <w:pPr>
        <w:ind w:firstLine="440"/>
        <w:jc w:val="left"/>
        <w:spacing w:line="360" w:lineRule="auto"/>
        <w:widowControl/>
        <w:rPr>
          <w:rFonts w:ascii="宋体" w:hAnsi="宋体"/>
          <w:color w:val="000000"/>
          <w:sz w:val="22"/>
          <w:szCs w:val="22"/>
        </w:rPr>
      </w:pPr>
      <w:r>
        <w:rPr>
          <w:rFonts w:hint="eastAsia" w:ascii="宋体" w:hAnsi="宋体"/>
          <w:color w:val="000000"/>
          <w:sz w:val="22"/>
          <w:szCs w:val="22"/>
        </w:rPr>
        <w:t xml:space="preserve">（2）配合甲方做好体检报告查询工作；</w:t>
      </w:r>
      <w:r/>
    </w:p>
    <w:p>
      <w:pPr>
        <w:ind w:firstLine="440"/>
        <w:jc w:val="left"/>
        <w:spacing w:line="360" w:lineRule="auto"/>
        <w:widowControl/>
        <w:rPr>
          <w:rFonts w:ascii="宋体" w:hAnsi="宋体"/>
          <w:color w:val="000000"/>
          <w:sz w:val="22"/>
          <w:szCs w:val="22"/>
        </w:rPr>
      </w:pPr>
      <w:r>
        <w:rPr>
          <w:rFonts w:hint="eastAsia" w:ascii="宋体" w:hAnsi="宋体"/>
          <w:color w:val="000000"/>
          <w:sz w:val="22"/>
          <w:szCs w:val="22"/>
        </w:rPr>
        <w:t xml:space="preserve">（3）对受检者的体检结果，负责提供查询和解释服务；</w:t>
      </w:r>
      <w:r/>
    </w:p>
    <w:p>
      <w:pPr>
        <w:ind w:firstLine="440"/>
        <w:jc w:val="left"/>
        <w:spacing w:line="360" w:lineRule="auto"/>
        <w:widowControl/>
        <w:rPr>
          <w:rFonts w:ascii="宋体" w:hAnsi="宋体"/>
          <w:color w:val="000000"/>
          <w:sz w:val="22"/>
          <w:szCs w:val="22"/>
        </w:rPr>
      </w:pPr>
      <w:r>
        <w:rPr>
          <w:rFonts w:hint="eastAsia" w:ascii="宋体" w:hAnsi="宋体"/>
          <w:color w:val="000000"/>
          <w:sz w:val="22"/>
          <w:szCs w:val="22"/>
        </w:rPr>
        <w:t xml:space="preserve">（4）对急于复查人员，由乙方做好登记并负责与甲方或受检人联系，尊重个人隐私；</w:t>
      </w:r>
      <w:r/>
    </w:p>
    <w:p>
      <w:pPr>
        <w:ind w:firstLine="440"/>
        <w:jc w:val="left"/>
        <w:spacing w:line="360" w:lineRule="auto"/>
        <w:widowControl/>
        <w:rPr>
          <w:rFonts w:ascii="宋体" w:hAnsi="宋体"/>
          <w:color w:val="000000"/>
          <w:sz w:val="22"/>
          <w:szCs w:val="22"/>
        </w:rPr>
      </w:pPr>
      <w:r>
        <w:rPr>
          <w:rFonts w:hint="eastAsia" w:ascii="宋体" w:hAnsi="宋体"/>
          <w:color w:val="000000"/>
          <w:sz w:val="22"/>
          <w:szCs w:val="22"/>
        </w:rPr>
        <w:t xml:space="preserve">（5）乙方在全部体检结束后15工作日内，统一将受检人员报告交甲方。</w:t>
      </w:r>
      <w:r/>
    </w:p>
    <w:p>
      <w:pPr>
        <w:ind w:firstLine="440"/>
        <w:jc w:val="left"/>
        <w:spacing w:line="360" w:lineRule="auto"/>
        <w:widowControl/>
        <w:rPr>
          <w:rFonts w:ascii="宋体" w:hAnsi="宋体"/>
          <w:color w:val="000000"/>
          <w:sz w:val="22"/>
          <w:szCs w:val="22"/>
        </w:rPr>
      </w:pPr>
      <w:r>
        <w:rPr>
          <w:rFonts w:hint="eastAsia" w:ascii="宋体" w:hAnsi="宋体"/>
          <w:color w:val="000000"/>
          <w:sz w:val="22"/>
          <w:szCs w:val="22"/>
        </w:rPr>
        <w:t xml:space="preserve">（6）甲方受检人员未能在约定的时间进行体检时，乙方应在约定时间之外另行安排体检。</w:t>
      </w:r>
      <w:r/>
    </w:p>
    <w:p>
      <w:pPr>
        <w:ind w:firstLine="440"/>
        <w:jc w:val="left"/>
        <w:spacing w:line="360" w:lineRule="auto"/>
        <w:widowControl/>
        <w:rPr>
          <w:rFonts w:ascii="宋体" w:hAnsi="宋体"/>
          <w:color w:val="000000"/>
          <w:sz w:val="22"/>
          <w:szCs w:val="22"/>
        </w:rPr>
      </w:pPr>
      <w:r>
        <w:rPr>
          <w:rFonts w:hint="eastAsia" w:ascii="宋体" w:hAnsi="宋体"/>
          <w:color w:val="000000"/>
          <w:sz w:val="22"/>
          <w:szCs w:val="22"/>
        </w:rPr>
        <w:t xml:space="preserve">（7）乙方严禁在体检全过程向我校教职工推销自费体检项目、保健品；一经查实计入年度考核扣分，多次发生视为严重违约。</w:t>
      </w:r>
      <w:r/>
    </w:p>
    <w:p>
      <w:pPr>
        <w:ind w:firstLine="440"/>
        <w:jc w:val="left"/>
        <w:spacing w:line="360" w:lineRule="auto"/>
        <w:widowControl/>
        <w:rPr>
          <w:rFonts w:ascii="宋体" w:hAnsi="宋体"/>
          <w:color w:val="000000"/>
          <w:sz w:val="22"/>
          <w:szCs w:val="22"/>
        </w:rPr>
      </w:pPr>
      <w:r>
        <w:rPr>
          <w:rFonts w:hint="eastAsia" w:ascii="宋体" w:hAnsi="宋体"/>
          <w:color w:val="000000"/>
          <w:sz w:val="22"/>
          <w:szCs w:val="22"/>
        </w:rPr>
        <w:t xml:space="preserve">（8）对体检发现重大异常指标，建立专人回访提醒机制，按采购需求及时告知学校后勤管理服务中心，同时告知本人，做好就医指引。</w:t>
      </w:r>
      <w:r/>
    </w:p>
    <w:p>
      <w:pPr>
        <w:ind w:firstLine="442"/>
        <w:jc w:val="left"/>
        <w:spacing w:line="360" w:lineRule="auto"/>
        <w:widowControl/>
        <w:rPr>
          <w:rFonts w:ascii="宋体" w:hAnsi="宋体"/>
          <w:b/>
          <w:bCs/>
          <w:color w:val="000000"/>
          <w:sz w:val="22"/>
          <w:szCs w:val="22"/>
        </w:rPr>
      </w:pPr>
      <w:r>
        <w:rPr>
          <w:rFonts w:hint="eastAsia" w:ascii="宋体" w:hAnsi="宋体"/>
          <w:b/>
          <w:bCs/>
          <w:color w:val="000000"/>
          <w:sz w:val="22"/>
          <w:szCs w:val="22"/>
        </w:rPr>
        <w:t xml:space="preserve">二、服务价格</w:t>
      </w:r>
      <w:r/>
    </w:p>
    <w:p>
      <w:pPr>
        <w:ind w:firstLine="440"/>
        <w:jc w:val="left"/>
        <w:spacing w:line="360" w:lineRule="auto"/>
        <w:widowControl/>
        <w:rPr>
          <w:rFonts w:ascii="宋体" w:hAnsi="宋体"/>
          <w:color w:val="000000"/>
          <w:sz w:val="22"/>
          <w:szCs w:val="22"/>
        </w:rPr>
      </w:pPr>
      <w:r>
        <w:rPr>
          <w:rFonts w:hint="eastAsia" w:ascii="宋体" w:hAnsi="宋体"/>
          <w:color w:val="000000"/>
          <w:sz w:val="22"/>
          <w:szCs w:val="22"/>
        </w:rPr>
        <w:t xml:space="preserve">1、体检套餐服务价格(详见附件)；</w:t>
      </w:r>
      <w:r/>
    </w:p>
    <w:p>
      <w:pPr>
        <w:ind w:firstLine="440"/>
        <w:jc w:val="left"/>
        <w:spacing w:line="360" w:lineRule="auto"/>
        <w:widowControl/>
        <w:rPr>
          <w:rFonts w:ascii="宋体" w:hAnsi="宋体"/>
          <w:color w:val="000000"/>
          <w:sz w:val="22"/>
          <w:szCs w:val="22"/>
        </w:rPr>
      </w:pPr>
      <w:r>
        <w:rPr>
          <w:rFonts w:hint="eastAsia" w:ascii="宋体" w:hAnsi="宋体"/>
          <w:color w:val="000000"/>
          <w:sz w:val="22"/>
          <w:szCs w:val="22"/>
        </w:rPr>
        <w:t xml:space="preserve">2、结账费用按实际体检人数进行结算；</w:t>
      </w:r>
      <w:r/>
    </w:p>
    <w:p>
      <w:pPr>
        <w:ind w:firstLine="442"/>
        <w:spacing w:line="360" w:lineRule="auto"/>
        <w:widowControl/>
        <w:rPr>
          <w:rFonts w:ascii="宋体" w:hAnsi="宋体"/>
          <w:color w:val="000000"/>
          <w:sz w:val="22"/>
          <w:szCs w:val="22"/>
        </w:rPr>
      </w:pPr>
      <w:r>
        <w:rPr>
          <w:rFonts w:hint="eastAsia" w:ascii="宋体" w:hAnsi="宋体"/>
          <w:color w:val="000000"/>
          <w:sz w:val="22"/>
          <w:szCs w:val="22"/>
        </w:rPr>
        <w:t xml:space="preserve">3、合同范围中45岁（含）以上人员体检套餐内包含允许教职工三选一（心血管检查/脑血管检查/胃肠道检查）项目，该三选一项目相关费用均已包含在合同总价中，履约过程中甲方不再另行支付任何费用。</w:t>
      </w:r>
      <w:r/>
    </w:p>
    <w:p>
      <w:pPr>
        <w:ind w:firstLine="442"/>
        <w:spacing w:line="360" w:lineRule="auto"/>
        <w:widowControl/>
        <w:rPr>
          <w:rFonts w:ascii="宋体" w:hAnsi="宋体"/>
          <w:color w:val="000000"/>
          <w:sz w:val="22"/>
          <w:szCs w:val="22"/>
        </w:rPr>
      </w:pPr>
      <w:r>
        <w:rPr>
          <w:rFonts w:hint="eastAsia" w:ascii="宋体" w:hAnsi="宋体"/>
          <w:color w:val="000000"/>
          <w:sz w:val="22"/>
          <w:szCs w:val="22"/>
        </w:rPr>
        <w:t xml:space="preserve">4、本项目包一采购预算200.00万元/年，包二采购预算60.00万元/年。本项目采用单价报价模式，结算价款按实际参检人数及中标单价核算，各包最终结算总价均不得超过对应包年度采购预算；若按实际参检人数测算费用达到对应包年度预算上限，超出部分甲方不予支付。</w:t>
      </w:r>
      <w:r/>
    </w:p>
    <w:p>
      <w:pPr>
        <w:ind w:firstLine="440"/>
        <w:jc w:val="left"/>
        <w:spacing w:line="360" w:lineRule="auto"/>
        <w:widowControl/>
        <w:rPr>
          <w:rFonts w:ascii="宋体" w:hAnsi="宋体"/>
          <w:color w:val="000000"/>
          <w:sz w:val="22"/>
          <w:szCs w:val="22"/>
        </w:rPr>
      </w:pPr>
      <w:r>
        <w:rPr>
          <w:rFonts w:hint="eastAsia" w:ascii="宋体" w:hAnsi="宋体"/>
          <w:color w:val="000000"/>
          <w:sz w:val="22"/>
          <w:szCs w:val="22"/>
        </w:rPr>
        <w:t xml:space="preserve">5、甲方对教职工体检服务综合考核，考核成绩在80分及以上为合格，不扣除履约保证金，支付当年全部服务款项</w:t>
      </w:r>
      <w:r>
        <w:rPr>
          <w:rFonts w:ascii="宋体" w:hAnsi="宋体"/>
          <w:color w:val="000000"/>
          <w:sz w:val="22"/>
          <w:szCs w:val="22"/>
        </w:rPr>
        <w:t xml:space="preserve">，可续签下一年合同</w:t>
      </w:r>
      <w:r>
        <w:rPr>
          <w:rFonts w:hint="eastAsia" w:ascii="宋体" w:hAnsi="宋体"/>
          <w:color w:val="000000"/>
          <w:sz w:val="22"/>
          <w:szCs w:val="22"/>
        </w:rPr>
        <w:t xml:space="preserve">。考核成绩</w:t>
      </w:r>
      <w:r>
        <w:rPr>
          <w:rFonts w:ascii="宋体" w:hAnsi="宋体" w:cs="宋体"/>
          <w:color w:val="000000"/>
          <w:sz w:val="22"/>
          <w:szCs w:val="22"/>
        </w:rPr>
        <w:t xml:space="preserve">低于 8</w:t>
      </w:r>
      <w:r>
        <w:rPr>
          <w:rFonts w:hint="eastAsia" w:ascii="宋体" w:hAnsi="宋体" w:cs="宋体"/>
          <w:color w:val="000000"/>
          <w:sz w:val="22"/>
          <w:szCs w:val="22"/>
        </w:rPr>
        <w:t xml:space="preserve">0</w:t>
      </w:r>
      <w:r>
        <w:rPr>
          <w:rFonts w:ascii="宋体" w:hAnsi="宋体" w:cs="宋体"/>
          <w:color w:val="000000"/>
          <w:sz w:val="22"/>
          <w:szCs w:val="22"/>
        </w:rPr>
        <w:t xml:space="preserve"> 分：</w:t>
      </w:r>
      <w:r>
        <w:rPr>
          <w:rFonts w:hint="eastAsia" w:ascii="宋体" w:hAnsi="宋体" w:cs="宋体"/>
          <w:color w:val="000000"/>
          <w:sz w:val="22"/>
          <w:szCs w:val="22"/>
        </w:rPr>
        <w:t xml:space="preserve">甲方</w:t>
      </w:r>
      <w:r>
        <w:rPr>
          <w:rFonts w:ascii="宋体" w:hAnsi="宋体" w:cs="宋体"/>
          <w:color w:val="000000"/>
          <w:sz w:val="22"/>
          <w:szCs w:val="22"/>
        </w:rPr>
        <w:t xml:space="preserve">向</w:t>
      </w:r>
      <w:r>
        <w:rPr>
          <w:rFonts w:hint="eastAsia" w:ascii="宋体" w:hAnsi="宋体" w:cs="宋体"/>
          <w:color w:val="000000"/>
          <w:sz w:val="22"/>
          <w:szCs w:val="22"/>
        </w:rPr>
        <w:t xml:space="preserve">乙方</w:t>
      </w:r>
      <w:r>
        <w:rPr>
          <w:rFonts w:ascii="宋体" w:hAnsi="宋体" w:cs="宋体"/>
          <w:color w:val="000000"/>
          <w:sz w:val="22"/>
          <w:szCs w:val="22"/>
        </w:rPr>
        <w:t xml:space="preserve">出具整改通知书，限期完成整改；整改完成重新复核达到 8</w:t>
      </w:r>
      <w:r>
        <w:rPr>
          <w:rFonts w:hint="eastAsia" w:ascii="宋体" w:hAnsi="宋体" w:cs="宋体"/>
          <w:color w:val="000000"/>
          <w:sz w:val="22"/>
          <w:szCs w:val="22"/>
        </w:rPr>
        <w:t xml:space="preserve">0</w:t>
      </w:r>
      <w:r>
        <w:rPr>
          <w:rFonts w:ascii="宋体" w:hAnsi="宋体" w:cs="宋体"/>
          <w:color w:val="000000"/>
          <w:sz w:val="22"/>
          <w:szCs w:val="22"/>
        </w:rPr>
        <w:t xml:space="preserve"> 分，支付当年全部服务款项，可续签下一年合同；整改后仍低于 8</w:t>
      </w:r>
      <w:r>
        <w:rPr>
          <w:rFonts w:hint="eastAsia" w:ascii="宋体" w:hAnsi="宋体" w:cs="宋体"/>
          <w:color w:val="000000"/>
          <w:sz w:val="22"/>
          <w:szCs w:val="22"/>
        </w:rPr>
        <w:t xml:space="preserve">0</w:t>
      </w:r>
      <w:r>
        <w:rPr>
          <w:rFonts w:ascii="宋体" w:hAnsi="宋体" w:cs="宋体"/>
          <w:color w:val="000000"/>
          <w:sz w:val="22"/>
          <w:szCs w:val="22"/>
        </w:rPr>
        <w:t xml:space="preserve"> 分：不予续签下一年度合同</w:t>
      </w:r>
      <w:r>
        <w:rPr>
          <w:rFonts w:hint="eastAsia" w:ascii="宋体" w:hAnsi="宋体" w:cs="宋体"/>
          <w:color w:val="000000"/>
          <w:sz w:val="22"/>
          <w:szCs w:val="22"/>
        </w:rPr>
        <w:t xml:space="preserve">，扣罚</w:t>
      </w:r>
      <w:r>
        <w:rPr>
          <w:rFonts w:ascii="宋体" w:hAnsi="宋体" w:cs="宋体"/>
          <w:color w:val="000000"/>
          <w:sz w:val="22"/>
          <w:szCs w:val="22"/>
        </w:rPr>
        <w:t xml:space="preserve"> 50% 履约保证金，支付当年全部服务款项的 80%</w:t>
      </w:r>
      <w:r>
        <w:rPr>
          <w:rFonts w:hint="eastAsia" w:ascii="宋体" w:hAnsi="宋体" w:cs="宋体"/>
          <w:color w:val="000000"/>
          <w:sz w:val="22"/>
          <w:szCs w:val="22"/>
        </w:rPr>
        <w:t xml:space="preserve">。</w:t>
      </w:r>
      <w:r/>
    </w:p>
    <w:p>
      <w:pPr>
        <w:ind w:firstLine="420"/>
        <w:jc w:val="left"/>
        <w:spacing w:line="360" w:lineRule="auto"/>
        <w:widowControl/>
        <w:rPr>
          <w:rFonts w:ascii="宋体" w:hAnsi="宋体"/>
          <w:color w:val="000000"/>
          <w:sz w:val="22"/>
          <w:szCs w:val="22"/>
        </w:rPr>
      </w:pPr>
      <w:r>
        <w:rPr>
          <w:rFonts w:hint="eastAsia" w:ascii="宋体" w:hAnsi="宋体"/>
          <w:color w:val="000000"/>
          <w:sz w:val="22"/>
          <w:szCs w:val="22"/>
        </w:rPr>
        <w:t xml:space="preserve">6、付费时间：</w:t>
      </w:r>
      <w:r>
        <w:rPr>
          <w:rFonts w:hint="eastAsia"/>
          <w:color w:val="000000"/>
          <w:sz w:val="22"/>
          <w:szCs w:val="22"/>
        </w:rPr>
        <w:t xml:space="preserve">当年</w:t>
      </w:r>
      <w:r>
        <w:rPr>
          <w:color w:val="000000"/>
          <w:sz w:val="22"/>
          <w:szCs w:val="22"/>
        </w:rPr>
        <w:t xml:space="preserve">体检完成并提交体检报告（按要求提供纸质或电子体检报告），经</w:t>
      </w:r>
      <w:r>
        <w:rPr>
          <w:rFonts w:hint="eastAsia"/>
          <w:color w:val="000000"/>
          <w:sz w:val="22"/>
          <w:szCs w:val="22"/>
        </w:rPr>
        <w:t xml:space="preserve">甲方</w:t>
      </w:r>
      <w:r>
        <w:rPr>
          <w:color w:val="000000"/>
          <w:sz w:val="22"/>
          <w:szCs w:val="22"/>
        </w:rPr>
        <w:t xml:space="preserve">对</w:t>
      </w:r>
      <w:r>
        <w:rPr>
          <w:rFonts w:hint="eastAsia"/>
          <w:color w:val="000000"/>
          <w:sz w:val="22"/>
          <w:szCs w:val="22"/>
        </w:rPr>
        <w:t xml:space="preserve">乙方</w:t>
      </w:r>
      <w:r>
        <w:rPr>
          <w:color w:val="000000"/>
          <w:sz w:val="22"/>
          <w:szCs w:val="22"/>
        </w:rPr>
        <w:t xml:space="preserve">体检服务进行考核，考核合格后，</w:t>
      </w:r>
      <w:r>
        <w:rPr>
          <w:rFonts w:hint="eastAsia"/>
          <w:color w:val="000000"/>
          <w:sz w:val="22"/>
          <w:szCs w:val="22"/>
        </w:rPr>
        <w:t xml:space="preserve">乙方</w:t>
      </w:r>
      <w:r>
        <w:rPr>
          <w:color w:val="000000"/>
          <w:sz w:val="22"/>
          <w:szCs w:val="22"/>
        </w:rPr>
        <w:t xml:space="preserve">应在10个工作日内</w:t>
      </w:r>
      <w:r>
        <w:rPr>
          <w:rFonts w:hint="eastAsia"/>
          <w:color w:val="000000"/>
          <w:sz w:val="22"/>
          <w:szCs w:val="22"/>
        </w:rPr>
        <w:t xml:space="preserve">向甲方列出</w:t>
      </w:r>
      <w:r>
        <w:rPr>
          <w:color w:val="000000"/>
          <w:sz w:val="22"/>
          <w:szCs w:val="22"/>
        </w:rPr>
        <w:t xml:space="preserve">结算单。</w:t>
      </w:r>
      <w:r>
        <w:rPr>
          <w:rFonts w:hint="eastAsia"/>
          <w:color w:val="000000"/>
          <w:sz w:val="22"/>
          <w:szCs w:val="22"/>
        </w:rPr>
        <w:t xml:space="preserve">甲方</w:t>
      </w:r>
      <w:r>
        <w:rPr>
          <w:color w:val="000000"/>
          <w:sz w:val="22"/>
          <w:szCs w:val="22"/>
        </w:rPr>
        <w:t xml:space="preserve">审核通过后，</w:t>
      </w:r>
      <w:r>
        <w:rPr>
          <w:rFonts w:hint="eastAsia"/>
          <w:color w:val="000000"/>
          <w:sz w:val="22"/>
          <w:szCs w:val="22"/>
        </w:rPr>
        <w:t xml:space="preserve">乙方</w:t>
      </w:r>
      <w:r>
        <w:rPr>
          <w:color w:val="000000"/>
          <w:sz w:val="22"/>
          <w:szCs w:val="22"/>
        </w:rPr>
        <w:t xml:space="preserve">按</w:t>
      </w:r>
      <w:r>
        <w:rPr>
          <w:rFonts w:hint="eastAsia"/>
          <w:color w:val="000000"/>
          <w:sz w:val="22"/>
          <w:szCs w:val="22"/>
        </w:rPr>
        <w:t xml:space="preserve">甲方</w:t>
      </w:r>
      <w:r>
        <w:rPr>
          <w:color w:val="000000"/>
          <w:sz w:val="22"/>
          <w:szCs w:val="22"/>
        </w:rPr>
        <w:t xml:space="preserve">财务规定出具正式发票，同时附体检人员及费用清单。</w:t>
      </w:r>
      <w:r>
        <w:rPr>
          <w:rFonts w:hint="eastAsia"/>
          <w:color w:val="000000"/>
          <w:sz w:val="22"/>
          <w:szCs w:val="22"/>
        </w:rPr>
        <w:t xml:space="preserve">甲方</w:t>
      </w:r>
      <w:r>
        <w:rPr>
          <w:color w:val="000000"/>
          <w:sz w:val="22"/>
          <w:szCs w:val="22"/>
        </w:rPr>
        <w:t xml:space="preserve">在</w:t>
      </w:r>
      <w:r>
        <w:rPr>
          <w:rFonts w:hint="eastAsia" w:ascii="宋体" w:hAnsi="宋体" w:cs="微软雅黑"/>
          <w:bCs/>
          <w:color w:val="000000"/>
          <w:sz w:val="22"/>
          <w:szCs w:val="22"/>
        </w:rPr>
        <w:t xml:space="preserve">2个月内支付当年结算金额</w:t>
      </w:r>
      <w:r>
        <w:rPr>
          <w:color w:val="000000"/>
          <w:sz w:val="22"/>
          <w:szCs w:val="22"/>
        </w:rPr>
        <w:t xml:space="preserve">。最终体检服务费用按中标报价、实际体检人数结算</w:t>
      </w:r>
      <w:r>
        <w:rPr>
          <w:rFonts w:hint="eastAsia" w:ascii="宋体" w:hAnsi="宋体"/>
          <w:color w:val="000000"/>
          <w:sz w:val="22"/>
          <w:szCs w:val="22"/>
        </w:rPr>
        <w:t xml:space="preserve">。</w:t>
      </w:r>
      <w:r/>
    </w:p>
    <w:p>
      <w:pPr>
        <w:ind w:firstLine="442"/>
        <w:jc w:val="left"/>
        <w:spacing w:line="360" w:lineRule="auto"/>
        <w:widowControl/>
        <w:rPr>
          <w:rFonts w:ascii="宋体" w:hAnsi="宋体"/>
          <w:b/>
          <w:bCs/>
          <w:color w:val="000000"/>
          <w:sz w:val="22"/>
          <w:szCs w:val="22"/>
        </w:rPr>
      </w:pPr>
      <w:r>
        <w:rPr>
          <w:rFonts w:hint="eastAsia" w:ascii="宋体" w:hAnsi="宋体"/>
          <w:b/>
          <w:bCs/>
          <w:color w:val="000000"/>
          <w:sz w:val="22"/>
          <w:szCs w:val="22"/>
        </w:rPr>
        <w:t xml:space="preserve">三、乙方服务承诺：</w:t>
      </w:r>
      <w:r/>
    </w:p>
    <w:p>
      <w:pPr>
        <w:ind w:firstLine="540"/>
        <w:jc w:val="left"/>
        <w:spacing w:line="360" w:lineRule="auto"/>
        <w:widowControl/>
        <w:rPr>
          <w:rFonts w:ascii="宋体" w:hAnsi="宋体"/>
          <w:color w:val="000000"/>
          <w:sz w:val="22"/>
          <w:szCs w:val="22"/>
        </w:rPr>
      </w:pPr>
      <w:r>
        <w:rPr>
          <w:rFonts w:hint="eastAsia" w:ascii="宋体" w:hAnsi="宋体"/>
          <w:color w:val="000000"/>
          <w:sz w:val="22"/>
          <w:szCs w:val="22"/>
        </w:rPr>
        <w:t xml:space="preserve">1、提供学校人员在我院就医时绿色通道服务；</w:t>
      </w:r>
      <w:r/>
    </w:p>
    <w:p>
      <w:pPr>
        <w:ind w:firstLine="540"/>
        <w:jc w:val="left"/>
        <w:spacing w:line="360" w:lineRule="auto"/>
        <w:widowControl/>
        <w:rPr>
          <w:rFonts w:ascii="宋体" w:hAnsi="宋体"/>
          <w:color w:val="000000"/>
          <w:sz w:val="22"/>
          <w:szCs w:val="22"/>
        </w:rPr>
      </w:pPr>
      <w:r>
        <w:rPr>
          <w:rFonts w:hint="eastAsia" w:ascii="宋体" w:hAnsi="宋体"/>
          <w:color w:val="000000"/>
          <w:sz w:val="22"/>
          <w:szCs w:val="22"/>
        </w:rPr>
        <w:t xml:space="preserve">2、提供大型设备检查（如CT、核磁共振等）优先服务；</w:t>
      </w:r>
      <w:r/>
    </w:p>
    <w:p>
      <w:pPr>
        <w:ind w:firstLine="540"/>
        <w:jc w:val="left"/>
        <w:spacing w:line="360" w:lineRule="auto"/>
        <w:widowControl/>
        <w:rPr>
          <w:rFonts w:ascii="宋体" w:hAnsi="宋体"/>
          <w:color w:val="000000"/>
          <w:sz w:val="22"/>
          <w:szCs w:val="22"/>
        </w:rPr>
      </w:pPr>
      <w:r>
        <w:rPr>
          <w:rFonts w:hint="eastAsia" w:ascii="宋体" w:hAnsi="宋体"/>
          <w:color w:val="000000"/>
          <w:sz w:val="22"/>
          <w:szCs w:val="22"/>
        </w:rPr>
        <w:t xml:space="preserve">3、提供特殊检查（如胃镜、肠镜等）优先服务；</w:t>
      </w:r>
      <w:r/>
    </w:p>
    <w:p>
      <w:pPr>
        <w:ind w:firstLine="540"/>
        <w:jc w:val="left"/>
        <w:spacing w:line="360" w:lineRule="auto"/>
        <w:widowControl/>
        <w:rPr>
          <w:rFonts w:ascii="宋体" w:hAnsi="宋体"/>
          <w:color w:val="000000"/>
          <w:sz w:val="22"/>
          <w:szCs w:val="22"/>
        </w:rPr>
      </w:pPr>
      <w:r>
        <w:rPr>
          <w:rFonts w:hint="eastAsia" w:ascii="宋体" w:hAnsi="宋体"/>
          <w:color w:val="000000"/>
          <w:sz w:val="22"/>
          <w:szCs w:val="22"/>
        </w:rPr>
        <w:t xml:space="preserve">4、提供其他的医疗、保健的服务。</w:t>
      </w:r>
      <w:r/>
    </w:p>
    <w:p>
      <w:pPr>
        <w:ind w:firstLine="442"/>
        <w:jc w:val="left"/>
        <w:spacing w:line="360" w:lineRule="auto"/>
        <w:widowControl/>
        <w:rPr>
          <w:b/>
          <w:color w:val="000000"/>
          <w:sz w:val="22"/>
          <w:szCs w:val="22"/>
        </w:rPr>
      </w:pPr>
      <w:r>
        <w:rPr>
          <w:rFonts w:hint="eastAsia"/>
          <w:b/>
          <w:color w:val="000000"/>
          <w:sz w:val="22"/>
          <w:szCs w:val="22"/>
        </w:rPr>
        <w:t xml:space="preserve">四、</w:t>
      </w:r>
      <w:r>
        <w:rPr>
          <w:b/>
          <w:color w:val="000000"/>
          <w:sz w:val="22"/>
          <w:szCs w:val="22"/>
        </w:rPr>
        <w:t xml:space="preserve">履约保证金</w:t>
      </w:r>
      <w:r/>
    </w:p>
    <w:p>
      <w:pPr>
        <w:ind w:firstLine="480"/>
        <w:spacing w:line="360" w:lineRule="auto"/>
        <w:widowControl/>
        <w:rPr>
          <w:color w:val="000000"/>
          <w:sz w:val="22"/>
          <w:szCs w:val="22"/>
        </w:rPr>
      </w:pPr>
      <w:r>
        <w:rPr>
          <w:color w:val="000000"/>
          <w:sz w:val="22"/>
          <w:szCs w:val="22"/>
        </w:rPr>
        <w:t xml:space="preserve">1、履约保证金用于约束乙方在合同履行中的行为，弥补合同执行中由于自身行为可能给甲方带来的各种损失。因乙方原因导致合同未能正常履行的，甲方将扣除乙方的全部履约保证金。</w:t>
      </w:r>
      <w:r/>
    </w:p>
    <w:p>
      <w:pPr>
        <w:ind w:firstLine="480"/>
        <w:spacing w:line="360" w:lineRule="auto"/>
        <w:widowControl/>
        <w:rPr>
          <w:color w:val="000000"/>
          <w:sz w:val="22"/>
          <w:szCs w:val="22"/>
        </w:rPr>
      </w:pPr>
      <w:r>
        <w:rPr>
          <w:color w:val="000000"/>
          <w:sz w:val="22"/>
          <w:szCs w:val="22"/>
        </w:rPr>
        <w:t xml:space="preserve">2、乙方在签订合同前向甲方缴纳履约保证金人民币</w:t>
      </w:r>
      <w:r>
        <w:rPr>
          <w:rFonts w:hint="eastAsia"/>
          <w:color w:val="000000"/>
          <w:sz w:val="22"/>
          <w:szCs w:val="22"/>
          <w:u w:val="single"/>
        </w:rPr>
        <w:t xml:space="preserve">四万元（包一）/一万元（包二） </w:t>
      </w:r>
      <w:r>
        <w:rPr>
          <w:color w:val="000000"/>
          <w:sz w:val="22"/>
          <w:szCs w:val="22"/>
        </w:rPr>
        <w:t xml:space="preserve">整。</w:t>
      </w:r>
      <w:r/>
    </w:p>
    <w:p>
      <w:pPr>
        <w:ind w:firstLine="480"/>
        <w:spacing w:line="360" w:lineRule="auto"/>
        <w:widowControl/>
        <w:rPr>
          <w:b/>
          <w:color w:val="000000"/>
          <w:sz w:val="22"/>
          <w:szCs w:val="22"/>
        </w:rPr>
      </w:pPr>
      <w:r>
        <w:rPr>
          <w:color w:val="000000"/>
          <w:sz w:val="22"/>
          <w:szCs w:val="22"/>
        </w:rPr>
        <w:t xml:space="preserve">3、履约保证金退还方式：合同履行期限结束后，由</w:t>
      </w:r>
      <w:r>
        <w:rPr>
          <w:rFonts w:hint="eastAsia"/>
          <w:color w:val="000000"/>
          <w:sz w:val="22"/>
          <w:szCs w:val="22"/>
        </w:rPr>
        <w:t xml:space="preserve">乙方</w:t>
      </w:r>
      <w:r>
        <w:rPr>
          <w:color w:val="000000"/>
          <w:sz w:val="22"/>
          <w:szCs w:val="22"/>
        </w:rPr>
        <w:t xml:space="preserve">提出退还履约保证金申请，</w:t>
      </w:r>
      <w:r>
        <w:rPr>
          <w:rFonts w:hint="eastAsia"/>
          <w:color w:val="000000"/>
          <w:sz w:val="22"/>
          <w:szCs w:val="22"/>
        </w:rPr>
        <w:t xml:space="preserve">乙方在服务期间不存在任何违约行为的，履约保证金予以无息返还至乙方账户。</w:t>
      </w:r>
      <w:r/>
    </w:p>
    <w:p>
      <w:pPr>
        <w:ind w:firstLine="442"/>
        <w:spacing w:line="360" w:lineRule="auto"/>
        <w:widowControl/>
        <w:rPr>
          <w:b/>
          <w:color w:val="000000"/>
          <w:sz w:val="22"/>
          <w:szCs w:val="22"/>
        </w:rPr>
      </w:pPr>
      <w:r>
        <w:rPr>
          <w:rFonts w:hint="eastAsia"/>
          <w:b/>
          <w:color w:val="000000"/>
          <w:sz w:val="22"/>
          <w:szCs w:val="22"/>
        </w:rPr>
        <w:t xml:space="preserve">五、</w:t>
      </w:r>
      <w:r>
        <w:rPr>
          <w:b/>
          <w:color w:val="000000"/>
          <w:sz w:val="22"/>
          <w:szCs w:val="22"/>
        </w:rPr>
        <w:t xml:space="preserve"> 违约责任</w:t>
      </w:r>
      <w:r/>
    </w:p>
    <w:p>
      <w:pPr>
        <w:ind w:firstLine="480"/>
        <w:spacing w:line="360" w:lineRule="auto"/>
        <w:widowControl/>
        <w:rPr>
          <w:color w:val="000000"/>
          <w:sz w:val="22"/>
          <w:szCs w:val="22"/>
        </w:rPr>
      </w:pPr>
      <w:r>
        <w:rPr>
          <w:color w:val="000000"/>
          <w:sz w:val="22"/>
          <w:szCs w:val="22"/>
        </w:rPr>
        <w:t xml:space="preserve">1、 乙方逾期进行体检服务的，向甲方支付违约金（与履约保证金等额），乙方就及时改正同时仍需履行合同向甲方进行体检服务；如乙方逾期30天仍未体检服务的，甲方有权终止合同。</w:t>
      </w:r>
      <w:r/>
    </w:p>
    <w:p>
      <w:pPr>
        <w:ind w:firstLine="480"/>
        <w:spacing w:line="360" w:lineRule="auto"/>
        <w:widowControl/>
        <w:rPr>
          <w:color w:val="000000"/>
          <w:sz w:val="22"/>
          <w:szCs w:val="22"/>
        </w:rPr>
      </w:pPr>
      <w:r>
        <w:rPr>
          <w:color w:val="000000"/>
          <w:sz w:val="22"/>
          <w:szCs w:val="22"/>
        </w:rPr>
        <w:t xml:space="preserve">2、 乙方提供的服务不符合本合同规定的，甲方有权向乙方提出索赔，乙方应在甲方提出之日起的2天内作出更正。否则，甲方有权终止合同，乙方则应按当年实际结算服务费用的 30% 支付违约金，违约金最高不超过当年实际结算总金额</w:t>
      </w:r>
      <w:r>
        <w:rPr>
          <w:rFonts w:hint="eastAsia"/>
          <w:color w:val="000000"/>
          <w:sz w:val="22"/>
          <w:szCs w:val="22"/>
        </w:rPr>
        <w:t xml:space="preserve">，</w:t>
      </w:r>
      <w:r>
        <w:rPr>
          <w:color w:val="000000"/>
          <w:sz w:val="22"/>
          <w:szCs w:val="22"/>
        </w:rPr>
        <w:t xml:space="preserve">由此造成的一切后果由乙方承担。</w:t>
      </w:r>
      <w:r/>
    </w:p>
    <w:p>
      <w:pPr>
        <w:ind w:firstLine="480"/>
        <w:spacing w:line="360" w:lineRule="auto"/>
        <w:widowControl/>
        <w:rPr>
          <w:color w:val="000000"/>
          <w:sz w:val="22"/>
          <w:szCs w:val="22"/>
        </w:rPr>
      </w:pPr>
      <w:r>
        <w:rPr>
          <w:color w:val="000000"/>
          <w:sz w:val="22"/>
          <w:szCs w:val="22"/>
        </w:rPr>
        <w:t xml:space="preserve">3、 乙方在服务期间由于自身责任造成甲方的一切损失，由乙方负责赔偿。</w:t>
      </w:r>
      <w:r/>
    </w:p>
    <w:p>
      <w:pPr>
        <w:ind w:firstLine="480"/>
        <w:spacing w:line="360" w:lineRule="auto"/>
        <w:widowControl/>
        <w:rPr>
          <w:color w:val="000000"/>
          <w:sz w:val="22"/>
          <w:szCs w:val="22"/>
        </w:rPr>
      </w:pPr>
      <w:r>
        <w:rPr>
          <w:color w:val="000000"/>
          <w:sz w:val="22"/>
          <w:szCs w:val="22"/>
        </w:rPr>
        <w:t xml:space="preserve">4、乙方保证无违法违纪行为，如若发生，后果自负，还应按当年实际结算服务费用的 30% 支付违约金，违约金最高不超过当年实际结算总金额</w:t>
      </w:r>
      <w:r>
        <w:rPr>
          <w:rFonts w:hint="eastAsia"/>
          <w:color w:val="000000"/>
          <w:sz w:val="22"/>
          <w:szCs w:val="22"/>
        </w:rPr>
        <w:t xml:space="preserve">，</w:t>
      </w:r>
      <w:r>
        <w:rPr>
          <w:color w:val="000000"/>
          <w:sz w:val="22"/>
          <w:szCs w:val="22"/>
        </w:rPr>
        <w:t xml:space="preserve">并赔偿因此给甲方造成的一切损失。</w:t>
      </w:r>
      <w:r/>
    </w:p>
    <w:p>
      <w:pPr>
        <w:ind w:firstLine="480"/>
        <w:spacing w:line="360" w:lineRule="auto"/>
        <w:widowControl/>
        <w:rPr>
          <w:color w:val="000000"/>
          <w:sz w:val="22"/>
          <w:szCs w:val="22"/>
        </w:rPr>
      </w:pPr>
      <w:r>
        <w:rPr>
          <w:color w:val="000000"/>
          <w:sz w:val="22"/>
          <w:szCs w:val="22"/>
        </w:rPr>
        <w:t xml:space="preserve">5、 因甲方原因逾期付款的，每逾期一日，甲方应向乙方支付体检服务总费用万分之五滞纳金，超过30日仍未付款的，乙方有权终止本合同，甲方除支付滞纳金外，还应对由此给乙方造成的损失承担赔偿责任。非因甲方原因迟延付款，甲方不承担责任。</w:t>
      </w:r>
      <w:r/>
    </w:p>
    <w:p>
      <w:pPr>
        <w:ind w:firstLine="480"/>
        <w:jc w:val="left"/>
        <w:spacing w:line="360" w:lineRule="auto"/>
        <w:widowControl/>
        <w:rPr>
          <w:color w:val="000000"/>
          <w:sz w:val="22"/>
          <w:szCs w:val="22"/>
        </w:rPr>
      </w:pPr>
      <w:r>
        <w:rPr>
          <w:color w:val="000000"/>
          <w:sz w:val="22"/>
          <w:szCs w:val="22"/>
        </w:rPr>
        <w:t xml:space="preserve">6、 乙方如向甲方提供的体检结果接收方以外的第三方提供涉及甲方体检员工的任何信息资料或体检报告内容，乙方应立即停止该行为，并承担合同标的额 5%的违约金。</w:t>
      </w:r>
      <w:r/>
    </w:p>
    <w:p>
      <w:pPr>
        <w:ind w:firstLine="480"/>
        <w:jc w:val="left"/>
        <w:spacing w:line="360" w:lineRule="auto"/>
        <w:widowControl/>
        <w:rPr>
          <w:b/>
          <w:color w:val="000000"/>
          <w:sz w:val="22"/>
          <w:szCs w:val="22"/>
        </w:rPr>
      </w:pPr>
      <w:r>
        <w:rPr>
          <w:color w:val="000000"/>
          <w:sz w:val="22"/>
          <w:szCs w:val="22"/>
        </w:rPr>
        <w:t xml:space="preserve">7、如乙方不能交付合同约定服务的，甲方有权解除合同，解除合同的通知自到达乙方时生效。 </w:t>
      </w:r>
      <w:r/>
    </w:p>
    <w:p>
      <w:pPr>
        <w:ind w:firstLine="442"/>
        <w:jc w:val="left"/>
        <w:spacing w:line="360" w:lineRule="auto"/>
        <w:widowControl/>
        <w:rPr>
          <w:b/>
          <w:color w:val="000000"/>
          <w:sz w:val="22"/>
          <w:szCs w:val="22"/>
        </w:rPr>
      </w:pPr>
      <w:r>
        <w:rPr>
          <w:rFonts w:hint="eastAsia"/>
          <w:b/>
          <w:color w:val="000000"/>
          <w:sz w:val="22"/>
          <w:szCs w:val="22"/>
        </w:rPr>
        <w:t xml:space="preserve">六、</w:t>
      </w:r>
      <w:r>
        <w:rPr>
          <w:b/>
          <w:color w:val="000000"/>
          <w:sz w:val="22"/>
          <w:szCs w:val="22"/>
        </w:rPr>
        <w:t xml:space="preserve">不可抗力事件处理</w:t>
      </w:r>
      <w:r/>
    </w:p>
    <w:p>
      <w:pPr>
        <w:ind w:firstLine="480"/>
        <w:jc w:val="left"/>
        <w:spacing w:line="360" w:lineRule="auto"/>
        <w:widowControl/>
        <w:rPr>
          <w:color w:val="000000"/>
          <w:sz w:val="22"/>
          <w:szCs w:val="22"/>
        </w:rPr>
      </w:pPr>
      <w:r>
        <w:rPr>
          <w:color w:val="000000"/>
          <w:sz w:val="22"/>
          <w:szCs w:val="22"/>
        </w:rPr>
        <w:t xml:space="preserve">1、在合同有效期内，任何一方因不可抗力事件导致不能履行合同，则合同履行期可延长，其延长期与不可抗力影响期相同。</w:t>
      </w:r>
      <w:r/>
    </w:p>
    <w:p>
      <w:pPr>
        <w:ind w:firstLine="480"/>
        <w:jc w:val="left"/>
        <w:spacing w:line="360" w:lineRule="auto"/>
        <w:widowControl/>
        <w:rPr>
          <w:b/>
          <w:color w:val="000000"/>
          <w:sz w:val="22"/>
          <w:szCs w:val="22"/>
        </w:rPr>
      </w:pPr>
      <w:r>
        <w:rPr>
          <w:color w:val="000000"/>
          <w:sz w:val="22"/>
          <w:szCs w:val="22"/>
        </w:rPr>
        <w:t xml:space="preserve">2、由于不可抗力事件，致使任何一方不能履行本合同，该方不承担由此给另一方造成的损失；该方应及时通知另一方其不能履行或延迟履行合同义务的原因，并应尽快向另一方提供有关发生不可抗力的证明文件，按事故对本合同的影响程度，双方协商是否终止本合同。</w:t>
      </w:r>
      <w:r/>
    </w:p>
    <w:p>
      <w:pPr>
        <w:ind w:firstLine="442"/>
        <w:jc w:val="left"/>
        <w:spacing w:line="360" w:lineRule="auto"/>
        <w:widowControl/>
        <w:rPr>
          <w:b/>
          <w:color w:val="000000"/>
          <w:sz w:val="22"/>
          <w:szCs w:val="22"/>
        </w:rPr>
      </w:pPr>
      <w:r>
        <w:rPr>
          <w:rFonts w:hint="eastAsia"/>
          <w:b/>
          <w:color w:val="000000"/>
          <w:sz w:val="22"/>
          <w:szCs w:val="22"/>
        </w:rPr>
        <w:t xml:space="preserve">七、</w:t>
      </w:r>
      <w:r>
        <w:rPr>
          <w:b/>
          <w:color w:val="000000"/>
          <w:sz w:val="22"/>
          <w:szCs w:val="22"/>
        </w:rPr>
        <w:t xml:space="preserve">争议的解决</w:t>
      </w:r>
      <w:r/>
    </w:p>
    <w:p>
      <w:pPr>
        <w:ind w:firstLine="480"/>
        <w:jc w:val="left"/>
        <w:spacing w:line="360" w:lineRule="auto"/>
        <w:widowControl/>
        <w:rPr>
          <w:color w:val="000000"/>
          <w:sz w:val="22"/>
          <w:szCs w:val="22"/>
        </w:rPr>
      </w:pPr>
      <w:r>
        <w:rPr>
          <w:rFonts w:hint="eastAsia" w:ascii="宋体" w:hAnsi="宋体"/>
          <w:color w:val="000000"/>
          <w:sz w:val="22"/>
          <w:szCs w:val="22"/>
        </w:rPr>
        <w:t xml:space="preserve">本合同执行过程中发生纠纷，由甲乙双方协商处理。协商不成的，双方均可向甲方所在地人民法院提起诉讼。</w:t>
      </w:r>
      <w:r>
        <w:rPr>
          <w:color w:val="000000"/>
          <w:sz w:val="22"/>
          <w:szCs w:val="22"/>
        </w:rPr>
        <w:t xml:space="preserve">。</w:t>
      </w:r>
      <w:r/>
    </w:p>
    <w:p>
      <w:pPr>
        <w:ind w:firstLine="442"/>
        <w:jc w:val="left"/>
        <w:spacing w:line="360" w:lineRule="auto"/>
        <w:widowControl/>
        <w:rPr>
          <w:b/>
          <w:color w:val="000000"/>
          <w:sz w:val="22"/>
          <w:szCs w:val="22"/>
        </w:rPr>
      </w:pPr>
      <w:r>
        <w:rPr>
          <w:rFonts w:hint="eastAsia"/>
          <w:b/>
          <w:color w:val="000000"/>
          <w:sz w:val="22"/>
          <w:szCs w:val="22"/>
        </w:rPr>
        <w:t xml:space="preserve">八、</w:t>
      </w:r>
      <w:r>
        <w:rPr>
          <w:b/>
          <w:color w:val="000000"/>
          <w:sz w:val="22"/>
          <w:szCs w:val="22"/>
        </w:rPr>
        <w:t xml:space="preserve">合同的变更、终止与转让</w:t>
      </w:r>
      <w:r/>
    </w:p>
    <w:p>
      <w:pPr>
        <w:ind w:firstLine="480"/>
        <w:jc w:val="left"/>
        <w:spacing w:line="360" w:lineRule="auto"/>
        <w:widowControl/>
        <w:rPr>
          <w:color w:val="000000"/>
          <w:sz w:val="22"/>
          <w:szCs w:val="22"/>
        </w:rPr>
      </w:pPr>
      <w:r>
        <w:rPr>
          <w:color w:val="000000"/>
          <w:sz w:val="22"/>
          <w:szCs w:val="22"/>
        </w:rPr>
        <w:t xml:space="preserve">1、本合同一经签订，甲乙双方不得擅自变更、中止或终止。</w:t>
      </w:r>
      <w:r/>
    </w:p>
    <w:p>
      <w:pPr>
        <w:ind w:firstLine="480"/>
        <w:jc w:val="left"/>
        <w:spacing w:line="360" w:lineRule="auto"/>
        <w:widowControl/>
        <w:rPr>
          <w:color w:val="000000"/>
          <w:sz w:val="22"/>
          <w:szCs w:val="22"/>
        </w:rPr>
      </w:pPr>
      <w:r>
        <w:rPr>
          <w:color w:val="000000"/>
          <w:sz w:val="22"/>
          <w:szCs w:val="22"/>
        </w:rPr>
        <w:t xml:space="preserve">2、乙方不得擅自转让其应履行的合同义务。</w:t>
      </w:r>
      <w:r/>
    </w:p>
    <w:p>
      <w:pPr>
        <w:ind w:firstLine="480"/>
        <w:jc w:val="left"/>
        <w:spacing w:line="360" w:lineRule="auto"/>
        <w:widowControl/>
        <w:rPr>
          <w:b/>
          <w:color w:val="000000"/>
          <w:sz w:val="22"/>
          <w:szCs w:val="22"/>
        </w:rPr>
      </w:pPr>
      <w:r>
        <w:rPr>
          <w:color w:val="000000"/>
          <w:sz w:val="22"/>
          <w:szCs w:val="22"/>
        </w:rPr>
        <w:t xml:space="preserve">3、双方除非事先得到对方的书面同意或本合同另有约定，任何一方不得将本合同项下的任何权利、义务、责任转让给任何第三方。</w:t>
      </w:r>
      <w:r/>
    </w:p>
    <w:p>
      <w:pPr>
        <w:ind w:firstLine="442"/>
        <w:jc w:val="left"/>
        <w:spacing w:line="360" w:lineRule="auto"/>
        <w:widowControl/>
        <w:rPr>
          <w:rFonts w:ascii="宋体" w:hAnsi="宋体"/>
          <w:b/>
          <w:bCs/>
          <w:color w:val="000000"/>
          <w:sz w:val="22"/>
          <w:szCs w:val="22"/>
        </w:rPr>
      </w:pPr>
      <w:r>
        <w:rPr>
          <w:rFonts w:hint="eastAsia"/>
          <w:b/>
          <w:bCs/>
          <w:color w:val="000000"/>
          <w:sz w:val="22"/>
          <w:szCs w:val="22"/>
        </w:rPr>
        <w:t xml:space="preserve">九、</w:t>
      </w:r>
      <w:r>
        <w:rPr>
          <w:rFonts w:hint="eastAsia" w:ascii="宋体" w:hAnsi="宋体"/>
          <w:b/>
          <w:bCs/>
          <w:color w:val="000000"/>
          <w:sz w:val="22"/>
          <w:szCs w:val="22"/>
        </w:rPr>
        <w:t xml:space="preserve">合同生效</w:t>
      </w:r>
      <w:r/>
    </w:p>
    <w:p>
      <w:pPr>
        <w:ind w:firstLine="440"/>
        <w:jc w:val="left"/>
        <w:spacing w:line="360" w:lineRule="auto"/>
        <w:widowControl/>
        <w:rPr>
          <w:rFonts w:ascii="宋体" w:hAnsi="宋体"/>
          <w:color w:val="000000"/>
          <w:sz w:val="22"/>
          <w:szCs w:val="22"/>
        </w:rPr>
      </w:pPr>
      <w:r>
        <w:rPr>
          <w:rFonts w:hint="eastAsia" w:ascii="宋体" w:hAnsi="宋体"/>
          <w:color w:val="000000"/>
          <w:sz w:val="22"/>
          <w:szCs w:val="22"/>
        </w:rPr>
        <w:t xml:space="preserve">1、本协议经双方代表签署之日起生效，有效期一年。</w:t>
      </w:r>
      <w:r/>
    </w:p>
    <w:p>
      <w:pPr>
        <w:ind w:firstLine="440"/>
        <w:jc w:val="left"/>
        <w:spacing w:line="360" w:lineRule="auto"/>
        <w:widowControl/>
        <w:rPr>
          <w:rFonts w:ascii="宋体" w:hAnsi="宋体"/>
          <w:color w:val="000000"/>
          <w:sz w:val="22"/>
          <w:szCs w:val="22"/>
        </w:rPr>
      </w:pPr>
      <w:r>
        <w:rPr>
          <w:rFonts w:hint="eastAsia" w:ascii="宋体" w:hAnsi="宋体"/>
          <w:color w:val="000000"/>
          <w:sz w:val="22"/>
          <w:szCs w:val="22"/>
        </w:rPr>
        <w:t xml:space="preserve">2、双方未尽事宜，友好协商解决。</w:t>
      </w:r>
      <w:r/>
    </w:p>
    <w:p>
      <w:pPr>
        <w:ind w:firstLine="440"/>
        <w:jc w:val="left"/>
        <w:spacing w:line="360" w:lineRule="auto"/>
        <w:widowControl/>
        <w:rPr>
          <w:rFonts w:ascii="宋体" w:hAnsi="宋体"/>
          <w:color w:val="000000"/>
          <w:sz w:val="22"/>
          <w:szCs w:val="22"/>
        </w:rPr>
      </w:pPr>
      <w:r>
        <w:rPr>
          <w:rFonts w:hint="eastAsia" w:ascii="宋体" w:hAnsi="宋体"/>
          <w:color w:val="000000"/>
          <w:sz w:val="22"/>
          <w:szCs w:val="22"/>
        </w:rPr>
        <w:t xml:space="preserve">3、本协议一式六份，</w:t>
      </w:r>
      <w:r>
        <w:rPr>
          <w:color w:val="000000"/>
          <w:sz w:val="22"/>
          <w:szCs w:val="22"/>
        </w:rPr>
        <w:t xml:space="preserve">具有同等法律效力，甲方</w:t>
      </w:r>
      <w:r>
        <w:rPr>
          <w:rFonts w:hint="eastAsia"/>
          <w:color w:val="000000"/>
          <w:sz w:val="22"/>
          <w:szCs w:val="22"/>
        </w:rPr>
        <w:t xml:space="preserve">肆</w:t>
      </w:r>
      <w:r>
        <w:rPr>
          <w:color w:val="000000"/>
          <w:sz w:val="22"/>
          <w:szCs w:val="22"/>
        </w:rPr>
        <w:t xml:space="preserve">份、乙方</w:t>
      </w:r>
      <w:r>
        <w:rPr>
          <w:rFonts w:hint="eastAsia"/>
          <w:color w:val="000000"/>
          <w:sz w:val="22"/>
          <w:szCs w:val="22"/>
        </w:rPr>
        <w:t xml:space="preserve">贰</w:t>
      </w:r>
      <w:r>
        <w:rPr>
          <w:color w:val="000000"/>
          <w:sz w:val="22"/>
          <w:szCs w:val="22"/>
        </w:rPr>
        <w:t xml:space="preserve">份。</w:t>
      </w:r>
      <w:r/>
    </w:p>
    <w:p>
      <w:pPr>
        <w:jc w:val="left"/>
        <w:spacing w:line="360" w:lineRule="auto"/>
        <w:widowControl/>
        <w:rPr>
          <w:rFonts w:ascii="宋体" w:hAnsi="宋体"/>
          <w:color w:val="000000"/>
          <w:sz w:val="22"/>
          <w:szCs w:val="22"/>
        </w:rPr>
      </w:pPr>
      <w:r>
        <w:rPr>
          <w:rFonts w:ascii="宋体" w:hAnsi="宋体"/>
          <w:color w:val="000000"/>
          <w:sz w:val="22"/>
          <w:szCs w:val="22"/>
        </w:rPr>
      </w:r>
      <w:r/>
    </w:p>
    <w:p>
      <w:pPr>
        <w:jc w:val="left"/>
        <w:spacing w:line="360" w:lineRule="auto"/>
        <w:widowControl/>
        <w:rPr>
          <w:rFonts w:ascii="宋体" w:hAnsi="宋体"/>
          <w:color w:val="000000"/>
          <w:sz w:val="22"/>
          <w:szCs w:val="22"/>
        </w:rPr>
      </w:pPr>
      <w:r>
        <w:rPr>
          <w:rFonts w:hint="eastAsia" w:ascii="宋体" w:hAnsi="宋体"/>
          <w:color w:val="000000"/>
          <w:sz w:val="22"/>
          <w:szCs w:val="22"/>
        </w:rPr>
        <w:t xml:space="preserve">甲方（单位）盖章：             乙方（单位）盖章：</w:t>
      </w:r>
      <w:r/>
    </w:p>
    <w:p>
      <w:pPr>
        <w:jc w:val="left"/>
        <w:spacing w:line="360" w:lineRule="auto"/>
        <w:widowControl/>
        <w:rPr>
          <w:rFonts w:ascii="宋体" w:hAnsi="宋体"/>
          <w:color w:val="000000"/>
          <w:sz w:val="22"/>
          <w:szCs w:val="22"/>
        </w:rPr>
      </w:pPr>
      <w:r>
        <w:rPr>
          <w:rFonts w:hint="eastAsia" w:ascii="宋体" w:hAnsi="宋体"/>
          <w:color w:val="000000"/>
          <w:sz w:val="22"/>
          <w:szCs w:val="22"/>
        </w:rPr>
        <w:t xml:space="preserve">甲 方 代 表 签字：             乙 方 代 表 签字：</w:t>
      </w:r>
      <w:r/>
    </w:p>
    <w:p>
      <w:pPr>
        <w:ind w:firstLine="550"/>
        <w:jc w:val="left"/>
        <w:spacing w:line="360" w:lineRule="auto"/>
        <w:widowControl/>
        <w:rPr>
          <w:rFonts w:ascii="宋体" w:hAnsi="宋体"/>
          <w:color w:val="000000"/>
          <w:sz w:val="22"/>
          <w:szCs w:val="22"/>
        </w:rPr>
      </w:pPr>
      <w:r>
        <w:rPr>
          <w:rFonts w:hint="eastAsia" w:ascii="宋体" w:hAnsi="宋体"/>
          <w:color w:val="000000"/>
          <w:sz w:val="22"/>
          <w:szCs w:val="22"/>
        </w:rPr>
        <w:t xml:space="preserve">年   月   日                    年   月   日</w:t>
      </w:r>
      <w:r/>
    </w:p>
    <w:p>
      <w:pPr>
        <w:rPr>
          <w:rFonts w:ascii="宋体" w:hAnsi="宋体" w:cs="宋体"/>
        </w:rPr>
      </w:pPr>
      <w:r>
        <w:rPr>
          <w:rFonts w:ascii="宋体" w:hAnsi="宋体" w:cs="宋体"/>
        </w:rPr>
      </w:r>
      <w:r/>
    </w:p>
    <w:p>
      <w:pPr>
        <w:rPr>
          <w:rFonts w:ascii="宋体" w:hAnsi="宋体" w:cs="宋体"/>
        </w:rPr>
      </w:pPr>
      <w:r>
        <w:rPr>
          <w:rFonts w:ascii="宋体" w:hAnsi="宋体" w:cs="宋体"/>
        </w:rPr>
      </w:r>
      <w:bookmarkEnd w:id="0"/>
      <w:r/>
      <w:bookmarkEnd w:id="1"/>
      <w:r/>
      <w:r/>
    </w:p>
    <w:p>
      <w:pPr>
        <w:pStyle w:val="887"/>
        <w:numPr>
          <w:ilvl w:val="0"/>
          <w:numId w:val="0"/>
        </w:numPr>
        <w:rPr>
          <w:rFonts w:ascii="宋体" w:hAnsi="宋体" w:cs="宋体"/>
        </w:rPr>
        <w:sectPr>
          <w:footnotePr/>
          <w:endnotePr/>
          <w:type w:val="nextPage"/>
          <w:pgSz w:w="11905" w:h="16838" w:orient="portrait"/>
          <w:pgMar w:top="1440" w:right="1803" w:bottom="1440" w:left="1803" w:header="850" w:footer="992" w:gutter="0"/>
          <w:cols w:num="1" w:sep="0" w:space="0" w:equalWidth="1"/>
          <w:docGrid w:linePitch="360"/>
          <w:titlePg/>
        </w:sectPr>
      </w:pPr>
      <w:r/>
      <w:bookmarkStart w:id="22" w:name="_Toc7019"/>
      <w:r/>
      <w:r/>
    </w:p>
    <w:p>
      <w:pPr>
        <w:pStyle w:val="887"/>
        <w:numPr>
          <w:ilvl w:val="0"/>
          <w:numId w:val="0"/>
        </w:numPr>
        <w:rPr>
          <w:rFonts w:ascii="宋体" w:hAnsi="宋体" w:cs="宋体"/>
        </w:rPr>
      </w:pPr>
      <w:r>
        <w:rPr>
          <w:rFonts w:hint="eastAsia" w:ascii="宋体" w:hAnsi="宋体" w:cs="宋体"/>
        </w:rPr>
        <w:t xml:space="preserve">第六章 附件</w:t>
      </w:r>
      <w:bookmarkEnd w:id="22"/>
      <w:r/>
      <w:r/>
    </w:p>
    <w:p>
      <w:pPr>
        <w:jc w:val="left"/>
        <w:spacing w:line="240" w:lineRule="atLeast"/>
        <w:widowControl/>
        <w:rPr>
          <w:rFonts w:ascii="宋体" w:hAnsi="宋体" w:cs="宋体"/>
          <w:b/>
          <w:bCs/>
          <w:szCs w:val="21"/>
        </w:rPr>
      </w:pPr>
      <w:r>
        <w:rPr>
          <w:rFonts w:ascii="宋体" w:hAnsi="宋体" w:cs="宋体"/>
          <w:b/>
          <w:bCs/>
          <w:szCs w:val="21"/>
        </w:rPr>
      </w:r>
      <w:r/>
    </w:p>
    <w:p>
      <w:pPr>
        <w:spacing w:line="440" w:lineRule="exact"/>
        <w:rPr>
          <w:rFonts w:ascii="宋体" w:hAnsi="宋体" w:cs="宋体"/>
          <w:sz w:val="20"/>
          <w:szCs w:val="20"/>
        </w:rPr>
      </w:pPr>
      <w:r>
        <w:rPr>
          <w:rFonts w:ascii="宋体" w:hAnsi="宋体" w:cs="宋体"/>
          <w:sz w:val="20"/>
          <w:szCs w:val="20"/>
        </w:rPr>
      </w:r>
      <w:r/>
    </w:p>
    <w:p>
      <w:pPr>
        <w:spacing w:line="440" w:lineRule="exact"/>
        <w:rPr>
          <w:rFonts w:ascii="宋体" w:hAnsi="宋体" w:cs="宋体"/>
          <w:sz w:val="20"/>
          <w:szCs w:val="20"/>
        </w:rPr>
      </w:pPr>
      <w:r>
        <w:rPr>
          <w:rFonts w:ascii="宋体" w:hAnsi="宋体" w:cs="宋体"/>
          <w:sz w:val="20"/>
          <w:szCs w:val="20"/>
        </w:rPr>
      </w:r>
      <w:r/>
    </w:p>
    <w:p>
      <w:pPr>
        <w:jc w:val="center"/>
        <w:rPr>
          <w:rFonts w:ascii="宋体" w:hAnsi="宋体" w:cs="宋体"/>
          <w:sz w:val="52"/>
          <w:szCs w:val="52"/>
        </w:rPr>
      </w:pPr>
      <w:r>
        <w:rPr>
          <w:rFonts w:hint="eastAsia" w:ascii="宋体" w:hAnsi="宋体" w:cs="宋体"/>
          <w:sz w:val="52"/>
          <w:szCs w:val="52"/>
        </w:rPr>
        <w:t xml:space="preserve">投标文件</w:t>
      </w:r>
      <w:r/>
    </w:p>
    <w:p>
      <w:pPr>
        <w:rPr>
          <w:rFonts w:ascii="宋体" w:hAnsi="宋体" w:cs="宋体"/>
          <w:sz w:val="36"/>
          <w:szCs w:val="36"/>
        </w:rPr>
      </w:pPr>
      <w:r>
        <w:rPr>
          <w:rFonts w:ascii="宋体" w:hAnsi="宋体" w:cs="宋体"/>
          <w:sz w:val="36"/>
          <w:szCs w:val="36"/>
        </w:rPr>
      </w:r>
      <w:r/>
    </w:p>
    <w:p>
      <w:pPr>
        <w:rPr>
          <w:rFonts w:ascii="宋体" w:hAnsi="宋体" w:cs="宋体"/>
          <w:sz w:val="36"/>
          <w:szCs w:val="36"/>
        </w:rPr>
      </w:pPr>
      <w:r>
        <w:rPr>
          <w:rFonts w:ascii="宋体" w:hAnsi="宋体" w:cs="宋体"/>
          <w:sz w:val="36"/>
          <w:szCs w:val="36"/>
        </w:rPr>
      </w:r>
      <w:r/>
    </w:p>
    <w:p>
      <w:pPr>
        <w:rPr>
          <w:rFonts w:ascii="宋体" w:hAnsi="宋体" w:cs="宋体"/>
          <w:sz w:val="36"/>
          <w:szCs w:val="36"/>
        </w:rPr>
      </w:pPr>
      <w:r>
        <w:rPr>
          <w:rFonts w:ascii="宋体" w:hAnsi="宋体" w:cs="宋体"/>
          <w:sz w:val="36"/>
          <w:szCs w:val="36"/>
        </w:rPr>
      </w:r>
      <w:r/>
    </w:p>
    <w:p>
      <w:pPr>
        <w:ind w:firstLine="720"/>
        <w:rPr>
          <w:rFonts w:ascii="宋体" w:hAnsi="宋体" w:cs="宋体"/>
          <w:sz w:val="36"/>
          <w:szCs w:val="36"/>
        </w:rPr>
      </w:pPr>
      <w:r>
        <w:rPr>
          <w:rFonts w:hint="eastAsia" w:ascii="宋体" w:hAnsi="宋体" w:cs="宋体"/>
          <w:sz w:val="36"/>
          <w:szCs w:val="36"/>
        </w:rPr>
        <w:t xml:space="preserve">项目名称：</w:t>
      </w:r>
      <w:r/>
    </w:p>
    <w:p>
      <w:pPr>
        <w:ind w:firstLine="720"/>
        <w:rPr>
          <w:rFonts w:ascii="宋体" w:hAnsi="宋体" w:cs="宋体"/>
          <w:sz w:val="36"/>
          <w:szCs w:val="36"/>
        </w:rPr>
      </w:pPr>
      <w:r>
        <w:rPr>
          <w:rFonts w:hint="eastAsia" w:ascii="宋体" w:hAnsi="宋体" w:cs="宋体"/>
          <w:sz w:val="36"/>
          <w:szCs w:val="36"/>
        </w:rPr>
        <w:t xml:space="preserve">招标编号：</w:t>
      </w:r>
      <w:r/>
    </w:p>
    <w:p>
      <w:pPr>
        <w:ind w:firstLine="720"/>
        <w:rPr>
          <w:rFonts w:ascii="宋体" w:hAnsi="宋体" w:cs="宋体"/>
          <w:sz w:val="36"/>
          <w:szCs w:val="36"/>
          <w:u w:val="single"/>
        </w:rPr>
      </w:pPr>
      <w:r>
        <w:rPr>
          <w:rFonts w:hint="eastAsia" w:ascii="宋体" w:hAnsi="宋体" w:cs="宋体"/>
          <w:sz w:val="36"/>
          <w:szCs w:val="36"/>
        </w:rPr>
        <w:t xml:space="preserve">投标人名称：（加盖电子公章）</w:t>
      </w:r>
      <w:r/>
    </w:p>
    <w:p>
      <w:pPr>
        <w:ind w:firstLine="720"/>
        <w:jc w:val="left"/>
        <w:widowControl/>
        <w:rPr>
          <w:rFonts w:ascii="宋体" w:hAnsi="宋体" w:cs="宋体"/>
          <w:sz w:val="28"/>
          <w:szCs w:val="28"/>
        </w:rPr>
      </w:pPr>
      <w:r>
        <w:rPr>
          <w:rFonts w:hint="eastAsia" w:ascii="宋体" w:hAnsi="宋体" w:cs="宋体"/>
          <w:sz w:val="36"/>
          <w:szCs w:val="36"/>
        </w:rPr>
        <w:t xml:space="preserve">日期：</w:t>
      </w:r>
      <w:r/>
    </w:p>
    <w:p>
      <w:pPr>
        <w:rPr>
          <w:rFonts w:ascii="宋体" w:hAnsi="宋体" w:cs="宋体"/>
          <w:sz w:val="32"/>
          <w:szCs w:val="32"/>
        </w:rPr>
      </w:pPr>
      <w:r>
        <w:rPr>
          <w:rFonts w:hint="eastAsia" w:ascii="宋体" w:hAnsi="宋体" w:cs="宋体"/>
          <w:sz w:val="32"/>
          <w:szCs w:val="32"/>
        </w:rPr>
        <w:br w:type="page" w:clear="all"/>
      </w:r>
      <w:r/>
    </w:p>
    <w:p>
      <w:pPr>
        <w:jc w:val="center"/>
        <w:spacing w:before="317" w:after="317"/>
        <w:rPr>
          <w:rFonts w:ascii="宋体" w:hAnsi="宋体" w:cs="宋体"/>
          <w:b/>
          <w:bCs/>
          <w:sz w:val="32"/>
          <w:szCs w:val="32"/>
        </w:rPr>
      </w:pPr>
      <w:r>
        <w:rPr>
          <w:rFonts w:hint="eastAsia" w:ascii="宋体" w:hAnsi="宋体" w:cs="宋体"/>
          <w:b/>
          <w:bCs/>
          <w:sz w:val="32"/>
          <w:szCs w:val="32"/>
        </w:rPr>
        <w:t xml:space="preserve">目录</w:t>
      </w:r>
      <w:r/>
    </w:p>
    <w:p>
      <w:pPr>
        <w:jc w:val="center"/>
        <w:rPr>
          <w:rFonts w:ascii="宋体" w:hAnsi="宋体" w:cs="宋体"/>
          <w:szCs w:val="21"/>
        </w:rPr>
      </w:pPr>
      <w:r>
        <w:rPr>
          <w:rFonts w:hint="eastAsia" w:ascii="宋体" w:hAnsi="宋体" w:cs="宋体"/>
          <w:szCs w:val="21"/>
        </w:rPr>
        <w:t xml:space="preserve">（注：供应商根据附件顺序编制投标文件并制作目录（须生成页码））</w:t>
      </w:r>
      <w:r/>
    </w:p>
    <w:p>
      <w:pPr>
        <w:spacing w:line="460" w:lineRule="atLeast"/>
        <w:widowControl/>
        <w:rPr>
          <w:rFonts w:ascii="宋体" w:hAnsi="宋体" w:cs="宋体"/>
          <w:szCs w:val="21"/>
        </w:rPr>
      </w:pPr>
      <w:r>
        <w:rPr>
          <w:rFonts w:hint="eastAsia" w:ascii="宋体" w:hAnsi="宋体" w:cs="宋体"/>
        </w:rPr>
        <w:br w:type="page" w:clear="all"/>
      </w:r>
      <w:r>
        <w:rPr>
          <w:rFonts w:hint="eastAsia" w:ascii="宋体" w:hAnsi="宋体" w:cs="宋体"/>
          <w:b/>
          <w:bCs/>
          <w:sz w:val="24"/>
        </w:rPr>
        <w:t xml:space="preserve">附件一、投标申请及声明格式</w:t>
      </w:r>
      <w:r/>
    </w:p>
    <w:p>
      <w:pPr>
        <w:jc w:val="center"/>
        <w:spacing w:line="360" w:lineRule="auto"/>
        <w:shd w:val="clear" w:color="auto" w:fill="ffffff"/>
        <w:widowControl/>
        <w:rPr>
          <w:rFonts w:ascii="宋体" w:hAnsi="宋体" w:cs="宋体"/>
          <w:b/>
          <w:szCs w:val="21"/>
        </w:rPr>
      </w:pPr>
      <w:r>
        <w:rPr>
          <w:rFonts w:hint="eastAsia" w:ascii="宋体" w:hAnsi="宋体" w:cs="宋体"/>
          <w:b/>
          <w:sz w:val="36"/>
          <w:szCs w:val="36"/>
        </w:rPr>
        <w:t xml:space="preserve">投标申请及声明</w:t>
      </w:r>
      <w:r/>
    </w:p>
    <w:p>
      <w:pPr>
        <w:spacing w:line="400" w:lineRule="exact"/>
        <w:shd w:val="clear" w:color="auto" w:fill="ffffff"/>
        <w:widowControl/>
        <w:rPr>
          <w:rFonts w:ascii="宋体" w:hAnsi="宋体" w:cs="宋体"/>
          <w:szCs w:val="21"/>
        </w:rPr>
      </w:pPr>
      <w:r>
        <w:rPr>
          <w:rFonts w:hint="eastAsia" w:ascii="宋体" w:hAnsi="宋体" w:cs="宋体"/>
          <w:szCs w:val="21"/>
        </w:rPr>
        <w:t xml:space="preserve"> 致：江苏省设备成套股份有限公司</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根据贵方</w:t>
      </w:r>
      <w:r>
        <w:rPr>
          <w:rFonts w:hint="eastAsia" w:ascii="宋体" w:hAnsi="宋体" w:cs="宋体"/>
          <w:szCs w:val="21"/>
          <w:u w:val="single"/>
        </w:rPr>
        <w:t xml:space="preserve">           </w:t>
      </w:r>
      <w:r>
        <w:rPr>
          <w:rFonts w:hint="eastAsia" w:ascii="宋体" w:hAnsi="宋体" w:cs="宋体"/>
          <w:szCs w:val="21"/>
        </w:rPr>
        <w:t xml:space="preserve">（项目名称） </w:t>
      </w:r>
      <w:r>
        <w:rPr>
          <w:rFonts w:hint="eastAsia" w:ascii="宋体" w:hAnsi="宋体" w:cs="宋体"/>
          <w:szCs w:val="21"/>
          <w:u w:val="single"/>
        </w:rPr>
        <w:t xml:space="preserve">       </w:t>
      </w:r>
      <w:r>
        <w:rPr>
          <w:rFonts w:hint="eastAsia" w:ascii="宋体" w:hAnsi="宋体" w:cs="宋体"/>
          <w:szCs w:val="21"/>
        </w:rPr>
        <w:t xml:space="preserve">（项目编号）投标邀请，正式授权下述签字人</w:t>
      </w:r>
      <w:r>
        <w:rPr>
          <w:rFonts w:hint="eastAsia" w:ascii="宋体" w:hAnsi="宋体" w:cs="宋体"/>
          <w:szCs w:val="21"/>
          <w:u w:val="single"/>
        </w:rPr>
        <w:t xml:space="preserve">           </w:t>
      </w:r>
      <w:r>
        <w:rPr>
          <w:rFonts w:hint="eastAsia" w:ascii="宋体" w:hAnsi="宋体" w:cs="宋体"/>
          <w:szCs w:val="21"/>
        </w:rPr>
        <w:t xml:space="preserve">(姓名和职务)代表供应商</w:t>
      </w:r>
      <w:r>
        <w:rPr>
          <w:rFonts w:hint="eastAsia" w:ascii="宋体" w:hAnsi="宋体" w:cs="宋体"/>
          <w:szCs w:val="21"/>
          <w:u w:val="single"/>
        </w:rPr>
        <w:t xml:space="preserve">     </w:t>
      </w:r>
      <w:r>
        <w:rPr>
          <w:rFonts w:hint="eastAsia" w:ascii="宋体" w:hAnsi="宋体" w:cs="宋体"/>
          <w:szCs w:val="21"/>
        </w:rPr>
        <w:t xml:space="preserve">（供应商名称），提交投标文件。</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据此函，签字人兹宣布声明和承诺如下：</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1、</w:t>
      </w:r>
      <w:r>
        <w:rPr>
          <w:rFonts w:hint="eastAsia" w:ascii="宋体" w:hAnsi="宋体" w:cs="宋体"/>
          <w:b/>
          <w:bCs/>
          <w:szCs w:val="21"/>
        </w:rPr>
        <w:t xml:space="preserve">我们的资格条件完全符合政府采购法和本次招标要求</w:t>
      </w:r>
      <w:r>
        <w:rPr>
          <w:rFonts w:hint="eastAsia" w:ascii="宋体" w:hAnsi="宋体" w:cs="宋体"/>
          <w:szCs w:val="21"/>
        </w:rPr>
        <w:t xml:space="preserve">，我们同意并向贵方提供了与投标有关的所有证据和资料。</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2、按招标要求，我们的投标总报价详见开标一览表。</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3、本项目交付时间为：满足采购文件要求。</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4、我们已详细阅读全部招标文件及其有效补充文件，我们放弃对招标文件任何误解的权利，提交投标文件后，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6、投标截止时间结束后参加投标的供应商不足三家的，或在评标期间出现符合专业条件的供应商或者对招标文件作出实质响应的供应商不足三家情形的，我们酌情决定是否参加</w:t>
      </w:r>
      <w:r>
        <w:rPr>
          <w:rFonts w:hint="eastAsia" w:ascii="宋体" w:hAnsi="宋体" w:cs="宋体"/>
        </w:rPr>
        <w:t xml:space="preserve">贵方组织的其他采购方式采购</w:t>
      </w:r>
      <w:r>
        <w:rPr>
          <w:rFonts w:hint="eastAsia" w:ascii="宋体" w:hAnsi="宋体" w:cs="宋体"/>
          <w:szCs w:val="21"/>
        </w:rPr>
        <w:t xml:space="preserve">。</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9、与本投标有关的正式联系方式为：</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开户银行：</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银行账号：</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供应商名称：</w:t>
      </w:r>
      <w:r>
        <w:rPr>
          <w:rFonts w:hint="eastAsia" w:ascii="宋体" w:hAnsi="宋体" w:cs="宋体"/>
          <w:szCs w:val="21"/>
          <w:u w:val="single"/>
        </w:rPr>
        <w:t xml:space="preserve">                 </w:t>
      </w:r>
      <w:r>
        <w:rPr>
          <w:rFonts w:hint="eastAsia" w:ascii="宋体" w:hAnsi="宋体" w:cs="宋体"/>
          <w:szCs w:val="21"/>
        </w:rPr>
        <w:t xml:space="preserve">（加盖电子公章）</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460" w:lineRule="atLeast"/>
        <w:widowControl/>
        <w:rPr>
          <w:rFonts w:ascii="宋体" w:hAnsi="宋体" w:cs="宋体"/>
          <w:szCs w:val="21"/>
        </w:rPr>
      </w:pPr>
      <w:r>
        <w:rPr>
          <w:rFonts w:hint="eastAsia" w:ascii="宋体" w:hAnsi="宋体" w:cs="宋体"/>
          <w:b/>
          <w:bCs/>
          <w:szCs w:val="21"/>
        </w:rPr>
        <w:br w:type="page" w:clear="all"/>
      </w:r>
      <w:r>
        <w:rPr>
          <w:rFonts w:hint="eastAsia" w:ascii="宋体" w:hAnsi="宋体" w:cs="宋体"/>
          <w:b/>
          <w:bCs/>
          <w:sz w:val="24"/>
        </w:rPr>
        <w:t xml:space="preserve">附件二、法定代表人授权委托书格式</w:t>
      </w:r>
      <w:r/>
    </w:p>
    <w:p>
      <w:pPr>
        <w:ind w:firstLine="720"/>
        <w:jc w:val="center"/>
        <w:spacing w:line="360" w:lineRule="auto"/>
        <w:shd w:val="clear" w:color="auto" w:fill="ffffff"/>
        <w:widowControl/>
        <w:rPr>
          <w:rFonts w:ascii="宋体" w:hAnsi="宋体" w:cs="宋体"/>
          <w:sz w:val="36"/>
          <w:szCs w:val="36"/>
        </w:rPr>
      </w:pPr>
      <w:r>
        <w:rPr>
          <w:rFonts w:ascii="宋体" w:hAnsi="宋体" w:cs="宋体"/>
          <w:sz w:val="36"/>
          <w:szCs w:val="36"/>
        </w:rPr>
      </w:r>
      <w:r/>
    </w:p>
    <w:p>
      <w:pPr>
        <w:ind w:firstLine="720"/>
        <w:jc w:val="center"/>
        <w:spacing w:line="360" w:lineRule="auto"/>
        <w:shd w:val="clear" w:color="auto" w:fill="ffffff"/>
        <w:widowControl/>
        <w:rPr>
          <w:rFonts w:ascii="宋体" w:hAnsi="宋体" w:cs="宋体"/>
          <w:b/>
          <w:szCs w:val="21"/>
        </w:rPr>
      </w:pPr>
      <w:r>
        <w:rPr>
          <w:rFonts w:hint="eastAsia" w:ascii="宋体" w:hAnsi="宋体" w:cs="宋体"/>
          <w:b/>
          <w:sz w:val="36"/>
          <w:szCs w:val="36"/>
        </w:rPr>
        <w:t xml:space="preserve">法人授权书</w:t>
      </w:r>
      <w:r/>
    </w:p>
    <w:p>
      <w:pPr>
        <w:jc w:val="left"/>
        <w:spacing w:line="360" w:lineRule="auto"/>
        <w:shd w:val="clear" w:color="auto" w:fill="ffffff"/>
        <w:widowControl/>
        <w:rPr>
          <w:rFonts w:ascii="宋体" w:hAnsi="宋体" w:cs="宋体"/>
          <w:szCs w:val="21"/>
        </w:rPr>
      </w:pPr>
      <w:r>
        <w:rPr>
          <w:rFonts w:ascii="宋体" w:hAnsi="宋体" w:cs="宋体"/>
          <w:szCs w:val="21"/>
        </w:rPr>
      </w:r>
      <w:r/>
    </w:p>
    <w:p>
      <w:pPr>
        <w:ind w:firstLine="480"/>
        <w:spacing w:line="480" w:lineRule="exact"/>
        <w:rPr>
          <w:rFonts w:ascii="宋体" w:hAnsi="宋体" w:cs="宋体"/>
          <w:szCs w:val="21"/>
        </w:rPr>
      </w:pPr>
      <w:r>
        <w:rPr>
          <w:rFonts w:hint="eastAsia" w:ascii="宋体" w:hAnsi="宋体" w:cs="宋体"/>
          <w:szCs w:val="21"/>
        </w:rPr>
        <w:t xml:space="preserve">本授权书声明：</w:t>
      </w:r>
      <w:r>
        <w:rPr>
          <w:rFonts w:hint="eastAsia" w:ascii="宋体" w:hAnsi="宋体" w:cs="宋体"/>
          <w:szCs w:val="21"/>
          <w:u w:val="single"/>
        </w:rPr>
        <w:t xml:space="preserve">            </w:t>
      </w:r>
      <w:r>
        <w:rPr>
          <w:rFonts w:hint="eastAsia" w:ascii="宋体" w:hAnsi="宋体" w:cs="宋体"/>
          <w:szCs w:val="21"/>
        </w:rPr>
        <w:t xml:space="preserve">（投标人名称）授权</w:t>
      </w:r>
      <w:r>
        <w:rPr>
          <w:rFonts w:hint="eastAsia" w:ascii="宋体" w:hAnsi="宋体" w:cs="宋体"/>
          <w:szCs w:val="21"/>
          <w:u w:val="single"/>
        </w:rPr>
        <w:t xml:space="preserve">                 </w:t>
      </w:r>
      <w:r>
        <w:rPr>
          <w:rFonts w:hint="eastAsia" w:ascii="宋体" w:hAnsi="宋体" w:cs="宋体"/>
          <w:szCs w:val="21"/>
        </w:rPr>
        <w:t xml:space="preserve">（被授权人姓名）作为我方参加编号为</w:t>
      </w:r>
      <w:r>
        <w:rPr>
          <w:rFonts w:hint="eastAsia" w:ascii="宋体" w:hAnsi="宋体" w:cs="宋体"/>
          <w:szCs w:val="21"/>
          <w:u w:val="single"/>
        </w:rPr>
        <w:t xml:space="preserve">                             </w:t>
      </w:r>
      <w:r>
        <w:rPr>
          <w:rFonts w:hint="eastAsia" w:ascii="宋体" w:hAnsi="宋体" w:cs="宋体"/>
          <w:szCs w:val="21"/>
        </w:rPr>
        <w:t xml:space="preserve">项目采购活动的合法代理人，以本单位名义全权处理一切与该项目采购有关的事务。</w:t>
      </w:r>
      <w:r/>
    </w:p>
    <w:p>
      <w:pPr>
        <w:ind w:firstLine="480"/>
        <w:spacing w:line="480" w:lineRule="exact"/>
        <w:rPr>
          <w:rFonts w:ascii="宋体" w:hAnsi="宋体" w:cs="宋体"/>
          <w:szCs w:val="21"/>
        </w:rPr>
      </w:pPr>
      <w:r>
        <w:rPr>
          <w:rFonts w:hint="eastAsia" w:ascii="宋体" w:hAnsi="宋体" w:cs="宋体"/>
          <w:szCs w:val="21"/>
        </w:rPr>
        <w:t xml:space="preserve">本授权书自______年____月____日起生效，特此声明。</w:t>
      </w:r>
      <w:r/>
    </w:p>
    <w:p>
      <w:pPr>
        <w:ind w:firstLine="480"/>
        <w:spacing w:line="480" w:lineRule="exact"/>
        <w:rPr>
          <w:rFonts w:ascii="宋体" w:hAnsi="宋体" w:cs="宋体"/>
          <w:szCs w:val="21"/>
        </w:rPr>
      </w:pPr>
      <w:r>
        <w:rPr>
          <w:rFonts w:hint="eastAsia" w:ascii="宋体" w:hAnsi="宋体" w:cs="宋体"/>
          <w:szCs w:val="21"/>
        </w:rPr>
        <w:t xml:space="preserve">被授权人身份证号码：</w:t>
      </w:r>
      <w:r/>
    </w:p>
    <w:p>
      <w:pPr>
        <w:ind w:firstLine="480"/>
        <w:spacing w:line="480" w:lineRule="exact"/>
        <w:rPr>
          <w:rFonts w:ascii="宋体" w:hAnsi="宋体" w:cs="宋体"/>
          <w:szCs w:val="21"/>
          <w:u w:val="single"/>
        </w:rPr>
      </w:pPr>
      <w:r>
        <w:rPr>
          <w:rFonts w:hint="eastAsia" w:ascii="宋体" w:hAnsi="宋体" w:cs="宋体"/>
          <w:szCs w:val="21"/>
        </w:rPr>
        <w:t xml:space="preserve">被授权人联系电话：           （手机）</w:t>
      </w:r>
      <w:r/>
    </w:p>
    <w:p>
      <w:pPr>
        <w:ind w:firstLine="480"/>
        <w:spacing w:line="480" w:lineRule="exact"/>
        <w:rPr>
          <w:rFonts w:ascii="宋体" w:hAnsi="宋体" w:cs="宋体"/>
          <w:szCs w:val="21"/>
          <w:u w:val="single"/>
        </w:rPr>
      </w:pPr>
      <w:r>
        <w:rPr>
          <w:rFonts w:hint="eastAsia" w:ascii="宋体" w:hAnsi="宋体" w:cs="宋体"/>
          <w:szCs w:val="21"/>
        </w:rPr>
        <w:t xml:space="preserve">投标人名称：              （加盖电子公章）</w:t>
      </w:r>
      <w:r/>
    </w:p>
    <w:p>
      <w:pPr>
        <w:ind w:firstLine="480"/>
        <w:spacing w:line="480" w:lineRule="exact"/>
        <w:rPr>
          <w:rFonts w:ascii="宋体" w:hAnsi="宋体" w:cs="宋体"/>
          <w:szCs w:val="21"/>
          <w:u w:val="single"/>
        </w:rPr>
      </w:pPr>
      <w:r>
        <w:rPr>
          <w:rFonts w:hint="eastAsia" w:ascii="宋体" w:hAnsi="宋体" w:cs="宋体"/>
          <w:szCs w:val="21"/>
        </w:rPr>
        <w:t xml:space="preserve">单位地址：</w:t>
      </w:r>
      <w:r/>
    </w:p>
    <w:p>
      <w:pPr>
        <w:ind w:firstLine="480"/>
        <w:spacing w:line="480" w:lineRule="exact"/>
        <w:rPr>
          <w:rFonts w:ascii="宋体" w:hAnsi="宋体" w:cs="宋体"/>
          <w:szCs w:val="21"/>
        </w:rPr>
      </w:pPr>
      <w:r>
        <w:rPr>
          <w:rFonts w:hint="eastAsia" w:ascii="宋体" w:hAnsi="宋体" w:cs="宋体"/>
          <w:szCs w:val="21"/>
        </w:rPr>
        <w:t xml:space="preserve">日    期：</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spacing w:line="460" w:lineRule="atLeast"/>
        <w:widowControl/>
        <w:rPr>
          <w:rFonts w:ascii="宋体" w:hAnsi="宋体" w:cs="宋体"/>
        </w:rPr>
      </w:pPr>
      <w:r>
        <w:rPr>
          <w:rFonts w:hint="eastAsia" w:ascii="宋体" w:hAnsi="宋体" w:cs="宋体"/>
          <w:b/>
          <w:bCs/>
          <w:szCs w:val="21"/>
        </w:rPr>
        <w:br w:type="page" w:clear="all"/>
      </w:r>
      <w:r>
        <w:rPr>
          <w:rFonts w:hint="eastAsia" w:ascii="宋体" w:hAnsi="宋体" w:cs="宋体"/>
          <w:b/>
          <w:bCs/>
          <w:sz w:val="24"/>
          <w:lang w:val="zh-CN"/>
        </w:rPr>
        <w:t xml:space="preserve">附件三、</w:t>
      </w:r>
      <w:r>
        <w:rPr>
          <w:rFonts w:hint="eastAsia" w:ascii="宋体" w:hAnsi="宋体" w:cs="宋体"/>
          <w:b/>
          <w:bCs/>
          <w:sz w:val="24"/>
        </w:rPr>
        <w:t xml:space="preserve">开标一览</w:t>
      </w:r>
      <w:r>
        <w:rPr>
          <w:rFonts w:hint="eastAsia" w:ascii="宋体" w:hAnsi="宋体" w:cs="宋体"/>
          <w:b/>
          <w:bCs/>
          <w:sz w:val="24"/>
          <w:lang w:val="zh-CN"/>
        </w:rPr>
        <w:t xml:space="preserve">表</w:t>
      </w:r>
      <w:r>
        <w:rPr>
          <w:rFonts w:hint="eastAsia" w:ascii="宋体" w:hAnsi="宋体" w:cs="宋体"/>
          <w:b/>
          <w:bCs/>
          <w:sz w:val="24"/>
        </w:rPr>
        <w:t xml:space="preserve">补充</w:t>
      </w:r>
      <w:r/>
    </w:p>
    <w:p>
      <w:pPr>
        <w:rPr>
          <w:rFonts w:ascii="宋体" w:hAnsi="宋体" w:cs="宋体"/>
          <w:b/>
          <w:bCs/>
          <w:lang w:val="zh-CN"/>
        </w:rPr>
      </w:pPr>
      <w:r>
        <w:rPr>
          <w:rFonts w:ascii="宋体" w:hAnsi="宋体" w:cs="宋体"/>
          <w:b/>
          <w:bCs/>
          <w:lang w:val="zh-CN"/>
        </w:rPr>
      </w:r>
      <w:r/>
    </w:p>
    <w:tbl>
      <w:tblPr>
        <w:tblStyle w:val="897"/>
        <w:tblW w:w="531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81"/>
        <w:gridCol w:w="4258"/>
        <w:gridCol w:w="3072"/>
      </w:tblGrid>
      <w:tr>
        <w:trPr>
          <w:cantSplit/>
          <w:trHeight w:val="1150"/>
        </w:trPr>
        <w:tc>
          <w:tcPr>
            <w:tcW w:w="840" w:type="pct"/>
            <w:vAlign w:val="center"/>
            <w:vMerge w:val="restart"/>
            <w:textDirection w:val="lrTb"/>
            <w:noWrap w:val="false"/>
          </w:tcPr>
          <w:p>
            <w:pPr>
              <w:jc w:val="center"/>
              <w:rPr>
                <w:color w:val="auto"/>
              </w:rPr>
            </w:pPr>
            <w:r>
              <w:rPr>
                <w:rFonts w:hint="eastAsia"/>
                <w:color w:val="auto"/>
              </w:rPr>
              <w:t xml:space="preserve">投标报价</w:t>
            </w:r>
            <w:r/>
          </w:p>
        </w:tc>
        <w:tc>
          <w:tcPr>
            <w:tcW w:w="2416" w:type="pct"/>
            <w:vAlign w:val="center"/>
            <w:textDirection w:val="lrTb"/>
            <w:noWrap w:val="false"/>
          </w:tcPr>
          <w:p>
            <w:pPr>
              <w:pStyle w:val="901"/>
              <w:ind w:firstLine="0"/>
              <w:rPr>
                <w:rFonts w:ascii="宋体" w:hAnsi="宋体" w:cs="宋体"/>
                <w:color w:val="auto"/>
                <w:sz w:val="21"/>
                <w:szCs w:val="21"/>
              </w:rPr>
            </w:pPr>
            <w:r>
              <w:rPr>
                <w:rFonts w:hint="eastAsia" w:ascii="宋体" w:hAnsi="宋体" w:cs="宋体"/>
                <w:color w:val="auto"/>
                <w:sz w:val="21"/>
                <w:szCs w:val="21"/>
              </w:rPr>
              <w:t xml:space="preserve">报价1：</w:t>
            </w:r>
            <w:r/>
          </w:p>
          <w:p>
            <w:pPr>
              <w:pStyle w:val="901"/>
              <w:ind w:firstLine="0"/>
              <w:rPr>
                <w:rFonts w:ascii="宋体" w:hAnsi="宋体" w:cs="宋体"/>
                <w:b w:val="0"/>
                <w:bCs/>
                <w:color w:val="auto"/>
                <w:sz w:val="21"/>
                <w:szCs w:val="21"/>
              </w:rPr>
            </w:pPr>
            <w:r>
              <w:rPr>
                <w:rFonts w:hint="eastAsia" w:ascii="宋体" w:hAnsi="宋体" w:cs="宋体"/>
                <w:b w:val="0"/>
                <w:bCs/>
                <w:color w:val="auto"/>
                <w:sz w:val="21"/>
                <w:szCs w:val="21"/>
              </w:rPr>
              <w:t xml:space="preserve">45岁以下在职男性套餐单价：详见苏采云系统。（该项价格在苏采云系统开标一览表填报</w:t>
            </w:r>
            <w:r>
              <w:rPr>
                <w:rFonts w:hint="eastAsia" w:ascii="宋体" w:hAnsi="宋体" w:cs="宋体"/>
                <w:b w:val="0"/>
                <w:bCs/>
                <w:color w:val="auto"/>
                <w:sz w:val="21"/>
                <w:szCs w:val="21"/>
                <w:lang w:eastAsia="zh-CN"/>
              </w:rPr>
              <w:t xml:space="preserve">，</w:t>
            </w:r>
            <w:r>
              <w:rPr>
                <w:rFonts w:hint="eastAsia" w:ascii="宋体" w:hAnsi="宋体" w:cs="宋体"/>
                <w:b w:val="0"/>
                <w:bCs/>
                <w:color w:val="auto"/>
                <w:sz w:val="21"/>
                <w:szCs w:val="21"/>
                <w:lang w:val="en-US" w:eastAsia="zh-CN"/>
              </w:rPr>
              <w:t xml:space="preserve">此处无需填写</w:t>
            </w:r>
            <w:r>
              <w:rPr>
                <w:rFonts w:hint="eastAsia" w:ascii="宋体" w:hAnsi="宋体" w:cs="宋体"/>
                <w:b w:val="0"/>
                <w:bCs/>
                <w:color w:val="auto"/>
                <w:sz w:val="21"/>
                <w:szCs w:val="21"/>
              </w:rPr>
              <w:t xml:space="preserve">）</w:t>
            </w:r>
            <w:r/>
          </w:p>
        </w:tc>
        <w:tc>
          <w:tcPr>
            <w:tcW w:w="1742" w:type="pct"/>
            <w:vAlign w:val="center"/>
            <w:vMerge w:val="restart"/>
            <w:textDirection w:val="lrTb"/>
            <w:noWrap w:val="false"/>
          </w:tcPr>
          <w:p>
            <w:pPr>
              <w:spacing w:line="440" w:lineRule="exact"/>
              <w:rPr>
                <w:rFonts w:ascii="宋体" w:hAnsi="宋体" w:cs="宋体"/>
                <w:b/>
                <w:bCs/>
                <w:color w:val="auto"/>
                <w:szCs w:val="21"/>
              </w:rPr>
            </w:pPr>
            <w:r>
              <w:rPr>
                <w:rFonts w:hint="eastAsia" w:ascii="宋体" w:hAnsi="宋体" w:cs="宋体"/>
                <w:b/>
                <w:bCs/>
                <w:color w:val="auto"/>
                <w:szCs w:val="21"/>
              </w:rPr>
              <w:t xml:space="preserve">备注：</w:t>
            </w:r>
            <w:r/>
          </w:p>
          <w:p>
            <w:pPr>
              <w:spacing w:line="440" w:lineRule="exact"/>
              <w:rPr>
                <w:rFonts w:ascii="宋体" w:hAnsi="宋体" w:cs="宋体"/>
                <w:b/>
                <w:bCs/>
                <w:color w:val="ff0000"/>
                <w:szCs w:val="21"/>
                <w:u w:val="single"/>
              </w:rPr>
            </w:pPr>
            <w:r>
              <w:rPr>
                <w:rFonts w:hint="eastAsia" w:ascii="宋体" w:hAnsi="宋体" w:cs="宋体"/>
                <w:color w:val="auto"/>
                <w:szCs w:val="21"/>
              </w:rPr>
              <w:t xml:space="preserve">本项目共6项价格需要投标人报价，由于苏采云系统原因，</w:t>
            </w:r>
            <w:r>
              <w:rPr>
                <w:rFonts w:hint="eastAsia" w:ascii="宋体" w:hAnsi="宋体" w:cs="宋体"/>
                <w:b/>
                <w:bCs/>
                <w:color w:val="ff0000"/>
                <w:szCs w:val="21"/>
                <w:u w:val="single"/>
              </w:rPr>
              <w:t xml:space="preserve">苏采云系统中的开标一览表，投标人填报</w:t>
            </w:r>
            <w:r>
              <w:rPr>
                <w:rFonts w:hint="eastAsia" w:ascii="宋体" w:hAnsi="宋体" w:cs="宋体"/>
                <w:b w:val="0"/>
                <w:bCs w:val="0"/>
                <w:color w:val="ff0000"/>
                <w:szCs w:val="21"/>
                <w:u w:val="single"/>
              </w:rPr>
              <w:t xml:space="preserve">“报价1：45岁以下在职男性套餐”</w:t>
            </w:r>
            <w:r>
              <w:rPr>
                <w:rFonts w:hint="eastAsia" w:ascii="宋体" w:hAnsi="宋体" w:cs="宋体"/>
                <w:b/>
                <w:bCs/>
                <w:color w:val="ff0000"/>
                <w:szCs w:val="21"/>
                <w:u w:val="single"/>
              </w:rPr>
              <w:t xml:space="preserve">的单价。</w:t>
            </w:r>
            <w:r/>
          </w:p>
          <w:p>
            <w:pPr>
              <w:spacing w:line="440" w:lineRule="exact"/>
              <w:rPr>
                <w:color w:val="auto"/>
              </w:rPr>
            </w:pPr>
            <w:r>
              <w:rPr>
                <w:rFonts w:hint="eastAsia" w:ascii="宋体" w:hAnsi="宋体" w:cs="宋体"/>
                <w:b/>
                <w:bCs/>
                <w:color w:val="ff0000"/>
                <w:szCs w:val="21"/>
                <w:u w:val="single"/>
              </w:rPr>
              <w:t xml:space="preserve">另外5项价格，供应商均在本表中填报。</w:t>
            </w:r>
            <w:r/>
          </w:p>
        </w:tc>
      </w:tr>
      <w:tr>
        <w:trPr>
          <w:cantSplit/>
          <w:trHeight w:val="1096"/>
        </w:trPr>
        <w:tc>
          <w:tcPr>
            <w:tcW w:w="840" w:type="pct"/>
            <w:vAlign w:val="center"/>
            <w:vMerge w:val="continue"/>
            <w:textDirection w:val="lrTb"/>
            <w:noWrap w:val="false"/>
          </w:tcPr>
          <w:p>
            <w:pPr>
              <w:jc w:val="center"/>
              <w:rPr>
                <w:color w:val="auto"/>
              </w:rPr>
            </w:pPr>
            <w:r>
              <w:rPr>
                <w:color w:val="auto"/>
              </w:rPr>
            </w:r>
            <w:r/>
          </w:p>
        </w:tc>
        <w:tc>
          <w:tcPr>
            <w:tcW w:w="2416" w:type="pct"/>
            <w:vAlign w:val="center"/>
            <w:textDirection w:val="lrTb"/>
            <w:noWrap w:val="false"/>
          </w:tcPr>
          <w:p>
            <w:pPr>
              <w:pStyle w:val="901"/>
              <w:ind w:firstLine="0"/>
              <w:rPr>
                <w:rFonts w:ascii="宋体" w:hAnsi="宋体" w:cs="宋体"/>
                <w:color w:val="auto"/>
                <w:sz w:val="21"/>
                <w:szCs w:val="21"/>
              </w:rPr>
            </w:pPr>
            <w:r>
              <w:rPr>
                <w:rFonts w:hint="eastAsia" w:ascii="宋体" w:hAnsi="宋体" w:cs="宋体"/>
                <w:color w:val="auto"/>
                <w:sz w:val="21"/>
                <w:szCs w:val="21"/>
              </w:rPr>
              <w:t xml:space="preserve">报价2：</w:t>
            </w:r>
            <w:r/>
          </w:p>
          <w:p>
            <w:pPr>
              <w:pStyle w:val="901"/>
              <w:ind w:firstLine="0"/>
              <w:rPr>
                <w:rFonts w:ascii="宋体" w:hAnsi="宋体" w:cs="宋体"/>
                <w:b w:val="0"/>
                <w:bCs/>
                <w:color w:val="auto"/>
                <w:sz w:val="21"/>
                <w:szCs w:val="21"/>
                <w:u w:val="single"/>
              </w:rPr>
            </w:pPr>
            <w:r>
              <w:rPr>
                <w:rFonts w:hint="eastAsia" w:ascii="宋体" w:hAnsi="宋体" w:cs="宋体"/>
                <w:b w:val="0"/>
                <w:bCs/>
                <w:color w:val="auto"/>
                <w:sz w:val="21"/>
                <w:szCs w:val="21"/>
              </w:rPr>
              <w:t xml:space="preserve">45岁以下在职女性已婚套餐单价：</w:t>
            </w:r>
            <w:r>
              <w:rPr>
                <w:rFonts w:hint="eastAsia" w:ascii="宋体" w:hAnsi="宋体" w:cs="宋体"/>
                <w:b w:val="0"/>
                <w:bCs/>
                <w:color w:val="auto"/>
                <w:sz w:val="21"/>
                <w:szCs w:val="21"/>
                <w:u w:val="single"/>
              </w:rPr>
              <w:t xml:space="preserve">     元/人/年</w:t>
            </w:r>
            <w:r/>
          </w:p>
        </w:tc>
        <w:tc>
          <w:tcPr>
            <w:tcW w:w="1742" w:type="pct"/>
            <w:vAlign w:val="center"/>
            <w:vMerge w:val="continue"/>
            <w:textDirection w:val="lrTb"/>
            <w:noWrap w:val="false"/>
          </w:tcPr>
          <w:p>
            <w:pPr>
              <w:spacing w:line="440" w:lineRule="exact"/>
              <w:rPr>
                <w:rFonts w:ascii="宋体" w:hAnsi="宋体" w:cs="宋体"/>
                <w:color w:val="auto"/>
                <w:szCs w:val="21"/>
              </w:rPr>
            </w:pPr>
            <w:r>
              <w:rPr>
                <w:rFonts w:ascii="宋体" w:hAnsi="宋体" w:cs="宋体"/>
                <w:color w:val="auto"/>
                <w:szCs w:val="21"/>
              </w:rPr>
            </w:r>
            <w:r/>
          </w:p>
        </w:tc>
      </w:tr>
      <w:tr>
        <w:trPr>
          <w:cantSplit/>
          <w:trHeight w:val="1396"/>
        </w:trPr>
        <w:tc>
          <w:tcPr>
            <w:tcW w:w="840" w:type="pct"/>
            <w:vAlign w:val="center"/>
            <w:vMerge w:val="continue"/>
            <w:textDirection w:val="lrTb"/>
            <w:noWrap w:val="false"/>
          </w:tcPr>
          <w:p>
            <w:pPr>
              <w:jc w:val="center"/>
              <w:rPr>
                <w:color w:val="auto"/>
              </w:rPr>
            </w:pPr>
            <w:r>
              <w:rPr>
                <w:color w:val="auto"/>
              </w:rPr>
            </w:r>
            <w:r/>
          </w:p>
        </w:tc>
        <w:tc>
          <w:tcPr>
            <w:tcW w:w="2416" w:type="pct"/>
            <w:vAlign w:val="center"/>
            <w:textDirection w:val="lrTb"/>
            <w:noWrap w:val="false"/>
          </w:tcPr>
          <w:p>
            <w:pPr>
              <w:pStyle w:val="901"/>
              <w:ind w:firstLine="0"/>
              <w:rPr>
                <w:rFonts w:ascii="宋体" w:hAnsi="宋体" w:cs="宋体"/>
                <w:color w:val="auto"/>
                <w:sz w:val="21"/>
                <w:szCs w:val="21"/>
              </w:rPr>
            </w:pPr>
            <w:r>
              <w:rPr>
                <w:rFonts w:hint="eastAsia" w:ascii="宋体" w:hAnsi="宋体" w:cs="宋体"/>
                <w:color w:val="auto"/>
                <w:sz w:val="21"/>
                <w:szCs w:val="21"/>
              </w:rPr>
              <w:t xml:space="preserve">报价3：</w:t>
            </w:r>
            <w:r/>
          </w:p>
          <w:p>
            <w:pPr>
              <w:pStyle w:val="901"/>
              <w:ind w:firstLine="0"/>
              <w:rPr>
                <w:rFonts w:ascii="宋体" w:hAnsi="宋体" w:cs="宋体"/>
                <w:b w:val="0"/>
                <w:bCs/>
                <w:color w:val="auto"/>
                <w:sz w:val="21"/>
                <w:szCs w:val="21"/>
              </w:rPr>
            </w:pPr>
            <w:r>
              <w:rPr>
                <w:rFonts w:hint="eastAsia" w:ascii="宋体" w:hAnsi="宋体" w:cs="宋体"/>
                <w:b w:val="0"/>
                <w:bCs/>
                <w:color w:val="auto"/>
                <w:sz w:val="21"/>
                <w:szCs w:val="21"/>
              </w:rPr>
              <w:t xml:space="preserve">45岁以下在职女性未婚套餐单价：</w:t>
            </w:r>
            <w:r>
              <w:rPr>
                <w:rFonts w:hint="eastAsia" w:ascii="宋体" w:hAnsi="宋体" w:cs="宋体"/>
                <w:b w:val="0"/>
                <w:bCs/>
                <w:color w:val="auto"/>
                <w:sz w:val="21"/>
                <w:szCs w:val="21"/>
                <w:u w:val="single"/>
              </w:rPr>
              <w:t xml:space="preserve">     元/人/年</w:t>
            </w:r>
            <w:r/>
          </w:p>
        </w:tc>
        <w:tc>
          <w:tcPr>
            <w:tcW w:w="1742" w:type="pct"/>
            <w:vAlign w:val="center"/>
            <w:vMerge w:val="continue"/>
            <w:textDirection w:val="lrTb"/>
            <w:noWrap w:val="false"/>
          </w:tcPr>
          <w:p>
            <w:pPr>
              <w:spacing w:line="440" w:lineRule="exact"/>
              <w:rPr>
                <w:rFonts w:ascii="宋体" w:hAnsi="宋体" w:cs="宋体"/>
                <w:color w:val="auto"/>
                <w:szCs w:val="21"/>
              </w:rPr>
            </w:pPr>
            <w:r>
              <w:rPr>
                <w:rFonts w:ascii="宋体" w:hAnsi="宋体" w:cs="宋体"/>
                <w:color w:val="auto"/>
                <w:szCs w:val="21"/>
              </w:rPr>
            </w:r>
            <w:r/>
          </w:p>
        </w:tc>
      </w:tr>
      <w:tr>
        <w:trPr>
          <w:cantSplit/>
          <w:trHeight w:val="1354"/>
        </w:trPr>
        <w:tc>
          <w:tcPr>
            <w:tcW w:w="840" w:type="pct"/>
            <w:vAlign w:val="center"/>
            <w:vMerge w:val="continue"/>
            <w:textDirection w:val="lrTb"/>
            <w:noWrap w:val="false"/>
          </w:tcPr>
          <w:p>
            <w:pPr>
              <w:jc w:val="center"/>
              <w:rPr>
                <w:color w:val="auto"/>
              </w:rPr>
            </w:pPr>
            <w:r>
              <w:rPr>
                <w:color w:val="auto"/>
              </w:rPr>
            </w:r>
            <w:r/>
          </w:p>
        </w:tc>
        <w:tc>
          <w:tcPr>
            <w:tcW w:w="2416" w:type="pct"/>
            <w:vAlign w:val="center"/>
            <w:textDirection w:val="lrTb"/>
            <w:noWrap w:val="false"/>
          </w:tcPr>
          <w:p>
            <w:pPr>
              <w:pStyle w:val="901"/>
              <w:ind w:firstLine="0"/>
              <w:rPr>
                <w:rFonts w:ascii="宋体" w:hAnsi="宋体" w:cs="宋体"/>
                <w:color w:val="auto"/>
                <w:sz w:val="21"/>
                <w:szCs w:val="21"/>
              </w:rPr>
            </w:pPr>
            <w:r>
              <w:rPr>
                <w:rFonts w:hint="eastAsia" w:ascii="宋体" w:hAnsi="宋体" w:cs="宋体"/>
                <w:color w:val="auto"/>
                <w:sz w:val="21"/>
                <w:szCs w:val="21"/>
              </w:rPr>
              <w:t xml:space="preserve">报价4：</w:t>
            </w:r>
            <w:r/>
          </w:p>
          <w:p>
            <w:pPr>
              <w:pStyle w:val="901"/>
              <w:ind w:firstLine="0"/>
              <w:rPr>
                <w:rFonts w:ascii="宋体" w:hAnsi="宋体" w:cs="宋体"/>
                <w:b w:val="0"/>
                <w:bCs/>
                <w:color w:val="auto"/>
                <w:sz w:val="21"/>
                <w:szCs w:val="21"/>
              </w:rPr>
            </w:pPr>
            <w:r>
              <w:rPr>
                <w:rFonts w:hint="eastAsia" w:ascii="宋体" w:hAnsi="宋体" w:cs="宋体"/>
                <w:b w:val="0"/>
                <w:bCs/>
                <w:color w:val="auto"/>
                <w:sz w:val="21"/>
                <w:szCs w:val="21"/>
              </w:rPr>
              <w:t xml:space="preserve">45岁（含）以上在职、正高职称、退休人员男性套餐单价：</w:t>
            </w:r>
            <w:r>
              <w:rPr>
                <w:rFonts w:hint="eastAsia" w:ascii="宋体" w:hAnsi="宋体" w:cs="宋体"/>
                <w:b w:val="0"/>
                <w:bCs/>
                <w:color w:val="auto"/>
                <w:sz w:val="21"/>
                <w:szCs w:val="21"/>
                <w:u w:val="single"/>
              </w:rPr>
              <w:t xml:space="preserve">       元/人/年</w:t>
            </w:r>
            <w:r/>
          </w:p>
        </w:tc>
        <w:tc>
          <w:tcPr>
            <w:tcW w:w="1742" w:type="pct"/>
            <w:vAlign w:val="center"/>
            <w:vMerge w:val="continue"/>
            <w:textDirection w:val="lrTb"/>
            <w:noWrap w:val="false"/>
          </w:tcPr>
          <w:p>
            <w:pPr>
              <w:spacing w:line="440" w:lineRule="exact"/>
              <w:rPr>
                <w:rFonts w:ascii="宋体" w:hAnsi="宋体" w:cs="宋体"/>
                <w:color w:val="auto"/>
                <w:szCs w:val="21"/>
              </w:rPr>
            </w:pPr>
            <w:r>
              <w:rPr>
                <w:rFonts w:ascii="宋体" w:hAnsi="宋体" w:cs="宋体"/>
                <w:color w:val="auto"/>
                <w:szCs w:val="21"/>
              </w:rPr>
            </w:r>
            <w:r/>
          </w:p>
        </w:tc>
      </w:tr>
      <w:tr>
        <w:trPr>
          <w:cantSplit/>
          <w:trHeight w:val="1396"/>
        </w:trPr>
        <w:tc>
          <w:tcPr>
            <w:tcW w:w="840" w:type="pct"/>
            <w:vAlign w:val="center"/>
            <w:vMerge w:val="continue"/>
            <w:textDirection w:val="lrTb"/>
            <w:noWrap w:val="false"/>
          </w:tcPr>
          <w:p>
            <w:pPr>
              <w:jc w:val="center"/>
              <w:rPr>
                <w:color w:val="auto"/>
              </w:rPr>
            </w:pPr>
            <w:r>
              <w:rPr>
                <w:color w:val="auto"/>
              </w:rPr>
            </w:r>
            <w:r/>
          </w:p>
        </w:tc>
        <w:tc>
          <w:tcPr>
            <w:tcW w:w="2416" w:type="pct"/>
            <w:vAlign w:val="center"/>
            <w:textDirection w:val="lrTb"/>
            <w:noWrap w:val="false"/>
          </w:tcPr>
          <w:p>
            <w:pPr>
              <w:pStyle w:val="901"/>
              <w:ind w:firstLine="0"/>
              <w:rPr>
                <w:rFonts w:ascii="宋体" w:hAnsi="宋体" w:cs="宋体"/>
                <w:color w:val="auto"/>
                <w:sz w:val="21"/>
                <w:szCs w:val="21"/>
              </w:rPr>
            </w:pPr>
            <w:r>
              <w:rPr>
                <w:rFonts w:hint="eastAsia" w:ascii="宋体" w:hAnsi="宋体" w:cs="宋体"/>
                <w:color w:val="auto"/>
                <w:sz w:val="21"/>
                <w:szCs w:val="21"/>
              </w:rPr>
              <w:t xml:space="preserve">报价5：</w:t>
            </w:r>
            <w:r/>
          </w:p>
          <w:p>
            <w:pPr>
              <w:pStyle w:val="901"/>
              <w:ind w:firstLine="0"/>
              <w:rPr>
                <w:rFonts w:ascii="宋体" w:hAnsi="宋体" w:cs="宋体"/>
                <w:b w:val="0"/>
                <w:bCs/>
                <w:color w:val="auto"/>
                <w:sz w:val="21"/>
                <w:szCs w:val="21"/>
              </w:rPr>
            </w:pPr>
            <w:r>
              <w:rPr>
                <w:rFonts w:hint="eastAsia" w:ascii="宋体" w:hAnsi="宋体" w:cs="宋体"/>
                <w:b w:val="0"/>
                <w:bCs/>
                <w:color w:val="auto"/>
                <w:sz w:val="21"/>
                <w:szCs w:val="21"/>
              </w:rPr>
              <w:t xml:space="preserve">45岁（含）以上在职、正高职称、退休人员女性已婚套餐单价：</w:t>
            </w:r>
            <w:r>
              <w:rPr>
                <w:rFonts w:hint="eastAsia" w:ascii="宋体" w:hAnsi="宋体" w:cs="宋体"/>
                <w:b w:val="0"/>
                <w:bCs/>
                <w:color w:val="auto"/>
                <w:sz w:val="21"/>
                <w:szCs w:val="21"/>
                <w:u w:val="single"/>
              </w:rPr>
              <w:t xml:space="preserve">       元/人/年</w:t>
            </w:r>
            <w:r/>
          </w:p>
        </w:tc>
        <w:tc>
          <w:tcPr>
            <w:tcW w:w="1742" w:type="pct"/>
            <w:vAlign w:val="center"/>
            <w:vMerge w:val="continue"/>
            <w:textDirection w:val="lrTb"/>
            <w:noWrap w:val="false"/>
          </w:tcPr>
          <w:p>
            <w:pPr>
              <w:spacing w:line="440" w:lineRule="exact"/>
              <w:rPr>
                <w:rFonts w:ascii="宋体" w:hAnsi="宋体" w:cs="宋体"/>
                <w:color w:val="auto"/>
                <w:szCs w:val="21"/>
              </w:rPr>
            </w:pPr>
            <w:r>
              <w:rPr>
                <w:rFonts w:ascii="宋体" w:hAnsi="宋体" w:cs="宋体"/>
                <w:color w:val="auto"/>
                <w:szCs w:val="21"/>
              </w:rPr>
            </w:r>
            <w:r/>
          </w:p>
        </w:tc>
      </w:tr>
      <w:tr>
        <w:trPr>
          <w:cantSplit/>
          <w:trHeight w:val="1518"/>
        </w:trPr>
        <w:tc>
          <w:tcPr>
            <w:tcW w:w="840" w:type="pct"/>
            <w:vAlign w:val="center"/>
            <w:vMerge w:val="continue"/>
            <w:textDirection w:val="lrTb"/>
            <w:noWrap w:val="false"/>
          </w:tcPr>
          <w:p>
            <w:pPr>
              <w:jc w:val="center"/>
              <w:rPr>
                <w:color w:val="auto"/>
              </w:rPr>
            </w:pPr>
            <w:r>
              <w:rPr>
                <w:color w:val="auto"/>
              </w:rPr>
            </w:r>
            <w:r/>
          </w:p>
        </w:tc>
        <w:tc>
          <w:tcPr>
            <w:tcW w:w="2416" w:type="pct"/>
            <w:vAlign w:val="center"/>
            <w:textDirection w:val="lrTb"/>
            <w:noWrap w:val="false"/>
          </w:tcPr>
          <w:p>
            <w:pPr>
              <w:pStyle w:val="901"/>
              <w:ind w:firstLine="0"/>
              <w:rPr>
                <w:rFonts w:ascii="宋体" w:hAnsi="宋体" w:cs="宋体"/>
                <w:color w:val="auto"/>
                <w:sz w:val="21"/>
                <w:szCs w:val="21"/>
              </w:rPr>
            </w:pPr>
            <w:r>
              <w:rPr>
                <w:rFonts w:hint="eastAsia" w:ascii="宋体" w:hAnsi="宋体" w:cs="宋体"/>
                <w:color w:val="auto"/>
                <w:sz w:val="21"/>
                <w:szCs w:val="21"/>
              </w:rPr>
              <w:t xml:space="preserve">报价6：</w:t>
            </w:r>
            <w:r/>
          </w:p>
          <w:p>
            <w:pPr>
              <w:pStyle w:val="901"/>
              <w:ind w:firstLine="0"/>
              <w:rPr>
                <w:rFonts w:ascii="宋体" w:hAnsi="宋体" w:cs="宋体"/>
                <w:b w:val="0"/>
                <w:bCs/>
                <w:color w:val="auto"/>
                <w:sz w:val="21"/>
                <w:szCs w:val="21"/>
              </w:rPr>
            </w:pPr>
            <w:r>
              <w:rPr>
                <w:rFonts w:hint="eastAsia" w:ascii="宋体" w:hAnsi="宋体" w:cs="宋体"/>
                <w:b w:val="0"/>
                <w:bCs/>
                <w:color w:val="auto"/>
                <w:sz w:val="21"/>
                <w:szCs w:val="21"/>
              </w:rPr>
              <w:t xml:space="preserve">45岁（含）以上在职、正高职称、退休人员女性未婚套餐单价：</w:t>
            </w:r>
            <w:r>
              <w:rPr>
                <w:rFonts w:hint="eastAsia" w:ascii="宋体" w:hAnsi="宋体" w:cs="宋体"/>
                <w:b w:val="0"/>
                <w:bCs/>
                <w:color w:val="auto"/>
                <w:sz w:val="21"/>
                <w:szCs w:val="21"/>
                <w:u w:val="single"/>
              </w:rPr>
              <w:t xml:space="preserve">       元/人/年</w:t>
            </w:r>
            <w:r/>
          </w:p>
        </w:tc>
        <w:tc>
          <w:tcPr>
            <w:tcW w:w="1742" w:type="pct"/>
            <w:vAlign w:val="center"/>
            <w:vMerge w:val="continue"/>
            <w:textDirection w:val="lrTb"/>
            <w:noWrap w:val="false"/>
          </w:tcPr>
          <w:p>
            <w:pPr>
              <w:spacing w:line="440" w:lineRule="exact"/>
              <w:rPr>
                <w:rFonts w:ascii="宋体" w:hAnsi="宋体" w:cs="宋体"/>
                <w:color w:val="auto"/>
                <w:szCs w:val="21"/>
              </w:rPr>
            </w:pPr>
            <w:r>
              <w:rPr>
                <w:rFonts w:ascii="宋体" w:hAnsi="宋体" w:cs="宋体"/>
                <w:color w:val="auto"/>
                <w:szCs w:val="21"/>
              </w:rPr>
            </w:r>
            <w:r/>
          </w:p>
        </w:tc>
      </w:tr>
      <w:tr>
        <w:trPr>
          <w:trHeight w:val="829"/>
        </w:trPr>
        <w:tc>
          <w:tcPr>
            <w:tcW w:w="840" w:type="pct"/>
            <w:vAlign w:val="center"/>
            <w:textDirection w:val="lrTb"/>
            <w:noWrap w:val="false"/>
          </w:tcPr>
          <w:p>
            <w:pPr>
              <w:spacing w:line="440" w:lineRule="exact"/>
              <w:rPr>
                <w:rFonts w:ascii="宋体" w:hAnsi="宋体" w:cs="宋体"/>
                <w:color w:val="auto"/>
                <w:szCs w:val="21"/>
              </w:rPr>
            </w:pPr>
            <w:r>
              <w:rPr>
                <w:rFonts w:hint="eastAsia" w:ascii="宋体" w:hAnsi="宋体" w:cs="宋体"/>
                <w:color w:val="auto"/>
                <w:szCs w:val="21"/>
              </w:rPr>
              <w:t xml:space="preserve">服务时间/交付使用时间</w:t>
            </w:r>
            <w:r/>
          </w:p>
        </w:tc>
        <w:tc>
          <w:tcPr>
            <w:gridSpan w:val="2"/>
            <w:tcW w:w="4159" w:type="pct"/>
            <w:vAlign w:val="center"/>
            <w:textDirection w:val="lrTb"/>
            <w:noWrap w:val="false"/>
          </w:tcPr>
          <w:p>
            <w:pPr>
              <w:ind w:firstLine="472"/>
              <w:spacing w:line="440" w:lineRule="exact"/>
              <w:rPr>
                <w:rFonts w:ascii="宋体" w:hAnsi="宋体" w:cs="宋体"/>
                <w:color w:val="auto"/>
                <w:szCs w:val="21"/>
              </w:rPr>
            </w:pPr>
            <w:r>
              <w:rPr>
                <w:rFonts w:hint="eastAsia" w:ascii="宋体" w:hAnsi="宋体" w:cs="宋体"/>
                <w:bCs/>
                <w:color w:val="auto"/>
                <w:szCs w:val="21"/>
                <w:u w:val="single"/>
              </w:rPr>
              <w:t xml:space="preserve">满足招标文件要求</w:t>
            </w:r>
            <w:r>
              <w:rPr>
                <w:rFonts w:hint="eastAsia" w:ascii="宋体" w:hAnsi="宋体" w:cs="宋体"/>
                <w:bCs/>
                <w:color w:val="auto"/>
                <w:szCs w:val="21"/>
              </w:rPr>
              <w:t xml:space="preserve">。</w:t>
            </w:r>
            <w:r/>
          </w:p>
        </w:tc>
      </w:tr>
      <w:tr>
        <w:trPr>
          <w:trHeight w:val="829"/>
        </w:trPr>
        <w:tc>
          <w:tcPr>
            <w:tcW w:w="840" w:type="pct"/>
            <w:vAlign w:val="center"/>
            <w:textDirection w:val="lrTb"/>
            <w:noWrap w:val="false"/>
          </w:tcPr>
          <w:p>
            <w:pPr>
              <w:jc w:val="center"/>
              <w:spacing w:line="440" w:lineRule="exact"/>
              <w:rPr>
                <w:rFonts w:ascii="宋体" w:hAnsi="宋体" w:cs="宋体"/>
                <w:color w:val="auto"/>
                <w:szCs w:val="21"/>
              </w:rPr>
            </w:pPr>
            <w:r>
              <w:rPr>
                <w:rFonts w:hint="eastAsia" w:ascii="宋体" w:hAnsi="宋体" w:cs="宋体"/>
                <w:color w:val="auto"/>
                <w:szCs w:val="21"/>
              </w:rPr>
              <w:t xml:space="preserve">体检点</w:t>
            </w:r>
            <w:r/>
          </w:p>
        </w:tc>
        <w:tc>
          <w:tcPr>
            <w:tcW w:w="2416" w:type="pct"/>
            <w:vAlign w:val="center"/>
            <w:textDirection w:val="lrTb"/>
            <w:noWrap w:val="false"/>
          </w:tcPr>
          <w:p>
            <w:pPr>
              <w:pStyle w:val="901"/>
              <w:rPr>
                <w:rFonts w:ascii="宋体" w:hAnsi="宋体" w:cs="宋体"/>
                <w:b w:val="0"/>
                <w:bCs/>
                <w:color w:val="auto"/>
                <w:sz w:val="21"/>
                <w:szCs w:val="21"/>
                <w:u w:val="single"/>
              </w:rPr>
            </w:pPr>
            <w:r>
              <w:rPr>
                <w:rFonts w:hint="eastAsia" w:ascii="宋体" w:hAnsi="宋体" w:cs="宋体"/>
                <w:b w:val="0"/>
                <w:bCs/>
                <w:color w:val="auto"/>
                <w:sz w:val="21"/>
                <w:szCs w:val="21"/>
                <w:u w:val="single"/>
              </w:rPr>
              <w:t xml:space="preserve">名称：</w:t>
            </w:r>
            <w:r/>
          </w:p>
          <w:p>
            <w:pPr>
              <w:pStyle w:val="901"/>
              <w:rPr>
                <w:rFonts w:ascii="宋体" w:hAnsi="宋体" w:cs="宋体"/>
                <w:b w:val="0"/>
                <w:bCs/>
                <w:color w:val="auto"/>
                <w:sz w:val="21"/>
                <w:szCs w:val="21"/>
                <w:u w:val="single"/>
              </w:rPr>
            </w:pPr>
            <w:r>
              <w:rPr>
                <w:rFonts w:hint="eastAsia" w:ascii="宋体" w:hAnsi="宋体" w:cs="宋体"/>
                <w:b w:val="0"/>
                <w:bCs/>
                <w:color w:val="auto"/>
                <w:sz w:val="21"/>
                <w:szCs w:val="21"/>
                <w:u w:val="single"/>
              </w:rPr>
              <w:t xml:space="preserve">地址：</w:t>
            </w:r>
            <w:r/>
          </w:p>
        </w:tc>
        <w:tc>
          <w:tcPr>
            <w:tcW w:w="1742" w:type="pct"/>
            <w:vAlign w:val="center"/>
            <w:textDirection w:val="lrTb"/>
            <w:noWrap w:val="false"/>
          </w:tcPr>
          <w:p>
            <w:pPr>
              <w:spacing w:line="440" w:lineRule="exact"/>
              <w:rPr>
                <w:rFonts w:ascii="宋体" w:hAnsi="宋体" w:cs="宋体"/>
                <w:color w:val="auto"/>
                <w:szCs w:val="21"/>
              </w:rPr>
            </w:pPr>
            <w:r/>
            <w:bookmarkStart w:id="23" w:name="_GoBack"/>
            <w:r>
              <w:rPr>
                <w:rFonts w:hint="eastAsia" w:ascii="宋体" w:hAnsi="宋体" w:cs="宋体"/>
                <w:b/>
                <w:bCs/>
                <w:color w:val="ff0000"/>
                <w:szCs w:val="21"/>
              </w:rPr>
              <w:t xml:space="preserve">投标人须注明</w:t>
            </w:r>
            <w:r>
              <w:rPr>
                <w:rFonts w:ascii="宋体" w:hAnsi="宋体" w:cs="宋体"/>
                <w:b/>
                <w:bCs/>
                <w:color w:val="ff0000"/>
                <w:szCs w:val="21"/>
              </w:rPr>
              <w:t xml:space="preserve">1项体检点，用于评审评分</w:t>
            </w:r>
            <w:bookmarkEnd w:id="23"/>
            <w:r/>
            <w:r/>
          </w:p>
        </w:tc>
      </w:tr>
    </w:tbl>
    <w:p>
      <w:pPr>
        <w:jc w:val="left"/>
        <w:spacing w:line="360" w:lineRule="auto"/>
        <w:shd w:val="clear" w:color="auto" w:fill="ffffff"/>
        <w:widowControl/>
        <w:rPr>
          <w:rFonts w:ascii="宋体" w:hAnsi="宋体" w:cs="宋体"/>
          <w:color w:val="auto"/>
          <w:szCs w:val="21"/>
        </w:rPr>
      </w:pPr>
      <w:r>
        <w:rPr>
          <w:rFonts w:ascii="宋体" w:hAnsi="宋体" w:cs="宋体"/>
          <w:color w:val="auto"/>
          <w:szCs w:val="21"/>
        </w:rPr>
      </w:r>
      <w:r/>
    </w:p>
    <w:p>
      <w:pPr>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投标单位（加盖电子公章）：</w:t>
      </w:r>
      <w:r>
        <w:rPr>
          <w:rFonts w:hint="eastAsia" w:ascii="宋体" w:hAnsi="宋体" w:cs="宋体"/>
          <w:color w:val="auto"/>
          <w:szCs w:val="21"/>
          <w:u w:val="single"/>
        </w:rPr>
        <w:t xml:space="preserve">                             </w:t>
      </w:r>
      <w:r/>
    </w:p>
    <w:p>
      <w:pPr>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说明：</w:t>
      </w:r>
      <w:r/>
    </w:p>
    <w:p>
      <w:pPr>
        <w:ind w:firstLine="422"/>
        <w:jc w:val="left"/>
        <w:spacing w:line="360" w:lineRule="auto"/>
        <w:shd w:val="clear" w:color="auto" w:fill="ffffff"/>
        <w:widowControl/>
        <w:rPr>
          <w:rFonts w:ascii="宋体" w:hAnsi="宋体" w:cs="宋体"/>
          <w:b/>
          <w:bCs/>
          <w:color w:val="auto"/>
          <w:szCs w:val="21"/>
          <w:lang w:val="zh-CN"/>
        </w:rPr>
      </w:pPr>
      <w:r>
        <w:rPr>
          <w:rFonts w:ascii="宋体" w:hAnsi="宋体" w:cs="宋体"/>
          <w:b/>
          <w:bCs/>
          <w:color w:val="auto"/>
          <w:szCs w:val="21"/>
          <w:lang w:val="zh-CN"/>
        </w:rPr>
        <w:t xml:space="preserve">1、</w:t>
      </w:r>
      <w:r>
        <w:rPr>
          <w:rFonts w:hint="eastAsia" w:ascii="宋体" w:hAnsi="宋体" w:cs="宋体"/>
          <w:b/>
          <w:bCs/>
          <w:color w:val="auto"/>
          <w:szCs w:val="21"/>
        </w:rPr>
        <w:t xml:space="preserve">本项目仅接受一个价格，不得填报有选择性报价方案。如有优惠条款须注明，但不得影响报价，影响项目履约交付。</w:t>
      </w:r>
      <w:r/>
    </w:p>
    <w:p>
      <w:pPr>
        <w:ind w:firstLine="422"/>
        <w:jc w:val="left"/>
        <w:spacing w:line="360" w:lineRule="auto"/>
        <w:shd w:val="clear" w:color="auto" w:fill="ffffff"/>
        <w:widowControl/>
        <w:rPr>
          <w:rFonts w:ascii="宋体" w:hAnsi="宋体" w:cs="宋体"/>
          <w:b/>
          <w:bCs/>
          <w:szCs w:val="21"/>
          <w:lang w:val="zh-CN"/>
        </w:rPr>
      </w:pPr>
      <w:r>
        <w:rPr>
          <w:rFonts w:ascii="宋体" w:hAnsi="宋体" w:cs="宋体"/>
          <w:b/>
          <w:bCs/>
          <w:color w:val="auto"/>
          <w:szCs w:val="21"/>
          <w:lang w:val="zh-CN"/>
        </w:rPr>
        <w:t xml:space="preserve">2、</w:t>
      </w:r>
      <w:r>
        <w:rPr>
          <w:rFonts w:hint="eastAsia" w:ascii="宋体" w:hAnsi="宋体" w:cs="宋体"/>
          <w:b/>
          <w:bCs/>
          <w:color w:val="auto"/>
          <w:szCs w:val="21"/>
        </w:rPr>
        <w:t xml:space="preserve">对于报价填写方式不理解的可与代理机构联系，联系方式：025-83306855，17351003011。</w:t>
      </w:r>
      <w:r>
        <w:rPr>
          <w:rFonts w:hint="eastAsia" w:ascii="宋体" w:hAnsi="宋体" w:cs="宋体"/>
          <w:b/>
          <w:bCs/>
          <w:szCs w:val="21"/>
          <w:lang w:val="zh-CN"/>
        </w:rPr>
        <w:br w:type="page" w:clear="all"/>
      </w:r>
      <w:r/>
    </w:p>
    <w:p>
      <w:pPr>
        <w:spacing w:line="460" w:lineRule="atLeast"/>
        <w:widowControl/>
        <w:rPr>
          <w:rFonts w:ascii="宋体" w:hAnsi="宋体" w:cs="宋体"/>
          <w:b/>
          <w:bCs/>
          <w:sz w:val="24"/>
          <w:lang w:val="zh-CN"/>
        </w:rPr>
        <w:outlineLvl w:val="1"/>
      </w:pPr>
      <w:r>
        <w:rPr>
          <w:rFonts w:hint="eastAsia" w:ascii="宋体" w:hAnsi="宋体" w:cs="宋体"/>
          <w:b/>
          <w:bCs/>
          <w:sz w:val="24"/>
          <w:lang w:val="zh-CN"/>
        </w:rPr>
        <w:t xml:space="preserve">附件四、分项报价表</w:t>
      </w:r>
      <w:r/>
    </w:p>
    <w:p>
      <w:pPr>
        <w:jc w:val="center"/>
        <w:spacing w:line="460" w:lineRule="atLeast"/>
        <w:widowControl/>
        <w:rPr>
          <w:rFonts w:ascii="宋体" w:hAnsi="宋体" w:cs="宋体"/>
          <w:b/>
          <w:bCs/>
          <w:sz w:val="24"/>
        </w:rPr>
        <w:outlineLvl w:val="1"/>
      </w:pPr>
      <w:r>
        <w:rPr>
          <w:rFonts w:hint="eastAsia" w:ascii="宋体" w:hAnsi="宋体" w:cs="宋体"/>
          <w:b/>
          <w:bCs/>
          <w:sz w:val="24"/>
        </w:rPr>
        <w:t xml:space="preserve">格式自拟（如有）</w:t>
      </w:r>
      <w:r/>
    </w:p>
    <w:p>
      <w:pPr>
        <w:jc w:val="left"/>
        <w:widowControl/>
        <w:rPr>
          <w:rFonts w:ascii="宋体" w:hAnsi="宋体" w:cs="宋体"/>
          <w:szCs w:val="21"/>
        </w:rPr>
      </w:pPr>
      <w:r>
        <w:rPr>
          <w:rFonts w:hint="eastAsia" w:ascii="宋体" w:hAnsi="宋体" w:cs="宋体"/>
          <w:szCs w:val="21"/>
        </w:rPr>
        <w:br w:type="page" w:clear="all"/>
      </w:r>
      <w:r/>
    </w:p>
    <w:p>
      <w:pPr>
        <w:spacing w:line="460" w:lineRule="atLeast"/>
        <w:widowControl/>
        <w:rPr>
          <w:rFonts w:ascii="宋体" w:hAnsi="宋体" w:cs="宋体"/>
          <w:b/>
          <w:bCs/>
          <w:sz w:val="24"/>
        </w:rPr>
      </w:pPr>
      <w:r>
        <w:rPr>
          <w:rFonts w:hint="eastAsia" w:ascii="宋体" w:hAnsi="宋体" w:cs="宋体"/>
          <w:b/>
          <w:bCs/>
          <w:sz w:val="24"/>
        </w:rPr>
        <w:t xml:space="preserve"> 附件五、技术条款偏离表</w:t>
      </w:r>
      <w:r/>
    </w:p>
    <w:p>
      <w:pPr>
        <w:ind w:left="435"/>
        <w:jc w:val="left"/>
        <w:spacing w:line="360" w:lineRule="auto"/>
        <w:shd w:val="clear" w:color="auto" w:fill="ffffff"/>
        <w:widowControl/>
        <w:rPr>
          <w:rFonts w:ascii="宋体" w:hAnsi="宋体" w:cs="宋体"/>
          <w:szCs w:val="21"/>
        </w:rPr>
      </w:pPr>
      <w:r>
        <w:rPr>
          <w:rFonts w:hint="eastAsia" w:ascii="宋体" w:hAnsi="宋体" w:cs="宋体"/>
          <w:sz w:val="24"/>
        </w:rPr>
        <w:t xml:space="preserve"> </w:t>
      </w:r>
      <w:r/>
    </w:p>
    <w:p>
      <w:pPr>
        <w:ind w:left="420"/>
        <w:jc w:val="center"/>
        <w:spacing w:line="360" w:lineRule="auto"/>
        <w:shd w:val="clear" w:color="auto" w:fill="ffffff"/>
        <w:widowControl/>
        <w:rPr>
          <w:rFonts w:ascii="宋体" w:hAnsi="宋体" w:cs="宋体"/>
          <w:b/>
          <w:szCs w:val="21"/>
        </w:rPr>
      </w:pPr>
      <w:r>
        <w:rPr>
          <w:rFonts w:hint="eastAsia" w:ascii="宋体" w:hAnsi="宋体" w:cs="宋体"/>
          <w:b/>
          <w:sz w:val="36"/>
          <w:szCs w:val="36"/>
        </w:rPr>
        <w:t xml:space="preserve">技术条款偏离表</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ind w:firstLine="84"/>
        <w:jc w:val="left"/>
        <w:spacing w:line="360" w:lineRule="auto"/>
        <w:widowControl/>
        <w:tabs>
          <w:tab w:val="left" w:pos="5397" w:leader="none"/>
        </w:tabs>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  </w:t>
      </w:r>
      <w:r/>
    </w:p>
    <w:tbl>
      <w:tblPr>
        <w:tblStyle w:val="897"/>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09"/>
        <w:gridCol w:w="1856"/>
        <w:gridCol w:w="2136"/>
        <w:gridCol w:w="2414"/>
        <w:gridCol w:w="1161"/>
      </w:tblGrid>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序号</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招标文件条目号</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招标要求规格</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投标响应</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偏离</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1326"/>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w:t>
            </w:r>
            <w:r/>
          </w:p>
        </w:tc>
        <w:tc>
          <w:tcPr>
            <w:gridSpan w:val="2"/>
            <w:tcMar>
              <w:left w:w="10" w:type="dxa"/>
              <w:top w:w="0" w:type="dxa"/>
              <w:right w:w="10" w:type="dxa"/>
              <w:bottom w:w="0" w:type="dxa"/>
            </w:tcMar>
            <w:tcW w:w="2411"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我单位承诺，其余普通条款（除了要求证明材料的）均满足采购文件要求，无偏离</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均满足采购文件要求，无偏离</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无偏离</w:t>
            </w:r>
            <w:r/>
          </w:p>
        </w:tc>
      </w:tr>
    </w:tbl>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说明：</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w:t>
      </w:r>
      <w:r>
        <w:rPr>
          <w:rFonts w:hint="eastAsia" w:ascii="宋体" w:hAnsi="宋体" w:cs="宋体"/>
          <w:b/>
          <w:bCs/>
          <w:szCs w:val="21"/>
        </w:rPr>
        <w:t xml:space="preserve">“★”“▲”的技术参数响应需提供支撑资料（提供相关证明材料并加盖投标单位公章,包括但不限于明确说明该技术内容的公开发行的产品彩页或产品说明书或第三方检测机构的检测报告等，自拟无效），如未附有效支撑材料或者所附的支撑材料由评标委员会认为不能佐证技术指标的有效性的，则视为负偏离。</w:t>
      </w:r>
      <w:r>
        <w:rPr>
          <w:rFonts w:hint="eastAsia" w:ascii="宋体" w:hAnsi="宋体" w:cs="宋体"/>
          <w:b/>
          <w:bCs/>
          <w:i/>
          <w:iCs/>
          <w:szCs w:val="21"/>
          <w:u w:val="single"/>
        </w:rPr>
        <w:t xml:space="preserve">如文件中要求提供证明材料，建议采用箭头、标红、下划线或页码等进行明显标注，方便评委查看。</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2、如果行数不够，请自行增加。</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3、“偏离”栏应注明“无偏离”或“正偏离”或“负偏离”。</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4、内容响应存在正偏离或无偏离或负偏离的，请在本表中逐条列出。未列出的，也视为响应招标文件要求，无偏离。如果行数不够，请自行增加。</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rPr>
          <w:rFonts w:ascii="宋体" w:hAnsi="宋体" w:cs="宋体"/>
          <w:szCs w:val="21"/>
        </w:rPr>
      </w:pPr>
      <w:r>
        <w:rPr>
          <w:rFonts w:hint="eastAsia" w:ascii="宋体" w:hAnsi="宋体" w:cs="宋体"/>
          <w:szCs w:val="21"/>
        </w:rPr>
        <w:br w:type="page" w:clear="all"/>
      </w:r>
      <w:r/>
    </w:p>
    <w:p>
      <w:pPr>
        <w:spacing w:line="460" w:lineRule="atLeast"/>
        <w:widowControl/>
        <w:rPr>
          <w:rFonts w:ascii="宋体" w:hAnsi="宋体" w:cs="宋体"/>
          <w:b/>
          <w:bCs/>
          <w:sz w:val="24"/>
        </w:rPr>
      </w:pPr>
      <w:r>
        <w:rPr>
          <w:rFonts w:hint="eastAsia" w:ascii="宋体" w:hAnsi="宋体" w:cs="宋体"/>
          <w:b/>
          <w:bCs/>
          <w:sz w:val="24"/>
        </w:rPr>
        <w:t xml:space="preserve">附件六、商务条款偏离表格式</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ind w:left="420"/>
        <w:jc w:val="center"/>
        <w:spacing w:line="360" w:lineRule="auto"/>
        <w:shd w:val="clear" w:color="auto" w:fill="ffffff"/>
        <w:widowControl/>
        <w:rPr>
          <w:rFonts w:ascii="宋体" w:hAnsi="宋体" w:cs="宋体"/>
          <w:b/>
          <w:szCs w:val="21"/>
        </w:rPr>
      </w:pPr>
      <w:r>
        <w:rPr>
          <w:rFonts w:hint="eastAsia" w:ascii="宋体" w:hAnsi="宋体" w:cs="宋体"/>
          <w:b/>
          <w:sz w:val="36"/>
          <w:szCs w:val="36"/>
        </w:rPr>
        <w:t xml:space="preserve">商务条款偏离表</w:t>
      </w:r>
      <w:r/>
    </w:p>
    <w:p>
      <w:pPr>
        <w:jc w:val="left"/>
        <w:spacing w:line="360" w:lineRule="auto"/>
        <w:shd w:val="clear" w:color="auto" w:fill="ffffff"/>
        <w:widowControl/>
        <w:rPr>
          <w:rFonts w:ascii="宋体" w:hAnsi="宋体" w:cs="宋体"/>
          <w:szCs w:val="21"/>
        </w:rPr>
      </w:pPr>
      <w:r>
        <w:rPr>
          <w:rFonts w:hint="eastAsia" w:ascii="宋体" w:hAnsi="宋体" w:cs="宋体"/>
          <w:sz w:val="24"/>
        </w:rPr>
        <w:t xml:space="preserve"> </w:t>
      </w:r>
      <w:r/>
    </w:p>
    <w:p>
      <w:pPr>
        <w:ind w:firstLine="96"/>
        <w:jc w:val="left"/>
        <w:spacing w:line="360" w:lineRule="auto"/>
        <w:widowControl/>
        <w:tabs>
          <w:tab w:val="left" w:pos="5366" w:leader="none"/>
        </w:tabs>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         </w:t>
      </w:r>
      <w:r/>
    </w:p>
    <w:tbl>
      <w:tblPr>
        <w:tblStyle w:val="897"/>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bl>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说明：</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1、如果行数不够，请自行增加。</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2、“偏离”栏应注明“无偏离”或“正偏离”或“负偏离”。</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3、内容响应存在正偏离或无偏离或负偏离的，请在本表中逐条列出。未列出的，也视为响应招标文件要求，无偏离。如果行数不够，请自行增加。</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ascii="宋体" w:hAnsi="宋体" w:cs="宋体"/>
          <w:szCs w:val="21"/>
        </w:rPr>
      </w:pPr>
      <w:r>
        <w:rPr>
          <w:rFonts w:ascii="宋体" w:hAnsi="宋体" w:cs="宋体"/>
          <w:szCs w:val="21"/>
        </w:rPr>
      </w:r>
      <w:r/>
    </w:p>
    <w:p>
      <w:pPr>
        <w:spacing w:line="460" w:lineRule="atLeast"/>
        <w:widowControl/>
        <w:rPr>
          <w:rFonts w:ascii="宋体" w:hAnsi="宋体" w:cs="宋体"/>
          <w:b/>
          <w:szCs w:val="21"/>
        </w:rPr>
      </w:pPr>
      <w:r>
        <w:rPr>
          <w:rFonts w:hint="eastAsia" w:ascii="宋体" w:hAnsi="宋体" w:cs="宋体"/>
          <w:b/>
          <w:bCs/>
          <w:szCs w:val="21"/>
        </w:rPr>
        <w:br w:type="page" w:clear="all"/>
      </w:r>
      <w:r>
        <w:rPr>
          <w:rFonts w:hint="eastAsia" w:ascii="宋体" w:hAnsi="宋体" w:cs="宋体"/>
          <w:b/>
          <w:bCs/>
          <w:sz w:val="24"/>
        </w:rPr>
        <w:t xml:space="preserve">附件七、方案</w:t>
      </w:r>
      <w:r/>
    </w:p>
    <w:p>
      <w:pPr>
        <w:jc w:val="left"/>
        <w:spacing w:line="360" w:lineRule="auto"/>
        <w:shd w:val="clear" w:color="auto" w:fill="ffffff"/>
        <w:widowControl/>
        <w:rPr>
          <w:rFonts w:ascii="宋体" w:hAnsi="宋体" w:cs="宋体"/>
          <w:b/>
          <w:szCs w:val="21"/>
          <w:lang w:val="zh-CN"/>
        </w:rPr>
      </w:pPr>
      <w:r>
        <w:rPr>
          <w:rFonts w:ascii="宋体" w:hAnsi="宋体" w:cs="宋体"/>
          <w:b/>
          <w:szCs w:val="21"/>
          <w:lang w:val="zh-CN"/>
        </w:rPr>
      </w:r>
      <w:r/>
    </w:p>
    <w:p>
      <w:pPr>
        <w:pStyle w:val="1082"/>
        <w:ind w:firstLine="0"/>
        <w:spacing w:before="0" w:after="0"/>
        <w:rPr>
          <w:rFonts w:ascii="宋体" w:hAnsi="宋体" w:cs="宋体"/>
          <w:sz w:val="21"/>
          <w:szCs w:val="21"/>
        </w:rPr>
      </w:pPr>
      <w:r>
        <w:rPr>
          <w:rFonts w:hint="eastAsia" w:ascii="宋体" w:hAnsi="宋体" w:cs="宋体"/>
          <w:sz w:val="21"/>
          <w:szCs w:val="21"/>
        </w:rPr>
        <w:t xml:space="preserve">方案应根据采购人对项目的要求、评标标准的要求及项目本身的特点编写。</w:t>
      </w:r>
      <w:r/>
    </w:p>
    <w:p>
      <w:pPr>
        <w:pStyle w:val="1082"/>
        <w:ind w:firstLine="420"/>
        <w:spacing w:before="0" w:after="0"/>
        <w:rPr>
          <w:rFonts w:ascii="宋体" w:hAnsi="宋体" w:cs="宋体"/>
          <w:sz w:val="21"/>
          <w:szCs w:val="21"/>
        </w:rPr>
      </w:pPr>
      <w:r>
        <w:rPr>
          <w:rFonts w:ascii="宋体" w:hAnsi="宋体" w:cs="宋体"/>
          <w:sz w:val="21"/>
          <w:szCs w:val="21"/>
        </w:rPr>
      </w:r>
      <w:r/>
    </w:p>
    <w:p>
      <w:pPr>
        <w:jc w:val="left"/>
        <w:spacing w:line="360" w:lineRule="auto"/>
        <w:shd w:val="clear" w:color="auto" w:fill="ffffff"/>
        <w:widowControl/>
        <w:rPr>
          <w:rFonts w:ascii="Arial" w:hAnsi="Arial" w:cs="Arial"/>
          <w:b/>
          <w:bCs/>
          <w:sz w:val="22"/>
          <w:szCs w:val="22"/>
        </w:rPr>
      </w:pPr>
      <w:r>
        <w:rPr>
          <w:rFonts w:hint="eastAsia" w:ascii="Arial" w:hAnsi="Arial" w:cs="Arial"/>
          <w:b/>
          <w:bCs/>
          <w:sz w:val="22"/>
          <w:szCs w:val="22"/>
        </w:rPr>
        <w:t xml:space="preserve">相关内容请在苏采云平台对应模块填写。</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 </w:t>
      </w:r>
      <w:r/>
    </w:p>
    <w:p>
      <w:pPr>
        <w:spacing w:line="460" w:lineRule="atLeast"/>
        <w:widowControl/>
        <w:rPr>
          <w:rFonts w:ascii="宋体" w:hAnsi="宋体" w:cs="宋体"/>
          <w:b/>
          <w:bCs/>
          <w:sz w:val="24"/>
        </w:rPr>
      </w:pPr>
      <w:r>
        <w:rPr>
          <w:rFonts w:hint="eastAsia" w:ascii="宋体" w:hAnsi="宋体" w:cs="宋体"/>
        </w:rPr>
        <w:br w:type="page" w:clear="all"/>
      </w:r>
      <w:r>
        <w:rPr>
          <w:rFonts w:hint="eastAsia" w:ascii="宋体" w:hAnsi="宋体" w:cs="宋体"/>
          <w:b/>
          <w:bCs/>
          <w:sz w:val="24"/>
        </w:rPr>
        <w:t xml:space="preserve">附件八、拟参与本项目服务人员一览表</w:t>
      </w:r>
      <w:r/>
    </w:p>
    <w:p>
      <w:pPr>
        <w:spacing w:line="460" w:lineRule="atLeast"/>
        <w:widowControl/>
        <w:rPr>
          <w:rFonts w:ascii="宋体" w:hAnsi="宋体" w:cs="宋体"/>
          <w:b/>
          <w:bCs/>
          <w:sz w:val="24"/>
        </w:rPr>
      </w:pPr>
      <w:r>
        <w:rPr>
          <w:rFonts w:ascii="宋体" w:hAnsi="宋体" w:cs="宋体"/>
          <w:b/>
          <w:bCs/>
          <w:sz w:val="24"/>
        </w:rPr>
      </w:r>
      <w:r/>
    </w:p>
    <w:p>
      <w:pPr>
        <w:jc w:val="center"/>
        <w:widowControl/>
        <w:rPr>
          <w:rFonts w:ascii="宋体" w:hAnsi="宋体" w:cs="宋体"/>
          <w:b/>
          <w:bCs/>
          <w:sz w:val="24"/>
        </w:rPr>
      </w:pPr>
      <w:r>
        <w:rPr>
          <w:rFonts w:hint="eastAsia" w:ascii="宋体" w:hAnsi="宋体" w:cs="宋体"/>
          <w:b/>
          <w:bCs/>
          <w:sz w:val="24"/>
        </w:rPr>
        <w:t xml:space="preserve">拟参与本项目服务人员一览表</w:t>
      </w:r>
      <w:r/>
    </w:p>
    <w:p>
      <w:pPr>
        <w:jc w:val="center"/>
        <w:widowControl/>
        <w:rPr>
          <w:rFonts w:ascii="宋体" w:hAnsi="宋体" w:cs="宋体"/>
          <w:b/>
          <w:bCs/>
          <w:sz w:val="28"/>
          <w:szCs w:val="28"/>
        </w:rPr>
      </w:pPr>
      <w:r>
        <w:rPr>
          <w:rFonts w:hint="eastAsia" w:ascii="宋体" w:hAnsi="宋体" w:cs="宋体"/>
          <w:b/>
          <w:bCs/>
          <w:sz w:val="28"/>
          <w:szCs w:val="28"/>
        </w:rPr>
        <w:t xml:space="preserve">（医师）</w:t>
      </w:r>
      <w:r/>
    </w:p>
    <w:tbl>
      <w:tblPr>
        <w:tblStyle w:val="897"/>
        <w:tblW w:w="9321"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896"/>
        <w:gridCol w:w="663"/>
        <w:gridCol w:w="709"/>
        <w:gridCol w:w="1134"/>
        <w:gridCol w:w="1020"/>
        <w:gridCol w:w="994"/>
        <w:gridCol w:w="991"/>
        <w:gridCol w:w="742"/>
        <w:gridCol w:w="742"/>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岗位</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专业</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执业</w:t>
            </w:r>
            <w:r/>
          </w:p>
          <w:p>
            <w:pPr>
              <w:jc w:val="center"/>
              <w:widowControl/>
              <w:rPr>
                <w:rFonts w:ascii="宋体" w:hAnsi="宋体" w:cs="宋体"/>
                <w:b/>
                <w:bCs/>
                <w:szCs w:val="21"/>
              </w:rPr>
            </w:pPr>
            <w:r>
              <w:rPr>
                <w:rFonts w:hint="eastAsia" w:ascii="宋体" w:hAnsi="宋体" w:cs="宋体"/>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99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742"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证明材料所在页码</w:t>
            </w:r>
            <w:r/>
          </w:p>
        </w:tc>
        <w:tc>
          <w:tcPr>
            <w:tcBorders>
              <w:top w:val="single" w:color="000000" w:sz="4" w:space="0"/>
              <w:left w:val="none" w:color="000000" w:sz="4" w:space="0"/>
              <w:bottom w:val="single" w:color="000000" w:sz="4" w:space="0"/>
              <w:right w:val="single" w:color="000000" w:sz="4" w:space="0"/>
            </w:tcBorders>
            <w:tcW w:w="742"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r>
    </w:tbl>
    <w:p>
      <w:pPr>
        <w:jc w:val="left"/>
        <w:spacing w:line="360" w:lineRule="auto"/>
        <w:shd w:val="clear" w:color="auto" w:fill="ffffff"/>
        <w:widowControl/>
        <w:rPr>
          <w:rFonts w:ascii="宋体" w:hAnsi="宋体" w:cs="宋体"/>
          <w:szCs w:val="21"/>
        </w:rPr>
      </w:pPr>
      <w:r>
        <w:rPr>
          <w:rFonts w:ascii="宋体" w:hAnsi="宋体" w:cs="宋体"/>
          <w:szCs w:val="21"/>
        </w:rPr>
      </w:r>
      <w:r/>
    </w:p>
    <w:p>
      <w:pPr>
        <w:widowControl/>
        <w:rPr>
          <w:rFonts w:ascii="宋体" w:hAnsi="宋体" w:cs="宋体"/>
          <w:szCs w:val="21"/>
        </w:rPr>
      </w:pPr>
      <w:r>
        <w:rPr>
          <w:rFonts w:ascii="宋体" w:hAnsi="宋体" w:cs="宋体"/>
          <w:szCs w:val="21"/>
        </w:rPr>
      </w:r>
      <w:r/>
    </w:p>
    <w:p>
      <w:pPr>
        <w:jc w:val="center"/>
        <w:widowControl/>
        <w:rPr>
          <w:rFonts w:ascii="宋体" w:hAnsi="宋体" w:cs="宋体"/>
          <w:b/>
          <w:bCs/>
          <w:sz w:val="24"/>
        </w:rPr>
      </w:pPr>
      <w:r>
        <w:rPr>
          <w:rFonts w:hint="eastAsia" w:ascii="宋体" w:hAnsi="宋体" w:cs="宋体"/>
          <w:b/>
          <w:bCs/>
          <w:sz w:val="24"/>
        </w:rPr>
        <w:t xml:space="preserve">拟参与本项目服务人员一览表</w:t>
      </w:r>
      <w:r/>
    </w:p>
    <w:p>
      <w:pPr>
        <w:jc w:val="center"/>
        <w:widowControl/>
        <w:rPr>
          <w:rFonts w:ascii="宋体" w:hAnsi="宋体" w:cs="宋体"/>
          <w:b/>
          <w:bCs/>
          <w:sz w:val="28"/>
          <w:szCs w:val="28"/>
        </w:rPr>
      </w:pPr>
      <w:r>
        <w:rPr>
          <w:rFonts w:hint="eastAsia" w:ascii="宋体" w:hAnsi="宋体" w:cs="宋体"/>
          <w:b/>
          <w:bCs/>
          <w:sz w:val="28"/>
          <w:szCs w:val="28"/>
        </w:rPr>
        <w:t xml:space="preserve">（护士）</w:t>
      </w:r>
      <w:r/>
    </w:p>
    <w:tbl>
      <w:tblPr>
        <w:tblStyle w:val="897"/>
        <w:tblW w:w="9321"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896"/>
        <w:gridCol w:w="663"/>
        <w:gridCol w:w="709"/>
        <w:gridCol w:w="1134"/>
        <w:gridCol w:w="1020"/>
        <w:gridCol w:w="994"/>
        <w:gridCol w:w="991"/>
        <w:gridCol w:w="742"/>
        <w:gridCol w:w="742"/>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岗位</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专业</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执业</w:t>
            </w:r>
            <w:r/>
          </w:p>
          <w:p>
            <w:pPr>
              <w:jc w:val="center"/>
              <w:widowControl/>
              <w:rPr>
                <w:rFonts w:ascii="宋体" w:hAnsi="宋体" w:cs="宋体"/>
                <w:b/>
                <w:bCs/>
                <w:szCs w:val="21"/>
              </w:rPr>
            </w:pPr>
            <w:r>
              <w:rPr>
                <w:rFonts w:hint="eastAsia" w:ascii="宋体" w:hAnsi="宋体" w:cs="宋体"/>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99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742"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证明材料所在页码</w:t>
            </w:r>
            <w:r/>
          </w:p>
        </w:tc>
        <w:tc>
          <w:tcPr>
            <w:tcBorders>
              <w:top w:val="single" w:color="000000" w:sz="4" w:space="0"/>
              <w:left w:val="none" w:color="000000" w:sz="4" w:space="0"/>
              <w:bottom w:val="single" w:color="000000" w:sz="4" w:space="0"/>
              <w:right w:val="single" w:color="000000" w:sz="4" w:space="0"/>
            </w:tcBorders>
            <w:tcW w:w="742"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r>
    </w:tbl>
    <w:p>
      <w:pPr>
        <w:widowControl/>
        <w:rPr>
          <w:rFonts w:ascii="宋体" w:hAnsi="宋体" w:cs="宋体"/>
          <w:b/>
          <w:bCs/>
          <w:szCs w:val="21"/>
        </w:rPr>
      </w:pPr>
      <w:r>
        <w:rPr>
          <w:rFonts w:ascii="宋体" w:hAnsi="宋体" w:cs="宋体"/>
          <w:b/>
          <w:bCs/>
          <w:szCs w:val="21"/>
        </w:rPr>
      </w:r>
      <w:r/>
    </w:p>
    <w:p>
      <w:pPr>
        <w:widowControl/>
        <w:rPr>
          <w:rFonts w:ascii="宋体" w:hAnsi="宋体" w:cs="宋体"/>
          <w:b/>
          <w:bCs/>
          <w:szCs w:val="21"/>
        </w:rPr>
      </w:pPr>
      <w:r>
        <w:rPr>
          <w:rFonts w:hint="eastAsia" w:ascii="宋体" w:hAnsi="宋体" w:cs="宋体"/>
          <w:b/>
          <w:bCs/>
          <w:szCs w:val="21"/>
        </w:rPr>
        <w:t xml:space="preserve">备注：</w:t>
      </w:r>
      <w:r/>
    </w:p>
    <w:p>
      <w:pPr>
        <w:widowControl/>
        <w:rPr>
          <w:rFonts w:ascii="宋体" w:hAnsi="宋体" w:cs="宋体"/>
          <w:szCs w:val="21"/>
        </w:rPr>
      </w:pPr>
      <w:r>
        <w:rPr>
          <w:rFonts w:hint="eastAsia" w:ascii="宋体" w:hAnsi="宋体" w:cs="宋体"/>
          <w:szCs w:val="21"/>
        </w:rPr>
        <w:t xml:space="preserve">1、提供本项目各科室拟派体检医生、护士一览表（医生必须提供医师资格证书、医师执业证书、专业技术资格证的姓名页、证书编号页、有内容的变更注册记录页以及执业记录页扫描件，护士必须提供护士执业证书的姓名及编号页、有内容的变更注册页及延续注册页扫描件，提供的证明材料必须能体现评审内容，否则视为未提供。</w:t>
      </w:r>
      <w:r/>
    </w:p>
    <w:p>
      <w:pPr>
        <w:widowControl/>
        <w:rPr>
          <w:rFonts w:ascii="宋体" w:hAnsi="宋体" w:cs="宋体"/>
          <w:szCs w:val="21"/>
        </w:rPr>
      </w:pPr>
      <w:r>
        <w:rPr>
          <w:rFonts w:hint="eastAsia" w:ascii="宋体" w:hAnsi="宋体" w:cs="宋体"/>
          <w:szCs w:val="21"/>
        </w:rPr>
        <w:t xml:space="preserve">2、医师多点执业可从国家卫生健康委员会电子化注册信息系统查询、截图打印，须同时提供该医师与投标单位签订的劳务聘用/服务协议。</w:t>
      </w:r>
      <w:r/>
    </w:p>
    <w:p>
      <w:pPr>
        <w:spacing w:line="360" w:lineRule="auto"/>
        <w:widowControl/>
        <w:rPr>
          <w:rFonts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附件九、供应商类似业绩情况表</w:t>
      </w:r>
      <w:r/>
    </w:p>
    <w:p>
      <w:pPr>
        <w:jc w:val="center"/>
        <w:spacing w:line="360" w:lineRule="auto"/>
        <w:widowControl/>
        <w:rPr>
          <w:rFonts w:ascii="宋体" w:hAnsi="宋体" w:cs="宋体"/>
          <w:b/>
          <w:bCs/>
          <w:sz w:val="24"/>
        </w:rPr>
      </w:pPr>
      <w:r>
        <w:rPr>
          <w:rFonts w:ascii="宋体" w:hAnsi="宋体" w:cs="宋体"/>
          <w:b/>
          <w:bCs/>
          <w:sz w:val="24"/>
        </w:rPr>
      </w:r>
      <w:r/>
    </w:p>
    <w:p>
      <w:pPr>
        <w:jc w:val="center"/>
        <w:spacing w:line="360" w:lineRule="auto"/>
        <w:widowControl/>
        <w:rPr>
          <w:rFonts w:ascii="宋体" w:hAnsi="宋体" w:cs="宋体"/>
          <w:b/>
          <w:bCs/>
          <w:sz w:val="24"/>
        </w:rPr>
      </w:pPr>
      <w:r>
        <w:rPr>
          <w:rFonts w:hint="eastAsia" w:ascii="宋体" w:hAnsi="宋体" w:cs="宋体"/>
          <w:b/>
          <w:bCs/>
          <w:sz w:val="24"/>
        </w:rPr>
        <w:t xml:space="preserve">供应商类似业绩情况表</w:t>
      </w:r>
      <w:r/>
    </w:p>
    <w:tbl>
      <w:tblPr>
        <w:tblStyle w:val="897"/>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内容</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金额</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签约及服务</w:t>
            </w:r>
            <w:r/>
          </w:p>
          <w:p>
            <w:pPr>
              <w:jc w:val="center"/>
              <w:spacing w:line="400" w:lineRule="atLeast"/>
              <w:widowControl/>
              <w:rPr>
                <w:rFonts w:ascii="宋体" w:hAnsi="宋体" w:cs="宋体"/>
                <w:szCs w:val="21"/>
              </w:rPr>
            </w:pPr>
            <w:r>
              <w:rPr>
                <w:rFonts w:hint="eastAsia" w:ascii="宋体" w:hAnsi="宋体" w:cs="宋体"/>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bl>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spacing w:line="460" w:lineRule="atLeast"/>
        <w:widowControl/>
        <w:rPr>
          <w:rFonts w:ascii="宋体" w:hAnsi="宋体" w:cs="宋体"/>
          <w:b/>
          <w:bCs/>
        </w:rPr>
      </w:pPr>
      <w:r>
        <w:rPr>
          <w:rFonts w:hint="eastAsia" w:ascii="宋体" w:hAnsi="宋体" w:cs="宋体"/>
          <w:szCs w:val="21"/>
          <w:u w:val="single"/>
        </w:rPr>
        <w:br w:type="page" w:clear="all"/>
      </w:r>
      <w:r>
        <w:rPr>
          <w:rFonts w:hint="eastAsia" w:ascii="宋体" w:hAnsi="宋体" w:cs="宋体"/>
          <w:b/>
          <w:bCs/>
          <w:sz w:val="24"/>
        </w:rPr>
        <w:t xml:space="preserve">附件十、企业声明函格式</w:t>
      </w:r>
      <w:r/>
    </w:p>
    <w:p>
      <w:pPr>
        <w:jc w:val="center"/>
        <w:spacing w:line="300" w:lineRule="exact"/>
        <w:rPr>
          <w:rFonts w:ascii="宋体" w:hAnsi="宋体" w:cs="宋体"/>
          <w:b/>
          <w:bCs/>
          <w:sz w:val="28"/>
        </w:rPr>
      </w:pPr>
      <w:r>
        <w:rPr>
          <w:rFonts w:ascii="宋体" w:hAnsi="宋体" w:cs="宋体"/>
          <w:b/>
          <w:bCs/>
          <w:sz w:val="28"/>
        </w:rPr>
      </w:r>
      <w:r/>
    </w:p>
    <w:p>
      <w:pPr>
        <w:jc w:val="center"/>
        <w:spacing w:line="360" w:lineRule="auto"/>
        <w:rPr>
          <w:rFonts w:ascii="宋体" w:hAnsi="宋体" w:cs="宋体"/>
          <w:b/>
          <w:bCs/>
          <w:sz w:val="28"/>
        </w:rPr>
      </w:pPr>
      <w:r>
        <w:rPr>
          <w:rFonts w:hint="eastAsia" w:ascii="宋体" w:hAnsi="宋体" w:cs="宋体"/>
          <w:b/>
          <w:bCs/>
          <w:sz w:val="28"/>
        </w:rPr>
        <w:t xml:space="preserve">中小企业声明函（服务）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本公司郑重声明，根据《政府采购促进中小企业发展管理办法》（财库﹝2020﹞46 号）的规定，本公司（联合体）参加</w:t>
      </w:r>
      <w:r>
        <w:rPr>
          <w:rFonts w:hint="eastAsia" w:ascii="宋体" w:hAnsi="宋体" w:eastAsia="宋体" w:cs="宋体"/>
          <w:sz w:val="24"/>
          <w:szCs w:val="24"/>
          <w:u w:val="single"/>
        </w:rPr>
        <w:t xml:space="preserve">  [采购人单位名称]  </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  [项目名称]  </w:t>
      </w:r>
      <w:r>
        <w:rPr>
          <w:rFonts w:hint="eastAsia" w:ascii="宋体" w:hAnsi="宋体" w:eastAsia="宋体" w:cs="宋体"/>
          <w:sz w:val="24"/>
          <w:szCs w:val="24"/>
        </w:rPr>
        <w:t xml:space="preserve">采购活动，提供的服务全部由符合政策要求的中小企业承接。根据《工业和信息化部、国家统计局、国家发展和改革委员会、财政部关于印发中小企业划型标准规定的通知》(工信部联企业[2011]300号)的规定，相关企业的具体情况如下： </w:t>
      </w:r>
      <w:r/>
    </w:p>
    <w:p>
      <w:pPr>
        <w:ind w:firstLine="480"/>
        <w:spacing w:line="360" w:lineRule="auto"/>
        <w:tabs>
          <w:tab w:val="left" w:pos="1184" w:leader="none"/>
          <w:tab w:val="left" w:pos="1384" w:leader="none"/>
          <w:tab w:val="left" w:pos="4562" w:leader="none"/>
          <w:tab w:val="left" w:pos="6803"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    [标的名称]    </w:t>
      </w:r>
      <w:r>
        <w:rPr>
          <w:rFonts w:hint="eastAsia" w:ascii="宋体" w:hAnsi="宋体" w:eastAsia="宋体" w:cs="宋体"/>
          <w:sz w:val="24"/>
          <w:szCs w:val="24"/>
        </w:rPr>
        <w:t xml:space="preserve"> ，属于</w:t>
      </w:r>
      <w:r>
        <w:rPr>
          <w:rFonts w:hint="eastAsia" w:ascii="宋体" w:hAnsi="宋体" w:eastAsia="宋体" w:cs="宋体"/>
          <w:sz w:val="24"/>
          <w:szCs w:val="24"/>
          <w:u w:val="single"/>
        </w:rPr>
        <w:t xml:space="preserve"> [采购文件中明确的所属行业] </w:t>
      </w:r>
      <w:r>
        <w:rPr>
          <w:rFonts w:hint="eastAsia" w:ascii="宋体" w:hAnsi="宋体" w:eastAsia="宋体" w:cs="宋体"/>
          <w:sz w:val="24"/>
          <w:szCs w:val="24"/>
        </w:rPr>
        <w:t xml:space="preserve">行业；承接企业为</w:t>
      </w:r>
      <w:r>
        <w:rPr>
          <w:rFonts w:hint="eastAsia" w:ascii="宋体" w:hAnsi="宋体" w:eastAsia="宋体" w:cs="宋体"/>
          <w:sz w:val="24"/>
          <w:szCs w:val="24"/>
          <w:u w:val="single"/>
        </w:rPr>
        <w:t xml:space="preserve"> [企业名称] </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eastAsia="宋体" w:cs="宋体"/>
          <w:sz w:val="24"/>
          <w:szCs w:val="24"/>
          <w:u w:val="single"/>
        </w:rPr>
        <w:t xml:space="preserve">中型企业  </w:t>
      </w:r>
      <w:r>
        <w:rPr>
          <w:rFonts w:ascii="Wingdings 2" w:hAnsi="Wingdings 2" w:eastAsia="Wingdings 2" w:cs="Wingdings 2"/>
          <w:sz w:val="24"/>
          <w:szCs w:val="24"/>
          <w:u w:val="single"/>
        </w:rPr>
        <w:t xml:space="preserve">*</w:t>
      </w:r>
      <w:r>
        <w:rPr>
          <w:rFonts w:hint="eastAsia" w:ascii="宋体" w:hAnsi="宋体" w:eastAsia="宋体" w:cs="宋体"/>
          <w:sz w:val="24"/>
          <w:szCs w:val="24"/>
          <w:u w:val="single"/>
        </w:rPr>
        <w:t xml:space="preserve">小型企业    </w:t>
      </w:r>
      <w:r>
        <w:rPr>
          <w:rFonts w:ascii="Wingdings 2" w:hAnsi="Wingdings 2" w:eastAsia="Wingdings 2" w:cs="Wingdings 2"/>
          <w:sz w:val="24"/>
          <w:szCs w:val="24"/>
          <w:u w:val="single"/>
        </w:rPr>
        <w:t xml:space="preserve">*</w:t>
      </w:r>
      <w:r>
        <w:rPr>
          <w:rFonts w:hint="eastAsia" w:ascii="宋体" w:hAnsi="宋体" w:eastAsia="宋体" w:cs="宋体"/>
          <w:sz w:val="24"/>
          <w:szCs w:val="24"/>
          <w:u w:val="single"/>
        </w:rPr>
        <w:t xml:space="preserve">微型企业  </w:t>
      </w:r>
      <w:r>
        <w:rPr>
          <w:rFonts w:hint="eastAsia" w:ascii="宋体" w:hAnsi="宋体" w:eastAsia="宋体" w:cs="宋体"/>
          <w:sz w:val="24"/>
          <w:szCs w:val="24"/>
        </w:rPr>
        <w:t xml:space="preserve">；</w:t>
      </w:r>
      <w:r/>
    </w:p>
    <w:p>
      <w:pPr>
        <w:ind w:firstLine="480"/>
        <w:spacing w:line="360" w:lineRule="auto"/>
        <w:tabs>
          <w:tab w:val="left" w:pos="1184" w:leader="none"/>
          <w:tab w:val="left" w:pos="1384" w:leader="none"/>
          <w:tab w:val="left" w:pos="4562" w:leader="none"/>
          <w:tab w:val="left" w:pos="6803" w:leader="none"/>
        </w:tabs>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    [标的名称]    </w:t>
      </w:r>
      <w:r>
        <w:rPr>
          <w:rFonts w:hint="eastAsia" w:ascii="宋体" w:hAnsi="宋体" w:eastAsia="宋体" w:cs="宋体"/>
          <w:sz w:val="24"/>
          <w:szCs w:val="24"/>
        </w:rPr>
        <w:t xml:space="preserve"> ，属于</w:t>
      </w:r>
      <w:r>
        <w:rPr>
          <w:rFonts w:hint="eastAsia" w:ascii="宋体" w:hAnsi="宋体" w:eastAsia="宋体" w:cs="宋体"/>
          <w:sz w:val="24"/>
          <w:szCs w:val="24"/>
          <w:u w:val="single"/>
        </w:rPr>
        <w:t xml:space="preserve"> [采购文件中明确的所属行业] </w:t>
      </w:r>
      <w:r>
        <w:rPr>
          <w:rFonts w:hint="eastAsia" w:ascii="宋体" w:hAnsi="宋体" w:eastAsia="宋体" w:cs="宋体"/>
          <w:sz w:val="24"/>
          <w:szCs w:val="24"/>
        </w:rPr>
        <w:t xml:space="preserve">行业；承接企业为</w:t>
      </w:r>
      <w:r>
        <w:rPr>
          <w:rFonts w:hint="eastAsia" w:ascii="宋体" w:hAnsi="宋体" w:eastAsia="宋体" w:cs="宋体"/>
          <w:sz w:val="24"/>
          <w:szCs w:val="24"/>
          <w:u w:val="single"/>
        </w:rPr>
        <w:t xml:space="preserve"> [企业名称] </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eastAsia="宋体" w:cs="宋体"/>
          <w:sz w:val="24"/>
          <w:szCs w:val="24"/>
          <w:u w:val="single"/>
        </w:rPr>
        <w:t xml:space="preserve">中型企业   </w:t>
      </w:r>
      <w:r>
        <w:rPr>
          <w:rFonts w:ascii="Wingdings 2" w:hAnsi="Wingdings 2" w:eastAsia="Wingdings 2" w:cs="Wingdings 2"/>
          <w:sz w:val="24"/>
          <w:szCs w:val="24"/>
          <w:u w:val="single"/>
        </w:rPr>
        <w:t xml:space="preserve">*</w:t>
      </w:r>
      <w:r>
        <w:rPr>
          <w:rFonts w:hint="eastAsia" w:ascii="宋体" w:hAnsi="宋体" w:eastAsia="宋体" w:cs="宋体"/>
          <w:sz w:val="24"/>
          <w:szCs w:val="24"/>
          <w:u w:val="single"/>
        </w:rPr>
        <w:t xml:space="preserve">小型企业    </w:t>
      </w:r>
      <w:r>
        <w:rPr>
          <w:rFonts w:ascii="Wingdings 2" w:hAnsi="Wingdings 2" w:eastAsia="Wingdings 2" w:cs="Wingdings 2"/>
          <w:sz w:val="24"/>
          <w:szCs w:val="24"/>
          <w:u w:val="single"/>
        </w:rPr>
        <w:t xml:space="preserve">*</w:t>
      </w:r>
      <w:r>
        <w:rPr>
          <w:rFonts w:hint="eastAsia" w:ascii="宋体" w:hAnsi="宋体" w:eastAsia="宋体" w:cs="宋体"/>
          <w:sz w:val="24"/>
          <w:szCs w:val="24"/>
          <w:u w:val="single"/>
        </w:rPr>
        <w:t xml:space="preserve">微型企业  </w:t>
      </w:r>
      <w:r>
        <w:rPr>
          <w:rFonts w:hint="eastAsia" w:ascii="宋体" w:hAnsi="宋体" w:eastAsia="宋体" w:cs="宋体"/>
          <w:sz w:val="24"/>
          <w:szCs w:val="24"/>
        </w:rPr>
        <w:t xml:space="preserve">；</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企业名称（加盖电子公章）：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 期：</w:t>
      </w:r>
      <w:r/>
    </w:p>
    <w:p>
      <w:pPr>
        <w:ind w:firstLine="480"/>
        <w:spacing w:line="360" w:lineRule="auto"/>
        <w:rPr>
          <w:rFonts w:ascii="宋体" w:hAnsi="宋体"/>
          <w:sz w:val="24"/>
        </w:rPr>
      </w:pPr>
      <w:r>
        <w:rPr>
          <w:rFonts w:ascii="宋体" w:hAnsi="宋体"/>
          <w:sz w:val="24"/>
        </w:rPr>
      </w:r>
      <w:r/>
    </w:p>
    <w:p>
      <w:pPr>
        <w:ind w:firstLine="420"/>
        <w:keepLines/>
        <w:keepNext/>
        <w:rPr>
          <w:rFonts w:ascii="宋体" w:hAnsi="宋体" w:cs="宋体"/>
        </w:rPr>
      </w:pPr>
      <w:r>
        <w:rPr>
          <w:rFonts w:hint="eastAsia" w:ascii="宋体" w:hAnsi="宋体" w:cs="宋体"/>
        </w:rPr>
        <w:t xml:space="preserve">备注：</w:t>
      </w:r>
      <w:r/>
    </w:p>
    <w:p>
      <w:pPr>
        <w:ind w:firstLine="420"/>
        <w:keepLines/>
        <w:keepNext/>
        <w:rPr>
          <w:rFonts w:ascii="宋体" w:hAnsi="宋体" w:cs="宋体"/>
        </w:rPr>
      </w:pPr>
      <w:r>
        <w:rPr>
          <w:rFonts w:hint="eastAsia" w:ascii="宋体" w:hAnsi="宋体" w:cs="宋体"/>
        </w:rPr>
        <w:t xml:space="preserve">1.从业人员、营业收入、资产总额填报上一年度数据，无上一年度数据的新成立企业可不填报。</w:t>
      </w:r>
      <w:r/>
    </w:p>
    <w:p>
      <w:pPr>
        <w:ind w:firstLine="420"/>
        <w:keepLines/>
        <w:keepNext/>
        <w:rPr>
          <w:rFonts w:ascii="宋体" w:hAnsi="宋体" w:cs="宋体"/>
          <w:b/>
          <w:bCs/>
        </w:rPr>
      </w:pPr>
      <w:r>
        <w:rPr>
          <w:rFonts w:hint="eastAsia" w:ascii="宋体" w:hAnsi="宋体" w:cs="宋体"/>
        </w:rPr>
        <w:t xml:space="preserve">2.《中小企业声明函》中所填的行业应与本采购标的对应的中小企业划分标准所属行业一致，不一致的不可享受相应政策优惠。</w:t>
      </w:r>
      <w:r>
        <w:rPr>
          <w:rFonts w:hint="eastAsia" w:ascii="宋体" w:hAnsi="宋体" w:cs="宋体"/>
          <w:b/>
          <w:bCs/>
        </w:rPr>
        <w:t xml:space="preserve">本采购标的对应的中小企业划分标准所属行业，以采购文件中具体规定为准。</w:t>
      </w:r>
      <w:r/>
    </w:p>
    <w:p>
      <w:pPr>
        <w:ind w:firstLine="422"/>
        <w:keepLines/>
        <w:keepNext/>
        <w:rPr>
          <w:rFonts w:ascii="宋体" w:hAnsi="宋体" w:cs="宋体"/>
          <w:b/>
          <w:bCs/>
        </w:rPr>
      </w:pPr>
      <w:r>
        <w:rPr>
          <w:rFonts w:hint="eastAsia" w:ascii="宋体" w:hAnsi="宋体" w:cs="宋体"/>
          <w:b/>
          <w:bCs/>
        </w:rPr>
        <w:t xml:space="preserve">3.如未对（中型企业、小型企业、微型企业）进行勾选，视同非中小微企业，不可享受相应扶持政策。</w:t>
      </w:r>
      <w:r/>
    </w:p>
    <w:p>
      <w:pPr>
        <w:ind w:firstLine="420"/>
        <w:spacing w:line="360" w:lineRule="auto"/>
        <w:rPr>
          <w:rFonts w:ascii="宋体" w:hAnsi="宋体" w:cs="宋体"/>
          <w:b/>
        </w:rPr>
      </w:pPr>
      <w:r>
        <w:rPr>
          <w:rFonts w:hint="eastAsia" w:ascii="宋体" w:hAnsi="宋体" w:cs="宋体"/>
        </w:rPr>
        <w:t xml:space="preserve">4.中标单位为中小企业的，《中小企业声明函》将随中标结果同时公告</w:t>
      </w:r>
      <w:r>
        <w:rPr>
          <w:rFonts w:hint="eastAsia" w:ascii="宋体" w:hAnsi="宋体" w:cs="宋体"/>
          <w:lang w:val="zh-CN"/>
        </w:rPr>
        <w:t xml:space="preserve">。</w:t>
      </w:r>
      <w:r/>
    </w:p>
    <w:p>
      <w:pPr>
        <w:rPr>
          <w:rFonts w:ascii="宋体" w:hAnsi="宋体" w:cs="宋体"/>
          <w:b/>
        </w:rPr>
      </w:pPr>
      <w:r>
        <w:rPr>
          <w:rFonts w:hint="eastAsia" w:ascii="宋体" w:hAnsi="宋体" w:cs="宋体"/>
          <w:b/>
        </w:rPr>
        <w:t xml:space="preserve">附：中小企业划型标准规定</w:t>
      </w:r>
      <w:r/>
    </w:p>
    <w:p>
      <w:pPr>
        <w:ind w:firstLine="422"/>
        <w:rPr>
          <w:rFonts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cs="宋体"/>
        </w:rPr>
      </w:pPr>
      <w:r>
        <w:rPr>
          <w:rFonts w:hint="eastAsia" w:ascii="宋体" w:hAnsi="宋体" w:cs="宋体"/>
          <w:b/>
        </w:rPr>
        <w:t xml:space="preserve">（八）邮政业。</w:t>
      </w:r>
      <w:r>
        <w:rPr>
          <w:rFonts w:hint="eastAsia" w:ascii="宋体" w:hAnsi="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rPr>
          <w:rFonts w:ascii="宋体" w:hAnsi="宋体" w:cs="宋体"/>
        </w:rPr>
      </w:pPr>
      <w:r>
        <w:rPr>
          <w:rFonts w:hint="eastAsia" w:ascii="宋体" w:hAnsi="宋体" w:cs="宋体"/>
          <w:b/>
        </w:rPr>
        <w:t xml:space="preserve">（十六）其他未列明行业。</w:t>
      </w:r>
      <w:r>
        <w:rPr>
          <w:rFonts w:hint="eastAsia" w:ascii="宋体" w:hAnsi="宋体" w:cs="宋体"/>
        </w:rPr>
        <w:t xml:space="preserve">从业人员300人以下的为中小微型企业。其中，从业人员100人及以上的为中型企业；从业人员10人及以上的为小型企业；从业人员10人以下的为微型企业。</w:t>
      </w:r>
      <w:r/>
    </w:p>
    <w:p>
      <w:pPr>
        <w:jc w:val="left"/>
        <w:widowControl/>
        <w:rPr>
          <w:rFonts w:ascii="宋体" w:hAnsi="宋体" w:cs="宋体"/>
          <w:szCs w:val="21"/>
        </w:rPr>
      </w:pPr>
      <w:r>
        <w:rPr>
          <w:rFonts w:ascii="宋体" w:hAnsi="宋体" w:cs="宋体"/>
          <w:szCs w:val="21"/>
        </w:rPr>
      </w:r>
      <w:r/>
    </w:p>
    <w:p>
      <w:pPr>
        <w:jc w:val="center"/>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b/>
          <w:bCs/>
          <w:sz w:val="28"/>
        </w:rPr>
      </w:pPr>
      <w:r>
        <w:rPr>
          <w:rFonts w:ascii="宋体" w:hAnsi="宋体" w:cs="宋体"/>
          <w:b/>
          <w:bCs/>
          <w:sz w:val="28"/>
        </w:rPr>
      </w:r>
      <w:r/>
    </w:p>
    <w:p>
      <w:pPr>
        <w:rPr>
          <w:rFonts w:ascii="宋体" w:hAnsi="宋体" w:cs="宋体"/>
          <w:b/>
          <w:bCs/>
          <w:sz w:val="28"/>
        </w:rPr>
      </w:pPr>
      <w:r>
        <w:rPr>
          <w:rFonts w:hint="eastAsia" w:ascii="宋体" w:hAnsi="宋体" w:cs="宋体"/>
          <w:b/>
          <w:bCs/>
          <w:sz w:val="28"/>
        </w:rPr>
        <w:br w:type="page" w:clear="all"/>
      </w:r>
      <w:r/>
    </w:p>
    <w:p>
      <w:pPr>
        <w:jc w:val="center"/>
        <w:spacing w:line="360" w:lineRule="auto"/>
        <w:rPr>
          <w:rFonts w:ascii="宋体" w:hAnsi="宋体" w:cs="宋体"/>
          <w:b/>
          <w:bCs/>
          <w:sz w:val="28"/>
        </w:rPr>
      </w:pPr>
      <w:r>
        <w:rPr>
          <w:rFonts w:hint="eastAsia" w:ascii="宋体" w:hAnsi="宋体" w:cs="宋体"/>
          <w:b/>
          <w:bCs/>
          <w:sz w:val="28"/>
        </w:rPr>
        <w:t xml:space="preserve">关于符合本国产品标准的声明函</w:t>
      </w:r>
      <w:r/>
    </w:p>
    <w:p>
      <w:pPr>
        <w:pStyle w:val="928"/>
        <w:ind w:firstLine="420"/>
        <w:spacing w:before="0" w:beforeAutospacing="0" w:after="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8"/>
        <w:ind w:firstLine="420"/>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1.</w:t>
      </w:r>
      <w:r>
        <w:rPr>
          <w:rStyle w:val="938"/>
          <w:rFonts w:hint="eastAsia"/>
          <w:color w:val="000000" w:themeColor="text1"/>
          <w:sz w:val="21"/>
          <w:szCs w:val="21"/>
          <w:u w:val="single"/>
          <w:shd w:val="clear" w:color="auto" w:fill="ffffff"/>
          <w14:textFill>
            <w14:solidFill>
              <w14:schemeClr w14:val="tx1"/>
            </w14:solidFill>
          </w14:textFill>
        </w:rPr>
        <w:t xml:space="preserve">（产品名称1）</w:t>
      </w:r>
      <w:r>
        <w:rPr>
          <w:rStyle w:val="938"/>
          <w:rFonts w:hint="eastAsia"/>
          <w:color w:val="000000" w:themeColor="text1"/>
          <w:sz w:val="21"/>
          <w:szCs w:val="21"/>
          <w:shd w:val="clear" w:color="auto" w:fill="ffffff"/>
          <w:vertAlign w:val="superscript"/>
          <w14:textFill>
            <w14:solidFill>
              <w14:schemeClr w14:val="tx1"/>
            </w14:solidFill>
          </w14:textFill>
        </w:rPr>
        <w:t xml:space="preserve">1</w:t>
      </w:r>
      <w:r>
        <w:rPr>
          <w:rFonts w:hint="eastAsia"/>
          <w:color w:val="000000" w:themeColor="text1"/>
          <w:sz w:val="21"/>
          <w:szCs w:val="21"/>
          <w:shd w:val="clear" w:color="auto" w:fill="ffffff"/>
          <w14:textFill>
            <w14:solidFill>
              <w14:schemeClr w14:val="tx1"/>
            </w14:solidFill>
          </w14:textFill>
        </w:rPr>
        <w:t xml:space="preserve">，生产厂为</w:t>
      </w:r>
      <w:r>
        <w:rPr>
          <w:rStyle w:val="938"/>
          <w:rFonts w:hint="eastAsia"/>
          <w:color w:val="000000" w:themeColor="text1"/>
          <w:sz w:val="21"/>
          <w:szCs w:val="21"/>
          <w:u w:val="single"/>
          <w:shd w:val="clear" w:color="auto" w:fill="ffffff"/>
          <w14:textFill>
            <w14:solidFill>
              <w14:schemeClr w14:val="tx1"/>
            </w14:solidFill>
          </w14:textFill>
        </w:rPr>
        <w:t xml:space="preserve">（厂名）</w:t>
      </w:r>
      <w:r>
        <w:rPr>
          <w:rStyle w:val="938"/>
          <w:rFonts w:hint="eastAsia"/>
          <w:color w:val="000000" w:themeColor="text1"/>
          <w:sz w:val="21"/>
          <w:szCs w:val="21"/>
          <w:shd w:val="clear" w:color="auto" w:fill="ffffff"/>
          <w:vertAlign w:val="superscript"/>
          <w14:textFill>
            <w14:solidFill>
              <w14:schemeClr w14:val="tx1"/>
            </w14:solidFill>
          </w14:textFill>
        </w:rPr>
        <w:t xml:space="preserve">2</w:t>
      </w:r>
      <w:r>
        <w:rPr>
          <w:rFonts w:hint="eastAsia"/>
          <w:color w:val="000000" w:themeColor="text1"/>
          <w:sz w:val="21"/>
          <w:szCs w:val="21"/>
          <w:shd w:val="clear" w:color="auto" w:fill="ffffff"/>
          <w14:textFill>
            <w14:solidFill>
              <w14:schemeClr w14:val="tx1"/>
            </w14:solidFill>
          </w14:textFill>
        </w:rPr>
        <w:t xml:space="preserve">，厂址为</w:t>
      </w:r>
      <w:r>
        <w:rPr>
          <w:rStyle w:val="938"/>
          <w:rFonts w:hint="eastAsia"/>
          <w:color w:val="000000" w:themeColor="text1"/>
          <w:sz w:val="21"/>
          <w:szCs w:val="21"/>
          <w:u w:val="single"/>
          <w:shd w:val="clear" w:color="auto" w:fill="ffffff"/>
          <w14:textFill>
            <w14:solidFill>
              <w14:schemeClr w14:val="tx1"/>
            </w14:solidFill>
          </w14:textFill>
        </w:rPr>
        <w:t xml:space="preserve">（生产厂址）</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938"/>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的中国境内生产的组件成本占比≥</w:t>
      </w:r>
      <w:r>
        <w:rPr>
          <w:rFonts w:hint="eastAsia"/>
          <w:color w:val="000000" w:themeColor="text1"/>
          <w:sz w:val="21"/>
          <w:szCs w:val="21"/>
          <w:u w:val="single"/>
          <w:shd w:val="clear" w:color="auto" w:fill="ffffff"/>
          <w14:textFill>
            <w14:solidFill>
              <w14:schemeClr w14:val="tx1"/>
            </w14:solidFill>
          </w14:textFill>
        </w:rPr>
        <w:t xml:space="preserve">  </w:t>
      </w:r>
      <w:r>
        <w:rPr>
          <w:rStyle w:val="938"/>
          <w:rFonts w:hint="eastAsia"/>
          <w:color w:val="000000" w:themeColor="text1"/>
          <w:sz w:val="21"/>
          <w:szCs w:val="21"/>
          <w:u w:val="single"/>
          <w:shd w:val="clear" w:color="auto" w:fill="ffffff"/>
          <w14:textFill>
            <w14:solidFill>
              <w14:schemeClr w14:val="tx1"/>
            </w14:solidFill>
          </w14:textFill>
        </w:rPr>
        <w:t xml:space="preserve">/  </w:t>
      </w:r>
      <w:r>
        <w:rPr>
          <w:rStyle w:val="938"/>
          <w:rFonts w:hint="eastAsia"/>
          <w:color w:val="000000" w:themeColor="text1"/>
          <w:sz w:val="21"/>
          <w:szCs w:val="21"/>
          <w:shd w:val="clear" w:color="auto" w:fill="ffffff"/>
          <w:vertAlign w:val="superscript"/>
          <w14:textFill>
            <w14:solidFill>
              <w14:schemeClr w14:val="tx1"/>
            </w14:solidFill>
          </w14:textFill>
        </w:rPr>
        <w:t xml:space="preserve">3</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938"/>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938"/>
          <w:rFonts w:hint="eastAsia"/>
          <w:color w:val="000000" w:themeColor="text1"/>
          <w:sz w:val="21"/>
          <w:szCs w:val="21"/>
          <w:u w:val="single"/>
          <w:shd w:val="clear" w:color="auto" w:fill="ffffff"/>
          <w14:textFill>
            <w14:solidFill>
              <w14:schemeClr w14:val="tx1"/>
            </w14:solidFill>
          </w14:textFill>
        </w:rPr>
        <w:t xml:space="preserve">/  </w:t>
      </w:r>
      <w:r>
        <w:rPr>
          <w:rStyle w:val="938"/>
          <w:rFonts w:hint="eastAsia"/>
          <w:color w:val="000000" w:themeColor="text1"/>
          <w:sz w:val="21"/>
          <w:szCs w:val="21"/>
          <w:shd w:val="clear" w:color="auto" w:fill="ffffff"/>
          <w:vertAlign w:val="superscript"/>
          <w14:textFill>
            <w14:solidFill>
              <w14:schemeClr w14:val="tx1"/>
            </w14:solidFill>
          </w14:textFill>
        </w:rPr>
        <w:t xml:space="preserve">4</w:t>
      </w:r>
      <w:r>
        <w:rPr>
          <w:rFonts w:hint="eastAsia"/>
          <w:color w:val="000000" w:themeColor="text1"/>
          <w:sz w:val="21"/>
          <w:szCs w:val="21"/>
          <w:shd w:val="clear" w:color="auto" w:fill="ffffff"/>
          <w14:textFill>
            <w14:solidFill>
              <w14:schemeClr w14:val="tx1"/>
            </w14:solidFill>
          </w14:textFill>
        </w:rPr>
        <w:t xml:space="preserve">在中国境内生产。</w:t>
      </w:r>
      <w:r>
        <w:rPr>
          <w:rFonts w:hint="eastAsia"/>
          <w:color w:val="000000" w:themeColor="text1"/>
          <w:sz w:val="21"/>
          <w:szCs w:val="21"/>
          <w:u w:val="single"/>
          <w:shd w:val="clear" w:color="auto" w:fill="ffffff"/>
          <w14:textFill>
            <w14:solidFill>
              <w14:schemeClr w14:val="tx1"/>
            </w14:solidFill>
          </w14:textFill>
        </w:rPr>
        <w:t xml:space="preserve">  </w:t>
      </w:r>
      <w:r>
        <w:rPr>
          <w:rStyle w:val="938"/>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938"/>
          <w:rFonts w:hint="eastAsia"/>
          <w:color w:val="000000" w:themeColor="text1"/>
          <w:sz w:val="21"/>
          <w:szCs w:val="21"/>
          <w:u w:val="single"/>
          <w:shd w:val="clear" w:color="auto" w:fill="ffffff"/>
          <w14:textFill>
            <w14:solidFill>
              <w14:schemeClr w14:val="tx1"/>
            </w14:solidFill>
          </w14:textFill>
        </w:rPr>
        <w:t xml:space="preserve">/  </w:t>
      </w:r>
      <w:r>
        <w:rPr>
          <w:rStyle w:val="938"/>
          <w:rFonts w:hint="eastAsia"/>
          <w:color w:val="000000" w:themeColor="text1"/>
          <w:sz w:val="21"/>
          <w:szCs w:val="21"/>
          <w:shd w:val="clear" w:color="auto" w:fill="ffffff"/>
          <w:vertAlign w:val="superscript"/>
          <w14:textFill>
            <w14:solidFill>
              <w14:schemeClr w14:val="tx1"/>
            </w14:solidFill>
          </w14:textFill>
        </w:rPr>
        <w:t xml:space="preserve">5</w:t>
      </w:r>
      <w:r>
        <w:rPr>
          <w:rFonts w:hint="eastAsia"/>
          <w:color w:val="000000" w:themeColor="text1"/>
          <w:sz w:val="21"/>
          <w:szCs w:val="21"/>
          <w:shd w:val="clear" w:color="auto" w:fill="ffffff"/>
          <w14:textFill>
            <w14:solidFill>
              <w14:schemeClr w14:val="tx1"/>
            </w14:solidFill>
          </w14:textFill>
        </w:rPr>
        <w:t xml:space="preserve">在中国境内完成。</w:t>
      </w:r>
      <w:r/>
    </w:p>
    <w:p>
      <w:pPr>
        <w:pStyle w:val="928"/>
        <w:ind w:firstLine="420"/>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2.</w:t>
      </w:r>
      <w:r>
        <w:rPr>
          <w:rStyle w:val="938"/>
          <w:rFonts w:hint="eastAsia"/>
          <w:color w:val="000000" w:themeColor="text1"/>
          <w:sz w:val="21"/>
          <w:szCs w:val="21"/>
          <w:u w:val="single"/>
          <w:shd w:val="clear" w:color="auto" w:fill="ffffff"/>
          <w14:textFill>
            <w14:solidFill>
              <w14:schemeClr w14:val="tx1"/>
            </w14:solidFill>
          </w14:textFill>
        </w:rPr>
        <w:t xml:space="preserve">（产品名称2）</w:t>
      </w:r>
      <w:r>
        <w:rPr>
          <w:rFonts w:hint="eastAsia"/>
          <w:color w:val="000000" w:themeColor="text1"/>
          <w:sz w:val="21"/>
          <w:szCs w:val="21"/>
          <w:shd w:val="clear" w:color="auto" w:fill="ffffff"/>
          <w14:textFill>
            <w14:solidFill>
              <w14:schemeClr w14:val="tx1"/>
            </w14:solidFill>
          </w14:textFill>
        </w:rPr>
        <w:t xml:space="preserve">，生产厂为</w:t>
      </w:r>
      <w:r>
        <w:rPr>
          <w:rStyle w:val="938"/>
          <w:rFonts w:hint="eastAsia"/>
          <w:color w:val="000000" w:themeColor="text1"/>
          <w:sz w:val="21"/>
          <w:szCs w:val="21"/>
          <w:u w:val="single"/>
          <w:shd w:val="clear" w:color="auto" w:fill="ffffff"/>
          <w14:textFill>
            <w14:solidFill>
              <w14:schemeClr w14:val="tx1"/>
            </w14:solidFill>
          </w14:textFill>
        </w:rPr>
        <w:t xml:space="preserve">（厂名）</w:t>
      </w:r>
      <w:r>
        <w:rPr>
          <w:rFonts w:hint="eastAsia"/>
          <w:color w:val="000000" w:themeColor="text1"/>
          <w:sz w:val="21"/>
          <w:szCs w:val="21"/>
          <w:shd w:val="clear" w:color="auto" w:fill="ffffff"/>
          <w14:textFill>
            <w14:solidFill>
              <w14:schemeClr w14:val="tx1"/>
            </w14:solidFill>
          </w14:textFill>
        </w:rPr>
        <w:t xml:space="preserve">，厂址为</w:t>
      </w:r>
      <w:r>
        <w:rPr>
          <w:rStyle w:val="938"/>
          <w:rFonts w:hint="eastAsia"/>
          <w:color w:val="000000" w:themeColor="text1"/>
          <w:sz w:val="21"/>
          <w:szCs w:val="21"/>
          <w:u w:val="single"/>
          <w:shd w:val="clear" w:color="auto" w:fill="ffffff"/>
          <w14:textFill>
            <w14:solidFill>
              <w14:schemeClr w14:val="tx1"/>
            </w14:solidFill>
          </w14:textFill>
        </w:rPr>
        <w:t xml:space="preserve">（生产厂址）</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938"/>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的中国境内生产的组件成本占比≥</w:t>
      </w:r>
      <w:r>
        <w:rPr>
          <w:rFonts w:hint="eastAsia"/>
          <w:color w:val="000000" w:themeColor="text1"/>
          <w:sz w:val="21"/>
          <w:szCs w:val="21"/>
          <w:u w:val="single"/>
          <w:shd w:val="clear" w:color="auto" w:fill="ffffff"/>
          <w14:textFill>
            <w14:solidFill>
              <w14:schemeClr w14:val="tx1"/>
            </w14:solidFill>
          </w14:textFill>
        </w:rPr>
        <w:t xml:space="preserve">  </w:t>
      </w:r>
      <w:r>
        <w:rPr>
          <w:rStyle w:val="938"/>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938"/>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938"/>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在中国境内生产。</w:t>
      </w:r>
      <w:r>
        <w:rPr>
          <w:rFonts w:hint="eastAsia"/>
          <w:color w:val="000000" w:themeColor="text1"/>
          <w:sz w:val="21"/>
          <w:szCs w:val="21"/>
          <w:u w:val="single"/>
          <w:shd w:val="clear" w:color="auto" w:fill="ffffff"/>
          <w14:textFill>
            <w14:solidFill>
              <w14:schemeClr w14:val="tx1"/>
            </w14:solidFill>
          </w14:textFill>
        </w:rPr>
        <w:t xml:space="preserve">  </w:t>
      </w:r>
      <w:r>
        <w:rPr>
          <w:rStyle w:val="938"/>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938"/>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在中国境内完成。</w:t>
      </w:r>
      <w:r/>
    </w:p>
    <w:p>
      <w:pPr>
        <w:pStyle w:val="928"/>
        <w:ind w:firstLine="420"/>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w:t>
      </w:r>
      <w:r/>
    </w:p>
    <w:p>
      <w:pPr>
        <w:pStyle w:val="928"/>
        <w:ind w:firstLine="420"/>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本公司（单位）对上述声明内容的真实性负责。如有虚假，愿承担相应法律责任。</w:t>
      </w:r>
      <w:r/>
    </w:p>
    <w:p>
      <w:pPr>
        <w:pStyle w:val="928"/>
        <w:ind w:firstLine="420"/>
        <w:jc w:val="both"/>
        <w:spacing w:before="0" w:beforeAutospacing="0" w:after="0" w:afterAutospacing="0" w:line="360" w:lineRule="auto"/>
        <w:shd w:val="clear" w:color="auto" w:fill="ffffff"/>
        <w:rPr>
          <w:color w:val="333333"/>
          <w:sz w:val="21"/>
          <w:szCs w:val="21"/>
          <w:shd w:val="clear" w:color="auto" w:fill="ffffff"/>
        </w:rPr>
      </w:pPr>
      <w:r>
        <w:rPr>
          <w:color w:val="333333"/>
          <w:sz w:val="21"/>
          <w:szCs w:val="21"/>
          <w:shd w:val="clear" w:color="auto" w:fill="ffffff"/>
        </w:rPr>
      </w:r>
      <w:r/>
    </w:p>
    <w:p>
      <w:pPr>
        <w:pStyle w:val="928"/>
        <w:ind w:firstLine="480"/>
        <w:jc w:val="right"/>
        <w:spacing w:before="0" w:beforeAutospacing="0" w:after="0" w:afterAutospacing="0" w:line="360" w:lineRule="auto"/>
        <w:shd w:val="clear" w:color="auto" w:fill="ffffff"/>
        <w:rPr>
          <w:color w:val="333333"/>
          <w:sz w:val="21"/>
          <w:szCs w:val="21"/>
        </w:rPr>
      </w:pPr>
      <w:r>
        <w:rPr>
          <w:rFonts w:hint="eastAsia"/>
          <w:szCs w:val="21"/>
        </w:rPr>
        <w:t xml:space="preserve">     单位</w:t>
      </w:r>
      <w:r>
        <w:rPr>
          <w:rFonts w:hint="eastAsia"/>
          <w:color w:val="333333"/>
          <w:sz w:val="21"/>
          <w:szCs w:val="21"/>
          <w:shd w:val="clear" w:color="auto" w:fill="ffffff"/>
        </w:rPr>
        <w:t xml:space="preserve">名称（</w:t>
      </w:r>
      <w:r>
        <w:rPr>
          <w:rFonts w:hint="eastAsia"/>
          <w:sz w:val="21"/>
          <w:szCs w:val="21"/>
        </w:rPr>
        <w:t xml:space="preserve">加盖电子公章</w:t>
      </w:r>
      <w:r>
        <w:rPr>
          <w:rFonts w:hint="eastAsia"/>
          <w:color w:val="333333"/>
          <w:sz w:val="21"/>
          <w:szCs w:val="21"/>
          <w:shd w:val="clear" w:color="auto" w:fill="ffffff"/>
        </w:rPr>
        <w:t xml:space="preserve">）：</w:t>
      </w:r>
      <w:r/>
    </w:p>
    <w:p>
      <w:pPr>
        <w:pStyle w:val="928"/>
        <w:ind w:firstLine="420"/>
        <w:jc w:val="right"/>
        <w:spacing w:before="0" w:beforeAutospacing="0" w:after="0" w:afterAutospacing="0" w:line="360" w:lineRule="auto"/>
        <w:shd w:val="clear" w:color="auto" w:fill="ffffff"/>
        <w:rPr>
          <w:color w:val="333333"/>
          <w:sz w:val="21"/>
          <w:szCs w:val="21"/>
        </w:rPr>
      </w:pPr>
      <w:r>
        <w:rPr>
          <w:rFonts w:hint="eastAsia"/>
          <w:color w:val="333333"/>
          <w:sz w:val="21"/>
          <w:szCs w:val="21"/>
          <w:shd w:val="clear" w:color="auto" w:fill="ffffff"/>
        </w:rPr>
        <w:t xml:space="preserve">                                 日期：　　　年　　月　日</w:t>
      </w:r>
      <w:r/>
    </w:p>
    <w:p>
      <w:pPr>
        <w:pStyle w:val="928"/>
        <w:ind w:firstLine="420"/>
        <w:spacing w:before="0" w:beforeAutospacing="0" w:after="0" w:afterAutospacing="0"/>
        <w:shd w:val="clear" w:color="auto" w:fill="ffffff"/>
        <w:rPr>
          <w:color w:val="333333"/>
          <w:sz w:val="21"/>
          <w:szCs w:val="21"/>
          <w:shd w:val="clear" w:color="auto" w:fill="ffffff"/>
        </w:rPr>
      </w:pPr>
      <w:r>
        <w:rPr>
          <w:color w:val="333333"/>
          <w:sz w:val="21"/>
          <w:szCs w:val="21"/>
          <w:shd w:val="clear" w:color="auto" w:fill="ffffff"/>
        </w:rPr>
      </w:r>
      <w:r/>
    </w:p>
    <w:p>
      <w:pPr>
        <w:pStyle w:val="928"/>
        <w:ind w:firstLine="420"/>
        <w:spacing w:before="0" w:beforeAutospacing="0" w:after="0" w:afterAutospacing="0"/>
        <w:shd w:val="clear" w:color="auto" w:fill="ffffff"/>
        <w:rPr>
          <w:color w:val="333333"/>
          <w:sz w:val="21"/>
          <w:szCs w:val="21"/>
          <w:shd w:val="clear" w:color="auto" w:fill="ffffff"/>
        </w:rPr>
      </w:pPr>
      <w:r>
        <w:rPr>
          <w:rFonts w:hint="eastAsia"/>
          <w:color w:val="333333"/>
          <w:sz w:val="21"/>
          <w:szCs w:val="21"/>
          <w:shd w:val="clear" w:color="auto" w:fill="ffffff"/>
        </w:rPr>
        <w:t xml:space="preserve">备注：</w:t>
      </w:r>
      <w:r/>
    </w:p>
    <w:p>
      <w:pPr>
        <w:pStyle w:val="928"/>
        <w:ind w:firstLine="420"/>
        <w:jc w:val="both"/>
        <w:spacing w:before="0" w:beforeAutospacing="0" w:after="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1.产品如有型号，请在“产品名称”栏一并填写。</w:t>
      </w:r>
      <w:r/>
    </w:p>
    <w:p>
      <w:pPr>
        <w:pStyle w:val="928"/>
        <w:ind w:firstLine="420"/>
        <w:jc w:val="both"/>
        <w:spacing w:before="0" w:beforeAutospacing="0" w:after="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2.生产厂名与厂址应与生产厂营业执照载明的相关信息保持一致。</w:t>
      </w:r>
      <w:r/>
    </w:p>
    <w:p>
      <w:pPr>
        <w:pStyle w:val="928"/>
        <w:ind w:firstLine="420"/>
        <w:jc w:val="both"/>
        <w:spacing w:before="0" w:beforeAutospacing="0" w:after="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3.该产品的中国境内生产的组件成本占比相关要求实施前，“规定比例”栏可不填，下同。</w:t>
      </w:r>
      <w:r/>
    </w:p>
    <w:p>
      <w:pPr>
        <w:pStyle w:val="928"/>
        <w:ind w:firstLine="420"/>
        <w:jc w:val="both"/>
        <w:spacing w:before="0" w:beforeAutospacing="0" w:after="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4.该产品的关键组件要求实施前，“关键组件”栏可不填，下同。</w:t>
      </w:r>
      <w:r/>
    </w:p>
    <w:p>
      <w:pPr>
        <w:pStyle w:val="928"/>
        <w:ind w:firstLine="420"/>
        <w:jc w:val="both"/>
        <w:spacing w:before="0" w:beforeAutospacing="0" w:after="0" w:afterAutospacing="0" w:line="360" w:lineRule="auto"/>
        <w:rPr>
          <w:color w:val="000000" w:themeColor="text1"/>
          <w:sz w:val="21"/>
          <w:szCs w:val="21"/>
          <w:shd w:val="clear" w:color="auto" w:fill="ffffff"/>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5.该产品的关键工序要求实施前，“关键工序”栏可不填，下同。</w:t>
      </w:r>
      <w:r/>
    </w:p>
    <w:p>
      <w:pPr>
        <w:pStyle w:val="928"/>
        <w:ind w:firstLine="420"/>
        <w:jc w:val="both"/>
        <w:spacing w:before="0" w:beforeAutospacing="0" w:after="0" w:afterAutospacing="0" w:line="360" w:lineRule="auto"/>
        <w:rPr>
          <w:b/>
          <w:bCs/>
          <w:sz w:val="21"/>
          <w:szCs w:val="21"/>
        </w:rPr>
      </w:pPr>
      <w:r>
        <w:rPr>
          <w:rFonts w:hint="eastAsia"/>
          <w:color w:val="000000" w:themeColor="text1"/>
          <w:sz w:val="21"/>
          <w:szCs w:val="21"/>
          <w:shd w:val="clear" w:color="auto" w:fill="ffffff"/>
          <w14:textFill>
            <w14:solidFill>
              <w14:schemeClr w14:val="tx1"/>
            </w14:solidFill>
          </w14:textFill>
        </w:rPr>
        <w:t xml:space="preserve">6.《声明函》中标注“</w:t>
      </w:r>
      <w:r>
        <w:rPr>
          <w:rFonts w:hint="eastAsia"/>
          <w:color w:val="000000" w:themeColor="text1"/>
          <w:sz w:val="21"/>
          <w:szCs w:val="21"/>
          <w:u w:val="single"/>
          <w:shd w:val="clear" w:color="auto" w:fill="ffffff"/>
          <w14:textFill>
            <w14:solidFill>
              <w14:schemeClr w14:val="tx1"/>
            </w14:solidFill>
          </w14:textFill>
        </w:rPr>
        <w:t xml:space="preserve">  </w:t>
      </w:r>
      <w:r>
        <w:rPr>
          <w:rStyle w:val="938"/>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”的地方无需填写。</w:t>
      </w:r>
      <w:r/>
    </w:p>
    <w:p>
      <w:pPr>
        <w:jc w:val="center"/>
        <w:spacing w:line="360" w:lineRule="auto"/>
        <w:rPr>
          <w:rStyle w:val="935"/>
          <w:rFonts w:ascii="宋体" w:hAnsi="宋体" w:cs="宋体"/>
          <w:sz w:val="36"/>
          <w:szCs w:val="36"/>
        </w:rPr>
      </w:pPr>
      <w:r>
        <w:rPr>
          <w:rFonts w:hint="eastAsia" w:ascii="宋体" w:hAnsi="宋体" w:cs="宋体"/>
          <w:b/>
          <w:bCs/>
          <w:sz w:val="28"/>
        </w:rPr>
        <w:br w:type="page" w:clear="all"/>
      </w:r>
      <w:r>
        <w:rPr>
          <w:rFonts w:hint="eastAsia" w:ascii="宋体" w:hAnsi="宋体" w:cs="宋体"/>
          <w:b/>
          <w:bCs/>
          <w:sz w:val="28"/>
        </w:rPr>
        <w:t xml:space="preserve">产品成本占比承诺函</w:t>
      </w:r>
      <w:r/>
    </w:p>
    <w:p>
      <w:pPr>
        <w:ind w:firstLine="420"/>
        <w:jc w:val="left"/>
        <w:spacing w:line="360" w:lineRule="auto"/>
        <w:widowControl/>
        <w:rPr>
          <w:rFonts w:ascii="宋体" w:hAnsi="宋体" w:cs="宋体"/>
          <w:color w:val="333333"/>
          <w:szCs w:val="21"/>
          <w:shd w:val="clear" w:color="auto" w:fill="ffffff"/>
        </w:rPr>
      </w:pPr>
      <w:r>
        <w:rPr>
          <w:rFonts w:hint="eastAsia" w:ascii="宋体" w:hAnsi="宋体" w:cs="宋体"/>
          <w:color w:val="333333"/>
          <w:szCs w:val="21"/>
          <w:shd w:val="clear" w:color="auto" w:fill="ffffff"/>
        </w:rPr>
        <w:t xml:space="preserve">我公司（单位）郑重承诺，我公司已阅读并理解《国务院办公厅关于在政府采购中实施本国产品标准及相关政策的通知》（国办发〔2025〕34号）的规定。据此承诺如下：</w:t>
      </w:r>
      <w:r/>
    </w:p>
    <w:p>
      <w:pPr>
        <w:ind w:firstLine="420"/>
        <w:jc w:val="left"/>
        <w:spacing w:line="360" w:lineRule="auto"/>
        <w:widowControl/>
        <w:rPr>
          <w:rFonts w:ascii="宋体" w:hAnsi="宋体" w:cs="宋体"/>
          <w:spacing w:val="6"/>
          <w:szCs w:val="21"/>
        </w:rPr>
      </w:pPr>
      <w:r>
        <w:rPr>
          <w:rFonts w:hint="eastAsia" w:ascii="宋体" w:hAnsi="宋体" w:cs="宋体"/>
          <w:color w:val="333333"/>
          <w:szCs w:val="21"/>
          <w:shd w:val="clear" w:color="auto" w:fill="ffffff"/>
        </w:rPr>
        <w:t xml:space="preserve">为本采购项目或者采购包提供的符合本国产品标准的产品成本之和占提供的全部产品成本之和的比例为</w:t>
      </w:r>
      <w:r>
        <w:rPr>
          <w:rFonts w:hint="eastAsia" w:ascii="宋体" w:hAnsi="宋体" w:cs="宋体"/>
          <w:spacing w:val="6"/>
          <w:szCs w:val="21"/>
        </w:rPr>
        <w:t xml:space="preserve">______%。</w:t>
      </w:r>
      <w:r/>
    </w:p>
    <w:p>
      <w:pPr>
        <w:ind w:firstLine="420"/>
        <w:jc w:val="left"/>
        <w:spacing w:line="360" w:lineRule="auto"/>
        <w:widowControl/>
        <w:rPr>
          <w:rFonts w:ascii="宋体" w:hAnsi="宋体" w:cs="宋体"/>
          <w:color w:val="000000"/>
          <w:szCs w:val="21"/>
        </w:rPr>
      </w:pPr>
      <w:r>
        <w:rPr>
          <w:rFonts w:ascii="宋体" w:hAnsi="宋体" w:cs="宋体"/>
          <w:color w:val="000000"/>
          <w:szCs w:val="21"/>
        </w:rPr>
      </w:r>
      <w:r/>
    </w:p>
    <w:p>
      <w:pPr>
        <w:pStyle w:val="928"/>
        <w:jc w:val="right"/>
        <w:spacing w:before="0" w:beforeAutospacing="0" w:after="0" w:afterAutospacing="0" w:line="360" w:lineRule="auto"/>
        <w:shd w:val="clear" w:color="auto" w:fill="ffffff"/>
        <w:rPr>
          <w:color w:val="333333"/>
          <w:sz w:val="21"/>
          <w:szCs w:val="21"/>
        </w:rPr>
      </w:pPr>
      <w:r>
        <w:rPr>
          <w:rFonts w:hint="eastAsia"/>
          <w:szCs w:val="21"/>
        </w:rPr>
        <w:t xml:space="preserve">单位</w:t>
      </w:r>
      <w:r>
        <w:rPr>
          <w:rFonts w:hint="eastAsia"/>
          <w:color w:val="333333"/>
          <w:sz w:val="21"/>
          <w:szCs w:val="21"/>
          <w:shd w:val="clear" w:color="auto" w:fill="ffffff"/>
        </w:rPr>
        <w:t xml:space="preserve">名称（</w:t>
      </w:r>
      <w:r>
        <w:rPr>
          <w:rFonts w:hint="eastAsia"/>
          <w:sz w:val="21"/>
          <w:szCs w:val="21"/>
        </w:rPr>
        <w:t xml:space="preserve">加盖电子公章</w:t>
      </w:r>
      <w:r>
        <w:rPr>
          <w:rFonts w:hint="eastAsia"/>
          <w:color w:val="333333"/>
          <w:sz w:val="21"/>
          <w:szCs w:val="21"/>
          <w:shd w:val="clear" w:color="auto" w:fill="ffffff"/>
        </w:rPr>
        <w:t xml:space="preserve">）：　</w:t>
      </w:r>
      <w:r/>
    </w:p>
    <w:p>
      <w:pPr>
        <w:jc w:val="right"/>
        <w:rPr>
          <w:rFonts w:ascii="宋体" w:hAnsi="宋体" w:cs="宋体"/>
          <w:b/>
          <w:bCs/>
          <w:szCs w:val="21"/>
        </w:rPr>
      </w:pPr>
      <w:r>
        <w:rPr>
          <w:rFonts w:hint="eastAsia" w:ascii="宋体" w:hAnsi="宋体" w:cs="宋体"/>
          <w:color w:val="333333"/>
          <w:szCs w:val="21"/>
          <w:shd w:val="clear" w:color="auto" w:fill="ffffff"/>
        </w:rPr>
        <w:t xml:space="preserve">                                       日期：　   年　  月　  日 </w:t>
      </w:r>
      <w:r/>
    </w:p>
    <w:p>
      <w:pPr>
        <w:spacing w:line="400" w:lineRule="exact"/>
        <w:rPr>
          <w:rFonts w:ascii="宋体" w:hAnsi="宋体" w:cs="宋体"/>
          <w:sz w:val="28"/>
        </w:rPr>
      </w:pPr>
      <w:r>
        <w:rPr>
          <w:rFonts w:ascii="宋体" w:hAnsi="宋体" w:cs="宋体"/>
          <w:sz w:val="28"/>
        </w:rPr>
      </w:r>
      <w:r/>
    </w:p>
    <w:p>
      <w:pPr>
        <w:ind w:firstLine="420"/>
        <w:spacing w:line="360" w:lineRule="auto"/>
        <w:rPr>
          <w:rFonts w:ascii="宋体" w:hAnsi="宋体" w:cs="宋体"/>
          <w:szCs w:val="21"/>
        </w:rPr>
      </w:pPr>
      <w:r>
        <w:rPr>
          <w:rFonts w:hint="eastAsia" w:ascii="宋体" w:hAnsi="宋体" w:cs="宋体"/>
          <w:szCs w:val="21"/>
        </w:rPr>
        <w:t xml:space="preserve">备注：采购本国产品的支持政策</w:t>
      </w:r>
      <w:r/>
    </w:p>
    <w:p>
      <w:pPr>
        <w:ind w:firstLine="420"/>
        <w:spacing w:line="360" w:lineRule="auto"/>
        <w:rPr>
          <w:rFonts w:ascii="宋体" w:hAnsi="宋体" w:cs="宋体"/>
          <w:szCs w:val="21"/>
        </w:rPr>
      </w:pPr>
      <w:r>
        <w:rPr>
          <w:rFonts w:hint="eastAsia" w:ascii="宋体" w:hAnsi="宋体" w:cs="宋体"/>
          <w:szCs w:val="21"/>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ascii="宋体" w:hAnsi="宋体" w:cs="宋体"/>
          <w:szCs w:val="21"/>
        </w:rPr>
      </w:pPr>
      <w:r>
        <w:rPr>
          <w:rFonts w:hint="eastAsia" w:ascii="宋体" w:hAnsi="宋体" w:cs="宋体"/>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20"/>
        <w:spacing w:line="360" w:lineRule="auto"/>
        <w:rPr>
          <w:rFonts w:ascii="宋体" w:hAnsi="宋体" w:cs="宋体"/>
          <w:szCs w:val="21"/>
        </w:rPr>
      </w:pPr>
      <w:r>
        <w:rPr>
          <w:rFonts w:hint="eastAsia" w:ascii="宋体" w:hAnsi="宋体" w:cs="宋体"/>
          <w:szCs w:val="21"/>
        </w:rPr>
        <w:t xml:space="preserve">3.供应商需按照招标文件的要求提供《关于符合本国产品标准的声明函》（以下简称《声明函》），如不提供将不享受本国产品价格评审优惠。</w:t>
      </w:r>
      <w:r/>
    </w:p>
    <w:p>
      <w:pPr>
        <w:ind w:firstLine="420"/>
        <w:spacing w:line="360" w:lineRule="auto"/>
        <w:rPr>
          <w:rFonts w:ascii="宋体" w:hAnsi="宋体" w:cs="宋体"/>
          <w:szCs w:val="21"/>
        </w:rPr>
      </w:pPr>
      <w:r>
        <w:rPr>
          <w:rFonts w:hint="eastAsia" w:ascii="宋体" w:hAnsi="宋体" w:cs="宋体"/>
          <w:szCs w:val="21"/>
        </w:rPr>
        <w:t xml:space="preserve">4.供应商需在《声明函》中逐一、准确填写产品名称、厂名、生产厂址三项信息（《声明函》中标注“/ ”的地方无需填写）。</w:t>
      </w:r>
      <w:r/>
    </w:p>
    <w:p>
      <w:pPr>
        <w:ind w:firstLine="420"/>
        <w:spacing w:line="360" w:lineRule="auto"/>
        <w:rPr>
          <w:rFonts w:ascii="宋体" w:hAnsi="宋体" w:cs="宋体"/>
          <w:b/>
          <w:bCs/>
          <w:sz w:val="28"/>
        </w:rPr>
      </w:pPr>
      <w:r>
        <w:rPr>
          <w:rFonts w:hint="eastAsia" w:ascii="宋体" w:hAnsi="宋体" w:cs="宋体"/>
          <w:szCs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b/>
          <w:bCs/>
          <w:sz w:val="28"/>
        </w:rPr>
        <w:br w:type="page" w:clear="all"/>
      </w:r>
      <w:r/>
    </w:p>
    <w:p>
      <w:pPr>
        <w:jc w:val="center"/>
        <w:spacing w:line="360" w:lineRule="auto"/>
        <w:rPr>
          <w:rFonts w:ascii="宋体" w:hAnsi="宋体" w:cs="宋体"/>
          <w:b/>
          <w:bCs/>
          <w:sz w:val="28"/>
        </w:rPr>
      </w:pPr>
      <w:r>
        <w:rPr>
          <w:rFonts w:hint="eastAsia" w:ascii="宋体" w:hAnsi="宋体" w:cs="宋体"/>
          <w:b/>
          <w:bCs/>
          <w:sz w:val="28"/>
        </w:rPr>
        <w:t xml:space="preserve">残疾人福利性单位声明函</w:t>
      </w:r>
      <w:r/>
    </w:p>
    <w:p>
      <w:pPr>
        <w:ind w:firstLine="420"/>
        <w:jc w:val="left"/>
        <w:spacing w:line="440" w:lineRule="exact"/>
        <w:widowControl/>
        <w:rPr>
          <w:rFonts w:ascii="宋体" w:hAnsi="宋体" w:cs="宋体"/>
          <w:szCs w:val="21"/>
        </w:rPr>
      </w:pPr>
      <w:r>
        <w:rPr>
          <w:rFonts w:hint="eastAsia" w:ascii="宋体" w:hAnsi="宋体" w:cs="宋体"/>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5040"/>
        <w:jc w:val="left"/>
        <w:spacing w:line="440" w:lineRule="exact"/>
        <w:widowControl/>
        <w:rPr>
          <w:rFonts w:ascii="宋体" w:hAnsi="宋体" w:cs="宋体"/>
          <w:szCs w:val="21"/>
        </w:rPr>
      </w:pPr>
      <w:r>
        <w:rPr>
          <w:rFonts w:hint="eastAsia" w:ascii="宋体" w:hAnsi="宋体" w:cs="宋体"/>
          <w:szCs w:val="21"/>
        </w:rPr>
        <w:t xml:space="preserve">单位名称（</w:t>
      </w:r>
      <w:r>
        <w:rPr>
          <w:rFonts w:hint="eastAsia" w:ascii="宋体" w:hAnsi="宋体" w:cs="宋体"/>
          <w:szCs w:val="21"/>
        </w:rPr>
        <w:t xml:space="preserve">加盖电子公章</w:t>
      </w:r>
      <w:r>
        <w:rPr>
          <w:rFonts w:hint="eastAsia" w:ascii="宋体" w:hAnsi="宋体" w:cs="宋体"/>
          <w:szCs w:val="21"/>
        </w:rPr>
        <w:t xml:space="preserve">）：</w:t>
      </w:r>
      <w:r/>
    </w:p>
    <w:p>
      <w:pPr>
        <w:ind w:firstLine="5040"/>
        <w:jc w:val="left"/>
        <w:spacing w:line="440" w:lineRule="exact"/>
        <w:widowControl/>
        <w:rPr>
          <w:rFonts w:ascii="宋体" w:hAnsi="宋体" w:cs="宋体"/>
          <w:szCs w:val="21"/>
        </w:rPr>
      </w:pPr>
      <w:r>
        <w:rPr>
          <w:rFonts w:hint="eastAsia" w:ascii="宋体" w:hAnsi="宋体" w:cs="宋体"/>
          <w:szCs w:val="21"/>
        </w:rPr>
        <w:t xml:space="preserve">日期：</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sz w:val="28"/>
        </w:rPr>
      </w:pPr>
      <w:r>
        <w:rPr>
          <w:rFonts w:hint="eastAsia" w:ascii="宋体" w:hAnsi="宋体" w:cs="宋体"/>
          <w:b/>
          <w:bCs/>
          <w:sz w:val="28"/>
        </w:rPr>
        <w:t xml:space="preserve">属于监狱企业的证明文件</w:t>
      </w:r>
      <w:r/>
    </w:p>
    <w:p>
      <w:pPr>
        <w:spacing w:line="360" w:lineRule="auto"/>
        <w:rPr>
          <w:rFonts w:ascii="宋体" w:hAnsi="宋体" w:cs="宋体"/>
        </w:rPr>
      </w:pPr>
      <w:r>
        <w:rPr>
          <w:rFonts w:hint="eastAsia" w:ascii="宋体" w:hAnsi="宋体" w:cs="宋体"/>
        </w:rPr>
        <w:t xml:space="preserve">（提供由省级以上监狱管理局、戒毒管理局(含新疆生产建设兵团)出具的属于监狱企业的证明文件）</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rPr>
      </w:pPr>
      <w:r>
        <w:rPr>
          <w:rFonts w:hint="eastAsia" w:ascii="宋体" w:hAnsi="宋体" w:cs="宋体"/>
          <w:b/>
          <w:bCs/>
          <w:sz w:val="28"/>
        </w:rPr>
        <w:t xml:space="preserve">节能产品认证证书</w:t>
      </w:r>
      <w:r/>
    </w:p>
    <w:p>
      <w:pPr>
        <w:spacing w:line="360" w:lineRule="auto"/>
        <w:rPr>
          <w:rFonts w:ascii="宋体" w:hAnsi="宋体" w:cs="宋体"/>
          <w:bCs/>
        </w:rPr>
      </w:pPr>
      <w:r>
        <w:rPr>
          <w:rFonts w:hint="eastAsia" w:ascii="宋体" w:hAnsi="宋体" w:cs="宋体"/>
          <w:bCs/>
        </w:rPr>
        <w:t xml:space="preserve">（提供国家确定的认证机构出具的、处于有效期之内的产品认证证书）</w:t>
      </w:r>
      <w:r/>
    </w:p>
    <w:p>
      <w:pPr>
        <w:spacing w:line="360" w:lineRule="auto"/>
        <w:rPr>
          <w:rFonts w:ascii="宋体" w:hAnsi="宋体" w:cs="宋体"/>
          <w:b/>
          <w:bCs/>
        </w:rPr>
      </w:pPr>
      <w:r>
        <w:rPr>
          <w:rFonts w:ascii="宋体" w:hAnsi="宋体" w:cs="宋体"/>
          <w:b/>
          <w:bCs/>
        </w:rPr>
      </w:r>
      <w:r/>
    </w:p>
    <w:p>
      <w:pPr>
        <w:rPr>
          <w:rFonts w:ascii="宋体" w:hAnsi="宋体" w:cs="宋体"/>
          <w:b/>
          <w:bCs/>
          <w:sz w:val="28"/>
        </w:rPr>
      </w:pPr>
      <w:r>
        <w:rPr>
          <w:rFonts w:ascii="宋体" w:hAnsi="宋体" w:cs="宋体"/>
          <w:b/>
          <w:bCs/>
          <w:sz w:val="28"/>
        </w:rPr>
      </w:r>
      <w:r/>
    </w:p>
    <w:p>
      <w:pPr>
        <w:jc w:val="center"/>
        <w:spacing w:line="360" w:lineRule="auto"/>
        <w:rPr>
          <w:rFonts w:ascii="宋体" w:hAnsi="宋体" w:cs="宋体"/>
          <w:b/>
          <w:bCs/>
        </w:rPr>
      </w:pPr>
      <w:r>
        <w:rPr>
          <w:rFonts w:hint="eastAsia" w:ascii="宋体" w:hAnsi="宋体" w:cs="宋体"/>
          <w:b/>
          <w:bCs/>
          <w:sz w:val="28"/>
        </w:rPr>
        <w:t xml:space="preserve">环境标志产品认证证书</w:t>
      </w:r>
      <w:r/>
    </w:p>
    <w:p>
      <w:pPr>
        <w:spacing w:line="360" w:lineRule="auto"/>
        <w:rPr>
          <w:rFonts w:ascii="宋体" w:hAnsi="宋体" w:cs="宋体"/>
        </w:rPr>
      </w:pPr>
      <w:r>
        <w:rPr>
          <w:rFonts w:hint="eastAsia" w:ascii="宋体" w:hAnsi="宋体" w:cs="宋体"/>
          <w:bCs/>
        </w:rPr>
        <w:t xml:space="preserve">（提供国家确定的认证机构出具的、处于有效期之内的产品认证证书）</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sz w:val="28"/>
        </w:rPr>
      </w:pPr>
      <w:r>
        <w:rPr>
          <w:rFonts w:hint="eastAsia" w:ascii="宋体" w:hAnsi="宋体" w:cs="宋体"/>
          <w:b/>
          <w:bCs/>
          <w:sz w:val="28"/>
        </w:rPr>
        <w:t xml:space="preserve">进口产品转让技术、消化吸收再创新方案</w:t>
      </w:r>
      <w:r/>
    </w:p>
    <w:p>
      <w:pPr>
        <w:spacing w:line="360" w:lineRule="auto"/>
        <w:rPr>
          <w:rFonts w:ascii="宋体" w:hAnsi="宋体" w:cs="宋体"/>
          <w:bCs/>
        </w:rPr>
      </w:pPr>
      <w:r>
        <w:rPr>
          <w:rFonts w:hint="eastAsia" w:ascii="宋体" w:hAnsi="宋体" w:cs="宋体"/>
          <w:bCs/>
        </w:rPr>
        <w:t xml:space="preserve">（对于允许进口产品参加的项目）</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rPr>
      </w:pPr>
      <w:r>
        <w:rPr>
          <w:rFonts w:hint="eastAsia" w:ascii="宋体" w:hAnsi="宋体" w:cs="宋体"/>
          <w:b/>
          <w:szCs w:val="21"/>
          <w:lang w:val="zh-CN"/>
        </w:rPr>
        <w:br w:type="page" w:clear="all"/>
      </w:r>
      <w:r>
        <w:rPr>
          <w:rFonts w:hint="eastAsia" w:ascii="宋体" w:hAnsi="宋体" w:cs="宋体"/>
          <w:b/>
        </w:rPr>
        <w:t xml:space="preserve">附件十一、无重大违法记录声明格式</w:t>
      </w:r>
      <w:r/>
    </w:p>
    <w:p>
      <w:pPr>
        <w:jc w:val="center"/>
        <w:spacing w:line="240" w:lineRule="atLeast"/>
        <w:rPr>
          <w:rFonts w:ascii="宋体" w:hAnsi="宋体" w:cs="宋体"/>
          <w:sz w:val="28"/>
          <w:szCs w:val="36"/>
        </w:rPr>
      </w:pPr>
      <w:r>
        <w:rPr>
          <w:rFonts w:ascii="宋体" w:hAnsi="宋体" w:cs="宋体"/>
          <w:sz w:val="28"/>
          <w:szCs w:val="36"/>
        </w:rPr>
      </w:r>
      <w:r/>
    </w:p>
    <w:p>
      <w:pPr>
        <w:jc w:val="center"/>
        <w:spacing w:line="240" w:lineRule="atLeast"/>
        <w:rPr>
          <w:rFonts w:ascii="宋体" w:hAnsi="宋体" w:cs="宋体"/>
          <w:b/>
          <w:bCs/>
          <w:sz w:val="28"/>
          <w:szCs w:val="36"/>
        </w:rPr>
      </w:pPr>
      <w:r>
        <w:rPr>
          <w:rFonts w:hint="eastAsia" w:ascii="宋体" w:hAnsi="宋体" w:cs="宋体"/>
          <w:b/>
          <w:bCs/>
          <w:sz w:val="28"/>
          <w:szCs w:val="36"/>
        </w:rPr>
        <w:t xml:space="preserve">无重大违法记录声明</w:t>
      </w:r>
      <w:r/>
    </w:p>
    <w:p>
      <w:pPr>
        <w:spacing w:line="360" w:lineRule="auto"/>
        <w:rPr>
          <w:rFonts w:ascii="宋体" w:hAnsi="宋体" w:cs="宋体"/>
          <w:szCs w:val="21"/>
        </w:rPr>
      </w:pPr>
      <w:r>
        <w:rPr>
          <w:rFonts w:hint="eastAsia" w:ascii="宋体" w:hAnsi="宋体" w:cs="宋体"/>
          <w:szCs w:val="21"/>
        </w:rPr>
        <w:t xml:space="preserve">江苏省设备成套股份有限公司：</w:t>
      </w:r>
      <w:r/>
    </w:p>
    <w:p>
      <w:pPr>
        <w:ind w:firstLine="336"/>
        <w:spacing w:line="360" w:lineRule="auto"/>
        <w:rPr>
          <w:rFonts w:ascii="宋体" w:hAnsi="宋体" w:cs="宋体"/>
        </w:rPr>
      </w:pPr>
      <w:r>
        <w:rPr>
          <w:rFonts w:hint="eastAsia" w:ascii="宋体" w:hAnsi="宋体" w:cs="宋体"/>
        </w:rPr>
        <w:t xml:space="preserve">我单位（供应商名称）郑重声明：</w:t>
      </w:r>
      <w:r/>
    </w:p>
    <w:p>
      <w:pPr>
        <w:ind w:firstLine="308"/>
        <w:spacing w:line="360" w:lineRule="auto"/>
        <w:shd w:val="clear" w:color="auto" w:fill="ffffff"/>
        <w:widowControl/>
        <w:rPr>
          <w:rFonts w:ascii="宋体" w:hAnsi="宋体" w:cs="宋体"/>
          <w:b/>
          <w:szCs w:val="21"/>
        </w:rPr>
      </w:pPr>
      <w:r>
        <w:rPr>
          <w:rFonts w:hint="eastAsia" w:ascii="宋体" w:hAnsi="宋体" w:cs="宋体"/>
          <w:szCs w:val="21"/>
        </w:rPr>
        <w:t xml:space="preserve">我单位</w:t>
      </w:r>
      <w:r>
        <w:rPr>
          <w:rFonts w:hint="eastAsia" w:ascii="宋体" w:hAnsi="宋体" w:cs="宋体"/>
        </w:rPr>
        <w:t xml:space="preserve">参加政府采购活动前3年内在经营活动中（</w:t>
      </w:r>
      <w:r>
        <w:rPr>
          <w:rFonts w:hint="eastAsia" w:ascii="宋体" w:hAnsi="宋体" w:cs="宋体"/>
          <w:b/>
          <w:i/>
          <w:u w:val="single"/>
        </w:rPr>
        <w:t xml:space="preserve">在下划线上如实填写：有或没有</w:t>
      </w:r>
      <w:r>
        <w:rPr>
          <w:rFonts w:hint="eastAsia" w:ascii="宋体" w:hAnsi="宋体" w:cs="宋体"/>
        </w:rPr>
        <w:t xml:space="preserve">）</w:t>
      </w:r>
      <w:r>
        <w:rPr>
          <w:rFonts w:hint="eastAsia" w:ascii="宋体" w:hAnsi="宋体" w:cs="宋体"/>
          <w:b/>
        </w:rPr>
        <w:t xml:space="preserve">重大违法记录</w:t>
      </w:r>
      <w:r>
        <w:rPr>
          <w:rFonts w:hint="eastAsia" w:ascii="宋体" w:hAnsi="宋体" w:cs="宋体"/>
          <w:b/>
          <w:szCs w:val="21"/>
        </w:rPr>
        <w:t xml:space="preserve">，且不是失信被执行人、重大税收违法失信主体名单、政府采购严重违法失信行为记录名单的供应商。</w:t>
      </w:r>
      <w:r/>
    </w:p>
    <w:p>
      <w:pPr>
        <w:ind w:firstLine="420"/>
        <w:spacing w:line="360" w:lineRule="auto"/>
        <w:rPr>
          <w:rFonts w:ascii="宋体" w:hAnsi="宋体" w:cs="宋体"/>
        </w:rPr>
      </w:pPr>
      <w:r>
        <w:rPr>
          <w:rFonts w:ascii="宋体" w:hAnsi="宋体" w:cs="宋体"/>
        </w:rPr>
      </w:r>
      <w:r/>
    </w:p>
    <w:p>
      <w:pPr>
        <w:ind w:firstLine="315"/>
        <w:spacing w:line="360" w:lineRule="auto"/>
        <w:rPr>
          <w:rFonts w:ascii="宋体" w:hAnsi="宋体" w:cs="宋体"/>
        </w:rPr>
      </w:pPr>
      <w:r>
        <w:rPr>
          <w:rFonts w:hint="eastAsia" w:ascii="宋体" w:hAnsi="宋体" w:cs="宋体"/>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ind w:firstLine="5103"/>
        <w:jc w:val="right"/>
        <w:spacing w:line="360" w:lineRule="auto"/>
        <w:rPr>
          <w:rFonts w:ascii="宋体" w:hAnsi="宋体" w:cs="宋体"/>
        </w:rPr>
      </w:pPr>
      <w:r>
        <w:rPr>
          <w:rFonts w:hint="eastAsia" w:ascii="宋体" w:hAnsi="宋体" w:cs="宋体"/>
        </w:rPr>
        <w:t xml:space="preserve">声明人：（</w:t>
      </w:r>
      <w:r>
        <w:rPr>
          <w:rFonts w:hint="eastAsia" w:ascii="宋体" w:hAnsi="宋体" w:cs="宋体"/>
          <w:szCs w:val="21"/>
        </w:rPr>
        <w:t xml:space="preserve">加盖电子公章</w:t>
      </w:r>
      <w:r>
        <w:rPr>
          <w:rFonts w:hint="eastAsia" w:ascii="宋体" w:hAnsi="宋体" w:cs="宋体"/>
        </w:rPr>
        <w:t xml:space="preserve">）</w:t>
      </w:r>
      <w:r/>
    </w:p>
    <w:p>
      <w:pPr>
        <w:ind w:firstLine="5940"/>
        <w:spacing w:line="360" w:lineRule="auto"/>
        <w:rPr>
          <w:rFonts w:ascii="宋体" w:hAnsi="宋体" w:cs="宋体"/>
          <w:szCs w:val="21"/>
          <w:lang w:val="zh-CN"/>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年</w:t>
      </w:r>
      <w:r>
        <w:rPr>
          <w:rFonts w:hint="eastAsia" w:ascii="宋体" w:hAnsi="宋体" w:cs="宋体"/>
          <w:szCs w:val="21"/>
        </w:rPr>
        <w:t xml:space="preserve">  </w:t>
      </w:r>
      <w:r>
        <w:rPr>
          <w:rFonts w:hint="eastAsia" w:ascii="宋体" w:hAnsi="宋体" w:cs="宋体"/>
          <w:szCs w:val="21"/>
          <w:lang w:val="zh-CN"/>
        </w:rPr>
        <w:t xml:space="preserve">月</w:t>
      </w:r>
      <w:r/>
    </w:p>
    <w:p>
      <w:pPr>
        <w:jc w:val="left"/>
        <w:spacing w:line="360" w:lineRule="auto"/>
        <w:rPr>
          <w:rFonts w:ascii="宋体" w:hAnsi="宋体" w:cs="宋体"/>
          <w:b/>
        </w:rPr>
      </w:pPr>
      <w:r>
        <w:rPr>
          <w:rFonts w:ascii="宋体" w:hAnsi="宋体" w:cs="宋体"/>
          <w:b/>
        </w:rPr>
      </w:r>
      <w:r/>
    </w:p>
    <w:p>
      <w:pPr>
        <w:jc w:val="left"/>
        <w:spacing w:line="360" w:lineRule="auto"/>
        <w:rPr>
          <w:rFonts w:ascii="宋体" w:hAnsi="宋体" w:cs="宋体"/>
          <w:b/>
        </w:rPr>
      </w:pPr>
      <w:r>
        <w:rPr>
          <w:rFonts w:ascii="宋体" w:hAnsi="宋体" w:cs="宋体"/>
          <w:b/>
        </w:rPr>
      </w:r>
      <w:r/>
    </w:p>
    <w:p>
      <w:pPr>
        <w:jc w:val="left"/>
        <w:spacing w:line="360" w:lineRule="auto"/>
        <w:rPr>
          <w:rFonts w:ascii="宋体" w:hAnsi="宋体" w:cs="宋体"/>
          <w:b/>
        </w:rPr>
      </w:pPr>
      <w:r>
        <w:rPr>
          <w:rFonts w:ascii="宋体" w:hAnsi="宋体" w:cs="宋体"/>
          <w:b/>
        </w:rPr>
      </w:r>
      <w:r/>
    </w:p>
    <w:p>
      <w:pPr>
        <w:jc w:val="left"/>
        <w:spacing w:line="360" w:lineRule="auto"/>
        <w:rPr>
          <w:rFonts w:ascii="宋体" w:hAnsi="宋体" w:cs="宋体"/>
          <w:b/>
        </w:rPr>
      </w:pPr>
      <w:r>
        <w:rPr>
          <w:rFonts w:hint="eastAsia" w:ascii="宋体" w:hAnsi="宋体" w:cs="宋体"/>
          <w:b/>
        </w:rPr>
        <w:t xml:space="preserve">附件十二、资格资信证明文件</w:t>
      </w:r>
      <w:r/>
    </w:p>
    <w:p>
      <w:pPr>
        <w:jc w:val="center"/>
        <w:spacing w:line="360" w:lineRule="auto"/>
        <w:rPr>
          <w:rFonts w:ascii="宋体" w:hAnsi="宋体" w:cs="宋体"/>
          <w:b/>
        </w:rPr>
      </w:pPr>
      <w:r>
        <w:rPr>
          <w:rFonts w:ascii="宋体" w:hAnsi="宋体" w:cs="宋体"/>
          <w:b/>
        </w:rPr>
      </w:r>
      <w:r/>
    </w:p>
    <w:p>
      <w:pPr>
        <w:jc w:val="center"/>
        <w:spacing w:line="360" w:lineRule="auto"/>
        <w:rPr>
          <w:rFonts w:ascii="Arial" w:hAnsi="Arial" w:cs="Arial"/>
          <w:b/>
        </w:rPr>
      </w:pPr>
      <w:r>
        <w:rPr>
          <w:rFonts w:hint="eastAsia" w:ascii="Arial" w:hAnsi="Arial" w:cs="Arial"/>
          <w:b/>
        </w:rPr>
        <w:t xml:space="preserve">根据采购公告中“二、申请人的资格要求”在苏采云平台对应模块填写</w:t>
      </w:r>
      <w:r/>
    </w:p>
    <w:p>
      <w:pPr>
        <w:spacing w:line="360" w:lineRule="auto"/>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hint="eastAsia" w:ascii="宋体" w:hAnsi="宋体" w:cs="宋体"/>
          <w:b/>
        </w:rPr>
        <w:br w:type="page" w:clear="all"/>
      </w:r>
      <w:r/>
    </w:p>
    <w:p>
      <w:pPr>
        <w:spacing w:line="360" w:lineRule="auto"/>
        <w:rPr>
          <w:rFonts w:ascii="宋体" w:hAnsi="宋体" w:cs="宋体"/>
          <w:b/>
        </w:rPr>
      </w:pPr>
      <w:r>
        <w:rPr>
          <w:rFonts w:hint="eastAsia" w:ascii="宋体" w:hAnsi="宋体" w:cs="宋体"/>
          <w:b/>
        </w:rPr>
        <w:t xml:space="preserve">附件十四、拟投入设备情况</w:t>
      </w:r>
      <w:r/>
    </w:p>
    <w:p>
      <w:pPr>
        <w:jc w:val="center"/>
        <w:spacing w:line="360" w:lineRule="auto"/>
        <w:rPr>
          <w:rFonts w:ascii="宋体" w:hAnsi="宋体" w:cs="宋体"/>
          <w:b/>
          <w:sz w:val="28"/>
          <w:szCs w:val="36"/>
        </w:rPr>
      </w:pPr>
      <w:r>
        <w:rPr>
          <w:rFonts w:hint="eastAsia" w:ascii="宋体" w:hAnsi="宋体" w:cs="宋体"/>
          <w:b/>
          <w:sz w:val="28"/>
          <w:szCs w:val="36"/>
        </w:rPr>
        <w:t xml:space="preserve">拟投入设备情况（超声诊断仪超声源）</w:t>
      </w:r>
      <w:r/>
    </w:p>
    <w:tbl>
      <w:tblPr>
        <w:tblStyle w:val="9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5"/>
        <w:gridCol w:w="2390"/>
        <w:gridCol w:w="1658"/>
        <w:gridCol w:w="1658"/>
        <w:gridCol w:w="1658"/>
      </w:tblGrid>
      <w:tr>
        <w:trPr>
          <w:trHeight w:val="938"/>
        </w:trPr>
        <w:tc>
          <w:tcPr>
            <w:tcW w:w="925" w:type="dxa"/>
            <w:vAlign w:val="center"/>
            <w:textDirection w:val="lrTb"/>
            <w:noWrap w:val="false"/>
          </w:tcPr>
          <w:p>
            <w:pPr>
              <w:jc w:val="center"/>
              <w:rPr>
                <w:rFonts w:ascii="宋体" w:hAnsi="宋体" w:cs="宋体"/>
                <w:b/>
              </w:rPr>
            </w:pPr>
            <w:r>
              <w:rPr>
                <w:rFonts w:hint="eastAsia" w:ascii="宋体" w:hAnsi="宋体" w:cs="宋体"/>
                <w:b/>
              </w:rPr>
              <w:t xml:space="preserve">序号</w:t>
            </w:r>
            <w:r/>
          </w:p>
        </w:tc>
        <w:tc>
          <w:tcPr>
            <w:tcW w:w="2390" w:type="dxa"/>
            <w:vAlign w:val="center"/>
            <w:textDirection w:val="lrTb"/>
            <w:noWrap w:val="false"/>
          </w:tcPr>
          <w:p>
            <w:pPr>
              <w:jc w:val="center"/>
              <w:rPr>
                <w:rFonts w:ascii="宋体" w:hAnsi="宋体" w:cs="宋体"/>
                <w:b/>
              </w:rPr>
            </w:pPr>
            <w:r>
              <w:rPr>
                <w:rFonts w:hint="eastAsia" w:ascii="宋体" w:hAnsi="宋体" w:cs="宋体"/>
                <w:b/>
              </w:rPr>
              <w:t xml:space="preserve">设备名称</w:t>
            </w:r>
            <w:r/>
          </w:p>
        </w:tc>
        <w:tc>
          <w:tcPr>
            <w:tcW w:w="1658" w:type="dxa"/>
            <w:vAlign w:val="center"/>
            <w:textDirection w:val="lrTb"/>
            <w:noWrap w:val="false"/>
          </w:tcPr>
          <w:p>
            <w:pPr>
              <w:jc w:val="center"/>
              <w:rPr>
                <w:rFonts w:ascii="宋体" w:hAnsi="宋体" w:cs="宋体"/>
                <w:b/>
              </w:rPr>
            </w:pPr>
            <w:r>
              <w:rPr>
                <w:rFonts w:hint="eastAsia" w:ascii="宋体" w:hAnsi="宋体" w:cs="宋体"/>
                <w:b/>
              </w:rPr>
              <w:t xml:space="preserve">设备品牌</w:t>
            </w:r>
            <w:r/>
          </w:p>
        </w:tc>
        <w:tc>
          <w:tcPr>
            <w:tcW w:w="1658" w:type="dxa"/>
            <w:vAlign w:val="center"/>
            <w:textDirection w:val="lrTb"/>
            <w:noWrap w:val="false"/>
          </w:tcPr>
          <w:p>
            <w:pPr>
              <w:jc w:val="center"/>
              <w:rPr>
                <w:rFonts w:ascii="宋体" w:hAnsi="宋体" w:cs="宋体"/>
                <w:b/>
              </w:rPr>
            </w:pPr>
            <w:r>
              <w:rPr>
                <w:rFonts w:hint="eastAsia" w:ascii="宋体" w:hAnsi="宋体" w:cs="宋体"/>
                <w:b/>
              </w:rPr>
              <w:t xml:space="preserve">设备型号</w:t>
            </w:r>
            <w:r/>
          </w:p>
        </w:tc>
        <w:tc>
          <w:tcPr>
            <w:tcW w:w="1658" w:type="dxa"/>
            <w:vAlign w:val="center"/>
            <w:textDirection w:val="lrTb"/>
            <w:noWrap w:val="false"/>
          </w:tcPr>
          <w:p>
            <w:pPr>
              <w:jc w:val="center"/>
              <w:rPr>
                <w:rFonts w:ascii="宋体" w:hAnsi="宋体" w:cs="宋体"/>
                <w:b/>
              </w:rPr>
            </w:pPr>
            <w:r>
              <w:rPr>
                <w:rFonts w:hint="eastAsia" w:ascii="宋体" w:hAnsi="宋体" w:cs="宋体"/>
                <w:b/>
              </w:rPr>
              <w:t xml:space="preserve">其它需要注明的内容</w:t>
            </w:r>
            <w:r/>
          </w:p>
        </w:tc>
      </w:tr>
      <w:tr>
        <w:trPr/>
        <w:tc>
          <w:tcPr>
            <w:tcW w:w="925" w:type="dxa"/>
            <w:textDirection w:val="lrTb"/>
            <w:noWrap w:val="false"/>
          </w:tcPr>
          <w:p>
            <w:pPr>
              <w:rPr>
                <w:rFonts w:ascii="宋体" w:hAnsi="宋体" w:cs="宋体"/>
                <w:b/>
              </w:rPr>
            </w:pPr>
            <w:r>
              <w:rPr>
                <w:rFonts w:ascii="宋体" w:hAnsi="宋体" w:cs="宋体"/>
                <w:b/>
              </w:rPr>
            </w:r>
            <w:r/>
          </w:p>
        </w:tc>
        <w:tc>
          <w:tcPr>
            <w:tcW w:w="2390" w:type="dxa"/>
            <w:textDirection w:val="lrTb"/>
            <w:noWrap w:val="false"/>
          </w:tcPr>
          <w:p>
            <w:pPr>
              <w:rPr>
                <w:rFonts w:ascii="宋体" w:hAnsi="宋体" w:cs="宋体"/>
                <w:b/>
              </w:rPr>
            </w:pPr>
            <w:r>
              <w:rPr>
                <w:rFonts w:hint="eastAsia" w:ascii="宋体" w:hAnsi="宋体" w:cs="宋体"/>
                <w:b/>
              </w:rPr>
              <w:t xml:space="preserve">超声诊断仪超声源</w:t>
            </w:r>
            <w:r/>
          </w:p>
        </w:tc>
        <w:tc>
          <w:tcPr>
            <w:tcW w:w="1658" w:type="dxa"/>
            <w:textDirection w:val="lrTb"/>
            <w:noWrap w:val="false"/>
          </w:tcPr>
          <w:p>
            <w:pPr>
              <w:rPr>
                <w:rFonts w:ascii="宋体" w:hAnsi="宋体" w:cs="宋体"/>
                <w:b/>
              </w:rPr>
            </w:pPr>
            <w:r>
              <w:rPr>
                <w:rFonts w:ascii="宋体" w:hAnsi="宋体" w:cs="宋体"/>
                <w:b/>
              </w:rPr>
            </w:r>
            <w:r/>
          </w:p>
        </w:tc>
        <w:tc>
          <w:tcPr>
            <w:tcW w:w="1658" w:type="dxa"/>
            <w:textDirection w:val="lrTb"/>
            <w:noWrap w:val="false"/>
          </w:tcPr>
          <w:p>
            <w:pPr>
              <w:rPr>
                <w:rFonts w:ascii="宋体" w:hAnsi="宋体" w:cs="宋体"/>
                <w:b/>
              </w:rPr>
            </w:pPr>
            <w:r>
              <w:rPr>
                <w:rFonts w:ascii="宋体" w:hAnsi="宋体" w:cs="宋体"/>
                <w:b/>
              </w:rPr>
            </w:r>
            <w:r/>
          </w:p>
        </w:tc>
        <w:tc>
          <w:tcPr>
            <w:tcW w:w="1658" w:type="dxa"/>
            <w:textDirection w:val="lrTb"/>
            <w:noWrap w:val="false"/>
          </w:tcPr>
          <w:p>
            <w:pPr>
              <w:rPr>
                <w:rFonts w:ascii="宋体" w:hAnsi="宋体" w:cs="宋体"/>
                <w:b/>
              </w:rPr>
            </w:pPr>
            <w:r>
              <w:rPr>
                <w:rFonts w:ascii="宋体" w:hAnsi="宋体" w:cs="宋体"/>
                <w:b/>
              </w:rPr>
            </w:r>
            <w:r/>
          </w:p>
        </w:tc>
      </w:tr>
      <w:tr>
        <w:trPr/>
        <w:tc>
          <w:tcPr>
            <w:tcW w:w="925" w:type="dxa"/>
            <w:textDirection w:val="lrTb"/>
            <w:noWrap w:val="false"/>
          </w:tcPr>
          <w:p>
            <w:pPr>
              <w:rPr>
                <w:rFonts w:ascii="宋体" w:hAnsi="宋体" w:cs="宋体"/>
                <w:b/>
              </w:rPr>
            </w:pPr>
            <w:r>
              <w:rPr>
                <w:rFonts w:ascii="宋体" w:hAnsi="宋体" w:cs="宋体"/>
                <w:b/>
              </w:rPr>
            </w:r>
            <w:r/>
          </w:p>
        </w:tc>
        <w:tc>
          <w:tcPr>
            <w:tcW w:w="2390" w:type="dxa"/>
            <w:textDirection w:val="lrTb"/>
            <w:noWrap w:val="false"/>
          </w:tcPr>
          <w:p>
            <w:pPr>
              <w:rPr>
                <w:rFonts w:ascii="宋体" w:hAnsi="宋体" w:cs="宋体"/>
                <w:b/>
              </w:rPr>
            </w:pPr>
            <w:r>
              <w:rPr>
                <w:rFonts w:hint="eastAsia" w:ascii="宋体" w:hAnsi="宋体" w:cs="宋体"/>
                <w:b/>
              </w:rPr>
              <w:t xml:space="preserve">……</w:t>
            </w:r>
            <w:r/>
          </w:p>
        </w:tc>
        <w:tc>
          <w:tcPr>
            <w:tcW w:w="1658" w:type="dxa"/>
            <w:textDirection w:val="lrTb"/>
            <w:noWrap w:val="false"/>
          </w:tcPr>
          <w:p>
            <w:pPr>
              <w:rPr>
                <w:rFonts w:ascii="宋体" w:hAnsi="宋体" w:cs="宋体"/>
                <w:b/>
              </w:rPr>
            </w:pPr>
            <w:r>
              <w:rPr>
                <w:rFonts w:ascii="宋体" w:hAnsi="宋体" w:cs="宋体"/>
                <w:b/>
              </w:rPr>
            </w:r>
            <w:r/>
          </w:p>
        </w:tc>
        <w:tc>
          <w:tcPr>
            <w:tcW w:w="1658" w:type="dxa"/>
            <w:textDirection w:val="lrTb"/>
            <w:noWrap w:val="false"/>
          </w:tcPr>
          <w:p>
            <w:pPr>
              <w:rPr>
                <w:rFonts w:ascii="宋体" w:hAnsi="宋体" w:cs="宋体"/>
                <w:b/>
              </w:rPr>
            </w:pPr>
            <w:r>
              <w:rPr>
                <w:rFonts w:ascii="宋体" w:hAnsi="宋体" w:cs="宋体"/>
                <w:b/>
              </w:rPr>
            </w:r>
            <w:r/>
          </w:p>
        </w:tc>
        <w:tc>
          <w:tcPr>
            <w:tcW w:w="1658" w:type="dxa"/>
            <w:textDirection w:val="lrTb"/>
            <w:noWrap w:val="false"/>
          </w:tcPr>
          <w:p>
            <w:pPr>
              <w:rPr>
                <w:rFonts w:ascii="宋体" w:hAnsi="宋体" w:cs="宋体"/>
                <w:b/>
              </w:rPr>
            </w:pPr>
            <w:r>
              <w:rPr>
                <w:rFonts w:ascii="宋体" w:hAnsi="宋体" w:cs="宋体"/>
                <w:b/>
              </w:rPr>
            </w:r>
            <w:r/>
          </w:p>
        </w:tc>
      </w:tr>
      <w:tr>
        <w:trPr/>
        <w:tc>
          <w:tcPr>
            <w:tcW w:w="925" w:type="dxa"/>
            <w:textDirection w:val="lrTb"/>
            <w:noWrap w:val="false"/>
          </w:tcPr>
          <w:p>
            <w:pPr>
              <w:rPr>
                <w:rFonts w:ascii="宋体" w:hAnsi="宋体" w:cs="宋体"/>
                <w:b/>
              </w:rPr>
            </w:pPr>
            <w:r>
              <w:rPr>
                <w:rFonts w:ascii="宋体" w:hAnsi="宋体" w:cs="宋体"/>
                <w:b/>
              </w:rPr>
            </w:r>
            <w:r/>
          </w:p>
        </w:tc>
        <w:tc>
          <w:tcPr>
            <w:tcW w:w="2390" w:type="dxa"/>
            <w:textDirection w:val="lrTb"/>
            <w:noWrap w:val="false"/>
          </w:tcPr>
          <w:p>
            <w:pPr>
              <w:rPr>
                <w:rFonts w:ascii="宋体" w:hAnsi="宋体" w:cs="宋体"/>
                <w:b/>
              </w:rPr>
            </w:pPr>
            <w:r>
              <w:rPr>
                <w:rFonts w:ascii="宋体" w:hAnsi="宋体" w:cs="宋体"/>
                <w:b/>
              </w:rPr>
            </w:r>
            <w:r/>
          </w:p>
        </w:tc>
        <w:tc>
          <w:tcPr>
            <w:tcW w:w="1658" w:type="dxa"/>
            <w:textDirection w:val="lrTb"/>
            <w:noWrap w:val="false"/>
          </w:tcPr>
          <w:p>
            <w:pPr>
              <w:rPr>
                <w:rFonts w:ascii="宋体" w:hAnsi="宋体" w:cs="宋体"/>
                <w:b/>
              </w:rPr>
            </w:pPr>
            <w:r>
              <w:rPr>
                <w:rFonts w:ascii="宋体" w:hAnsi="宋体" w:cs="宋体"/>
                <w:b/>
              </w:rPr>
            </w:r>
            <w:r/>
          </w:p>
        </w:tc>
        <w:tc>
          <w:tcPr>
            <w:tcW w:w="1658" w:type="dxa"/>
            <w:textDirection w:val="lrTb"/>
            <w:noWrap w:val="false"/>
          </w:tcPr>
          <w:p>
            <w:pPr>
              <w:rPr>
                <w:rFonts w:ascii="宋体" w:hAnsi="宋体" w:cs="宋体"/>
                <w:b/>
              </w:rPr>
            </w:pPr>
            <w:r>
              <w:rPr>
                <w:rFonts w:ascii="宋体" w:hAnsi="宋体" w:cs="宋体"/>
                <w:b/>
              </w:rPr>
            </w:r>
            <w:r/>
          </w:p>
        </w:tc>
        <w:tc>
          <w:tcPr>
            <w:tcW w:w="1658" w:type="dxa"/>
            <w:textDirection w:val="lrTb"/>
            <w:noWrap w:val="false"/>
          </w:tcPr>
          <w:p>
            <w:pPr>
              <w:rPr>
                <w:rFonts w:ascii="宋体" w:hAnsi="宋体" w:cs="宋体"/>
                <w:b/>
              </w:rPr>
            </w:pPr>
            <w:r>
              <w:rPr>
                <w:rFonts w:ascii="宋体" w:hAnsi="宋体" w:cs="宋体"/>
                <w:b/>
              </w:rPr>
            </w:r>
            <w:r/>
          </w:p>
        </w:tc>
      </w:tr>
      <w:tr>
        <w:trPr/>
        <w:tc>
          <w:tcPr>
            <w:tcW w:w="925" w:type="dxa"/>
            <w:textDirection w:val="lrTb"/>
            <w:noWrap w:val="false"/>
          </w:tcPr>
          <w:p>
            <w:pPr>
              <w:rPr>
                <w:rFonts w:ascii="宋体" w:hAnsi="宋体" w:cs="宋体"/>
                <w:b/>
              </w:rPr>
            </w:pPr>
            <w:r>
              <w:rPr>
                <w:rFonts w:ascii="宋体" w:hAnsi="宋体" w:cs="宋体"/>
                <w:b/>
              </w:rPr>
            </w:r>
            <w:r/>
          </w:p>
        </w:tc>
        <w:tc>
          <w:tcPr>
            <w:tcW w:w="2390" w:type="dxa"/>
            <w:textDirection w:val="lrTb"/>
            <w:noWrap w:val="false"/>
          </w:tcPr>
          <w:p>
            <w:pPr>
              <w:rPr>
                <w:rFonts w:ascii="宋体" w:hAnsi="宋体" w:cs="宋体"/>
                <w:b/>
              </w:rPr>
            </w:pPr>
            <w:r>
              <w:rPr>
                <w:rFonts w:ascii="宋体" w:hAnsi="宋体" w:cs="宋体"/>
                <w:b/>
              </w:rPr>
            </w:r>
            <w:r/>
          </w:p>
        </w:tc>
        <w:tc>
          <w:tcPr>
            <w:tcW w:w="1658" w:type="dxa"/>
            <w:textDirection w:val="lrTb"/>
            <w:noWrap w:val="false"/>
          </w:tcPr>
          <w:p>
            <w:pPr>
              <w:rPr>
                <w:rFonts w:ascii="宋体" w:hAnsi="宋体" w:cs="宋体"/>
                <w:b/>
              </w:rPr>
            </w:pPr>
            <w:r>
              <w:rPr>
                <w:rFonts w:ascii="宋体" w:hAnsi="宋体" w:cs="宋体"/>
                <w:b/>
              </w:rPr>
            </w:r>
            <w:r/>
          </w:p>
        </w:tc>
        <w:tc>
          <w:tcPr>
            <w:tcW w:w="1658" w:type="dxa"/>
            <w:textDirection w:val="lrTb"/>
            <w:noWrap w:val="false"/>
          </w:tcPr>
          <w:p>
            <w:pPr>
              <w:rPr>
                <w:rFonts w:ascii="宋体" w:hAnsi="宋体" w:cs="宋体"/>
                <w:b/>
              </w:rPr>
            </w:pPr>
            <w:r>
              <w:rPr>
                <w:rFonts w:ascii="宋体" w:hAnsi="宋体" w:cs="宋体"/>
                <w:b/>
              </w:rPr>
            </w:r>
            <w:r/>
          </w:p>
        </w:tc>
        <w:tc>
          <w:tcPr>
            <w:tcW w:w="1658" w:type="dxa"/>
            <w:textDirection w:val="lrTb"/>
            <w:noWrap w:val="false"/>
          </w:tcPr>
          <w:p>
            <w:pPr>
              <w:rPr>
                <w:rFonts w:ascii="宋体" w:hAnsi="宋体" w:cs="宋体"/>
                <w:b/>
              </w:rPr>
            </w:pPr>
            <w:r>
              <w:rPr>
                <w:rFonts w:ascii="宋体" w:hAnsi="宋体" w:cs="宋体"/>
                <w:b/>
              </w:rPr>
            </w:r>
            <w:r/>
          </w:p>
        </w:tc>
      </w:tr>
      <w:tr>
        <w:trPr/>
        <w:tc>
          <w:tcPr>
            <w:tcW w:w="925" w:type="dxa"/>
            <w:textDirection w:val="lrTb"/>
            <w:noWrap w:val="false"/>
          </w:tcPr>
          <w:p>
            <w:pPr>
              <w:rPr>
                <w:rFonts w:ascii="宋体" w:hAnsi="宋体" w:cs="宋体"/>
                <w:b/>
              </w:rPr>
            </w:pPr>
            <w:r>
              <w:rPr>
                <w:rFonts w:ascii="宋体" w:hAnsi="宋体" w:cs="宋体"/>
                <w:b/>
              </w:rPr>
            </w:r>
            <w:r/>
          </w:p>
        </w:tc>
        <w:tc>
          <w:tcPr>
            <w:tcW w:w="2390" w:type="dxa"/>
            <w:textDirection w:val="lrTb"/>
            <w:noWrap w:val="false"/>
          </w:tcPr>
          <w:p>
            <w:pPr>
              <w:rPr>
                <w:rFonts w:ascii="宋体" w:hAnsi="宋体" w:cs="宋体"/>
                <w:b/>
              </w:rPr>
            </w:pPr>
            <w:r>
              <w:rPr>
                <w:rFonts w:ascii="宋体" w:hAnsi="宋体" w:cs="宋体"/>
                <w:b/>
              </w:rPr>
            </w:r>
            <w:r/>
          </w:p>
        </w:tc>
        <w:tc>
          <w:tcPr>
            <w:tcW w:w="1658" w:type="dxa"/>
            <w:textDirection w:val="lrTb"/>
            <w:noWrap w:val="false"/>
          </w:tcPr>
          <w:p>
            <w:pPr>
              <w:rPr>
                <w:rFonts w:ascii="宋体" w:hAnsi="宋体" w:cs="宋体"/>
                <w:b/>
              </w:rPr>
            </w:pPr>
            <w:r>
              <w:rPr>
                <w:rFonts w:ascii="宋体" w:hAnsi="宋体" w:cs="宋体"/>
                <w:b/>
              </w:rPr>
            </w:r>
            <w:r/>
          </w:p>
        </w:tc>
        <w:tc>
          <w:tcPr>
            <w:tcW w:w="1658" w:type="dxa"/>
            <w:textDirection w:val="lrTb"/>
            <w:noWrap w:val="false"/>
          </w:tcPr>
          <w:p>
            <w:pPr>
              <w:rPr>
                <w:rFonts w:ascii="宋体" w:hAnsi="宋体" w:cs="宋体"/>
                <w:b/>
              </w:rPr>
            </w:pPr>
            <w:r>
              <w:rPr>
                <w:rFonts w:ascii="宋体" w:hAnsi="宋体" w:cs="宋体"/>
                <w:b/>
              </w:rPr>
            </w:r>
            <w:r/>
          </w:p>
        </w:tc>
        <w:tc>
          <w:tcPr>
            <w:tcW w:w="1658" w:type="dxa"/>
            <w:textDirection w:val="lrTb"/>
            <w:noWrap w:val="false"/>
          </w:tcPr>
          <w:p>
            <w:pPr>
              <w:rPr>
                <w:rFonts w:ascii="宋体" w:hAnsi="宋体" w:cs="宋体"/>
                <w:b/>
              </w:rPr>
            </w:pPr>
            <w:r>
              <w:rPr>
                <w:rFonts w:ascii="宋体" w:hAnsi="宋体" w:cs="宋体"/>
                <w:b/>
              </w:rPr>
            </w:r>
            <w:r/>
          </w:p>
        </w:tc>
      </w:tr>
      <w:tr>
        <w:trPr/>
        <w:tc>
          <w:tcPr>
            <w:tcW w:w="925" w:type="dxa"/>
            <w:textDirection w:val="lrTb"/>
            <w:noWrap w:val="false"/>
          </w:tcPr>
          <w:p>
            <w:pPr>
              <w:rPr>
                <w:rFonts w:ascii="宋体" w:hAnsi="宋体" w:cs="宋体"/>
                <w:b/>
              </w:rPr>
            </w:pPr>
            <w:r>
              <w:rPr>
                <w:rFonts w:ascii="宋体" w:hAnsi="宋体" w:cs="宋体"/>
                <w:b/>
              </w:rPr>
            </w:r>
            <w:r/>
          </w:p>
        </w:tc>
        <w:tc>
          <w:tcPr>
            <w:tcW w:w="2390" w:type="dxa"/>
            <w:textDirection w:val="lrTb"/>
            <w:noWrap w:val="false"/>
          </w:tcPr>
          <w:p>
            <w:pPr>
              <w:rPr>
                <w:rFonts w:ascii="宋体" w:hAnsi="宋体" w:cs="宋体"/>
                <w:b/>
              </w:rPr>
            </w:pPr>
            <w:r>
              <w:rPr>
                <w:rFonts w:ascii="宋体" w:hAnsi="宋体" w:cs="宋体"/>
                <w:b/>
              </w:rPr>
            </w:r>
            <w:r/>
          </w:p>
        </w:tc>
        <w:tc>
          <w:tcPr>
            <w:tcW w:w="1658" w:type="dxa"/>
            <w:textDirection w:val="lrTb"/>
            <w:noWrap w:val="false"/>
          </w:tcPr>
          <w:p>
            <w:pPr>
              <w:rPr>
                <w:rFonts w:ascii="宋体" w:hAnsi="宋体" w:cs="宋体"/>
                <w:b/>
              </w:rPr>
            </w:pPr>
            <w:r>
              <w:rPr>
                <w:rFonts w:ascii="宋体" w:hAnsi="宋体" w:cs="宋体"/>
                <w:b/>
              </w:rPr>
            </w:r>
            <w:r/>
          </w:p>
        </w:tc>
        <w:tc>
          <w:tcPr>
            <w:tcW w:w="1658" w:type="dxa"/>
            <w:textDirection w:val="lrTb"/>
            <w:noWrap w:val="false"/>
          </w:tcPr>
          <w:p>
            <w:pPr>
              <w:rPr>
                <w:rFonts w:ascii="宋体" w:hAnsi="宋体" w:cs="宋体"/>
                <w:b/>
              </w:rPr>
            </w:pPr>
            <w:r>
              <w:rPr>
                <w:rFonts w:ascii="宋体" w:hAnsi="宋体" w:cs="宋体"/>
                <w:b/>
              </w:rPr>
            </w:r>
            <w:r/>
          </w:p>
        </w:tc>
        <w:tc>
          <w:tcPr>
            <w:tcW w:w="1658" w:type="dxa"/>
            <w:textDirection w:val="lrTb"/>
            <w:noWrap w:val="false"/>
          </w:tcPr>
          <w:p>
            <w:pPr>
              <w:rPr>
                <w:rFonts w:ascii="宋体" w:hAnsi="宋体" w:cs="宋体"/>
                <w:b/>
              </w:rPr>
            </w:pPr>
            <w:r>
              <w:rPr>
                <w:rFonts w:ascii="宋体" w:hAnsi="宋体" w:cs="宋体"/>
                <w:b/>
              </w:rPr>
            </w:r>
            <w:r/>
          </w:p>
        </w:tc>
      </w:tr>
      <w:tr>
        <w:trPr/>
        <w:tc>
          <w:tcPr>
            <w:tcW w:w="925" w:type="dxa"/>
            <w:textDirection w:val="lrTb"/>
            <w:noWrap w:val="false"/>
          </w:tcPr>
          <w:p>
            <w:pPr>
              <w:rPr>
                <w:rFonts w:ascii="宋体" w:hAnsi="宋体" w:cs="宋体"/>
                <w:b/>
              </w:rPr>
            </w:pPr>
            <w:r>
              <w:rPr>
                <w:rFonts w:ascii="宋体" w:hAnsi="宋体" w:cs="宋体"/>
                <w:b/>
              </w:rPr>
            </w:r>
            <w:r/>
          </w:p>
        </w:tc>
        <w:tc>
          <w:tcPr>
            <w:tcW w:w="2390" w:type="dxa"/>
            <w:textDirection w:val="lrTb"/>
            <w:noWrap w:val="false"/>
          </w:tcPr>
          <w:p>
            <w:pPr>
              <w:rPr>
                <w:rFonts w:ascii="宋体" w:hAnsi="宋体" w:cs="宋体"/>
                <w:b/>
              </w:rPr>
            </w:pPr>
            <w:r>
              <w:rPr>
                <w:rFonts w:ascii="宋体" w:hAnsi="宋体" w:cs="宋体"/>
                <w:b/>
              </w:rPr>
            </w:r>
            <w:r/>
          </w:p>
        </w:tc>
        <w:tc>
          <w:tcPr>
            <w:tcW w:w="1658" w:type="dxa"/>
            <w:textDirection w:val="lrTb"/>
            <w:noWrap w:val="false"/>
          </w:tcPr>
          <w:p>
            <w:pPr>
              <w:rPr>
                <w:rFonts w:ascii="宋体" w:hAnsi="宋体" w:cs="宋体"/>
                <w:b/>
              </w:rPr>
            </w:pPr>
            <w:r>
              <w:rPr>
                <w:rFonts w:ascii="宋体" w:hAnsi="宋体" w:cs="宋体"/>
                <w:b/>
              </w:rPr>
            </w:r>
            <w:r/>
          </w:p>
        </w:tc>
        <w:tc>
          <w:tcPr>
            <w:tcW w:w="1658" w:type="dxa"/>
            <w:textDirection w:val="lrTb"/>
            <w:noWrap w:val="false"/>
          </w:tcPr>
          <w:p>
            <w:pPr>
              <w:rPr>
                <w:rFonts w:ascii="宋体" w:hAnsi="宋体" w:cs="宋体"/>
                <w:b/>
              </w:rPr>
            </w:pPr>
            <w:r>
              <w:rPr>
                <w:rFonts w:ascii="宋体" w:hAnsi="宋体" w:cs="宋体"/>
                <w:b/>
              </w:rPr>
            </w:r>
            <w:r/>
          </w:p>
        </w:tc>
        <w:tc>
          <w:tcPr>
            <w:tcW w:w="1658" w:type="dxa"/>
            <w:textDirection w:val="lrTb"/>
            <w:noWrap w:val="false"/>
          </w:tcPr>
          <w:p>
            <w:pPr>
              <w:rPr>
                <w:rFonts w:ascii="宋体" w:hAnsi="宋体" w:cs="宋体"/>
                <w:b/>
              </w:rPr>
            </w:pPr>
            <w:r>
              <w:rPr>
                <w:rFonts w:ascii="宋体" w:hAnsi="宋体" w:cs="宋体"/>
                <w:b/>
              </w:rPr>
            </w:r>
            <w:r/>
          </w:p>
        </w:tc>
      </w:tr>
    </w:tbl>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jc w:val="center"/>
        <w:spacing w:line="360" w:lineRule="auto"/>
        <w:rPr>
          <w:rFonts w:ascii="宋体" w:hAnsi="宋体" w:cs="宋体"/>
          <w:b/>
          <w:sz w:val="28"/>
          <w:szCs w:val="36"/>
        </w:rPr>
      </w:pPr>
      <w:r>
        <w:rPr>
          <w:rFonts w:hint="eastAsia" w:ascii="宋体" w:hAnsi="宋体" w:cs="宋体"/>
          <w:b/>
          <w:sz w:val="28"/>
          <w:szCs w:val="36"/>
        </w:rPr>
        <w:t xml:space="preserve">拟投入设备情况（CT）</w:t>
      </w:r>
      <w:r/>
    </w:p>
    <w:tbl>
      <w:tblPr>
        <w:tblStyle w:val="9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2"/>
        <w:gridCol w:w="1167"/>
        <w:gridCol w:w="1575"/>
        <w:gridCol w:w="768"/>
        <w:gridCol w:w="829"/>
        <w:gridCol w:w="771"/>
        <w:gridCol w:w="1014"/>
        <w:gridCol w:w="1593"/>
      </w:tblGrid>
      <w:tr>
        <w:trPr>
          <w:trHeight w:val="1024"/>
        </w:trPr>
        <w:tc>
          <w:tcPr>
            <w:tcW w:w="572" w:type="dxa"/>
            <w:vAlign w:val="center"/>
            <w:textDirection w:val="lrTb"/>
            <w:noWrap w:val="false"/>
          </w:tcPr>
          <w:p>
            <w:pPr>
              <w:jc w:val="center"/>
              <w:rPr>
                <w:rFonts w:ascii="宋体" w:hAnsi="宋体" w:cs="宋体"/>
                <w:b/>
              </w:rPr>
            </w:pPr>
            <w:r>
              <w:rPr>
                <w:rFonts w:hint="eastAsia" w:ascii="宋体" w:hAnsi="宋体" w:cs="宋体"/>
                <w:b/>
              </w:rPr>
              <w:t xml:space="preserve">序号</w:t>
            </w:r>
            <w:r/>
          </w:p>
        </w:tc>
        <w:tc>
          <w:tcPr>
            <w:tcW w:w="1167" w:type="dxa"/>
            <w:vAlign w:val="center"/>
            <w:textDirection w:val="lrTb"/>
            <w:noWrap w:val="false"/>
          </w:tcPr>
          <w:p>
            <w:pPr>
              <w:jc w:val="center"/>
              <w:rPr>
                <w:rFonts w:ascii="宋体" w:hAnsi="宋体" w:cs="宋体"/>
                <w:b/>
              </w:rPr>
            </w:pPr>
            <w:r>
              <w:rPr>
                <w:rFonts w:hint="eastAsia" w:ascii="宋体" w:hAnsi="宋体" w:cs="宋体"/>
                <w:b/>
              </w:rPr>
              <w:t xml:space="preserve">设备名称</w:t>
            </w:r>
            <w:r/>
          </w:p>
        </w:tc>
        <w:tc>
          <w:tcPr>
            <w:tcW w:w="1575" w:type="dxa"/>
            <w:vAlign w:val="center"/>
            <w:textDirection w:val="lrTb"/>
            <w:noWrap w:val="false"/>
          </w:tcPr>
          <w:p>
            <w:pPr>
              <w:jc w:val="center"/>
              <w:rPr>
                <w:rFonts w:ascii="宋体" w:hAnsi="宋体" w:cs="宋体"/>
                <w:b/>
              </w:rPr>
            </w:pPr>
            <w:r>
              <w:rPr>
                <w:rFonts w:hint="eastAsia" w:ascii="宋体" w:hAnsi="宋体" w:cs="宋体"/>
                <w:b/>
              </w:rPr>
              <w:t xml:space="preserve">排数</w:t>
            </w:r>
            <w:r>
              <w:rPr>
                <w:rFonts w:hint="eastAsia" w:ascii="宋体" w:hAnsi="宋体" w:cs="宋体"/>
                <w:b/>
              </w:rPr>
            </w:r>
            <w:r/>
          </w:p>
        </w:tc>
        <w:tc>
          <w:tcPr>
            <w:tcW w:w="768" w:type="dxa"/>
            <w:vAlign w:val="center"/>
            <w:textDirection w:val="lrTb"/>
            <w:noWrap w:val="false"/>
          </w:tcPr>
          <w:p>
            <w:pPr>
              <w:jc w:val="center"/>
              <w:rPr>
                <w:rFonts w:ascii="宋体" w:hAnsi="宋体" w:cs="宋体"/>
                <w:b/>
              </w:rPr>
            </w:pPr>
            <w:r>
              <w:rPr>
                <w:rFonts w:hint="eastAsia" w:ascii="宋体" w:hAnsi="宋体" w:cs="宋体"/>
                <w:b/>
              </w:rPr>
              <w:t xml:space="preserve">设备品牌</w:t>
            </w:r>
            <w:r/>
          </w:p>
        </w:tc>
        <w:tc>
          <w:tcPr>
            <w:tcW w:w="829" w:type="dxa"/>
            <w:vAlign w:val="center"/>
            <w:textDirection w:val="lrTb"/>
            <w:noWrap w:val="false"/>
          </w:tcPr>
          <w:p>
            <w:pPr>
              <w:jc w:val="center"/>
              <w:rPr>
                <w:rFonts w:ascii="宋体" w:hAnsi="宋体" w:cs="宋体"/>
                <w:b/>
              </w:rPr>
            </w:pPr>
            <w:r>
              <w:rPr>
                <w:rFonts w:hint="eastAsia" w:ascii="宋体" w:hAnsi="宋体" w:cs="宋体"/>
                <w:b/>
              </w:rPr>
              <w:t xml:space="preserve">设备型号</w:t>
            </w:r>
            <w:r/>
          </w:p>
        </w:tc>
        <w:tc>
          <w:tcPr>
            <w:tcW w:w="771" w:type="dxa"/>
            <w:vAlign w:val="center"/>
            <w:textDirection w:val="lrTb"/>
            <w:noWrap w:val="false"/>
          </w:tcPr>
          <w:p>
            <w:pPr>
              <w:jc w:val="center"/>
              <w:rPr>
                <w:rFonts w:ascii="宋体" w:hAnsi="宋体" w:cs="宋体"/>
                <w:b/>
              </w:rPr>
            </w:pPr>
            <w:r>
              <w:rPr>
                <w:rFonts w:hint="eastAsia" w:ascii="宋体" w:hAnsi="宋体" w:cs="宋体"/>
                <w:b/>
              </w:rPr>
              <w:t xml:space="preserve">设定层厚</w:t>
            </w:r>
            <w:r/>
          </w:p>
        </w:tc>
        <w:tc>
          <w:tcPr>
            <w:tcW w:w="1014" w:type="dxa"/>
            <w:vAlign w:val="center"/>
            <w:textDirection w:val="lrTb"/>
            <w:noWrap w:val="false"/>
          </w:tcPr>
          <w:p>
            <w:pPr>
              <w:jc w:val="center"/>
              <w:rPr>
                <w:rFonts w:ascii="宋体" w:hAnsi="宋体" w:cs="宋体"/>
                <w:b/>
              </w:rPr>
            </w:pPr>
            <w:r>
              <w:rPr>
                <w:rFonts w:hint="eastAsia" w:ascii="宋体" w:hAnsi="宋体" w:cs="宋体"/>
                <w:b/>
              </w:rPr>
              <w:t xml:space="preserve">放射剂量参数</w:t>
            </w:r>
            <w:r/>
          </w:p>
        </w:tc>
        <w:tc>
          <w:tcPr>
            <w:tcW w:w="1593" w:type="dxa"/>
            <w:vAlign w:val="center"/>
            <w:textDirection w:val="lrTb"/>
            <w:noWrap w:val="false"/>
          </w:tcPr>
          <w:p>
            <w:pPr>
              <w:jc w:val="center"/>
              <w:rPr>
                <w:rFonts w:ascii="宋体" w:hAnsi="宋体" w:cs="宋体"/>
                <w:b/>
              </w:rPr>
            </w:pPr>
            <w:r>
              <w:rPr>
                <w:rFonts w:hint="eastAsia" w:ascii="宋体" w:hAnsi="宋体" w:cs="宋体"/>
                <w:b/>
              </w:rPr>
              <w:t xml:space="preserve">其它需要注明的内容</w:t>
            </w:r>
            <w:r/>
          </w:p>
        </w:tc>
      </w:tr>
      <w:tr>
        <w:trPr/>
        <w:tc>
          <w:tcPr>
            <w:tcW w:w="572" w:type="dxa"/>
            <w:textDirection w:val="lrTb"/>
            <w:noWrap w:val="false"/>
          </w:tcPr>
          <w:p>
            <w:pPr>
              <w:rPr>
                <w:rFonts w:ascii="宋体" w:hAnsi="宋体" w:cs="宋体"/>
                <w:b/>
              </w:rPr>
            </w:pPr>
            <w:r>
              <w:rPr>
                <w:rFonts w:ascii="宋体" w:hAnsi="宋体" w:cs="宋体"/>
                <w:b/>
              </w:rPr>
            </w:r>
            <w:r/>
          </w:p>
        </w:tc>
        <w:tc>
          <w:tcPr>
            <w:tcW w:w="1167" w:type="dxa"/>
            <w:textDirection w:val="lrTb"/>
            <w:noWrap w:val="false"/>
          </w:tcPr>
          <w:p>
            <w:pPr>
              <w:jc w:val="center"/>
              <w:rPr>
                <w:rFonts w:ascii="宋体" w:hAnsi="宋体" w:cs="宋体"/>
                <w:b/>
              </w:rPr>
            </w:pPr>
            <w:r>
              <w:rPr>
                <w:rFonts w:hint="eastAsia" w:ascii="宋体" w:hAnsi="宋体" w:cs="宋体"/>
                <w:b/>
              </w:rPr>
              <w:t xml:space="preserve">CT</w:t>
            </w:r>
            <w:r/>
          </w:p>
        </w:tc>
        <w:tc>
          <w:tcPr>
            <w:tcW w:w="1575" w:type="dxa"/>
            <w:textDirection w:val="lrTb"/>
            <w:noWrap w:val="false"/>
          </w:tcPr>
          <w:p>
            <w:pPr>
              <w:rPr>
                <w:rFonts w:ascii="宋体" w:hAnsi="宋体" w:cs="宋体"/>
                <w:b/>
              </w:rPr>
            </w:pPr>
            <w:r>
              <w:rPr>
                <w:rFonts w:ascii="宋体" w:hAnsi="宋体" w:cs="宋体"/>
                <w:b/>
              </w:rPr>
            </w:r>
            <w:r/>
          </w:p>
        </w:tc>
        <w:tc>
          <w:tcPr>
            <w:tcW w:w="768" w:type="dxa"/>
            <w:textDirection w:val="lrTb"/>
            <w:noWrap w:val="false"/>
          </w:tcPr>
          <w:p>
            <w:pPr>
              <w:rPr>
                <w:rFonts w:ascii="宋体" w:hAnsi="宋体" w:cs="宋体"/>
                <w:b/>
              </w:rPr>
            </w:pPr>
            <w:r>
              <w:rPr>
                <w:rFonts w:ascii="宋体" w:hAnsi="宋体" w:cs="宋体"/>
                <w:b/>
              </w:rPr>
            </w:r>
            <w:r/>
          </w:p>
        </w:tc>
        <w:tc>
          <w:tcPr>
            <w:tcW w:w="829" w:type="dxa"/>
            <w:textDirection w:val="lrTb"/>
            <w:noWrap w:val="false"/>
          </w:tcPr>
          <w:p>
            <w:pPr>
              <w:rPr>
                <w:rFonts w:ascii="宋体" w:hAnsi="宋体" w:cs="宋体"/>
                <w:b/>
              </w:rPr>
            </w:pPr>
            <w:r>
              <w:rPr>
                <w:rFonts w:ascii="宋体" w:hAnsi="宋体" w:cs="宋体"/>
                <w:b/>
              </w:rPr>
            </w:r>
            <w:r/>
          </w:p>
        </w:tc>
        <w:tc>
          <w:tcPr>
            <w:tcW w:w="771" w:type="dxa"/>
            <w:textDirection w:val="lrTb"/>
            <w:noWrap w:val="false"/>
          </w:tcPr>
          <w:p>
            <w:pPr>
              <w:rPr>
                <w:rFonts w:ascii="宋体" w:hAnsi="宋体" w:cs="宋体"/>
                <w:b/>
              </w:rPr>
            </w:pPr>
            <w:r>
              <w:rPr>
                <w:rFonts w:ascii="宋体" w:hAnsi="宋体" w:cs="宋体"/>
                <w:b/>
              </w:rPr>
            </w:r>
            <w:r/>
          </w:p>
        </w:tc>
        <w:tc>
          <w:tcPr>
            <w:tcW w:w="1014" w:type="dxa"/>
            <w:textDirection w:val="lrTb"/>
            <w:noWrap w:val="false"/>
          </w:tcPr>
          <w:p>
            <w:pPr>
              <w:rPr>
                <w:rFonts w:ascii="宋体" w:hAnsi="宋体" w:cs="宋体"/>
                <w:b/>
              </w:rPr>
            </w:pPr>
            <w:r>
              <w:rPr>
                <w:rFonts w:ascii="宋体" w:hAnsi="宋体" w:cs="宋体"/>
                <w:b/>
              </w:rPr>
            </w:r>
            <w:r/>
          </w:p>
        </w:tc>
        <w:tc>
          <w:tcPr>
            <w:tcW w:w="1593" w:type="dxa"/>
            <w:textDirection w:val="lrTb"/>
            <w:noWrap w:val="false"/>
          </w:tcPr>
          <w:p>
            <w:pPr>
              <w:rPr>
                <w:rFonts w:ascii="宋体" w:hAnsi="宋体" w:cs="宋体"/>
                <w:b/>
              </w:rPr>
            </w:pPr>
            <w:r>
              <w:rPr>
                <w:rFonts w:ascii="宋体" w:hAnsi="宋体" w:cs="宋体"/>
                <w:b/>
              </w:rPr>
            </w:r>
            <w:r/>
          </w:p>
        </w:tc>
      </w:tr>
      <w:tr>
        <w:trPr/>
        <w:tc>
          <w:tcPr>
            <w:tcW w:w="572" w:type="dxa"/>
            <w:textDirection w:val="lrTb"/>
            <w:noWrap w:val="false"/>
          </w:tcPr>
          <w:p>
            <w:pPr>
              <w:rPr>
                <w:rFonts w:ascii="宋体" w:hAnsi="宋体" w:cs="宋体"/>
                <w:b/>
              </w:rPr>
            </w:pPr>
            <w:r>
              <w:rPr>
                <w:rFonts w:ascii="宋体" w:hAnsi="宋体" w:cs="宋体"/>
                <w:b/>
              </w:rPr>
            </w:r>
            <w:r/>
          </w:p>
        </w:tc>
        <w:tc>
          <w:tcPr>
            <w:tcW w:w="1167" w:type="dxa"/>
            <w:textDirection w:val="lrTb"/>
            <w:noWrap w:val="false"/>
          </w:tcPr>
          <w:p>
            <w:pPr>
              <w:rPr>
                <w:rFonts w:ascii="宋体" w:hAnsi="宋体" w:cs="宋体"/>
                <w:b/>
              </w:rPr>
            </w:pPr>
            <w:r>
              <w:rPr>
                <w:rFonts w:hint="eastAsia" w:ascii="宋体" w:hAnsi="宋体" w:cs="宋体"/>
                <w:b/>
              </w:rPr>
              <w:t xml:space="preserve">……</w:t>
            </w:r>
            <w:r/>
          </w:p>
        </w:tc>
        <w:tc>
          <w:tcPr>
            <w:tcW w:w="1575" w:type="dxa"/>
            <w:textDirection w:val="lrTb"/>
            <w:noWrap w:val="false"/>
          </w:tcPr>
          <w:p>
            <w:pPr>
              <w:rPr>
                <w:rFonts w:ascii="宋体" w:hAnsi="宋体" w:cs="宋体"/>
                <w:b/>
              </w:rPr>
            </w:pPr>
            <w:r>
              <w:rPr>
                <w:rFonts w:ascii="宋体" w:hAnsi="宋体" w:cs="宋体"/>
                <w:b/>
              </w:rPr>
            </w:r>
            <w:r/>
          </w:p>
        </w:tc>
        <w:tc>
          <w:tcPr>
            <w:tcW w:w="768" w:type="dxa"/>
            <w:textDirection w:val="lrTb"/>
            <w:noWrap w:val="false"/>
          </w:tcPr>
          <w:p>
            <w:pPr>
              <w:rPr>
                <w:rFonts w:ascii="宋体" w:hAnsi="宋体" w:cs="宋体"/>
                <w:b/>
              </w:rPr>
            </w:pPr>
            <w:r>
              <w:rPr>
                <w:rFonts w:ascii="宋体" w:hAnsi="宋体" w:cs="宋体"/>
                <w:b/>
              </w:rPr>
            </w:r>
            <w:r/>
          </w:p>
        </w:tc>
        <w:tc>
          <w:tcPr>
            <w:tcW w:w="829" w:type="dxa"/>
            <w:textDirection w:val="lrTb"/>
            <w:noWrap w:val="false"/>
          </w:tcPr>
          <w:p>
            <w:pPr>
              <w:rPr>
                <w:rFonts w:ascii="宋体" w:hAnsi="宋体" w:cs="宋体"/>
                <w:b/>
              </w:rPr>
            </w:pPr>
            <w:r>
              <w:rPr>
                <w:rFonts w:ascii="宋体" w:hAnsi="宋体" w:cs="宋体"/>
                <w:b/>
              </w:rPr>
            </w:r>
            <w:r/>
          </w:p>
        </w:tc>
        <w:tc>
          <w:tcPr>
            <w:tcW w:w="771" w:type="dxa"/>
            <w:textDirection w:val="lrTb"/>
            <w:noWrap w:val="false"/>
          </w:tcPr>
          <w:p>
            <w:pPr>
              <w:rPr>
                <w:rFonts w:ascii="宋体" w:hAnsi="宋体" w:cs="宋体"/>
                <w:b/>
              </w:rPr>
            </w:pPr>
            <w:r>
              <w:rPr>
                <w:rFonts w:ascii="宋体" w:hAnsi="宋体" w:cs="宋体"/>
                <w:b/>
              </w:rPr>
            </w:r>
            <w:r/>
          </w:p>
        </w:tc>
        <w:tc>
          <w:tcPr>
            <w:tcW w:w="1014" w:type="dxa"/>
            <w:textDirection w:val="lrTb"/>
            <w:noWrap w:val="false"/>
          </w:tcPr>
          <w:p>
            <w:pPr>
              <w:rPr>
                <w:rFonts w:ascii="宋体" w:hAnsi="宋体" w:cs="宋体"/>
                <w:b/>
              </w:rPr>
            </w:pPr>
            <w:r>
              <w:rPr>
                <w:rFonts w:ascii="宋体" w:hAnsi="宋体" w:cs="宋体"/>
                <w:b/>
              </w:rPr>
            </w:r>
            <w:r/>
          </w:p>
        </w:tc>
        <w:tc>
          <w:tcPr>
            <w:tcW w:w="1593" w:type="dxa"/>
            <w:textDirection w:val="lrTb"/>
            <w:noWrap w:val="false"/>
          </w:tcPr>
          <w:p>
            <w:pPr>
              <w:rPr>
                <w:rFonts w:ascii="宋体" w:hAnsi="宋体" w:cs="宋体"/>
                <w:b/>
              </w:rPr>
            </w:pPr>
            <w:r>
              <w:rPr>
                <w:rFonts w:ascii="宋体" w:hAnsi="宋体" w:cs="宋体"/>
                <w:b/>
              </w:rPr>
            </w:r>
            <w:r/>
          </w:p>
        </w:tc>
      </w:tr>
      <w:tr>
        <w:trPr/>
        <w:tc>
          <w:tcPr>
            <w:tcW w:w="572" w:type="dxa"/>
            <w:textDirection w:val="lrTb"/>
            <w:noWrap w:val="false"/>
          </w:tcPr>
          <w:p>
            <w:pPr>
              <w:rPr>
                <w:rFonts w:ascii="宋体" w:hAnsi="宋体" w:cs="宋体"/>
                <w:b/>
              </w:rPr>
            </w:pPr>
            <w:r>
              <w:rPr>
                <w:rFonts w:ascii="宋体" w:hAnsi="宋体" w:cs="宋体"/>
                <w:b/>
              </w:rPr>
            </w:r>
            <w:r/>
          </w:p>
        </w:tc>
        <w:tc>
          <w:tcPr>
            <w:tcW w:w="1167" w:type="dxa"/>
            <w:textDirection w:val="lrTb"/>
            <w:noWrap w:val="false"/>
          </w:tcPr>
          <w:p>
            <w:pPr>
              <w:rPr>
                <w:rFonts w:ascii="宋体" w:hAnsi="宋体" w:cs="宋体"/>
                <w:b/>
              </w:rPr>
            </w:pPr>
            <w:r>
              <w:rPr>
                <w:rFonts w:ascii="宋体" w:hAnsi="宋体" w:cs="宋体"/>
                <w:b/>
              </w:rPr>
            </w:r>
            <w:r/>
          </w:p>
        </w:tc>
        <w:tc>
          <w:tcPr>
            <w:tcW w:w="1575" w:type="dxa"/>
            <w:textDirection w:val="lrTb"/>
            <w:noWrap w:val="false"/>
          </w:tcPr>
          <w:p>
            <w:pPr>
              <w:rPr>
                <w:rFonts w:ascii="宋体" w:hAnsi="宋体" w:cs="宋体"/>
                <w:b/>
              </w:rPr>
            </w:pPr>
            <w:r>
              <w:rPr>
                <w:rFonts w:ascii="宋体" w:hAnsi="宋体" w:cs="宋体"/>
                <w:b/>
              </w:rPr>
            </w:r>
            <w:r/>
          </w:p>
        </w:tc>
        <w:tc>
          <w:tcPr>
            <w:tcW w:w="768" w:type="dxa"/>
            <w:textDirection w:val="lrTb"/>
            <w:noWrap w:val="false"/>
          </w:tcPr>
          <w:p>
            <w:pPr>
              <w:rPr>
                <w:rFonts w:ascii="宋体" w:hAnsi="宋体" w:cs="宋体"/>
                <w:b/>
              </w:rPr>
            </w:pPr>
            <w:r>
              <w:rPr>
                <w:rFonts w:ascii="宋体" w:hAnsi="宋体" w:cs="宋体"/>
                <w:b/>
              </w:rPr>
            </w:r>
            <w:r/>
          </w:p>
        </w:tc>
        <w:tc>
          <w:tcPr>
            <w:tcW w:w="829" w:type="dxa"/>
            <w:textDirection w:val="lrTb"/>
            <w:noWrap w:val="false"/>
          </w:tcPr>
          <w:p>
            <w:pPr>
              <w:rPr>
                <w:rFonts w:ascii="宋体" w:hAnsi="宋体" w:cs="宋体"/>
                <w:b/>
              </w:rPr>
            </w:pPr>
            <w:r>
              <w:rPr>
                <w:rFonts w:ascii="宋体" w:hAnsi="宋体" w:cs="宋体"/>
                <w:b/>
              </w:rPr>
            </w:r>
            <w:r/>
          </w:p>
        </w:tc>
        <w:tc>
          <w:tcPr>
            <w:tcW w:w="771" w:type="dxa"/>
            <w:textDirection w:val="lrTb"/>
            <w:noWrap w:val="false"/>
          </w:tcPr>
          <w:p>
            <w:pPr>
              <w:rPr>
                <w:rFonts w:ascii="宋体" w:hAnsi="宋体" w:cs="宋体"/>
                <w:b/>
              </w:rPr>
            </w:pPr>
            <w:r>
              <w:rPr>
                <w:rFonts w:ascii="宋体" w:hAnsi="宋体" w:cs="宋体"/>
                <w:b/>
              </w:rPr>
            </w:r>
            <w:r/>
          </w:p>
        </w:tc>
        <w:tc>
          <w:tcPr>
            <w:tcW w:w="1014" w:type="dxa"/>
            <w:textDirection w:val="lrTb"/>
            <w:noWrap w:val="false"/>
          </w:tcPr>
          <w:p>
            <w:pPr>
              <w:rPr>
                <w:rFonts w:ascii="宋体" w:hAnsi="宋体" w:cs="宋体"/>
                <w:b/>
              </w:rPr>
            </w:pPr>
            <w:r>
              <w:rPr>
                <w:rFonts w:ascii="宋体" w:hAnsi="宋体" w:cs="宋体"/>
                <w:b/>
              </w:rPr>
            </w:r>
            <w:r/>
          </w:p>
        </w:tc>
        <w:tc>
          <w:tcPr>
            <w:tcW w:w="1593" w:type="dxa"/>
            <w:textDirection w:val="lrTb"/>
            <w:noWrap w:val="false"/>
          </w:tcPr>
          <w:p>
            <w:pPr>
              <w:rPr>
                <w:rFonts w:ascii="宋体" w:hAnsi="宋体" w:cs="宋体"/>
                <w:b/>
              </w:rPr>
            </w:pPr>
            <w:r>
              <w:rPr>
                <w:rFonts w:ascii="宋体" w:hAnsi="宋体" w:cs="宋体"/>
                <w:b/>
              </w:rPr>
            </w:r>
            <w:r/>
          </w:p>
        </w:tc>
      </w:tr>
      <w:tr>
        <w:trPr/>
        <w:tc>
          <w:tcPr>
            <w:tcW w:w="572" w:type="dxa"/>
            <w:textDirection w:val="lrTb"/>
            <w:noWrap w:val="false"/>
          </w:tcPr>
          <w:p>
            <w:pPr>
              <w:rPr>
                <w:rFonts w:ascii="宋体" w:hAnsi="宋体" w:cs="宋体"/>
                <w:b/>
              </w:rPr>
            </w:pPr>
            <w:r>
              <w:rPr>
                <w:rFonts w:ascii="宋体" w:hAnsi="宋体" w:cs="宋体"/>
                <w:b/>
              </w:rPr>
            </w:r>
            <w:r/>
          </w:p>
        </w:tc>
        <w:tc>
          <w:tcPr>
            <w:tcW w:w="1167" w:type="dxa"/>
            <w:textDirection w:val="lrTb"/>
            <w:noWrap w:val="false"/>
          </w:tcPr>
          <w:p>
            <w:pPr>
              <w:rPr>
                <w:rFonts w:ascii="宋体" w:hAnsi="宋体" w:cs="宋体"/>
                <w:b/>
              </w:rPr>
            </w:pPr>
            <w:r>
              <w:rPr>
                <w:rFonts w:ascii="宋体" w:hAnsi="宋体" w:cs="宋体"/>
                <w:b/>
              </w:rPr>
            </w:r>
            <w:r/>
          </w:p>
        </w:tc>
        <w:tc>
          <w:tcPr>
            <w:tcW w:w="1575" w:type="dxa"/>
            <w:textDirection w:val="lrTb"/>
            <w:noWrap w:val="false"/>
          </w:tcPr>
          <w:p>
            <w:pPr>
              <w:rPr>
                <w:rFonts w:ascii="宋体" w:hAnsi="宋体" w:cs="宋体"/>
                <w:b/>
              </w:rPr>
            </w:pPr>
            <w:r>
              <w:rPr>
                <w:rFonts w:ascii="宋体" w:hAnsi="宋体" w:cs="宋体"/>
                <w:b/>
              </w:rPr>
            </w:r>
            <w:r/>
          </w:p>
        </w:tc>
        <w:tc>
          <w:tcPr>
            <w:tcW w:w="768" w:type="dxa"/>
            <w:textDirection w:val="lrTb"/>
            <w:noWrap w:val="false"/>
          </w:tcPr>
          <w:p>
            <w:pPr>
              <w:rPr>
                <w:rFonts w:ascii="宋体" w:hAnsi="宋体" w:cs="宋体"/>
                <w:b/>
              </w:rPr>
            </w:pPr>
            <w:r>
              <w:rPr>
                <w:rFonts w:ascii="宋体" w:hAnsi="宋体" w:cs="宋体"/>
                <w:b/>
              </w:rPr>
            </w:r>
            <w:r/>
          </w:p>
        </w:tc>
        <w:tc>
          <w:tcPr>
            <w:tcW w:w="829" w:type="dxa"/>
            <w:textDirection w:val="lrTb"/>
            <w:noWrap w:val="false"/>
          </w:tcPr>
          <w:p>
            <w:pPr>
              <w:rPr>
                <w:rFonts w:ascii="宋体" w:hAnsi="宋体" w:cs="宋体"/>
                <w:b/>
              </w:rPr>
            </w:pPr>
            <w:r>
              <w:rPr>
                <w:rFonts w:ascii="宋体" w:hAnsi="宋体" w:cs="宋体"/>
                <w:b/>
              </w:rPr>
            </w:r>
            <w:r/>
          </w:p>
        </w:tc>
        <w:tc>
          <w:tcPr>
            <w:tcW w:w="771" w:type="dxa"/>
            <w:textDirection w:val="lrTb"/>
            <w:noWrap w:val="false"/>
          </w:tcPr>
          <w:p>
            <w:pPr>
              <w:rPr>
                <w:rFonts w:ascii="宋体" w:hAnsi="宋体" w:cs="宋体"/>
                <w:b/>
              </w:rPr>
            </w:pPr>
            <w:r>
              <w:rPr>
                <w:rFonts w:ascii="宋体" w:hAnsi="宋体" w:cs="宋体"/>
                <w:b/>
              </w:rPr>
            </w:r>
            <w:r/>
          </w:p>
        </w:tc>
        <w:tc>
          <w:tcPr>
            <w:tcW w:w="1014" w:type="dxa"/>
            <w:textDirection w:val="lrTb"/>
            <w:noWrap w:val="false"/>
          </w:tcPr>
          <w:p>
            <w:pPr>
              <w:rPr>
                <w:rFonts w:ascii="宋体" w:hAnsi="宋体" w:cs="宋体"/>
                <w:b/>
              </w:rPr>
            </w:pPr>
            <w:r>
              <w:rPr>
                <w:rFonts w:ascii="宋体" w:hAnsi="宋体" w:cs="宋体"/>
                <w:b/>
              </w:rPr>
            </w:r>
            <w:r/>
          </w:p>
        </w:tc>
        <w:tc>
          <w:tcPr>
            <w:tcW w:w="1593" w:type="dxa"/>
            <w:textDirection w:val="lrTb"/>
            <w:noWrap w:val="false"/>
          </w:tcPr>
          <w:p>
            <w:pPr>
              <w:rPr>
                <w:rFonts w:ascii="宋体" w:hAnsi="宋体" w:cs="宋体"/>
                <w:b/>
              </w:rPr>
            </w:pPr>
            <w:r>
              <w:rPr>
                <w:rFonts w:ascii="宋体" w:hAnsi="宋体" w:cs="宋体"/>
                <w:b/>
              </w:rPr>
            </w:r>
            <w:r/>
          </w:p>
        </w:tc>
      </w:tr>
      <w:tr>
        <w:trPr/>
        <w:tc>
          <w:tcPr>
            <w:tcW w:w="572" w:type="dxa"/>
            <w:textDirection w:val="lrTb"/>
            <w:noWrap w:val="false"/>
          </w:tcPr>
          <w:p>
            <w:pPr>
              <w:rPr>
                <w:rFonts w:ascii="宋体" w:hAnsi="宋体" w:cs="宋体"/>
                <w:b/>
              </w:rPr>
            </w:pPr>
            <w:r>
              <w:rPr>
                <w:rFonts w:ascii="宋体" w:hAnsi="宋体" w:cs="宋体"/>
                <w:b/>
              </w:rPr>
            </w:r>
            <w:r/>
          </w:p>
        </w:tc>
        <w:tc>
          <w:tcPr>
            <w:tcW w:w="1167" w:type="dxa"/>
            <w:textDirection w:val="lrTb"/>
            <w:noWrap w:val="false"/>
          </w:tcPr>
          <w:p>
            <w:pPr>
              <w:rPr>
                <w:rFonts w:ascii="宋体" w:hAnsi="宋体" w:cs="宋体"/>
                <w:b/>
              </w:rPr>
            </w:pPr>
            <w:r>
              <w:rPr>
                <w:rFonts w:ascii="宋体" w:hAnsi="宋体" w:cs="宋体"/>
                <w:b/>
              </w:rPr>
            </w:r>
            <w:r/>
          </w:p>
        </w:tc>
        <w:tc>
          <w:tcPr>
            <w:tcW w:w="1575" w:type="dxa"/>
            <w:textDirection w:val="lrTb"/>
            <w:noWrap w:val="false"/>
          </w:tcPr>
          <w:p>
            <w:pPr>
              <w:rPr>
                <w:rFonts w:ascii="宋体" w:hAnsi="宋体" w:cs="宋体"/>
                <w:b/>
              </w:rPr>
            </w:pPr>
            <w:r>
              <w:rPr>
                <w:rFonts w:ascii="宋体" w:hAnsi="宋体" w:cs="宋体"/>
                <w:b/>
              </w:rPr>
            </w:r>
            <w:r/>
          </w:p>
        </w:tc>
        <w:tc>
          <w:tcPr>
            <w:tcW w:w="768" w:type="dxa"/>
            <w:textDirection w:val="lrTb"/>
            <w:noWrap w:val="false"/>
          </w:tcPr>
          <w:p>
            <w:pPr>
              <w:rPr>
                <w:rFonts w:ascii="宋体" w:hAnsi="宋体" w:cs="宋体"/>
                <w:b/>
              </w:rPr>
            </w:pPr>
            <w:r>
              <w:rPr>
                <w:rFonts w:ascii="宋体" w:hAnsi="宋体" w:cs="宋体"/>
                <w:b/>
              </w:rPr>
            </w:r>
            <w:r/>
          </w:p>
        </w:tc>
        <w:tc>
          <w:tcPr>
            <w:tcW w:w="829" w:type="dxa"/>
            <w:textDirection w:val="lrTb"/>
            <w:noWrap w:val="false"/>
          </w:tcPr>
          <w:p>
            <w:pPr>
              <w:rPr>
                <w:rFonts w:ascii="宋体" w:hAnsi="宋体" w:cs="宋体"/>
                <w:b/>
              </w:rPr>
            </w:pPr>
            <w:r>
              <w:rPr>
                <w:rFonts w:ascii="宋体" w:hAnsi="宋体" w:cs="宋体"/>
                <w:b/>
              </w:rPr>
            </w:r>
            <w:r/>
          </w:p>
        </w:tc>
        <w:tc>
          <w:tcPr>
            <w:tcW w:w="771" w:type="dxa"/>
            <w:textDirection w:val="lrTb"/>
            <w:noWrap w:val="false"/>
          </w:tcPr>
          <w:p>
            <w:pPr>
              <w:rPr>
                <w:rFonts w:ascii="宋体" w:hAnsi="宋体" w:cs="宋体"/>
                <w:b/>
              </w:rPr>
            </w:pPr>
            <w:r>
              <w:rPr>
                <w:rFonts w:ascii="宋体" w:hAnsi="宋体" w:cs="宋体"/>
                <w:b/>
              </w:rPr>
            </w:r>
            <w:r/>
          </w:p>
        </w:tc>
        <w:tc>
          <w:tcPr>
            <w:tcW w:w="1014" w:type="dxa"/>
            <w:textDirection w:val="lrTb"/>
            <w:noWrap w:val="false"/>
          </w:tcPr>
          <w:p>
            <w:pPr>
              <w:rPr>
                <w:rFonts w:ascii="宋体" w:hAnsi="宋体" w:cs="宋体"/>
                <w:b/>
              </w:rPr>
            </w:pPr>
            <w:r>
              <w:rPr>
                <w:rFonts w:ascii="宋体" w:hAnsi="宋体" w:cs="宋体"/>
                <w:b/>
              </w:rPr>
            </w:r>
            <w:r/>
          </w:p>
        </w:tc>
        <w:tc>
          <w:tcPr>
            <w:tcW w:w="1593" w:type="dxa"/>
            <w:textDirection w:val="lrTb"/>
            <w:noWrap w:val="false"/>
          </w:tcPr>
          <w:p>
            <w:pPr>
              <w:rPr>
                <w:rFonts w:ascii="宋体" w:hAnsi="宋体" w:cs="宋体"/>
                <w:b/>
              </w:rPr>
            </w:pPr>
            <w:r>
              <w:rPr>
                <w:rFonts w:ascii="宋体" w:hAnsi="宋体" w:cs="宋体"/>
                <w:b/>
              </w:rPr>
            </w:r>
            <w:r/>
          </w:p>
        </w:tc>
      </w:tr>
      <w:tr>
        <w:trPr/>
        <w:tc>
          <w:tcPr>
            <w:tcW w:w="572" w:type="dxa"/>
            <w:textDirection w:val="lrTb"/>
            <w:noWrap w:val="false"/>
          </w:tcPr>
          <w:p>
            <w:pPr>
              <w:rPr>
                <w:rFonts w:ascii="宋体" w:hAnsi="宋体" w:cs="宋体"/>
                <w:b/>
              </w:rPr>
            </w:pPr>
            <w:r>
              <w:rPr>
                <w:rFonts w:ascii="宋体" w:hAnsi="宋体" w:cs="宋体"/>
                <w:b/>
              </w:rPr>
            </w:r>
            <w:r/>
          </w:p>
        </w:tc>
        <w:tc>
          <w:tcPr>
            <w:tcW w:w="1167" w:type="dxa"/>
            <w:textDirection w:val="lrTb"/>
            <w:noWrap w:val="false"/>
          </w:tcPr>
          <w:p>
            <w:pPr>
              <w:rPr>
                <w:rFonts w:ascii="宋体" w:hAnsi="宋体" w:cs="宋体"/>
                <w:b/>
              </w:rPr>
            </w:pPr>
            <w:r>
              <w:rPr>
                <w:rFonts w:ascii="宋体" w:hAnsi="宋体" w:cs="宋体"/>
                <w:b/>
              </w:rPr>
            </w:r>
            <w:r/>
          </w:p>
        </w:tc>
        <w:tc>
          <w:tcPr>
            <w:tcW w:w="1575" w:type="dxa"/>
            <w:textDirection w:val="lrTb"/>
            <w:noWrap w:val="false"/>
          </w:tcPr>
          <w:p>
            <w:pPr>
              <w:rPr>
                <w:rFonts w:ascii="宋体" w:hAnsi="宋体" w:cs="宋体"/>
                <w:b/>
              </w:rPr>
            </w:pPr>
            <w:r>
              <w:rPr>
                <w:rFonts w:ascii="宋体" w:hAnsi="宋体" w:cs="宋体"/>
                <w:b/>
              </w:rPr>
            </w:r>
            <w:r/>
          </w:p>
        </w:tc>
        <w:tc>
          <w:tcPr>
            <w:tcW w:w="768" w:type="dxa"/>
            <w:textDirection w:val="lrTb"/>
            <w:noWrap w:val="false"/>
          </w:tcPr>
          <w:p>
            <w:pPr>
              <w:rPr>
                <w:rFonts w:ascii="宋体" w:hAnsi="宋体" w:cs="宋体"/>
                <w:b/>
              </w:rPr>
            </w:pPr>
            <w:r>
              <w:rPr>
                <w:rFonts w:ascii="宋体" w:hAnsi="宋体" w:cs="宋体"/>
                <w:b/>
              </w:rPr>
            </w:r>
            <w:r/>
          </w:p>
        </w:tc>
        <w:tc>
          <w:tcPr>
            <w:tcW w:w="829" w:type="dxa"/>
            <w:textDirection w:val="lrTb"/>
            <w:noWrap w:val="false"/>
          </w:tcPr>
          <w:p>
            <w:pPr>
              <w:rPr>
                <w:rFonts w:ascii="宋体" w:hAnsi="宋体" w:cs="宋体"/>
                <w:b/>
              </w:rPr>
            </w:pPr>
            <w:r>
              <w:rPr>
                <w:rFonts w:ascii="宋体" w:hAnsi="宋体" w:cs="宋体"/>
                <w:b/>
              </w:rPr>
            </w:r>
            <w:r/>
          </w:p>
        </w:tc>
        <w:tc>
          <w:tcPr>
            <w:tcW w:w="771" w:type="dxa"/>
            <w:textDirection w:val="lrTb"/>
            <w:noWrap w:val="false"/>
          </w:tcPr>
          <w:p>
            <w:pPr>
              <w:rPr>
                <w:rFonts w:ascii="宋体" w:hAnsi="宋体" w:cs="宋体"/>
                <w:b/>
              </w:rPr>
            </w:pPr>
            <w:r>
              <w:rPr>
                <w:rFonts w:ascii="宋体" w:hAnsi="宋体" w:cs="宋体"/>
                <w:b/>
              </w:rPr>
            </w:r>
            <w:r/>
          </w:p>
        </w:tc>
        <w:tc>
          <w:tcPr>
            <w:tcW w:w="1014" w:type="dxa"/>
            <w:textDirection w:val="lrTb"/>
            <w:noWrap w:val="false"/>
          </w:tcPr>
          <w:p>
            <w:pPr>
              <w:rPr>
                <w:rFonts w:ascii="宋体" w:hAnsi="宋体" w:cs="宋体"/>
                <w:b/>
              </w:rPr>
            </w:pPr>
            <w:r>
              <w:rPr>
                <w:rFonts w:ascii="宋体" w:hAnsi="宋体" w:cs="宋体"/>
                <w:b/>
              </w:rPr>
            </w:r>
            <w:r/>
          </w:p>
        </w:tc>
        <w:tc>
          <w:tcPr>
            <w:tcW w:w="1593" w:type="dxa"/>
            <w:textDirection w:val="lrTb"/>
            <w:noWrap w:val="false"/>
          </w:tcPr>
          <w:p>
            <w:pPr>
              <w:rPr>
                <w:rFonts w:ascii="宋体" w:hAnsi="宋体" w:cs="宋体"/>
                <w:b/>
              </w:rPr>
            </w:pPr>
            <w:r>
              <w:rPr>
                <w:rFonts w:ascii="宋体" w:hAnsi="宋体" w:cs="宋体"/>
                <w:b/>
              </w:rPr>
            </w:r>
            <w:r/>
          </w:p>
        </w:tc>
      </w:tr>
      <w:tr>
        <w:trPr/>
        <w:tc>
          <w:tcPr>
            <w:tcW w:w="572" w:type="dxa"/>
            <w:textDirection w:val="lrTb"/>
            <w:noWrap w:val="false"/>
          </w:tcPr>
          <w:p>
            <w:pPr>
              <w:rPr>
                <w:rFonts w:ascii="宋体" w:hAnsi="宋体" w:cs="宋体"/>
                <w:b/>
              </w:rPr>
            </w:pPr>
            <w:r>
              <w:rPr>
                <w:rFonts w:ascii="宋体" w:hAnsi="宋体" w:cs="宋体"/>
                <w:b/>
              </w:rPr>
            </w:r>
            <w:r/>
          </w:p>
        </w:tc>
        <w:tc>
          <w:tcPr>
            <w:tcW w:w="1167" w:type="dxa"/>
            <w:textDirection w:val="lrTb"/>
            <w:noWrap w:val="false"/>
          </w:tcPr>
          <w:p>
            <w:pPr>
              <w:rPr>
                <w:rFonts w:ascii="宋体" w:hAnsi="宋体" w:cs="宋体"/>
                <w:b/>
              </w:rPr>
            </w:pPr>
            <w:r>
              <w:rPr>
                <w:rFonts w:ascii="宋体" w:hAnsi="宋体" w:cs="宋体"/>
                <w:b/>
              </w:rPr>
            </w:r>
            <w:r/>
          </w:p>
        </w:tc>
        <w:tc>
          <w:tcPr>
            <w:tcW w:w="1575" w:type="dxa"/>
            <w:textDirection w:val="lrTb"/>
            <w:noWrap w:val="false"/>
          </w:tcPr>
          <w:p>
            <w:pPr>
              <w:rPr>
                <w:rFonts w:ascii="宋体" w:hAnsi="宋体" w:cs="宋体"/>
                <w:b/>
              </w:rPr>
            </w:pPr>
            <w:r>
              <w:rPr>
                <w:rFonts w:ascii="宋体" w:hAnsi="宋体" w:cs="宋体"/>
                <w:b/>
              </w:rPr>
            </w:r>
            <w:r/>
          </w:p>
        </w:tc>
        <w:tc>
          <w:tcPr>
            <w:tcW w:w="768" w:type="dxa"/>
            <w:textDirection w:val="lrTb"/>
            <w:noWrap w:val="false"/>
          </w:tcPr>
          <w:p>
            <w:pPr>
              <w:rPr>
                <w:rFonts w:ascii="宋体" w:hAnsi="宋体" w:cs="宋体"/>
                <w:b/>
              </w:rPr>
            </w:pPr>
            <w:r>
              <w:rPr>
                <w:rFonts w:ascii="宋体" w:hAnsi="宋体" w:cs="宋体"/>
                <w:b/>
              </w:rPr>
            </w:r>
            <w:r/>
          </w:p>
        </w:tc>
        <w:tc>
          <w:tcPr>
            <w:tcW w:w="829" w:type="dxa"/>
            <w:textDirection w:val="lrTb"/>
            <w:noWrap w:val="false"/>
          </w:tcPr>
          <w:p>
            <w:pPr>
              <w:rPr>
                <w:rFonts w:ascii="宋体" w:hAnsi="宋体" w:cs="宋体"/>
                <w:b/>
              </w:rPr>
            </w:pPr>
            <w:r>
              <w:rPr>
                <w:rFonts w:ascii="宋体" w:hAnsi="宋体" w:cs="宋体"/>
                <w:b/>
              </w:rPr>
            </w:r>
            <w:r/>
          </w:p>
        </w:tc>
        <w:tc>
          <w:tcPr>
            <w:tcW w:w="771" w:type="dxa"/>
            <w:textDirection w:val="lrTb"/>
            <w:noWrap w:val="false"/>
          </w:tcPr>
          <w:p>
            <w:pPr>
              <w:rPr>
                <w:rFonts w:ascii="宋体" w:hAnsi="宋体" w:cs="宋体"/>
                <w:b/>
              </w:rPr>
            </w:pPr>
            <w:r>
              <w:rPr>
                <w:rFonts w:ascii="宋体" w:hAnsi="宋体" w:cs="宋体"/>
                <w:b/>
              </w:rPr>
            </w:r>
            <w:r/>
          </w:p>
        </w:tc>
        <w:tc>
          <w:tcPr>
            <w:tcW w:w="1014" w:type="dxa"/>
            <w:textDirection w:val="lrTb"/>
            <w:noWrap w:val="false"/>
          </w:tcPr>
          <w:p>
            <w:pPr>
              <w:rPr>
                <w:rFonts w:ascii="宋体" w:hAnsi="宋体" w:cs="宋体"/>
                <w:b/>
              </w:rPr>
            </w:pPr>
            <w:r>
              <w:rPr>
                <w:rFonts w:ascii="宋体" w:hAnsi="宋体" w:cs="宋体"/>
                <w:b/>
              </w:rPr>
            </w:r>
            <w:r/>
          </w:p>
        </w:tc>
        <w:tc>
          <w:tcPr>
            <w:tcW w:w="1593" w:type="dxa"/>
            <w:textDirection w:val="lrTb"/>
            <w:noWrap w:val="false"/>
          </w:tcPr>
          <w:p>
            <w:pPr>
              <w:rPr>
                <w:rFonts w:ascii="宋体" w:hAnsi="宋体" w:cs="宋体"/>
                <w:b/>
              </w:rPr>
            </w:pPr>
            <w:r>
              <w:rPr>
                <w:rFonts w:ascii="宋体" w:hAnsi="宋体" w:cs="宋体"/>
                <w:b/>
              </w:rPr>
            </w:r>
            <w:r/>
          </w:p>
        </w:tc>
      </w:tr>
    </w:tbl>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hint="eastAsia" w:ascii="宋体" w:hAnsi="宋体" w:cs="宋体"/>
          <w:b/>
        </w:rPr>
        <w:br w:type="page" w:clear="all"/>
      </w:r>
      <w:r/>
    </w:p>
    <w:p>
      <w:pPr>
        <w:spacing w:line="360" w:lineRule="auto"/>
        <w:rPr>
          <w:rFonts w:ascii="宋体" w:hAnsi="宋体" w:cs="宋体"/>
          <w:b/>
        </w:rPr>
      </w:pPr>
      <w:r>
        <w:rPr>
          <w:rFonts w:hint="eastAsia" w:ascii="宋体" w:hAnsi="宋体" w:cs="宋体"/>
          <w:b/>
        </w:rPr>
        <w:t xml:space="preserve">附件十四、其他</w:t>
      </w:r>
      <w:r/>
    </w:p>
    <w:p>
      <w:pPr>
        <w:jc w:val="center"/>
        <w:spacing w:line="360" w:lineRule="auto"/>
        <w:rPr>
          <w:rFonts w:ascii="宋体" w:hAnsi="宋体" w:cs="宋体"/>
          <w:b/>
        </w:rPr>
      </w:pPr>
      <w:r>
        <w:rPr>
          <w:rFonts w:ascii="宋体" w:hAnsi="宋体" w:cs="宋体"/>
          <w:b/>
        </w:rPr>
      </w:r>
      <w:r/>
    </w:p>
    <w:p>
      <w:pPr>
        <w:jc w:val="center"/>
        <w:spacing w:line="360" w:lineRule="auto"/>
        <w:rPr>
          <w:rFonts w:ascii="宋体" w:hAnsi="宋体" w:cs="宋体"/>
          <w:b/>
          <w:bCs/>
          <w:szCs w:val="21"/>
        </w:rPr>
      </w:pPr>
      <w:r>
        <w:rPr>
          <w:rFonts w:hint="eastAsia" w:ascii="宋体" w:hAnsi="宋体" w:cs="宋体"/>
          <w:b/>
        </w:rPr>
        <w:t xml:space="preserve">供应商需要补充的其他内容</w:t>
      </w:r>
      <w:r/>
    </w:p>
    <w:p>
      <w:pPr>
        <w:spacing w:line="440" w:lineRule="exact"/>
        <w:rPr>
          <w:rFonts w:ascii="宋体" w:hAnsi="宋体" w:cs="宋体"/>
          <w:b/>
          <w:bCs/>
          <w:szCs w:val="21"/>
        </w:rPr>
      </w:pPr>
      <w:r>
        <w:rPr>
          <w:rFonts w:ascii="宋体" w:hAnsi="宋体" w:cs="宋体"/>
          <w:b/>
          <w:bCs/>
          <w:szCs w:val="21"/>
        </w:rPr>
      </w:r>
      <w:r/>
    </w:p>
    <w:sectPr>
      <w:footnotePr/>
      <w:endnotePr/>
      <w:type w:val="nextPage"/>
      <w:pgSz w:w="11905" w:h="16838" w:orient="portrait"/>
      <w:pgMar w:top="1440" w:right="1803" w:bottom="1440" w:left="1803" w:header="85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MS Gothic">
    <w:panose1 w:val="020B0609070205080204"/>
  </w:font>
  <w:font w:name="Wingdings">
    <w:panose1 w:val="05000000000000000000"/>
  </w:font>
  <w:font w:name="PingFangTC-light">
    <w:panose1 w:val="020B0503020202020204"/>
  </w:font>
  <w:font w:name="Arial Unicode MS">
    <w:panose1 w:val="020B0604020202020204"/>
  </w:font>
  <w:font w:name="Microsoft YaHei UI">
    <w:panose1 w:val="020B0503020204020204"/>
  </w:font>
  <w:font w:name="Garamond">
    <w:panose1 w:val="02020404030301010803"/>
  </w:font>
  <w:font w:name="等线">
    <w:panose1 w:val="02010600030101010101"/>
  </w:font>
  <w:font w:name="Courier New">
    <w:panose1 w:val="02070309020205020404"/>
  </w:font>
  <w:font w:name="Tahoma">
    <w:panose1 w:val="020B0604030504040204"/>
  </w:font>
  <w:font w:name="华文细黑">
    <w:panose1 w:val="02010600040101010101"/>
  </w:font>
  <w:font w:name="KNLe">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NewRomanPS-Bold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7"/>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7"/>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7"/>
                          </w:pPr>
                          <w:r>
                            <w:fldChar w:fldCharType="begin"/>
                          </w:r>
                          <w:r>
                            <w:instrText xml:space="preserve"> PAGE  \* MERGEFORMAT </w:instrText>
                          </w:r>
                          <w:r>
                            <w:fldChar w:fldCharType="separate"/>
                          </w:r>
                          <w:r>
                            <w:t xml:space="preserve">55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7"/>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1170"/>
      <w:isLgl w:val="false"/>
      <w:suff w:val="tab"/>
      <w:lvlText w:val="%1、"/>
      <w:lvlJc w:val="left"/>
      <w:pPr>
        <w:ind w:left="720" w:hanging="720"/>
        <w:tabs>
          <w:tab w:val="left" w:pos="720"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
    <w:multiLevelType w:val="hybridMultilevel"/>
    <w:lvl w:ilvl="0">
      <w:start w:val="1"/>
      <w:numFmt w:val="chineseCountingThousand"/>
      <w:pStyle w:val="887"/>
      <w:isLgl w:val="false"/>
      <w:suff w:val="nothing"/>
      <w:lvlText w:val="第%1章"/>
      <w:lvlJc w:val="left"/>
      <w:pPr>
        <w:ind w:left="0" w:firstLine="0"/>
      </w:pPr>
    </w:lvl>
    <w:lvl w:ilvl="1">
      <w:start w:val="1"/>
      <w:numFmt w:val="none"/>
      <w:pStyle w:val="888"/>
      <w:isLgl w:val="false"/>
      <w:suff w:val="nothing"/>
      <w:lvlText w:val=""/>
      <w:lvlJc w:val="left"/>
      <w:pPr>
        <w:ind w:left="0" w:firstLine="0"/>
      </w:pPr>
    </w:lvl>
    <w:lvl w:ilvl="2">
      <w:start w:val="1"/>
      <w:numFmt w:val="none"/>
      <w:pStyle w:val="889"/>
      <w:isLgl w:val="false"/>
      <w:suff w:val="nothing"/>
      <w:lvlText w:val=""/>
      <w:lvlJc w:val="left"/>
      <w:pPr>
        <w:ind w:left="0" w:firstLine="0"/>
      </w:pPr>
    </w:lvl>
    <w:lvl w:ilvl="3">
      <w:start w:val="1"/>
      <w:numFmt w:val="none"/>
      <w:pStyle w:val="890"/>
      <w:isLgl w:val="false"/>
      <w:suff w:val="nothing"/>
      <w:lvlText w:val=""/>
      <w:lvlJc w:val="left"/>
      <w:pPr>
        <w:ind w:left="0" w:firstLine="0"/>
      </w:pPr>
    </w:lvl>
    <w:lvl w:ilvl="4">
      <w:start w:val="1"/>
      <w:numFmt w:val="none"/>
      <w:pStyle w:val="891"/>
      <w:isLgl w:val="false"/>
      <w:suff w:val="nothing"/>
      <w:lvlText w:val=""/>
      <w:lvlJc w:val="left"/>
      <w:pPr>
        <w:ind w:left="0" w:firstLine="0"/>
      </w:pPr>
    </w:lvl>
    <w:lvl w:ilvl="5">
      <w:start w:val="1"/>
      <w:numFmt w:val="none"/>
      <w:pStyle w:val="892"/>
      <w:isLgl w:val="false"/>
      <w:suff w:val="nothing"/>
      <w:lvlText w:val=""/>
      <w:lvlJc w:val="left"/>
      <w:pPr>
        <w:ind w:left="0" w:firstLine="0"/>
      </w:pPr>
    </w:lvl>
    <w:lvl w:ilvl="6">
      <w:start w:val="1"/>
      <w:numFmt w:val="none"/>
      <w:pStyle w:val="893"/>
      <w:isLgl w:val="false"/>
      <w:suff w:val="nothing"/>
      <w:lvlText w:val=""/>
      <w:lvlJc w:val="left"/>
      <w:pPr>
        <w:ind w:left="0" w:firstLine="0"/>
      </w:pPr>
    </w:lvl>
    <w:lvl w:ilvl="7">
      <w:start w:val="1"/>
      <w:numFmt w:val="none"/>
      <w:pStyle w:val="894"/>
      <w:isLgl w:val="false"/>
      <w:suff w:val="nothing"/>
      <w:lvlText w:val=""/>
      <w:lvlJc w:val="left"/>
      <w:pPr>
        <w:ind w:left="0" w:firstLine="0"/>
      </w:pPr>
    </w:lvl>
    <w:lvl w:ilvl="8">
      <w:start w:val="1"/>
      <w:numFmt w:val="none"/>
      <w:pStyle w:val="895"/>
      <w:isLgl w:val="false"/>
      <w:suff w:val="nothing"/>
      <w:lvlText w:val=""/>
      <w:lvlJc w:val="left"/>
      <w:pPr>
        <w:ind w:left="0" w:firstLine="0"/>
      </w:p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chineseCountingThousand"/>
      <w:pStyle w:val="1048"/>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066"/>
      <w:isLgl/>
      <w:suff w:val="tab"/>
      <w:lvlText w:val="%1.%2"/>
      <w:lvlJc w:val="left"/>
      <w:pPr>
        <w:ind w:left="425" w:hanging="425"/>
      </w:pPr>
      <w:rPr>
        <w:rFonts w:hint="eastAsia" w:ascii="Arial Unicode MS" w:hAnsi="Arial Unicode MS" w:eastAsia="微软雅黑"/>
        <w:b/>
        <w:i w:val="0"/>
      </w:rPr>
    </w:lvl>
    <w:lvl w:ilvl="2">
      <w:start w:val="1"/>
      <w:numFmt w:val="decimal"/>
      <w:pStyle w:val="1079"/>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4">
    <w:multiLevelType w:val="hybridMultilevel"/>
    <w:lvl w:ilvl="0">
      <w:start w:val="1"/>
      <w:numFmt w:val="bullet"/>
      <w:pStyle w:val="900"/>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4">
    <w:name w:val="Heading 1 Char"/>
    <w:basedOn w:val="896"/>
    <w:link w:val="887"/>
    <w:uiPriority w:val="9"/>
    <w:rPr>
      <w:rFonts w:ascii="Arial" w:hAnsi="Arial" w:eastAsia="Arial" w:cs="Arial"/>
      <w:sz w:val="40"/>
      <w:szCs w:val="40"/>
    </w:rPr>
  </w:style>
  <w:style w:type="character" w:styleId="735">
    <w:name w:val="Heading 2 Char"/>
    <w:basedOn w:val="896"/>
    <w:link w:val="888"/>
    <w:uiPriority w:val="9"/>
    <w:rPr>
      <w:rFonts w:ascii="Arial" w:hAnsi="Arial" w:eastAsia="Arial" w:cs="Arial"/>
      <w:sz w:val="34"/>
    </w:rPr>
  </w:style>
  <w:style w:type="character" w:styleId="736">
    <w:name w:val="Heading 3 Char"/>
    <w:basedOn w:val="896"/>
    <w:link w:val="889"/>
    <w:uiPriority w:val="9"/>
    <w:rPr>
      <w:rFonts w:ascii="Arial" w:hAnsi="Arial" w:eastAsia="Arial" w:cs="Arial"/>
      <w:sz w:val="30"/>
      <w:szCs w:val="30"/>
    </w:rPr>
  </w:style>
  <w:style w:type="character" w:styleId="737">
    <w:name w:val="Heading 4 Char"/>
    <w:basedOn w:val="896"/>
    <w:link w:val="890"/>
    <w:uiPriority w:val="9"/>
    <w:rPr>
      <w:rFonts w:ascii="Arial" w:hAnsi="Arial" w:eastAsia="Arial" w:cs="Arial"/>
      <w:b/>
      <w:bCs/>
      <w:sz w:val="26"/>
      <w:szCs w:val="26"/>
    </w:rPr>
  </w:style>
  <w:style w:type="character" w:styleId="738">
    <w:name w:val="Heading 5 Char"/>
    <w:basedOn w:val="896"/>
    <w:link w:val="891"/>
    <w:uiPriority w:val="9"/>
    <w:rPr>
      <w:rFonts w:ascii="Arial" w:hAnsi="Arial" w:eastAsia="Arial" w:cs="Arial"/>
      <w:b/>
      <w:bCs/>
      <w:sz w:val="24"/>
      <w:szCs w:val="24"/>
    </w:rPr>
  </w:style>
  <w:style w:type="character" w:styleId="739">
    <w:name w:val="Heading 6 Char"/>
    <w:basedOn w:val="896"/>
    <w:link w:val="892"/>
    <w:uiPriority w:val="9"/>
    <w:rPr>
      <w:rFonts w:ascii="Arial" w:hAnsi="Arial" w:eastAsia="Arial" w:cs="Arial"/>
      <w:b/>
      <w:bCs/>
      <w:sz w:val="22"/>
      <w:szCs w:val="22"/>
    </w:rPr>
  </w:style>
  <w:style w:type="character" w:styleId="740">
    <w:name w:val="Heading 7 Char"/>
    <w:basedOn w:val="896"/>
    <w:link w:val="893"/>
    <w:uiPriority w:val="9"/>
    <w:rPr>
      <w:rFonts w:ascii="Arial" w:hAnsi="Arial" w:eastAsia="Arial" w:cs="Arial"/>
      <w:b/>
      <w:bCs/>
      <w:i/>
      <w:iCs/>
      <w:sz w:val="22"/>
      <w:szCs w:val="22"/>
    </w:rPr>
  </w:style>
  <w:style w:type="character" w:styleId="741">
    <w:name w:val="Heading 8 Char"/>
    <w:basedOn w:val="896"/>
    <w:link w:val="894"/>
    <w:uiPriority w:val="9"/>
    <w:rPr>
      <w:rFonts w:ascii="Arial" w:hAnsi="Arial" w:eastAsia="Arial" w:cs="Arial"/>
      <w:i/>
      <w:iCs/>
      <w:sz w:val="22"/>
      <w:szCs w:val="22"/>
    </w:rPr>
  </w:style>
  <w:style w:type="character" w:styleId="742">
    <w:name w:val="Heading 9 Char"/>
    <w:basedOn w:val="896"/>
    <w:link w:val="895"/>
    <w:uiPriority w:val="9"/>
    <w:rPr>
      <w:rFonts w:ascii="Arial" w:hAnsi="Arial" w:eastAsia="Arial" w:cs="Arial"/>
      <w:i/>
      <w:iCs/>
      <w:sz w:val="21"/>
      <w:szCs w:val="21"/>
    </w:rPr>
  </w:style>
  <w:style w:type="paragraph" w:styleId="743">
    <w:name w:val="No Spacing"/>
    <w:uiPriority w:val="1"/>
    <w:qFormat/>
    <w:pPr>
      <w:spacing w:before="0" w:after="0" w:line="240" w:lineRule="auto"/>
    </w:pPr>
  </w:style>
  <w:style w:type="character" w:styleId="744">
    <w:name w:val="Title Char"/>
    <w:basedOn w:val="896"/>
    <w:link w:val="930"/>
    <w:uiPriority w:val="10"/>
    <w:rPr>
      <w:sz w:val="48"/>
      <w:szCs w:val="48"/>
    </w:rPr>
  </w:style>
  <w:style w:type="character" w:styleId="745">
    <w:name w:val="Subtitle Char"/>
    <w:basedOn w:val="896"/>
    <w:link w:val="922"/>
    <w:uiPriority w:val="11"/>
    <w:rPr>
      <w:sz w:val="24"/>
      <w:szCs w:val="24"/>
    </w:rPr>
  </w:style>
  <w:style w:type="paragraph" w:styleId="746">
    <w:name w:val="Quote"/>
    <w:basedOn w:val="886"/>
    <w:next w:val="886"/>
    <w:link w:val="747"/>
    <w:uiPriority w:val="29"/>
    <w:qFormat/>
    <w:pPr>
      <w:ind w:left="720" w:right="720"/>
    </w:pPr>
    <w:rPr>
      <w:i/>
    </w:rPr>
  </w:style>
  <w:style w:type="character" w:styleId="747">
    <w:name w:val="Quote Char"/>
    <w:link w:val="746"/>
    <w:uiPriority w:val="29"/>
    <w:rPr>
      <w:i/>
    </w:rPr>
  </w:style>
  <w:style w:type="paragraph" w:styleId="748">
    <w:name w:val="Intense Quote"/>
    <w:basedOn w:val="886"/>
    <w:next w:val="886"/>
    <w:link w:val="7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9">
    <w:name w:val="Intense Quote Char"/>
    <w:link w:val="748"/>
    <w:uiPriority w:val="30"/>
    <w:rPr>
      <w:i/>
    </w:rPr>
  </w:style>
  <w:style w:type="character" w:styleId="750">
    <w:name w:val="Header Char"/>
    <w:basedOn w:val="896"/>
    <w:link w:val="919"/>
    <w:uiPriority w:val="99"/>
  </w:style>
  <w:style w:type="character" w:styleId="751">
    <w:name w:val="Footer Char"/>
    <w:basedOn w:val="896"/>
    <w:link w:val="917"/>
    <w:uiPriority w:val="99"/>
  </w:style>
  <w:style w:type="character" w:styleId="752">
    <w:name w:val="Caption Char"/>
    <w:basedOn w:val="902"/>
    <w:link w:val="917"/>
    <w:uiPriority w:val="99"/>
  </w:style>
  <w:style w:type="table" w:styleId="753">
    <w:name w:val="Table Grid Light"/>
    <w:basedOn w:val="8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4">
    <w:name w:val="Plain Table 1"/>
    <w:basedOn w:val="8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2"/>
    <w:basedOn w:val="8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3"/>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name w:val="Plain Table 4"/>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name w:val="Plain Table 5"/>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9">
    <w:name w:val="Grid Table 1 Light"/>
    <w:basedOn w:val="8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0">
    <w:name w:val="Grid Table 1 Light - Accent 1"/>
    <w:basedOn w:val="8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1">
    <w:name w:val="Grid Table 1 Light - Accent 2"/>
    <w:basedOn w:val="8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2">
    <w:name w:val="Grid Table 1 Light - Accent 3"/>
    <w:basedOn w:val="8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3">
    <w:name w:val="Grid Table 1 Light - Accent 4"/>
    <w:basedOn w:val="8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4">
    <w:name w:val="Grid Table 1 Light - Accent 5"/>
    <w:basedOn w:val="8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5">
    <w:name w:val="Grid Table 1 Light - Accent 6"/>
    <w:basedOn w:val="8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6">
    <w:name w:val="Grid Table 2"/>
    <w:basedOn w:val="8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7">
    <w:name w:val="Grid Table 2 - Accent 1"/>
    <w:basedOn w:val="8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8">
    <w:name w:val="Grid Table 2 - Accent 2"/>
    <w:basedOn w:val="8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9">
    <w:name w:val="Grid Table 2 - Accent 3"/>
    <w:basedOn w:val="8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0">
    <w:name w:val="Grid Table 2 - Accent 4"/>
    <w:basedOn w:val="8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1">
    <w:name w:val="Grid Table 2 - Accent 5"/>
    <w:basedOn w:val="8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2">
    <w:name w:val="Grid Table 2 - Accent 6"/>
    <w:basedOn w:val="8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3">
    <w:name w:val="Grid Table 3"/>
    <w:basedOn w:val="8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1"/>
    <w:basedOn w:val="8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2"/>
    <w:basedOn w:val="8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3"/>
    <w:basedOn w:val="8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4"/>
    <w:basedOn w:val="8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5"/>
    <w:basedOn w:val="8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6"/>
    <w:basedOn w:val="8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4"/>
    <w:basedOn w:val="8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name w:val="Grid Table 4 - Accent 1"/>
    <w:basedOn w:val="89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2">
    <w:name w:val="Grid Table 4 - Accent 2"/>
    <w:basedOn w:val="89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3">
    <w:name w:val="Grid Table 4 - Accent 3"/>
    <w:basedOn w:val="89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4">
    <w:name w:val="Grid Table 4 - Accent 4"/>
    <w:basedOn w:val="89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5">
    <w:name w:val="Grid Table 4 - Accent 5"/>
    <w:basedOn w:val="89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6">
    <w:name w:val="Grid Table 4 - Accent 6"/>
    <w:basedOn w:val="89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7">
    <w:name w:val="Grid Table 5 Dark"/>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8">
    <w:name w:val="Grid Table 5 Dark- Accent 1"/>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9">
    <w:name w:val="Grid Table 5 Dark - Accent 2"/>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0">
    <w:name w:val="Grid Table 5 Dark - Accent 3"/>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1">
    <w:name w:val="Grid Table 5 Dark- Accent 4"/>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2">
    <w:name w:val="Grid Table 5 Dark - Accent 5"/>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3">
    <w:name w:val="Grid Table 5 Dark - Accent 6"/>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4">
    <w:name w:val="Grid Table 6 Colorful"/>
    <w:basedOn w:val="8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5">
    <w:name w:val="Grid Table 6 Colorful - Accent 1"/>
    <w:basedOn w:val="89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6">
    <w:name w:val="Grid Table 6 Colorful - Accent 2"/>
    <w:basedOn w:val="8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7">
    <w:name w:val="Grid Table 6 Colorful - Accent 3"/>
    <w:basedOn w:val="89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8">
    <w:name w:val="Grid Table 6 Colorful - Accent 4"/>
    <w:basedOn w:val="8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9">
    <w:name w:val="Grid Table 6 Colorful - Accent 5"/>
    <w:basedOn w:val="89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0">
    <w:name w:val="Grid Table 6 Colorful - Accent 6"/>
    <w:basedOn w:val="89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1">
    <w:name w:val="Grid Table 7 Colorful"/>
    <w:basedOn w:val="8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2">
    <w:name w:val="Grid Table 7 Colorful - Accent 1"/>
    <w:basedOn w:val="89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3">
    <w:name w:val="Grid Table 7 Colorful - Accent 2"/>
    <w:basedOn w:val="89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4">
    <w:name w:val="Grid Table 7 Colorful - Accent 3"/>
    <w:basedOn w:val="89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5">
    <w:name w:val="Grid Table 7 Colorful - Accent 4"/>
    <w:basedOn w:val="89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6">
    <w:name w:val="Grid Table 7 Colorful - Accent 5"/>
    <w:basedOn w:val="89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7">
    <w:name w:val="Grid Table 7 Colorful - Accent 6"/>
    <w:basedOn w:val="89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8">
    <w:name w:val="List Table 1 Light"/>
    <w:basedOn w:val="8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name w:val="List Table 1 Light - Accent 1"/>
    <w:basedOn w:val="89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0">
    <w:name w:val="List Table 1 Light - Accent 2"/>
    <w:basedOn w:val="89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1">
    <w:name w:val="List Table 1 Light - Accent 3"/>
    <w:basedOn w:val="89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2">
    <w:name w:val="List Table 1 Light - Accent 4"/>
    <w:basedOn w:val="89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3">
    <w:name w:val="List Table 1 Light - Accent 5"/>
    <w:basedOn w:val="89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4">
    <w:name w:val="List Table 1 Light - Accent 6"/>
    <w:basedOn w:val="89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5">
    <w:name w:val="List Table 2"/>
    <w:basedOn w:val="8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6">
    <w:name w:val="List Table 2 - Accent 1"/>
    <w:basedOn w:val="89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7">
    <w:name w:val="List Table 2 - Accent 2"/>
    <w:basedOn w:val="89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8">
    <w:name w:val="List Table 2 - Accent 3"/>
    <w:basedOn w:val="89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9">
    <w:name w:val="List Table 2 - Accent 4"/>
    <w:basedOn w:val="89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0">
    <w:name w:val="List Table 2 - Accent 5"/>
    <w:basedOn w:val="89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1">
    <w:name w:val="List Table 2 - Accent 6"/>
    <w:basedOn w:val="89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2">
    <w:name w:val="List Table 3"/>
    <w:basedOn w:val="8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3 - Accent 1"/>
    <w:basedOn w:val="89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4">
    <w:name w:val="List Table 3 - Accent 2"/>
    <w:basedOn w:val="8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5">
    <w:name w:val="List Table 3 - Accent 3"/>
    <w:basedOn w:val="89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6">
    <w:name w:val="List Table 3 - Accent 4"/>
    <w:basedOn w:val="8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7">
    <w:name w:val="List Table 3 - Accent 5"/>
    <w:basedOn w:val="89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8">
    <w:name w:val="List Table 3 - Accent 6"/>
    <w:basedOn w:val="89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9">
    <w:name w:val="List Table 4"/>
    <w:basedOn w:val="8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4 - Accent 1"/>
    <w:basedOn w:val="89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1">
    <w:name w:val="List Table 4 - Accent 2"/>
    <w:basedOn w:val="89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2">
    <w:name w:val="List Table 4 - Accent 3"/>
    <w:basedOn w:val="89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3">
    <w:name w:val="List Table 4 - Accent 4"/>
    <w:basedOn w:val="89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4">
    <w:name w:val="List Table 4 - Accent 5"/>
    <w:basedOn w:val="89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5">
    <w:name w:val="List Table 4 - Accent 6"/>
    <w:basedOn w:val="89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6">
    <w:name w:val="List Table 5 Dark"/>
    <w:basedOn w:val="8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1"/>
    <w:basedOn w:val="89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2"/>
    <w:basedOn w:val="89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3"/>
    <w:basedOn w:val="89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4"/>
    <w:basedOn w:val="89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5"/>
    <w:basedOn w:val="89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6"/>
    <w:basedOn w:val="89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6 Colorful"/>
    <w:basedOn w:val="8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4">
    <w:name w:val="List Table 6 Colorful - Accent 1"/>
    <w:basedOn w:val="89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5">
    <w:name w:val="List Table 6 Colorful - Accent 2"/>
    <w:basedOn w:val="89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6">
    <w:name w:val="List Table 6 Colorful - Accent 3"/>
    <w:basedOn w:val="89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7">
    <w:name w:val="List Table 6 Colorful - Accent 4"/>
    <w:basedOn w:val="89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8">
    <w:name w:val="List Table 6 Colorful - Accent 5"/>
    <w:basedOn w:val="89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9">
    <w:name w:val="List Table 6 Colorful - Accent 6"/>
    <w:basedOn w:val="89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0">
    <w:name w:val="List Table 7 Colorful"/>
    <w:basedOn w:val="8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1">
    <w:name w:val="List Table 7 Colorful - Accent 1"/>
    <w:basedOn w:val="89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2">
    <w:name w:val="List Table 7 Colorful - Accent 2"/>
    <w:basedOn w:val="89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3">
    <w:name w:val="List Table 7 Colorful - Accent 3"/>
    <w:basedOn w:val="89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4">
    <w:name w:val="List Table 7 Colorful - Accent 4"/>
    <w:basedOn w:val="89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5">
    <w:name w:val="List Table 7 Colorful - Accent 5"/>
    <w:basedOn w:val="89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6">
    <w:name w:val="List Table 7 Colorful - Accent 6"/>
    <w:basedOn w:val="89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7">
    <w:name w:val="Lined - Accent"/>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Lined - Accent 1"/>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9">
    <w:name w:val="Lined - Accent 2"/>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0">
    <w:name w:val="Lined - Accent 3"/>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1">
    <w:name w:val="Lined - Accent 4"/>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2">
    <w:name w:val="Lined - Accent 5"/>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3">
    <w:name w:val="Lined - Accent 6"/>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4">
    <w:name w:val="Bordered &amp; Lined - Accent"/>
    <w:basedOn w:val="89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5">
    <w:name w:val="Bordered &amp; Lined - Accent 1"/>
    <w:basedOn w:val="89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6">
    <w:name w:val="Bordered &amp; Lined - Accent 2"/>
    <w:basedOn w:val="89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7">
    <w:name w:val="Bordered &amp; Lined - Accent 3"/>
    <w:basedOn w:val="89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8">
    <w:name w:val="Bordered &amp; Lined - Accent 4"/>
    <w:basedOn w:val="89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9">
    <w:name w:val="Bordered &amp; Lined - Accent 5"/>
    <w:basedOn w:val="89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0">
    <w:name w:val="Bordered &amp; Lined - Accent 6"/>
    <w:basedOn w:val="89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1">
    <w:name w:val="Bordered"/>
    <w:basedOn w:val="89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2">
    <w:name w:val="Bordered - Accent 1"/>
    <w:basedOn w:val="8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3">
    <w:name w:val="Bordered - Accent 2"/>
    <w:basedOn w:val="8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4">
    <w:name w:val="Bordered - Accent 3"/>
    <w:basedOn w:val="8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5">
    <w:name w:val="Bordered - Accent 4"/>
    <w:basedOn w:val="8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6">
    <w:name w:val="Bordered - Accent 5"/>
    <w:basedOn w:val="8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7">
    <w:name w:val="Bordered - Accent 6"/>
    <w:basedOn w:val="8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8">
    <w:name w:val="footnote text"/>
    <w:basedOn w:val="886"/>
    <w:link w:val="879"/>
    <w:uiPriority w:val="99"/>
    <w:semiHidden/>
    <w:unhideWhenUsed/>
    <w:pPr>
      <w:spacing w:after="40" w:line="240" w:lineRule="auto"/>
    </w:pPr>
    <w:rPr>
      <w:sz w:val="18"/>
    </w:rPr>
  </w:style>
  <w:style w:type="character" w:styleId="879">
    <w:name w:val="Footnote Text Char"/>
    <w:link w:val="878"/>
    <w:uiPriority w:val="99"/>
    <w:rPr>
      <w:sz w:val="18"/>
    </w:rPr>
  </w:style>
  <w:style w:type="character" w:styleId="880">
    <w:name w:val="footnote reference"/>
    <w:basedOn w:val="896"/>
    <w:uiPriority w:val="99"/>
    <w:unhideWhenUsed/>
    <w:rPr>
      <w:vertAlign w:val="superscript"/>
    </w:rPr>
  </w:style>
  <w:style w:type="paragraph" w:styleId="881">
    <w:name w:val="endnote text"/>
    <w:basedOn w:val="886"/>
    <w:link w:val="882"/>
    <w:uiPriority w:val="99"/>
    <w:semiHidden/>
    <w:unhideWhenUsed/>
    <w:pPr>
      <w:spacing w:after="0" w:line="240" w:lineRule="auto"/>
    </w:pPr>
    <w:rPr>
      <w:sz w:val="20"/>
    </w:rPr>
  </w:style>
  <w:style w:type="character" w:styleId="882">
    <w:name w:val="Endnote Text Char"/>
    <w:link w:val="881"/>
    <w:uiPriority w:val="99"/>
    <w:rPr>
      <w:sz w:val="20"/>
    </w:rPr>
  </w:style>
  <w:style w:type="character" w:styleId="883">
    <w:name w:val="endnote reference"/>
    <w:basedOn w:val="896"/>
    <w:uiPriority w:val="99"/>
    <w:semiHidden/>
    <w:unhideWhenUsed/>
    <w:rPr>
      <w:vertAlign w:val="superscript"/>
    </w:rPr>
  </w:style>
  <w:style w:type="paragraph" w:styleId="884">
    <w:name w:val="TOC Heading"/>
    <w:uiPriority w:val="39"/>
    <w:unhideWhenUsed/>
  </w:style>
  <w:style w:type="paragraph" w:styleId="885">
    <w:name w:val="table of figures"/>
    <w:basedOn w:val="886"/>
    <w:next w:val="886"/>
    <w:uiPriority w:val="99"/>
    <w:unhideWhenUsed/>
    <w:pPr>
      <w:spacing w:after="0" w:afterAutospacing="0"/>
    </w:pPr>
  </w:style>
  <w:style w:type="paragraph" w:styleId="88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87">
    <w:name w:val="Heading 1"/>
    <w:basedOn w:val="886"/>
    <w:next w:val="886"/>
    <w:link w:val="1034"/>
    <w:uiPriority w:val="0"/>
    <w:qFormat/>
    <w:pPr>
      <w:numPr>
        <w:ilvl w:val="0"/>
        <w:numId w:val="1"/>
      </w:numPr>
      <w:jc w:val="center"/>
      <w:keepLines/>
      <w:keepNext/>
      <w:spacing w:before="340" w:after="330" w:line="578" w:lineRule="auto"/>
      <w:outlineLvl w:val="0"/>
    </w:pPr>
    <w:rPr>
      <w:b/>
      <w:bCs/>
      <w:sz w:val="32"/>
      <w:szCs w:val="44"/>
    </w:rPr>
  </w:style>
  <w:style w:type="paragraph" w:styleId="888">
    <w:name w:val="Heading 2"/>
    <w:basedOn w:val="886"/>
    <w:next w:val="886"/>
    <w:link w:val="963"/>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89">
    <w:name w:val="Heading 3"/>
    <w:basedOn w:val="886"/>
    <w:next w:val="886"/>
    <w:link w:val="1002"/>
    <w:uiPriority w:val="0"/>
    <w:qFormat/>
    <w:pPr>
      <w:numPr>
        <w:ilvl w:val="2"/>
        <w:numId w:val="1"/>
      </w:numPr>
      <w:keepLines/>
      <w:keepNext/>
      <w:spacing w:before="260" w:after="260" w:line="416" w:lineRule="auto"/>
      <w:outlineLvl w:val="2"/>
    </w:pPr>
    <w:rPr>
      <w:b/>
      <w:bCs/>
      <w:sz w:val="32"/>
      <w:szCs w:val="32"/>
    </w:rPr>
  </w:style>
  <w:style w:type="paragraph" w:styleId="890">
    <w:name w:val="Heading 4"/>
    <w:basedOn w:val="886"/>
    <w:next w:val="886"/>
    <w:link w:val="1040"/>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91">
    <w:name w:val="Heading 5"/>
    <w:basedOn w:val="886"/>
    <w:next w:val="886"/>
    <w:link w:val="992"/>
    <w:uiPriority w:val="0"/>
    <w:qFormat/>
    <w:pPr>
      <w:numPr>
        <w:ilvl w:val="4"/>
        <w:numId w:val="1"/>
      </w:numPr>
      <w:keepLines/>
      <w:keepNext/>
      <w:spacing w:before="280" w:after="290" w:line="376" w:lineRule="auto"/>
      <w:outlineLvl w:val="4"/>
    </w:pPr>
    <w:rPr>
      <w:b/>
      <w:bCs/>
      <w:sz w:val="28"/>
      <w:szCs w:val="28"/>
    </w:rPr>
  </w:style>
  <w:style w:type="paragraph" w:styleId="892">
    <w:name w:val="Heading 6"/>
    <w:basedOn w:val="886"/>
    <w:next w:val="886"/>
    <w:link w:val="978"/>
    <w:uiPriority w:val="0"/>
    <w:qFormat/>
    <w:pPr>
      <w:numPr>
        <w:ilvl w:val="5"/>
        <w:numId w:val="1"/>
      </w:numPr>
      <w:keepLines/>
      <w:keepNext/>
      <w:spacing w:before="240" w:after="64" w:line="320" w:lineRule="auto"/>
      <w:outlineLvl w:val="5"/>
    </w:pPr>
    <w:rPr>
      <w:rFonts w:ascii="Cambria" w:hAnsi="Cambria"/>
      <w:b/>
      <w:bCs/>
      <w:sz w:val="24"/>
    </w:rPr>
  </w:style>
  <w:style w:type="paragraph" w:styleId="893">
    <w:name w:val="Heading 7"/>
    <w:basedOn w:val="886"/>
    <w:next w:val="886"/>
    <w:link w:val="1033"/>
    <w:uiPriority w:val="0"/>
    <w:qFormat/>
    <w:pPr>
      <w:numPr>
        <w:ilvl w:val="6"/>
        <w:numId w:val="1"/>
      </w:numPr>
      <w:keepLines/>
      <w:keepNext/>
      <w:spacing w:before="240" w:after="64" w:line="320" w:lineRule="auto"/>
      <w:outlineLvl w:val="6"/>
    </w:pPr>
    <w:rPr>
      <w:b/>
      <w:bCs/>
      <w:sz w:val="24"/>
    </w:rPr>
  </w:style>
  <w:style w:type="paragraph" w:styleId="894">
    <w:name w:val="Heading 8"/>
    <w:basedOn w:val="886"/>
    <w:next w:val="886"/>
    <w:link w:val="1018"/>
    <w:uiPriority w:val="0"/>
    <w:qFormat/>
    <w:pPr>
      <w:numPr>
        <w:ilvl w:val="7"/>
        <w:numId w:val="1"/>
      </w:numPr>
      <w:keepLines/>
      <w:keepNext/>
      <w:spacing w:before="240" w:after="64" w:line="320" w:lineRule="auto"/>
      <w:outlineLvl w:val="7"/>
    </w:pPr>
    <w:rPr>
      <w:rFonts w:ascii="Cambria" w:hAnsi="Cambria"/>
      <w:sz w:val="24"/>
    </w:rPr>
  </w:style>
  <w:style w:type="paragraph" w:styleId="895">
    <w:name w:val="Heading 9"/>
    <w:basedOn w:val="886"/>
    <w:next w:val="886"/>
    <w:link w:val="996"/>
    <w:uiPriority w:val="0"/>
    <w:qFormat/>
    <w:pPr>
      <w:numPr>
        <w:ilvl w:val="8"/>
        <w:numId w:val="1"/>
      </w:numPr>
      <w:keepLines/>
      <w:keepNext/>
      <w:spacing w:before="240" w:after="64" w:line="320" w:lineRule="auto"/>
      <w:outlineLvl w:val="8"/>
    </w:pPr>
    <w:rPr>
      <w:rFonts w:ascii="Cambria" w:hAnsi="Cambria"/>
      <w:szCs w:val="21"/>
    </w:rPr>
  </w:style>
  <w:style w:type="character" w:styleId="896" w:default="1">
    <w:name w:val="Default Paragraph Font"/>
    <w:uiPriority w:val="1"/>
    <w:unhideWhenUsed/>
    <w:qFormat/>
  </w:style>
  <w:style w:type="table" w:styleId="897" w:default="1">
    <w:name w:val="Normal Table"/>
    <w:uiPriority w:val="99"/>
    <w:semiHidden/>
    <w:unhideWhenUsed/>
    <w:qFormat/>
    <w:tblPr>
      <w:tblCellMar>
        <w:left w:w="108" w:type="dxa"/>
        <w:top w:w="0" w:type="dxa"/>
        <w:right w:w="108" w:type="dxa"/>
        <w:bottom w:w="0" w:type="dxa"/>
      </w:tblCellMar>
    </w:tblPr>
  </w:style>
  <w:style w:type="paragraph" w:styleId="898">
    <w:name w:val="List 3"/>
    <w:basedOn w:val="886"/>
    <w:uiPriority w:val="99"/>
    <w:unhideWhenUsed/>
    <w:qFormat/>
    <w:pPr>
      <w:ind w:left="1260" w:hanging="420"/>
      <w:spacing w:before="100" w:beforeAutospacing="1" w:after="100" w:afterAutospacing="1"/>
    </w:pPr>
    <w:rPr>
      <w:szCs w:val="21"/>
    </w:rPr>
  </w:style>
  <w:style w:type="paragraph" w:styleId="899">
    <w:name w:val="toc 7"/>
    <w:basedOn w:val="886"/>
    <w:next w:val="886"/>
    <w:uiPriority w:val="39"/>
    <w:unhideWhenUsed/>
    <w:qFormat/>
    <w:pPr>
      <w:ind w:left="2520"/>
    </w:pPr>
    <w:rPr>
      <w:rFonts w:ascii="Calibri" w:hAnsi="Calibri"/>
      <w:szCs w:val="22"/>
    </w:rPr>
  </w:style>
  <w:style w:type="paragraph" w:styleId="900">
    <w:name w:val="List Number"/>
    <w:basedOn w:val="886"/>
    <w:uiPriority w:val="0"/>
    <w:qFormat/>
    <w:pPr>
      <w:numPr>
        <w:ilvl w:val="0"/>
        <w:numId w:val="2"/>
      </w:numPr>
      <w:contextualSpacing/>
    </w:pPr>
    <w:rPr>
      <w:rFonts w:ascii="Calibri" w:hAnsi="Calibri"/>
    </w:rPr>
  </w:style>
  <w:style w:type="paragraph" w:styleId="901">
    <w:name w:val="Normal Indent"/>
    <w:basedOn w:val="886"/>
    <w:link w:val="1120"/>
    <w:uiPriority w:val="0"/>
    <w:qFormat/>
    <w:pPr>
      <w:ind w:firstLine="420"/>
    </w:pPr>
    <w:rPr>
      <w:b/>
      <w:sz w:val="24"/>
      <w:szCs w:val="20"/>
    </w:rPr>
  </w:style>
  <w:style w:type="paragraph" w:styleId="902">
    <w:name w:val="Caption"/>
    <w:basedOn w:val="886"/>
    <w:next w:val="886"/>
    <w:uiPriority w:val="0"/>
    <w:qFormat/>
    <w:rPr>
      <w:rFonts w:ascii="Cambria" w:hAnsi="Cambria" w:eastAsia="黑体"/>
      <w:sz w:val="20"/>
      <w:szCs w:val="22"/>
    </w:rPr>
  </w:style>
  <w:style w:type="paragraph" w:styleId="903">
    <w:name w:val="Document Map"/>
    <w:basedOn w:val="886"/>
    <w:link w:val="986"/>
    <w:uiPriority w:val="0"/>
    <w:qFormat/>
    <w:rPr>
      <w:rFonts w:ascii="宋体"/>
      <w:sz w:val="18"/>
      <w:szCs w:val="18"/>
    </w:rPr>
  </w:style>
  <w:style w:type="paragraph" w:styleId="904">
    <w:name w:val="annotation text"/>
    <w:basedOn w:val="886"/>
    <w:link w:val="1010"/>
    <w:uiPriority w:val="0"/>
    <w:qFormat/>
    <w:pPr>
      <w:jc w:val="left"/>
    </w:pPr>
  </w:style>
  <w:style w:type="paragraph" w:styleId="905">
    <w:name w:val="Body Text 3"/>
    <w:basedOn w:val="886"/>
    <w:link w:val="1029"/>
    <w:uiPriority w:val="0"/>
    <w:qFormat/>
    <w:rPr>
      <w:rFonts w:ascii="宋体"/>
      <w:sz w:val="24"/>
      <w:szCs w:val="20"/>
    </w:rPr>
  </w:style>
  <w:style w:type="paragraph" w:styleId="906">
    <w:name w:val="Body Text"/>
    <w:basedOn w:val="886"/>
    <w:link w:val="1017"/>
    <w:uiPriority w:val="0"/>
    <w:qFormat/>
    <w:pPr>
      <w:jc w:val="center"/>
    </w:pPr>
    <w:rPr>
      <w:rFonts w:eastAsia="幼圆"/>
      <w:b/>
      <w:bCs/>
      <w:sz w:val="44"/>
    </w:rPr>
  </w:style>
  <w:style w:type="paragraph" w:styleId="907">
    <w:name w:val="Body Text Indent"/>
    <w:basedOn w:val="886"/>
    <w:link w:val="973"/>
    <w:uiPriority w:val="0"/>
    <w:qFormat/>
    <w:pPr>
      <w:ind w:left="420"/>
      <w:spacing w:after="120"/>
    </w:pPr>
  </w:style>
  <w:style w:type="paragraph" w:styleId="908">
    <w:name w:val="Block Text"/>
    <w:basedOn w:val="886"/>
    <w:next w:val="886"/>
    <w:uiPriority w:val="99"/>
    <w:unhideWhenUsed/>
    <w:qFormat/>
    <w:pPr>
      <w:ind w:left="1440" w:right="1440"/>
      <w:spacing w:after="120"/>
    </w:pPr>
  </w:style>
  <w:style w:type="paragraph" w:styleId="909">
    <w:name w:val="index 4"/>
    <w:basedOn w:val="886"/>
    <w:next w:val="886"/>
    <w:uiPriority w:val="0"/>
    <w:qFormat/>
    <w:pPr>
      <w:ind w:left="600"/>
    </w:pPr>
    <w:rPr>
      <w:rFonts w:ascii="Calibri" w:hAnsi="Calibri"/>
    </w:rPr>
  </w:style>
  <w:style w:type="paragraph" w:styleId="910">
    <w:name w:val="toc 5"/>
    <w:basedOn w:val="886"/>
    <w:next w:val="886"/>
    <w:uiPriority w:val="39"/>
    <w:unhideWhenUsed/>
    <w:qFormat/>
    <w:pPr>
      <w:ind w:left="1680"/>
    </w:pPr>
    <w:rPr>
      <w:rFonts w:ascii="Calibri" w:hAnsi="Calibri"/>
      <w:szCs w:val="22"/>
    </w:rPr>
  </w:style>
  <w:style w:type="paragraph" w:styleId="911">
    <w:name w:val="toc 3"/>
    <w:basedOn w:val="886"/>
    <w:next w:val="886"/>
    <w:uiPriority w:val="39"/>
    <w:qFormat/>
    <w:pPr>
      <w:ind w:left="840"/>
    </w:pPr>
    <w:rPr>
      <w:rFonts w:ascii="Calibri" w:hAnsi="Calibri"/>
      <w:szCs w:val="22"/>
    </w:rPr>
  </w:style>
  <w:style w:type="paragraph" w:styleId="912">
    <w:name w:val="Plain Text"/>
    <w:basedOn w:val="886"/>
    <w:link w:val="979"/>
    <w:uiPriority w:val="0"/>
    <w:qFormat/>
    <w:rPr>
      <w:rFonts w:ascii="Ari"/>
    </w:rPr>
  </w:style>
  <w:style w:type="paragraph" w:styleId="913">
    <w:name w:val="toc 8"/>
    <w:basedOn w:val="886"/>
    <w:next w:val="886"/>
    <w:uiPriority w:val="39"/>
    <w:unhideWhenUsed/>
    <w:qFormat/>
    <w:pPr>
      <w:ind w:left="2940"/>
    </w:pPr>
    <w:rPr>
      <w:rFonts w:ascii="Calibri" w:hAnsi="Calibri"/>
      <w:szCs w:val="22"/>
    </w:rPr>
  </w:style>
  <w:style w:type="paragraph" w:styleId="914">
    <w:name w:val="Date"/>
    <w:basedOn w:val="886"/>
    <w:next w:val="886"/>
    <w:link w:val="987"/>
    <w:uiPriority w:val="0"/>
    <w:unhideWhenUsed/>
    <w:qFormat/>
  </w:style>
  <w:style w:type="paragraph" w:styleId="915">
    <w:name w:val="Body Text Indent 2"/>
    <w:basedOn w:val="886"/>
    <w:link w:val="1009"/>
    <w:uiPriority w:val="99"/>
    <w:unhideWhenUsed/>
    <w:qFormat/>
    <w:pPr>
      <w:ind w:firstLine="525"/>
      <w:spacing w:line="420" w:lineRule="exact"/>
    </w:pPr>
    <w:rPr>
      <w:rFonts w:ascii="宋体"/>
      <w:sz w:val="20"/>
      <w:szCs w:val="20"/>
    </w:rPr>
  </w:style>
  <w:style w:type="paragraph" w:styleId="916">
    <w:name w:val="Balloon Text"/>
    <w:basedOn w:val="886"/>
    <w:link w:val="1032"/>
    <w:uiPriority w:val="0"/>
    <w:qFormat/>
    <w:rPr>
      <w:sz w:val="18"/>
      <w:szCs w:val="18"/>
    </w:rPr>
  </w:style>
  <w:style w:type="paragraph" w:styleId="917">
    <w:name w:val="Footer"/>
    <w:basedOn w:val="886"/>
    <w:link w:val="1022"/>
    <w:uiPriority w:val="99"/>
    <w:qFormat/>
    <w:pPr>
      <w:jc w:val="left"/>
      <w:tabs>
        <w:tab w:val="center" w:pos="4153" w:leader="none"/>
        <w:tab w:val="right" w:pos="8306" w:leader="none"/>
      </w:tabs>
    </w:pPr>
    <w:rPr>
      <w:sz w:val="18"/>
      <w:szCs w:val="18"/>
    </w:rPr>
  </w:style>
  <w:style w:type="paragraph" w:styleId="918">
    <w:name w:val="envelope return"/>
    <w:basedOn w:val="886"/>
    <w:uiPriority w:val="0"/>
    <w:qFormat/>
    <w:rPr>
      <w:rFonts w:ascii="Arial" w:hAnsi="Arial"/>
    </w:rPr>
  </w:style>
  <w:style w:type="paragraph" w:styleId="919">
    <w:name w:val="Header"/>
    <w:basedOn w:val="886"/>
    <w:link w:val="977"/>
    <w:uiPriority w:val="0"/>
    <w:qFormat/>
    <w:pPr>
      <w:jc w:val="center"/>
      <w:tabs>
        <w:tab w:val="center" w:pos="4153" w:leader="none"/>
        <w:tab w:val="right" w:pos="8306" w:leader="none"/>
      </w:tabs>
      <w:pBdr>
        <w:bottom w:val="single" w:color="auto" w:sz="6" w:space="1"/>
      </w:pBdr>
    </w:pPr>
    <w:rPr>
      <w:sz w:val="18"/>
      <w:szCs w:val="18"/>
    </w:rPr>
  </w:style>
  <w:style w:type="paragraph" w:styleId="920">
    <w:name w:val="toc 1"/>
    <w:basedOn w:val="886"/>
    <w:next w:val="886"/>
    <w:uiPriority w:val="39"/>
    <w:qFormat/>
  </w:style>
  <w:style w:type="paragraph" w:styleId="921">
    <w:name w:val="toc 4"/>
    <w:basedOn w:val="886"/>
    <w:next w:val="886"/>
    <w:uiPriority w:val="39"/>
    <w:unhideWhenUsed/>
    <w:qFormat/>
    <w:pPr>
      <w:ind w:left="1260"/>
    </w:pPr>
    <w:rPr>
      <w:rFonts w:ascii="Calibri" w:hAnsi="Calibri"/>
      <w:szCs w:val="22"/>
    </w:rPr>
  </w:style>
  <w:style w:type="paragraph" w:styleId="922">
    <w:name w:val="Subtitle"/>
    <w:basedOn w:val="886"/>
    <w:next w:val="886"/>
    <w:link w:val="1005"/>
    <w:uiPriority w:val="0"/>
    <w:qFormat/>
    <w:pPr>
      <w:jc w:val="center"/>
      <w:spacing w:before="240" w:after="60" w:line="312" w:lineRule="auto"/>
      <w:outlineLvl w:val="1"/>
    </w:pPr>
    <w:rPr>
      <w:rFonts w:ascii="Cambria" w:hAnsi="Cambria"/>
      <w:b/>
      <w:bCs/>
      <w:sz w:val="32"/>
      <w:szCs w:val="32"/>
    </w:rPr>
  </w:style>
  <w:style w:type="paragraph" w:styleId="923">
    <w:name w:val="toc 6"/>
    <w:basedOn w:val="886"/>
    <w:next w:val="886"/>
    <w:uiPriority w:val="39"/>
    <w:unhideWhenUsed/>
    <w:qFormat/>
    <w:pPr>
      <w:ind w:left="2100"/>
    </w:pPr>
    <w:rPr>
      <w:rFonts w:ascii="Calibri" w:hAnsi="Calibri"/>
      <w:szCs w:val="22"/>
    </w:rPr>
  </w:style>
  <w:style w:type="paragraph" w:styleId="924">
    <w:name w:val="Body Text Indent 3"/>
    <w:basedOn w:val="886"/>
    <w:link w:val="1030"/>
    <w:uiPriority w:val="0"/>
    <w:qFormat/>
    <w:pPr>
      <w:ind w:left="420"/>
      <w:spacing w:after="120"/>
    </w:pPr>
    <w:rPr>
      <w:sz w:val="16"/>
      <w:szCs w:val="20"/>
    </w:rPr>
  </w:style>
  <w:style w:type="paragraph" w:styleId="925">
    <w:name w:val="toc 2"/>
    <w:basedOn w:val="886"/>
    <w:next w:val="886"/>
    <w:uiPriority w:val="39"/>
    <w:qFormat/>
    <w:pPr>
      <w:ind w:left="420"/>
    </w:pPr>
    <w:rPr>
      <w:rFonts w:ascii="Calibri" w:hAnsi="Calibri"/>
      <w:szCs w:val="22"/>
    </w:rPr>
  </w:style>
  <w:style w:type="paragraph" w:styleId="926">
    <w:name w:val="toc 9"/>
    <w:basedOn w:val="886"/>
    <w:next w:val="886"/>
    <w:uiPriority w:val="39"/>
    <w:unhideWhenUsed/>
    <w:qFormat/>
    <w:pPr>
      <w:ind w:left="3360"/>
    </w:pPr>
    <w:rPr>
      <w:rFonts w:ascii="Calibri" w:hAnsi="Calibri"/>
      <w:szCs w:val="22"/>
    </w:rPr>
  </w:style>
  <w:style w:type="paragraph" w:styleId="927">
    <w:name w:val="HTML Preformatted"/>
    <w:basedOn w:val="886"/>
    <w:link w:val="111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28">
    <w:name w:val="Normal (Web)"/>
    <w:basedOn w:val="886"/>
    <w:uiPriority w:val="0"/>
    <w:qFormat/>
    <w:pPr>
      <w:jc w:val="left"/>
      <w:spacing w:before="100" w:beforeAutospacing="1" w:after="100" w:afterAutospacing="1"/>
      <w:widowControl/>
    </w:pPr>
    <w:rPr>
      <w:rFonts w:ascii="宋体" w:hAnsi="宋体" w:cs="宋体"/>
      <w:sz w:val="24"/>
    </w:rPr>
  </w:style>
  <w:style w:type="paragraph" w:styleId="929">
    <w:name w:val="index 1"/>
    <w:basedOn w:val="886"/>
    <w:next w:val="886"/>
    <w:uiPriority w:val="0"/>
    <w:qFormat/>
    <w:pPr>
      <w:jc w:val="center"/>
      <w:spacing w:line="220" w:lineRule="exact"/>
    </w:pPr>
    <w:rPr>
      <w:rFonts w:ascii="仿宋_GB2312" w:hAnsi="Calibri" w:eastAsia="仿宋_GB2312"/>
      <w:szCs w:val="22"/>
    </w:rPr>
  </w:style>
  <w:style w:type="paragraph" w:styleId="930">
    <w:name w:val="Title"/>
    <w:basedOn w:val="886"/>
    <w:link w:val="982"/>
    <w:uiPriority w:val="0"/>
    <w:qFormat/>
    <w:pPr>
      <w:jc w:val="center"/>
      <w:spacing w:before="240" w:after="60" w:line="420" w:lineRule="atLeast"/>
      <w:outlineLvl w:val="0"/>
    </w:pPr>
    <w:rPr>
      <w:rFonts w:ascii="Arial" w:hAnsi="Arial"/>
      <w:b/>
      <w:sz w:val="32"/>
      <w:szCs w:val="20"/>
    </w:rPr>
  </w:style>
  <w:style w:type="paragraph" w:styleId="931">
    <w:name w:val="annotation subject"/>
    <w:basedOn w:val="904"/>
    <w:next w:val="904"/>
    <w:link w:val="1020"/>
    <w:uiPriority w:val="0"/>
    <w:qFormat/>
    <w:rPr>
      <w:b/>
      <w:bCs/>
    </w:rPr>
  </w:style>
  <w:style w:type="paragraph" w:styleId="932">
    <w:name w:val="Body Text First Indent"/>
    <w:basedOn w:val="906"/>
    <w:uiPriority w:val="99"/>
    <w:unhideWhenUsed/>
    <w:qFormat/>
    <w:pPr>
      <w:ind w:firstLine="426"/>
      <w:spacing w:line="400" w:lineRule="atLeast"/>
    </w:pPr>
    <w:rPr>
      <w:sz w:val="24"/>
      <w:szCs w:val="20"/>
    </w:rPr>
  </w:style>
  <w:style w:type="paragraph" w:styleId="933">
    <w:name w:val="Body Text First Indent 2"/>
    <w:basedOn w:val="907"/>
    <w:uiPriority w:val="99"/>
    <w:unhideWhenUsed/>
    <w:qFormat/>
    <w:pPr>
      <w:ind w:firstLine="420"/>
    </w:pPr>
  </w:style>
  <w:style w:type="table" w:styleId="934">
    <w:name w:val="Table Grid"/>
    <w:basedOn w:val="89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5">
    <w:name w:val="Strong"/>
    <w:basedOn w:val="896"/>
    <w:uiPriority w:val="0"/>
    <w:qFormat/>
    <w:rPr>
      <w:rFonts w:cs="Times New Roman"/>
      <w:b/>
    </w:rPr>
  </w:style>
  <w:style w:type="character" w:styleId="936">
    <w:name w:val="page number"/>
    <w:uiPriority w:val="0"/>
    <w:qFormat/>
    <w:rPr>
      <w:rFonts w:eastAsia="宋体"/>
      <w:b/>
      <w:spacing w:val="0"/>
      <w:sz w:val="24"/>
      <w:szCs w:val="24"/>
      <w:vertAlign w:val="baseline"/>
      <w:lang w:val="en-US" w:eastAsia="zh-CN" w:bidi="ar-SA"/>
    </w:rPr>
  </w:style>
  <w:style w:type="character" w:styleId="937">
    <w:name w:val="FollowedHyperlink"/>
    <w:uiPriority w:val="0"/>
    <w:qFormat/>
    <w:rPr>
      <w:color w:val="800080"/>
      <w:u w:val="single"/>
    </w:rPr>
  </w:style>
  <w:style w:type="character" w:styleId="938">
    <w:name w:val="Emphasis"/>
    <w:basedOn w:val="896"/>
    <w:uiPriority w:val="0"/>
    <w:qFormat/>
    <w:rPr>
      <w:color w:val="cc0000"/>
    </w:rPr>
  </w:style>
  <w:style w:type="character" w:styleId="939">
    <w:name w:val="Hyperlink"/>
    <w:uiPriority w:val="99"/>
    <w:qFormat/>
    <w:rPr>
      <w:color w:val="0000ff"/>
      <w:u w:val="single"/>
    </w:rPr>
  </w:style>
  <w:style w:type="character" w:styleId="940">
    <w:name w:val="annotation reference"/>
    <w:uiPriority w:val="0"/>
    <w:qFormat/>
    <w:rPr>
      <w:sz w:val="21"/>
      <w:szCs w:val="21"/>
    </w:rPr>
  </w:style>
  <w:style w:type="character" w:styleId="941">
    <w:name w:val="HTML Cite"/>
    <w:uiPriority w:val="0"/>
    <w:qFormat/>
    <w:rPr>
      <w:color w:val="008000"/>
    </w:rPr>
  </w:style>
  <w:style w:type="paragraph" w:styleId="942" w:customStyle="1">
    <w:name w:val="一级条标题"/>
    <w:basedOn w:val="943"/>
    <w:next w:val="94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3" w:customStyle="1">
    <w:name w:val="章标题"/>
    <w:next w:val="886"/>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44" w:customStyle="1">
    <w:name w:val="段"/>
    <w:basedOn w:val="945"/>
    <w:next w:val="886"/>
    <w:uiPriority w:val="0"/>
    <w:qFormat/>
    <w:pPr>
      <w:ind w:firstLine="200"/>
      <w:widowControl/>
    </w:pPr>
    <w:rPr>
      <w:rFonts w:hint="eastAsia" w:ascii="宋体"/>
    </w:rPr>
  </w:style>
  <w:style w:type="paragraph" w:styleId="945" w:customStyle="1">
    <w:name w:val="正文1"/>
    <w:next w:val="946"/>
    <w:uiPriority w:val="0"/>
    <w:qFormat/>
    <w:pPr>
      <w:jc w:val="both"/>
      <w:widowControl w:val="off"/>
    </w:pPr>
    <w:rPr>
      <w:rFonts w:ascii="Calibri" w:hAnsi="Calibri" w:eastAsia="宋体" w:cs="Times New Roman"/>
      <w:lang w:val="en-US" w:eastAsia="zh-CN" w:bidi="ar-SA"/>
    </w:rPr>
  </w:style>
  <w:style w:type="paragraph" w:styleId="946" w:customStyle="1">
    <w:name w:val="正文文本1"/>
    <w:basedOn w:val="947"/>
    <w:next w:val="942"/>
    <w:uiPriority w:val="0"/>
    <w:qFormat/>
    <w:rPr>
      <w:rFonts w:ascii="楷体_GB2312" w:hAnsi="Arial" w:eastAsia="楷体_GB2312"/>
      <w:sz w:val="28"/>
      <w:szCs w:val="28"/>
    </w:rPr>
  </w:style>
  <w:style w:type="paragraph" w:styleId="947" w:customStyle="1">
    <w:name w:val="正文111"/>
    <w:next w:val="948"/>
    <w:uiPriority w:val="0"/>
    <w:qFormat/>
    <w:pPr>
      <w:jc w:val="both"/>
      <w:widowControl w:val="off"/>
    </w:pPr>
    <w:rPr>
      <w:rFonts w:ascii="Times New Roman" w:hAnsi="Times New Roman" w:eastAsia="宋体" w:cs="Times New Roman"/>
      <w:sz w:val="21"/>
      <w:szCs w:val="24"/>
      <w:lang w:val="en-US" w:eastAsia="zh-CN" w:bidi="ar-SA"/>
    </w:rPr>
  </w:style>
  <w:style w:type="paragraph" w:styleId="948" w:customStyle="1">
    <w:name w:val="正文文本缩进1"/>
    <w:basedOn w:val="949"/>
    <w:next w:val="951"/>
    <w:uiPriority w:val="0"/>
    <w:qFormat/>
    <w:pPr>
      <w:ind w:left="420"/>
      <w:spacing w:after="120"/>
    </w:pPr>
  </w:style>
  <w:style w:type="paragraph" w:styleId="949" w:customStyle="1">
    <w:name w:val="正文11"/>
    <w:next w:val="950"/>
    <w:uiPriority w:val="0"/>
    <w:qFormat/>
    <w:rPr>
      <w:rFonts w:ascii="Calibri" w:hAnsi="Calibri" w:eastAsia="宋体" w:cs="Calibri"/>
      <w:sz w:val="24"/>
      <w:szCs w:val="24"/>
      <w:lang w:val="en-US" w:eastAsia="zh-CN" w:bidi="ar-SA"/>
    </w:rPr>
  </w:style>
  <w:style w:type="paragraph" w:styleId="950" w:customStyle="1">
    <w:name w:val="文本块1"/>
    <w:basedOn w:val="947"/>
    <w:uiPriority w:val="0"/>
    <w:qFormat/>
    <w:pPr>
      <w:ind w:left="256" w:right="6" w:firstLine="624"/>
    </w:pPr>
    <w:rPr>
      <w:rFonts w:eastAsia="仿宋_GB2312"/>
      <w:sz w:val="28"/>
    </w:rPr>
  </w:style>
  <w:style w:type="paragraph" w:styleId="951" w:customStyle="1">
    <w:name w:val="寄信人地址1"/>
    <w:basedOn w:val="886"/>
    <w:uiPriority w:val="0"/>
    <w:qFormat/>
    <w:rPr>
      <w:rFonts w:ascii="Arial" w:hAnsi="Arial"/>
    </w:rPr>
  </w:style>
  <w:style w:type="paragraph" w:styleId="952" w:customStyle="1">
    <w:name w:val="标题 41"/>
    <w:basedOn w:val="949"/>
    <w:next w:val="949"/>
    <w:uiPriority w:val="0"/>
    <w:qFormat/>
    <w:pPr>
      <w:keepLines/>
      <w:keepNext/>
      <w:spacing w:before="280" w:after="290" w:line="376" w:lineRule="auto"/>
      <w:outlineLvl w:val="3"/>
    </w:pPr>
    <w:rPr>
      <w:rFonts w:ascii="Cambria" w:hAnsi="Cambria"/>
      <w:b/>
      <w:bCs/>
      <w:sz w:val="28"/>
      <w:szCs w:val="28"/>
    </w:rPr>
  </w:style>
  <w:style w:type="paragraph" w:styleId="953"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54"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55" w:customStyle="1">
    <w:name w:val="Body Text First Indent 21"/>
    <w:basedOn w:val="956"/>
    <w:uiPriority w:val="0"/>
    <w:qFormat/>
    <w:pPr>
      <w:ind w:firstLine="420"/>
    </w:pPr>
  </w:style>
  <w:style w:type="paragraph" w:styleId="956" w:customStyle="1">
    <w:name w:val="Body Text Indent1"/>
    <w:basedOn w:val="886"/>
    <w:uiPriority w:val="0"/>
    <w:qFormat/>
    <w:pPr>
      <w:ind w:left="420"/>
    </w:pPr>
  </w:style>
  <w:style w:type="paragraph" w:styleId="957">
    <w:name w:val="List Paragraph"/>
    <w:basedOn w:val="886"/>
    <w:link w:val="1137"/>
    <w:uiPriority w:val="99"/>
    <w:qFormat/>
    <w:pPr>
      <w:ind w:firstLine="420"/>
    </w:pPr>
  </w:style>
  <w:style w:type="character" w:styleId="958" w:customStyle="1">
    <w:name w:val="明显强调1"/>
    <w:uiPriority w:val="0"/>
    <w:qFormat/>
    <w:rPr>
      <w:b/>
      <w:bCs/>
      <w:i/>
      <w:iCs/>
      <w:color w:val="4f81bd"/>
    </w:rPr>
  </w:style>
  <w:style w:type="character" w:styleId="959" w:customStyle="1">
    <w:name w:val="批注文字 Char2"/>
    <w:uiPriority w:val="0"/>
    <w:qFormat/>
    <w:rPr>
      <w:sz w:val="21"/>
    </w:rPr>
  </w:style>
  <w:style w:type="character" w:styleId="960" w:customStyle="1">
    <w:name w:val="标题 3 Char_0"/>
    <w:link w:val="961"/>
    <w:uiPriority w:val="0"/>
    <w:qFormat/>
    <w:rPr>
      <w:b/>
      <w:bCs/>
      <w:sz w:val="32"/>
      <w:szCs w:val="32"/>
    </w:rPr>
  </w:style>
  <w:style w:type="paragraph" w:styleId="961" w:customStyle="1">
    <w:name w:val="标题 3_0"/>
    <w:basedOn w:val="962"/>
    <w:next w:val="962"/>
    <w:link w:val="960"/>
    <w:uiPriority w:val="0"/>
    <w:qFormat/>
    <w:pPr>
      <w:keepLines/>
      <w:keepNext/>
      <w:spacing w:before="260" w:after="260" w:line="416" w:lineRule="auto"/>
      <w:outlineLvl w:val="2"/>
    </w:pPr>
    <w:rPr>
      <w:b/>
      <w:bCs/>
      <w:sz w:val="32"/>
      <w:szCs w:val="32"/>
    </w:rPr>
  </w:style>
  <w:style w:type="paragraph" w:styleId="962"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963" w:customStyle="1">
    <w:name w:val="标题 2 字符"/>
    <w:link w:val="888"/>
    <w:uiPriority w:val="0"/>
    <w:qFormat/>
    <w:rPr>
      <w:rFonts w:ascii="Cambria" w:hAnsi="Cambria"/>
      <w:b/>
      <w:bCs/>
      <w:sz w:val="32"/>
      <w:szCs w:val="32"/>
    </w:rPr>
  </w:style>
  <w:style w:type="character" w:styleId="964" w:customStyle="1">
    <w:name w:val="正文文本 Char2"/>
    <w:uiPriority w:val="99"/>
    <w:semiHidden/>
    <w:qFormat/>
    <w:rPr>
      <w:rFonts w:ascii="Calibri" w:hAnsi="Calibri" w:eastAsia="宋体" w:cs="Times New Roman"/>
    </w:rPr>
  </w:style>
  <w:style w:type="character" w:styleId="965" w:customStyle="1">
    <w:name w:val="页脚 Char1"/>
    <w:uiPriority w:val="99"/>
    <w:semiHidden/>
    <w:qFormat/>
    <w:rPr>
      <w:rFonts w:ascii="Calibri" w:hAnsi="Calibri" w:eastAsia="宋体" w:cs="Times New Roman"/>
      <w:sz w:val="18"/>
      <w:szCs w:val="18"/>
    </w:rPr>
  </w:style>
  <w:style w:type="character" w:styleId="966" w:customStyle="1">
    <w:name w:val="明显引用 Char2"/>
    <w:uiPriority w:val="99"/>
    <w:qFormat/>
    <w:rPr>
      <w:b/>
      <w:bCs/>
      <w:i/>
      <w:iCs/>
      <w:color w:val="4f81bd"/>
      <w:sz w:val="21"/>
      <w:szCs w:val="24"/>
    </w:rPr>
  </w:style>
  <w:style w:type="character" w:styleId="967" w:customStyle="1">
    <w:name w:val="引用 Char"/>
    <w:link w:val="968"/>
    <w:uiPriority w:val="0"/>
    <w:qFormat/>
    <w:rPr>
      <w:i/>
      <w:iCs/>
      <w:color w:val="000000"/>
    </w:rPr>
  </w:style>
  <w:style w:type="paragraph" w:styleId="968" w:customStyle="1">
    <w:name w:val="引用1"/>
    <w:basedOn w:val="886"/>
    <w:next w:val="886"/>
    <w:link w:val="967"/>
    <w:uiPriority w:val="0"/>
    <w:qFormat/>
    <w:rPr>
      <w:i/>
      <w:iCs/>
      <w:color w:val="000000"/>
      <w:sz w:val="20"/>
      <w:szCs w:val="20"/>
    </w:rPr>
  </w:style>
  <w:style w:type="character" w:styleId="969" w:customStyle="1">
    <w:name w:val="标题 1 Char_0"/>
    <w:link w:val="970"/>
    <w:uiPriority w:val="0"/>
    <w:qFormat/>
    <w:rPr>
      <w:b/>
      <w:bCs/>
      <w:sz w:val="44"/>
      <w:szCs w:val="44"/>
    </w:rPr>
  </w:style>
  <w:style w:type="paragraph" w:styleId="970" w:customStyle="1">
    <w:name w:val="标题 1_0"/>
    <w:basedOn w:val="962"/>
    <w:next w:val="962"/>
    <w:link w:val="969"/>
    <w:uiPriority w:val="0"/>
    <w:qFormat/>
    <w:pPr>
      <w:keepLines/>
      <w:keepNext/>
      <w:spacing w:before="340" w:after="330" w:line="578" w:lineRule="auto"/>
      <w:outlineLvl w:val="0"/>
    </w:pPr>
    <w:rPr>
      <w:b/>
      <w:bCs/>
      <w:sz w:val="44"/>
      <w:szCs w:val="44"/>
    </w:rPr>
  </w:style>
  <w:style w:type="character" w:styleId="971" w:customStyle="1">
    <w:name w:val="正文文本缩进 3 Char1"/>
    <w:uiPriority w:val="99"/>
    <w:semiHidden/>
    <w:qFormat/>
    <w:rPr>
      <w:sz w:val="16"/>
      <w:szCs w:val="16"/>
    </w:rPr>
  </w:style>
  <w:style w:type="character" w:styleId="972" w:customStyle="1">
    <w:name w:val="引用 Char1"/>
    <w:uiPriority w:val="29"/>
    <w:qFormat/>
    <w:rPr>
      <w:i/>
      <w:iCs/>
      <w:color w:val="000000"/>
      <w:sz w:val="21"/>
    </w:rPr>
  </w:style>
  <w:style w:type="character" w:styleId="973" w:customStyle="1">
    <w:name w:val="正文文本缩进 字符"/>
    <w:link w:val="907"/>
    <w:uiPriority w:val="0"/>
    <w:qFormat/>
    <w:rPr>
      <w:sz w:val="21"/>
      <w:szCs w:val="24"/>
    </w:rPr>
  </w:style>
  <w:style w:type="character" w:styleId="974" w:customStyle="1">
    <w:name w:val="font161"/>
    <w:uiPriority w:val="0"/>
    <w:qFormat/>
    <w:rPr>
      <w:b/>
      <w:sz w:val="32"/>
    </w:rPr>
  </w:style>
  <w:style w:type="character" w:styleId="975" w:customStyle="1">
    <w:name w:val="标题 4 Char_0"/>
    <w:link w:val="976"/>
    <w:uiPriority w:val="0"/>
    <w:qFormat/>
    <w:rPr>
      <w:rFonts w:ascii="Arial" w:hAnsi="Arial" w:eastAsia="黑体"/>
      <w:b/>
      <w:bCs/>
      <w:sz w:val="28"/>
      <w:szCs w:val="28"/>
    </w:rPr>
  </w:style>
  <w:style w:type="paragraph" w:styleId="976" w:customStyle="1">
    <w:name w:val="标题 4_0"/>
    <w:basedOn w:val="962"/>
    <w:next w:val="962"/>
    <w:link w:val="975"/>
    <w:uiPriority w:val="0"/>
    <w:qFormat/>
    <w:pPr>
      <w:keepLines/>
      <w:keepNext/>
      <w:spacing w:before="280" w:after="290" w:line="376" w:lineRule="auto"/>
      <w:outlineLvl w:val="3"/>
    </w:pPr>
    <w:rPr>
      <w:rFonts w:ascii="Arial" w:hAnsi="Arial" w:eastAsia="黑体"/>
      <w:b/>
      <w:bCs/>
      <w:sz w:val="28"/>
      <w:szCs w:val="28"/>
    </w:rPr>
  </w:style>
  <w:style w:type="character" w:styleId="977" w:customStyle="1">
    <w:name w:val="页眉 字符"/>
    <w:link w:val="919"/>
    <w:uiPriority w:val="0"/>
    <w:qFormat/>
    <w:rPr>
      <w:sz w:val="18"/>
      <w:szCs w:val="18"/>
    </w:rPr>
  </w:style>
  <w:style w:type="character" w:styleId="978" w:customStyle="1">
    <w:name w:val="标题 6 字符"/>
    <w:link w:val="892"/>
    <w:uiPriority w:val="0"/>
    <w:qFormat/>
    <w:rPr>
      <w:rFonts w:ascii="Cambria" w:hAnsi="Cambria"/>
      <w:b/>
      <w:bCs/>
      <w:sz w:val="24"/>
      <w:szCs w:val="24"/>
    </w:rPr>
  </w:style>
  <w:style w:type="character" w:styleId="979" w:customStyle="1">
    <w:name w:val="纯文本 字符"/>
    <w:link w:val="912"/>
    <w:uiPriority w:val="99"/>
    <w:qFormat/>
    <w:rPr>
      <w:rFonts w:ascii="Ari"/>
      <w:lang w:val="en-US" w:eastAsia="zh-CN" w:bidi="ar-SA"/>
    </w:rPr>
  </w:style>
  <w:style w:type="character" w:styleId="980" w:customStyle="1">
    <w:name w:val="引用 Char2"/>
    <w:uiPriority w:val="99"/>
    <w:qFormat/>
    <w:rPr>
      <w:i/>
      <w:iCs/>
      <w:color w:val="000000"/>
      <w:sz w:val="21"/>
      <w:szCs w:val="24"/>
    </w:rPr>
  </w:style>
  <w:style w:type="character" w:styleId="981" w:customStyle="1">
    <w:name w:val="rvts11"/>
    <w:uiPriority w:val="0"/>
    <w:qFormat/>
    <w:rPr>
      <w:rFonts w:hint="default" w:ascii="KNLe" w:hAnsi="KNLe"/>
      <w:sz w:val="24"/>
      <w:szCs w:val="24"/>
      <w:u w:val="single"/>
    </w:rPr>
  </w:style>
  <w:style w:type="character" w:styleId="982" w:customStyle="1">
    <w:name w:val="标题 字符"/>
    <w:link w:val="930"/>
    <w:uiPriority w:val="0"/>
    <w:qFormat/>
    <w:rPr>
      <w:rFonts w:ascii="Arial" w:hAnsi="Arial"/>
      <w:b/>
      <w:sz w:val="32"/>
    </w:rPr>
  </w:style>
  <w:style w:type="character" w:styleId="983" w:customStyle="1">
    <w:name w:val="标题5 Char Char"/>
    <w:link w:val="984"/>
    <w:uiPriority w:val="0"/>
    <w:qFormat/>
    <w:rPr>
      <w:rFonts w:ascii="Arial" w:hAnsi="Arial"/>
      <w:b/>
      <w:bCs/>
      <w:sz w:val="24"/>
      <w:szCs w:val="32"/>
    </w:rPr>
  </w:style>
  <w:style w:type="paragraph" w:styleId="984" w:customStyle="1">
    <w:name w:val="标题5"/>
    <w:basedOn w:val="889"/>
    <w:link w:val="983"/>
    <w:uiPriority w:val="0"/>
    <w:qFormat/>
    <w:pPr>
      <w:numPr>
        <w:ilvl w:val="0"/>
        <w:numId w:val="0"/>
      </w:numPr>
      <w:spacing w:line="413" w:lineRule="auto"/>
    </w:pPr>
    <w:rPr>
      <w:rFonts w:ascii="Arial" w:hAnsi="Arial"/>
      <w:sz w:val="24"/>
    </w:rPr>
  </w:style>
  <w:style w:type="character" w:styleId="985" w:customStyle="1">
    <w:name w:val="副标题 Char2"/>
    <w:uiPriority w:val="11"/>
    <w:qFormat/>
    <w:rPr>
      <w:rFonts w:ascii="Cambria" w:hAnsi="Cambria" w:cs="Times New Roman"/>
      <w:b/>
      <w:bCs/>
      <w:sz w:val="32"/>
      <w:szCs w:val="32"/>
    </w:rPr>
  </w:style>
  <w:style w:type="character" w:styleId="986" w:customStyle="1">
    <w:name w:val="文档结构图 字符"/>
    <w:link w:val="903"/>
    <w:uiPriority w:val="0"/>
    <w:qFormat/>
    <w:rPr>
      <w:rFonts w:ascii="宋体"/>
      <w:sz w:val="18"/>
      <w:szCs w:val="18"/>
    </w:rPr>
  </w:style>
  <w:style w:type="character" w:styleId="987" w:customStyle="1">
    <w:name w:val="日期 字符"/>
    <w:link w:val="914"/>
    <w:uiPriority w:val="0"/>
    <w:qFormat/>
    <w:rPr>
      <w:sz w:val="21"/>
      <w:szCs w:val="24"/>
    </w:rPr>
  </w:style>
  <w:style w:type="character" w:styleId="988" w:customStyle="1">
    <w:name w:val="批注主题 Char1"/>
    <w:uiPriority w:val="0"/>
    <w:qFormat/>
    <w:rPr>
      <w:b/>
      <w:bCs/>
      <w:sz w:val="21"/>
      <w:szCs w:val="22"/>
    </w:rPr>
  </w:style>
  <w:style w:type="character" w:styleId="989" w:customStyle="1">
    <w:name w:val="font31"/>
    <w:uiPriority w:val="0"/>
    <w:qFormat/>
    <w:rPr>
      <w:rFonts w:hint="eastAsia" w:ascii="宋体" w:hAnsi="宋体" w:eastAsia="宋体" w:cs="宋体"/>
      <w:color w:val="000000"/>
      <w:sz w:val="20"/>
      <w:szCs w:val="20"/>
      <w:u w:val="none"/>
    </w:rPr>
  </w:style>
  <w:style w:type="character" w:styleId="990" w:customStyle="1">
    <w:name w:val="明显引用 Char"/>
    <w:link w:val="991"/>
    <w:uiPriority w:val="0"/>
    <w:qFormat/>
    <w:rPr>
      <w:b/>
      <w:bCs/>
      <w:i/>
      <w:iCs/>
      <w:color w:val="4f81bd"/>
    </w:rPr>
  </w:style>
  <w:style w:type="paragraph" w:styleId="991" w:customStyle="1">
    <w:name w:val="明显引用1"/>
    <w:basedOn w:val="886"/>
    <w:next w:val="886"/>
    <w:link w:val="990"/>
    <w:uiPriority w:val="0"/>
    <w:qFormat/>
    <w:pPr>
      <w:ind w:left="936" w:right="936"/>
      <w:spacing w:before="200" w:after="280"/>
      <w:pBdr>
        <w:bottom w:val="single" w:color="4F81BD" w:sz="4" w:space="4"/>
      </w:pBdr>
    </w:pPr>
    <w:rPr>
      <w:b/>
      <w:bCs/>
      <w:i/>
      <w:iCs/>
      <w:color w:val="4f81bd"/>
      <w:sz w:val="20"/>
      <w:szCs w:val="20"/>
    </w:rPr>
  </w:style>
  <w:style w:type="character" w:styleId="992" w:customStyle="1">
    <w:name w:val="标题 5 字符"/>
    <w:link w:val="891"/>
    <w:uiPriority w:val="0"/>
    <w:qFormat/>
    <w:rPr>
      <w:b/>
      <w:bCs/>
      <w:sz w:val="28"/>
      <w:szCs w:val="28"/>
    </w:rPr>
  </w:style>
  <w:style w:type="character" w:styleId="993" w:customStyle="1">
    <w:name w:val="日期 Char1"/>
    <w:uiPriority w:val="0"/>
    <w:qFormat/>
    <w:rPr>
      <w:rFonts w:ascii="Calibri" w:hAnsi="Calibri" w:eastAsia="宋体" w:cs="Times New Roman"/>
    </w:rPr>
  </w:style>
  <w:style w:type="character" w:styleId="994" w:customStyle="1">
    <w:name w:val="批注框文本 Char1"/>
    <w:uiPriority w:val="0"/>
    <w:qFormat/>
    <w:rPr>
      <w:sz w:val="18"/>
      <w:szCs w:val="18"/>
    </w:rPr>
  </w:style>
  <w:style w:type="character" w:styleId="995" w:customStyle="1">
    <w:name w:val="标题 Char1"/>
    <w:uiPriority w:val="10"/>
    <w:qFormat/>
    <w:rPr>
      <w:rFonts w:ascii="Cambria" w:hAnsi="Cambria" w:eastAsia="宋体" w:cs="Times New Roman"/>
      <w:b/>
      <w:bCs/>
      <w:sz w:val="32"/>
      <w:szCs w:val="32"/>
    </w:rPr>
  </w:style>
  <w:style w:type="character" w:styleId="996" w:customStyle="1">
    <w:name w:val="标题 9 字符"/>
    <w:link w:val="895"/>
    <w:uiPriority w:val="0"/>
    <w:qFormat/>
    <w:rPr>
      <w:rFonts w:ascii="Cambria" w:hAnsi="Cambria"/>
      <w:sz w:val="21"/>
      <w:szCs w:val="21"/>
    </w:rPr>
  </w:style>
  <w:style w:type="character" w:styleId="997" w:customStyle="1">
    <w:name w:val="不明显参考1"/>
    <w:uiPriority w:val="0"/>
    <w:qFormat/>
    <w:rPr>
      <w:smallCaps/>
      <w:color w:val="c0504d"/>
      <w:u w:val="single"/>
    </w:rPr>
  </w:style>
  <w:style w:type="character" w:styleId="998" w:customStyle="1">
    <w:name w:val="批注文字 Char1"/>
    <w:uiPriority w:val="0"/>
    <w:qFormat/>
    <w:rPr>
      <w:rFonts w:ascii="Calibri" w:hAnsi="Calibri" w:eastAsia="宋体" w:cs="Times New Roman"/>
    </w:rPr>
  </w:style>
  <w:style w:type="character" w:styleId="999" w:customStyle="1">
    <w:name w:val="标题 Char2"/>
    <w:uiPriority w:val="10"/>
    <w:qFormat/>
    <w:rPr>
      <w:rFonts w:ascii="Cambria" w:hAnsi="Cambria" w:cs="Times New Roman"/>
      <w:b/>
      <w:bCs/>
      <w:sz w:val="32"/>
      <w:szCs w:val="32"/>
    </w:rPr>
  </w:style>
  <w:style w:type="character" w:styleId="1000" w:customStyle="1">
    <w:name w:val="正文文本 3 Char1"/>
    <w:uiPriority w:val="99"/>
    <w:semiHidden/>
    <w:qFormat/>
    <w:rPr>
      <w:sz w:val="16"/>
      <w:szCs w:val="16"/>
    </w:rPr>
  </w:style>
  <w:style w:type="character" w:styleId="1001" w:customStyle="1">
    <w:name w:val="批注主题 Char2"/>
    <w:uiPriority w:val="0"/>
    <w:qFormat/>
    <w:rPr>
      <w:b/>
      <w:bCs/>
      <w:sz w:val="21"/>
    </w:rPr>
  </w:style>
  <w:style w:type="character" w:styleId="1002" w:customStyle="1">
    <w:name w:val="标题 3 字符"/>
    <w:link w:val="889"/>
    <w:uiPriority w:val="0"/>
    <w:qFormat/>
    <w:rPr>
      <w:b/>
      <w:bCs/>
      <w:sz w:val="32"/>
      <w:szCs w:val="32"/>
    </w:rPr>
  </w:style>
  <w:style w:type="character" w:styleId="1003" w:customStyle="1">
    <w:name w:val="正文文本 Char_0"/>
    <w:link w:val="1004"/>
    <w:uiPriority w:val="0"/>
    <w:qFormat/>
    <w:rPr>
      <w:szCs w:val="24"/>
    </w:rPr>
  </w:style>
  <w:style w:type="paragraph" w:styleId="1004" w:customStyle="1">
    <w:name w:val="正文文本_0"/>
    <w:basedOn w:val="962"/>
    <w:link w:val="1003"/>
    <w:uiPriority w:val="0"/>
    <w:qFormat/>
    <w:pPr>
      <w:spacing w:after="120"/>
    </w:pPr>
    <w:rPr>
      <w:sz w:val="20"/>
    </w:rPr>
  </w:style>
  <w:style w:type="character" w:styleId="1005" w:customStyle="1">
    <w:name w:val="副标题 字符"/>
    <w:link w:val="922"/>
    <w:uiPriority w:val="0"/>
    <w:qFormat/>
    <w:rPr>
      <w:rFonts w:ascii="Cambria" w:hAnsi="Cambria"/>
      <w:b/>
      <w:bCs/>
      <w:sz w:val="32"/>
      <w:szCs w:val="32"/>
    </w:rPr>
  </w:style>
  <w:style w:type="character" w:styleId="1006" w:customStyle="1">
    <w:name w:val="bookmark"/>
    <w:basedOn w:val="896"/>
    <w:uiPriority w:val="0"/>
    <w:qFormat/>
  </w:style>
  <w:style w:type="character" w:styleId="1007" w:customStyle="1">
    <w:name w:val="标题 5 Char_0"/>
    <w:link w:val="1008"/>
    <w:uiPriority w:val="0"/>
    <w:qFormat/>
    <w:rPr>
      <w:rFonts w:ascii="Calibri" w:hAnsi="Calibri"/>
      <w:b/>
      <w:bCs/>
      <w:sz w:val="28"/>
      <w:szCs w:val="28"/>
    </w:rPr>
  </w:style>
  <w:style w:type="paragraph" w:styleId="1008" w:customStyle="1">
    <w:name w:val="标题 5_0"/>
    <w:basedOn w:val="962"/>
    <w:next w:val="962"/>
    <w:link w:val="1007"/>
    <w:uiPriority w:val="0"/>
    <w:qFormat/>
    <w:pPr>
      <w:keepLines/>
      <w:keepNext/>
      <w:spacing w:before="280" w:after="290" w:line="372" w:lineRule="auto"/>
      <w:outlineLvl w:val="4"/>
    </w:pPr>
    <w:rPr>
      <w:rFonts w:ascii="Calibri" w:hAnsi="Calibri"/>
      <w:b/>
      <w:bCs/>
      <w:sz w:val="28"/>
      <w:szCs w:val="28"/>
    </w:rPr>
  </w:style>
  <w:style w:type="character" w:styleId="1009" w:customStyle="1">
    <w:name w:val="正文文本缩进 2 字符"/>
    <w:link w:val="915"/>
    <w:uiPriority w:val="99"/>
    <w:qFormat/>
    <w:rPr>
      <w:rFonts w:ascii="宋体"/>
    </w:rPr>
  </w:style>
  <w:style w:type="character" w:styleId="1010" w:customStyle="1">
    <w:name w:val="批注文字 字符"/>
    <w:link w:val="904"/>
    <w:uiPriority w:val="0"/>
    <w:qFormat/>
    <w:rPr>
      <w:sz w:val="21"/>
      <w:szCs w:val="24"/>
    </w:rPr>
  </w:style>
  <w:style w:type="character" w:styleId="1011" w:customStyle="1">
    <w:name w:val="font11"/>
    <w:uiPriority w:val="0"/>
    <w:qFormat/>
    <w:rPr>
      <w:rFonts w:hint="eastAsia" w:ascii="宋体" w:hAnsi="宋体" w:eastAsia="宋体" w:cs="宋体"/>
      <w:color w:val="000000"/>
      <w:sz w:val="20"/>
      <w:szCs w:val="20"/>
      <w:u w:val="none"/>
    </w:rPr>
  </w:style>
  <w:style w:type="character" w:styleId="1012" w:customStyle="1">
    <w:name w:val="明显参考1"/>
    <w:uiPriority w:val="0"/>
    <w:qFormat/>
    <w:rPr>
      <w:b/>
      <w:bCs/>
      <w:smallCaps/>
      <w:color w:val="c0504d"/>
      <w:spacing w:val="5"/>
      <w:u w:val="single"/>
    </w:rPr>
  </w:style>
  <w:style w:type="character" w:styleId="1013" w:customStyle="1">
    <w:name w:val="超链接_0"/>
    <w:uiPriority w:val="99"/>
    <w:qFormat/>
    <w:rPr>
      <w:rFonts w:ascii="Calibri" w:hAnsi="Calibri"/>
      <w:color w:val="0000ff"/>
      <w:u w:val="single"/>
    </w:rPr>
  </w:style>
  <w:style w:type="character" w:styleId="1014" w:customStyle="1">
    <w:name w:val="文档结构图 Char2"/>
    <w:uiPriority w:val="99"/>
    <w:semiHidden/>
    <w:qFormat/>
    <w:rPr>
      <w:rFonts w:ascii="宋体" w:hAnsi="Calibri" w:eastAsia="宋体" w:cs="Times New Roman"/>
      <w:sz w:val="18"/>
      <w:szCs w:val="18"/>
    </w:rPr>
  </w:style>
  <w:style w:type="character" w:styleId="1015" w:customStyle="1">
    <w:name w:val="textcontents"/>
    <w:uiPriority w:val="0"/>
    <w:qFormat/>
    <w:rPr>
      <w:rFonts w:cs="Times New Roman"/>
    </w:rPr>
  </w:style>
  <w:style w:type="character" w:styleId="1016" w:customStyle="1">
    <w:name w:val="标题 1 Char"/>
    <w:uiPriority w:val="0"/>
    <w:qFormat/>
    <w:rPr>
      <w:b/>
      <w:bCs/>
      <w:sz w:val="32"/>
      <w:szCs w:val="44"/>
    </w:rPr>
  </w:style>
  <w:style w:type="character" w:styleId="1017" w:customStyle="1">
    <w:name w:val="正文文本 字符"/>
    <w:link w:val="906"/>
    <w:uiPriority w:val="0"/>
    <w:qFormat/>
    <w:rPr>
      <w:rFonts w:eastAsia="幼圆"/>
      <w:b/>
      <w:bCs/>
      <w:sz w:val="44"/>
      <w:szCs w:val="24"/>
    </w:rPr>
  </w:style>
  <w:style w:type="character" w:styleId="1018" w:customStyle="1">
    <w:name w:val="标题 8 字符"/>
    <w:link w:val="894"/>
    <w:uiPriority w:val="0"/>
    <w:qFormat/>
    <w:rPr>
      <w:rFonts w:ascii="Cambria" w:hAnsi="Cambria"/>
      <w:sz w:val="24"/>
      <w:szCs w:val="24"/>
    </w:rPr>
  </w:style>
  <w:style w:type="character" w:styleId="1019" w:customStyle="1">
    <w:name w:val="副标题 Char1"/>
    <w:uiPriority w:val="11"/>
    <w:qFormat/>
    <w:rPr>
      <w:rFonts w:ascii="Cambria" w:hAnsi="Cambria" w:cs="Times New Roman"/>
      <w:b/>
      <w:bCs/>
      <w:sz w:val="32"/>
      <w:szCs w:val="32"/>
    </w:rPr>
  </w:style>
  <w:style w:type="character" w:styleId="1020" w:customStyle="1">
    <w:name w:val="批注主题 字符"/>
    <w:link w:val="931"/>
    <w:uiPriority w:val="0"/>
    <w:qFormat/>
    <w:rPr>
      <w:b/>
      <w:bCs/>
      <w:sz w:val="21"/>
      <w:szCs w:val="24"/>
    </w:rPr>
  </w:style>
  <w:style w:type="character" w:styleId="1021" w:customStyle="1">
    <w:name w:val="书籍标题1"/>
    <w:uiPriority w:val="0"/>
    <w:qFormat/>
    <w:rPr>
      <w:b/>
      <w:bCs/>
      <w:smallCaps/>
      <w:spacing w:val="5"/>
    </w:rPr>
  </w:style>
  <w:style w:type="character" w:styleId="1022" w:customStyle="1">
    <w:name w:val="页脚 字符"/>
    <w:link w:val="917"/>
    <w:uiPriority w:val="99"/>
    <w:qFormat/>
    <w:rPr>
      <w:sz w:val="18"/>
      <w:szCs w:val="18"/>
    </w:rPr>
  </w:style>
  <w:style w:type="character" w:styleId="1023" w:customStyle="1">
    <w:name w:val="标题4 Char Char"/>
    <w:link w:val="1024"/>
    <w:uiPriority w:val="0"/>
    <w:qFormat/>
    <w:rPr>
      <w:rFonts w:ascii="Arial" w:hAnsi="Arial"/>
      <w:b/>
      <w:bCs/>
      <w:sz w:val="24"/>
      <w:szCs w:val="32"/>
    </w:rPr>
  </w:style>
  <w:style w:type="paragraph" w:styleId="1024" w:customStyle="1">
    <w:name w:val="标题4"/>
    <w:basedOn w:val="888"/>
    <w:next w:val="909"/>
    <w:link w:val="1023"/>
    <w:uiPriority w:val="0"/>
    <w:qFormat/>
    <w:pPr>
      <w:numPr>
        <w:ilvl w:val="0"/>
        <w:numId w:val="0"/>
      </w:numPr>
      <w:spacing w:line="413" w:lineRule="auto"/>
    </w:pPr>
    <w:rPr>
      <w:rFonts w:ascii="Arial" w:hAnsi="Arial"/>
      <w:sz w:val="24"/>
    </w:rPr>
  </w:style>
  <w:style w:type="character" w:styleId="1025" w:customStyle="1">
    <w:name w:val="正文文本 Char1"/>
    <w:uiPriority w:val="0"/>
    <w:qFormat/>
    <w:rPr>
      <w:rFonts w:ascii="Calibri" w:hAnsi="Calibri" w:eastAsia="宋体" w:cs="Times New Roman"/>
    </w:rPr>
  </w:style>
  <w:style w:type="character" w:styleId="1026" w:customStyle="1">
    <w:name w:val="明显引用 Char1"/>
    <w:uiPriority w:val="30"/>
    <w:qFormat/>
    <w:rPr>
      <w:b/>
      <w:bCs/>
      <w:i/>
      <w:iCs/>
      <w:color w:val="4f81bd"/>
      <w:sz w:val="21"/>
    </w:rPr>
  </w:style>
  <w:style w:type="character" w:styleId="1027" w:customStyle="1">
    <w:name w:val="页眉 Char1"/>
    <w:uiPriority w:val="99"/>
    <w:semiHidden/>
    <w:qFormat/>
    <w:rPr>
      <w:rFonts w:ascii="Calibri" w:hAnsi="Calibri" w:eastAsia="宋体" w:cs="Times New Roman"/>
      <w:sz w:val="18"/>
      <w:szCs w:val="18"/>
    </w:rPr>
  </w:style>
  <w:style w:type="character" w:styleId="1028" w:customStyle="1">
    <w:name w:val="不明显强调1"/>
    <w:uiPriority w:val="0"/>
    <w:qFormat/>
    <w:rPr>
      <w:i/>
      <w:iCs/>
      <w:color w:val="808080"/>
    </w:rPr>
  </w:style>
  <w:style w:type="character" w:styleId="1029" w:customStyle="1">
    <w:name w:val="正文文本 3 字符"/>
    <w:link w:val="905"/>
    <w:uiPriority w:val="0"/>
    <w:qFormat/>
    <w:rPr>
      <w:rFonts w:ascii="宋体"/>
      <w:sz w:val="24"/>
    </w:rPr>
  </w:style>
  <w:style w:type="character" w:styleId="1030" w:customStyle="1">
    <w:name w:val="正文文本缩进 3 字符"/>
    <w:link w:val="924"/>
    <w:uiPriority w:val="0"/>
    <w:qFormat/>
    <w:rPr>
      <w:sz w:val="16"/>
    </w:rPr>
  </w:style>
  <w:style w:type="character" w:styleId="1031" w:customStyle="1">
    <w:name w:val="font21"/>
    <w:uiPriority w:val="0"/>
    <w:qFormat/>
    <w:rPr>
      <w:rFonts w:hint="eastAsia" w:ascii="宋体" w:hAnsi="宋体" w:eastAsia="宋体" w:cs="宋体"/>
      <w:color w:val="000000"/>
      <w:sz w:val="20"/>
      <w:szCs w:val="20"/>
      <w:u w:val="none"/>
    </w:rPr>
  </w:style>
  <w:style w:type="character" w:styleId="1032" w:customStyle="1">
    <w:name w:val="批注框文本 字符"/>
    <w:link w:val="916"/>
    <w:uiPriority w:val="0"/>
    <w:qFormat/>
    <w:rPr>
      <w:sz w:val="18"/>
      <w:szCs w:val="18"/>
    </w:rPr>
  </w:style>
  <w:style w:type="character" w:styleId="1033" w:customStyle="1">
    <w:name w:val="标题 7 字符"/>
    <w:link w:val="893"/>
    <w:uiPriority w:val="0"/>
    <w:qFormat/>
    <w:rPr>
      <w:b/>
      <w:bCs/>
      <w:sz w:val="24"/>
      <w:szCs w:val="24"/>
    </w:rPr>
  </w:style>
  <w:style w:type="character" w:styleId="1034" w:customStyle="1">
    <w:name w:val="标题 1 字符"/>
    <w:link w:val="887"/>
    <w:uiPriority w:val="0"/>
    <w:qFormat/>
    <w:rPr>
      <w:b/>
      <w:bCs/>
      <w:sz w:val="32"/>
      <w:szCs w:val="44"/>
    </w:rPr>
  </w:style>
  <w:style w:type="character" w:styleId="1035" w:customStyle="1">
    <w:name w:val="文档结构图 Char1"/>
    <w:uiPriority w:val="0"/>
    <w:qFormat/>
    <w:rPr>
      <w:rFonts w:ascii="宋体" w:hAnsi="Calibri" w:eastAsia="宋体" w:cs="Times New Roman"/>
      <w:sz w:val="18"/>
      <w:szCs w:val="18"/>
    </w:rPr>
  </w:style>
  <w:style w:type="character" w:styleId="1036" w:customStyle="1">
    <w:name w:val="标题 2 Char_0"/>
    <w:link w:val="1037"/>
    <w:uiPriority w:val="0"/>
    <w:qFormat/>
    <w:rPr>
      <w:rFonts w:ascii="Cambria" w:hAnsi="Cambria"/>
      <w:b/>
      <w:bCs/>
      <w:sz w:val="32"/>
      <w:szCs w:val="32"/>
    </w:rPr>
  </w:style>
  <w:style w:type="paragraph" w:styleId="1037" w:customStyle="1">
    <w:name w:val="标题 2_0"/>
    <w:basedOn w:val="962"/>
    <w:next w:val="962"/>
    <w:link w:val="1036"/>
    <w:uiPriority w:val="0"/>
    <w:unhideWhenUsed/>
    <w:qFormat/>
    <w:pPr>
      <w:keepLines/>
      <w:keepNext/>
      <w:spacing w:before="260" w:after="260" w:line="416" w:lineRule="auto"/>
      <w:outlineLvl w:val="1"/>
    </w:pPr>
    <w:rPr>
      <w:rFonts w:ascii="Cambria" w:hAnsi="Cambria"/>
      <w:b/>
      <w:bCs/>
      <w:sz w:val="32"/>
      <w:szCs w:val="32"/>
    </w:rPr>
  </w:style>
  <w:style w:type="character" w:styleId="1038" w:customStyle="1">
    <w:name w:val="日期 Char2"/>
    <w:uiPriority w:val="99"/>
    <w:semiHidden/>
    <w:qFormat/>
    <w:rPr>
      <w:rFonts w:ascii="Calibri" w:hAnsi="Calibri" w:eastAsia="宋体" w:cs="Times New Roman"/>
    </w:rPr>
  </w:style>
  <w:style w:type="character" w:styleId="1039" w:customStyle="1">
    <w:name w:val="批注框文本 Char2"/>
    <w:uiPriority w:val="99"/>
    <w:semiHidden/>
    <w:qFormat/>
    <w:rPr>
      <w:rFonts w:ascii="Calibri" w:hAnsi="Calibri" w:eastAsia="宋体" w:cs="Times New Roman"/>
      <w:sz w:val="18"/>
      <w:szCs w:val="18"/>
    </w:rPr>
  </w:style>
  <w:style w:type="character" w:styleId="1040" w:customStyle="1">
    <w:name w:val="标题 4 字符"/>
    <w:link w:val="890"/>
    <w:uiPriority w:val="0"/>
    <w:qFormat/>
    <w:rPr>
      <w:rFonts w:ascii="Cambria" w:hAnsi="Cambria"/>
      <w:b/>
      <w:bCs/>
      <w:sz w:val="28"/>
      <w:szCs w:val="28"/>
    </w:rPr>
  </w:style>
  <w:style w:type="character" w:styleId="1041" w:customStyle="1">
    <w:name w:val="列出段落 Char"/>
    <w:link w:val="1042"/>
    <w:uiPriority w:val="34"/>
    <w:qFormat/>
    <w:rPr>
      <w:sz w:val="21"/>
      <w:szCs w:val="24"/>
    </w:rPr>
  </w:style>
  <w:style w:type="paragraph" w:styleId="1042" w:customStyle="1">
    <w:name w:val="List Paragraph1"/>
    <w:basedOn w:val="886"/>
    <w:link w:val="1041"/>
    <w:uiPriority w:val="34"/>
    <w:qFormat/>
    <w:pPr>
      <w:ind w:firstLine="420"/>
    </w:pPr>
  </w:style>
  <w:style w:type="paragraph" w:styleId="1043" w:customStyle="1">
    <w:name w:val="样式 标题 3 + (中文) 黑体 小四 非加粗 段前: 7.8 磅 段后: 0 磅 行距: 固定值 20 磅"/>
    <w:basedOn w:val="889"/>
    <w:next w:val="886"/>
    <w:uiPriority w:val="0"/>
    <w:qFormat/>
    <w:pPr>
      <w:spacing w:before="0" w:after="0" w:line="400" w:lineRule="exact"/>
    </w:pPr>
    <w:rPr>
      <w:rFonts w:eastAsia="黑体" w:cs="宋体"/>
      <w:b w:val="0"/>
      <w:bCs w:val="0"/>
      <w:sz w:val="24"/>
      <w:szCs w:val="20"/>
    </w:rPr>
  </w:style>
  <w:style w:type="paragraph" w:styleId="1044" w:customStyle="1">
    <w:name w:val="_Style 34"/>
    <w:next w:val="886"/>
    <w:uiPriority w:val="0"/>
    <w:qFormat/>
    <w:pPr>
      <w:jc w:val="both"/>
      <w:widowControl w:val="off"/>
    </w:pPr>
    <w:rPr>
      <w:rFonts w:ascii="Times New Roman" w:hAnsi="Times New Roman" w:eastAsia="宋体" w:cs="Times New Roman"/>
      <w:sz w:val="21"/>
      <w:lang w:val="en-US" w:eastAsia="zh-CN" w:bidi="ar-SA"/>
    </w:rPr>
  </w:style>
  <w:style w:type="paragraph" w:styleId="1045"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46" w:customStyle="1">
    <w:name w:val="_Style 36"/>
    <w:next w:val="886"/>
    <w:uiPriority w:val="0"/>
    <w:qFormat/>
    <w:pPr>
      <w:jc w:val="both"/>
      <w:widowControl w:val="off"/>
    </w:pPr>
    <w:rPr>
      <w:rFonts w:ascii="Times New Roman" w:hAnsi="Times New Roman" w:eastAsia="宋体" w:cs="Times New Roman"/>
      <w:sz w:val="21"/>
      <w:lang w:val="en-US" w:eastAsia="zh-CN" w:bidi="ar-SA"/>
    </w:rPr>
  </w:style>
  <w:style w:type="paragraph" w:styleId="1047" w:customStyle="1">
    <w:name w:val="空半行"/>
    <w:basedOn w:val="886"/>
    <w:uiPriority w:val="0"/>
    <w:qFormat/>
    <w:pPr>
      <w:spacing w:line="120" w:lineRule="exact"/>
    </w:pPr>
    <w:rPr>
      <w:rFonts w:ascii="Calibri" w:hAnsi="Calibri" w:eastAsia="仿宋_GB2312"/>
      <w:color w:val="ffffff"/>
      <w:sz w:val="30"/>
      <w:szCs w:val="22"/>
    </w:rPr>
  </w:style>
  <w:style w:type="paragraph" w:styleId="1048" w:customStyle="1">
    <w:name w:val="1方案格式1"/>
    <w:basedOn w:val="887"/>
    <w:uiPriority w:val="0"/>
    <w:qFormat/>
    <w:pPr>
      <w:numPr>
        <w:numId w:val="3"/>
      </w:numPr>
      <w:ind w:left="0" w:firstLine="0"/>
      <w:spacing w:line="360" w:lineRule="auto"/>
      <w:tabs>
        <w:tab w:val="left" w:pos="360" w:leader="none"/>
      </w:tabs>
    </w:pPr>
    <w:rPr>
      <w:rFonts w:eastAsia="微软雅黑"/>
      <w:bCs w:val="0"/>
      <w:sz w:val="48"/>
    </w:rPr>
  </w:style>
  <w:style w:type="paragraph" w:styleId="1049" w:customStyle="1">
    <w:name w:val="格式３"/>
    <w:basedOn w:val="886"/>
    <w:uiPriority w:val="0"/>
    <w:qFormat/>
    <w:pPr>
      <w:ind w:left="600" w:hanging="600"/>
      <w:spacing w:line="420" w:lineRule="exact"/>
    </w:pPr>
    <w:rPr>
      <w:rFonts w:ascii="宋体" w:hAnsi="宋体"/>
      <w:color w:val="000000"/>
      <w:sz w:val="24"/>
      <w:szCs w:val="20"/>
    </w:rPr>
  </w:style>
  <w:style w:type="paragraph" w:styleId="1050" w:customStyle="1">
    <w:name w:val="列出段落1"/>
    <w:basedOn w:val="886"/>
    <w:uiPriority w:val="99"/>
    <w:qFormat/>
    <w:pPr>
      <w:contextualSpacing/>
      <w:ind w:left="720"/>
      <w:jc w:val="left"/>
      <w:widowControl/>
    </w:pPr>
    <w:rPr>
      <w:rFonts w:ascii="Arial" w:hAnsi="Arial" w:eastAsia="黑体"/>
      <w:sz w:val="24"/>
      <w:lang w:eastAsia="en-US"/>
    </w:rPr>
  </w:style>
  <w:style w:type="paragraph" w:styleId="1051" w:customStyle="1">
    <w:name w:val="正文空2字"/>
    <w:basedOn w:val="886"/>
    <w:uiPriority w:val="0"/>
    <w:qFormat/>
    <w:pPr>
      <w:ind w:firstLine="200"/>
      <w:spacing w:line="360" w:lineRule="auto"/>
    </w:pPr>
    <w:rPr>
      <w:sz w:val="24"/>
      <w:lang w:bidi="en-US"/>
    </w:rPr>
  </w:style>
  <w:style w:type="paragraph" w:styleId="1052"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053" w:customStyle="1">
    <w:name w:val="目录 5_0"/>
    <w:basedOn w:val="962"/>
    <w:next w:val="962"/>
    <w:uiPriority w:val="39"/>
    <w:qFormat/>
    <w:pPr>
      <w:ind w:left="1680"/>
    </w:pPr>
    <w:rPr>
      <w:rFonts w:ascii="Calibri" w:hAnsi="Calibri"/>
    </w:rPr>
  </w:style>
  <w:style w:type="paragraph" w:styleId="1054" w:customStyle="1">
    <w:name w:val="修订1"/>
    <w:uiPriority w:val="0"/>
    <w:qFormat/>
    <w:rPr>
      <w:rFonts w:ascii="Times New Roman" w:hAnsi="Times New Roman" w:eastAsia="宋体" w:cs="Times New Roman"/>
      <w:sz w:val="21"/>
      <w:szCs w:val="24"/>
      <w:lang w:val="en-US" w:eastAsia="zh-CN" w:bidi="ar-SA"/>
    </w:rPr>
  </w:style>
  <w:style w:type="paragraph" w:styleId="1055" w:customStyle="1">
    <w:name w:val="标题 11"/>
    <w:basedOn w:val="945"/>
    <w:next w:val="945"/>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056" w:customStyle="1">
    <w:name w:val="正文 + 行距: 固定值 20 磅"/>
    <w:basedOn w:val="886"/>
    <w:uiPriority w:val="0"/>
    <w:qFormat/>
    <w:pPr>
      <w:ind w:firstLine="716"/>
      <w:spacing w:line="400" w:lineRule="exact"/>
    </w:pPr>
    <w:rPr>
      <w:rFonts w:ascii="Calibri" w:hAnsi="Calibri"/>
      <w:szCs w:val="22"/>
    </w:rPr>
  </w:style>
  <w:style w:type="paragraph" w:styleId="1057" w:customStyle="1">
    <w:name w:val="TOC 标题1"/>
    <w:basedOn w:val="887"/>
    <w:next w:val="886"/>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058" w:customStyle="1">
    <w:name w:val="表格文字"/>
    <w:basedOn w:val="886"/>
    <w:link w:val="1086"/>
    <w:uiPriority w:val="0"/>
    <w:qFormat/>
    <w:pPr>
      <w:jc w:val="left"/>
      <w:spacing w:line="420" w:lineRule="atLeast"/>
    </w:pPr>
    <w:rPr>
      <w:rFonts w:ascii="Calibri" w:hAnsi="Calibri"/>
      <w:szCs w:val="22"/>
    </w:rPr>
  </w:style>
  <w:style w:type="paragraph" w:styleId="1059" w:customStyle="1">
    <w:name w:val="flNote"/>
    <w:basedOn w:val="886"/>
    <w:uiPriority w:val="0"/>
    <w:qFormat/>
    <w:pPr>
      <w:jc w:val="center"/>
      <w:spacing w:before="320" w:after="160" w:line="360" w:lineRule="atLeast"/>
    </w:pPr>
    <w:rPr>
      <w:rFonts w:ascii="Arial" w:hAnsi="Calibri" w:eastAsia="黑体"/>
      <w:sz w:val="30"/>
      <w:szCs w:val="22"/>
    </w:rPr>
  </w:style>
  <w:style w:type="paragraph" w:styleId="1060" w:customStyle="1">
    <w:name w:val="文章正文"/>
    <w:basedOn w:val="886"/>
    <w:uiPriority w:val="99"/>
    <w:qFormat/>
    <w:pPr>
      <w:ind w:firstLine="480"/>
      <w:spacing w:line="360" w:lineRule="auto"/>
    </w:pPr>
    <w:rPr>
      <w:rFonts w:ascii="仿宋_GB2312" w:hAnsi="宋体" w:eastAsia="仿宋_GB2312"/>
      <w:color w:val="ff0000"/>
      <w:sz w:val="24"/>
    </w:rPr>
  </w:style>
  <w:style w:type="paragraph" w:styleId="1061" w:customStyle="1">
    <w:name w:val="表格"/>
    <w:basedOn w:val="886"/>
    <w:uiPriority w:val="0"/>
    <w:qFormat/>
    <w:pPr>
      <w:jc w:val="center"/>
    </w:pPr>
    <w:rPr>
      <w:rFonts w:ascii="华文细黑" w:hAnsi="华文细黑"/>
      <w:szCs w:val="22"/>
    </w:rPr>
  </w:style>
  <w:style w:type="paragraph" w:styleId="1062" w:customStyle="1">
    <w:name w:val="Char"/>
    <w:basedOn w:val="886"/>
    <w:uiPriority w:val="0"/>
    <w:qFormat/>
    <w:pPr>
      <w:jc w:val="left"/>
      <w:spacing w:after="160" w:line="240" w:lineRule="exact"/>
      <w:widowControl/>
    </w:pPr>
    <w:rPr>
      <w:rFonts w:ascii="Verdana" w:hAnsi="Verdana"/>
      <w:sz w:val="20"/>
      <w:szCs w:val="20"/>
      <w:lang w:eastAsia="en-US"/>
    </w:rPr>
  </w:style>
  <w:style w:type="paragraph" w:styleId="1063" w:customStyle="1">
    <w:name w:val="列出段落2"/>
    <w:basedOn w:val="886"/>
    <w:uiPriority w:val="34"/>
    <w:qFormat/>
    <w:pPr>
      <w:ind w:firstLine="420"/>
    </w:pPr>
  </w:style>
  <w:style w:type="paragraph" w:styleId="1064" w:customStyle="1">
    <w:name w:val="6'"/>
    <w:basedOn w:val="886"/>
    <w:uiPriority w:val="0"/>
    <w:qFormat/>
    <w:pPr>
      <w:jc w:val="center"/>
      <w:spacing w:line="320" w:lineRule="exact"/>
    </w:pPr>
    <w:rPr>
      <w:rFonts w:ascii="Calibri" w:hAnsi="Calibri"/>
      <w:spacing w:val="20"/>
      <w:szCs w:val="22"/>
    </w:rPr>
  </w:style>
  <w:style w:type="paragraph" w:styleId="1065" w:customStyle="1">
    <w:name w:val="Char Char Char Char Char Char Char"/>
    <w:basedOn w:val="886"/>
    <w:uiPriority w:val="0"/>
    <w:qFormat/>
    <w:pPr>
      <w:spacing w:line="360" w:lineRule="auto"/>
    </w:pPr>
    <w:rPr>
      <w:sz w:val="24"/>
      <w:szCs w:val="20"/>
    </w:rPr>
  </w:style>
  <w:style w:type="paragraph" w:styleId="1066" w:customStyle="1">
    <w:name w:val="2方案格式2"/>
    <w:basedOn w:val="1048"/>
    <w:uiPriority w:val="0"/>
    <w:qFormat/>
    <w:pPr>
      <w:numPr>
        <w:ilvl w:val="1"/>
      </w:numPr>
      <w:spacing w:before="50" w:after="50" w:line="240" w:lineRule="auto"/>
      <w:outlineLvl w:val="1"/>
    </w:pPr>
    <w:rPr>
      <w:sz w:val="44"/>
    </w:rPr>
  </w:style>
  <w:style w:type="paragraph" w:styleId="1067" w:customStyle="1">
    <w:name w:val="文档正文"/>
    <w:basedOn w:val="886"/>
    <w:uiPriority w:val="0"/>
    <w:qFormat/>
    <w:pPr>
      <w:ind w:firstLine="567"/>
      <w:spacing w:line="480" w:lineRule="atLeast"/>
    </w:pPr>
    <w:rPr>
      <w:rFonts w:ascii="Ari" w:eastAsia="Ari"/>
      <w:sz w:val="28"/>
      <w:szCs w:val="20"/>
    </w:rPr>
  </w:style>
  <w:style w:type="paragraph" w:styleId="1068" w:customStyle="1">
    <w:name w:val="txt"/>
    <w:basedOn w:val="886"/>
    <w:uiPriority w:val="0"/>
    <w:qFormat/>
    <w:pPr>
      <w:jc w:val="left"/>
      <w:spacing w:before="100" w:beforeAutospacing="1" w:after="100" w:afterAutospacing="1"/>
      <w:widowControl/>
    </w:pPr>
    <w:rPr>
      <w:rFonts w:ascii="宋体" w:hAnsi="宋体" w:cs="宋体"/>
      <w:sz w:val="24"/>
    </w:rPr>
  </w:style>
  <w:style w:type="paragraph" w:styleId="1069" w:customStyle="1">
    <w:name w:val="目录 4_0"/>
    <w:basedOn w:val="962"/>
    <w:next w:val="962"/>
    <w:uiPriority w:val="39"/>
    <w:qFormat/>
    <w:pPr>
      <w:ind w:left="1260"/>
    </w:pPr>
    <w:rPr>
      <w:rFonts w:ascii="Calibri" w:hAnsi="Calibri"/>
    </w:rPr>
  </w:style>
  <w:style w:type="paragraph" w:styleId="1070" w:customStyle="1">
    <w:name w:val="目录 3_0"/>
    <w:basedOn w:val="962"/>
    <w:next w:val="962"/>
    <w:uiPriority w:val="39"/>
    <w:qFormat/>
    <w:pPr>
      <w:ind w:left="840"/>
    </w:pPr>
    <w:rPr>
      <w:rFonts w:ascii="Calibri" w:hAnsi="Calibri"/>
    </w:rPr>
  </w:style>
  <w:style w:type="paragraph" w:styleId="1071" w:customStyle="1">
    <w:name w:val="样式 标题 1 + 黑体 三号 非加粗 居中 段前: 6 磅 段后: 6 磅 行距: 固定值 20 磅"/>
    <w:basedOn w:val="887"/>
    <w:uiPriority w:val="0"/>
    <w:qFormat/>
    <w:pPr>
      <w:numPr>
        <w:numId w:val="0"/>
      </w:numPr>
      <w:spacing w:before="120" w:after="120" w:line="400" w:lineRule="exact"/>
    </w:pPr>
    <w:rPr>
      <w:rFonts w:ascii="黑体" w:hAnsi="黑体" w:eastAsia="黑体"/>
      <w:b w:val="0"/>
      <w:bCs w:val="0"/>
      <w:szCs w:val="20"/>
    </w:rPr>
  </w:style>
  <w:style w:type="paragraph" w:styleId="1072" w:customStyle="1">
    <w:name w:val="1"/>
    <w:basedOn w:val="886"/>
    <w:next w:val="886"/>
    <w:uiPriority w:val="0"/>
    <w:qFormat/>
    <w:rPr>
      <w:rFonts w:ascii="Calibri" w:hAnsi="Calibri"/>
      <w:szCs w:val="22"/>
    </w:rPr>
  </w:style>
  <w:style w:type="paragraph" w:styleId="1073" w:customStyle="1">
    <w:name w:val="Blockquote_0"/>
    <w:basedOn w:val="962"/>
    <w:uiPriority w:val="0"/>
    <w:qFormat/>
    <w:pPr>
      <w:ind w:left="360" w:right="360"/>
      <w:jc w:val="left"/>
      <w:spacing w:before="100" w:after="100"/>
    </w:pPr>
    <w:rPr>
      <w:rFonts w:ascii="Calibri" w:hAnsi="Calibri" w:eastAsia="Times New Roman"/>
      <w:sz w:val="24"/>
      <w:szCs w:val="20"/>
    </w:rPr>
  </w:style>
  <w:style w:type="paragraph" w:styleId="1074" w:customStyle="1">
    <w:name w:val="列出段落11"/>
    <w:basedOn w:val="886"/>
    <w:uiPriority w:val="0"/>
    <w:qFormat/>
    <w:pPr>
      <w:contextualSpacing/>
      <w:ind w:left="720"/>
      <w:jc w:val="left"/>
      <w:widowControl/>
    </w:pPr>
    <w:rPr>
      <w:rFonts w:ascii="Arial" w:hAnsi="Arial" w:eastAsia="黑体"/>
      <w:sz w:val="24"/>
      <w:lang w:eastAsia="en-US"/>
    </w:rPr>
  </w:style>
  <w:style w:type="paragraph" w:styleId="1075" w:customStyle="1">
    <w:name w:val="样式 标题 2 + Times New Roman 四号 非加粗 段前: 5 磅 段后: 0 磅 行距: 固定值 20..._0"/>
    <w:basedOn w:val="886"/>
    <w:uiPriority w:val="0"/>
    <w:qFormat/>
    <w:pPr>
      <w:keepLines/>
      <w:keepNext/>
      <w:spacing w:before="100" w:line="360" w:lineRule="auto"/>
      <w:outlineLvl w:val="1"/>
    </w:pPr>
    <w:rPr>
      <w:rFonts w:eastAsia="Times New Roman" w:cs="宋体"/>
      <w:sz w:val="28"/>
      <w:szCs w:val="20"/>
    </w:rPr>
  </w:style>
  <w:style w:type="paragraph" w:styleId="1076" w:customStyle="1">
    <w:name w:val="op_mapdots_left"/>
    <w:basedOn w:val="886"/>
    <w:uiPriority w:val="0"/>
    <w:qFormat/>
    <w:pPr>
      <w:jc w:val="left"/>
      <w:spacing w:before="100" w:beforeAutospacing="1" w:after="100" w:afterAutospacing="1"/>
      <w:widowControl/>
    </w:pPr>
    <w:rPr>
      <w:rFonts w:ascii="宋体" w:hAnsi="宋体" w:cs="宋体"/>
      <w:sz w:val="24"/>
    </w:rPr>
  </w:style>
  <w:style w:type="paragraph" w:styleId="1077" w:customStyle="1">
    <w:name w:val="p0"/>
    <w:basedOn w:val="886"/>
    <w:uiPriority w:val="0"/>
    <w:qFormat/>
    <w:pPr>
      <w:widowControl/>
    </w:pPr>
    <w:rPr>
      <w:b/>
      <w:bCs/>
      <w:sz w:val="24"/>
    </w:rPr>
  </w:style>
  <w:style w:type="paragraph" w:styleId="1078" w:customStyle="1">
    <w:name w:val="Blockquote"/>
    <w:basedOn w:val="886"/>
    <w:uiPriority w:val="0"/>
    <w:qFormat/>
    <w:pPr>
      <w:ind w:left="360" w:right="360"/>
      <w:jc w:val="left"/>
      <w:spacing w:before="100" w:after="100"/>
    </w:pPr>
    <w:rPr>
      <w:rFonts w:ascii="Calibri" w:hAnsi="Calibri"/>
      <w:sz w:val="24"/>
      <w:szCs w:val="22"/>
    </w:rPr>
  </w:style>
  <w:style w:type="paragraph" w:styleId="1079" w:customStyle="1">
    <w:name w:val="3方案格式3"/>
    <w:basedOn w:val="1066"/>
    <w:uiPriority w:val="0"/>
    <w:qFormat/>
    <w:pPr>
      <w:numPr>
        <w:ilvl w:val="2"/>
      </w:numPr>
      <w:outlineLvl w:val="2"/>
    </w:pPr>
    <w:rPr>
      <w:sz w:val="32"/>
    </w:rPr>
  </w:style>
  <w:style w:type="paragraph" w:styleId="1080" w:customStyle="1">
    <w:name w:val="样式 标题 2 + Times New Roman 四号 非加粗 段前: 5 磅 段后: 0 磅 行距: 固定值 20..."/>
    <w:basedOn w:val="888"/>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081" w:customStyle="1">
    <w:name w:val="标题2"/>
    <w:basedOn w:val="888"/>
    <w:next w:val="906"/>
    <w:uiPriority w:val="0"/>
    <w:qFormat/>
    <w:pPr>
      <w:spacing w:before="156" w:after="156" w:line="360" w:lineRule="auto"/>
    </w:pPr>
    <w:rPr>
      <w:bCs w:val="0"/>
      <w:sz w:val="24"/>
    </w:rPr>
  </w:style>
  <w:style w:type="paragraph" w:styleId="1082" w:customStyle="1">
    <w:name w:val="普通正文"/>
    <w:basedOn w:val="886"/>
    <w:uiPriority w:val="0"/>
    <w:qFormat/>
    <w:pPr>
      <w:ind w:firstLine="480"/>
      <w:jc w:val="left"/>
      <w:spacing w:before="120" w:after="120" w:line="360" w:lineRule="auto"/>
    </w:pPr>
    <w:rPr>
      <w:rFonts w:ascii="Arial" w:hAnsi="Arial"/>
      <w:sz w:val="24"/>
    </w:rPr>
  </w:style>
  <w:style w:type="paragraph" w:styleId="1083" w:customStyle="1">
    <w:name w:val="正文2"/>
    <w:uiPriority w:val="0"/>
    <w:qFormat/>
    <w:rPr>
      <w:rFonts w:ascii="Times New Roman" w:hAnsi="Times New Roman" w:eastAsia="微软雅黑" w:cs="Times New Roman"/>
      <w:sz w:val="24"/>
      <w:szCs w:val="24"/>
      <w:lang w:val="en-US" w:eastAsia="zh-CN" w:bidi="ar-SA"/>
    </w:rPr>
  </w:style>
  <w:style w:type="paragraph" w:styleId="1084" w:customStyle="1">
    <w:name w:val="列出段落3"/>
    <w:basedOn w:val="886"/>
    <w:uiPriority w:val="0"/>
    <w:qFormat/>
    <w:pPr>
      <w:ind w:firstLine="420"/>
      <w:jc w:val="left"/>
      <w:spacing w:after="200"/>
      <w:widowControl/>
    </w:pPr>
    <w:rPr>
      <w:rFonts w:ascii="Tahoma" w:hAnsi="Tahoma" w:eastAsia="微软雅黑"/>
      <w:sz w:val="22"/>
      <w:szCs w:val="22"/>
    </w:rPr>
  </w:style>
  <w:style w:type="paragraph" w:styleId="1085" w:customStyle="1">
    <w:name w:val="纯文本2"/>
    <w:basedOn w:val="886"/>
    <w:uiPriority w:val="0"/>
    <w:qFormat/>
    <w:pPr>
      <w:jc w:val="left"/>
    </w:pPr>
    <w:rPr>
      <w:rFonts w:hint="eastAsia" w:ascii="宋体" w:hAnsi="宋体" w:cs="Courier New"/>
      <w:sz w:val="24"/>
      <w:szCs w:val="20"/>
      <w:lang w:bidi="hi-IN"/>
    </w:rPr>
  </w:style>
  <w:style w:type="character" w:styleId="1086" w:customStyle="1">
    <w:name w:val="表格文字 字符"/>
    <w:link w:val="1058"/>
    <w:uiPriority w:val="0"/>
    <w:qFormat/>
    <w:rPr>
      <w:rFonts w:ascii="Calibri" w:hAnsi="Calibri" w:eastAsia="宋体" w:cs="Times New Roman"/>
      <w:sz w:val="21"/>
      <w:szCs w:val="22"/>
    </w:rPr>
  </w:style>
  <w:style w:type="paragraph" w:styleId="1087" w:customStyle="1">
    <w:name w:val="trs_editor"/>
    <w:basedOn w:val="886"/>
    <w:uiPriority w:val="0"/>
    <w:qFormat/>
    <w:pPr>
      <w:jc w:val="left"/>
      <w:spacing w:before="100" w:beforeAutospacing="1" w:after="100" w:afterAutospacing="1"/>
      <w:widowControl/>
    </w:pPr>
    <w:rPr>
      <w:rFonts w:ascii="宋体" w:hAnsi="宋体" w:cs="宋体"/>
      <w:sz w:val="24"/>
    </w:rPr>
  </w:style>
  <w:style w:type="character" w:styleId="1088" w:customStyle="1">
    <w:name w:val="未处理的提及1"/>
    <w:basedOn w:val="896"/>
    <w:uiPriority w:val="99"/>
    <w:semiHidden/>
    <w:unhideWhenUsed/>
    <w:qFormat/>
    <w:rPr>
      <w:color w:val="605e5c"/>
      <w:shd w:val="clear" w:color="auto" w:fill="e1dfdd"/>
    </w:rPr>
  </w:style>
  <w:style w:type="paragraph" w:styleId="1089" w:customStyle="1">
    <w:name w:val="_Style 3"/>
    <w:basedOn w:val="886"/>
    <w:uiPriority w:val="99"/>
    <w:qFormat/>
    <w:pPr>
      <w:ind w:firstLine="420"/>
    </w:pPr>
    <w:rPr>
      <w:szCs w:val="22"/>
    </w:rPr>
  </w:style>
  <w:style w:type="table" w:styleId="1090" w:customStyle="1">
    <w:name w:val="网格型1"/>
    <w:basedOn w:val="897"/>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91" w:customStyle="1">
    <w:name w:val="批注文字 字符1"/>
    <w:uiPriority w:val="99"/>
    <w:qFormat/>
    <w:rPr>
      <w:sz w:val="24"/>
      <w:szCs w:val="22"/>
    </w:rPr>
  </w:style>
  <w:style w:type="character" w:styleId="1092" w:customStyle="1">
    <w:name w:val="f141"/>
    <w:uiPriority w:val="0"/>
    <w:qFormat/>
    <w:rPr>
      <w:sz w:val="21"/>
      <w:szCs w:val="21"/>
    </w:rPr>
  </w:style>
  <w:style w:type="character" w:styleId="1093" w:customStyle="1">
    <w:name w:val="p141"/>
    <w:uiPriority w:val="0"/>
    <w:qFormat/>
    <w:rPr>
      <w:sz w:val="21"/>
      <w:szCs w:val="21"/>
    </w:rPr>
  </w:style>
  <w:style w:type="character" w:styleId="1094" w:customStyle="1">
    <w:name w:val="s10pv000000"/>
    <w:basedOn w:val="896"/>
    <w:uiPriority w:val="0"/>
    <w:qFormat/>
  </w:style>
  <w:style w:type="paragraph" w:styleId="1095" w:customStyle="1">
    <w:name w:val="样式 标题 4 + 段前: 5 磅 段后: 5 磅 行距: 单倍行距"/>
    <w:basedOn w:val="890"/>
    <w:uiPriority w:val="0"/>
    <w:qFormat/>
    <w:pPr>
      <w:numPr>
        <w:ilvl w:val="0"/>
        <w:numId w:val="0"/>
      </w:numPr>
      <w:ind w:left="1680" w:hanging="420"/>
      <w:jc w:val="left"/>
      <w:spacing w:before="100" w:after="100" w:line="240" w:lineRule="auto"/>
      <w:tabs>
        <w:tab w:val="left" w:pos="1680" w:leader="none"/>
      </w:tabs>
    </w:pPr>
    <w:rPr>
      <w:rFonts w:ascii="Arial" w:hAnsi="Arial" w:eastAsia="黑体"/>
      <w:bCs w:val="0"/>
      <w:szCs w:val="20"/>
    </w:rPr>
  </w:style>
  <w:style w:type="paragraph" w:styleId="1096" w:customStyle="1">
    <w:name w:val="基准标题"/>
    <w:basedOn w:val="906"/>
    <w:next w:val="906"/>
    <w:uiPriority w:val="0"/>
    <w:qFormat/>
    <w:pPr>
      <w:jc w:val="left"/>
      <w:keepLines/>
      <w:keepNext/>
      <w:spacing w:line="240" w:lineRule="atLeast"/>
      <w:widowControl/>
    </w:pPr>
    <w:rPr>
      <w:rFonts w:ascii="Garamond" w:hAnsi="Garamond" w:eastAsia="宋体"/>
      <w:b w:val="0"/>
      <w:bCs w:val="0"/>
      <w:sz w:val="22"/>
      <w:szCs w:val="20"/>
      <w:lang w:bidi="he-IL"/>
    </w:rPr>
  </w:style>
  <w:style w:type="paragraph" w:styleId="1097" w:customStyle="1">
    <w:name w:val="font6"/>
    <w:basedOn w:val="886"/>
    <w:uiPriority w:val="0"/>
    <w:qFormat/>
    <w:pPr>
      <w:jc w:val="left"/>
      <w:spacing w:before="100" w:beforeAutospacing="1" w:after="100" w:afterAutospacing="1"/>
      <w:widowControl/>
    </w:pPr>
    <w:rPr>
      <w:rFonts w:hint="eastAsia" w:ascii="宋体" w:hAnsi="宋体"/>
      <w:sz w:val="24"/>
    </w:rPr>
  </w:style>
  <w:style w:type="paragraph" w:styleId="1098" w:customStyle="1">
    <w:name w:val="样式4"/>
    <w:basedOn w:val="886"/>
    <w:uiPriority w:val="0"/>
    <w:qFormat/>
    <w:pPr>
      <w:ind w:left="2328" w:hanging="708"/>
      <w:tabs>
        <w:tab w:val="left" w:pos="2328" w:leader="none"/>
      </w:tabs>
    </w:pPr>
  </w:style>
  <w:style w:type="paragraph" w:styleId="1099" w:customStyle="1">
    <w:name w:val="font5"/>
    <w:basedOn w:val="886"/>
    <w:uiPriority w:val="0"/>
    <w:qFormat/>
    <w:pPr>
      <w:jc w:val="left"/>
      <w:spacing w:before="100" w:beforeAutospacing="1" w:after="100" w:afterAutospacing="1"/>
      <w:widowControl/>
    </w:pPr>
    <w:rPr>
      <w:rFonts w:hint="eastAsia" w:ascii="宋体" w:hAnsi="宋体"/>
      <w:sz w:val="18"/>
      <w:szCs w:val="18"/>
    </w:rPr>
  </w:style>
  <w:style w:type="paragraph" w:styleId="1100" w:customStyle="1">
    <w:name w:val="3 Char"/>
    <w:basedOn w:val="886"/>
    <w:uiPriority w:val="0"/>
    <w:qFormat/>
    <w:pPr>
      <w:jc w:val="center"/>
      <w:spacing w:line="400" w:lineRule="exact"/>
      <w:widowControl/>
    </w:pPr>
    <w:rPr>
      <w:rFonts w:ascii="Verdana" w:hAnsi="Verdana"/>
      <w:szCs w:val="20"/>
      <w:lang w:eastAsia="en-US"/>
    </w:rPr>
  </w:style>
  <w:style w:type="paragraph" w:styleId="1101" w:customStyle="1">
    <w:name w:val="样式 标题 2 + 宋体 五号 非加粗 黑色"/>
    <w:basedOn w:val="888"/>
    <w:uiPriority w:val="0"/>
    <w:qFormat/>
    <w:pPr>
      <w:numPr>
        <w:ilvl w:val="0"/>
        <w:numId w:val="0"/>
      </w:numPr>
      <w:ind w:left="840" w:hanging="420"/>
      <w:jc w:val="left"/>
      <w:spacing w:line="416" w:lineRule="atLeast"/>
      <w:tabs>
        <w:tab w:val="left" w:pos="840" w:leader="none"/>
      </w:tabs>
    </w:pPr>
    <w:rPr>
      <w:rFonts w:ascii="宋体" w:hAnsi="宋体"/>
      <w:b w:val="0"/>
      <w:bCs w:val="0"/>
      <w:color w:val="000000"/>
      <w:sz w:val="21"/>
      <w:szCs w:val="20"/>
    </w:rPr>
  </w:style>
  <w:style w:type="paragraph" w:styleId="1102" w:customStyle="1">
    <w:name w:val="xl29"/>
    <w:basedOn w:val="886"/>
    <w:uiPriority w:val="0"/>
    <w:qFormat/>
    <w:pPr>
      <w:jc w:val="center"/>
      <w:spacing w:before="100" w:beforeAutospacing="1" w:after="100" w:afterAutospacing="1"/>
      <w:widowControl/>
    </w:pPr>
    <w:rPr>
      <w:rFonts w:ascii="宋体" w:hAnsi="宋体"/>
      <w:sz w:val="28"/>
      <w:szCs w:val="28"/>
    </w:rPr>
  </w:style>
  <w:style w:type="paragraph" w:styleId="1103" w:customStyle="1">
    <w:name w:val="图"/>
    <w:basedOn w:val="886"/>
    <w:uiPriority w:val="0"/>
    <w:qFormat/>
    <w:pPr>
      <w:jc w:val="center"/>
      <w:keepNext/>
      <w:spacing w:before="60" w:after="60" w:line="300" w:lineRule="auto"/>
    </w:pPr>
    <w:rPr>
      <w:spacing w:val="20"/>
      <w:sz w:val="24"/>
      <w:szCs w:val="20"/>
    </w:rPr>
  </w:style>
  <w:style w:type="paragraph" w:styleId="1104" w:customStyle="1">
    <w:name w:val="设计方案"/>
    <w:basedOn w:val="886"/>
    <w:uiPriority w:val="0"/>
    <w:qFormat/>
    <w:pPr>
      <w:ind w:left="425" w:hanging="425"/>
      <w:jc w:val="left"/>
      <w:spacing w:after="160" w:line="240" w:lineRule="exact"/>
      <w:widowControl/>
      <w:tabs>
        <w:tab w:val="left" w:pos="425" w:leader="none"/>
      </w:tabs>
    </w:pPr>
    <w:rPr>
      <w:rFonts w:ascii="Verdana" w:hAnsi="Verdana"/>
      <w:szCs w:val="20"/>
      <w:lang w:eastAsia="en-US"/>
    </w:rPr>
  </w:style>
  <w:style w:type="paragraph" w:styleId="1105" w:customStyle="1">
    <w:name w:val="xl24"/>
    <w:basedOn w:val="8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06" w:customStyle="1">
    <w:name w:val="样式1"/>
    <w:basedOn w:val="886"/>
    <w:uiPriority w:val="0"/>
    <w:qFormat/>
    <w:pPr>
      <w:ind w:left="425" w:hanging="425"/>
      <w:tabs>
        <w:tab w:val="left" w:pos="425" w:leader="none"/>
        <w:tab w:val="left" w:pos="709" w:leader="none"/>
      </w:tabs>
    </w:pPr>
    <w:rPr>
      <w:rFonts w:ascii="宋体" w:hAnsi="宋体"/>
      <w:szCs w:val="20"/>
    </w:rPr>
  </w:style>
  <w:style w:type="paragraph" w:styleId="1107" w:customStyle="1">
    <w:name w:val="head"/>
    <w:basedOn w:val="886"/>
    <w:uiPriority w:val="0"/>
    <w:qFormat/>
    <w:pPr>
      <w:jc w:val="center"/>
      <w:spacing w:before="100" w:beforeAutospacing="1" w:after="100" w:afterAutospacing="1"/>
      <w:widowControl/>
    </w:pPr>
    <w:rPr>
      <w:rFonts w:hint="eastAsia" w:ascii="黑体" w:hAnsi="宋体" w:eastAsia="黑体"/>
      <w:b/>
      <w:bCs/>
      <w:sz w:val="28"/>
      <w:szCs w:val="28"/>
    </w:rPr>
  </w:style>
  <w:style w:type="paragraph" w:styleId="1108" w:customStyle="1">
    <w:name w:val="默认段落字体 Para Char Char Char Char"/>
    <w:basedOn w:val="886"/>
    <w:uiPriority w:val="0"/>
    <w:qFormat/>
    <w:rPr>
      <w:szCs w:val="20"/>
    </w:rPr>
  </w:style>
  <w:style w:type="paragraph" w:styleId="1109" w:customStyle="1">
    <w:name w:val="Char Char Char Char"/>
    <w:basedOn w:val="886"/>
    <w:uiPriority w:val="0"/>
    <w:qFormat/>
    <w:pPr>
      <w:jc w:val="left"/>
      <w:spacing w:after="160" w:line="240" w:lineRule="exact"/>
      <w:widowControl/>
    </w:pPr>
    <w:rPr>
      <w:rFonts w:ascii="Verdana" w:hAnsi="Verdana" w:eastAsia="仿宋_GB2312"/>
      <w:sz w:val="24"/>
      <w:szCs w:val="20"/>
      <w:lang w:eastAsia="en-US"/>
    </w:rPr>
  </w:style>
  <w:style w:type="paragraph" w:styleId="1110" w:customStyle="1">
    <w:name w:val="font0"/>
    <w:basedOn w:val="886"/>
    <w:uiPriority w:val="0"/>
    <w:qFormat/>
    <w:pPr>
      <w:jc w:val="left"/>
      <w:spacing w:before="100" w:beforeAutospacing="1" w:after="100" w:afterAutospacing="1"/>
      <w:widowControl/>
    </w:pPr>
    <w:rPr>
      <w:rFonts w:hint="eastAsia" w:ascii="宋体" w:hAnsi="宋体"/>
      <w:sz w:val="24"/>
    </w:rPr>
  </w:style>
  <w:style w:type="paragraph" w:styleId="1111" w:customStyle="1">
    <w:name w:val="样式 标题 3h3H3sect1.2.3 + 五号 段前: 6 磅 段后: 6 磅 行距: 单倍行距"/>
    <w:basedOn w:val="889"/>
    <w:uiPriority w:val="0"/>
    <w:qFormat/>
    <w:pPr>
      <w:numPr>
        <w:ilvl w:val="0"/>
        <w:numId w:val="0"/>
      </w:numPr>
      <w:ind w:left="1260" w:hanging="420"/>
      <w:jc w:val="left"/>
      <w:spacing w:before="120" w:after="120" w:line="240" w:lineRule="auto"/>
      <w:tabs>
        <w:tab w:val="left" w:pos="1260" w:leader="none"/>
      </w:tabs>
    </w:pPr>
    <w:rPr>
      <w:bCs w:val="0"/>
      <w:sz w:val="21"/>
      <w:szCs w:val="20"/>
    </w:rPr>
  </w:style>
  <w:style w:type="character" w:styleId="1112" w:customStyle="1">
    <w:name w:val="纯文本 Char1"/>
    <w:basedOn w:val="896"/>
    <w:uiPriority w:val="0"/>
    <w:qFormat/>
    <w:rPr>
      <w:rFonts w:ascii="宋体" w:hAnsi="Courier New" w:eastAsia="宋体" w:cs="Courier New"/>
      <w:szCs w:val="21"/>
    </w:rPr>
  </w:style>
  <w:style w:type="character" w:styleId="1113" w:customStyle="1">
    <w:name w:val="HTML 预设格式 字符"/>
    <w:basedOn w:val="896"/>
    <w:link w:val="927"/>
    <w:uiPriority w:val="99"/>
    <w:qFormat/>
    <w:rPr>
      <w:rFonts w:ascii="宋体" w:hAnsi="宋体"/>
      <w:sz w:val="24"/>
      <w:szCs w:val="24"/>
    </w:rPr>
  </w:style>
  <w:style w:type="paragraph" w:styleId="1114" w:customStyle="1">
    <w:name w:val="Char1 Char Char Char"/>
    <w:basedOn w:val="886"/>
    <w:uiPriority w:val="0"/>
    <w:qFormat/>
    <w:rPr>
      <w:szCs w:val="20"/>
    </w:rPr>
  </w:style>
  <w:style w:type="paragraph" w:styleId="1115" w:customStyle="1">
    <w:name w:val="Char1"/>
    <w:basedOn w:val="886"/>
    <w:uiPriority w:val="0"/>
    <w:qFormat/>
    <w:pPr>
      <w:jc w:val="left"/>
      <w:spacing w:after="160" w:line="240" w:lineRule="exact"/>
      <w:widowControl/>
    </w:pPr>
    <w:rPr>
      <w:sz w:val="24"/>
    </w:rPr>
  </w:style>
  <w:style w:type="paragraph" w:styleId="1116" w:customStyle="1">
    <w:name w:val="默认段落字体 Para Char"/>
    <w:basedOn w:val="886"/>
    <w:uiPriority w:val="0"/>
    <w:qFormat/>
  </w:style>
  <w:style w:type="paragraph" w:styleId="1117" w:customStyle="1">
    <w:name w:val="Char1 Char Char Char Char Char Char Char Char Char"/>
    <w:basedOn w:val="886"/>
    <w:uiPriority w:val="0"/>
    <w:qFormat/>
    <w:pPr>
      <w:jc w:val="center"/>
      <w:spacing w:line="400" w:lineRule="exact"/>
      <w:widowControl/>
    </w:pPr>
    <w:rPr>
      <w:rFonts w:ascii="Verdana" w:hAnsi="Verdana"/>
      <w:szCs w:val="20"/>
      <w:lang w:eastAsia="en-US"/>
    </w:rPr>
  </w:style>
  <w:style w:type="paragraph" w:styleId="1118" w:customStyle="1">
    <w:name w:val="普通(网站)1"/>
    <w:basedOn w:val="886"/>
    <w:uiPriority w:val="0"/>
    <w:qFormat/>
    <w:pPr>
      <w:jc w:val="left"/>
      <w:spacing w:before="100" w:beforeAutospacing="1" w:after="100" w:afterAutospacing="1"/>
      <w:widowControl/>
    </w:pPr>
    <w:rPr>
      <w:rFonts w:ascii="宋体" w:hAnsi="宋体"/>
      <w:sz w:val="24"/>
    </w:rPr>
  </w:style>
  <w:style w:type="paragraph" w:styleId="1119" w:customStyle="1">
    <w:name w:val="Char Char2 Char"/>
    <w:basedOn w:val="886"/>
    <w:uiPriority w:val="0"/>
    <w:qFormat/>
    <w:rPr>
      <w:rFonts w:ascii="宋体" w:hAnsi="宋体"/>
      <w:b/>
      <w:sz w:val="28"/>
      <w:szCs w:val="28"/>
    </w:rPr>
  </w:style>
  <w:style w:type="character" w:styleId="1120" w:customStyle="1">
    <w:name w:val="正文缩进 字符"/>
    <w:link w:val="901"/>
    <w:uiPriority w:val="0"/>
    <w:qFormat/>
    <w:rPr>
      <w:b/>
      <w:sz w:val="24"/>
    </w:rPr>
  </w:style>
  <w:style w:type="paragraph" w:styleId="1121" w:customStyle="1">
    <w:name w:val="Char Char Char"/>
    <w:basedOn w:val="886"/>
    <w:uiPriority w:val="0"/>
    <w:qFormat/>
    <w:rPr>
      <w:rFonts w:ascii="宋体" w:hAnsi="宋体"/>
      <w:b/>
      <w:sz w:val="28"/>
      <w:szCs w:val="28"/>
    </w:rPr>
  </w:style>
  <w:style w:type="paragraph" w:styleId="1122" w:customStyle="1">
    <w:name w:val="Char2"/>
    <w:basedOn w:val="886"/>
    <w:uiPriority w:val="0"/>
    <w:qFormat/>
    <w:pPr>
      <w:jc w:val="left"/>
      <w:spacing w:after="160" w:line="240" w:lineRule="exact"/>
      <w:widowControl/>
    </w:pPr>
    <w:rPr>
      <w:szCs w:val="20"/>
    </w:rPr>
  </w:style>
  <w:style w:type="paragraph" w:styleId="1123" w:customStyle="1">
    <w:name w:val="a"/>
    <w:basedOn w:val="886"/>
    <w:uiPriority w:val="0"/>
    <w:qFormat/>
    <w:pPr>
      <w:jc w:val="left"/>
      <w:spacing w:before="100" w:beforeAutospacing="1" w:after="100" w:afterAutospacing="1"/>
      <w:widowControl/>
    </w:pPr>
    <w:rPr>
      <w:rFonts w:ascii="宋体" w:hAnsi="宋体" w:cs="宋体"/>
      <w:sz w:val="24"/>
    </w:rPr>
  </w:style>
  <w:style w:type="character" w:styleId="1124" w:customStyle="1">
    <w:name w:val="description5"/>
    <w:basedOn w:val="896"/>
    <w:uiPriority w:val="0"/>
    <w:qFormat/>
  </w:style>
  <w:style w:type="character" w:styleId="1125">
    <w:name w:val="Placeholder Text"/>
    <w:uiPriority w:val="99"/>
    <w:semiHidden/>
    <w:qFormat/>
    <w:rPr>
      <w:color w:val="808080"/>
    </w:rPr>
  </w:style>
  <w:style w:type="paragraph" w:styleId="1126" w:customStyle="1">
    <w:name w:val="Table Paragraph"/>
    <w:basedOn w:val="886"/>
    <w:uiPriority w:val="1"/>
    <w:qFormat/>
    <w:pPr>
      <w:jc w:val="left"/>
    </w:pPr>
    <w:rPr>
      <w:sz w:val="24"/>
    </w:rPr>
  </w:style>
  <w:style w:type="character" w:styleId="1127" w:customStyle="1">
    <w:name w:val="Char Char7"/>
    <w:uiPriority w:val="0"/>
    <w:qFormat/>
    <w:rPr>
      <w:rFonts w:ascii="Tahoma" w:hAnsi="Tahoma" w:eastAsia="微软雅黑"/>
      <w:b/>
      <w:bCs/>
      <w:sz w:val="32"/>
      <w:szCs w:val="32"/>
      <w:lang w:val="en-US" w:eastAsia="zh-CN" w:bidi="ar-SA"/>
    </w:rPr>
  </w:style>
  <w:style w:type="character" w:styleId="1128" w:customStyle="1">
    <w:name w:val="font01"/>
    <w:uiPriority w:val="0"/>
    <w:qFormat/>
    <w:rPr>
      <w:rFonts w:hint="eastAsia" w:ascii="宋体" w:hAnsi="宋体" w:eastAsia="宋体" w:cs="宋体"/>
      <w:color w:val="000000"/>
      <w:sz w:val="20"/>
      <w:szCs w:val="20"/>
      <w:u w:val="none"/>
    </w:rPr>
  </w:style>
  <w:style w:type="character" w:styleId="1129" w:customStyle="1">
    <w:name w:val="font81"/>
    <w:uiPriority w:val="0"/>
    <w:qFormat/>
    <w:rPr>
      <w:rFonts w:hint="eastAsia" w:ascii="宋体" w:hAnsi="宋体" w:eastAsia="宋体" w:cs="宋体"/>
      <w:color w:val="000000"/>
      <w:sz w:val="22"/>
      <w:szCs w:val="22"/>
      <w:u w:val="none"/>
    </w:rPr>
  </w:style>
  <w:style w:type="character" w:styleId="1130" w:customStyle="1">
    <w:name w:val="font71"/>
    <w:uiPriority w:val="0"/>
    <w:qFormat/>
    <w:rPr>
      <w:rFonts w:hint="eastAsia" w:ascii="宋体" w:hAnsi="宋体" w:eastAsia="宋体" w:cs="宋体"/>
      <w:color w:val="000000"/>
      <w:sz w:val="22"/>
      <w:szCs w:val="22"/>
      <w:u w:val="none"/>
    </w:rPr>
  </w:style>
  <w:style w:type="character" w:styleId="1131" w:customStyle="1">
    <w:name w:val="font51"/>
    <w:uiPriority w:val="0"/>
    <w:qFormat/>
    <w:rPr>
      <w:rFonts w:hint="default" w:ascii="Calibri" w:hAnsi="Calibri" w:cs="Calibri"/>
      <w:color w:val="000000"/>
      <w:sz w:val="22"/>
      <w:szCs w:val="22"/>
      <w:u w:val="none"/>
    </w:rPr>
  </w:style>
  <w:style w:type="character" w:styleId="1132" w:customStyle="1">
    <w:name w:val="font61"/>
    <w:uiPriority w:val="0"/>
    <w:qFormat/>
    <w:rPr>
      <w:rFonts w:hint="default" w:ascii="Calibri" w:hAnsi="Calibri" w:cs="Calibri"/>
      <w:color w:val="000000"/>
      <w:sz w:val="22"/>
      <w:szCs w:val="22"/>
      <w:u w:val="none"/>
    </w:rPr>
  </w:style>
  <w:style w:type="character" w:styleId="1133" w:customStyle="1">
    <w:name w:val="font41"/>
    <w:uiPriority w:val="0"/>
    <w:qFormat/>
    <w:rPr>
      <w:rFonts w:hint="eastAsia" w:ascii="宋体" w:hAnsi="宋体" w:eastAsia="宋体" w:cs="宋体"/>
      <w:color w:val="000000"/>
      <w:sz w:val="22"/>
      <w:szCs w:val="22"/>
      <w:u w:val="none"/>
    </w:rPr>
  </w:style>
  <w:style w:type="character" w:styleId="1134" w:customStyle="1">
    <w:name w:val="未处理的提及2"/>
    <w:basedOn w:val="896"/>
    <w:uiPriority w:val="99"/>
    <w:semiHidden/>
    <w:unhideWhenUsed/>
    <w:qFormat/>
    <w:rPr>
      <w:color w:val="605e5c"/>
      <w:shd w:val="clear" w:color="auto" w:fill="e1dfdd"/>
    </w:rPr>
  </w:style>
  <w:style w:type="character" w:styleId="1135" w:customStyle="1">
    <w:name w:val="未处理的提及3"/>
    <w:basedOn w:val="896"/>
    <w:uiPriority w:val="99"/>
    <w:semiHidden/>
    <w:unhideWhenUsed/>
    <w:qFormat/>
    <w:rPr>
      <w:color w:val="605e5c"/>
      <w:shd w:val="clear" w:color="auto" w:fill="e1dfdd"/>
    </w:rPr>
  </w:style>
  <w:style w:type="paragraph" w:styleId="1136" w:customStyle="1">
    <w:name w:val="_Style 234"/>
    <w:basedOn w:val="886"/>
    <w:next w:val="957"/>
    <w:uiPriority w:val="34"/>
    <w:qFormat/>
    <w:pPr>
      <w:ind w:left="420" w:firstLine="420"/>
      <w:spacing w:line="400" w:lineRule="exact"/>
    </w:pPr>
    <w:rPr>
      <w:rFonts w:ascii="Calibri" w:hAnsi="Calibri"/>
    </w:rPr>
  </w:style>
  <w:style w:type="character" w:styleId="1137" w:customStyle="1">
    <w:name w:val="列出段落 字符"/>
    <w:link w:val="957"/>
    <w:uiPriority w:val="99"/>
    <w:qFormat/>
    <w:rPr>
      <w:sz w:val="21"/>
      <w:szCs w:val="24"/>
    </w:rPr>
  </w:style>
  <w:style w:type="character" w:styleId="1138" w:customStyle="1">
    <w:name w:val="彩色列表 - 强调文字颜色 1字符"/>
    <w:uiPriority w:val="34"/>
    <w:qFormat/>
    <w:rPr>
      <w:rFonts w:ascii="Calibri" w:hAnsi="Calibri"/>
      <w:sz w:val="21"/>
      <w:szCs w:val="24"/>
    </w:rPr>
  </w:style>
  <w:style w:type="character" w:styleId="1139" w:customStyle="1">
    <w:name w:val="批注主题 字符1"/>
    <w:basedOn w:val="1091"/>
    <w:uiPriority w:val="99"/>
    <w:semiHidden/>
    <w:qFormat/>
    <w:rPr>
      <w:rFonts w:ascii="Calibri" w:hAnsi="Calibri" w:eastAsia="宋体" w:cs="Times New Roman"/>
      <w:b/>
      <w:bCs/>
      <w:sz w:val="24"/>
      <w:szCs w:val="24"/>
    </w:rPr>
  </w:style>
  <w:style w:type="character" w:styleId="1140" w:customStyle="1">
    <w:name w:val="正文文本缩进 2 字符1"/>
    <w:basedOn w:val="896"/>
    <w:uiPriority w:val="99"/>
    <w:semiHidden/>
    <w:qFormat/>
    <w:rPr>
      <w:rFonts w:ascii="Calibri" w:hAnsi="Calibri" w:eastAsia="宋体" w:cs="Times New Roman"/>
      <w:szCs w:val="24"/>
    </w:rPr>
  </w:style>
  <w:style w:type="character" w:styleId="1141" w:customStyle="1">
    <w:name w:val="标题 字符1"/>
    <w:basedOn w:val="896"/>
    <w:uiPriority w:val="10"/>
    <w:qFormat/>
    <w:rPr>
      <w:rFonts w:asciiTheme="majorHAnsi" w:hAnsiTheme="majorHAnsi" w:eastAsiaTheme="majorEastAsia" w:cstheme="majorBidi"/>
      <w:b/>
      <w:bCs/>
      <w:sz w:val="32"/>
      <w:szCs w:val="32"/>
    </w:rPr>
  </w:style>
  <w:style w:type="character" w:styleId="1142" w:customStyle="1">
    <w:name w:val="正文文本缩进 字符1"/>
    <w:basedOn w:val="896"/>
    <w:uiPriority w:val="99"/>
    <w:semiHidden/>
    <w:qFormat/>
    <w:rPr>
      <w:rFonts w:ascii="Calibri" w:hAnsi="Calibri" w:eastAsia="宋体" w:cs="Times New Roman"/>
      <w:szCs w:val="24"/>
    </w:rPr>
  </w:style>
  <w:style w:type="character" w:styleId="1143" w:customStyle="1">
    <w:name w:val="副标题 字符1"/>
    <w:basedOn w:val="896"/>
    <w:uiPriority w:val="11"/>
    <w:qFormat/>
    <w:rPr>
      <w:b/>
      <w:bCs/>
      <w:sz w:val="32"/>
      <w:szCs w:val="32"/>
    </w:rPr>
  </w:style>
  <w:style w:type="character" w:styleId="1144" w:customStyle="1">
    <w:name w:val="日期 字符1"/>
    <w:basedOn w:val="896"/>
    <w:uiPriority w:val="99"/>
    <w:semiHidden/>
    <w:qFormat/>
    <w:rPr>
      <w:rFonts w:ascii="Calibri" w:hAnsi="Calibri" w:eastAsia="宋体" w:cs="Times New Roman"/>
      <w:szCs w:val="24"/>
    </w:rPr>
  </w:style>
  <w:style w:type="paragraph" w:styleId="1145" w:customStyle="1">
    <w:name w:val="修订2"/>
    <w:uiPriority w:val="99"/>
    <w:unhideWhenUsed/>
    <w:qFormat/>
    <w:rPr>
      <w:rFonts w:ascii="Calibri" w:hAnsi="Calibri" w:eastAsia="宋体" w:cs="Times New Roman"/>
      <w:sz w:val="21"/>
      <w:szCs w:val="24"/>
      <w:lang w:val="en-US" w:eastAsia="zh-CN" w:bidi="ar-SA"/>
    </w:rPr>
  </w:style>
  <w:style w:type="character" w:styleId="1146" w:customStyle="1">
    <w:name w:val="正文文本 字符1"/>
    <w:basedOn w:val="896"/>
    <w:uiPriority w:val="99"/>
    <w:semiHidden/>
    <w:qFormat/>
    <w:rPr>
      <w:rFonts w:ascii="Calibri" w:hAnsi="Calibri" w:eastAsia="宋体" w:cs="Times New Roman"/>
      <w:szCs w:val="24"/>
    </w:rPr>
  </w:style>
  <w:style w:type="character" w:styleId="1147" w:customStyle="1">
    <w:name w:val="批注框文本 字符1"/>
    <w:basedOn w:val="896"/>
    <w:uiPriority w:val="99"/>
    <w:semiHidden/>
    <w:qFormat/>
    <w:rPr>
      <w:rFonts w:ascii="Calibri" w:hAnsi="Calibri" w:eastAsia="宋体" w:cs="Times New Roman"/>
      <w:sz w:val="18"/>
      <w:szCs w:val="18"/>
    </w:rPr>
  </w:style>
  <w:style w:type="paragraph" w:styleId="1148" w:customStyle="1">
    <w:name w:val="小四 段落 宋体 Char Char Char"/>
    <w:basedOn w:val="900"/>
    <w:uiPriority w:val="0"/>
    <w:qFormat/>
    <w:pPr>
      <w:numPr>
        <w:ilvl w:val="0"/>
        <w:numId w:val="0"/>
      </w:numPr>
      <w:ind w:right="-33" w:firstLine="480"/>
      <w:jc w:val="left"/>
      <w:spacing w:line="360" w:lineRule="auto"/>
    </w:pPr>
    <w:rPr>
      <w:rFonts w:ascii="Times New Roman" w:hAnsi="Times New Roman"/>
      <w:sz w:val="24"/>
      <w:szCs w:val="20"/>
    </w:rPr>
  </w:style>
  <w:style w:type="character" w:styleId="1149" w:customStyle="1">
    <w:name w:val="纯文本 字符1"/>
    <w:basedOn w:val="896"/>
    <w:uiPriority w:val="99"/>
    <w:semiHidden/>
    <w:qFormat/>
    <w:rPr>
      <w:rFonts w:hAnsi="Courier New" w:cs="Courier New" w:asciiTheme="minorEastAsia"/>
      <w:szCs w:val="24"/>
    </w:rPr>
  </w:style>
  <w:style w:type="character" w:styleId="1150" w:customStyle="1">
    <w:name w:val="文档结构图 字符1"/>
    <w:basedOn w:val="896"/>
    <w:uiPriority w:val="99"/>
    <w:semiHidden/>
    <w:qFormat/>
    <w:rPr>
      <w:rFonts w:ascii="Microsoft YaHei UI" w:hAnsi="Calibri" w:eastAsia="Microsoft YaHei UI" w:cs="Times New Roman"/>
      <w:sz w:val="18"/>
      <w:szCs w:val="18"/>
    </w:rPr>
  </w:style>
  <w:style w:type="character" w:styleId="1151" w:customStyle="1">
    <w:name w:val="正文文本 3 字符1"/>
    <w:basedOn w:val="896"/>
    <w:uiPriority w:val="99"/>
    <w:semiHidden/>
    <w:qFormat/>
    <w:rPr>
      <w:rFonts w:ascii="Calibri" w:hAnsi="Calibri" w:eastAsia="宋体" w:cs="Times New Roman"/>
      <w:sz w:val="16"/>
      <w:szCs w:val="16"/>
    </w:rPr>
  </w:style>
  <w:style w:type="paragraph" w:styleId="1152" w:customStyle="1">
    <w:name w:val="_Style 106"/>
    <w:basedOn w:val="886"/>
    <w:next w:val="957"/>
    <w:uiPriority w:val="34"/>
    <w:qFormat/>
    <w:pPr>
      <w:ind w:left="420" w:firstLine="420"/>
      <w:spacing w:line="400" w:lineRule="exact"/>
    </w:pPr>
    <w:rPr>
      <w:rFonts w:ascii="Calibri" w:hAnsi="Calibri"/>
    </w:rPr>
  </w:style>
  <w:style w:type="character" w:styleId="1153" w:customStyle="1">
    <w:name w:val="正文文本缩进 3 字符1"/>
    <w:basedOn w:val="896"/>
    <w:uiPriority w:val="99"/>
    <w:semiHidden/>
    <w:qFormat/>
    <w:rPr>
      <w:rFonts w:ascii="Calibri" w:hAnsi="Calibri" w:eastAsia="宋体" w:cs="Times New Roman"/>
      <w:sz w:val="16"/>
      <w:szCs w:val="16"/>
    </w:rPr>
  </w:style>
  <w:style w:type="character" w:styleId="1154" w:customStyle="1">
    <w:name w:val="未处理的提及4"/>
    <w:basedOn w:val="896"/>
    <w:uiPriority w:val="99"/>
    <w:semiHidden/>
    <w:unhideWhenUsed/>
    <w:qFormat/>
    <w:rPr>
      <w:color w:val="605e5c"/>
      <w:shd w:val="clear" w:color="auto" w:fill="e1dfdd"/>
    </w:rPr>
  </w:style>
  <w:style w:type="character" w:styleId="1155" w:customStyle="1">
    <w:name w:val="未处理的提及5"/>
    <w:basedOn w:val="896"/>
    <w:uiPriority w:val="99"/>
    <w:semiHidden/>
    <w:unhideWhenUsed/>
    <w:qFormat/>
    <w:rPr>
      <w:color w:val="605e5c"/>
      <w:shd w:val="clear" w:color="auto" w:fill="e1dfdd"/>
    </w:rPr>
  </w:style>
  <w:style w:type="character" w:styleId="1156" w:customStyle="1">
    <w:name w:val="未处理的提及6"/>
    <w:basedOn w:val="896"/>
    <w:uiPriority w:val="99"/>
    <w:semiHidden/>
    <w:unhideWhenUsed/>
    <w:qFormat/>
    <w:rPr>
      <w:color w:val="605e5c"/>
      <w:shd w:val="clear" w:color="auto" w:fill="e1dfdd"/>
    </w:rPr>
  </w:style>
  <w:style w:type="character" w:styleId="1157" w:customStyle="1">
    <w:name w:val="font101"/>
    <w:uiPriority w:val="0"/>
    <w:qFormat/>
    <w:rPr>
      <w:rFonts w:ascii="PingFangTC-light" w:hAnsi="PingFangTC-light" w:eastAsia="PingFangTC-light" w:cs="PingFangTC-light"/>
      <w:color w:val="ff0000"/>
      <w:sz w:val="22"/>
      <w:szCs w:val="22"/>
      <w:u w:val="none"/>
    </w:rPr>
  </w:style>
  <w:style w:type="character" w:styleId="1158" w:customStyle="1">
    <w:name w:val="font112"/>
    <w:uiPriority w:val="0"/>
    <w:qFormat/>
    <w:rPr>
      <w:rFonts w:ascii="Calibri" w:hAnsi="Calibri" w:cs="Calibri"/>
      <w:color w:val="ff0000"/>
      <w:sz w:val="21"/>
      <w:szCs w:val="21"/>
      <w:u w:val="none"/>
    </w:rPr>
  </w:style>
  <w:style w:type="character" w:styleId="1159" w:customStyle="1">
    <w:name w:val="font121"/>
    <w:uiPriority w:val="0"/>
    <w:qFormat/>
    <w:rPr>
      <w:rFonts w:hint="eastAsia" w:ascii="宋体" w:hAnsi="宋体" w:eastAsia="宋体" w:cs="宋体"/>
      <w:color w:val="000000"/>
      <w:sz w:val="20"/>
      <w:szCs w:val="20"/>
      <w:u w:val="none"/>
    </w:rPr>
  </w:style>
  <w:style w:type="character" w:styleId="1160" w:customStyle="1">
    <w:name w:val="纯文本 Char"/>
    <w:uiPriority w:val="0"/>
    <w:qFormat/>
    <w:rPr>
      <w:rFonts w:ascii="宋体" w:hAnsi="Courier New" w:eastAsia="宋体" w:cs="Courier New"/>
      <w:szCs w:val="21"/>
    </w:rPr>
  </w:style>
  <w:style w:type="character" w:styleId="1161" w:customStyle="1">
    <w:name w:val="NormalCharacter"/>
    <w:uiPriority w:val="0"/>
    <w:qFormat/>
    <w:rPr>
      <w:rFonts w:ascii="Times New Roman" w:hAnsi="Times New Roman" w:eastAsia="宋体" w:cs="Times New Roman"/>
      <w:sz w:val="21"/>
      <w:szCs w:val="22"/>
      <w:lang w:val="en-US" w:eastAsia="zh-CN" w:bidi="ar-SA"/>
    </w:rPr>
  </w:style>
  <w:style w:type="paragraph" w:styleId="1162" w:customStyle="1">
    <w:name w:val="样式 宋体 五号 行距: 单倍行距"/>
    <w:basedOn w:val="886"/>
    <w:uiPriority w:val="0"/>
    <w:qFormat/>
    <w:pPr>
      <w:jc w:val="left"/>
    </w:pPr>
    <w:rPr>
      <w:rFonts w:ascii="宋体" w:hAnsi="宋体"/>
      <w:szCs w:val="20"/>
    </w:rPr>
  </w:style>
  <w:style w:type="paragraph" w:styleId="1163" w:customStyle="1">
    <w:name w:val="列表段落1"/>
    <w:basedOn w:val="886"/>
    <w:uiPriority w:val="99"/>
    <w:qFormat/>
    <w:pPr>
      <w:ind w:firstLine="420"/>
    </w:pPr>
    <w:rPr>
      <w:szCs w:val="20"/>
    </w:rPr>
  </w:style>
  <w:style w:type="character" w:styleId="1164" w:customStyle="1">
    <w:name w:val="fontstyle31"/>
    <w:uiPriority w:val="0"/>
    <w:qFormat/>
    <w:rPr>
      <w:rFonts w:hint="default" w:ascii="TimesNewRomanPS-BoldMT" w:hAnsi="TimesNewRomanPS-BoldMT"/>
      <w:b/>
      <w:bCs/>
      <w:color w:val="000000"/>
      <w:sz w:val="22"/>
      <w:szCs w:val="22"/>
    </w:rPr>
  </w:style>
  <w:style w:type="paragraph" w:styleId="1165" w:customStyle="1">
    <w:name w:val="正文 New"/>
    <w:uiPriority w:val="0"/>
    <w:qFormat/>
    <w:pPr>
      <w:jc w:val="both"/>
      <w:widowControl w:val="off"/>
    </w:pPr>
    <w:rPr>
      <w:rFonts w:ascii="Times New Roman" w:hAnsi="Times New Roman" w:eastAsia="宋体" w:cs="Times New Roman"/>
      <w:sz w:val="21"/>
      <w:szCs w:val="22"/>
      <w:lang w:val="en-US" w:eastAsia="zh-CN" w:bidi="ar-SA"/>
    </w:rPr>
  </w:style>
  <w:style w:type="paragraph" w:styleId="1166"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1167" w:customStyle="1">
    <w:name w:val="表格非标题文字"/>
    <w:uiPriority w:val="0"/>
    <w:qFormat/>
    <w:pPr>
      <w:spacing w:before="80" w:after="40"/>
    </w:pPr>
    <w:rPr>
      <w:rFonts w:ascii="Arial" w:hAnsi="Arial" w:eastAsia="宋体" w:cs="Arial"/>
      <w:sz w:val="18"/>
      <w:szCs w:val="21"/>
      <w:lang w:val="en-US" w:eastAsia="zh-CN" w:bidi="ar-SA"/>
    </w:rPr>
  </w:style>
  <w:style w:type="paragraph" w:styleId="1168" w:customStyle="1">
    <w:name w:val="招标"/>
    <w:basedOn w:val="886"/>
    <w:uiPriority w:val="0"/>
    <w:qFormat/>
    <w:pPr>
      <w:ind w:firstLine="420"/>
      <w:jc w:val="left"/>
      <w:spacing w:line="400" w:lineRule="exact"/>
    </w:pPr>
    <w:rPr>
      <w:rFonts w:ascii="宋体" w:hAnsi="宋体"/>
    </w:rPr>
  </w:style>
  <w:style w:type="paragraph" w:styleId="1169"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170" w:customStyle="1">
    <w:name w:val="二级目录"/>
    <w:next w:val="886"/>
    <w:uiPriority w:val="99"/>
    <w:qFormat/>
    <w:pPr>
      <w:numPr>
        <w:ilvl w:val="0"/>
        <w:numId w:val="4"/>
      </w:numPr>
      <w:spacing w:after="160" w:line="259" w:lineRule="auto"/>
      <w:outlineLvl w:val="1"/>
    </w:pPr>
    <w:rPr>
      <w:rFonts w:ascii="Calibri" w:hAnsi="Calibri" w:eastAsia="宋体" w:cs="Times New Roman"/>
      <w:b/>
      <w:bCs/>
      <w:sz w:val="28"/>
      <w:szCs w:val="28"/>
      <w:lang w:val="en-US" w:eastAsia="zh-CN" w:bidi="ar-SA"/>
    </w:rPr>
  </w:style>
  <w:style w:type="paragraph" w:styleId="1171"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1172"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1173" w:customStyle="1">
    <w:name w:val="修订6"/>
    <w:hidden/>
    <w:uiPriority w:val="99"/>
    <w:unhideWhenUsed/>
    <w:qFormat/>
    <w:rPr>
      <w:rFonts w:ascii="Times New Roman" w:hAnsi="Times New Roman" w:eastAsia="宋体" w:cs="Times New Roman"/>
      <w:sz w:val="21"/>
      <w:szCs w:val="24"/>
      <w:lang w:val="en-US" w:eastAsia="zh-CN" w:bidi="ar-SA"/>
    </w:rPr>
  </w:style>
  <w:style w:type="paragraph" w:styleId="1174" w:customStyle="1">
    <w:name w:val="首行缩进"/>
    <w:basedOn w:val="886"/>
    <w:uiPriority w:val="0"/>
    <w:qFormat/>
    <w:pPr>
      <w:ind w:firstLine="480"/>
    </w:pPr>
    <w:rPr>
      <w:lang w:val="zh-CN"/>
    </w:rPr>
  </w:style>
  <w:style w:type="paragraph" w:styleId="1175" w:customStyle="1">
    <w:name w:val="列表段落2"/>
    <w:basedOn w:val="886"/>
    <w:uiPriority w:val="1"/>
    <w:qFormat/>
    <w:pPr>
      <w:ind w:firstLine="420"/>
    </w:pPr>
  </w:style>
  <w:style w:type="numbering" w:styleId="11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5F62980-D2CB-468E-828F-502F369088EB}"/>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李想</cp:lastModifiedBy>
  <cp:revision>44</cp:revision>
  <dcterms:created xsi:type="dcterms:W3CDTF">2026-04-24T07:10:00Z</dcterms:created>
  <dcterms:modified xsi:type="dcterms:W3CDTF">2026-10-13T08:45:25Z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EFEA0EE065714C18A2652DFB2CD8CA19_13</vt:lpwstr>
  </property>
  <property fmtid="{D5CDD505-2E9C-101B-9397-08002B2CF9AE}" pid="4" name="KSOTemplateDocerSaveRecord">
    <vt:lpwstr>eyJoZGlkIjoiMzEwNTM5NzYwMDRjMzkwZTVkZjY2ODkwMGIxNGU0OTUiLCJ1c2VySWQiOiI0OTA5NzUwMTIifQ==</vt:lpwstr>
  </property>
</Properties>
</file>