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jc w:val="center"/>
        <w:spacing w:after="156" w:line="48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南京市高淳人民医院 </w:t>
      </w:r>
      <w:r/>
    </w:p>
    <w:p>
      <w:pPr>
        <w:jc w:val="center"/>
        <w:spacing w:after="156" w:line="480" w:lineRule="auto"/>
        <w:rPr>
          <w:rFonts w:hint="eastAsia" w:ascii="宋体" w:hAnsi="宋体" w:eastAsia="宋体" w:cs="宋体"/>
          <w:b/>
          <w:bCs/>
          <w:color w:val="000000"/>
          <w:sz w:val="72"/>
          <w:szCs w:val="72"/>
          <w:highlight w:val="none"/>
          <w:lang w:eastAsia="zh-CN"/>
        </w:rPr>
      </w:pPr>
      <w:r>
        <w:rPr>
          <w:rFonts w:hint="eastAsia" w:ascii="宋体" w:hAnsi="宋体" w:cs="宋体"/>
          <w:b/>
          <w:bCs/>
          <w:color w:val="000000"/>
          <w:sz w:val="72"/>
          <w:szCs w:val="72"/>
          <w:highlight w:val="none"/>
          <w:lang w:eastAsia="zh-CN"/>
        </w:rPr>
        <w:t xml:space="preserve">电子鼻咽喉镜</w:t>
      </w:r>
      <w:r/>
    </w:p>
    <w:p>
      <w:pPr>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p>
    <w:p>
      <w:pPr>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highlight w:val="none"/>
          <w:lang w:eastAsia="zh-CN"/>
        </w:rPr>
        <w:t xml:space="preserve">JSZC-320118-SMDG-G2026-0122</w:t>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0.0pt;height:22.8pt;mso-wrap-distance-left:0.0pt;mso-wrap-distance-top:0.0pt;mso-wrap-distance-right:0.0pt;mso-wrap-distance-bottom:0.0pt;" filled="f" stroked="f">
            <v:path textboxrect="0,0,0,0"/>
            <v:imagedata r:id="rId21" o:title=""/>
          </v:shape>
          <o:OLEObject DrawAspect="Content" r:id="rId22" ObjectID="_1525043" ProgID="PBrush" ShapeID="_x0000_i3" Type="Embed"/>
        </w:object>
      </w:r>
      <w:r/>
    </w:p>
    <w:p>
      <w:pPr>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p>
    <w:p>
      <w:pPr>
        <w:jc w:val="center"/>
        <w:spacing w:line="360" w:lineRule="auto"/>
        <w:rPr>
          <w:rFonts w:ascii="Arial" w:hAnsi="Arial" w:eastAsia="黑体" w:cs="Arial"/>
          <w:b/>
          <w:color w:val="000000"/>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2026年10月</w:t>
      </w:r>
      <w:r/>
    </w:p>
    <w:p>
      <w:pPr>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p>
    <w:p>
      <w:pPr>
        <w:spacing w:line="440" w:lineRule="exact"/>
        <w:rPr>
          <w:rFonts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w:t>
      </w:r>
      <w:r>
        <w:rPr>
          <w:rFonts w:ascii="Arial" w:hAnsi="Arial" w:cs="Arial"/>
          <w:color w:val="000000"/>
          <w:szCs w:val="21"/>
          <w:highlight w:val="none"/>
        </w:rPr>
        <w:t xml:space="preserve">招标</w:t>
      </w:r>
      <w:r>
        <w:rPr>
          <w:rFonts w:hint="eastAsia" w:ascii="Arial" w:hAnsi="Arial" w:cs="Arial"/>
          <w:color w:val="000000"/>
          <w:szCs w:val="21"/>
          <w:highlight w:val="none"/>
        </w:rPr>
        <w:t xml:space="preserve">邀请</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合同条款</w:t>
      </w:r>
      <w:r/>
    </w:p>
    <w:p>
      <w:pPr>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w:t>
      </w:r>
      <w:r>
        <w:rPr>
          <w:rFonts w:ascii="Arial" w:hAnsi="Arial" w:cs="Arial"/>
          <w:color w:val="000000"/>
          <w:szCs w:val="21"/>
          <w:highlight w:val="none"/>
        </w:rPr>
        <w:t xml:space="preserve">投标文件格式及附件</w:t>
      </w:r>
      <w:r/>
    </w:p>
    <w:p>
      <w:pPr>
        <w:pStyle w:val="1111"/>
        <w:spacing w:line="480" w:lineRule="auto"/>
        <w:tabs>
          <w:tab w:val="right" w:pos="9638" w:leader="dot"/>
        </w:tabs>
        <w:rPr>
          <w:color w:val="000000"/>
          <w:highlight w:val="none"/>
        </w:rPr>
      </w:pPr>
      <w:r>
        <w:rPr>
          <w:color w:val="000000"/>
          <w:highlight w:val="none"/>
        </w:rPr>
      </w:r>
      <w:r/>
    </w:p>
    <w:p>
      <w:pPr>
        <w:pStyle w:val="1098"/>
        <w:tabs>
          <w:tab w:val="right" w:pos="9638" w:leader="dot"/>
        </w:tabs>
        <w:rPr>
          <w:highlight w:val="none"/>
        </w:rPr>
      </w:pPr>
      <w:r>
        <w:rPr>
          <w:highlight w:val="none"/>
        </w:rPr>
      </w:r>
      <w:r/>
    </w:p>
    <w:p>
      <w:pPr>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p>
    <w:p>
      <w:pPr>
        <w:pStyle w:val="1111"/>
        <w:spacing w:line="480" w:lineRule="auto"/>
        <w:tabs>
          <w:tab w:val="right" w:pos="9638" w:leader="dot"/>
        </w:tabs>
        <w:rPr>
          <w:color w:val="000000"/>
          <w:highlight w:val="none"/>
        </w:rPr>
      </w:pPr>
      <w:r>
        <w:rPr>
          <w:color w:val="000000"/>
          <w:highlight w:val="none"/>
        </w:rPr>
      </w:r>
      <w:r/>
    </w:p>
    <w:p>
      <w:pPr>
        <w:pStyle w:val="1098"/>
        <w:jc w:val="left"/>
        <w:tabs>
          <w:tab w:val="right" w:pos="9638" w:leader="dot"/>
        </w:tabs>
        <w:rPr>
          <w:highlight w:val="none"/>
        </w:rPr>
      </w:pPr>
      <w:r>
        <w:rPr>
          <w:highlight w:val="none"/>
        </w:rPr>
      </w:r>
      <w:r/>
    </w:p>
    <w:p>
      <w:pPr>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p>
    <w:p>
      <w:pPr>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pPr>
      <w:r>
        <w:rPr>
          <w:rFonts w:ascii="Arial" w:hAnsi="Arial" w:eastAsia="黑体" w:cs="Arial"/>
          <w:sz w:val="28"/>
          <w:szCs w:val="28"/>
          <w:highlight w:val="none"/>
        </w:rPr>
      </w:r>
      <w:r/>
    </w:p>
    <w:p>
      <w:pPr>
        <w:jc w:val="center"/>
        <w:rPr>
          <w:rFonts w:ascii="Arial" w:hAnsi="Arial" w:eastAsia="黑体" w:cs="Arial"/>
          <w:sz w:val="28"/>
          <w:szCs w:val="28"/>
          <w:highlight w:val="none"/>
        </w:rPr>
      </w:pPr>
      <w:r>
        <w:rPr>
          <w:rFonts w:ascii="Arial" w:hAnsi="Arial" w:eastAsia="黑体" w:cs="Arial"/>
          <w:sz w:val="28"/>
          <w:szCs w:val="28"/>
          <w:highlight w:val="none"/>
        </w:rPr>
      </w:r>
      <w:r/>
    </w:p>
    <w:p>
      <w:pPr>
        <w:rPr>
          <w:rFonts w:ascii="Arial" w:hAnsi="Arial" w:eastAsia="黑体" w:cs="Arial"/>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sz w:val="28"/>
          <w:szCs w:val="28"/>
          <w:highlight w:val="none"/>
        </w:rPr>
      </w:r>
      <w:r/>
    </w:p>
    <w:p>
      <w:pPr>
        <w:pStyle w:val="1114"/>
        <w:ind w:right="420" w:firstLine="321"/>
        <w:jc w:val="center"/>
        <w:spacing w:line="360" w:lineRule="auto"/>
        <w:rPr>
          <w:szCs w:val="24"/>
          <w:highlight w:val="none"/>
        </w:rPr>
      </w:pPr>
      <w:r>
        <w:rPr>
          <w:rFonts w:hint="eastAsia" w:ascii="黑体" w:hAnsi="宋体" w:eastAsia="黑体"/>
          <w:sz w:val="32"/>
          <w:szCs w:val="32"/>
          <w:highlight w:val="none"/>
        </w:rPr>
        <w:t xml:space="preserve">第一章   投标邀请</w:t>
      </w:r>
      <w:r/>
    </w:p>
    <w:p>
      <w:pPr>
        <w:ind w:right="-159" w:firstLine="420"/>
        <w:spacing w:line="400" w:lineRule="exact"/>
        <w:rPr>
          <w:highlight w:val="none"/>
        </w:rPr>
      </w:pPr>
      <w:r>
        <w:rPr>
          <w:highlight w:val="none"/>
        </w:rPr>
      </w:r>
      <w:r/>
    </w:p>
    <w:p>
      <w:pPr>
        <w:pStyle w:val="1119"/>
        <w:ind w:firstLine="420"/>
        <w:spacing w:before="0" w:beforeAutospacing="0" w:after="0" w:afterAutospacing="0" w:line="360" w:lineRule="auto"/>
        <w:rPr>
          <w:rFonts w:ascii="Arial" w:hAnsi="Arial" w:eastAsia="宋体" w:cs="Arial"/>
          <w:sz w:val="21"/>
          <w:szCs w:val="21"/>
          <w:highlight w:val="none"/>
        </w:rPr>
      </w:pPr>
      <w:r>
        <w:rPr>
          <w:rFonts w:hint="eastAsia" w:ascii="Arial" w:hAnsi="Arial" w:eastAsia="宋体" w:cs="Arial"/>
          <w:sz w:val="21"/>
          <w:szCs w:val="21"/>
          <w:highlight w:val="none"/>
        </w:rPr>
        <w:t xml:space="preserve">苏美达国际技术贸易有限公司受南京市高淳人民医院委托，就电子鼻咽喉镜进行公开招标，现欢迎符合相关条件的供应商参加投标。</w:t>
      </w:r>
      <w:r/>
    </w:p>
    <w:p>
      <w:pPr>
        <w:spacing w:line="360" w:lineRule="auto"/>
        <w:rPr>
          <w:b/>
          <w:bCs/>
          <w:highlight w:val="none"/>
        </w:rPr>
      </w:pPr>
      <w:r/>
      <w:bookmarkStart w:id="0" w:name="_Toc28359002"/>
      <w:r/>
      <w:bookmarkStart w:id="1" w:name="_Toc28359079"/>
      <w:r/>
      <w:bookmarkStart w:id="2" w:name="_Toc35393790"/>
      <w:r/>
      <w:bookmarkStart w:id="3" w:name="_Toc35393621"/>
      <w:r>
        <w:rPr>
          <w:rFonts w:hint="eastAsia"/>
          <w:b/>
          <w:bCs/>
          <w:highlight w:val="none"/>
        </w:rPr>
        <w:t xml:space="preserve">一、项目基本情况</w:t>
      </w:r>
      <w:bookmarkEnd w:id="0"/>
      <w:r/>
      <w:bookmarkEnd w:id="1"/>
      <w:r/>
      <w:bookmarkEnd w:id="2"/>
      <w:r/>
      <w:bookmarkEnd w:id="3"/>
      <w:r>
        <w:rPr>
          <w:rFonts w:hint="eastAsia"/>
          <w:b/>
          <w:bCs/>
          <w:highlight w:val="none"/>
        </w:rPr>
        <w:t xml:space="preserve">及采购需求</w:t>
      </w:r>
      <w:r/>
    </w:p>
    <w:p>
      <w:pPr>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1、项目编号：</w:t>
      </w:r>
      <w:r>
        <w:rPr>
          <w:rFonts w:hint="eastAsia" w:ascii="Arial" w:hAnsi="Arial" w:cs="Arial"/>
          <w:color w:val="000000"/>
          <w:szCs w:val="21"/>
          <w:highlight w:val="none"/>
          <w:lang w:eastAsia="zh-CN"/>
        </w:rPr>
        <w:t xml:space="preserve">JSZC-320118-SMDG-G2026-0122</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2、项目名称：南京市高淳人民医院电子鼻咽喉镜 </w:t>
      </w:r>
      <w:r/>
    </w:p>
    <w:p>
      <w:pPr>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rPr>
        <w:t xml:space="preserve">3、</w:t>
      </w:r>
      <w:r>
        <w:rPr>
          <w:rFonts w:hint="eastAsia" w:ascii="Arial" w:hAnsi="Arial" w:cs="Arial"/>
          <w:color w:val="000000"/>
          <w:szCs w:val="21"/>
          <w:highlight w:val="none"/>
          <w:lang w:val="en-US" w:eastAsia="zh-CN"/>
        </w:rPr>
        <w:t xml:space="preserve">数量：1套</w:t>
      </w:r>
      <w:r/>
    </w:p>
    <w:p>
      <w:pPr>
        <w:spacing w:line="360" w:lineRule="auto"/>
        <w:rPr>
          <w:rFonts w:hint="eastAsia" w:ascii="Arial" w:hAnsi="Arial" w:cs="Arial"/>
          <w:color w:val="000000"/>
          <w:szCs w:val="21"/>
          <w:highlight w:val="none"/>
        </w:rPr>
      </w:pPr>
      <w:r>
        <w:rPr>
          <w:rFonts w:hint="eastAsia" w:ascii="Arial" w:hAnsi="Arial" w:cs="Arial"/>
          <w:color w:val="000000"/>
          <w:szCs w:val="21"/>
          <w:highlight w:val="none"/>
          <w:lang w:val="en-US" w:eastAsia="zh-CN"/>
        </w:rPr>
        <w:t xml:space="preserve">4、预算：RMB160万元</w:t>
      </w:r>
      <w:r/>
    </w:p>
    <w:p>
      <w:pPr>
        <w:spacing w:line="360" w:lineRule="auto"/>
        <w:rPr>
          <w:rFonts w:hint="eastAsia" w:ascii="Arial" w:hAnsi="Arial" w:eastAsia="宋体" w:cs="Arial"/>
          <w:color w:val="000000"/>
          <w:szCs w:val="21"/>
          <w:highlight w:val="none"/>
          <w:lang w:val="en-US" w:eastAsia="zh-CN"/>
        </w:rPr>
      </w:pPr>
      <w:r>
        <w:rPr>
          <w:rFonts w:hint="eastAsia" w:ascii="Arial" w:hAnsi="Arial" w:cs="Arial"/>
          <w:color w:val="000000"/>
          <w:szCs w:val="21"/>
          <w:highlight w:val="none"/>
          <w:lang w:val="en-US" w:eastAsia="zh-CN"/>
        </w:rPr>
        <w:t xml:space="preserve">5、最高限价：RMB160万元</w:t>
      </w:r>
      <w:r/>
    </w:p>
    <w:p>
      <w:pPr>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hint="eastAsia" w:ascii="Arial" w:hAnsi="Arial" w:cs="Arial"/>
          <w:color w:val="000000"/>
          <w:szCs w:val="21"/>
          <w:highlight w:val="none"/>
        </w:rPr>
        <w:t xml:space="preserve">、本项目是否接受进口产品投标：接受</w:t>
      </w:r>
      <w:r/>
    </w:p>
    <w:p>
      <w:pPr>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hint="eastAsia" w:ascii="Arial" w:hAnsi="Arial" w:cs="Arial"/>
          <w:color w:val="000000"/>
          <w:szCs w:val="21"/>
          <w:highlight w:val="none"/>
        </w:rPr>
        <w:t xml:space="preserve">、本项目所属行业：工业</w:t>
      </w:r>
      <w:r/>
    </w:p>
    <w:p>
      <w:pPr>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8</w:t>
      </w:r>
      <w:r>
        <w:rPr>
          <w:rFonts w:hint="eastAsia" w:ascii="Arial" w:hAnsi="Arial" w:cs="Arial"/>
          <w:color w:val="000000"/>
          <w:szCs w:val="21"/>
          <w:highlight w:val="none"/>
        </w:rPr>
        <w:t xml:space="preserve">、本项目是否接受联合体投标：不接受</w:t>
      </w:r>
      <w:r/>
    </w:p>
    <w:p>
      <w:pPr>
        <w:spacing w:line="360" w:lineRule="auto"/>
        <w:rPr>
          <w:rFonts w:hint="eastAsia"/>
          <w:b/>
          <w:bCs/>
          <w:highlight w:val="none"/>
        </w:rPr>
      </w:pPr>
      <w:r>
        <w:rPr>
          <w:rFonts w:hint="eastAsia"/>
          <w:b/>
          <w:bCs/>
          <w:highlight w:val="none"/>
        </w:rPr>
        <w:t xml:space="preserve">二、申请人的资格要求：</w:t>
      </w:r>
      <w:r/>
    </w:p>
    <w:p>
      <w:pPr>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1、根据《中华人民共和国政府采购法》第二十二条规定，供应商应当具备下列一般资格条件：</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（1）法人或者其他组织的营业执照等证明文件，自然人的身份证明；</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（2）具有良好的商业信誉和健全的财务会计制度，提供参加本次政府采购活动前</w:t>
      </w:r>
      <w:r>
        <w:rPr>
          <w:rFonts w:hint="eastAsia" w:ascii="Times New Roman" w:hAnsi="Times New Roman" w:eastAsia="宋体" w:cs="Times New Roman"/>
          <w:highlight w:val="none"/>
          <w:lang w:val="en-US"/>
        </w:rPr>
        <w:t xml:space="preserve">三个月内</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rPr>
        <w:t xml:space="preserve">任意</w:t>
      </w:r>
      <w:r>
        <w:rPr>
          <w:rFonts w:hint="eastAsia" w:ascii="Times New Roman" w:hAnsi="Times New Roman" w:eastAsia="宋体" w:cs="Times New Roman"/>
          <w:highlight w:val="none"/>
        </w:rPr>
        <w:t xml:space="preserve">一个月）企业编制的会计报表（至少包含资产负债表、利润表）</w:t>
      </w:r>
      <w:r>
        <w:rPr>
          <w:rFonts w:hint="eastAsia" w:ascii="Times New Roman" w:hAnsi="Times New Roman" w:eastAsia="宋体" w:cs="Times New Roman"/>
          <w:highlight w:val="none"/>
          <w:lang w:val="en-US"/>
        </w:rPr>
        <w:t xml:space="preserve">或者2024或2025度的财务审计报告，成立不足一年的提供银行资信证明</w:t>
      </w:r>
      <w:r>
        <w:rPr>
          <w:rFonts w:hint="eastAsia" w:ascii="Times New Roman" w:hAnsi="Times New Roman" w:eastAsia="宋体" w:cs="Times New Roman"/>
          <w:highlight w:val="none"/>
          <w:lang w:val="en-US" w:eastAsia="zh-CN"/>
        </w:rPr>
        <w:t xml:space="preserve">扫描件</w:t>
      </w:r>
      <w:r>
        <w:rPr>
          <w:rFonts w:hint="eastAsia" w:ascii="Times New Roman" w:hAnsi="Times New Roman" w:eastAsia="宋体" w:cs="Times New Roman"/>
          <w:highlight w:val="none"/>
          <w:lang w:val="en-US"/>
        </w:rPr>
        <w:t xml:space="preserve">。</w:t>
      </w:r>
      <w:r>
        <w:rPr>
          <w:rFonts w:hint="eastAsia" w:ascii="Times New Roman" w:hAnsi="Times New Roman" w:eastAsia="宋体" w:cs="Times New Roman"/>
          <w:highlight w:val="none"/>
        </w:rPr>
        <w:t xml:space="preserve">）</w:t>
      </w:r>
      <w:r>
        <w:rPr>
          <w:rFonts w:hint="default" w:ascii="Times New Roman" w:hAnsi="Times New Roman" w:eastAsia="宋体" w:cs="Times New Roman"/>
          <w:highlight w:val="none"/>
        </w:rPr>
        <w:t xml:space="preserve">；</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（3）具有履行合同所必需的设备和专业技术能力，提供具备履行合同所必需的设备和专业技术能力的证明材料或承诺函（由供应商根据项目需求提供说明材料）； </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（4）有依法缴纳税收和社会保障资金的良好记录，提供本次采购活动前6个月内（即</w:t>
      </w:r>
      <w:r>
        <w:rPr>
          <w:rFonts w:hint="eastAsia" w:ascii="Times New Roman" w:hAnsi="Times New Roman" w:eastAsia="宋体" w:cs="Times New Roman"/>
          <w:highlight w:val="none"/>
          <w:lang w:val="en-US" w:eastAsia="zh-CN"/>
        </w:rPr>
        <w:t xml:space="preserve">2026年5月</w:t>
      </w:r>
      <w:r>
        <w:rPr>
          <w:rFonts w:hint="eastAsia" w:ascii="Times New Roman" w:hAnsi="Times New Roman" w:eastAsia="宋体" w:cs="Times New Roman"/>
          <w:highlight w:val="none"/>
        </w:rPr>
        <w:t xml:space="preserve">（含）以来），至少1个月缴纳税收和社会保险的凭证扫描件，依法享受免缴、缓缴的，提供证明材料扫描件；</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（6）法律、行政法规规定的其他条件。</w:t>
      </w:r>
      <w:r/>
    </w:p>
    <w:p>
      <w:pPr>
        <w:spacing w:line="360" w:lineRule="auto"/>
        <w:rPr>
          <w:rFonts w:hint="eastAsia" w:ascii="Times New Roman" w:hAnsi="Times New Roman" w:eastAsia="宋体" w:cs="Times New Roman"/>
          <w:highlight w:val="none"/>
        </w:rPr>
      </w:pPr>
      <w:r>
        <w:rPr>
          <w:rFonts w:hint="eastAsia" w:ascii="Times New Roman" w:hAnsi="Times New Roman" w:eastAsia="宋体" w:cs="Times New Roman"/>
          <w:b/>
          <w:bCs/>
          <w:highlight w:val="none"/>
        </w:rPr>
        <w:t xml:space="preserve">说明：</w:t>
      </w:r>
      <w:r>
        <w:rPr>
          <w:rFonts w:hint="eastAsia" w:ascii="Times New Roman" w:hAnsi="Times New Roman" w:eastAsia="宋体" w:cs="Times New Roman"/>
          <w:highlight w:val="none"/>
        </w:rPr>
        <w:t xml:space="preserve">适用信用承诺的供应商，对于（2）至（6）款证明材料可使用《南京市政府采购供应商信用记录表暨信用承诺书》替代。供应商在中标后，应按采购文件要求，将上述由信用承诺书替代的证明材料提交采购人或采购代理机构核验。</w:t>
      </w:r>
      <w:r/>
    </w:p>
    <w:p>
      <w:pPr>
        <w:spacing w:line="360" w:lineRule="auto"/>
        <w:rPr>
          <w:rFonts w:hint="eastAsia" w:ascii="宋体" w:hAnsi="宋体" w:eastAsia="宋体" w:cs="Times New Roman"/>
          <w:highlight w:val="none"/>
        </w:rPr>
      </w:pPr>
      <w:r>
        <w:rPr>
          <w:rFonts w:hint="eastAsia" w:ascii="宋体" w:hAnsi="宋体" w:eastAsia="宋体" w:cs="Times New Roman"/>
          <w:b/>
          <w:bCs/>
          <w:highlight w:val="none"/>
        </w:rPr>
        <w:t xml:space="preserve">2、落实政府采购政策需满足的资格要求：</w:t>
      </w:r>
      <w:r>
        <w:rPr>
          <w:rFonts w:hint="eastAsia" w:ascii="宋体" w:hAnsi="宋体" w:eastAsia="宋体" w:cs="Times New Roman"/>
          <w:highlight w:val="none"/>
        </w:rPr>
        <w:t xml:space="preserve">本项目不专门面向中小微企业或监狱企业或残疾人福利性单位采购。 </w:t>
      </w:r>
      <w:r/>
    </w:p>
    <w:p>
      <w:pPr>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3、本项目的特定资格要求：</w:t>
      </w:r>
      <w:r/>
    </w:p>
    <w:p>
      <w:pPr>
        <w:spacing w:line="360" w:lineRule="auto"/>
        <w:rPr>
          <w:rFonts w:ascii="Times New Roman" w:hAnsi="Times New Roman" w:eastAsia="宋体" w:cs="Times New Roman"/>
          <w:highlight w:val="none"/>
        </w:rPr>
      </w:pPr>
      <w:r/>
      <w:bookmarkStart w:id="4" w:name="_Toc35393792"/>
      <w:r/>
      <w:bookmarkStart w:id="5" w:name="_Toc35393623"/>
      <w:r>
        <w:rPr>
          <w:rFonts w:hint="eastAsia" w:ascii="Times New Roman" w:hAnsi="Times New Roman" w:eastAsia="宋体" w:cs="Times New Roman"/>
          <w:highlight w:val="none"/>
        </w:rPr>
        <w:t xml:space="preserve">（1）根据国家相关规定提供投标产品有效的医疗器械产品注册证或产品备案凭证；</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（2）若投标供应商为代理商，应根据国家相关规定提供范围涵盖投标产品的医疗器械经营许可证或医疗器械经营备案凭证；</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（3）若投标供应商为生产商，应根据国家相关规定提供范围涵盖投标产品的医疗器械生产许可证或生产备案凭证；</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（4）若所投产品为进口产品，应提供有效的</w:t>
      </w:r>
      <w:r>
        <w:rPr>
          <w:rFonts w:hint="eastAsia" w:ascii="Times New Roman" w:hAnsi="Times New Roman" w:eastAsia="宋体" w:cs="Times New Roman"/>
          <w:highlight w:val="none"/>
          <w:lang w:val="en-US" w:eastAsia="zh-CN"/>
        </w:rPr>
        <w:t xml:space="preserve">产品</w:t>
      </w:r>
      <w:r>
        <w:rPr>
          <w:rFonts w:hint="eastAsia" w:ascii="Times New Roman" w:hAnsi="Times New Roman" w:eastAsia="宋体" w:cs="Times New Roman"/>
          <w:highlight w:val="none"/>
        </w:rPr>
        <w:t xml:space="preserve">授权</w:t>
      </w:r>
      <w:r>
        <w:rPr>
          <w:rFonts w:hint="eastAsia" w:ascii="Times New Roman" w:hAnsi="Times New Roman" w:eastAsia="宋体" w:cs="Times New Roman"/>
          <w:highlight w:val="none"/>
          <w:lang w:val="en-US" w:eastAsia="zh-CN"/>
        </w:rPr>
        <w:t xml:space="preserve">书</w:t>
      </w:r>
      <w:r>
        <w:rPr>
          <w:rFonts w:hint="eastAsia" w:ascii="Times New Roman" w:hAnsi="Times New Roman" w:eastAsia="宋体" w:cs="Times New Roman"/>
          <w:highlight w:val="none"/>
        </w:rPr>
        <w:t xml:space="preserve">扫描件。</w:t>
      </w:r>
      <w:r/>
    </w:p>
    <w:p>
      <w:pPr>
        <w:spacing w:line="360" w:lineRule="auto"/>
        <w:rPr>
          <w:rFonts w:hint="eastAsia" w:ascii="宋体" w:hAnsi="宋体" w:eastAsia="宋体" w:cs="Times New Roman"/>
          <w:b/>
          <w:bCs/>
          <w:highlight w:val="none"/>
        </w:rPr>
      </w:pPr>
      <w:r>
        <w:rPr>
          <w:rFonts w:hint="eastAsia" w:ascii="宋体" w:hAnsi="宋体" w:eastAsia="宋体" w:cs="Times New Roman"/>
          <w:b/>
          <w:bCs/>
          <w:highlight w:val="none"/>
        </w:rPr>
        <w:t xml:space="preserve">4、拒绝下述供应商参加本次采购活动的情形：</w:t>
      </w:r>
      <w:r/>
    </w:p>
    <w:p>
      <w:pPr>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（1）供应商单位负责人为同一人或者存在直接控股、管理关系的不同供应商，不得参加同一合同项下的政府采购活动；</w:t>
      </w:r>
      <w:r/>
    </w:p>
    <w:p>
      <w:pPr>
        <w:spacing w:line="360" w:lineRule="auto"/>
        <w:rPr>
          <w:rFonts w:hint="eastAsia" w:ascii="宋体" w:hAnsi="宋体" w:eastAsia="宋体" w:cs="Times New Roman"/>
          <w:highlight w:val="none"/>
        </w:rPr>
      </w:pPr>
      <w:r>
        <w:rPr>
          <w:rFonts w:hint="eastAsia" w:ascii="宋体" w:hAnsi="宋体" w:eastAsia="宋体" w:cs="Times New Roman"/>
          <w:highlight w:val="none"/>
        </w:rPr>
        <w:t xml:space="preserve">（2）凡为采购项目提供整体设计、规范编制或者项目管理、监理、检测等服务的供应商，不得再参加本项目的采购活动；</w:t>
      </w:r>
      <w:r/>
    </w:p>
    <w:p>
      <w:pPr>
        <w:spacing w:line="360" w:lineRule="auto"/>
        <w:rPr>
          <w:rFonts w:hint="eastAsia"/>
          <w:b/>
          <w:bCs/>
          <w:highlight w:val="none"/>
        </w:rPr>
      </w:pPr>
      <w:r>
        <w:rPr>
          <w:rFonts w:hint="eastAsia" w:ascii="Times New Roman" w:hAnsi="Times New Roman" w:eastAsia="宋体" w:cs="Times New Roman"/>
          <w:highlight w:val="none"/>
        </w:rPr>
        <w:t xml:space="preserve">（3）被“信用中国”（</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HYPERLINK "http://www.creditchina.gov.cn/"</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rPr>
        <w:t xml:space="preserve">www.creditchina.gov.cn</w:t>
      </w:r>
      <w:r>
        <w:rPr>
          <w:rFonts w:ascii="Times New Roman" w:hAnsi="Times New Roman" w:eastAsia="宋体" w:cs="Times New Roman"/>
          <w:highlight w:val="none"/>
        </w:rPr>
        <w:fldChar w:fldCharType="end"/>
      </w:r>
      <w:r>
        <w:rPr>
          <w:rFonts w:hint="eastAsia" w:ascii="Times New Roman" w:hAnsi="Times New Roman" w:eastAsia="宋体" w:cs="Times New Roman"/>
          <w:highlight w:val="none"/>
        </w:rPr>
        <w:t xml:space="preserve">）、中国政府采购网（</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HYPERLINK "http://www.ccgp.gov.cn/"</w:instrText>
      </w:r>
      <w:r>
        <w:rPr>
          <w:rFonts w:ascii="Times New Roman" w:hAnsi="Times New Roman" w:eastAsia="宋体" w:cs="Times New Roman"/>
          <w:highlight w:val="none"/>
        </w:rPr>
        <w:fldChar w:fldCharType="separate"/>
      </w:r>
      <w:r>
        <w:rPr>
          <w:rFonts w:hint="eastAsia" w:ascii="Times New Roman" w:hAnsi="Times New Roman" w:eastAsia="宋体" w:cs="Times New Roman"/>
          <w:highlight w:val="none"/>
        </w:rPr>
        <w:t xml:space="preserve">www.ccgp.gov.cn</w:t>
      </w:r>
      <w:r>
        <w:rPr>
          <w:rFonts w:ascii="Times New Roman" w:hAnsi="Times New Roman" w:eastAsia="宋体" w:cs="Times New Roman"/>
          <w:highlight w:val="none"/>
        </w:rPr>
        <w:fldChar w:fldCharType="end"/>
      </w:r>
      <w:r>
        <w:rPr>
          <w:rFonts w:hint="eastAsia" w:ascii="Times New Roman" w:hAnsi="Times New Roman" w:eastAsia="宋体" w:cs="Times New Roman"/>
          <w:highlight w:val="none"/>
        </w:rPr>
        <w:t xml:space="preserve">）列入失信被执行人、重大税收违法案件当事人名单、政府采购严重违法失信行为记录名单.</w:t>
      </w:r>
      <w:bookmarkEnd w:id="4"/>
      <w:r/>
      <w:bookmarkEnd w:id="5"/>
      <w:r/>
      <w:r/>
    </w:p>
    <w:p>
      <w:pPr>
        <w:pStyle w:val="1083"/>
        <w:ind w:firstLine="0"/>
        <w:spacing w:line="360" w:lineRule="auto"/>
        <w:rPr>
          <w:bCs/>
          <w:sz w:val="21"/>
          <w:highlight w:val="none"/>
        </w:rPr>
      </w:pPr>
      <w:r/>
      <w:bookmarkStart w:id="6" w:name="_Toc35393625"/>
      <w:r/>
      <w:bookmarkStart w:id="7" w:name="_Toc35393794"/>
      <w:r/>
      <w:bookmarkStart w:id="8" w:name="_Toc28359084"/>
      <w:r/>
      <w:bookmarkStart w:id="9" w:name="_Toc28359007"/>
      <w:r>
        <w:rPr>
          <w:rFonts w:hint="eastAsia"/>
          <w:bCs/>
          <w:sz w:val="21"/>
          <w:highlight w:val="none"/>
        </w:rPr>
        <w:t xml:space="preserve">三、获取招标文件</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bookmarkStart w:id="10" w:name="_Toc28359082"/>
      <w:r/>
      <w:bookmarkStart w:id="11" w:name="_Toc28359005"/>
      <w:r/>
      <w:bookmarkStart w:id="12" w:name="_Toc35393793"/>
      <w:r/>
      <w:bookmarkStart w:id="13" w:name="_Toc35393624"/>
      <w:r>
        <w:rPr>
          <w:rFonts w:hint="eastAsia" w:ascii="宋体" w:hAnsi="宋体" w:eastAsia="宋体" w:cs="Times New Roman"/>
          <w:sz w:val="21"/>
          <w:szCs w:val="20"/>
          <w:highlight w:val="none"/>
          <w:lang w:val="en-US" w:eastAsia="zh-CN" w:bidi="ar-SA"/>
        </w:rPr>
        <w:t xml:space="preserve">1、获取时间：</w:t>
      </w:r>
      <w:r>
        <w:rPr>
          <w:rFonts w:hint="eastAsia" w:ascii="宋体" w:hAnsi="宋体"/>
          <w:sz w:val="21"/>
          <w:szCs w:val="20"/>
        </w:rPr>
        <w:t xml:space="preserve">自招标文件公告发布之日起</w:t>
      </w:r>
      <w:r>
        <w:rPr>
          <w:rFonts w:hint="eastAsia" w:ascii="宋体" w:hAnsi="宋体"/>
          <w:sz w:val="21"/>
          <w:szCs w:val="20"/>
          <w:lang w:val="en-US" w:eastAsia="zh-CN"/>
        </w:rPr>
        <w:t xml:space="preserve">至投标截止时间止</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2、地点：网上注册登记成功后系统内免费下载</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3、获取方式：本项目采用网上注册登记方式。</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3.1潜在供应商访问电子招标响应交易平台的网络地址和方法：</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0"/>
        <w:jc w:val="left"/>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3.2潜在供应商访问“苏采云”系统的网络地址和方法：“苏采云”系统的网址：http://jszfcg.jsczt.cn/。</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3.3“CA数字证书”的获取：</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3.4采购文件（后缀名为“.kedt”）、供应商操作手册及政府采购客户端工具可通过“苏采云”系统--已报名项目--报名详情页面内相应链接进行下载。</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3.5招标代理机构（采购代理机构）将数据电文形式的采购文件加载至“苏采云”系统，供潜在供应商下载或者查阅。</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3.6请潜在投标单位提前安装相应的控件（详见《江苏省政府采购管理交易系统（苏采云）供应商操作手册》）并使用谷歌浏览器登录“苏采云”系统参与不见面开评标。</w:t>
      </w:r>
      <w:r/>
    </w:p>
    <w:p>
      <w:pPr>
        <w:spacing w:line="360" w:lineRule="auto"/>
        <w:rPr>
          <w:b/>
          <w:bCs/>
          <w:highlight w:val="none"/>
        </w:rPr>
      </w:pPr>
      <w:r>
        <w:rPr>
          <w:rFonts w:hint="eastAsia"/>
          <w:b/>
          <w:bCs/>
          <w:highlight w:val="none"/>
        </w:rPr>
        <w:t xml:space="preserve">四、投标</w:t>
      </w:r>
      <w:bookmarkEnd w:id="10"/>
      <w:r/>
      <w:bookmarkEnd w:id="11"/>
      <w:r>
        <w:rPr>
          <w:rFonts w:hint="eastAsia"/>
          <w:b/>
          <w:bCs/>
          <w:highlight w:val="none"/>
        </w:rPr>
        <w:t xml:space="preserve">截止时间、开标时间和地点</w:t>
      </w:r>
      <w:bookmarkEnd w:id="12"/>
      <w:r/>
      <w:bookmarkEnd w:id="13"/>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1、投标截止时间：</w:t>
      </w:r>
      <w:r>
        <w:rPr>
          <w:rFonts w:hint="eastAsia" w:ascii="宋体" w:hAnsi="宋体"/>
          <w:sz w:val="21"/>
          <w:szCs w:val="20"/>
          <w:lang w:val="en-US" w:eastAsia="zh-CN"/>
        </w:rPr>
        <w:t xml:space="preserve">2026</w:t>
      </w:r>
      <w:r>
        <w:rPr>
          <w:rFonts w:hint="eastAsia" w:ascii="宋体" w:hAnsi="宋体"/>
          <w:sz w:val="21"/>
          <w:szCs w:val="20"/>
        </w:rPr>
        <w:t xml:space="preserve">年</w:t>
      </w:r>
      <w:r>
        <w:rPr>
          <w:rFonts w:hint="eastAsia" w:ascii="宋体" w:hAnsi="宋体"/>
          <w:sz w:val="21"/>
          <w:szCs w:val="20"/>
          <w:lang w:val="en-US" w:eastAsia="zh-CN"/>
        </w:rPr>
        <w:t xml:space="preserve">11</w:t>
      </w:r>
      <w:r>
        <w:rPr>
          <w:rFonts w:hint="eastAsia" w:ascii="宋体" w:hAnsi="宋体"/>
          <w:sz w:val="21"/>
          <w:szCs w:val="20"/>
        </w:rPr>
        <w:t xml:space="preserve">月</w:t>
      </w:r>
      <w:r>
        <w:rPr>
          <w:rFonts w:hint="eastAsia" w:ascii="宋体" w:hAnsi="宋体"/>
          <w:sz w:val="21"/>
          <w:szCs w:val="20"/>
          <w:lang w:val="en-US" w:eastAsia="zh-CN"/>
        </w:rPr>
        <w:t xml:space="preserve">20</w:t>
      </w:r>
      <w:r>
        <w:rPr>
          <w:rFonts w:hint="eastAsia" w:ascii="宋体" w:hAnsi="宋体"/>
          <w:sz w:val="21"/>
          <w:szCs w:val="20"/>
        </w:rPr>
        <w:t xml:space="preserve">日</w:t>
      </w:r>
      <w:r>
        <w:rPr>
          <w:rFonts w:hint="eastAsia" w:ascii="宋体" w:hAnsi="宋体"/>
          <w:sz w:val="21"/>
          <w:szCs w:val="20"/>
          <w:lang w:val="en-US" w:eastAsia="zh-CN"/>
        </w:rPr>
        <w:t xml:space="preserve">14</w:t>
      </w:r>
      <w:r>
        <w:rPr>
          <w:rFonts w:hint="eastAsia" w:ascii="宋体" w:hAnsi="宋体"/>
          <w:sz w:val="21"/>
          <w:szCs w:val="20"/>
        </w:rPr>
        <w:t xml:space="preserve">:</w:t>
      </w:r>
      <w:r>
        <w:rPr>
          <w:rFonts w:hint="eastAsia" w:ascii="宋体" w:hAnsi="宋体"/>
          <w:sz w:val="21"/>
          <w:szCs w:val="20"/>
          <w:lang w:val="en-US" w:eastAsia="zh-CN"/>
        </w:rPr>
        <w:t xml:space="preserve">30</w:t>
      </w:r>
      <w:r>
        <w:rPr>
          <w:rFonts w:hint="eastAsia" w:ascii="宋体" w:hAnsi="宋体"/>
          <w:sz w:val="21"/>
          <w:szCs w:val="20"/>
        </w:rPr>
        <w:t xml:space="preserve">（北京时间）</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2、投标截止时间：</w:t>
      </w:r>
      <w:r>
        <w:rPr>
          <w:rFonts w:hint="eastAsia" w:ascii="宋体" w:hAnsi="宋体"/>
          <w:sz w:val="21"/>
          <w:szCs w:val="20"/>
          <w:lang w:val="en-US" w:eastAsia="zh-CN"/>
        </w:rPr>
        <w:t xml:space="preserve">2026</w:t>
      </w:r>
      <w:r>
        <w:rPr>
          <w:rFonts w:hint="eastAsia" w:ascii="宋体" w:hAnsi="宋体"/>
          <w:sz w:val="21"/>
          <w:szCs w:val="20"/>
        </w:rPr>
        <w:t xml:space="preserve">年</w:t>
      </w:r>
      <w:r>
        <w:rPr>
          <w:rFonts w:hint="eastAsia" w:ascii="宋体" w:hAnsi="宋体"/>
          <w:sz w:val="21"/>
          <w:szCs w:val="20"/>
          <w:lang w:val="en-US" w:eastAsia="zh-CN"/>
        </w:rPr>
        <w:t xml:space="preserve">11</w:t>
      </w:r>
      <w:r>
        <w:rPr>
          <w:rFonts w:hint="eastAsia" w:ascii="宋体" w:hAnsi="宋体"/>
          <w:sz w:val="21"/>
          <w:szCs w:val="20"/>
        </w:rPr>
        <w:t xml:space="preserve">月</w:t>
      </w:r>
      <w:r>
        <w:rPr>
          <w:rFonts w:hint="eastAsia" w:ascii="宋体" w:hAnsi="宋体"/>
          <w:sz w:val="21"/>
          <w:szCs w:val="20"/>
          <w:lang w:val="en-US" w:eastAsia="zh-CN"/>
        </w:rPr>
        <w:t xml:space="preserve">20</w:t>
      </w:r>
      <w:r>
        <w:rPr>
          <w:rFonts w:hint="eastAsia" w:ascii="宋体" w:hAnsi="宋体"/>
          <w:sz w:val="21"/>
          <w:szCs w:val="20"/>
        </w:rPr>
        <w:t xml:space="preserve">日</w:t>
      </w:r>
      <w:r>
        <w:rPr>
          <w:rFonts w:hint="eastAsia" w:ascii="宋体" w:hAnsi="宋体"/>
          <w:sz w:val="21"/>
          <w:szCs w:val="20"/>
          <w:lang w:val="en-US" w:eastAsia="zh-CN"/>
        </w:rPr>
        <w:t xml:space="preserve">14</w:t>
      </w:r>
      <w:r>
        <w:rPr>
          <w:rFonts w:hint="eastAsia" w:ascii="宋体" w:hAnsi="宋体"/>
          <w:sz w:val="21"/>
          <w:szCs w:val="20"/>
        </w:rPr>
        <w:t xml:space="preserve">:</w:t>
      </w:r>
      <w:r>
        <w:rPr>
          <w:rFonts w:hint="eastAsia" w:ascii="宋体" w:hAnsi="宋体"/>
          <w:sz w:val="21"/>
          <w:szCs w:val="20"/>
          <w:lang w:val="en-US" w:eastAsia="zh-CN"/>
        </w:rPr>
        <w:t xml:space="preserve">30</w:t>
      </w:r>
      <w:r>
        <w:rPr>
          <w:rFonts w:hint="eastAsia" w:ascii="宋体" w:hAnsi="宋体"/>
          <w:sz w:val="21"/>
          <w:szCs w:val="20"/>
        </w:rPr>
        <w:t xml:space="preserve">（北京时间）</w:t>
      </w:r>
      <w:r/>
    </w:p>
    <w:p>
      <w:pPr>
        <w:ind w:firstLine="0"/>
        <w:jc w:val="both"/>
        <w:spacing w:line="360" w:lineRule="auto"/>
        <w:widowControl w:val="off"/>
        <w:rPr>
          <w:rFonts w:hint="eastAsia" w:ascii="宋体" w:hAnsi="宋体" w:eastAsia="宋体" w:cs="Times New Roman"/>
          <w:sz w:val="21"/>
          <w:szCs w:val="20"/>
          <w:highlight w:val="none"/>
          <w:lang w:val="en-US" w:eastAsia="zh-CN" w:bidi="ar-SA"/>
        </w:rPr>
      </w:pPr>
      <w:r>
        <w:rPr>
          <w:rFonts w:hint="eastAsia" w:ascii="宋体" w:hAnsi="宋体" w:eastAsia="宋体" w:cs="Times New Roman"/>
          <w:sz w:val="21"/>
          <w:szCs w:val="20"/>
          <w:highlight w:val="none"/>
          <w:lang w:val="en-US" w:eastAsia="zh-CN" w:bidi="ar-SA"/>
        </w:rPr>
        <w:t xml:space="preserve">3、开标地点：“苏采云”系统（网址： http://jszfcg.jsczt.cn/）“开标大厅”，点击“苏采云”进入系统“开标大厅”。</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rPr>
        <w:t xml:space="preserve">注：各供应商请关注开标大厅交流区，在开标结束后，请勿离开开标大厅。</w:t>
      </w:r>
      <w:r/>
    </w:p>
    <w:p>
      <w:pPr>
        <w:spacing w:line="360" w:lineRule="auto"/>
        <w:rPr>
          <w:highlight w:val="none"/>
        </w:rPr>
      </w:pPr>
      <w:r>
        <w:rPr>
          <w:rFonts w:hint="eastAsia" w:ascii="Times New Roman" w:hAnsi="Times New Roman" w:eastAsia="宋体" w:cs="Times New Roman"/>
          <w:highlight w:val="none"/>
        </w:rPr>
        <w:t xml:space="preserve">4、投标文件的解密：开标当天各供应商及时登录不见面开标大厅，响应文件递交截止时间后，采购人将在系统内公布投标</w:t>
      </w:r>
      <w:r>
        <w:rPr>
          <w:rFonts w:hint="eastAsia" w:ascii="Times New Roman" w:hAnsi="Times New Roman" w:eastAsia="宋体" w:cs="Times New Roman"/>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b/>
          <w:bCs/>
          <w:highlight w:val="none"/>
        </w:rPr>
      </w:pPr>
      <w:r>
        <w:rPr>
          <w:rFonts w:hint="eastAsia"/>
          <w:b/>
          <w:bCs/>
          <w:highlight w:val="none"/>
        </w:rPr>
        <w:t xml:space="preserve">五、公告期限</w:t>
      </w:r>
      <w:bookmarkEnd w:id="6"/>
      <w:r/>
      <w:bookmarkEnd w:id="7"/>
      <w:r/>
      <w:bookmarkEnd w:id="8"/>
      <w:r/>
      <w:bookmarkEnd w:id="9"/>
      <w:r/>
      <w:r/>
    </w:p>
    <w:p>
      <w:pPr>
        <w:spacing w:line="360" w:lineRule="auto"/>
        <w:rPr>
          <w:highlight w:val="none"/>
        </w:rPr>
      </w:pPr>
      <w:r>
        <w:rPr>
          <w:rFonts w:hint="eastAsia"/>
          <w:highlight w:val="none"/>
        </w:rPr>
        <w:t xml:space="preserve">自本公告发布之日起5个工作日。</w:t>
      </w:r>
      <w:r/>
    </w:p>
    <w:p>
      <w:pPr>
        <w:numPr>
          <w:ilvl w:val="0"/>
          <w:numId w:val="2"/>
        </w:numPr>
        <w:spacing w:line="360" w:lineRule="auto"/>
        <w:rPr>
          <w:b/>
          <w:bCs/>
          <w:highlight w:val="none"/>
        </w:rPr>
      </w:pPr>
      <w:r/>
      <w:bookmarkStart w:id="14" w:name="_Toc35393795"/>
      <w:r/>
      <w:bookmarkStart w:id="15" w:name="_Toc35393626"/>
      <w:r>
        <w:rPr>
          <w:rFonts w:hint="eastAsia"/>
          <w:b/>
          <w:bCs/>
          <w:highlight w:val="none"/>
        </w:rPr>
        <w:t xml:space="preserve">其他补充事宜</w:t>
      </w:r>
      <w:bookmarkEnd w:id="14"/>
      <w:r/>
      <w:bookmarkEnd w:id="15"/>
      <w:r/>
      <w:r/>
    </w:p>
    <w:p>
      <w:pPr>
        <w:ind w:firstLine="0"/>
        <w:jc w:val="both"/>
        <w:spacing w:line="360" w:lineRule="auto"/>
        <w:widowControl w:val="off"/>
        <w:rPr>
          <w:rFonts w:hint="eastAsia" w:ascii="宋体" w:hAnsi="宋体" w:eastAsia="宋体" w:cs="宋体"/>
          <w:b w:val="0"/>
          <w:sz w:val="21"/>
          <w:highlight w:val="none"/>
          <w:lang w:val="en-US" w:eastAsia="zh-CN" w:bidi="ar-SA"/>
        </w:rPr>
      </w:pPr>
      <w:r/>
      <w:bookmarkStart w:id="16" w:name="_Toc35393627"/>
      <w:r/>
      <w:bookmarkStart w:id="17" w:name="_Toc28359085"/>
      <w:r/>
      <w:bookmarkStart w:id="18" w:name="_Toc28359008"/>
      <w:r/>
      <w:bookmarkStart w:id="19" w:name="_Toc35393796"/>
      <w:r>
        <w:rPr>
          <w:rFonts w:hint="eastAsia" w:ascii="宋体" w:hAnsi="宋体" w:eastAsia="宋体" w:cs="宋体"/>
          <w:b w:val="0"/>
          <w:sz w:val="21"/>
          <w:highlight w:val="none"/>
          <w:lang w:val="en-US" w:eastAsia="zh-CN" w:bidi="ar-SA"/>
        </w:rPr>
        <w:t xml:space="preserve">1、本项目公告媒体：江苏政府采购网（http://www.ccgp-jiangsu.gov.cn/） </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w:t>
      </w:r>
      <w:r>
        <w:rPr>
          <w:rFonts w:ascii="Times New Roman" w:hAnsi="Times New Roman" w:eastAsia="宋体" w:cs="Times New Roman"/>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360" w:lineRule="auto"/>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有关本次招标的事项若存在变动或修改，敬请及时关注在“江苏政府采购网”发布的更正公告。</w:t>
      </w:r>
      <w:r/>
    </w:p>
    <w:p>
      <w:pPr>
        <w:spacing w:line="360" w:lineRule="auto"/>
        <w:rPr>
          <w:b/>
          <w:bCs/>
          <w:highlight w:val="none"/>
        </w:rPr>
      </w:pPr>
      <w:r>
        <w:rPr>
          <w:rFonts w:hint="eastAsia"/>
          <w:b/>
          <w:bCs/>
          <w:highlight w:val="none"/>
        </w:rPr>
        <w:t xml:space="preserve">七、对本次招标提出询问，请按以下方式联系</w:t>
      </w:r>
      <w:bookmarkEnd w:id="16"/>
      <w:r/>
      <w:bookmarkEnd w:id="17"/>
      <w:r/>
      <w:bookmarkEnd w:id="18"/>
      <w:r/>
      <w:bookmarkEnd w:id="19"/>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1.采购人信息</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称：南京市高淳人民医院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地址：南京市高淳区经济开发区茅山路53号　</w:t>
      </w:r>
      <w:r/>
    </w:p>
    <w:p>
      <w:pPr>
        <w:ind w:left="0" w:firstLine="0"/>
        <w:keepLines w:val="0"/>
        <w:keepNext w:val="0"/>
        <w:pageBreakBefore w:val="0"/>
        <w:spacing w:line="360" w:lineRule="auto"/>
        <w:rPr>
          <w:rFonts w:hint="default" w:ascii="宋体" w:hAnsi="宋体" w:eastAsia="宋体" w:cs="宋体"/>
          <w:szCs w:val="21"/>
          <w:highlight w:val="none"/>
          <w:lang w:val="en-US" w:eastAsia="zh-CN"/>
        </w:rPr>
      </w:pPr>
      <w:r/>
      <w:bookmarkStart w:id="20" w:name="_Toc28359009"/>
      <w:r/>
      <w:bookmarkStart w:id="21" w:name="_Toc28359086"/>
      <w:r>
        <w:rPr>
          <w:rFonts w:hint="eastAsia" w:ascii="宋体" w:hAnsi="宋体" w:eastAsia="宋体" w:cs="宋体"/>
          <w:szCs w:val="21"/>
          <w:highlight w:val="none"/>
          <w:lang w:val="en-US" w:eastAsia="zh-CN"/>
        </w:rPr>
        <w:t xml:space="preserve">联系人：</w:t>
      </w:r>
      <w:r>
        <w:rPr>
          <w:rFonts w:hint="eastAsia" w:ascii="宋体" w:hAnsi="宋体" w:cs="宋体"/>
          <w:szCs w:val="21"/>
          <w:highlight w:val="none"/>
          <w:lang w:val="en-US" w:eastAsia="zh-CN"/>
        </w:rPr>
        <w:t xml:space="preserve">王泉</w:t>
      </w:r>
      <w:r/>
    </w:p>
    <w:p>
      <w:pPr>
        <w:ind w:left="0" w:firstLine="0"/>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联系方式：025-66939040</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2.采购代理机构信息</w:t>
      </w:r>
      <w:bookmarkEnd w:id="20"/>
      <w:r/>
      <w:bookmarkEnd w:id="21"/>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称：苏美达国际技术贸易有限公司</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址：南京市长江路198号苏美达大厦9F</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w:t>
      </w:r>
      <w:bookmarkStart w:id="22" w:name="_Toc28359010"/>
      <w:r/>
      <w:bookmarkStart w:id="23" w:name="_Toc28359087"/>
      <w:r>
        <w:rPr>
          <w:rFonts w:hint="eastAsia" w:ascii="宋体" w:hAnsi="宋体" w:eastAsia="宋体" w:cs="宋体"/>
          <w:szCs w:val="21"/>
          <w:highlight w:val="none"/>
        </w:rPr>
        <w:t xml:space="preserve">人：朱志云</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联系电话：025-84531057</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bookmarkEnd w:id="22"/>
      <w:r/>
      <w:bookmarkEnd w:id="23"/>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项目联系人：朱志云</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话：025-84531057</w:t>
      </w:r>
      <w:r/>
    </w:p>
    <w:p>
      <w:pPr>
        <w:spacing w:line="360" w:lineRule="auto"/>
        <w:rPr>
          <w:rFonts w:ascii="Times New Roman" w:hAnsi="Times New Roman" w:eastAsia="宋体" w:cs="Times New Roman"/>
          <w:highlight w:val="none"/>
        </w:rPr>
      </w:pPr>
      <w:r>
        <w:rPr>
          <w:rFonts w:hint="eastAsia" w:ascii="宋体" w:hAnsi="宋体" w:eastAsia="宋体" w:cs="宋体"/>
          <w:szCs w:val="21"/>
          <w:highlight w:val="none"/>
        </w:rPr>
        <w:t xml:space="preserve">邮箱：</w:t>
      </w:r>
      <w:r>
        <w:rPr>
          <w:rFonts w:ascii="Times New Roman" w:hAnsi="Times New Roman" w:eastAsia="宋体" w:cs="Times New Roman"/>
          <w:highlight w:val="none"/>
        </w:rPr>
        <w:fldChar w:fldCharType="begin"/>
      </w:r>
      <w:r>
        <w:rPr>
          <w:rFonts w:ascii="Times New Roman" w:hAnsi="Times New Roman" w:eastAsia="宋体" w:cs="Times New Roman"/>
          <w:highlight w:val="none"/>
        </w:rPr>
        <w:instrText xml:space="preserve">HYPERLINK "mailto:zhuzhiyun@sumec.com.cn"</w:instrText>
      </w:r>
      <w:r>
        <w:rPr>
          <w:rFonts w:ascii="Times New Roman" w:hAnsi="Times New Roman" w:eastAsia="宋体" w:cs="Times New Roman"/>
          <w:highlight w:val="none"/>
        </w:rPr>
        <w:fldChar w:fldCharType="separate"/>
      </w:r>
      <w:r>
        <w:rPr>
          <w:rFonts w:hint="eastAsia" w:ascii="宋体" w:hAnsi="宋体" w:eastAsia="宋体" w:cs="宋体"/>
          <w:szCs w:val="21"/>
          <w:highlight w:val="none"/>
        </w:rPr>
        <w:t xml:space="preserve">zhuzhiyun@sumec.com.cn</w:t>
      </w:r>
      <w:r>
        <w:rPr>
          <w:rFonts w:ascii="Times New Roman" w:hAnsi="Times New Roman" w:eastAsia="宋体" w:cs="Times New Roman"/>
          <w:highlight w:val="none"/>
        </w:rPr>
        <w:fldChar w:fldCharType="end"/>
      </w:r>
      <w:r/>
    </w:p>
    <w:p>
      <w:pPr>
        <w:rPr>
          <w:highlight w:val="none"/>
        </w:rPr>
      </w:pPr>
      <w:r/>
      <w:bookmarkStart w:id="24" w:name="_Toc16975"/>
      <w:r/>
      <w:bookmarkStart w:id="25" w:name="_Toc28996"/>
      <w:r/>
      <w:r/>
    </w:p>
    <w:p>
      <w:pPr>
        <w:numPr>
          <w:ilvl w:val="0"/>
          <w:numId w:val="3"/>
        </w:numPr>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t xml:space="preserve">投标人须知</w:t>
      </w:r>
      <w:bookmarkEnd w:id="24"/>
      <w:r/>
      <w:bookmarkEnd w:id="25"/>
      <w:r/>
      <w:r/>
    </w:p>
    <w:p>
      <w:pPr>
        <w:spacing w:line="440" w:lineRule="exact"/>
        <w:shd w:val="clear" w:color="auto" w:fill="ffffff"/>
        <w:widowControl/>
        <w:rPr>
          <w:rFonts w:ascii="Arial" w:hAnsi="Arial" w:eastAsia="黑体" w:cs="Arial"/>
          <w:b/>
          <w:color w:val="000000"/>
          <w:sz w:val="28"/>
          <w:szCs w:val="28"/>
          <w:highlight w:val="none"/>
        </w:rPr>
      </w:pPr>
      <w:r>
        <w:rPr>
          <w:rFonts w:ascii="Arial" w:hAnsi="Arial" w:cs="Arial"/>
          <w:b/>
          <w:bCs/>
          <w:color w:val="000000"/>
          <w:sz w:val="24"/>
          <w:highlight w:val="none"/>
        </w:rPr>
        <w:t xml:space="preserve">投标人须知前附表</w:t>
      </w:r>
      <w:r/>
    </w:p>
    <w:tbl>
      <w:tblPr>
        <w:tblStyle w:val="8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spacing w:line="440" w:lineRule="exact"/>
              <w:shd w:val="clear" w:color="auto" w:fill="ffffff"/>
              <w:widowControl/>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采购人：南京市高淳人民医院 </w:t>
            </w:r>
            <w:r/>
          </w:p>
          <w:p>
            <w:pPr>
              <w:spacing w:line="440" w:lineRule="exact"/>
              <w:shd w:val="clear" w:color="auto" w:fill="ffffff"/>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联系人：</w:t>
            </w:r>
            <w:r>
              <w:rPr>
                <w:rFonts w:hint="eastAsia" w:cs="Times New Roman"/>
                <w:highlight w:val="none"/>
                <w:lang w:val="en-US" w:eastAsia="zh-CN"/>
              </w:rPr>
              <w:t xml:space="preserve">王泉</w:t>
            </w:r>
            <w:r/>
          </w:p>
          <w:p>
            <w:pPr>
              <w:spacing w:line="440" w:lineRule="exact"/>
              <w:shd w:val="clear" w:color="auto" w:fill="ffffff"/>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联系方式：025-66939040</w:t>
            </w:r>
            <w:r/>
          </w:p>
          <w:p>
            <w:pPr>
              <w:spacing w:line="440" w:lineRule="exact"/>
              <w:shd w:val="clear" w:color="auto" w:fill="ffffff"/>
              <w:widowControl/>
              <w:rPr>
                <w:rFonts w:ascii="Arial" w:hAnsi="Arial" w:cs="Arial"/>
                <w:b/>
                <w:color w:val="000000"/>
                <w:sz w:val="24"/>
                <w:highlight w:val="none"/>
              </w:rPr>
            </w:pPr>
            <w:r>
              <w:rPr>
                <w:rFonts w:hint="eastAsia" w:ascii="Times New Roman" w:hAnsi="Times New Roman" w:eastAsia="宋体" w:cs="Times New Roman"/>
                <w:highlight w:val="none"/>
              </w:rPr>
              <w:t xml:space="preserve">地址：南京市高淳区经济开发区茅山路53号</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8928" w:type="dxa"/>
            <w:vAlign w:val="center"/>
            <w:textDirection w:val="lrTb"/>
            <w:noWrap w:val="false"/>
          </w:tcPr>
          <w:p>
            <w:pPr>
              <w:spacing w:line="44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采购代理机构：苏美达国际技术贸易有限公司</w:t>
            </w:r>
            <w:r/>
          </w:p>
          <w:p>
            <w:pPr>
              <w:spacing w:line="44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联系人：朱志云</w:t>
            </w:r>
            <w:r/>
          </w:p>
          <w:p>
            <w:pPr>
              <w:spacing w:line="44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联系电话：025-84531057</w:t>
            </w:r>
            <w:r/>
          </w:p>
          <w:p>
            <w:pPr>
              <w:spacing w:line="44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邮箱：</w:t>
            </w:r>
            <w:r>
              <w:rPr>
                <w:highlight w:val="none"/>
              </w:rPr>
              <w:fldChar w:fldCharType="begin"/>
            </w:r>
            <w:r>
              <w:rPr>
                <w:highlight w:val="none"/>
              </w:rPr>
              <w:instrText xml:space="preserve">HYPERLINK "mailto:zhuzhiyun@sumec.com.cn"</w:instrText>
            </w:r>
            <w:r>
              <w:rPr>
                <w:highlight w:val="none"/>
              </w:rPr>
              <w:fldChar w:fldCharType="separate"/>
            </w:r>
            <w:r>
              <w:rPr>
                <w:rFonts w:hint="eastAsia" w:ascii="宋体" w:hAnsi="宋体" w:cs="宋体"/>
                <w:szCs w:val="21"/>
                <w:highlight w:val="none"/>
              </w:rPr>
              <w:t xml:space="preserve">zhuzhiyun@sumec.com.cn</w:t>
            </w:r>
            <w:r>
              <w:rPr>
                <w:highlight w:val="none"/>
              </w:rPr>
              <w:fldChar w:fldCharType="end"/>
            </w:r>
            <w:r/>
          </w:p>
          <w:p>
            <w:pPr>
              <w:spacing w:line="440" w:lineRule="exact"/>
              <w:shd w:val="clear" w:color="auto" w:fill="ffffff"/>
              <w:widowControl/>
              <w:rPr>
                <w:rFonts w:ascii="Arial" w:hAnsi="Arial" w:cs="Arial"/>
                <w:szCs w:val="21"/>
                <w:highlight w:val="none"/>
              </w:rPr>
            </w:pPr>
            <w:r>
              <w:rPr>
                <w:rFonts w:hint="eastAsia" w:ascii="宋体" w:hAnsi="宋体" w:cs="宋体"/>
                <w:szCs w:val="21"/>
                <w:highlight w:val="none"/>
              </w:rPr>
              <w:t xml:space="preserve">联系地址：南京市长江路198号9F</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项目名称：南京市高淳人民医院电子鼻咽喉镜   </w:t>
            </w:r>
            <w:r/>
          </w:p>
          <w:p>
            <w:pPr>
              <w:spacing w:line="440" w:lineRule="exact"/>
              <w:shd w:val="clear" w:color="auto" w:fill="ffffff"/>
              <w:widowControl/>
              <w:rPr>
                <w:rFonts w:hint="eastAsia" w:ascii="Arial" w:hAnsi="Arial" w:eastAsia="宋体" w:cs="Arial"/>
                <w:b/>
                <w:color w:val="000000"/>
                <w:szCs w:val="21"/>
                <w:highlight w:val="none"/>
                <w:lang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JSZC-320118-SMDG-G2026-0122</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ascii="Arial" w:hAnsi="Arial" w:cs="Arial"/>
                <w:b/>
                <w:bCs/>
                <w:color w:val="000000"/>
                <w:szCs w:val="21"/>
                <w:highlight w:val="none"/>
              </w:rPr>
              <w:t xml:space="preserve">投标保证金</w:t>
            </w:r>
            <w:r>
              <w:rPr>
                <w:rFonts w:hint="eastAsia" w:ascii="Arial" w:hAnsi="Arial" w:cs="Arial"/>
                <w:b/>
                <w:bCs/>
                <w:color w:val="000000"/>
                <w:szCs w:val="21"/>
                <w:highlight w:val="none"/>
              </w:rPr>
              <w:t xml:space="preserve">：本项目无需</w:t>
            </w:r>
            <w:r>
              <w:rPr>
                <w:rFonts w:hint="eastAsia" w:ascii="Arial" w:hAnsi="Arial" w:cs="Arial"/>
                <w:b/>
                <w:bCs/>
                <w:color w:val="000000"/>
                <w:szCs w:val="21"/>
                <w:highlight w:val="none"/>
                <w:lang w:val="en-US" w:eastAsia="zh-CN"/>
              </w:rPr>
              <w:t xml:space="preserve">支付</w:t>
            </w:r>
            <w:r>
              <w:rPr>
                <w:rFonts w:hint="eastAsia" w:ascii="Arial" w:hAnsi="Arial" w:cs="Arial"/>
                <w:b/>
                <w:bCs/>
                <w:color w:val="000000"/>
                <w:szCs w:val="21"/>
                <w:highlight w:val="none"/>
              </w:rPr>
              <w:t xml:space="preserve">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ind w:firstLine="0"/>
              <w:jc w:val="both"/>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投标文件接收截止时间：</w:t>
            </w:r>
            <w:r>
              <w:rPr>
                <w:rFonts w:hint="eastAsia" w:ascii="宋体" w:hAnsi="宋体"/>
                <w:sz w:val="21"/>
                <w:szCs w:val="20"/>
                <w:lang w:val="en-US" w:eastAsia="zh-CN"/>
              </w:rPr>
              <w:t xml:space="preserve">2026</w:t>
            </w:r>
            <w:r>
              <w:rPr>
                <w:rFonts w:hint="eastAsia" w:ascii="宋体" w:hAnsi="宋体"/>
                <w:sz w:val="21"/>
                <w:szCs w:val="20"/>
              </w:rPr>
              <w:t xml:space="preserve">年</w:t>
            </w:r>
            <w:r>
              <w:rPr>
                <w:rFonts w:hint="eastAsia" w:ascii="宋体" w:hAnsi="宋体"/>
                <w:sz w:val="21"/>
                <w:szCs w:val="20"/>
                <w:lang w:val="en-US" w:eastAsia="zh-CN"/>
              </w:rPr>
              <w:t xml:space="preserve">11</w:t>
            </w:r>
            <w:r>
              <w:rPr>
                <w:rFonts w:hint="eastAsia" w:ascii="宋体" w:hAnsi="宋体"/>
                <w:sz w:val="21"/>
                <w:szCs w:val="20"/>
              </w:rPr>
              <w:t xml:space="preserve">月</w:t>
            </w:r>
            <w:r>
              <w:rPr>
                <w:rFonts w:hint="eastAsia" w:ascii="宋体" w:hAnsi="宋体"/>
                <w:sz w:val="21"/>
                <w:szCs w:val="20"/>
                <w:lang w:val="en-US" w:eastAsia="zh-CN"/>
              </w:rPr>
              <w:t xml:space="preserve">20</w:t>
            </w:r>
            <w:r>
              <w:rPr>
                <w:rFonts w:hint="eastAsia" w:ascii="宋体" w:hAnsi="宋体"/>
                <w:sz w:val="21"/>
                <w:szCs w:val="20"/>
              </w:rPr>
              <w:t xml:space="preserve">日</w:t>
            </w:r>
            <w:r>
              <w:rPr>
                <w:rFonts w:hint="eastAsia" w:ascii="宋体" w:hAnsi="宋体"/>
                <w:sz w:val="21"/>
                <w:szCs w:val="20"/>
                <w:lang w:val="en-US" w:eastAsia="zh-CN"/>
              </w:rPr>
              <w:t xml:space="preserve">14</w:t>
            </w:r>
            <w:r>
              <w:rPr>
                <w:rFonts w:hint="eastAsia" w:ascii="宋体" w:hAnsi="宋体"/>
                <w:sz w:val="21"/>
                <w:szCs w:val="20"/>
              </w:rPr>
              <w:t xml:space="preserve">:</w:t>
            </w:r>
            <w:r>
              <w:rPr>
                <w:rFonts w:hint="eastAsia" w:ascii="宋体" w:hAnsi="宋体"/>
                <w:sz w:val="21"/>
                <w:szCs w:val="20"/>
                <w:lang w:val="en-US" w:eastAsia="zh-CN"/>
              </w:rPr>
              <w:t xml:space="preserve">30</w:t>
            </w:r>
            <w:r>
              <w:rPr>
                <w:rFonts w:hint="eastAsia" w:ascii="宋体" w:hAnsi="宋体"/>
                <w:sz w:val="21"/>
                <w:szCs w:val="20"/>
              </w:rPr>
              <w:t xml:space="preserve">（北京时间）</w:t>
            </w:r>
            <w:r>
              <w:rPr>
                <w:rFonts w:hint="eastAsia" w:ascii="宋体" w:hAnsi="宋体" w:eastAsia="宋体" w:cs="宋体"/>
                <w:sz w:val="21"/>
                <w:szCs w:val="20"/>
                <w:lang w:val="en-US" w:eastAsia="zh-CN" w:bidi="ar-SA"/>
              </w:rPr>
              <w:t xml:space="preserve"> </w:t>
            </w:r>
            <w:r/>
          </w:p>
          <w:p>
            <w:pPr>
              <w:pStyle w:val="1124"/>
              <w:ind w:firstLine="0"/>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开标时间：2026年11月20日14:30（北京时间）    </w:t>
            </w:r>
            <w:r/>
          </w:p>
          <w:p>
            <w:pPr>
              <w:ind w:firstLine="0"/>
              <w:jc w:val="both"/>
              <w:spacing w:line="360" w:lineRule="auto"/>
              <w:widowControl w:val="off"/>
              <w:rPr>
                <w:rFonts w:ascii="Arial" w:hAnsi="Arial" w:cs="Arial"/>
                <w:color w:val="000000"/>
                <w:szCs w:val="21"/>
                <w:highlight w:val="none"/>
              </w:rPr>
            </w:pPr>
            <w:r>
              <w:rPr>
                <w:rFonts w:hint="eastAsia" w:ascii="宋体" w:hAnsi="宋体" w:eastAsia="宋体" w:cs="宋体"/>
                <w:sz w:val="21"/>
                <w:szCs w:val="20"/>
                <w:lang w:val="en-US" w:eastAsia="zh-CN" w:bidi="ar-SA"/>
              </w:rPr>
              <w:t xml:space="preserve">地点：“苏采云”政府采购交易系统网上开标大厅</w:t>
            </w:r>
            <w:bookmarkStart w:id="120" w:name="_GoBack"/>
            <w:r/>
            <w:bookmarkEnd w:id="120"/>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440" w:lineRule="exact"/>
              <w:rPr>
                <w:rFonts w:ascii="Arial" w:hAnsi="Arial" w:cs="Arial"/>
                <w:b/>
                <w:bCs/>
                <w:color w:val="000000"/>
                <w:szCs w:val="21"/>
                <w:highlight w:val="none"/>
              </w:rPr>
            </w:pPr>
            <w:r>
              <w:rPr>
                <w:rFonts w:ascii="Arial" w:hAnsi="Arial" w:cs="Arial"/>
                <w:b/>
                <w:bCs/>
                <w:color w:val="000000"/>
                <w:szCs w:val="21"/>
                <w:highlight w:val="none"/>
              </w:rPr>
              <w:t xml:space="preserve">投标报价：</w:t>
            </w:r>
            <w:r/>
          </w:p>
          <w:p>
            <w:pPr>
              <w:spacing w:line="460" w:lineRule="exact"/>
              <w:rPr>
                <w:highlight w:val="none"/>
              </w:rPr>
            </w:pPr>
            <w:r>
              <w:rPr>
                <w:rFonts w:hint="eastAsia" w:ascii="宋体" w:hAnsi="宋体" w:cs="宋体"/>
                <w:b/>
                <w:bCs/>
                <w:highlight w:val="none"/>
              </w:rPr>
              <w:t xml:space="preserve">所有投标响应均以人民币报价</w:t>
            </w:r>
            <w:r>
              <w:rPr>
                <w:rFonts w:hint="eastAsia" w:ascii="宋体" w:hAnsi="宋体" w:cs="宋体"/>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000000"/>
                <w:highlight w:val="none"/>
              </w:rPr>
            </w:pPr>
            <w:r>
              <w:rPr>
                <w:rFonts w:hint="eastAsia" w:ascii="Arial" w:hAnsi="Arial" w:cs="Arial"/>
                <w:b/>
                <w:color w:val="000000"/>
                <w:highlight w:val="none"/>
              </w:rPr>
              <w:t xml:space="preserve">现场勘查要求：</w:t>
            </w:r>
            <w:r>
              <w:rPr>
                <w:rFonts w:hint="eastAsia" w:ascii="Arial" w:hAnsi="Arial" w:cs="Arial"/>
                <w:bCs/>
                <w:color w:val="000000"/>
                <w:highlight w:val="none"/>
              </w:rPr>
              <w:t xml:space="preserve">本项目不组织</w:t>
            </w:r>
            <w:r>
              <w:rPr>
                <w:rFonts w:ascii="Arial" w:hAnsi="Arial" w:cs="Arial"/>
                <w:bCs/>
                <w:highlight w:val="none"/>
              </w:rPr>
              <w:t xml:space="preserve">。</w:t>
            </w:r>
            <w:r>
              <w:rPr>
                <w:rFonts w:hint="eastAsia" w:ascii="Arial" w:hAnsi="Arial" w:cs="Arial"/>
                <w:bCs/>
                <w:color w:val="000000"/>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投标报价中的投标价不得超过招标公告、招标文件规定的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，超过规定的</w:t>
            </w:r>
            <w:r>
              <w:rPr>
                <w:rFonts w:hint="eastAsia" w:ascii="Arial" w:hAnsi="Arial" w:cs="Arial"/>
                <w:b/>
                <w:bCs/>
                <w:color w:val="000000"/>
                <w:szCs w:val="21"/>
                <w:highlight w:val="none"/>
              </w:rPr>
              <w:t xml:space="preserve">最高限价</w:t>
            </w:r>
            <w:r>
              <w:rPr>
                <w:rFonts w:ascii="Arial" w:hAnsi="Arial" w:cs="Arial"/>
                <w:b/>
                <w:bCs/>
                <w:color w:val="000000"/>
                <w:szCs w:val="21"/>
                <w:highlight w:val="none"/>
              </w:rPr>
              <w:t xml:space="preserve">的投标文件，按无效投标处理。 </w:t>
            </w:r>
            <w:r/>
          </w:p>
        </w:tc>
      </w:tr>
    </w:tbl>
    <w:p>
      <w:pPr>
        <w:ind w:firstLine="420"/>
        <w:spacing w:line="440" w:lineRule="exact"/>
        <w:shd w:val="clear" w:color="auto" w:fill="ffffff"/>
        <w:widowControl/>
        <w:rPr>
          <w:rFonts w:ascii="Arial" w:hAnsi="Arial" w:cs="Arial"/>
          <w:color w:val="000000"/>
          <w:sz w:val="24"/>
          <w:highlight w:val="none"/>
        </w:rPr>
        <w:outlineLvl w:val="1"/>
      </w:pPr>
      <w:r/>
      <w:bookmarkStart w:id="26" w:name="_Toc19726"/>
      <w:r/>
      <w:bookmarkStart w:id="27" w:name="_Toc8539"/>
      <w:r>
        <w:rPr>
          <w:rFonts w:ascii="Arial" w:hAnsi="Arial" w:cs="Arial"/>
          <w:b/>
          <w:bCs/>
          <w:color w:val="000000"/>
          <w:sz w:val="24"/>
          <w:highlight w:val="none"/>
        </w:rPr>
        <w:t xml:space="preserve">一、总 则</w:t>
      </w:r>
      <w:bookmarkEnd w:id="26"/>
      <w:r/>
      <w:bookmarkEnd w:id="27"/>
      <w:r/>
      <w:r/>
    </w:p>
    <w:p>
      <w:pPr>
        <w:ind w:firstLine="420"/>
        <w:spacing w:line="360" w:lineRule="auto"/>
        <w:rPr>
          <w:rFonts w:hint="eastAsia" w:ascii="宋体" w:hAnsi="宋体" w:cs="宋体"/>
          <w:b/>
          <w:szCs w:val="21"/>
          <w:highlight w:val="none"/>
          <w:lang w:val="zh-CN"/>
        </w:rPr>
        <w:outlineLvl w:val="2"/>
      </w:pPr>
      <w:r/>
      <w:bookmarkStart w:id="28" w:name="_Toc30044"/>
      <w:r/>
      <w:bookmarkStart w:id="29" w:name="_Toc3951"/>
      <w:r/>
      <w:bookmarkStart w:id="30" w:name="_Toc458694821"/>
      <w:r/>
      <w:bookmarkStart w:id="31" w:name="_Toc24947"/>
      <w:r/>
      <w:bookmarkStart w:id="32" w:name="_Toc16938520"/>
      <w:r/>
      <w:bookmarkStart w:id="33" w:name="_Toc20823276"/>
      <w:r/>
      <w:bookmarkStart w:id="34" w:name="_Toc513029204"/>
      <w:r>
        <w:rPr>
          <w:rFonts w:hint="eastAsia" w:ascii="Arial" w:hAnsi="Arial" w:cs="Arial"/>
          <w:b/>
          <w:bCs/>
          <w:color w:val="000000"/>
          <w:szCs w:val="21"/>
          <w:highlight w:val="none"/>
          <w:lang w:val="zh-CN"/>
        </w:rPr>
        <w:t xml:space="preserve">1.</w:t>
      </w:r>
      <w:r>
        <w:rPr>
          <w:rFonts w:hint="eastAsia" w:ascii="宋体" w:hAnsi="宋体" w:cs="宋体"/>
          <w:b/>
          <w:szCs w:val="21"/>
          <w:highlight w:val="none"/>
          <w:lang w:val="zh-CN"/>
        </w:rPr>
        <w:t xml:space="preserve">适用法律</w:t>
      </w:r>
      <w:bookmarkEnd w:id="28"/>
      <w:r/>
      <w:bookmarkEnd w:id="29"/>
      <w:r/>
      <w:r/>
    </w:p>
    <w:p>
      <w:pPr>
        <w:ind w:firstLine="420"/>
        <w:spacing w:line="360" w:lineRule="auto"/>
        <w:rPr>
          <w:rFonts w:hint="eastAsia" w:ascii="宋体" w:hAnsi="宋体" w:cs="宋体"/>
          <w:szCs w:val="21"/>
          <w:highlight w:val="none"/>
          <w:lang w:val="zh-CN"/>
        </w:rPr>
      </w:pPr>
      <w:r>
        <w:rPr>
          <w:rFonts w:hint="eastAsia" w:ascii="Arial" w:hAnsi="Arial" w:cs="Arial"/>
          <w:color w:val="000000"/>
          <w:szCs w:val="21"/>
          <w:highlight w:val="none"/>
          <w:lang w:val="zh-CN"/>
        </w:rPr>
        <w:t xml:space="preserve">1.1 </w:t>
      </w:r>
      <w:r>
        <w:rPr>
          <w:rFonts w:ascii="Arial" w:hAnsi="Arial" w:cs="Arial"/>
          <w:color w:val="000000"/>
          <w:szCs w:val="21"/>
          <w:highlight w:val="none"/>
        </w:rPr>
        <w:t xml:space="preserve">《中华人民共和国招标投标法》</w:t>
      </w:r>
      <w:r>
        <w:rPr>
          <w:rFonts w:hint="eastAsia" w:ascii="Arial" w:hAnsi="Arial" w:cs="Arial"/>
          <w:color w:val="000000"/>
          <w:szCs w:val="21"/>
          <w:highlight w:val="none"/>
        </w:rPr>
        <w:t xml:space="preserve">、</w:t>
      </w:r>
      <w:r>
        <w:rPr>
          <w:rFonts w:hint="eastAsia" w:ascii="宋体" w:hAnsi="宋体" w:cs="宋体"/>
          <w:color w:val="000000"/>
          <w:szCs w:val="21"/>
          <w:highlight w:val="none"/>
          <w:lang w:val="zh-CN"/>
        </w:rPr>
        <w:t xml:space="preserve">《中华人民共和国政府采购法》、《中华人民共和国政府采购法实施条</w:t>
      </w:r>
      <w:r>
        <w:rPr>
          <w:rFonts w:hint="eastAsia" w:ascii="宋体" w:hAnsi="宋体" w:cs="宋体"/>
          <w:szCs w:val="21"/>
          <w:highlight w:val="none"/>
          <w:lang w:val="zh-CN"/>
        </w:rPr>
        <w:t xml:space="preserve">例》、</w:t>
      </w:r>
      <w:r>
        <w:rPr>
          <w:rFonts w:hint="eastAsia" w:ascii="宋体"/>
          <w:szCs w:val="21"/>
          <w:highlight w:val="none"/>
          <w:lang w:val="zh-CN"/>
        </w:rPr>
        <w:t xml:space="preserve">《政府采购货物和服务招标投标管理办法》</w:t>
      </w:r>
      <w:r>
        <w:rPr>
          <w:rFonts w:hint="eastAsia" w:ascii="宋体" w:hAnsi="宋体" w:cs="宋体"/>
          <w:szCs w:val="21"/>
          <w:highlight w:val="none"/>
          <w:lang w:val="zh-CN"/>
        </w:rPr>
        <w:t xml:space="preserve">等有关法律、规章和规定等。</w:t>
      </w:r>
      <w:bookmarkStart w:id="35" w:name="_Toc10994"/>
      <w:r/>
      <w:bookmarkStart w:id="36" w:name="_Toc17176"/>
      <w:r/>
      <w:r/>
    </w:p>
    <w:p>
      <w:pPr>
        <w:ind w:firstLine="420"/>
        <w:spacing w:line="360" w:lineRule="auto"/>
        <w:rPr>
          <w:rFonts w:hint="eastAsia" w:ascii="宋体" w:hAnsi="宋体" w:cs="宋体"/>
          <w:b/>
          <w:szCs w:val="21"/>
          <w:highlight w:val="none"/>
          <w:lang w:val="zh-CN"/>
        </w:rPr>
        <w:outlineLvl w:val="2"/>
      </w:pPr>
      <w:r>
        <w:rPr>
          <w:rFonts w:hint="eastAsia" w:ascii="Arial" w:hAnsi="Arial" w:cs="Arial"/>
          <w:b/>
          <w:bCs/>
          <w:color w:val="000000"/>
          <w:szCs w:val="21"/>
          <w:highlight w:val="none"/>
          <w:lang w:val="zh-CN"/>
        </w:rPr>
        <w:t xml:space="preserve">2.</w:t>
      </w:r>
      <w:r>
        <w:rPr>
          <w:rFonts w:hint="eastAsia" w:ascii="宋体" w:hAnsi="宋体" w:cs="宋体"/>
          <w:b/>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360" w:lineRule="auto"/>
        <w:rPr>
          <w:rFonts w:ascii="Arial" w:hAnsi="Arial" w:cs="Arial"/>
          <w:bCs/>
          <w:color w:val="000000"/>
          <w:highlight w:val="none"/>
        </w:rPr>
      </w:pPr>
      <w:r>
        <w:rPr>
          <w:rFonts w:ascii="Arial" w:hAnsi="Arial" w:cs="Arial"/>
          <w:color w:val="000000"/>
          <w:szCs w:val="21"/>
          <w:highlight w:val="none"/>
        </w:rPr>
        <w:t xml:space="preserve">2.1本文件中采购代理机构为 苏美达国际技术贸易有限公司；采购人为南京市高淳人民医院 ；投标人（亦称供应商）系指参加投标竞争并满足招标文件资格要求规定的法人、其他组织或者自然人。</w:t>
      </w:r>
      <w:r/>
    </w:p>
    <w:p>
      <w:pPr>
        <w:ind w:firstLine="420"/>
        <w:spacing w:line="360" w:lineRule="auto"/>
        <w:rPr>
          <w:rFonts w:ascii="Arial" w:hAnsi="Arial" w:cs="Arial"/>
          <w:bCs/>
          <w:highlight w:val="none"/>
        </w:rPr>
      </w:pPr>
      <w:r>
        <w:rPr>
          <w:rFonts w:hint="eastAsia" w:ascii="Arial" w:hAnsi="Arial" w:cs="Arial"/>
          <w:bCs/>
          <w:highlight w:val="none"/>
        </w:rPr>
        <w:t xml:space="preserve">2.2“货物和服务”指本文件中所述产品及相关货物和服务。</w:t>
      </w:r>
      <w:r/>
    </w:p>
    <w:p>
      <w:pPr>
        <w:ind w:firstLine="420"/>
        <w:spacing w:line="360" w:lineRule="auto"/>
        <w:rPr>
          <w:rFonts w:ascii="Arial" w:hAnsi="Arial" w:cs="Arial"/>
          <w:bCs/>
          <w:highlight w:val="none"/>
        </w:rPr>
      </w:pPr>
      <w:r>
        <w:rPr>
          <w:rFonts w:hint="eastAsia" w:ascii="Arial" w:hAnsi="Arial" w:cs="Arial"/>
          <w:bCs/>
          <w:highlight w:val="none"/>
        </w:rPr>
        <w:t xml:space="preserve">2.3“用户或使用单位”指使用</w:t>
      </w:r>
      <w:r>
        <w:rPr>
          <w:rFonts w:hint="eastAsia" w:ascii="宋体"/>
          <w:szCs w:val="21"/>
          <w:highlight w:val="none"/>
          <w:lang w:val="zh-CN"/>
        </w:rPr>
        <w:t xml:space="preserve">货物、服务的</w:t>
      </w:r>
      <w:r>
        <w:rPr>
          <w:rFonts w:hint="eastAsia" w:ascii="Arial" w:hAnsi="Arial" w:cs="Arial"/>
          <w:bCs/>
          <w:highlight w:val="none"/>
        </w:rPr>
        <w:t xml:space="preserve">单位。</w:t>
      </w:r>
      <w:r/>
    </w:p>
    <w:p>
      <w:pPr>
        <w:ind w:firstLine="422"/>
        <w:spacing w:line="360" w:lineRule="auto"/>
        <w:rPr>
          <w:rFonts w:hint="eastAsia" w:ascii="宋体" w:hAnsi="宋体" w:cs="宋体"/>
          <w:b/>
          <w:szCs w:val="21"/>
          <w:highlight w:val="none"/>
          <w:lang w:val="zh-CN"/>
        </w:rPr>
        <w:outlineLvl w:val="2"/>
      </w:pPr>
      <w:r/>
      <w:bookmarkStart w:id="37" w:name="_Toc18001"/>
      <w:r/>
      <w:bookmarkStart w:id="38" w:name="_Toc25880"/>
      <w:r/>
      <w:bookmarkStart w:id="39" w:name="_Toc513029207"/>
      <w:r/>
      <w:bookmarkStart w:id="40" w:name="_Toc20823279"/>
      <w:r/>
      <w:bookmarkStart w:id="41" w:name="_Toc25651"/>
      <w:r/>
      <w:bookmarkStart w:id="42" w:name="_Toc462564067"/>
      <w:r/>
      <w:bookmarkStart w:id="43" w:name="_Toc17711"/>
      <w:r/>
      <w:bookmarkStart w:id="44" w:name="_Toc16938523"/>
      <w:r/>
      <w:bookmarkStart w:id="45" w:name="_Toc4759"/>
      <w:r>
        <w:rPr>
          <w:rFonts w:hint="eastAsia" w:ascii="宋体" w:hAnsi="宋体" w:cs="宋体"/>
          <w:b/>
          <w:szCs w:val="21"/>
          <w:highlight w:val="none"/>
        </w:rPr>
        <w:t xml:space="preserve">3.</w:t>
      </w:r>
      <w:r>
        <w:rPr>
          <w:rFonts w:hint="eastAsia" w:ascii="宋体" w:hAnsi="宋体" w:cs="宋体"/>
          <w:b/>
          <w:szCs w:val="21"/>
          <w:highlight w:val="none"/>
          <w:lang w:val="zh-CN"/>
        </w:rPr>
        <w:t xml:space="preserve">政策功能</w:t>
      </w:r>
      <w:bookmarkEnd w:id="37"/>
      <w:r/>
      <w:bookmarkEnd w:id="38"/>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3.1线上融资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3.2中小企业、监狱和戒毒企业及残疾人福利性单位</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3.3节能产品、信息安全产品、环境标志产品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3.4进口产品政策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3.4.2允许进口产品参加的，满足需求的国内产品可以参加。</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3.5绿色采购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3.5.2涉及</w:t>
      </w:r>
      <w:r>
        <w:rPr>
          <w:rFonts w:hint="eastAsia" w:ascii="宋体" w:hAnsi="宋体" w:cs="宋体"/>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3.6创新产品采购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3.7网络产品、市场准入类产品采购</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3.7.1 本</w:t>
      </w:r>
      <w:r>
        <w:rPr>
          <w:rFonts w:hint="eastAsia" w:ascii="宋体" w:hAnsi="宋体" w:cs="宋体"/>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3.9根据《</w:t>
      </w:r>
      <w:r>
        <w:rPr>
          <w:rFonts w:hint="eastAsia" w:ascii="宋体" w:hAnsi="宋体" w:cs="宋体"/>
          <w:b/>
          <w:bCs/>
          <w:color w:val="383940"/>
          <w:szCs w:val="21"/>
          <w:highlight w:val="none"/>
          <w:shd w:val="clear" w:color="auto" w:fill="ffffff"/>
        </w:rPr>
        <w:t xml:space="preserve">国务院办公厅关于在政府采购中实施本国产品标准及相关政策的通知</w:t>
      </w:r>
      <w:r>
        <w:rPr>
          <w:rFonts w:hint="eastAsia" w:ascii="宋体" w:hAnsi="宋体" w:cs="宋体"/>
          <w:szCs w:val="21"/>
          <w:highlight w:val="none"/>
        </w:rPr>
        <w:t xml:space="preserve">》，</w:t>
      </w:r>
      <w:r>
        <w:rPr>
          <w:rFonts w:hint="eastAsia" w:ascii="宋体" w:hAnsi="宋体" w:cs="宋体"/>
          <w:color w:val="000000"/>
          <w:szCs w:val="21"/>
          <w:highlight w:val="none"/>
          <w:shd w:val="clear" w:color="auto" w:fill="ffffff"/>
        </w:rPr>
        <w:t xml:space="preserve">政府采购活动中既有本国产品又有非本国产品参与竞争的，依法对本国产品给予价格评审优惠。供应商需对其提供的产品出具《关于符合本国产品标准的声明函》。</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3.11落实政府采购领域数字人民币政策</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注：未按要求提供相关材料的，不享受相关政策。</w:t>
      </w:r>
      <w:r/>
    </w:p>
    <w:p>
      <w:pPr>
        <w:ind w:firstLine="480"/>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4.投标费用</w:t>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4.1 供应商应自行承担所有与参加投标有关的费用，无论采购结果如何，代理机构和采购人在任何情况下均无义务和责任承担这些费用。</w:t>
      </w:r>
      <w:r/>
    </w:p>
    <w:p>
      <w:pPr>
        <w:ind w:firstLine="480"/>
        <w:spacing w:line="360" w:lineRule="auto"/>
        <w:rPr>
          <w:rFonts w:hint="eastAsia" w:ascii="宋体" w:hAnsi="宋体" w:cs="宋体"/>
          <w:b/>
          <w:bCs/>
          <w:szCs w:val="21"/>
          <w:highlight w:val="none"/>
          <w:lang w:val="zh-CN"/>
        </w:rPr>
      </w:pPr>
      <w:r/>
      <w:bookmarkStart w:id="46" w:name="_Toc344"/>
      <w:r/>
      <w:bookmarkStart w:id="47" w:name="_Toc25474"/>
      <w:r>
        <w:rPr>
          <w:rFonts w:hint="eastAsia" w:ascii="宋体" w:hAnsi="宋体" w:cs="宋体"/>
          <w:b/>
          <w:bCs/>
          <w:szCs w:val="21"/>
          <w:highlight w:val="none"/>
          <w:lang w:val="zh-CN"/>
        </w:rPr>
        <w:t xml:space="preserve">5.招标文件的约束力</w:t>
      </w:r>
      <w:bookmarkEnd w:id="46"/>
      <w:r/>
      <w:bookmarkEnd w:id="47"/>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5.1 供应商一旦参加本项目采购活动，即被认为接受了本招标文件的规定和约束。</w:t>
      </w:r>
      <w:r/>
    </w:p>
    <w:p>
      <w:pPr>
        <w:ind w:firstLine="482"/>
        <w:spacing w:line="360" w:lineRule="auto"/>
        <w:rPr>
          <w:rFonts w:hint="eastAsia" w:ascii="宋体" w:hAnsi="宋体" w:cs="宋体"/>
          <w:b/>
          <w:bCs/>
          <w:szCs w:val="21"/>
          <w:highlight w:val="none"/>
        </w:rPr>
      </w:pPr>
      <w:r/>
      <w:bookmarkStart w:id="48" w:name="_Toc11232"/>
      <w:r/>
      <w:bookmarkStart w:id="49" w:name="_Toc16938525"/>
      <w:r/>
      <w:bookmarkStart w:id="50" w:name="_Toc20823281"/>
      <w:r/>
      <w:bookmarkStart w:id="51" w:name="_Toc15035"/>
      <w:r/>
      <w:bookmarkStart w:id="52" w:name="_Toc513029209"/>
      <w:r/>
      <w:bookmarkStart w:id="53" w:name="_Toc120614215"/>
      <w:r>
        <w:rPr>
          <w:rFonts w:hint="eastAsia" w:ascii="宋体" w:hAnsi="宋体" w:cs="宋体"/>
          <w:b/>
          <w:bCs/>
          <w:szCs w:val="21"/>
          <w:highlight w:val="none"/>
        </w:rPr>
        <w:t xml:space="preserve">二、招标文件</w:t>
      </w:r>
      <w:bookmarkEnd w:id="48"/>
      <w:r/>
      <w:bookmarkEnd w:id="49"/>
      <w:r/>
      <w:bookmarkEnd w:id="50"/>
      <w:r/>
      <w:bookmarkEnd w:id="51"/>
      <w:r/>
      <w:bookmarkEnd w:id="52"/>
      <w:r/>
      <w:bookmarkEnd w:id="53"/>
      <w:r/>
      <w:r/>
    </w:p>
    <w:p>
      <w:pPr>
        <w:ind w:firstLine="482"/>
        <w:spacing w:line="360" w:lineRule="auto"/>
        <w:rPr>
          <w:rFonts w:hint="eastAsia" w:ascii="宋体" w:hAnsi="宋体" w:cs="宋体"/>
          <w:b/>
          <w:bCs/>
          <w:szCs w:val="21"/>
          <w:highlight w:val="none"/>
          <w:lang w:val="zh-CN"/>
        </w:rPr>
      </w:pPr>
      <w:r/>
      <w:bookmarkStart w:id="54" w:name="_Toc16938526"/>
      <w:r/>
      <w:bookmarkStart w:id="55" w:name="_Toc31631"/>
      <w:r/>
      <w:bookmarkStart w:id="56" w:name="_Toc2899"/>
      <w:r/>
      <w:bookmarkStart w:id="57" w:name="_Toc20823282"/>
      <w:r/>
      <w:bookmarkStart w:id="58" w:name="_Toc513029210"/>
      <w:r>
        <w:rPr>
          <w:rFonts w:hint="eastAsia" w:ascii="宋体" w:hAnsi="宋体" w:cs="宋体"/>
          <w:b/>
          <w:bCs/>
          <w:szCs w:val="21"/>
          <w:highlight w:val="none"/>
          <w:lang w:val="zh-CN"/>
        </w:rPr>
        <w:t xml:space="preserve">6.招标文件构成</w:t>
      </w:r>
      <w:bookmarkEnd w:id="54"/>
      <w:r/>
      <w:bookmarkEnd w:id="55"/>
      <w:r/>
      <w:bookmarkEnd w:id="56"/>
      <w:r/>
      <w:bookmarkEnd w:id="57"/>
      <w:r/>
      <w:bookmarkEnd w:id="58"/>
      <w:r/>
      <w:r/>
    </w:p>
    <w:p>
      <w:pPr>
        <w:ind w:firstLine="480"/>
        <w:spacing w:line="360" w:lineRule="auto"/>
        <w:rPr>
          <w:rFonts w:hint="eastAsia" w:ascii="宋体" w:hAnsi="宋体" w:cs="宋体"/>
          <w:b/>
          <w:bCs/>
          <w:szCs w:val="21"/>
          <w:highlight w:val="none"/>
        </w:rPr>
      </w:pPr>
      <w:r>
        <w:rPr>
          <w:rFonts w:hint="eastAsia" w:ascii="宋体" w:hAnsi="宋体" w:cs="宋体"/>
          <w:b/>
          <w:bCs/>
          <w:szCs w:val="21"/>
          <w:highlight w:val="none"/>
        </w:rPr>
        <w:t xml:space="preserve">6.1 招标文件由以下部分组成：</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第一章  招标邀请</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第二章  投标人须知</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第三章  评标方法、评分标准</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第四章  采购需求</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第五章  合同条款</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第六章  投标文件格式及附件</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6.2</w:t>
      </w:r>
      <w:r>
        <w:rPr>
          <w:rFonts w:hint="eastAsia" w:ascii="Arial" w:hAnsi="Arial" w:cs="Arial"/>
          <w:b/>
          <w:bCs/>
          <w:color w:val="000000"/>
          <w:szCs w:val="21"/>
          <w:highlight w:val="none"/>
        </w:rPr>
        <w:t xml:space="preserve">招标的最小单位是包。采购需求中未分包的，供应商对要求提供的服务不得部分投标；采购需求中已经分包的，以包为单位投标</w:t>
      </w:r>
      <w:r>
        <w:rPr>
          <w:rFonts w:hint="eastAsia" w:ascii="Arial" w:hAnsi="Arial" w:cs="Arial"/>
          <w:color w:val="000000"/>
          <w:szCs w:val="21"/>
          <w:highlight w:val="none"/>
        </w:rPr>
        <w:t xml:space="preserve">。</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rPr>
        <w:t xml:space="preserve">6.4供应商被视为充分熟悉本招标项目的各种情况以及与履行合同有关的一切其他情况。</w:t>
      </w:r>
      <w:r/>
    </w:p>
    <w:p>
      <w:pPr>
        <w:pStyle w:val="1082"/>
        <w:ind w:left="0" w:firstLine="422"/>
        <w:jc w:val="both"/>
        <w:spacing w:line="360" w:lineRule="auto"/>
        <w:rPr>
          <w:rFonts w:ascii="Arial" w:hAnsi="Arial" w:eastAsia="宋体" w:cs="Arial"/>
          <w:b/>
          <w:bCs/>
          <w:color w:val="000000"/>
          <w:sz w:val="21"/>
          <w:szCs w:val="21"/>
          <w:highlight w:val="none"/>
        </w:rPr>
      </w:pPr>
      <w:r/>
      <w:bookmarkStart w:id="59" w:name="_Toc24838"/>
      <w:r/>
      <w:bookmarkStart w:id="60" w:name="_Toc14415"/>
      <w:r>
        <w:rPr>
          <w:rFonts w:ascii="Arial" w:hAnsi="Arial" w:eastAsia="宋体" w:cs="Arial"/>
          <w:b/>
          <w:bCs/>
          <w:color w:val="000000"/>
          <w:sz w:val="21"/>
          <w:szCs w:val="21"/>
          <w:highlight w:val="none"/>
        </w:rPr>
        <w:t xml:space="preserve">7.招标文件的澄清、补充或修改</w:t>
      </w:r>
      <w:bookmarkEnd w:id="59"/>
      <w:r/>
      <w:bookmarkEnd w:id="60"/>
      <w:r/>
      <w:r/>
    </w:p>
    <w:p>
      <w:pPr>
        <w:ind w:firstLine="441"/>
        <w:spacing w:line="360" w:lineRule="auto"/>
        <w:rPr>
          <w:highlight w:val="none"/>
        </w:rPr>
      </w:pPr>
      <w:r/>
      <w:bookmarkStart w:id="61" w:name="_Toc29128"/>
      <w:r>
        <w:rPr>
          <w:rFonts w:ascii="Arial" w:hAnsi="Arial" w:cs="Arial"/>
          <w:color w:val="000000"/>
          <w:szCs w:val="21"/>
          <w:highlight w:val="none"/>
        </w:rPr>
        <w:t xml:space="preserve">7.1</w:t>
      </w:r>
      <w:r>
        <w:rPr>
          <w:rFonts w:hint="eastAsia"/>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highlight w:val="none"/>
        </w:rPr>
      </w:pPr>
      <w:r>
        <w:rPr>
          <w:rFonts w:hint="eastAsia" w:ascii="Arial" w:hAnsi="Arial" w:cs="Arial"/>
          <w:color w:val="000000"/>
          <w:szCs w:val="21"/>
          <w:highlight w:val="none"/>
        </w:rPr>
        <w:t xml:space="preserve">7.2 </w:t>
      </w:r>
      <w:r>
        <w:rPr>
          <w:rFonts w:hint="eastAsia"/>
          <w:highlight w:val="none"/>
        </w:rPr>
        <w:t xml:space="preserve">采购代理机构对已发出的招标文件进行必要的澄清或者修改，将在投标截止时间15日前，在原招标公告媒体公布。</w:t>
      </w:r>
      <w:r>
        <w:rPr>
          <w:rFonts w:hint="eastAsia" w:ascii="宋体" w:hAnsi="宋体"/>
          <w:szCs w:val="21"/>
          <w:highlight w:val="none"/>
        </w:rPr>
        <w:t xml:space="preserve">不足15日的，采购人或者采购代理机构应当顺延提交投标文件的截止时间。</w:t>
      </w:r>
      <w:r/>
    </w:p>
    <w:p>
      <w:pPr>
        <w:ind w:firstLine="441"/>
        <w:spacing w:line="360" w:lineRule="auto"/>
        <w:rPr>
          <w:highlight w:val="none"/>
        </w:rPr>
      </w:pPr>
      <w:r>
        <w:rPr>
          <w:rFonts w:hint="eastAsia" w:ascii="Arial" w:hAnsi="Arial" w:cs="Arial"/>
          <w:color w:val="000000"/>
          <w:szCs w:val="21"/>
          <w:highlight w:val="none"/>
        </w:rPr>
        <w:t xml:space="preserve">7.3 </w:t>
      </w:r>
      <w:r>
        <w:rPr>
          <w:rFonts w:hint="eastAsia"/>
          <w:highlight w:val="none"/>
        </w:rPr>
        <w:t xml:space="preserve">采购代理机构在招标文件要求提交投标文件截止时间3日前，有权决定延长投标截止时间和开标时间，并在原招标公告媒体上发布变更公告。</w:t>
      </w:r>
      <w:r/>
    </w:p>
    <w:p>
      <w:pPr>
        <w:ind w:firstLine="441"/>
        <w:spacing w:line="360" w:lineRule="auto"/>
        <w:rPr>
          <w:highlight w:val="none"/>
        </w:rPr>
      </w:pPr>
      <w:r>
        <w:rPr>
          <w:rFonts w:hint="eastAsia" w:ascii="Arial" w:hAnsi="Arial" w:cs="Arial"/>
          <w:color w:val="000000"/>
          <w:szCs w:val="21"/>
          <w:highlight w:val="none"/>
        </w:rPr>
        <w:t xml:space="preserve">7.4</w:t>
      </w:r>
      <w:r>
        <w:rPr>
          <w:rFonts w:hint="eastAsia"/>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360" w:lineRule="auto"/>
        <w:rPr>
          <w:rFonts w:ascii="Arial" w:hAnsi="Arial" w:cs="Arial"/>
          <w:bCs/>
          <w:highlight w:val="none"/>
        </w:rPr>
      </w:pPr>
      <w:r>
        <w:rPr>
          <w:rFonts w:hint="eastAsia" w:ascii="Arial" w:hAnsi="Arial" w:cs="Arial"/>
          <w:color w:val="000000"/>
          <w:szCs w:val="21"/>
          <w:highlight w:val="none"/>
        </w:rPr>
        <w:t xml:space="preserve">7.5 </w:t>
      </w:r>
      <w:r>
        <w:rPr>
          <w:rFonts w:hint="eastAsia"/>
          <w:highlight w:val="none"/>
        </w:rPr>
        <w:t xml:space="preserve">采购代理机构发出的所有补充、修改和变更文件均作为招标文件的组成部分，与招标文件具有同等法律效力，并对投标人具有约束力。 </w:t>
      </w:r>
      <w:r/>
    </w:p>
    <w:p>
      <w:pPr>
        <w:ind w:firstLine="420"/>
        <w:spacing w:line="360" w:lineRule="auto"/>
        <w:shd w:val="clear" w:color="auto" w:fill="ffffff"/>
        <w:widowControl/>
        <w:rPr>
          <w:rFonts w:ascii="Arial" w:hAnsi="Arial" w:cs="Arial"/>
          <w:b/>
          <w:bCs/>
          <w:sz w:val="24"/>
          <w:highlight w:val="none"/>
        </w:rPr>
        <w:outlineLvl w:val="1"/>
      </w:pPr>
      <w:r/>
      <w:bookmarkStart w:id="62" w:name="_Toc27318"/>
      <w:r>
        <w:rPr>
          <w:rFonts w:ascii="Arial" w:hAnsi="Arial" w:cs="Arial"/>
          <w:b/>
          <w:bCs/>
          <w:sz w:val="24"/>
          <w:highlight w:val="none"/>
        </w:rPr>
        <w:t xml:space="preserve">三、投标文件的编制</w:t>
      </w:r>
      <w:bookmarkEnd w:id="61"/>
      <w:r/>
      <w:bookmarkEnd w:id="62"/>
      <w:r/>
      <w:r/>
    </w:p>
    <w:p>
      <w:pPr>
        <w:pStyle w:val="1082"/>
        <w:ind w:left="0" w:firstLine="422"/>
        <w:jc w:val="both"/>
        <w:spacing w:line="360" w:lineRule="auto"/>
        <w:rPr>
          <w:rFonts w:ascii="Arial" w:hAnsi="Arial" w:eastAsia="宋体" w:cs="Arial"/>
          <w:b/>
          <w:bCs/>
          <w:sz w:val="21"/>
          <w:szCs w:val="21"/>
          <w:highlight w:val="none"/>
        </w:rPr>
      </w:pPr>
      <w:r/>
      <w:bookmarkStart w:id="63" w:name="_Toc28127"/>
      <w:r/>
      <w:bookmarkStart w:id="64" w:name="_Toc14460"/>
      <w:r>
        <w:rPr>
          <w:rFonts w:ascii="Arial" w:hAnsi="Arial" w:eastAsia="宋体" w:cs="Arial"/>
          <w:b/>
          <w:bCs/>
          <w:sz w:val="21"/>
          <w:szCs w:val="21"/>
          <w:highlight w:val="none"/>
        </w:rPr>
        <w:t xml:space="preserve">8.</w:t>
      </w:r>
      <w:bookmarkEnd w:id="63"/>
      <w:r>
        <w:rPr>
          <w:rFonts w:ascii="Arial" w:hAnsi="Arial" w:eastAsia="宋体" w:cs="Arial"/>
          <w:b/>
          <w:bCs/>
          <w:sz w:val="21"/>
          <w:szCs w:val="21"/>
          <w:highlight w:val="none"/>
        </w:rPr>
        <w:t xml:space="preserve">投标文件的语言</w:t>
      </w:r>
      <w:r>
        <w:rPr>
          <w:rFonts w:hint="eastAsia" w:ascii="Arial" w:hAnsi="Arial" w:eastAsia="宋体" w:cs="Arial"/>
          <w:b/>
          <w:bCs/>
          <w:sz w:val="21"/>
          <w:szCs w:val="21"/>
          <w:highlight w:val="none"/>
        </w:rPr>
        <w:t xml:space="preserve">、计量单位、货币</w:t>
      </w:r>
      <w:bookmarkEnd w:id="64"/>
      <w:r/>
      <w:r/>
    </w:p>
    <w:p>
      <w:pPr>
        <w:ind w:firstLine="420"/>
        <w:spacing w:line="360" w:lineRule="auto"/>
        <w:shd w:val="clear" w:color="auto" w:fill="ffffff"/>
        <w:widowControl/>
        <w:rPr>
          <w:rFonts w:ascii="Arial" w:hAnsi="Arial" w:cs="Arial"/>
          <w:color w:val="000000"/>
          <w:szCs w:val="21"/>
          <w:highlight w:val="none"/>
        </w:rPr>
      </w:pPr>
      <w:r>
        <w:rPr>
          <w:rFonts w:ascii="Arial" w:hAnsi="Arial" w:cs="Arial"/>
          <w:szCs w:val="21"/>
          <w:highlight w:val="none"/>
        </w:rPr>
        <w:t xml:space="preserve">8.1 </w:t>
      </w:r>
      <w:r>
        <w:rPr>
          <w:rFonts w:hint="eastAsia" w:ascii="Arial" w:hAnsi="Arial" w:cs="Arial"/>
          <w:szCs w:val="21"/>
          <w:highlight w:val="none"/>
        </w:rPr>
        <w:t xml:space="preserve">供应商提交的</w:t>
      </w:r>
      <w:r>
        <w:rPr>
          <w:rFonts w:ascii="Arial" w:hAnsi="Arial" w:cs="Arial"/>
          <w:szCs w:val="21"/>
          <w:highlight w:val="none"/>
        </w:rPr>
        <w:t xml:space="preserve">投标文件</w:t>
      </w:r>
      <w:r>
        <w:rPr>
          <w:rFonts w:hint="eastAsia" w:ascii="Arial" w:hAnsi="Arial" w:cs="Arial"/>
          <w:szCs w:val="21"/>
          <w:highlight w:val="none"/>
        </w:rPr>
        <w:t xml:space="preserve">（包括技术文件和资料、图纸中的说明）</w:t>
      </w:r>
      <w:r>
        <w:rPr>
          <w:rFonts w:ascii="Arial" w:hAnsi="Arial" w:cs="Arial"/>
          <w:szCs w:val="21"/>
          <w:highlight w:val="none"/>
        </w:rPr>
        <w:t xml:space="preserve">以及</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与</w:t>
      </w:r>
      <w:r>
        <w:rPr>
          <w:rFonts w:hint="eastAsia" w:ascii="Arial" w:hAnsi="Arial" w:cs="Arial"/>
          <w:color w:val="000000"/>
          <w:szCs w:val="21"/>
          <w:highlight w:val="none"/>
        </w:rPr>
        <w:t xml:space="preserve">采购代理机构</w:t>
      </w:r>
      <w:r>
        <w:rPr>
          <w:rFonts w:ascii="Arial" w:hAnsi="Arial" w:cs="Arial"/>
          <w:color w:val="000000"/>
          <w:szCs w:val="21"/>
          <w:highlight w:val="none"/>
        </w:rPr>
        <w:t xml:space="preserve">之间</w:t>
      </w:r>
      <w:r>
        <w:rPr>
          <w:rFonts w:hint="eastAsia" w:ascii="Arial" w:hAnsi="Arial" w:cs="Arial"/>
          <w:szCs w:val="21"/>
          <w:highlight w:val="none"/>
        </w:rPr>
        <w:t xml:space="preserve">就有关投标的所有来往函电均应</w:t>
      </w:r>
      <w:r>
        <w:rPr>
          <w:rFonts w:ascii="Arial" w:hAnsi="Arial" w:cs="Arial"/>
          <w:color w:val="000000"/>
          <w:szCs w:val="21"/>
          <w:highlight w:val="none"/>
        </w:rPr>
        <w:t xml:space="preserve">以</w:t>
      </w:r>
      <w:r>
        <w:rPr>
          <w:rFonts w:hint="eastAsia" w:ascii="Arial" w:hAnsi="Arial" w:cs="Arial"/>
          <w:color w:val="000000"/>
          <w:szCs w:val="21"/>
          <w:highlight w:val="none"/>
        </w:rPr>
        <w:t xml:space="preserve">简体</w:t>
      </w:r>
      <w:r>
        <w:rPr>
          <w:rFonts w:ascii="Arial" w:hAnsi="Arial" w:cs="Arial"/>
          <w:color w:val="000000"/>
          <w:szCs w:val="21"/>
          <w:highlight w:val="none"/>
        </w:rPr>
        <w:t xml:space="preserve">中文书写。</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8.2</w:t>
      </w: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已印刷好的</w:t>
      </w:r>
      <w:r>
        <w:rPr>
          <w:rFonts w:hint="eastAsia" w:ascii="Arial" w:hAnsi="Arial" w:cs="Arial"/>
          <w:color w:val="000000"/>
          <w:szCs w:val="21"/>
          <w:highlight w:val="none"/>
        </w:rPr>
        <w:t xml:space="preserve">资料如产品样本、说明书等</w:t>
      </w:r>
      <w:r>
        <w:rPr>
          <w:rFonts w:ascii="Arial" w:hAnsi="Arial" w:cs="Arial"/>
          <w:color w:val="000000"/>
          <w:szCs w:val="21"/>
          <w:highlight w:val="none"/>
        </w:rPr>
        <w:t xml:space="preserve">可以用其他语言，但其中要点应附有中文译文。</w:t>
      </w:r>
      <w:r>
        <w:rPr>
          <w:rFonts w:hint="eastAsia" w:ascii="Arial" w:hAnsi="Arial" w:cs="Arial"/>
          <w:color w:val="000000"/>
          <w:szCs w:val="21"/>
          <w:highlight w:val="none"/>
        </w:rPr>
        <w:t xml:space="preserve">对不同文本投标文件的解释发生异议的，以中文翻译文本为准。</w:t>
      </w:r>
      <w:r/>
    </w:p>
    <w:p>
      <w:pPr>
        <w:ind w:firstLine="420"/>
        <w:spacing w:line="360" w:lineRule="auto"/>
        <w:shd w:val="clear" w:color="auto" w:fill="ffffff"/>
        <w:widowControl/>
        <w:rPr>
          <w:rFonts w:ascii="Arial" w:hAnsi="Arial" w:cs="Arial"/>
          <w:szCs w:val="21"/>
          <w:highlight w:val="none"/>
        </w:rPr>
      </w:pPr>
      <w:r/>
      <w:bookmarkStart w:id="65" w:name="_Toc19298"/>
      <w:r>
        <w:rPr>
          <w:rFonts w:ascii="Arial" w:hAnsi="Arial" w:cs="Arial"/>
          <w:szCs w:val="21"/>
          <w:highlight w:val="none"/>
        </w:rPr>
        <w:t xml:space="preserve">8.3 </w:t>
      </w:r>
      <w:r>
        <w:rPr>
          <w:rFonts w:hint="eastAsia" w:ascii="Arial" w:hAnsi="Arial" w:cs="Arial"/>
          <w:szCs w:val="21"/>
          <w:highlight w:val="none"/>
        </w:rPr>
        <w:t xml:space="preserve">除招标文件中有特殊要求外，招标文件中所使用的计量单位应为国家法定计量单位</w:t>
      </w:r>
      <w:r>
        <w:rPr>
          <w:rFonts w:ascii="Arial" w:hAnsi="Arial" w:cs="Arial"/>
          <w:szCs w:val="21"/>
          <w:highlight w:val="none"/>
        </w:rPr>
        <w:t xml:space="preserve">。</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8.4 本招标文件所表述的时间均为北京时间。</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8.5 所有投标响应报价具体详见投标人须知前附表。</w:t>
      </w:r>
      <w:r/>
    </w:p>
    <w:p>
      <w:pPr>
        <w:ind w:firstLine="420"/>
        <w:spacing w:line="360" w:lineRule="auto"/>
        <w:rPr>
          <w:rFonts w:hint="eastAsia" w:ascii="宋体" w:hAnsi="宋体" w:cs="宋体"/>
          <w:b/>
          <w:szCs w:val="21"/>
          <w:highlight w:val="none"/>
          <w:lang w:val="zh-CN"/>
        </w:rPr>
        <w:outlineLvl w:val="2"/>
      </w:pPr>
      <w:r/>
      <w:bookmarkStart w:id="66" w:name="_Toc11547"/>
      <w:r/>
      <w:bookmarkStart w:id="67" w:name="_Toc30894"/>
      <w:r>
        <w:rPr>
          <w:rFonts w:hint="eastAsia" w:ascii="Arial" w:hAnsi="Arial" w:cs="Arial"/>
          <w:b/>
          <w:bCs/>
          <w:color w:val="000000"/>
          <w:szCs w:val="21"/>
          <w:highlight w:val="none"/>
        </w:rPr>
        <w:t xml:space="preserve">9.</w:t>
      </w:r>
      <w:r>
        <w:rPr>
          <w:rFonts w:hint="eastAsia" w:ascii="宋体" w:hAnsi="宋体" w:cs="宋体"/>
          <w:b/>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000000"/>
          <w:szCs w:val="21"/>
          <w:highlight w:val="none"/>
        </w:rPr>
      </w:pPr>
      <w:r>
        <w:rPr>
          <w:rFonts w:hint="eastAsia" w:ascii="Arial" w:hAnsi="Arial" w:cs="Arial"/>
          <w:szCs w:val="21"/>
          <w:highlight w:val="none"/>
        </w:rPr>
        <w:t xml:space="preserve">9.1</w:t>
      </w:r>
      <w:r>
        <w:rPr>
          <w:rFonts w:hint="eastAsia" w:ascii="宋体" w:hAnsi="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000000"/>
          <w:szCs w:val="21"/>
          <w:highlight w:val="none"/>
        </w:rPr>
      </w:pPr>
      <w:r>
        <w:rPr>
          <w:rFonts w:hint="eastAsia" w:ascii="Arial" w:hAnsi="Arial" w:cs="Arial"/>
          <w:szCs w:val="21"/>
          <w:highlight w:val="none"/>
        </w:rPr>
        <w:t xml:space="preserve">9.2</w:t>
      </w:r>
      <w:r>
        <w:rPr>
          <w:rFonts w:hint="eastAsia" w:ascii="宋体" w:hAnsi="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highlight w:val="none"/>
        </w:rPr>
      </w:pPr>
      <w:r>
        <w:rPr>
          <w:rFonts w:hint="eastAsia" w:ascii="Arial" w:hAnsi="Arial" w:cs="Arial"/>
          <w:szCs w:val="21"/>
          <w:highlight w:val="none"/>
        </w:rPr>
        <w:t xml:space="preserve">9.3</w:t>
      </w:r>
      <w:r>
        <w:rPr>
          <w:rFonts w:hint="eastAsia" w:ascii="宋体" w:hAnsi="宋体" w:cs="宋体"/>
          <w:szCs w:val="21"/>
          <w:highlight w:val="none"/>
        </w:rPr>
        <w:t xml:space="preserve">以联合体形式参加采购的，</w:t>
      </w:r>
      <w:r>
        <w:rPr>
          <w:rFonts w:hint="eastAsia" w:ascii="宋体" w:hAnsi="宋体" w:cs="宋体"/>
          <w:b/>
          <w:szCs w:val="21"/>
          <w:highlight w:val="none"/>
        </w:rPr>
        <w:t xml:space="preserve">联合体各方均应当符合政府采购法第二十二条第一款规定的</w:t>
      </w:r>
      <w:r>
        <w:rPr>
          <w:rFonts w:hint="eastAsia" w:ascii="宋体" w:hAnsi="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cs="宋体"/>
          <w:highlight w:val="none"/>
        </w:rPr>
        <w:t xml:space="preserve">。由同一专业的供应商组成的联合体，</w:t>
      </w:r>
      <w:r>
        <w:rPr>
          <w:rFonts w:hint="eastAsia" w:ascii="宋体" w:hAnsi="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cs="宋体"/>
          <w:highlight w:val="none"/>
        </w:rPr>
        <w:t xml:space="preserve">以响应全权代表方的应答材料作为商务评审的依据</w:t>
      </w:r>
      <w:r>
        <w:rPr>
          <w:rFonts w:hint="eastAsia" w:ascii="宋体" w:hAnsi="宋体" w:cs="宋体"/>
          <w:color w:val="000000"/>
          <w:highlight w:val="none"/>
        </w:rPr>
        <w:t xml:space="preserve">。</w:t>
      </w:r>
      <w:r>
        <w:rPr>
          <w:rFonts w:hint="eastAsia" w:ascii="宋体" w:hAnsi="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highlight w:val="none"/>
        </w:rPr>
      </w:pPr>
      <w:r>
        <w:rPr>
          <w:rFonts w:hint="eastAsia" w:ascii="Arial" w:hAnsi="Arial" w:cs="Arial"/>
          <w:szCs w:val="21"/>
          <w:highlight w:val="none"/>
        </w:rPr>
        <w:t xml:space="preserve">9.4 </w:t>
      </w:r>
      <w:r>
        <w:rPr>
          <w:rFonts w:hint="eastAsia" w:ascii="宋体" w:hAnsi="宋体" w:cs="宋体"/>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highlight w:val="none"/>
        </w:rPr>
      </w:pPr>
      <w:r>
        <w:rPr>
          <w:rFonts w:hint="eastAsia" w:ascii="Arial" w:hAnsi="Arial" w:cs="Arial"/>
          <w:szCs w:val="21"/>
          <w:highlight w:val="none"/>
        </w:rPr>
        <w:t xml:space="preserve">9.5 </w:t>
      </w:r>
      <w:r>
        <w:rPr>
          <w:rFonts w:hint="eastAsia" w:ascii="宋体" w:hAnsi="宋体" w:cs="宋体"/>
          <w:highlight w:val="none"/>
        </w:rPr>
        <w:t xml:space="preserve">以联合体形式参加政府采购活动的，联合体各方不得再单独参加或者与其他供应商另外组成联合体参加同一合同项下的政府采购活动。</w:t>
      </w:r>
      <w:bookmarkEnd w:id="65"/>
      <w:r/>
      <w:r/>
    </w:p>
    <w:p>
      <w:pPr>
        <w:pStyle w:val="1082"/>
        <w:ind w:left="0" w:firstLine="422"/>
        <w:jc w:val="both"/>
        <w:spacing w:line="360" w:lineRule="auto"/>
        <w:rPr>
          <w:rFonts w:hint="eastAsia" w:ascii="宋体" w:hAnsi="宋体" w:eastAsia="宋体" w:cs="宋体"/>
          <w:b/>
          <w:sz w:val="24"/>
          <w:szCs w:val="24"/>
          <w:highlight w:val="none"/>
        </w:rPr>
      </w:pPr>
      <w:r/>
      <w:bookmarkStart w:id="68" w:name="_Toc22790"/>
      <w:r/>
      <w:bookmarkStart w:id="69" w:name="_Toc6681"/>
      <w:r>
        <w:rPr>
          <w:rFonts w:hint="eastAsia" w:ascii="Arial" w:hAnsi="Arial" w:eastAsia="宋体" w:cs="Arial"/>
          <w:b/>
          <w:bCs/>
          <w:color w:val="000000"/>
          <w:sz w:val="21"/>
          <w:szCs w:val="21"/>
          <w:highlight w:val="none"/>
        </w:rPr>
        <w:t xml:space="preserve">10</w:t>
      </w:r>
      <w:r>
        <w:rPr>
          <w:rFonts w:ascii="Arial" w:hAnsi="Arial" w:eastAsia="宋体" w:cs="Arial"/>
          <w:b/>
          <w:bCs/>
          <w:color w:val="000000"/>
          <w:sz w:val="21"/>
          <w:szCs w:val="21"/>
          <w:highlight w:val="none"/>
        </w:rPr>
        <w:t xml:space="preserve">.投标文件</w:t>
      </w:r>
      <w:r>
        <w:rPr>
          <w:rFonts w:hint="eastAsia" w:ascii="宋体" w:hAnsi="宋体" w:eastAsia="宋体" w:cs="宋体"/>
          <w:b/>
          <w:sz w:val="21"/>
          <w:highlight w:val="none"/>
        </w:rPr>
        <w:t xml:space="preserve">的</w:t>
      </w:r>
      <w:bookmarkEnd w:id="68"/>
      <w:r>
        <w:rPr>
          <w:rFonts w:hint="eastAsia" w:ascii="宋体" w:hAnsi="宋体" w:eastAsia="宋体" w:cs="宋体"/>
          <w:b/>
          <w:sz w:val="21"/>
          <w:highlight w:val="none"/>
        </w:rPr>
        <w:t xml:space="preserve">组成</w:t>
      </w:r>
      <w:bookmarkEnd w:id="69"/>
      <w:r>
        <w:rPr>
          <w:rFonts w:hint="eastAsia" w:ascii="宋体" w:hAnsi="宋体" w:eastAsia="宋体" w:cs="宋体"/>
          <w:b/>
          <w:sz w:val="21"/>
          <w:highlight w:val="none"/>
        </w:rPr>
        <w:t xml:space="preserve">（相应内容上传至投标客户端）：</w:t>
      </w:r>
      <w:r/>
    </w:p>
    <w:p>
      <w:pPr>
        <w:ind w:firstLine="420"/>
        <w:spacing w:line="360" w:lineRule="auto"/>
        <w:rPr>
          <w:rFonts w:hint="eastAsia" w:ascii="宋体" w:hAnsi="宋体" w:cs="宋体"/>
          <w:highlight w:val="none"/>
        </w:rPr>
      </w:pPr>
      <w:r/>
      <w:bookmarkStart w:id="70" w:name="_Hlk529436144"/>
      <w:r/>
      <w:bookmarkStart w:id="71" w:name="_Hlk525992732"/>
      <w:r/>
      <w:bookmarkStart w:id="72" w:name="_Hlk6917373"/>
      <w:r>
        <w:rPr>
          <w:rFonts w:hint="eastAsia" w:ascii="宋体" w:hAnsi="宋体" w:cs="宋体"/>
          <w:highlight w:val="none"/>
        </w:rPr>
        <w:t xml:space="preserve">1.投标函（格式见附件）；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2.资格证明文件：</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（1）法人或者其他组织的营业执照等证明文件，自然人的身份证明；</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（2）</w:t>
      </w:r>
      <w:r>
        <w:rPr>
          <w:rFonts w:hint="eastAsia" w:ascii="Times New Roman" w:hAnsi="Times New Roman" w:eastAsia="宋体" w:cs="Times New Roman"/>
          <w:highlight w:val="none"/>
        </w:rPr>
        <w:t xml:space="preserve">具有良好的商业信誉和健全的财务会计制度，提供参加本次政府采购活动前</w:t>
      </w:r>
      <w:r>
        <w:rPr>
          <w:rFonts w:hint="eastAsia" w:ascii="Times New Roman" w:hAnsi="Times New Roman" w:eastAsia="宋体" w:cs="Times New Roman"/>
          <w:highlight w:val="none"/>
          <w:lang w:val="en-US"/>
        </w:rPr>
        <w:t xml:space="preserve">三个月内</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rPr>
        <w:t xml:space="preserve">任意</w:t>
      </w:r>
      <w:r>
        <w:rPr>
          <w:rFonts w:hint="eastAsia" w:ascii="Times New Roman" w:hAnsi="Times New Roman" w:eastAsia="宋体" w:cs="Times New Roman"/>
          <w:highlight w:val="none"/>
        </w:rPr>
        <w:t xml:space="preserve">一个月）企业编制的会计报表（至少包含资产负债表、利润表）</w:t>
      </w:r>
      <w:r>
        <w:rPr>
          <w:rFonts w:hint="eastAsia" w:ascii="Times New Roman" w:hAnsi="Times New Roman" w:eastAsia="宋体" w:cs="Times New Roman"/>
          <w:highlight w:val="none"/>
          <w:lang w:val="en-US"/>
        </w:rPr>
        <w:t xml:space="preserve">或者2024或2025度的财务审计报告，成立不足一年的提供银行资信证明复印件。</w:t>
      </w:r>
      <w:r>
        <w:rPr>
          <w:rFonts w:hint="eastAsia" w:ascii="Times New Roman" w:hAnsi="Times New Roman" w:eastAsia="宋体" w:cs="Times New Roman"/>
          <w:highlight w:val="none"/>
        </w:rPr>
        <w:t xml:space="preserve">）</w:t>
      </w:r>
      <w:r>
        <w:rPr>
          <w:rFonts w:hint="default" w:ascii="Times New Roman" w:hAnsi="Times New Roman" w:eastAsia="宋体" w:cs="Times New Roman"/>
          <w:highlight w:val="none"/>
        </w:rPr>
        <w:t xml:space="preserve">；</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（3）具有履行合同所必需的设备和专业技术能力，提供具备履行合同所必需的设备和专业技术能力的证明材料或承诺函（由供应商根据项目需求提供说明材料）； </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（4）有依法缴纳税收和社会保障资金的良好记录，提供本次采购活动前6个月内（即</w:t>
      </w:r>
      <w:r>
        <w:rPr>
          <w:rFonts w:hint="eastAsia" w:ascii="Arial" w:hAnsi="Arial" w:eastAsia="宋体" w:cs="Arial"/>
          <w:szCs w:val="21"/>
          <w:highlight w:val="none"/>
          <w:lang w:val="en-US" w:eastAsia="zh-CN"/>
        </w:rPr>
        <w:t xml:space="preserve">2026年5月</w:t>
      </w:r>
      <w:r>
        <w:rPr>
          <w:rFonts w:hint="eastAsia" w:ascii="Arial" w:hAnsi="Arial" w:eastAsia="宋体" w:cs="Arial"/>
          <w:szCs w:val="21"/>
          <w:highlight w:val="none"/>
        </w:rPr>
        <w:t xml:space="preserve">（含）以来），至少1个月缴纳税收和社会保险的凭证扫描件，依法享受免缴、缓缴的，提供证明材料扫描件；</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（6）根据国家相关规定提供投标产品有效的医疗器械产品注册证或产品备案凭证；</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（7）若投标供应商为代理商，应根据国家相关规定提供范围涵盖投标产品的医疗器械经营许可证或医疗器械经营备案凭证；</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（8）若投标供应商为生产商，应根据国家相关规定提供范围涵盖投标产品的医疗器械生产许可证或生产备案凭证；</w:t>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（9）若所投产品为进口产品，提供有效的</w:t>
      </w:r>
      <w:r>
        <w:rPr>
          <w:rFonts w:hint="eastAsia" w:ascii="Arial" w:hAnsi="Arial" w:eastAsia="宋体" w:cs="Arial"/>
          <w:szCs w:val="21"/>
          <w:highlight w:val="none"/>
          <w:lang w:val="en-US" w:eastAsia="zh-CN"/>
        </w:rPr>
        <w:t xml:space="preserve">产品授权书</w:t>
      </w:r>
      <w:r>
        <w:rPr>
          <w:rFonts w:hint="eastAsia" w:ascii="Arial" w:hAnsi="Arial" w:eastAsia="宋体" w:cs="Arial"/>
          <w:szCs w:val="21"/>
          <w:highlight w:val="none"/>
        </w:rPr>
        <w:t xml:space="preserve">扫描件。</w:t>
      </w:r>
      <w:r/>
    </w:p>
    <w:p>
      <w:pPr>
        <w:ind w:left="600"/>
        <w:jc w:val="both"/>
        <w:spacing w:line="360" w:lineRule="auto"/>
        <w:widowControl w:val="off"/>
        <w:rPr>
          <w:rFonts w:ascii="Calibri" w:hAnsi="Calibri" w:eastAsia="宋体" w:cs="Times New Roman"/>
          <w:sz w:val="21"/>
          <w:szCs w:val="24"/>
          <w:highlight w:val="none"/>
          <w:lang w:val="en-US" w:eastAsia="zh-CN" w:bidi="ar-SA"/>
        </w:rPr>
      </w:pPr>
      <w:r>
        <w:rPr>
          <w:rFonts w:ascii="Calibri" w:hAnsi="Calibri" w:eastAsia="宋体" w:cs="Times New Roman"/>
          <w:sz w:val="21"/>
          <w:szCs w:val="24"/>
          <w:highlight w:val="none"/>
          <w:lang w:val="en-US" w:eastAsia="zh-CN" w:bidi="ar-SA"/>
        </w:rPr>
      </w:r>
      <w:r/>
    </w:p>
    <w:p>
      <w:pPr>
        <w:ind w:firstLine="420"/>
        <w:spacing w:line="360" w:lineRule="auto"/>
        <w:shd w:val="clear" w:color="auto" w:fill="ffffff"/>
        <w:widowControl/>
        <w:rPr>
          <w:rFonts w:ascii="Arial" w:hAnsi="Arial" w:eastAsia="宋体" w:cs="Arial"/>
          <w:szCs w:val="21"/>
          <w:highlight w:val="none"/>
        </w:rPr>
      </w:pPr>
      <w:r>
        <w:rPr>
          <w:rFonts w:hint="eastAsia" w:ascii="Arial" w:hAnsi="Arial" w:eastAsia="宋体" w:cs="Arial"/>
          <w:szCs w:val="21"/>
          <w:highlight w:val="none"/>
        </w:rPr>
        <w:t xml:space="preserve">以上（2）-（5）款证明材料可使用《南京市政府采购供应商信用记录表暨信用承诺书》替代</w:t>
      </w:r>
      <w:r>
        <w:rPr>
          <w:rFonts w:hint="eastAsia" w:ascii="Arial" w:hAnsi="Arial" w:eastAsia="宋体" w:cs="Arial"/>
          <w:szCs w:val="21"/>
          <w:highlight w:val="none"/>
          <w:lang w:eastAsia="zh-CN"/>
        </w:rPr>
        <w:t xml:space="preserve">，</w:t>
      </w:r>
      <w:r>
        <w:rPr>
          <w:rFonts w:hint="eastAsia" w:ascii="Arial" w:hAnsi="Arial" w:eastAsia="宋体" w:cs="Arial"/>
          <w:szCs w:val="21"/>
          <w:highlight w:val="none"/>
          <w:lang w:val="en-US" w:eastAsia="zh-CN"/>
        </w:rPr>
        <w:t xml:space="preserve">格式见采购文件</w:t>
      </w:r>
      <w:r>
        <w:rPr>
          <w:rFonts w:hint="eastAsia" w:ascii="Arial" w:hAnsi="Arial" w:eastAsia="宋体" w:cs="Arial"/>
          <w:szCs w:val="21"/>
          <w:highlight w:val="none"/>
        </w:rPr>
        <w:t xml:space="preserve">。</w:t>
      </w:r>
      <w:r/>
    </w:p>
    <w:p>
      <w:pPr>
        <w:ind w:firstLine="420"/>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3.</w:t>
      </w:r>
      <w:bookmarkStart w:id="73" w:name="_Hlk39128912"/>
      <w:r>
        <w:rPr>
          <w:rFonts w:hint="eastAsia" w:ascii="Arial" w:hAnsi="Arial" w:cs="Arial"/>
          <w:szCs w:val="21"/>
          <w:highlight w:val="none"/>
        </w:rPr>
        <w:t xml:space="preserve">法人代表授权书（法人直接参与投标的可不提供）、法人身份证扫描件、投标人代表身份证扫描件（法人直接参与投标的可不提供）</w:t>
      </w:r>
      <w:r>
        <w:rPr>
          <w:rFonts w:hint="eastAsia" w:ascii="宋体" w:hAnsi="宋体"/>
          <w:highlight w:val="none"/>
        </w:rPr>
        <w:t xml:space="preserve">；</w:t>
      </w:r>
      <w:bookmarkEnd w:id="73"/>
      <w:r/>
      <w:r/>
    </w:p>
    <w:p>
      <w:pPr>
        <w:ind w:firstLine="420"/>
        <w:spacing w:line="360" w:lineRule="auto"/>
        <w:rPr>
          <w:rFonts w:hint="eastAsia" w:ascii="宋体" w:hAnsi="宋体" w:cs="宋体"/>
          <w:highlight w:val="none"/>
        </w:rPr>
      </w:pPr>
      <w:r>
        <w:rPr>
          <w:rFonts w:hint="eastAsia" w:ascii="宋体" w:hAnsi="宋体" w:cs="宋体"/>
          <w:highlight w:val="none"/>
        </w:rPr>
        <w:t xml:space="preserve">4.开标一览表（格式系统生成）</w:t>
      </w:r>
      <w:r/>
    </w:p>
    <w:p>
      <w:pPr>
        <w:ind w:firstLine="420"/>
        <w:spacing w:line="360" w:lineRule="auto"/>
        <w:rPr>
          <w:rFonts w:hint="eastAsia" w:ascii="宋体" w:hAnsi="宋体" w:cs="宋体"/>
          <w:highlight w:val="none"/>
        </w:rPr>
      </w:pPr>
      <w:r>
        <w:rPr>
          <w:rFonts w:hint="eastAsia" w:ascii="宋体" w:hAnsi="宋体" w:cs="宋体"/>
          <w:highlight w:val="none"/>
        </w:rPr>
        <w:t xml:space="preserve">5.细目报价表（格式见附件）</w:t>
      </w:r>
      <w:bookmarkEnd w:id="70"/>
      <w:r/>
      <w:bookmarkEnd w:id="71"/>
      <w:r/>
      <w:bookmarkEnd w:id="72"/>
      <w:r/>
      <w:r/>
    </w:p>
    <w:p>
      <w:pPr>
        <w:ind w:firstLine="420"/>
        <w:spacing w:line="360" w:lineRule="auto"/>
        <w:shd w:val="clear" w:color="auto" w:fill="ffffff"/>
        <w:widowControl/>
        <w:rPr>
          <w:rFonts w:ascii="Arial" w:hAnsi="Arial" w:cs="Arial"/>
          <w:szCs w:val="21"/>
          <w:highlight w:val="none"/>
        </w:rPr>
      </w:pPr>
      <w:r/>
      <w:bookmarkStart w:id="74" w:name="_Toc31206"/>
      <w:r/>
      <w:bookmarkStart w:id="75" w:name="_Toc15215"/>
      <w:r>
        <w:rPr>
          <w:rFonts w:hint="eastAsia" w:ascii="Arial" w:hAnsi="Arial" w:cs="Arial"/>
          <w:szCs w:val="21"/>
          <w:highlight w:val="none"/>
        </w:rPr>
        <w:t xml:space="preserve">6.商务响应偏离表（格式见附件）</w:t>
      </w:r>
      <w:r/>
    </w:p>
    <w:p>
      <w:pPr>
        <w:ind w:firstLine="420"/>
        <w:spacing w:line="360" w:lineRule="auto"/>
        <w:shd w:val="clear" w:color="auto" w:fill="ffffff"/>
        <w:widowControl/>
        <w:rPr>
          <w:rFonts w:ascii="Arial" w:hAnsi="Arial" w:cs="Arial"/>
          <w:szCs w:val="21"/>
          <w:highlight w:val="none"/>
        </w:rPr>
      </w:pPr>
      <w:r>
        <w:rPr>
          <w:rFonts w:hint="eastAsia" w:ascii="Arial" w:hAnsi="Arial" w:cs="Arial"/>
          <w:szCs w:val="21"/>
          <w:highlight w:val="none"/>
        </w:rPr>
        <w:t xml:space="preserve">7.技术响应偏离表（格式见附件）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lang w:val="zh-CN"/>
        </w:rPr>
        <w:t xml:space="preserve">设备主要性能的</w:t>
      </w:r>
      <w:r>
        <w:rPr>
          <w:rFonts w:hint="eastAsia" w:ascii="宋体" w:hAnsi="宋体" w:cs="宋体"/>
          <w:highlight w:val="none"/>
        </w:rPr>
        <w:t xml:space="preserve">技术</w:t>
      </w:r>
      <w:r>
        <w:rPr>
          <w:rFonts w:hint="eastAsia" w:ascii="宋体" w:hAnsi="宋体" w:cs="宋体"/>
          <w:highlight w:val="none"/>
          <w:lang w:val="zh-CN"/>
        </w:rPr>
        <w:t xml:space="preserve">资料</w:t>
      </w:r>
      <w:r>
        <w:rPr>
          <w:rFonts w:hint="eastAsia" w:ascii="宋体" w:hAnsi="宋体" w:cs="宋体"/>
          <w:highlight w:val="none"/>
        </w:rPr>
        <w:t xml:space="preserve">以及</w:t>
      </w:r>
      <w:r>
        <w:rPr>
          <w:rFonts w:hint="eastAsia" w:ascii="宋体" w:hAnsi="宋体" w:cs="宋体"/>
          <w:highlight w:val="none"/>
          <w:lang w:val="zh-CN"/>
        </w:rPr>
        <w:t xml:space="preserve">供应商认为需要提供的其他技术资料</w:t>
      </w:r>
      <w:r/>
    </w:p>
    <w:p>
      <w:pPr>
        <w:ind w:firstLine="420"/>
        <w:spacing w:line="360" w:lineRule="auto"/>
        <w:rPr>
          <w:rFonts w:hint="eastAsia" w:ascii="宋体" w:hAnsi="宋体" w:cs="宋体"/>
          <w:highlight w:val="none"/>
        </w:rPr>
      </w:pPr>
      <w:r>
        <w:rPr>
          <w:rFonts w:hint="eastAsia" w:ascii="宋体" w:hAnsi="宋体" w:cs="宋体"/>
          <w:highlight w:val="none"/>
        </w:rPr>
        <w:t xml:space="preserve">9.售后服务实施方案等</w:t>
      </w:r>
      <w:r/>
    </w:p>
    <w:p>
      <w:pPr>
        <w:ind w:firstLine="420"/>
        <w:spacing w:line="360" w:lineRule="auto"/>
        <w:rPr>
          <w:rFonts w:hint="eastAsia" w:ascii="宋体" w:hAnsi="宋体" w:cs="宋体"/>
          <w:highlight w:val="none"/>
        </w:rPr>
      </w:pPr>
      <w:r>
        <w:rPr>
          <w:rFonts w:hint="eastAsia" w:ascii="宋体" w:hAnsi="宋体" w:cs="宋体"/>
          <w:highlight w:val="none"/>
        </w:rPr>
        <w:t xml:space="preserve">10.评分标准中对应的所需证明材料（如有自行添加）</w:t>
      </w:r>
      <w:r/>
    </w:p>
    <w:p>
      <w:pPr>
        <w:ind w:firstLine="420"/>
        <w:spacing w:line="360" w:lineRule="auto"/>
        <w:rPr>
          <w:rFonts w:hint="eastAsia" w:ascii="宋体" w:hAnsi="宋体" w:cs="宋体"/>
          <w:highlight w:val="none"/>
        </w:rPr>
      </w:pPr>
      <w:r>
        <w:rPr>
          <w:rFonts w:hint="eastAsia" w:ascii="宋体" w:hAnsi="宋体" w:cs="宋体"/>
          <w:highlight w:val="none"/>
        </w:rPr>
        <w:t xml:space="preserve">11.要求采购人提供的配合（如有自拟并自行添加）</w:t>
      </w:r>
      <w:r/>
    </w:p>
    <w:p>
      <w:pPr>
        <w:ind w:firstLine="420"/>
        <w:spacing w:line="360" w:lineRule="auto"/>
        <w:rPr>
          <w:rFonts w:hint="eastAsia" w:ascii="宋体" w:hAnsi="宋体" w:cs="宋体"/>
          <w:highlight w:val="none"/>
        </w:rPr>
      </w:pPr>
      <w:r>
        <w:rPr>
          <w:rFonts w:hint="eastAsia" w:ascii="宋体" w:hAnsi="宋体" w:cs="宋体"/>
          <w:highlight w:val="none"/>
        </w:rPr>
        <w:t xml:space="preserve">12.其它（投标人认为有必要提供的声明和文件，如有自拟并自行添加）</w:t>
      </w:r>
      <w:r/>
    </w:p>
    <w:p>
      <w:pPr>
        <w:ind w:firstLine="420"/>
        <w:spacing w:line="360" w:lineRule="auto"/>
        <w:rPr>
          <w:rFonts w:hint="eastAsia" w:ascii="宋体" w:hAnsi="宋体" w:cs="宋体"/>
          <w:highlight w:val="none"/>
        </w:rPr>
      </w:pPr>
      <w:r>
        <w:rPr>
          <w:rFonts w:hint="eastAsia" w:ascii="宋体" w:hAnsi="宋体" w:cs="宋体"/>
          <w:highlight w:val="none"/>
        </w:rPr>
        <w:t xml:space="preserve">（1）投标供应商简介和经营情况说明；（格式见附件）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（2）如是小微企业的，提供《中小企业声明函》；（格式见附件）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（3）残疾人福利性单位声明函；（供应商为残疾人福利性单位的提供，格式见附件）</w:t>
      </w:r>
      <w:r/>
    </w:p>
    <w:p>
      <w:pPr>
        <w:ind w:firstLine="420"/>
        <w:spacing w:line="360" w:lineRule="auto"/>
        <w:rPr>
          <w:rFonts w:hint="eastAsia" w:ascii="宋体" w:hAnsi="宋体" w:cs="宋体"/>
          <w:highlight w:val="none"/>
        </w:rPr>
      </w:pPr>
      <w:r>
        <w:rPr>
          <w:rFonts w:hint="eastAsia" w:ascii="宋体" w:hAnsi="宋体" w:cs="宋体"/>
          <w:highlight w:val="none"/>
        </w:rPr>
        <w:t xml:space="preserve">（4）由省级以上监狱管理局、戒毒管理局出具的属于监狱企业的证明文件；（如适用）</w:t>
      </w:r>
      <w:r/>
    </w:p>
    <w:p>
      <w:pPr>
        <w:ind w:firstLine="420"/>
        <w:spacing w:line="360" w:lineRule="auto"/>
        <w:rPr>
          <w:rFonts w:hint="eastAsia" w:ascii="宋体" w:hAnsi="宋体" w:cs="宋体"/>
          <w:highlight w:val="none"/>
        </w:rPr>
      </w:pPr>
      <w:r>
        <w:rPr>
          <w:rFonts w:hint="eastAsia" w:ascii="宋体" w:hAnsi="宋体" w:cs="宋体"/>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highlight w:val="none"/>
        </w:rPr>
      </w:pPr>
      <w:r>
        <w:rPr>
          <w:rFonts w:hint="eastAsia" w:ascii="宋体" w:hAnsi="宋体" w:cs="宋体"/>
          <w:highlight w:val="none"/>
        </w:rPr>
        <w:t xml:space="preserve">（6）如</w:t>
      </w:r>
      <w:r>
        <w:rPr>
          <w:rFonts w:hint="eastAsia" w:ascii="宋体" w:hAnsi="宋体" w:cs="宋体"/>
          <w:color w:val="000000"/>
          <w:szCs w:val="21"/>
          <w:highlight w:val="none"/>
          <w:shd w:val="clear" w:color="auto" w:fill="ffffff"/>
        </w:rPr>
        <w:t xml:space="preserve">本国产品参与竞争的，提供《关于符合本国产品标准的声明函》。</w:t>
      </w:r>
      <w:r>
        <w:rPr>
          <w:rFonts w:hint="eastAsia" w:ascii="宋体" w:hAnsi="宋体" w:cs="宋体"/>
          <w:highlight w:val="none"/>
        </w:rPr>
        <w:t xml:space="preserve">（格式见附件）</w:t>
      </w:r>
      <w:r/>
    </w:p>
    <w:p>
      <w:pPr>
        <w:ind w:firstLine="420"/>
        <w:spacing w:line="360" w:lineRule="auto"/>
        <w:rPr>
          <w:rFonts w:ascii="Arial" w:hAnsi="Arial" w:cs="Arial"/>
          <w:color w:val="000000"/>
          <w:szCs w:val="21"/>
          <w:highlight w:val="none"/>
        </w:rPr>
      </w:pPr>
      <w:r>
        <w:rPr>
          <w:rFonts w:hint="eastAsia" w:ascii="宋体" w:hAnsi="宋体" w:cs="宋体"/>
          <w:highlight w:val="none"/>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其他部分由供应商根据编制投标文件需要提供的其他相关文件。</w:t>
      </w:r>
      <w:r/>
    </w:p>
    <w:p>
      <w:pPr>
        <w:pStyle w:val="1082"/>
        <w:ind w:left="0" w:firstLine="422"/>
        <w:jc w:val="both"/>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11</w:t>
      </w:r>
      <w:r>
        <w:rPr>
          <w:rFonts w:ascii="宋体" w:hAnsi="宋体" w:eastAsia="宋体" w:cs="Arial"/>
          <w:b/>
          <w:bCs/>
          <w:color w:val="000000"/>
          <w:sz w:val="21"/>
          <w:szCs w:val="21"/>
          <w:highlight w:val="none"/>
        </w:rPr>
        <w:t xml:space="preserve">.投标文件的有效期</w:t>
      </w:r>
      <w:bookmarkEnd w:id="74"/>
      <w:r/>
      <w:bookmarkEnd w:id="75"/>
      <w:r/>
      <w:r/>
    </w:p>
    <w:p>
      <w:pPr>
        <w:ind w:firstLine="420"/>
        <w:jc w:val="left"/>
        <w:spacing w:line="360" w:lineRule="auto"/>
        <w:rPr>
          <w:rFonts w:hint="eastAsia" w:ascii="宋体" w:hAnsi="宋体" w:cs="Arial"/>
          <w:bCs/>
          <w:szCs w:val="21"/>
          <w:highlight w:val="none"/>
        </w:rPr>
      </w:pPr>
      <w:r/>
      <w:bookmarkStart w:id="76" w:name="_Toc6811"/>
      <w:r>
        <w:rPr>
          <w:rFonts w:hint="eastAsia" w:ascii="宋体" w:hAnsi="宋体" w:cs="Arial"/>
          <w:bCs/>
          <w:szCs w:val="21"/>
          <w:highlight w:val="none"/>
        </w:rPr>
        <w:t xml:space="preserve">11</w:t>
      </w:r>
      <w:r>
        <w:rPr>
          <w:rFonts w:ascii="宋体" w:hAnsi="宋体" w:cs="Arial"/>
          <w:bCs/>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11</w:t>
      </w:r>
      <w:r>
        <w:rPr>
          <w:rFonts w:ascii="宋体" w:hAnsi="宋体" w:cs="Arial"/>
          <w:bCs/>
          <w:szCs w:val="21"/>
          <w:highlight w:val="none"/>
        </w:rPr>
        <w:t xml:space="preserve">.2在特殊情况下，</w:t>
      </w:r>
      <w:r>
        <w:rPr>
          <w:rFonts w:hint="eastAsia" w:ascii="宋体" w:hAnsi="宋体" w:cs="Arial"/>
          <w:bCs/>
          <w:szCs w:val="21"/>
          <w:highlight w:val="none"/>
        </w:rPr>
        <w:t xml:space="preserve">采购代理机构可根据实际情况，在原投标文件有效期截止时间前，</w:t>
      </w:r>
      <w:r>
        <w:rPr>
          <w:rFonts w:ascii="宋体" w:hAnsi="宋体" w:cs="Arial"/>
          <w:bCs/>
          <w:szCs w:val="21"/>
          <w:highlight w:val="none"/>
        </w:rPr>
        <w:t xml:space="preserve">与</w:t>
      </w:r>
      <w:r>
        <w:rPr>
          <w:rFonts w:hint="eastAsia" w:ascii="宋体" w:hAnsi="宋体" w:cs="Arial"/>
          <w:bCs/>
          <w:szCs w:val="21"/>
          <w:highlight w:val="none"/>
        </w:rPr>
        <w:t xml:space="preserve">供应商</w:t>
      </w:r>
      <w:r>
        <w:rPr>
          <w:rFonts w:ascii="宋体" w:hAnsi="宋体" w:cs="Arial"/>
          <w:bCs/>
          <w:szCs w:val="21"/>
          <w:highlight w:val="none"/>
        </w:rPr>
        <w:t xml:space="preserve">协商延长有效期，此类要求和答复都应以</w:t>
      </w:r>
      <w:r>
        <w:rPr>
          <w:rFonts w:hint="eastAsia" w:ascii="宋体" w:hAnsi="宋体" w:cs="Arial"/>
          <w:bCs/>
          <w:szCs w:val="21"/>
          <w:highlight w:val="none"/>
        </w:rPr>
        <w:t xml:space="preserve">书面</w:t>
      </w:r>
      <w:r>
        <w:rPr>
          <w:rFonts w:ascii="宋体" w:hAnsi="宋体" w:cs="Arial"/>
          <w:bCs/>
          <w:szCs w:val="21"/>
          <w:highlight w:val="none"/>
        </w:rPr>
        <w:t xml:space="preserve">形式进行。</w:t>
      </w:r>
      <w:r>
        <w:rPr>
          <w:rFonts w:hint="eastAsia" w:ascii="宋体" w:hAnsi="宋体" w:cs="Arial"/>
          <w:bCs/>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082"/>
        <w:ind w:left="0" w:firstLine="422"/>
        <w:jc w:val="both"/>
        <w:spacing w:line="360" w:lineRule="auto"/>
        <w:rPr>
          <w:rFonts w:hint="eastAsia" w:ascii="宋体" w:hAnsi="宋体" w:eastAsia="宋体" w:cs="Arial"/>
          <w:b/>
          <w:bCs/>
          <w:color w:val="000000"/>
          <w:sz w:val="21"/>
          <w:szCs w:val="21"/>
          <w:highlight w:val="none"/>
        </w:rPr>
      </w:pPr>
      <w:r/>
      <w:bookmarkStart w:id="77" w:name="_Toc21944"/>
      <w:r>
        <w:rPr>
          <w:rFonts w:hint="eastAsia" w:ascii="宋体" w:hAnsi="宋体" w:eastAsia="宋体" w:cs="Arial"/>
          <w:b/>
          <w:bCs/>
          <w:color w:val="000000"/>
          <w:sz w:val="21"/>
          <w:szCs w:val="21"/>
          <w:highlight w:val="none"/>
        </w:rPr>
        <w:t xml:space="preserve">12.</w:t>
      </w:r>
      <w:bookmarkEnd w:id="76"/>
      <w:r/>
      <w:bookmarkEnd w:id="77"/>
      <w:r>
        <w:rPr>
          <w:rFonts w:hint="eastAsia" w:ascii="宋体" w:hAnsi="宋体" w:eastAsia="宋体" w:cs="Arial"/>
          <w:b/>
          <w:bCs/>
          <w:color w:val="000000"/>
          <w:sz w:val="21"/>
          <w:szCs w:val="21"/>
          <w:highlight w:val="none"/>
        </w:rPr>
        <w:t xml:space="preserve">投标文件的编制要求和签署要求</w:t>
      </w:r>
      <w:r/>
    </w:p>
    <w:p>
      <w:pPr>
        <w:ind w:firstLine="420"/>
        <w:spacing w:line="360" w:lineRule="auto"/>
        <w:rPr>
          <w:rFonts w:hint="eastAsia" w:ascii="宋体" w:hAnsi="宋体" w:cs="Arial"/>
          <w:bCs/>
          <w:szCs w:val="21"/>
          <w:highlight w:val="none"/>
        </w:rPr>
      </w:pPr>
      <w:r/>
      <w:bookmarkStart w:id="78" w:name="_Toc27455"/>
      <w:r>
        <w:rPr>
          <w:rFonts w:hint="eastAsia" w:ascii="宋体" w:hAnsi="宋体" w:cs="Arial"/>
          <w:bCs/>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79" w:name="_Toc9506"/>
      <w:r>
        <w:rPr>
          <w:rFonts w:ascii="宋体" w:hAnsi="宋体" w:cs="Arial"/>
          <w:b/>
          <w:bCs/>
          <w:color w:val="000000"/>
          <w:szCs w:val="21"/>
          <w:highlight w:val="none"/>
        </w:rPr>
        <w:t xml:space="preserve">四、投标文件的递交</w:t>
      </w:r>
      <w:bookmarkEnd w:id="78"/>
      <w:r/>
      <w:bookmarkEnd w:id="79"/>
      <w:r>
        <w:rPr>
          <w:rFonts w:hint="eastAsia" w:ascii="宋体" w:hAnsi="宋体" w:cs="Arial"/>
          <w:b/>
          <w:bCs/>
          <w:color w:val="000000"/>
          <w:szCs w:val="21"/>
          <w:highlight w:val="none"/>
        </w:rPr>
        <w:t xml:space="preserve"> </w:t>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80" w:name="_Toc462564084"/>
      <w:r/>
      <w:bookmarkStart w:id="81" w:name="_Toc16938541"/>
      <w:r/>
      <w:bookmarkStart w:id="82" w:name="_Toc513029225"/>
      <w:r/>
      <w:bookmarkStart w:id="83" w:name="_Toc20823297"/>
      <w:r/>
      <w:bookmarkStart w:id="84" w:name="_Toc415"/>
      <w:r/>
      <w:bookmarkStart w:id="85" w:name="_Toc15509"/>
      <w:r>
        <w:rPr>
          <w:rFonts w:hint="eastAsia" w:ascii="宋体" w:hAnsi="宋体" w:cs="Arial"/>
          <w:b/>
          <w:bCs/>
          <w:color w:val="000000"/>
          <w:szCs w:val="21"/>
          <w:highlight w:val="none"/>
        </w:rPr>
        <w:t xml:space="preserve">13.电子投标文件</w:t>
      </w:r>
      <w:bookmarkEnd w:id="80"/>
      <w:r/>
      <w:bookmarkEnd w:id="81"/>
      <w:r/>
      <w:bookmarkEnd w:id="82"/>
      <w:r/>
      <w:bookmarkEnd w:id="83"/>
      <w:r>
        <w:rPr>
          <w:rFonts w:hint="eastAsia" w:ascii="宋体" w:hAnsi="宋体" w:cs="Arial"/>
          <w:b/>
          <w:bCs/>
          <w:color w:val="000000"/>
          <w:szCs w:val="21"/>
          <w:highlight w:val="none"/>
        </w:rPr>
        <w:t xml:space="preserve">的递交</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spacing w:line="360" w:lineRule="auto"/>
        <w:shd w:val="clear" w:color="auto" w:fill="ffffff"/>
        <w:widowControl/>
        <w:rPr>
          <w:rFonts w:hint="eastAsia" w:ascii="宋体" w:hAnsi="宋体" w:cs="Arial"/>
          <w:b/>
          <w:bCs/>
          <w:color w:val="000000"/>
          <w:szCs w:val="21"/>
          <w:highlight w:val="none"/>
        </w:rPr>
        <w:outlineLvl w:val="1"/>
      </w:pPr>
      <w:r>
        <w:rPr>
          <w:rFonts w:hint="eastAsia" w:ascii="宋体" w:hAnsi="宋体" w:cs="Arial"/>
          <w:b/>
          <w:bCs/>
          <w:color w:val="000000"/>
          <w:szCs w:val="21"/>
          <w:highlight w:val="none"/>
        </w:rPr>
        <w:t xml:space="preserve">14.投标截止日期</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88" w:name="_Toc20823299"/>
      <w:r/>
      <w:bookmarkStart w:id="89" w:name="_Toc16938543"/>
      <w:r/>
      <w:bookmarkStart w:id="90" w:name="_Toc513029227"/>
      <w:r>
        <w:rPr>
          <w:rFonts w:hint="eastAsia" w:ascii="宋体" w:hAnsi="宋体" w:cs="Arial"/>
          <w:b/>
          <w:bCs/>
          <w:color w:val="000000"/>
          <w:szCs w:val="21"/>
          <w:highlight w:val="none"/>
        </w:rPr>
        <w:t xml:space="preserve">15.投标文件</w:t>
      </w:r>
      <w:bookmarkEnd w:id="88"/>
      <w:r/>
      <w:bookmarkEnd w:id="89"/>
      <w:r/>
      <w:bookmarkEnd w:id="90"/>
      <w:r>
        <w:rPr>
          <w:rFonts w:hint="eastAsia" w:ascii="宋体" w:hAnsi="宋体" w:cs="Arial"/>
          <w:b/>
          <w:bCs/>
          <w:color w:val="000000"/>
          <w:szCs w:val="21"/>
          <w:highlight w:val="none"/>
        </w:rPr>
        <w:t xml:space="preserve">的拒收</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91" w:name="_Toc513029228"/>
      <w:r/>
      <w:bookmarkStart w:id="92" w:name="_Toc16938544"/>
      <w:r/>
      <w:bookmarkStart w:id="93" w:name="_Toc20823300"/>
      <w:r>
        <w:rPr>
          <w:rFonts w:hint="eastAsia" w:ascii="宋体" w:hAnsi="宋体" w:cs="Arial"/>
          <w:b/>
          <w:bCs/>
          <w:color w:val="000000"/>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 投标文件的撤回</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 投标文件的修改</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000000"/>
          <w:szCs w:val="21"/>
          <w:highlight w:val="none"/>
        </w:rPr>
        <w:outlineLvl w:val="1"/>
      </w:pPr>
      <w:r>
        <w:rPr>
          <w:rFonts w:hint="eastAsia" w:ascii="宋体" w:hAnsi="宋体" w:cs="Arial"/>
          <w:color w:val="000000"/>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000000"/>
          <w:szCs w:val="21"/>
          <w:highlight w:val="none"/>
        </w:rPr>
        <w:outlineLvl w:val="1"/>
      </w:pPr>
      <w:r>
        <w:rPr>
          <w:rFonts w:ascii="宋体" w:hAnsi="宋体" w:cs="Arial"/>
          <w:b/>
          <w:bCs/>
          <w:color w:val="000000"/>
          <w:szCs w:val="21"/>
          <w:highlight w:val="none"/>
        </w:rPr>
        <w:t xml:space="preserve">五、开标与评标</w:t>
      </w:r>
      <w:r/>
    </w:p>
    <w:p>
      <w:pPr>
        <w:pStyle w:val="1082"/>
        <w:ind w:left="0" w:firstLine="422"/>
        <w:jc w:val="both"/>
        <w:spacing w:line="360" w:lineRule="auto"/>
        <w:rPr>
          <w:rFonts w:hint="eastAsia" w:ascii="宋体" w:hAnsi="宋体" w:eastAsia="宋体" w:cs="Arial"/>
          <w:b/>
          <w:bCs/>
          <w:color w:val="000000"/>
          <w:sz w:val="21"/>
          <w:szCs w:val="21"/>
          <w:highlight w:val="none"/>
        </w:rPr>
      </w:pPr>
      <w:r/>
      <w:bookmarkStart w:id="94" w:name="_Toc3679"/>
      <w:r/>
      <w:bookmarkStart w:id="95" w:name="_Toc15345"/>
      <w:r/>
      <w:bookmarkStart w:id="96" w:name="_Toc20683"/>
      <w:r/>
      <w:bookmarkStart w:id="97" w:name="_Toc13829"/>
      <w:r/>
      <w:bookmarkStart w:id="98" w:name="OLE_LINK3"/>
      <w:r/>
      <w:bookmarkStart w:id="99" w:name="OLE_LINK7"/>
      <w:r/>
      <w:bookmarkStart w:id="100" w:name="_Toc6944"/>
      <w:r/>
      <w:bookmarkStart w:id="101" w:name="_Toc26857"/>
      <w:r/>
      <w:bookmarkStart w:id="102" w:name="_Toc13685"/>
      <w:r/>
      <w:bookmarkStart w:id="103" w:name="_Toc20823303"/>
      <w:r/>
      <w:bookmarkStart w:id="104" w:name="_Toc16938547"/>
      <w:r/>
      <w:bookmarkStart w:id="105" w:name="_Toc29284"/>
      <w:r/>
      <w:bookmarkStart w:id="106" w:name="_Toc513029231"/>
      <w:r>
        <w:rPr>
          <w:rFonts w:hint="eastAsia" w:ascii="宋体" w:hAnsi="宋体" w:eastAsia="宋体" w:cs="Arial"/>
          <w:b/>
          <w:bCs/>
          <w:color w:val="000000"/>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17.2由电子招标投标交易平台主持，邀请投标人参加。</w:t>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szCs w:val="21"/>
          <w:highlight w:val="none"/>
        </w:rPr>
      </w:pPr>
      <w:r>
        <w:rPr>
          <w:rFonts w:hint="eastAsia" w:ascii="宋体" w:hAnsi="宋体" w:cs="Arial"/>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highlight w:val="none"/>
        </w:rPr>
      </w:pPr>
      <w:r>
        <w:rPr>
          <w:rFonts w:hint="eastAsia" w:ascii="宋体" w:hAnsi="宋体" w:cs="Arial"/>
          <w:b/>
          <w:bCs/>
          <w:szCs w:val="21"/>
          <w:highlight w:val="none"/>
        </w:rPr>
        <w:t xml:space="preserve">18.资格性审查：</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18.2信用信息查询</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18.3</w:t>
      </w:r>
      <w:bookmarkEnd w:id="100"/>
      <w:r/>
      <w:bookmarkStart w:id="107" w:name="_Toc30296"/>
      <w:r>
        <w:rPr>
          <w:rFonts w:hint="eastAsia" w:ascii="宋体" w:hAnsi="宋体" w:cs="Arial"/>
          <w:bCs/>
          <w:szCs w:val="21"/>
          <w:highlight w:val="none"/>
        </w:rPr>
        <w:t xml:space="preserve">通过资格性审查合格的投标人不足3家的，不得评标。</w:t>
      </w:r>
      <w:r/>
    </w:p>
    <w:p>
      <w:pPr>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19.评标 </w:t>
      </w:r>
      <w:r/>
    </w:p>
    <w:p>
      <w:pPr>
        <w:ind w:firstLine="422"/>
        <w:spacing w:line="360" w:lineRule="auto"/>
        <w:rPr>
          <w:rFonts w:hint="eastAsia" w:ascii="宋体" w:hAnsi="宋体" w:cs="Arial"/>
          <w:b/>
          <w:szCs w:val="21"/>
          <w:highlight w:val="none"/>
        </w:rPr>
      </w:pPr>
      <w:r>
        <w:rPr>
          <w:rFonts w:hint="eastAsia" w:ascii="宋体" w:hAnsi="宋体" w:cs="Arial"/>
          <w:b/>
          <w:szCs w:val="21"/>
          <w:highlight w:val="none"/>
        </w:rPr>
        <w:t xml:space="preserve">19.1评标组织</w:t>
      </w:r>
      <w:r/>
    </w:p>
    <w:p>
      <w:pPr>
        <w:ind w:firstLine="420"/>
        <w:spacing w:line="360" w:lineRule="auto"/>
        <w:rPr>
          <w:rFonts w:ascii="Arial" w:hAnsi="Arial" w:cs="Arial"/>
          <w:bCs/>
          <w:highlight w:val="none"/>
        </w:rPr>
      </w:pPr>
      <w:r>
        <w:rPr>
          <w:rFonts w:hint="eastAsia" w:ascii="宋体" w:hAnsi="宋体" w:cs="Arial"/>
          <w:bCs/>
          <w:szCs w:val="21"/>
          <w:highlight w:val="none"/>
        </w:rPr>
        <w:t xml:space="preserve">19.1评</w:t>
      </w:r>
      <w:r>
        <w:rPr>
          <w:rFonts w:hint="eastAsia" w:ascii="Arial" w:hAnsi="Arial" w:cs="Arial"/>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1</w:t>
      </w:r>
      <w:r>
        <w:rPr>
          <w:rFonts w:hAnsi="宋体"/>
          <w:bCs/>
          <w:szCs w:val="21"/>
          <w:highlight w:val="none"/>
        </w:rPr>
        <w:t xml:space="preserve">）审查、评价投标文件是否符合招标文件的商务、技术等实质性要求；</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2</w:t>
      </w:r>
      <w:r>
        <w:rPr>
          <w:rFonts w:hAnsi="宋体"/>
          <w:bCs/>
          <w:szCs w:val="21"/>
          <w:highlight w:val="none"/>
        </w:rPr>
        <w:t xml:space="preserve">）要求投标人对投标文件有关事项作出澄清或者说明；</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3</w:t>
      </w:r>
      <w:r>
        <w:rPr>
          <w:rFonts w:hAnsi="宋体"/>
          <w:bCs/>
          <w:szCs w:val="21"/>
          <w:highlight w:val="none"/>
        </w:rPr>
        <w:t xml:space="preserve">）对投标文件进行比较和评价；</w:t>
      </w:r>
      <w:r/>
    </w:p>
    <w:p>
      <w:pPr>
        <w:ind w:firstLine="420"/>
        <w:spacing w:line="360" w:lineRule="auto"/>
        <w:shd w:val="clear" w:color="auto" w:fill="ffffff"/>
        <w:widowControl/>
        <w:rPr>
          <w:bCs/>
          <w:szCs w:val="21"/>
          <w:highlight w:val="none"/>
        </w:rPr>
      </w:pPr>
      <w:r>
        <w:rPr>
          <w:rFonts w:hAnsi="宋体"/>
          <w:bCs/>
          <w:szCs w:val="21"/>
          <w:highlight w:val="none"/>
        </w:rPr>
        <w:t xml:space="preserve">（</w:t>
      </w:r>
      <w:r>
        <w:rPr>
          <w:rFonts w:hint="eastAsia" w:hAnsi="宋体"/>
          <w:bCs/>
          <w:szCs w:val="21"/>
          <w:highlight w:val="none"/>
        </w:rPr>
        <w:t xml:space="preserve">4</w:t>
      </w:r>
      <w:r>
        <w:rPr>
          <w:rFonts w:hAnsi="宋体"/>
          <w:bCs/>
          <w:szCs w:val="21"/>
          <w:highlight w:val="none"/>
        </w:rPr>
        <w:t xml:space="preserve">）确定中标候选人名单，以及根据采购人委托直接确定中标人；</w:t>
      </w:r>
      <w:r/>
    </w:p>
    <w:p>
      <w:pPr>
        <w:ind w:firstLine="420"/>
        <w:spacing w:line="360" w:lineRule="auto"/>
        <w:shd w:val="clear" w:color="auto" w:fill="ffffff"/>
        <w:widowControl/>
        <w:rPr>
          <w:szCs w:val="21"/>
          <w:highlight w:val="none"/>
        </w:rPr>
      </w:pPr>
      <w:r>
        <w:rPr>
          <w:rFonts w:hAnsi="宋体"/>
          <w:bCs/>
          <w:szCs w:val="21"/>
          <w:highlight w:val="none"/>
        </w:rPr>
        <w:t xml:space="preserve">（</w:t>
      </w:r>
      <w:r>
        <w:rPr>
          <w:rFonts w:hint="eastAsia" w:hAnsi="宋体"/>
          <w:bCs/>
          <w:szCs w:val="21"/>
          <w:highlight w:val="none"/>
        </w:rPr>
        <w:t xml:space="preserve">5</w:t>
      </w:r>
      <w:r>
        <w:rPr>
          <w:rFonts w:hAnsi="宋体"/>
          <w:bCs/>
          <w:szCs w:val="21"/>
          <w:highlight w:val="none"/>
        </w:rPr>
        <w:t xml:space="preserve">）向采购人、采购代理机构或者有关部门报告评标中发现的违法行为。</w:t>
      </w:r>
      <w:r/>
    </w:p>
    <w:p>
      <w:pPr>
        <w:ind w:firstLine="420"/>
        <w:spacing w:line="360" w:lineRule="auto"/>
        <w:rPr>
          <w:szCs w:val="21"/>
          <w:highlight w:val="none"/>
        </w:rPr>
      </w:pPr>
      <w:r>
        <w:rPr>
          <w:rFonts w:hint="eastAsia" w:ascii="宋体" w:hAnsi="宋体" w:cs="Arial"/>
          <w:bCs/>
          <w:szCs w:val="21"/>
          <w:highlight w:val="none"/>
        </w:rPr>
        <w:t xml:space="preserve">19.2</w:t>
      </w:r>
      <w:r>
        <w:rPr>
          <w:rFonts w:hint="eastAsia" w:ascii="Arial" w:hAnsi="Arial" w:cs="Arial"/>
          <w:bCs/>
          <w:highlight w:val="none"/>
        </w:rPr>
        <w:t xml:space="preserve">评标委员会由采购人代表和有关技术、经济等方面的专家组成，独立开展评审工作且评标委员会人员构成符合有关规定。</w:t>
      </w:r>
      <w:r/>
    </w:p>
    <w:p>
      <w:pPr>
        <w:ind w:firstLine="422"/>
        <w:spacing w:line="360" w:lineRule="auto"/>
        <w:rPr>
          <w:rFonts w:hint="eastAsia" w:ascii="宋体" w:hAnsi="宋体" w:cs="Arial"/>
          <w:b/>
          <w:szCs w:val="21"/>
          <w:highlight w:val="none"/>
        </w:rPr>
      </w:pPr>
      <w:r/>
      <w:bookmarkStart w:id="108" w:name="_Toc16288"/>
      <w:r>
        <w:rPr>
          <w:rFonts w:hint="eastAsia" w:ascii="宋体" w:hAnsi="宋体" w:cs="Arial"/>
          <w:b/>
          <w:szCs w:val="21"/>
          <w:highlight w:val="none"/>
        </w:rPr>
        <w:t xml:space="preserve">19.3 对投标文件的符合性审查</w:t>
      </w:r>
      <w:bookmarkEnd w:id="108"/>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19.3.1</w:t>
      </w:r>
      <w:r>
        <w:rPr>
          <w:rFonts w:hint="eastAsia" w:hAnsi="宋体"/>
          <w:bCs/>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szCs w:val="21"/>
          <w:highlight w:val="none"/>
        </w:rPr>
        <w:t xml:space="preserve">实质性要求是指本招标文件中用带星号（“★”）说明的商务和技术要求</w:t>
      </w:r>
      <w:r>
        <w:rPr>
          <w:rFonts w:hint="eastAsia" w:hAnsi="宋体"/>
          <w:bCs/>
          <w:szCs w:val="21"/>
          <w:highlight w:val="none"/>
        </w:rPr>
        <w:t xml:space="preserve">，偏离将导致其投标被否决。</w:t>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19.3.2</w:t>
      </w:r>
      <w:r>
        <w:rPr>
          <w:rFonts w:hint="eastAsia" w:hAnsi="宋体"/>
          <w:bCs/>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19.3.3</w:t>
      </w:r>
      <w:r>
        <w:rPr>
          <w:rFonts w:hint="eastAsia" w:hAnsi="宋体"/>
          <w:bCs/>
          <w:szCs w:val="21"/>
          <w:highlight w:val="none"/>
        </w:rPr>
        <w:t xml:space="preserve">评审时，投标文件出现不一致情形的，按下列规定执行：</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19.3.3.1投标文件正本与副本不符的，以正本为准。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19.3.3.2投标文件报价出现前后不一致的，按照下列规定修正：</w:t>
      </w:r>
      <w:r/>
    </w:p>
    <w:p>
      <w:pPr>
        <w:ind w:firstLine="420"/>
        <w:spacing w:line="360" w:lineRule="auto"/>
        <w:rPr>
          <w:rFonts w:hint="eastAsia" w:ascii="宋体" w:hAnsi="宋体" w:cs="Arial"/>
          <w:bCs/>
          <w:szCs w:val="21"/>
          <w:highlight w:val="none"/>
        </w:rPr>
      </w:pPr>
      <w:r>
        <w:rPr>
          <w:rFonts w:hint="eastAsia" w:hAnsi="宋体"/>
          <w:bCs/>
          <w:szCs w:val="21"/>
          <w:highlight w:val="none"/>
        </w:rPr>
        <w:t xml:space="preserve">（1）投</w:t>
      </w:r>
      <w:r>
        <w:rPr>
          <w:rFonts w:hint="eastAsia" w:ascii="宋体" w:hAnsi="宋体" w:cs="Arial"/>
          <w:bCs/>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szCs w:val="21"/>
          <w:highlight w:val="none"/>
        </w:rPr>
      </w:pPr>
      <w:r>
        <w:rPr>
          <w:rFonts w:hint="eastAsia" w:ascii="宋体" w:hAnsi="宋体" w:cs="Arial"/>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szCs w:val="21"/>
          <w:highlight w:val="none"/>
        </w:rPr>
      </w:pPr>
      <w:r>
        <w:rPr>
          <w:rFonts w:hint="eastAsia" w:hAnsi="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szCs w:val="21"/>
          <w:highlight w:val="none"/>
        </w:rPr>
      </w:pPr>
      <w:r>
        <w:rPr>
          <w:rFonts w:hint="eastAsia" w:ascii="宋体" w:hAnsi="宋体" w:cs="Arial"/>
          <w:bCs/>
          <w:szCs w:val="21"/>
          <w:highlight w:val="none"/>
        </w:rPr>
        <w:t xml:space="preserve">19.3.4</w:t>
      </w:r>
      <w:r>
        <w:rPr>
          <w:rFonts w:hint="eastAsia" w:hAnsi="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19.3.6评审过程中出现下列情形之一的，评审委员会应当启动异常低价投标（响应）审查程序： </w:t>
      </w:r>
      <w:bookmarkEnd w:id="107"/>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w:t>
      </w:r>
      <w:r>
        <w:rPr>
          <w:rFonts w:hint="eastAsia" w:ascii="宋体" w:hAnsi="宋体" w:eastAsia="宋体" w:cs="Arial"/>
          <w:b w:val="0"/>
          <w:bCs/>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19.3.6.2</w:t>
      </w:r>
      <w:r>
        <w:rPr>
          <w:rFonts w:hint="eastAsia" w:ascii="宋体" w:hAnsi="宋体" w:eastAsia="宋体" w:cs="Arial"/>
          <w:b w:val="0"/>
          <w:bCs/>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pageBreakBefore w:val="0"/>
        <w:spacing w:line="360" w:lineRule="auto"/>
        <w:rPr>
          <w:rFonts w:hint="eastAsia" w:ascii="宋体" w:hAnsi="宋体" w:eastAsia="宋体" w:cs="Arial"/>
          <w:b w:val="0"/>
          <w:bCs/>
          <w:szCs w:val="21"/>
          <w:highlight w:val="none"/>
        </w:rPr>
      </w:pPr>
      <w:r>
        <w:rPr>
          <w:rFonts w:hint="eastAsia" w:ascii="宋体" w:hAnsi="宋体" w:cs="Arial"/>
          <w:b w:val="0"/>
          <w:bCs/>
          <w:szCs w:val="21"/>
          <w:highlight w:val="none"/>
          <w:lang w:val="en-US" w:eastAsia="zh-CN"/>
        </w:rPr>
        <w:t xml:space="preserve">19.3.6.3</w:t>
      </w:r>
      <w:r>
        <w:rPr>
          <w:rFonts w:hint="eastAsia" w:ascii="宋体" w:hAnsi="宋体" w:eastAsia="宋体" w:cs="Arial"/>
          <w:b w:val="0"/>
          <w:bCs/>
          <w:szCs w:val="21"/>
          <w:highlight w:val="none"/>
          <w:lang w:val="en-US" w:eastAsia="zh-CN"/>
        </w:rPr>
        <w:t xml:space="preserve">.投标（响应）报价低于采购项目最高限价45%的，即投标（响应）报价&lt;采购项目最高限价×45%；</w:t>
      </w:r>
      <w:r/>
    </w:p>
    <w:p>
      <w:pPr>
        <w:ind w:firstLine="420"/>
        <w:keepLines w:val="0"/>
        <w:pageBreakBefore w:val="0"/>
        <w:spacing w:line="360" w:lineRule="auto"/>
        <w:rPr>
          <w:highlight w:val="none"/>
        </w:rPr>
      </w:pPr>
      <w:r>
        <w:rPr>
          <w:rFonts w:hint="eastAsia" w:ascii="宋体" w:hAnsi="宋体" w:eastAsia="宋体" w:cs="Arial"/>
          <w:b w:val="0"/>
          <w:bCs/>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pStyle w:val="1082"/>
        <w:ind w:left="0" w:firstLine="422"/>
        <w:jc w:val="both"/>
        <w:spacing w:line="360" w:lineRule="auto"/>
        <w:rPr>
          <w:rFonts w:hint="eastAsia" w:ascii="宋体" w:hAnsi="宋体" w:eastAsia="宋体" w:cs="Arial"/>
          <w:b/>
          <w:bCs/>
          <w:sz w:val="21"/>
          <w:szCs w:val="21"/>
          <w:highlight w:val="none"/>
        </w:rPr>
      </w:pPr>
      <w:r>
        <w:rPr>
          <w:rFonts w:hint="eastAsia" w:ascii="宋体" w:hAnsi="宋体" w:eastAsia="宋体" w:cs="Arial"/>
          <w:b/>
          <w:bCs/>
          <w:sz w:val="21"/>
          <w:szCs w:val="21"/>
          <w:highlight w:val="none"/>
        </w:rPr>
        <w:t xml:space="preserve">19.4投标文件的澄清</w:t>
      </w:r>
      <w:bookmarkEnd w:id="101"/>
      <w:r>
        <w:rPr>
          <w:rFonts w:hint="eastAsia" w:ascii="宋体" w:hAnsi="宋体" w:eastAsia="宋体" w:cs="Arial"/>
          <w:b/>
          <w:bCs/>
          <w:sz w:val="21"/>
          <w:szCs w:val="21"/>
          <w:highlight w:val="none"/>
        </w:rPr>
        <w:t xml:space="preserve">  </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2"/>
      <w:r/>
      <w:r/>
    </w:p>
    <w:p>
      <w:pPr>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19.5比较与评价</w:t>
      </w:r>
      <w:r/>
    </w:p>
    <w:p>
      <w:pPr>
        <w:ind w:firstLine="420"/>
        <w:spacing w:line="360" w:lineRule="auto"/>
        <w:tabs>
          <w:tab w:val="left" w:pos="1365" w:leader="none"/>
        </w:tabs>
        <w:rPr>
          <w:rFonts w:hint="eastAsia" w:ascii="宋体" w:hAnsi="宋体" w:cs="Arial"/>
          <w:bCs/>
          <w:szCs w:val="21"/>
          <w:highlight w:val="none"/>
        </w:rPr>
      </w:pPr>
      <w:r>
        <w:rPr>
          <w:rFonts w:hint="eastAsia" w:ascii="宋体" w:hAnsi="宋体" w:cs="Arial"/>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Arial"/>
          <w:bCs/>
          <w:szCs w:val="21"/>
          <w:highlight w:val="none"/>
        </w:rPr>
        <w:t xml:space="preserve">19.5.3除评标方法和评标标准另有规定外，评标</w:t>
      </w:r>
      <w:r>
        <w:rPr>
          <w:rFonts w:hint="eastAsia" w:ascii="宋体" w:hAnsi="宋体" w:cs="宋体"/>
          <w:bCs/>
          <w:szCs w:val="21"/>
          <w:highlight w:val="none"/>
        </w:rPr>
        <w:t xml:space="preserve">采用综合评分法。即投标文件满足招标文件全部实质性要求，且按照评审因素的量化指标评审得分最高的供应商为中标候选供应商的评标方法。</w:t>
      </w:r>
      <w:r>
        <w:rPr>
          <w:rFonts w:hAnsi="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szCs w:val="21"/>
          <w:highlight w:val="none"/>
        </w:rPr>
      </w:pPr>
      <w:r>
        <w:rPr>
          <w:rFonts w:hint="eastAsia" w:ascii="宋体" w:hAnsi="宋体" w:cs="Arial"/>
          <w:bCs/>
          <w:szCs w:val="21"/>
          <w:highlight w:val="none"/>
        </w:rPr>
        <w:t xml:space="preserve">19.5.4</w:t>
      </w:r>
      <w:r>
        <w:rPr>
          <w:rFonts w:hint="eastAsia" w:ascii="宋体" w:hAnsi="宋体" w:cs="宋体"/>
          <w:bCs/>
          <w:szCs w:val="21"/>
          <w:highlight w:val="none"/>
        </w:rPr>
        <w:t xml:space="preserve">评审因素包括投标报价、技术或者服务水平、履约能力、售后服务等。</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19.5.5评标方法和评标标准详见文件第三章。</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szCs w:val="21"/>
          <w:highlight w:val="none"/>
        </w:rPr>
        <w:t xml:space="preserve">取技术分最高者；均相同时，由</w:t>
      </w:r>
      <w:r>
        <w:rPr>
          <w:rFonts w:hint="eastAsia" w:ascii="宋体" w:hAnsi="宋体" w:cs="Arial"/>
          <w:bCs/>
          <w:szCs w:val="21"/>
          <w:highlight w:val="none"/>
        </w:rPr>
        <w:t xml:space="preserve">评标委员会</w:t>
      </w:r>
      <w:r>
        <w:rPr>
          <w:rFonts w:ascii="宋体" w:hAnsi="宋体" w:cs="Arial"/>
          <w:bCs/>
          <w:szCs w:val="21"/>
          <w:highlight w:val="none"/>
        </w:rPr>
        <w:t xml:space="preserve">集体决定</w:t>
      </w:r>
      <w:r>
        <w:rPr>
          <w:rFonts w:hint="eastAsia" w:ascii="宋体" w:hAnsi="宋体" w:cs="Arial"/>
          <w:bCs/>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szCs w:val="21"/>
          <w:highlight w:val="none"/>
        </w:rPr>
      </w:pPr>
      <w:r>
        <w:rPr>
          <w:rFonts w:hint="eastAsia" w:ascii="宋体" w:hAnsi="宋体" w:cs="Arial"/>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szCs w:val="21"/>
          <w:highlight w:val="none"/>
        </w:rPr>
      </w:pPr>
      <w:r>
        <w:rPr>
          <w:rFonts w:hint="eastAsia" w:hAnsi="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szCs w:val="21"/>
          <w:highlight w:val="none"/>
        </w:rPr>
      </w:pPr>
      <w:r>
        <w:rPr>
          <w:rFonts w:hint="eastAsia" w:ascii="宋体" w:hAnsi="宋体" w:cs="Arial"/>
          <w:bCs/>
          <w:szCs w:val="21"/>
          <w:highlight w:val="none"/>
        </w:rPr>
        <w:t xml:space="preserve">（2）</w:t>
      </w:r>
      <w:r>
        <w:rPr>
          <w:rFonts w:hint="eastAsia" w:hAnsi="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szCs w:val="21"/>
          <w:highlight w:val="none"/>
        </w:rPr>
      </w:pPr>
      <w:r>
        <w:rPr>
          <w:rFonts w:hint="eastAsia" w:ascii="宋体" w:hAnsi="宋体" w:cs="Arial"/>
          <w:bCs/>
          <w:szCs w:val="21"/>
          <w:highlight w:val="none"/>
        </w:rPr>
        <w:t xml:space="preserve">（3）供应商</w:t>
      </w:r>
      <w:r>
        <w:rPr>
          <w:rFonts w:ascii="宋体" w:hAnsi="宋体" w:cs="Arial"/>
          <w:bCs/>
          <w:szCs w:val="21"/>
          <w:highlight w:val="none"/>
        </w:rPr>
        <w:t xml:space="preserve">不具备招标文件中规定资格要求的</w:t>
      </w:r>
      <w:r>
        <w:rPr>
          <w:rFonts w:hAnsi="宋体"/>
          <w:szCs w:val="21"/>
          <w:highlight w:val="none"/>
        </w:rPr>
        <w:t xml:space="preserve">；</w:t>
      </w:r>
      <w:r/>
    </w:p>
    <w:p>
      <w:pPr>
        <w:ind w:firstLine="42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4</w:t>
      </w:r>
      <w:r>
        <w:rPr>
          <w:rFonts w:ascii="宋体" w:hAnsi="宋体" w:cs="Arial"/>
          <w:bCs/>
          <w:szCs w:val="21"/>
          <w:highlight w:val="none"/>
        </w:rPr>
        <w:t xml:space="preserve">）</w:t>
      </w:r>
      <w:r>
        <w:rPr>
          <w:rFonts w:hint="eastAsia" w:ascii="宋体" w:hAnsi="宋体" w:cs="Arial"/>
          <w:bCs/>
          <w:szCs w:val="21"/>
          <w:highlight w:val="none"/>
        </w:rPr>
        <w:t xml:space="preserve">供应商</w:t>
      </w:r>
      <w:r>
        <w:rPr>
          <w:rFonts w:ascii="宋体" w:hAnsi="宋体" w:cs="Arial"/>
          <w:bCs/>
          <w:szCs w:val="21"/>
          <w:highlight w:val="none"/>
        </w:rPr>
        <w:t xml:space="preserve">在报价时采用选择性报价；</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5</w:t>
      </w:r>
      <w:r>
        <w:rPr>
          <w:rFonts w:hAnsi="宋体"/>
          <w:szCs w:val="21"/>
          <w:highlight w:val="none"/>
        </w:rPr>
        <w:t xml:space="preserve">）报价超过招标文件中规定的最高限价的；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6</w:t>
      </w:r>
      <w:r>
        <w:rPr>
          <w:rFonts w:hAnsi="宋体"/>
          <w:szCs w:val="21"/>
          <w:highlight w:val="none"/>
        </w:rPr>
        <w:t xml:space="preserve">）投标文件含有采购人不能接受的附加条件的；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7</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的投标文件由同一单位或者个人编制；</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8</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委托同一单位或者个人办理投标事宜；</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9</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的投标文件载明的项目管理成员</w:t>
      </w:r>
      <w:r>
        <w:rPr>
          <w:rFonts w:hint="eastAsia" w:hAnsi="宋体"/>
          <w:szCs w:val="21"/>
          <w:highlight w:val="none"/>
        </w:rPr>
        <w:t xml:space="preserve">或联系人员</w:t>
      </w:r>
      <w:r>
        <w:rPr>
          <w:rFonts w:hAnsi="宋体"/>
          <w:szCs w:val="21"/>
          <w:highlight w:val="none"/>
        </w:rPr>
        <w:t xml:space="preserve">为同一人；</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szCs w:val="21"/>
          <w:highlight w:val="none"/>
        </w:rPr>
        <w:t xml:space="preserve">10</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hAnsi="宋体"/>
          <w:szCs w:val="21"/>
          <w:highlight w:val="none"/>
        </w:rPr>
        <w:t xml:space="preserve">11</w:t>
      </w:r>
      <w:r>
        <w:rPr>
          <w:rFonts w:hAnsi="宋体"/>
          <w:szCs w:val="21"/>
          <w:highlight w:val="none"/>
        </w:rPr>
        <w:t xml:space="preserve">）不同</w:t>
      </w:r>
      <w:r>
        <w:rPr>
          <w:rFonts w:hint="eastAsia" w:hAnsi="宋体"/>
          <w:szCs w:val="21"/>
          <w:highlight w:val="none"/>
        </w:rPr>
        <w:t xml:space="preserve">供应商</w:t>
      </w:r>
      <w:r>
        <w:rPr>
          <w:rFonts w:hAnsi="宋体"/>
          <w:szCs w:val="21"/>
          <w:highlight w:val="none"/>
        </w:rPr>
        <w:t xml:space="preserve">的投标文件相互混装；</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（13）不同供应商的负责人为同一人或者存在控股、管理关系的；</w:t>
      </w:r>
      <w:r/>
    </w:p>
    <w:p>
      <w:pPr>
        <w:ind w:firstLine="420"/>
        <w:spacing w:line="360" w:lineRule="auto"/>
        <w:rPr>
          <w:rFonts w:hint="eastAsia" w:ascii="宋体" w:hAnsi="宋体" w:cs="Arial"/>
          <w:bCs/>
          <w:szCs w:val="21"/>
          <w:highlight w:val="none"/>
        </w:rPr>
      </w:pPr>
      <w:r>
        <w:rPr>
          <w:rFonts w:hint="eastAsia" w:ascii="宋体" w:hAnsi="宋体" w:cs="Arial"/>
          <w:bCs/>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ascii="宋体" w:hAnsi="宋体" w:cs="Arial"/>
          <w:bCs/>
          <w:szCs w:val="21"/>
          <w:highlight w:val="none"/>
        </w:rPr>
        <w:t xml:space="preserve">15</w:t>
      </w:r>
      <w:r>
        <w:rPr>
          <w:rFonts w:hAnsi="宋体"/>
          <w:szCs w:val="21"/>
          <w:highlight w:val="none"/>
        </w:rPr>
        <w:t xml:space="preserve">）提供虚假材料的（包括工商营业执照、财务报表、资格证明文件等）；</w:t>
      </w:r>
      <w:r/>
    </w:p>
    <w:p>
      <w:pPr>
        <w:ind w:firstLine="420"/>
        <w:spacing w:line="360" w:lineRule="auto"/>
        <w:rPr>
          <w:highlight w:val="none"/>
        </w:rPr>
      </w:pPr>
      <w:r>
        <w:rPr>
          <w:rFonts w:ascii="宋体" w:hAnsi="宋体" w:cs="Arial"/>
          <w:bCs/>
          <w:szCs w:val="21"/>
          <w:highlight w:val="none"/>
        </w:rPr>
        <w:t xml:space="preserve">（</w:t>
      </w:r>
      <w:r>
        <w:rPr>
          <w:rFonts w:hint="eastAsia" w:ascii="宋体" w:hAnsi="宋体" w:cs="Arial"/>
          <w:bCs/>
          <w:szCs w:val="21"/>
          <w:highlight w:val="none"/>
        </w:rPr>
        <w:t xml:space="preserve">16</w:t>
      </w:r>
      <w:r>
        <w:rPr>
          <w:rFonts w:ascii="宋体" w:hAnsi="宋体" w:cs="Arial"/>
          <w:bCs/>
          <w:szCs w:val="21"/>
          <w:highlight w:val="none"/>
        </w:rPr>
        <w:t xml:space="preserve">）未通过符合性检查的；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17</w:t>
      </w:r>
      <w:r>
        <w:rPr>
          <w:rFonts w:hAnsi="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szCs w:val="21"/>
          <w:highlight w:val="none"/>
        </w:rPr>
        <w:t xml:space="preserve">规定的回复</w:t>
      </w:r>
      <w:r>
        <w:rPr>
          <w:rFonts w:hAnsi="宋体"/>
          <w:szCs w:val="21"/>
          <w:highlight w:val="none"/>
        </w:rPr>
        <w:t xml:space="preserve">时间内</w:t>
      </w:r>
      <w:r>
        <w:rPr>
          <w:rFonts w:hint="eastAsia" w:hAnsi="宋体"/>
          <w:szCs w:val="21"/>
          <w:highlight w:val="none"/>
        </w:rPr>
        <w:t xml:space="preserve">通过“苏采云”系统作出必要的说明</w:t>
      </w:r>
      <w:r>
        <w:rPr>
          <w:rFonts w:hAnsi="宋体"/>
          <w:szCs w:val="21"/>
          <w:highlight w:val="none"/>
        </w:rPr>
        <w:t xml:space="preserve">证明其报价合理性的；</w:t>
      </w:r>
      <w:r/>
    </w:p>
    <w:p>
      <w:pPr>
        <w:ind w:firstLine="420"/>
        <w:jc w:val="left"/>
        <w:spacing w:line="360" w:lineRule="auto"/>
        <w:shd w:val="clear" w:color="auto" w:fill="ffffff"/>
        <w:widowControl/>
        <w:rPr>
          <w:szCs w:val="21"/>
          <w:highlight w:val="none"/>
        </w:rPr>
      </w:pPr>
      <w:r>
        <w:rPr>
          <w:rFonts w:hAnsi="宋体"/>
          <w:szCs w:val="21"/>
          <w:highlight w:val="none"/>
        </w:rPr>
        <w:t xml:space="preserve">（</w:t>
      </w:r>
      <w:r>
        <w:rPr>
          <w:rFonts w:hint="eastAsia" w:ascii="宋体" w:hAnsi="宋体" w:cs="Arial"/>
          <w:bCs/>
          <w:szCs w:val="21"/>
          <w:highlight w:val="none"/>
        </w:rPr>
        <w:t xml:space="preserve">18</w:t>
      </w:r>
      <w:r>
        <w:rPr>
          <w:rFonts w:hAnsi="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ascii="宋体" w:hAnsi="宋体" w:cs="Arial"/>
          <w:bCs/>
          <w:szCs w:val="21"/>
          <w:highlight w:val="none"/>
        </w:rPr>
        <w:t xml:space="preserve">19</w:t>
      </w:r>
      <w:r>
        <w:rPr>
          <w:rFonts w:hAnsi="宋体"/>
          <w:szCs w:val="21"/>
          <w:highlight w:val="none"/>
        </w:rPr>
        <w:t xml:space="preserve">）</w:t>
      </w:r>
      <w:r>
        <w:rPr>
          <w:rFonts w:hint="eastAsia" w:hAnsi="宋体"/>
          <w:szCs w:val="21"/>
          <w:highlight w:val="none"/>
        </w:rPr>
        <w:t xml:space="preserve">投标人所投标产品不符合招标文件中所列国家强制性标准的；</w:t>
      </w:r>
      <w:r/>
    </w:p>
    <w:p>
      <w:pPr>
        <w:ind w:firstLine="420"/>
        <w:jc w:val="left"/>
        <w:spacing w:line="360" w:lineRule="auto"/>
        <w:shd w:val="clear" w:color="auto" w:fill="ffffff"/>
        <w:widowControl/>
        <w:rPr>
          <w:szCs w:val="21"/>
          <w:highlight w:val="none"/>
        </w:rPr>
      </w:pPr>
      <w:r>
        <w:rPr>
          <w:rFonts w:hint="eastAsia" w:hAnsi="宋体"/>
          <w:szCs w:val="21"/>
          <w:highlight w:val="none"/>
        </w:rPr>
        <w:t xml:space="preserve">（20）</w:t>
      </w:r>
      <w:r>
        <w:rPr>
          <w:rFonts w:hAnsi="宋体"/>
          <w:szCs w:val="21"/>
          <w:highlight w:val="none"/>
        </w:rPr>
        <w:t xml:space="preserve">法律、法规和招标文件规定的其他无效情形。</w:t>
      </w:r>
      <w:r/>
    </w:p>
    <w:p>
      <w:pPr>
        <w:ind w:firstLine="420"/>
        <w:spacing w:line="360" w:lineRule="auto"/>
        <w:shd w:val="clear" w:color="auto" w:fill="ffffff"/>
        <w:widowControl/>
        <w:rPr>
          <w:b/>
          <w:szCs w:val="21"/>
          <w:highlight w:val="none"/>
        </w:rPr>
      </w:pPr>
      <w:r>
        <w:rPr>
          <w:rFonts w:hint="eastAsia" w:ascii="宋体" w:hAnsi="宋体" w:cs="Arial"/>
          <w:b/>
          <w:bCs/>
          <w:szCs w:val="21"/>
          <w:highlight w:val="none"/>
        </w:rPr>
        <w:t xml:space="preserve">19.7</w:t>
      </w:r>
      <w:r>
        <w:rPr>
          <w:b/>
          <w:bCs/>
          <w:szCs w:val="21"/>
          <w:highlight w:val="none"/>
        </w:rPr>
        <w:t xml:space="preserve"> </w:t>
      </w:r>
      <w:r>
        <w:rPr>
          <w:rFonts w:hAnsi="宋体"/>
          <w:b/>
          <w:szCs w:val="21"/>
          <w:highlight w:val="none"/>
        </w:rPr>
        <w:t xml:space="preserve">出现下列情形之一的，应予废标：</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1</w:t>
      </w:r>
      <w:r>
        <w:rPr>
          <w:rFonts w:hAnsi="宋体"/>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szCs w:val="21"/>
          <w:highlight w:val="none"/>
        </w:rPr>
      </w:pPr>
      <w:r>
        <w:rPr>
          <w:rFonts w:hAnsi="宋体"/>
          <w:szCs w:val="21"/>
          <w:highlight w:val="none"/>
        </w:rPr>
        <w:t xml:space="preserve">（</w:t>
      </w:r>
      <w:r>
        <w:rPr>
          <w:szCs w:val="21"/>
          <w:highlight w:val="none"/>
        </w:rPr>
        <w:t xml:space="preserve">2</w:t>
      </w:r>
      <w:r>
        <w:rPr>
          <w:rFonts w:hAnsi="宋体"/>
          <w:szCs w:val="21"/>
          <w:highlight w:val="none"/>
        </w:rPr>
        <w:t xml:space="preserve">）出现影响采购公正的违法、违规行为的；</w:t>
      </w:r>
      <w:r/>
    </w:p>
    <w:p>
      <w:pPr>
        <w:ind w:firstLine="420"/>
        <w:spacing w:line="360" w:lineRule="auto"/>
        <w:shd w:val="clear" w:color="auto" w:fill="ffffff"/>
        <w:widowControl/>
        <w:rPr>
          <w:rFonts w:hint="eastAsia" w:hAnsi="宋体"/>
          <w:szCs w:val="21"/>
          <w:highlight w:val="none"/>
        </w:rPr>
      </w:pPr>
      <w:r>
        <w:rPr>
          <w:rFonts w:hAnsi="宋体"/>
          <w:szCs w:val="21"/>
          <w:highlight w:val="none"/>
        </w:rPr>
        <w:t xml:space="preserve">（</w:t>
      </w:r>
      <w:r>
        <w:rPr>
          <w:rFonts w:hint="eastAsia"/>
          <w:szCs w:val="21"/>
          <w:highlight w:val="none"/>
        </w:rPr>
        <w:t xml:space="preserve">3</w:t>
      </w:r>
      <w:r>
        <w:rPr>
          <w:rFonts w:hAnsi="宋体"/>
          <w:szCs w:val="21"/>
          <w:highlight w:val="none"/>
        </w:rPr>
        <w:t xml:space="preserve">）因重大变故，采购任务取消的</w:t>
      </w:r>
      <w:r>
        <w:rPr>
          <w:rFonts w:hint="eastAsia" w:hAnsi="宋体"/>
          <w:szCs w:val="21"/>
          <w:highlight w:val="none"/>
        </w:rPr>
        <w:t xml:space="preserve">；</w:t>
      </w:r>
      <w:r/>
    </w:p>
    <w:p>
      <w:pPr>
        <w:ind w:firstLine="420"/>
        <w:spacing w:line="360" w:lineRule="auto"/>
        <w:rPr>
          <w:highlight w:val="none"/>
        </w:rPr>
      </w:pPr>
      <w:r>
        <w:rPr>
          <w:rFonts w:ascii="Arial" w:hAnsi="Arial" w:cs="Arial"/>
          <w:bCs/>
          <w:highlight w:val="none"/>
        </w:rPr>
        <w:t xml:space="preserve">（4）</w:t>
      </w:r>
      <w:r>
        <w:rPr>
          <w:rFonts w:hint="eastAsia" w:ascii="Arial" w:hAnsi="Arial" w:cs="Arial"/>
          <w:bCs/>
          <w:highlight w:val="none"/>
        </w:rPr>
        <w:t xml:space="preserve">评标委员会认定投标文件存在歧义、重大缺陷</w:t>
      </w:r>
      <w:r>
        <w:rPr>
          <w:rFonts w:ascii="Arial" w:hAnsi="Arial" w:cs="Arial"/>
          <w:bCs/>
          <w:highlight w:val="none"/>
        </w:rPr>
        <w:t xml:space="preserve">导致评审工作无法进行的</w:t>
      </w:r>
      <w:r>
        <w:rPr>
          <w:rFonts w:hint="eastAsia" w:ascii="Arial" w:hAnsi="Arial" w:cs="Arial"/>
          <w:bCs/>
          <w:highlight w:val="none"/>
        </w:rPr>
        <w:t xml:space="preserve">，或者招标文件内容违反国家有关强制性规定的</w:t>
      </w:r>
      <w:r>
        <w:rPr>
          <w:rFonts w:ascii="Arial" w:hAnsi="Arial" w:cs="Arial"/>
          <w:bCs/>
          <w:highlight w:val="none"/>
        </w:rPr>
        <w:t xml:space="preserve">。</w:t>
      </w:r>
      <w:r/>
    </w:p>
    <w:p>
      <w:pPr>
        <w:ind w:firstLine="420"/>
        <w:jc w:val="left"/>
        <w:spacing w:line="360" w:lineRule="auto"/>
        <w:shd w:val="clear" w:color="auto" w:fill="ffffff"/>
        <w:widowControl/>
        <w:rPr>
          <w:rFonts w:hint="eastAsia" w:hAnsi="宋体"/>
          <w:szCs w:val="21"/>
          <w:highlight w:val="none"/>
        </w:rPr>
      </w:pPr>
      <w:r>
        <w:rPr>
          <w:rFonts w:hAnsi="宋体"/>
          <w:szCs w:val="21"/>
          <w:highlight w:val="none"/>
        </w:rPr>
        <w:t xml:space="preserve">在评标期间，通过资格审查或符合性审查的投标人不足</w:t>
      </w:r>
      <w:r>
        <w:rPr>
          <w:szCs w:val="21"/>
          <w:highlight w:val="none"/>
        </w:rPr>
        <w:t xml:space="preserve">3</w:t>
      </w:r>
      <w:r>
        <w:rPr>
          <w:rFonts w:hAnsi="宋体"/>
          <w:szCs w:val="21"/>
          <w:highlight w:val="none"/>
        </w:rPr>
        <w:t xml:space="preserve">家情形的，比照</w:t>
      </w:r>
      <w:r>
        <w:rPr>
          <w:rFonts w:hint="eastAsia"/>
          <w:b/>
          <w:bCs/>
          <w:szCs w:val="21"/>
          <w:highlight w:val="none"/>
        </w:rPr>
        <w:t xml:space="preserve">19.3.5</w:t>
      </w:r>
      <w:r>
        <w:rPr>
          <w:rFonts w:hAnsi="宋体"/>
          <w:szCs w:val="21"/>
          <w:highlight w:val="none"/>
        </w:rPr>
        <w:t xml:space="preserve">款执行。</w:t>
      </w:r>
      <w:bookmarkEnd w:id="103"/>
      <w:r/>
      <w:bookmarkEnd w:id="104"/>
      <w:r/>
      <w:bookmarkEnd w:id="105"/>
      <w:r/>
      <w:bookmarkEnd w:id="106"/>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109" w:name="_Toc12294"/>
      <w:r/>
      <w:bookmarkStart w:id="110" w:name="_Toc18327"/>
      <w:r>
        <w:rPr>
          <w:rFonts w:ascii="宋体" w:hAnsi="宋体" w:cs="Arial"/>
          <w:b/>
          <w:bCs/>
          <w:color w:val="000000"/>
          <w:szCs w:val="21"/>
          <w:highlight w:val="none"/>
        </w:rPr>
        <w:t xml:space="preserve">六、授标</w:t>
      </w:r>
      <w:bookmarkEnd w:id="109"/>
      <w:r/>
      <w:bookmarkEnd w:id="110"/>
      <w:r/>
      <w:r/>
    </w:p>
    <w:p>
      <w:pPr>
        <w:pStyle w:val="1082"/>
        <w:ind w:left="0" w:firstLine="422"/>
        <w:jc w:val="both"/>
        <w:spacing w:line="360" w:lineRule="auto"/>
        <w:rPr>
          <w:rFonts w:hint="eastAsia" w:ascii="宋体" w:hAnsi="宋体" w:eastAsia="宋体" w:cs="Arial"/>
          <w:b/>
          <w:bCs/>
          <w:color w:val="000000"/>
          <w:sz w:val="21"/>
          <w:szCs w:val="21"/>
          <w:highlight w:val="none"/>
        </w:rPr>
      </w:pPr>
      <w:r/>
      <w:bookmarkStart w:id="111" w:name="_Toc28693"/>
      <w:r/>
      <w:bookmarkStart w:id="112" w:name="_Toc27522"/>
      <w:r>
        <w:rPr>
          <w:rFonts w:hint="eastAsia" w:ascii="宋体" w:hAnsi="宋体" w:eastAsia="宋体" w:cs="Arial"/>
          <w:b/>
          <w:bCs/>
          <w:color w:val="000000"/>
          <w:sz w:val="21"/>
          <w:szCs w:val="21"/>
          <w:highlight w:val="none"/>
        </w:rPr>
        <w:t xml:space="preserve">20.确定中标</w:t>
      </w:r>
      <w:bookmarkEnd w:id="111"/>
      <w:r>
        <w:rPr>
          <w:rFonts w:hint="eastAsia" w:ascii="宋体" w:hAnsi="宋体" w:eastAsia="宋体" w:cs="Arial"/>
          <w:b/>
          <w:bCs/>
          <w:color w:val="000000"/>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szCs w:val="21"/>
          <w:highlight w:val="none"/>
        </w:rPr>
      </w:pPr>
      <w:r>
        <w:rPr>
          <w:rFonts w:hint="eastAsia" w:hAnsi="宋体"/>
          <w:szCs w:val="21"/>
          <w:highlight w:val="none"/>
        </w:rPr>
        <w:t xml:space="preserve">20.2</w:t>
      </w:r>
      <w:r>
        <w:rPr>
          <w:rFonts w:hAnsi="宋体"/>
          <w:szCs w:val="21"/>
          <w:highlight w:val="none"/>
        </w:rPr>
        <w:t xml:space="preserve">中标人确定后，</w:t>
      </w:r>
      <w:r>
        <w:rPr>
          <w:rFonts w:hint="eastAsia" w:hAnsi="宋体"/>
          <w:szCs w:val="21"/>
          <w:highlight w:val="none"/>
        </w:rPr>
        <w:t xml:space="preserve">在江苏政府采购网</w:t>
      </w:r>
      <w:r>
        <w:rPr>
          <w:rFonts w:hAnsi="宋体"/>
          <w:szCs w:val="21"/>
          <w:highlight w:val="none"/>
        </w:rPr>
        <w:t xml:space="preserve">上公告中标结果，中标公告期为</w:t>
      </w:r>
      <w:r>
        <w:rPr>
          <w:szCs w:val="21"/>
          <w:highlight w:val="none"/>
        </w:rPr>
        <w:t xml:space="preserve">1</w:t>
      </w:r>
      <w:r>
        <w:rPr>
          <w:rFonts w:hAnsi="宋体"/>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szCs w:val="21"/>
          <w:highlight w:val="none"/>
        </w:rPr>
      </w:pPr>
      <w:r>
        <w:rPr>
          <w:rFonts w:hint="eastAsia" w:hAnsi="宋体"/>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1.</w:t>
      </w:r>
      <w:r>
        <w:rPr>
          <w:rFonts w:hAnsi="宋体"/>
          <w:b/>
          <w:bCs/>
          <w:szCs w:val="21"/>
          <w:highlight w:val="none"/>
        </w:rPr>
        <w:t xml:space="preserve">评标过程的保密性</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.1 </w:t>
      </w:r>
      <w:r>
        <w:rPr>
          <w:rFonts w:hAnsi="宋体"/>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.2 </w:t>
      </w:r>
      <w:r>
        <w:rPr>
          <w:rFonts w:hAnsi="宋体"/>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1</w:t>
      </w:r>
      <w:r>
        <w:rPr>
          <w:szCs w:val="21"/>
          <w:highlight w:val="none"/>
        </w:rPr>
        <w:t xml:space="preserve">.3 </w:t>
      </w:r>
      <w:r>
        <w:rPr>
          <w:rFonts w:hAnsi="宋体"/>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szCs w:val="21"/>
          <w:highlight w:val="none"/>
        </w:rPr>
      </w:pPr>
      <w:r>
        <w:rPr>
          <w:b/>
          <w:bCs/>
          <w:szCs w:val="21"/>
          <w:highlight w:val="none"/>
        </w:rPr>
        <w:t xml:space="preserve">2</w:t>
      </w:r>
      <w:r>
        <w:rPr>
          <w:rFonts w:hint="eastAsia"/>
          <w:b/>
          <w:bCs/>
          <w:szCs w:val="21"/>
          <w:highlight w:val="none"/>
        </w:rPr>
        <w:t xml:space="preserve">2.</w:t>
      </w:r>
      <w:r>
        <w:rPr>
          <w:rFonts w:hAnsi="宋体"/>
          <w:b/>
          <w:bCs/>
          <w:szCs w:val="21"/>
          <w:highlight w:val="none"/>
        </w:rPr>
        <w:t xml:space="preserve">签订合同</w:t>
      </w:r>
      <w:r/>
    </w:p>
    <w:p>
      <w:pPr>
        <w:ind w:firstLine="420"/>
        <w:spacing w:line="360" w:lineRule="auto"/>
        <w:shd w:val="clear" w:color="auto" w:fill="ffffff"/>
        <w:widowControl/>
        <w:rPr>
          <w:rFonts w:hint="eastAsia" w:hAnsi="宋体"/>
          <w:szCs w:val="21"/>
          <w:highlight w:val="none"/>
        </w:rPr>
      </w:pPr>
      <w:r>
        <w:rPr>
          <w:szCs w:val="21"/>
          <w:highlight w:val="none"/>
        </w:rPr>
        <w:t xml:space="preserve">2</w:t>
      </w:r>
      <w:r>
        <w:rPr>
          <w:rFonts w:hint="eastAsia"/>
          <w:szCs w:val="21"/>
          <w:highlight w:val="none"/>
        </w:rPr>
        <w:t xml:space="preserve">2</w:t>
      </w:r>
      <w:r>
        <w:rPr>
          <w:szCs w:val="21"/>
          <w:highlight w:val="none"/>
        </w:rPr>
        <w:t xml:space="preserve">.1</w:t>
      </w:r>
      <w:r>
        <w:rPr>
          <w:rFonts w:hint="eastAsia"/>
          <w:szCs w:val="21"/>
          <w:highlight w:val="none"/>
        </w:rPr>
        <w:t xml:space="preserve">采购人应当自中标通</w:t>
      </w:r>
      <w:r>
        <w:rPr>
          <w:rFonts w:hint="eastAsia" w:hAnsi="宋体"/>
          <w:szCs w:val="21"/>
          <w:highlight w:val="none"/>
        </w:rPr>
        <w:t xml:space="preserve">知书发出之日起三十日内</w:t>
      </w:r>
      <w:r>
        <w:rPr>
          <w:rFonts w:hAnsi="宋体"/>
          <w:szCs w:val="21"/>
          <w:highlight w:val="none"/>
        </w:rPr>
        <w:t xml:space="preserve">，</w:t>
      </w:r>
      <w:r>
        <w:rPr>
          <w:rFonts w:hint="eastAsia" w:hAnsi="宋体"/>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.2</w:t>
      </w:r>
      <w:r>
        <w:rPr>
          <w:rFonts w:hint="eastAsia" w:hAnsi="宋体"/>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szCs w:val="21"/>
          <w:highlight w:val="none"/>
        </w:rPr>
      </w:pPr>
      <w:r>
        <w:rPr>
          <w:rFonts w:hAnsi="宋体"/>
          <w:szCs w:val="21"/>
          <w:highlight w:val="none"/>
        </w:rPr>
        <w:t xml:space="preserve">2</w:t>
      </w:r>
      <w:r>
        <w:rPr>
          <w:rFonts w:hint="eastAsia" w:hAnsi="宋体"/>
          <w:szCs w:val="21"/>
          <w:highlight w:val="none"/>
        </w:rPr>
        <w:t xml:space="preserve">2</w:t>
      </w:r>
      <w:r>
        <w:rPr>
          <w:rFonts w:hAnsi="宋体"/>
          <w:szCs w:val="21"/>
          <w:highlight w:val="none"/>
        </w:rPr>
        <w:t xml:space="preserve">.</w:t>
      </w:r>
      <w:r>
        <w:rPr>
          <w:rFonts w:hint="eastAsia" w:hAnsi="宋体"/>
          <w:szCs w:val="21"/>
          <w:highlight w:val="none"/>
        </w:rPr>
        <w:t xml:space="preserve">3</w:t>
      </w:r>
      <w:r>
        <w:rPr>
          <w:rFonts w:hAnsi="宋体"/>
          <w:szCs w:val="21"/>
          <w:highlight w:val="none"/>
        </w:rPr>
        <w:t xml:space="preserve">采购人不得向中标人提出任何不合理的要求作为签订合同的条件。</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4</w:t>
      </w:r>
      <w:r>
        <w:rPr>
          <w:szCs w:val="21"/>
          <w:highlight w:val="none"/>
        </w:rPr>
        <w:t xml:space="preserve"> </w:t>
      </w:r>
      <w:r>
        <w:rPr>
          <w:rFonts w:hint="eastAsia" w:ascii="宋体" w:hAnsi="宋体" w:cs="Arial"/>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szCs w:val="21"/>
          <w:highlight w:val="none"/>
        </w:rPr>
        <w:t xml:space="preserve">。</w:t>
      </w:r>
      <w:r/>
    </w:p>
    <w:p>
      <w:pPr>
        <w:ind w:firstLine="420"/>
        <w:spacing w:line="360" w:lineRule="auto"/>
        <w:shd w:val="clear" w:color="auto" w:fill="ffffff"/>
        <w:widowControl/>
        <w:rPr>
          <w:szCs w:val="21"/>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5</w:t>
      </w:r>
      <w:r>
        <w:rPr>
          <w:szCs w:val="21"/>
          <w:highlight w:val="none"/>
        </w:rPr>
        <w:t xml:space="preserve"> </w:t>
      </w:r>
      <w:r>
        <w:rPr>
          <w:rFonts w:hAnsi="宋体"/>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highlight w:val="none"/>
        </w:rPr>
      </w:pPr>
      <w:r>
        <w:rPr>
          <w:szCs w:val="21"/>
          <w:highlight w:val="none"/>
        </w:rPr>
        <w:t xml:space="preserve">2</w:t>
      </w:r>
      <w:r>
        <w:rPr>
          <w:rFonts w:hint="eastAsia"/>
          <w:szCs w:val="21"/>
          <w:highlight w:val="none"/>
        </w:rPr>
        <w:t xml:space="preserve">2</w:t>
      </w:r>
      <w:r>
        <w:rPr>
          <w:szCs w:val="21"/>
          <w:highlight w:val="none"/>
        </w:rPr>
        <w:t xml:space="preserve">.</w:t>
      </w:r>
      <w:r>
        <w:rPr>
          <w:rFonts w:hint="eastAsia"/>
          <w:szCs w:val="21"/>
          <w:highlight w:val="none"/>
        </w:rPr>
        <w:t xml:space="preserve">6</w:t>
      </w:r>
      <w:r>
        <w:rPr>
          <w:szCs w:val="21"/>
          <w:highlight w:val="none"/>
        </w:rPr>
        <w:t xml:space="preserve"> </w:t>
      </w:r>
      <w:r>
        <w:rPr>
          <w:rFonts w:hAnsi="宋体"/>
          <w:szCs w:val="21"/>
          <w:highlight w:val="none"/>
        </w:rPr>
        <w:t xml:space="preserve">采购人与中标人应当根据合同的约定依法履行合同义务。</w:t>
      </w:r>
      <w:bookmarkEnd w:id="113"/>
      <w:r/>
      <w:r/>
    </w:p>
    <w:p>
      <w:pPr>
        <w:pStyle w:val="1082"/>
        <w:ind w:left="420" w:firstLine="0"/>
        <w:jc w:val="both"/>
        <w:spacing w:line="360" w:lineRule="auto"/>
        <w:rPr>
          <w:rFonts w:hint="eastAsia" w:ascii="宋体" w:hAnsi="宋体" w:eastAsia="宋体" w:cs="Arial"/>
          <w:b/>
          <w:bCs/>
          <w:color w:val="000000"/>
          <w:sz w:val="21"/>
          <w:szCs w:val="21"/>
          <w:highlight w:val="none"/>
        </w:rPr>
      </w:pPr>
      <w:r>
        <w:rPr>
          <w:rFonts w:hint="eastAsia" w:ascii="宋体" w:hAnsi="宋体" w:eastAsia="宋体" w:cs="Arial"/>
          <w:b/>
          <w:bCs/>
          <w:color w:val="000000"/>
          <w:sz w:val="21"/>
          <w:szCs w:val="21"/>
          <w:highlight w:val="none"/>
        </w:rPr>
        <w:t xml:space="preserve">23.招标代理服务费</w:t>
      </w:r>
      <w:bookmarkEnd w:id="84"/>
      <w:r/>
      <w:bookmarkEnd w:id="85"/>
      <w:r/>
      <w:r/>
    </w:p>
    <w:p>
      <w:pPr>
        <w:spacing w:line="360" w:lineRule="auto"/>
        <w:rPr>
          <w:rFonts w:hint="eastAsia" w:ascii="宋体" w:hAnsi="宋体" w:eastAsia="宋体" w:cs="Times New Roman"/>
          <w:szCs w:val="21"/>
          <w:highlight w:val="none"/>
          <w:lang w:val="zh-CN"/>
        </w:rPr>
      </w:pPr>
      <w:r>
        <w:rPr>
          <w:rFonts w:hint="eastAsia" w:ascii="宋体" w:hAnsi="宋体" w:eastAsia="宋体" w:cs="Arial"/>
          <w:bCs/>
          <w:szCs w:val="21"/>
          <w:highlight w:val="none"/>
        </w:rPr>
        <w:t xml:space="preserve">    </w:t>
      </w:r>
      <w:r>
        <w:rPr>
          <w:rFonts w:ascii="宋体" w:hAnsi="宋体" w:eastAsia="宋体" w:cs="Arial"/>
          <w:bCs/>
          <w:szCs w:val="21"/>
          <w:highlight w:val="none"/>
        </w:rPr>
        <w:t xml:space="preserve">2</w:t>
      </w:r>
      <w:r>
        <w:rPr>
          <w:rFonts w:hint="eastAsia" w:ascii="宋体" w:hAnsi="宋体" w:eastAsia="宋体" w:cs="Arial"/>
          <w:bCs/>
          <w:szCs w:val="21"/>
          <w:highlight w:val="none"/>
        </w:rPr>
        <w:t xml:space="preserve">3</w:t>
      </w:r>
      <w:r>
        <w:rPr>
          <w:rFonts w:ascii="宋体" w:hAnsi="宋体" w:eastAsia="宋体" w:cs="Arial"/>
          <w:bCs/>
          <w:szCs w:val="21"/>
          <w:highlight w:val="none"/>
        </w:rPr>
        <w:t xml:space="preserve">.1</w:t>
      </w:r>
      <w:r>
        <w:rPr>
          <w:rFonts w:hint="eastAsia" w:ascii="宋体" w:hAnsi="宋体" w:eastAsia="宋体" w:cs="Arial"/>
          <w:bCs/>
          <w:szCs w:val="21"/>
          <w:highlight w:val="none"/>
        </w:rPr>
        <w:t xml:space="preserve"> </w:t>
      </w:r>
      <w:r>
        <w:rPr>
          <w:rFonts w:hint="eastAsia" w:ascii="宋体" w:hAnsi="宋体" w:eastAsia="宋体" w:cs="Times New Roman"/>
          <w:szCs w:val="21"/>
          <w:highlight w:val="none"/>
          <w:lang w:val="zh-CN"/>
        </w:rPr>
        <w:t xml:space="preserve">领取中标通知时，中标人向采购代理机构一次性付清。</w:t>
      </w:r>
      <w:r/>
    </w:p>
    <w:p>
      <w:pPr>
        <w:ind w:firstLine="420"/>
        <w:jc w:val="left"/>
        <w:keepLines w:val="0"/>
        <w:pageBreakBefore w:val="0"/>
        <w:spacing w:line="360" w:lineRule="auto"/>
        <w:widowControl/>
        <w:rPr>
          <w:rFonts w:hint="default" w:ascii="宋体" w:hAnsi="宋体" w:eastAsia="宋体" w:cs="Times New Roman"/>
          <w:sz w:val="21"/>
          <w:szCs w:val="21"/>
          <w:highlight w:val="none"/>
          <w:lang w:val="en-US" w:eastAsia="zh-CN" w:bidi="ar-SA"/>
        </w:rPr>
      </w:pPr>
      <w:r>
        <w:rPr>
          <w:rFonts w:hint="default" w:ascii="宋体" w:hAnsi="宋体" w:eastAsia="宋体" w:cs="Arial"/>
          <w:bCs/>
          <w:sz w:val="21"/>
          <w:szCs w:val="21"/>
          <w:highlight w:val="none"/>
          <w:lang w:val="en-US" w:eastAsia="zh-CN" w:bidi="ar-SA"/>
        </w:rPr>
        <w:t xml:space="preserve">2</w:t>
      </w:r>
      <w:r>
        <w:rPr>
          <w:rFonts w:hint="eastAsia" w:ascii="宋体" w:hAnsi="宋体" w:eastAsia="宋体" w:cs="Arial"/>
          <w:bCs/>
          <w:sz w:val="21"/>
          <w:szCs w:val="21"/>
          <w:highlight w:val="none"/>
          <w:lang w:val="en-US" w:eastAsia="zh-CN" w:bidi="ar-SA"/>
        </w:rPr>
        <w:t xml:space="preserve">3</w:t>
      </w:r>
      <w:r>
        <w:rPr>
          <w:rFonts w:hint="default" w:ascii="宋体" w:hAnsi="宋体" w:eastAsia="宋体" w:cs="Arial"/>
          <w:bCs/>
          <w:sz w:val="21"/>
          <w:szCs w:val="21"/>
          <w:highlight w:val="none"/>
          <w:lang w:val="en-US" w:eastAsia="zh-CN" w:bidi="ar-SA"/>
        </w:rPr>
        <w:t xml:space="preserve">.</w:t>
      </w:r>
      <w:r>
        <w:rPr>
          <w:rFonts w:hint="eastAsia" w:ascii="宋体" w:hAnsi="宋体" w:eastAsia="宋体" w:cs="Arial"/>
          <w:bCs/>
          <w:sz w:val="21"/>
          <w:szCs w:val="21"/>
          <w:highlight w:val="none"/>
          <w:lang w:val="en-US" w:eastAsia="zh-CN" w:bidi="ar-SA"/>
        </w:rPr>
        <w:t xml:space="preserve">2</w:t>
      </w:r>
      <w:r>
        <w:rPr>
          <w:rFonts w:hint="default" w:ascii="宋体" w:hAnsi="宋体" w:eastAsia="宋体" w:cs="Times New Roman"/>
          <w:sz w:val="21"/>
          <w:szCs w:val="21"/>
          <w:highlight w:val="none"/>
          <w:lang w:val="en-US" w:eastAsia="zh-CN" w:bidi="ar-SA"/>
        </w:rPr>
        <w:t xml:space="preserve">招标代理服务费：项目预算中已包含代理服务费，为提高资金支付效率，本项目代理服务费由中标人支付，领取中标通知书前，中标人按原(计价格【2002】1980号)文件规定收费标准</w:t>
      </w:r>
      <w:r>
        <w:rPr>
          <w:rFonts w:hint="eastAsia" w:ascii="宋体" w:hAnsi="宋体" w:eastAsia="宋体" w:cs="Times New Roman"/>
          <w:sz w:val="21"/>
          <w:szCs w:val="21"/>
          <w:highlight w:val="none"/>
          <w:lang w:val="en-US" w:eastAsia="zh-CN" w:bidi="ar-SA"/>
        </w:rPr>
        <w:t xml:space="preserve">的75%</w:t>
      </w:r>
      <w:r>
        <w:rPr>
          <w:rFonts w:hint="default" w:ascii="宋体" w:hAnsi="宋体" w:eastAsia="宋体" w:cs="Times New Roman"/>
          <w:sz w:val="21"/>
          <w:szCs w:val="21"/>
          <w:highlight w:val="none"/>
          <w:lang w:val="en-US" w:eastAsia="zh-CN" w:bidi="ar-SA"/>
        </w:rPr>
        <w:t xml:space="preserve">支付中标服务费。各投标供应商应将招标代理服务费自行考虑包含在投标报价中，本项费用无需在投标报价表中单列</w:t>
      </w:r>
      <w:r>
        <w:rPr>
          <w:rFonts w:hint="eastAsia" w:ascii="宋体" w:hAnsi="宋体" w:eastAsia="宋体" w:cs="Times New Roman"/>
          <w:sz w:val="21"/>
          <w:szCs w:val="21"/>
          <w:highlight w:val="none"/>
          <w:lang w:val="en-US" w:eastAsia="zh-CN" w:bidi="ar-SA"/>
        </w:rPr>
        <w:t xml:space="preserve">。</w:t>
      </w:r>
      <w:r/>
    </w:p>
    <w:p>
      <w:pPr>
        <w:pStyle w:val="908"/>
        <w:spacing w:line="360" w:lineRule="auto"/>
        <w:rPr>
          <w:rFonts w:hint="eastAsia" w:hAnsi="宋体"/>
          <w:szCs w:val="21"/>
          <w:highlight w:val="none"/>
        </w:rPr>
      </w:pPr>
      <w:r>
        <w:rPr>
          <w:rFonts w:hint="eastAsia" w:ascii="宋体" w:hAnsi="宋体" w:cs="Arial"/>
          <w:bCs/>
          <w:szCs w:val="21"/>
          <w:highlight w:val="none"/>
        </w:rPr>
        <w:t xml:space="preserve">    </w:t>
      </w:r>
      <w:r>
        <w:rPr>
          <w:rFonts w:hAnsi="宋体" w:cs="Arial"/>
          <w:bCs/>
          <w:szCs w:val="21"/>
          <w:highlight w:val="none"/>
        </w:rPr>
        <w:t xml:space="preserve">2</w:t>
      </w:r>
      <w:r>
        <w:rPr>
          <w:rFonts w:hint="eastAsia" w:hAnsi="宋体" w:cs="Arial"/>
          <w:bCs/>
          <w:szCs w:val="21"/>
          <w:highlight w:val="none"/>
        </w:rPr>
        <w:t xml:space="preserve">3</w:t>
      </w:r>
      <w:r>
        <w:rPr>
          <w:rFonts w:hAnsi="宋体" w:cs="Arial"/>
          <w:bCs/>
          <w:szCs w:val="21"/>
          <w:highlight w:val="none"/>
        </w:rPr>
        <w:t xml:space="preserve">.</w:t>
      </w:r>
      <w:r>
        <w:rPr>
          <w:rFonts w:hint="eastAsia" w:hAnsi="宋体" w:cs="Arial"/>
          <w:bCs/>
          <w:szCs w:val="21"/>
          <w:highlight w:val="none"/>
        </w:rPr>
        <w:t xml:space="preserve">3</w:t>
      </w:r>
      <w:r>
        <w:rPr>
          <w:rFonts w:hAnsi="宋体"/>
          <w:szCs w:val="21"/>
          <w:highlight w:val="none"/>
        </w:rPr>
        <w:t xml:space="preserve">服务费交纳账户：</w:t>
      </w:r>
      <w:r>
        <w:rPr>
          <w:rFonts w:hint="eastAsia" w:hAnsi="宋体"/>
          <w:szCs w:val="21"/>
          <w:highlight w:val="none"/>
        </w:rPr>
        <w:t xml:space="preserve">苏美达国际技术贸易有限公司</w:t>
      </w:r>
      <w:r/>
    </w:p>
    <w:p>
      <w:pPr>
        <w:pStyle w:val="908"/>
        <w:ind w:firstLine="840"/>
        <w:spacing w:line="360" w:lineRule="auto"/>
        <w:rPr>
          <w:rFonts w:hint="eastAsia" w:hAnsi="宋体"/>
          <w:szCs w:val="21"/>
          <w:highlight w:val="none"/>
        </w:rPr>
      </w:pPr>
      <w:r>
        <w:rPr>
          <w:rFonts w:hAnsi="宋体"/>
          <w:szCs w:val="21"/>
          <w:highlight w:val="none"/>
        </w:rPr>
        <w:t xml:space="preserve">账号：</w:t>
      </w:r>
      <w:r>
        <w:rPr>
          <w:rFonts w:hint="eastAsia" w:hAnsi="宋体"/>
          <w:szCs w:val="21"/>
          <w:highlight w:val="none"/>
        </w:rPr>
        <w:t xml:space="preserve">7321010182300013675　</w:t>
      </w:r>
      <w:r/>
    </w:p>
    <w:p>
      <w:pPr>
        <w:pStyle w:val="1124"/>
        <w:ind w:firstLine="840"/>
        <w:rPr>
          <w:rFonts w:hint="eastAsia" w:ascii="宋体" w:hAnsi="宋体"/>
          <w:sz w:val="21"/>
          <w:highlight w:val="none"/>
        </w:rPr>
      </w:pPr>
      <w:r>
        <w:rPr>
          <w:rFonts w:ascii="宋体" w:hAnsi="宋体"/>
          <w:sz w:val="21"/>
          <w:highlight w:val="none"/>
        </w:rPr>
        <w:t xml:space="preserve">开户银行：</w:t>
      </w:r>
      <w:r>
        <w:rPr>
          <w:rFonts w:hint="eastAsia" w:ascii="宋体" w:hAnsi="宋体"/>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000000"/>
          <w:szCs w:val="21"/>
          <w:highlight w:val="none"/>
        </w:rPr>
        <w:outlineLvl w:val="1"/>
      </w:pPr>
      <w:r/>
      <w:bookmarkStart w:id="114" w:name="_Toc5784"/>
      <w:r>
        <w:rPr>
          <w:rFonts w:ascii="宋体" w:hAnsi="宋体" w:cs="Arial"/>
          <w:b/>
          <w:bCs/>
          <w:color w:val="000000"/>
          <w:szCs w:val="21"/>
          <w:highlight w:val="none"/>
        </w:rPr>
        <w:t xml:space="preserve">七、质疑</w:t>
      </w:r>
      <w:bookmarkEnd w:id="114"/>
      <w:r>
        <w:rPr>
          <w:rFonts w:ascii="宋体" w:hAnsi="宋体" w:cs="Arial"/>
          <w:b/>
          <w:bCs/>
          <w:color w:val="000000"/>
          <w:szCs w:val="21"/>
          <w:highlight w:val="none"/>
        </w:rPr>
        <w:t xml:space="preserve">和投诉</w:t>
      </w:r>
      <w:r/>
    </w:p>
    <w:p>
      <w:pPr>
        <w:ind w:firstLine="420"/>
        <w:spacing w:line="360" w:lineRule="auto"/>
        <w:shd w:val="clear" w:color="auto" w:fill="ffffff"/>
        <w:widowControl/>
        <w:rPr>
          <w:rFonts w:hint="eastAsia" w:ascii="宋体" w:hAnsi="宋体"/>
          <w:szCs w:val="21"/>
          <w:highlight w:val="none"/>
        </w:rPr>
      </w:pPr>
      <w:r>
        <w:rPr>
          <w:rFonts w:hint="eastAsia" w:ascii="宋体" w:hAnsi="宋体"/>
          <w:b/>
          <w:bCs/>
          <w:szCs w:val="21"/>
          <w:highlight w:val="none"/>
        </w:rPr>
        <w:t xml:space="preserve">24.</w:t>
      </w:r>
      <w:r>
        <w:rPr>
          <w:rFonts w:ascii="宋体" w:hAnsi="宋体"/>
          <w:b/>
          <w:bCs/>
          <w:szCs w:val="21"/>
          <w:highlight w:val="none"/>
        </w:rPr>
        <w:t xml:space="preserve">质疑</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.1供应商对招标活动事项有疑问的，可以向采购代理机构提出询问，采购代理机构将依法作出答复，但答复的内容不涉及商业秘密</w:t>
      </w:r>
      <w:r>
        <w:rPr>
          <w:rFonts w:ascii="宋体" w:hAnsi="宋体"/>
          <w:b/>
          <w:bCs/>
          <w:szCs w:val="21"/>
          <w:highlight w:val="none"/>
        </w:rPr>
        <w:t xml:space="preserve">。</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szCs w:val="21"/>
          <w:highlight w:val="none"/>
        </w:rPr>
        <w:t xml:space="preserve">，质疑一次性提出</w:t>
      </w:r>
      <w:r>
        <w:rPr>
          <w:rFonts w:ascii="宋体" w:hAnsi="宋体"/>
          <w:szCs w:val="21"/>
          <w:highlight w:val="none"/>
        </w:rPr>
        <w:t xml:space="preserve">。</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szCs w:val="21"/>
          <w:highlight w:val="none"/>
        </w:rPr>
        <w:t xml:space="preserve">修改理由</w:t>
      </w:r>
      <w:r>
        <w:rPr>
          <w:rFonts w:ascii="宋体" w:hAnsi="宋体"/>
          <w:szCs w:val="21"/>
          <w:highlight w:val="none"/>
        </w:rPr>
        <w:t xml:space="preserve">和</w:t>
      </w:r>
      <w:r>
        <w:rPr>
          <w:rFonts w:ascii="宋体" w:hAnsi="宋体"/>
          <w:b/>
          <w:bCs/>
          <w:szCs w:val="21"/>
          <w:highlight w:val="none"/>
        </w:rPr>
        <w:t xml:space="preserve">修改建议</w:t>
      </w:r>
      <w:r>
        <w:rPr>
          <w:rFonts w:ascii="宋体" w:hAnsi="宋体"/>
          <w:szCs w:val="21"/>
          <w:highlight w:val="none"/>
        </w:rPr>
        <w:t xml:space="preserve">）；</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szCs w:val="21"/>
          <w:highlight w:val="none"/>
        </w:rPr>
      </w:pPr>
      <w:r>
        <w:rPr>
          <w:rFonts w:ascii="宋体" w:hAnsi="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szCs w:val="21"/>
          <w:highlight w:val="none"/>
        </w:rPr>
      </w:pPr>
      <w:r>
        <w:rPr>
          <w:rFonts w:hint="eastAsia" w:ascii="宋体" w:hAnsi="宋体"/>
          <w:bCs/>
          <w:szCs w:val="21"/>
          <w:highlight w:val="none"/>
        </w:rPr>
        <w:t xml:space="preserve">24</w:t>
      </w:r>
      <w:r>
        <w:rPr>
          <w:rFonts w:ascii="宋体" w:hAnsi="宋体"/>
          <w:szCs w:val="21"/>
          <w:highlight w:val="none"/>
        </w:rPr>
        <w:t xml:space="preserve">.6采购代理机构在收到投标商的书面质疑后将及时组织调查核实，在</w:t>
      </w:r>
      <w:r>
        <w:rPr>
          <w:rFonts w:ascii="宋体" w:hAnsi="宋体"/>
          <w:b/>
          <w:bCs/>
          <w:szCs w:val="21"/>
          <w:highlight w:val="none"/>
        </w:rPr>
        <w:t xml:space="preserve">七个工作日内</w:t>
      </w:r>
      <w:r>
        <w:rPr>
          <w:rFonts w:ascii="宋体" w:hAnsi="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szCs w:val="21"/>
          <w:highlight w:val="none"/>
        </w:rPr>
      </w:pPr>
      <w:r>
        <w:rPr>
          <w:rFonts w:hint="eastAsia" w:ascii="宋体" w:hAnsi="宋体"/>
          <w:b/>
          <w:szCs w:val="21"/>
          <w:highlight w:val="none"/>
        </w:rPr>
        <w:t xml:space="preserve">25.</w:t>
      </w:r>
      <w:r>
        <w:rPr>
          <w:rFonts w:ascii="宋体" w:hAnsi="宋体"/>
          <w:b/>
          <w:szCs w:val="21"/>
          <w:highlight w:val="none"/>
        </w:rPr>
        <w:t xml:space="preserve">投诉</w:t>
      </w:r>
      <w:r/>
    </w:p>
    <w:p>
      <w:pPr>
        <w:ind w:firstLine="420"/>
        <w:spacing w:line="360" w:lineRule="auto"/>
        <w:shd w:val="clear" w:color="auto" w:fill="ffffff"/>
        <w:widowControl/>
        <w:rPr>
          <w:rFonts w:hint="eastAsia" w:ascii="宋体" w:hAnsi="宋体"/>
          <w:b/>
          <w:bCs/>
          <w:szCs w:val="21"/>
          <w:highlight w:val="none"/>
        </w:rPr>
      </w:pPr>
      <w:r>
        <w:rPr>
          <w:rFonts w:ascii="宋体" w:hAnsi="宋体"/>
          <w:szCs w:val="21"/>
          <w:highlight w:val="none"/>
        </w:rPr>
        <w:t xml:space="preserve">质疑投标商对代理机构的答复不满意，或代理机构未在规定的时间内作出答复的，可以在答复期满后</w:t>
      </w:r>
      <w:r>
        <w:rPr>
          <w:rFonts w:ascii="宋体" w:hAnsi="宋体"/>
          <w:b/>
          <w:bCs/>
          <w:szCs w:val="21"/>
          <w:highlight w:val="none"/>
        </w:rPr>
        <w:t xml:space="preserve">十五个工作日内</w:t>
      </w:r>
      <w:r>
        <w:rPr>
          <w:rFonts w:ascii="宋体" w:hAnsi="宋体"/>
          <w:szCs w:val="21"/>
          <w:highlight w:val="none"/>
        </w:rPr>
        <w:t xml:space="preserve">向采购人同级财政部门投诉。</w:t>
      </w:r>
      <w:r>
        <w:rPr>
          <w:rFonts w:ascii="宋体" w:hAnsi="宋体"/>
          <w:b/>
          <w:bCs/>
          <w:szCs w:val="21"/>
          <w:highlight w:val="none"/>
        </w:rPr>
        <w:t xml:space="preserve"> </w:t>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ind w:firstLine="420"/>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903"/>
        <w:rPr>
          <w:rFonts w:hint="eastAsia" w:ascii="宋体" w:hAnsi="宋体"/>
          <w:b/>
          <w:szCs w:val="21"/>
          <w:highlight w:val="none"/>
        </w:rPr>
      </w:pPr>
      <w:r>
        <w:rPr>
          <w:rFonts w:hint="eastAsia" w:ascii="宋体" w:hAnsi="宋体"/>
          <w:b/>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03"/>
        <w:rPr>
          <w:rFonts w:hint="eastAsia" w:ascii="宋体" w:hAnsi="宋体"/>
          <w:b/>
          <w:szCs w:val="21"/>
          <w:highlight w:val="none"/>
        </w:rPr>
      </w:pPr>
      <w:r>
        <w:rPr>
          <w:rFonts w:hint="eastAsia" w:ascii="宋体" w:hAnsi="宋体"/>
          <w:b/>
          <w:szCs w:val="21"/>
          <w:highlight w:val="none"/>
        </w:rPr>
      </w:r>
      <w:r/>
    </w:p>
    <w:p>
      <w:pPr>
        <w:rPr>
          <w:highlight w:val="none"/>
        </w:rPr>
      </w:pPr>
      <w:r>
        <w:rPr>
          <w:highlight w:val="none"/>
        </w:rPr>
      </w:r>
      <w:r/>
    </w:p>
    <w:p>
      <w:pPr>
        <w:spacing w:line="360" w:lineRule="auto"/>
        <w:shd w:val="clear" w:color="auto" w:fill="ffffff"/>
        <w:widowControl/>
        <w:rPr>
          <w:rFonts w:hint="eastAsia" w:ascii="宋体" w:hAnsi="宋体"/>
          <w:b/>
          <w:bCs/>
          <w:szCs w:val="21"/>
          <w:highlight w:val="none"/>
        </w:rPr>
      </w:pPr>
      <w:r>
        <w:rPr>
          <w:rFonts w:hint="eastAsia" w:ascii="宋体" w:hAnsi="宋体"/>
          <w:b/>
          <w:bCs/>
          <w:szCs w:val="21"/>
          <w:highlight w:val="none"/>
        </w:rPr>
      </w:r>
      <w:r/>
    </w:p>
    <w:p>
      <w:pPr>
        <w:pStyle w:val="932"/>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2"/>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2"/>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32"/>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pStyle w:val="903"/>
        <w:rPr>
          <w:rFonts w:hint="eastAsia" w:ascii="宋体" w:hAnsi="宋体"/>
          <w:b/>
          <w:szCs w:val="21"/>
          <w:highlight w:val="none"/>
        </w:rPr>
      </w:pPr>
      <w:r>
        <w:rPr>
          <w:rFonts w:hint="eastAsia" w:ascii="宋体" w:hAnsi="宋体"/>
          <w:b/>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562"/>
        <w:jc w:val="center"/>
        <w:spacing w:line="360" w:lineRule="auto"/>
        <w:rPr>
          <w:rFonts w:eastAsia="黑体"/>
          <w:b/>
          <w:bCs/>
          <w:sz w:val="32"/>
          <w:szCs w:val="32"/>
          <w:highlight w:val="none"/>
        </w:rPr>
      </w:pPr>
      <w:r/>
      <w:bookmarkStart w:id="115" w:name="_Toc668"/>
      <w:r>
        <w:rPr>
          <w:rFonts w:ascii="Arial" w:hAnsi="Arial" w:eastAsia="黑体" w:cs="Arial"/>
          <w:b/>
          <w:color w:val="000000"/>
          <w:sz w:val="28"/>
          <w:szCs w:val="28"/>
          <w:highlight w:val="none"/>
        </w:rPr>
        <w:t xml:space="preserve">第三章 </w:t>
      </w:r>
      <w:bookmarkEnd w:id="115"/>
      <w:r>
        <w:rPr>
          <w:rFonts w:eastAsia="黑体"/>
          <w:b/>
          <w:bCs/>
          <w:sz w:val="32"/>
          <w:szCs w:val="32"/>
          <w:highlight w:val="none"/>
        </w:rPr>
        <w:t xml:space="preserve">评标方法、评分标准</w:t>
      </w:r>
      <w:bookmarkStart w:id="116" w:name="_Toc11059"/>
      <w:r/>
      <w:r/>
    </w:p>
    <w:p>
      <w:pPr>
        <w:pStyle w:val="908"/>
        <w:ind w:firstLine="420"/>
        <w:spacing w:line="360" w:lineRule="auto"/>
        <w:rPr>
          <w:rFonts w:hint="eastAsia" w:hAnsi="宋体"/>
          <w:szCs w:val="21"/>
          <w:highlight w:val="none"/>
        </w:rPr>
      </w:pPr>
      <w:r>
        <w:rPr>
          <w:rFonts w:hAnsi="宋体"/>
          <w:szCs w:val="21"/>
          <w:highlight w:val="none"/>
        </w:rPr>
        <w:t xml:space="preserve">一、评标办法：</w:t>
      </w:r>
      <w:r/>
    </w:p>
    <w:p>
      <w:pPr>
        <w:pStyle w:val="908"/>
        <w:ind w:firstLine="420"/>
        <w:spacing w:line="360" w:lineRule="auto"/>
        <w:rPr>
          <w:rFonts w:hint="eastAsia" w:hAnsi="宋体"/>
          <w:szCs w:val="21"/>
          <w:highlight w:val="none"/>
        </w:rPr>
      </w:pPr>
      <w:r>
        <w:rPr>
          <w:rFonts w:hint="eastAsia" w:hAnsi="宋体"/>
          <w:szCs w:val="21"/>
          <w:highlight w:val="none"/>
        </w:rPr>
        <w:t xml:space="preserve">1、评标方法采用综合评分法。即在投标文件满足招标文件全部实质性要求，且按照评审因素的量化指标评审得分最高的投标人为中标人的评标方法</w:t>
      </w:r>
      <w:r>
        <w:rPr>
          <w:rFonts w:hAnsi="宋体"/>
          <w:szCs w:val="21"/>
          <w:highlight w:val="none"/>
        </w:rPr>
        <w:t xml:space="preserve">。</w:t>
      </w:r>
      <w:r/>
    </w:p>
    <w:p>
      <w:pPr>
        <w:pStyle w:val="908"/>
        <w:ind w:firstLine="420"/>
        <w:spacing w:line="360" w:lineRule="auto"/>
        <w:rPr>
          <w:rFonts w:hint="eastAsia"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履约能力、售后</w:t>
      </w:r>
      <w:r>
        <w:rPr>
          <w:rFonts w:hAnsi="宋体"/>
          <w:szCs w:val="21"/>
          <w:highlight w:val="none"/>
        </w:rPr>
        <w:t xml:space="preserve">服务</w:t>
      </w:r>
      <w:r>
        <w:rPr>
          <w:rFonts w:hint="eastAsia" w:hAnsi="宋体"/>
          <w:szCs w:val="21"/>
          <w:highlight w:val="none"/>
        </w:rPr>
        <w:t xml:space="preserve">等，</w:t>
      </w:r>
      <w:r>
        <w:rPr>
          <w:rFonts w:hAnsi="宋体"/>
          <w:szCs w:val="21"/>
          <w:highlight w:val="none"/>
        </w:rPr>
        <w:t xml:space="preserve">对采购文件的响应程度，以及相应的商务标和技术标比重或者分值等。</w:t>
      </w:r>
      <w:r/>
    </w:p>
    <w:p>
      <w:pPr>
        <w:pStyle w:val="908"/>
        <w:ind w:firstLine="420"/>
        <w:spacing w:line="360" w:lineRule="auto"/>
        <w:rPr>
          <w:rFonts w:hint="eastAsia" w:hAnsi="宋体"/>
          <w:szCs w:val="21"/>
          <w:highlight w:val="none"/>
        </w:rPr>
      </w:pPr>
      <w:r>
        <w:rPr>
          <w:rFonts w:hint="eastAsia" w:hAnsi="宋体"/>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08"/>
        <w:ind w:firstLine="420"/>
        <w:spacing w:line="360" w:lineRule="auto"/>
        <w:rPr>
          <w:rFonts w:hint="eastAsia" w:hAnsi="宋体"/>
          <w:szCs w:val="21"/>
          <w:highlight w:val="none"/>
        </w:rPr>
      </w:pPr>
      <w:r>
        <w:rPr>
          <w:rFonts w:hint="eastAsia" w:hAnsi="宋体"/>
          <w:szCs w:val="21"/>
          <w:highlight w:val="none"/>
        </w:rPr>
        <w:t xml:space="preserve">二、政府采购政策执行办法：</w:t>
      </w:r>
      <w:r/>
    </w:p>
    <w:p>
      <w:pPr>
        <w:pStyle w:val="908"/>
        <w:ind w:firstLine="420"/>
        <w:spacing w:line="360" w:lineRule="auto"/>
        <w:rPr>
          <w:rFonts w:hint="eastAsia" w:hAnsi="宋体"/>
          <w:szCs w:val="21"/>
          <w:highlight w:val="none"/>
        </w:rPr>
      </w:pPr>
      <w:r>
        <w:rPr>
          <w:rFonts w:hint="eastAsia" w:hAnsi="宋体"/>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08"/>
        <w:ind w:firstLine="420"/>
        <w:spacing w:line="360" w:lineRule="auto"/>
        <w:rPr>
          <w:rFonts w:hint="eastAsia" w:hAnsi="宋体"/>
          <w:szCs w:val="21"/>
          <w:highlight w:val="none"/>
        </w:rPr>
      </w:pPr>
      <w:r>
        <w:rPr>
          <w:rFonts w:hint="eastAsia" w:hAnsi="宋体"/>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08"/>
        <w:ind w:firstLine="420"/>
        <w:spacing w:line="360" w:lineRule="auto"/>
        <w:rPr>
          <w:rFonts w:hint="eastAsia"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08"/>
        <w:ind w:firstLine="420"/>
        <w:spacing w:line="360" w:lineRule="auto"/>
        <w:rPr>
          <w:rFonts w:hint="eastAsia" w:hAnsi="宋体"/>
          <w:szCs w:val="21"/>
          <w:highlight w:val="none"/>
        </w:rPr>
      </w:pPr>
      <w:r>
        <w:rPr>
          <w:rFonts w:hint="eastAsia" w:hAnsi="宋体"/>
          <w:szCs w:val="21"/>
          <w:highlight w:val="none"/>
        </w:rPr>
        <w:t xml:space="preserve">同一投标人，上述三项价格扣除优惠不得重复享受。</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④</w:t>
      </w:r>
      <w:r>
        <w:rPr>
          <w:rFonts w:hint="eastAsia" w:ascii="宋体" w:hAnsi="宋体" w:cs="宋体"/>
          <w:szCs w:val="21"/>
          <w:highlight w:val="none"/>
        </w:rPr>
        <w:t xml:space="preserve">采购本国产品的支持政策</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的价格扣除，用扣除后的价格参与评审。</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Cs w:val="21"/>
          <w:highlight w:val="none"/>
          <w:u w:val="single"/>
        </w:rPr>
        <w:t xml:space="preserve">80%</w:t>
      </w:r>
      <w:r>
        <w:rPr>
          <w:rFonts w:hint="eastAsia" w:ascii="宋体" w:hAnsi="宋体" w:cs="宋体"/>
          <w:szCs w:val="21"/>
          <w:highlight w:val="none"/>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sz w:val="28"/>
          <w:szCs w:val="28"/>
          <w:highlight w:val="none"/>
        </w:rPr>
      </w:pPr>
      <w:r>
        <w:rPr>
          <w:rFonts w:hint="eastAsia" w:ascii="宋体" w:hAnsi="宋体" w:cs="宋体"/>
          <w:szCs w:val="21"/>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8"/>
        <w:ind w:firstLine="420"/>
        <w:keepLines w:val="0"/>
        <w:keepNext w:val="0"/>
        <w:pageBreakBefore w:val="0"/>
        <w:spacing w:line="240" w:lineRule="auto"/>
        <w:rPr>
          <w:rFonts w:hint="eastAsia" w:hAnsi="宋体"/>
          <w:szCs w:val="21"/>
          <w:highlight w:val="none"/>
        </w:rPr>
      </w:pPr>
      <w:r>
        <w:rPr>
          <w:rFonts w:hint="eastAsia" w:hAnsi="宋体"/>
          <w:szCs w:val="21"/>
          <w:highlight w:val="none"/>
        </w:rPr>
        <w:t xml:space="preserve">三</w:t>
      </w:r>
      <w:r>
        <w:rPr>
          <w:rFonts w:hAnsi="宋体"/>
          <w:szCs w:val="21"/>
          <w:highlight w:val="none"/>
        </w:rPr>
        <w:t xml:space="preserve">、评分标准：</w:t>
      </w:r>
      <w:r/>
    </w:p>
    <w:p>
      <w:pPr>
        <w:pStyle w:val="908"/>
        <w:ind w:firstLine="420"/>
        <w:keepLines w:val="0"/>
        <w:keepNext w:val="0"/>
        <w:pageBreakBefore w:val="0"/>
        <w:spacing w:line="240" w:lineRule="auto"/>
        <w:rPr>
          <w:rFonts w:hint="eastAsia"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p>
    <w:p>
      <w:pPr>
        <w:pStyle w:val="908"/>
        <w:ind w:firstLine="420"/>
        <w:keepLines w:val="0"/>
        <w:keepNext w:val="0"/>
        <w:pageBreakBefore w:val="0"/>
        <w:spacing w:line="240" w:lineRule="auto"/>
        <w:rPr>
          <w:rFonts w:hint="eastAsia" w:hAnsi="宋体"/>
          <w:szCs w:val="21"/>
          <w:highlight w:val="none"/>
        </w:rPr>
      </w:pPr>
      <w:r>
        <w:rPr>
          <w:rFonts w:hint="eastAsia" w:hAnsi="宋体"/>
          <w:szCs w:val="21"/>
          <w:highlight w:val="none"/>
        </w:rPr>
      </w:r>
      <w:r/>
    </w:p>
    <w:tbl>
      <w:tblPr>
        <w:tblStyle w:val="924"/>
        <w:tblW w:w="100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467"/>
        <w:gridCol w:w="5760"/>
        <w:gridCol w:w="1107"/>
        <w:gridCol w:w="933"/>
      </w:tblGrid>
      <w:tr>
        <w:trPr>
          <w:trHeight w:val="370"/>
        </w:trPr>
        <w:tc>
          <w:tcPr>
            <w:tcW w:w="762" w:type="dxa"/>
            <w:textDirection w:val="lrTb"/>
            <w:noWrap w:val="false"/>
          </w:tcPr>
          <w:p>
            <w:pPr>
              <w:jc w:val="center"/>
              <w:keepLines w:val="0"/>
              <w:keepNext w:val="0"/>
              <w:pageBreakBefore w:val="0"/>
              <w:spacing w:line="240" w:lineRule="auto"/>
              <w:rPr>
                <w:b/>
                <w:bCs/>
                <w:highlight w:val="none"/>
              </w:rPr>
            </w:pPr>
            <w:r>
              <w:rPr>
                <w:b/>
                <w:bCs/>
                <w:highlight w:val="none"/>
              </w:rPr>
              <w:t xml:space="preserve">序号</w:t>
            </w:r>
            <w:r/>
          </w:p>
        </w:tc>
        <w:tc>
          <w:tcPr>
            <w:tcW w:w="1467" w:type="dxa"/>
            <w:textDirection w:val="lrTb"/>
            <w:noWrap w:val="false"/>
          </w:tcPr>
          <w:p>
            <w:pPr>
              <w:jc w:val="center"/>
              <w:keepLines w:val="0"/>
              <w:keepNext w:val="0"/>
              <w:pageBreakBefore w:val="0"/>
              <w:spacing w:line="240" w:lineRule="auto"/>
              <w:rPr>
                <w:b/>
                <w:bCs/>
                <w:highlight w:val="none"/>
              </w:rPr>
            </w:pPr>
            <w:r>
              <w:rPr>
                <w:b/>
                <w:bCs/>
                <w:highlight w:val="none"/>
              </w:rPr>
              <w:t xml:space="preserve">评审因素</w:t>
            </w:r>
            <w:r/>
          </w:p>
        </w:tc>
        <w:tc>
          <w:tcPr>
            <w:tcW w:w="5760" w:type="dxa"/>
            <w:textDirection w:val="lrTb"/>
            <w:noWrap w:val="false"/>
          </w:tcPr>
          <w:p>
            <w:pPr>
              <w:jc w:val="center"/>
              <w:keepLines w:val="0"/>
              <w:keepNext w:val="0"/>
              <w:pageBreakBefore w:val="0"/>
              <w:spacing w:line="240" w:lineRule="auto"/>
              <w:rPr>
                <w:b/>
                <w:bCs/>
                <w:highlight w:val="none"/>
              </w:rPr>
            </w:pPr>
            <w:r>
              <w:rPr>
                <w:b/>
                <w:bCs/>
                <w:highlight w:val="none"/>
              </w:rPr>
              <w:t xml:space="preserve">评审细则</w:t>
            </w:r>
            <w:r/>
          </w:p>
        </w:tc>
        <w:tc>
          <w:tcPr>
            <w:tcW w:w="1107" w:type="dxa"/>
            <w:textDirection w:val="lrTb"/>
            <w:noWrap w:val="false"/>
          </w:tcPr>
          <w:p>
            <w:pPr>
              <w:jc w:val="center"/>
              <w:keepLines w:val="0"/>
              <w:keepNext w:val="0"/>
              <w:pageBreakBefore w:val="0"/>
              <w:spacing w:line="240" w:lineRule="auto"/>
              <w:rPr>
                <w:b/>
                <w:bCs/>
                <w:highlight w:val="none"/>
              </w:rPr>
            </w:pPr>
            <w:r>
              <w:rPr>
                <w:b/>
                <w:bCs/>
                <w:highlight w:val="none"/>
              </w:rPr>
              <w:t xml:space="preserve">分值</w:t>
            </w:r>
            <w:r/>
          </w:p>
        </w:tc>
        <w:tc>
          <w:tcPr>
            <w:tcW w:w="933" w:type="dxa"/>
            <w:textDirection w:val="lrTb"/>
            <w:noWrap w:val="false"/>
          </w:tcPr>
          <w:p>
            <w:pPr>
              <w:jc w:val="center"/>
              <w:keepLines w:val="0"/>
              <w:keepNext w:val="0"/>
              <w:pageBreakBefore w:val="0"/>
              <w:spacing w:line="240" w:lineRule="auto"/>
              <w:rPr>
                <w:b/>
                <w:bCs/>
                <w:highlight w:val="none"/>
              </w:rPr>
            </w:pPr>
            <w:r>
              <w:rPr>
                <w:b/>
                <w:bCs/>
                <w:highlight w:val="none"/>
              </w:rPr>
              <w:t xml:space="preserve">类型</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1.1</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价格分</w:t>
            </w:r>
            <w:r/>
          </w:p>
        </w:tc>
        <w:tc>
          <w:tcPr>
            <w:tcW w:w="5760" w:type="dxa"/>
            <w:textDirection w:val="lrTb"/>
            <w:noWrap w:val="false"/>
          </w:tcPr>
          <w:p>
            <w:pPr>
              <w:keepLines w:val="0"/>
              <w:keepNext w:val="0"/>
              <w:pageBreakBefore w:val="0"/>
              <w:spacing w:line="240" w:lineRule="auto"/>
              <w:rPr>
                <w:highlight w:val="none"/>
              </w:rPr>
            </w:pPr>
            <w:r>
              <w:rPr>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30</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价格分</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2.1</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产品技术参数</w:t>
            </w:r>
            <w:r/>
          </w:p>
        </w:tc>
        <w:tc>
          <w:tcPr>
            <w:tcW w:w="5760" w:type="dxa"/>
            <w:textDirection w:val="lrTb"/>
            <w:noWrap w:val="false"/>
          </w:tcPr>
          <w:p>
            <w:pPr>
              <w:keepLines w:val="0"/>
              <w:keepNext w:val="0"/>
              <w:pageBreakBefore w:val="0"/>
              <w:spacing w:line="240" w:lineRule="auto"/>
              <w:rPr>
                <w:highlight w:val="none"/>
              </w:rPr>
            </w:pPr>
            <w:r>
              <w:rPr>
                <w:highlight w:val="none"/>
              </w:rPr>
              <w:t xml:space="preserve">评委根据招标文件中《</w:t>
            </w:r>
            <w:r>
              <w:rPr>
                <w:rFonts w:hint="eastAsia"/>
                <w:highlight w:val="none"/>
                <w:lang w:val="en-US" w:eastAsia="zh-CN"/>
              </w:rPr>
              <w:t xml:space="preserve">采购需求</w:t>
            </w:r>
            <w:r>
              <w:rPr>
                <w:highlight w:val="none"/>
              </w:rPr>
              <w:t xml:space="preserve">》</w:t>
            </w:r>
            <w:r>
              <w:rPr>
                <w:rFonts w:hint="eastAsia"/>
                <w:highlight w:val="none"/>
                <w:lang w:val="en-US" w:eastAsia="zh-CN"/>
              </w:rPr>
              <w:t xml:space="preserve">的技术要求</w:t>
            </w:r>
            <w:r>
              <w:rPr>
                <w:highlight w:val="none"/>
              </w:rPr>
              <w:t xml:space="preserve">，结合投标文件提供的技术白皮书等佐证材料等进行评审。</w:t>
            </w:r>
            <w:r>
              <w:rPr>
                <w:highlight w:val="none"/>
              </w:rPr>
              <w:br/>
            </w:r>
            <w:r>
              <w:rPr>
                <w:highlight w:val="none"/>
              </w:rPr>
              <w:t xml:space="preserve">1.标注★指标为必须满足项，如有负偏离将作为无效投标。</w:t>
            </w:r>
            <w:r>
              <w:rPr>
                <w:highlight w:val="none"/>
              </w:rPr>
              <w:br/>
            </w:r>
            <w:r>
              <w:rPr>
                <w:rFonts w:hint="eastAsia"/>
                <w:highlight w:val="none"/>
                <w:lang w:val="en-US" w:eastAsia="zh-CN"/>
              </w:rPr>
              <w:t xml:space="preserve">2</w:t>
            </w:r>
            <w:r>
              <w:rPr>
                <w:highlight w:val="none"/>
              </w:rPr>
              <w:t xml:space="preserve">.其余指标有1项负偏离扣1分</w:t>
            </w:r>
            <w:r>
              <w:rPr>
                <w:highlight w:val="none"/>
              </w:rPr>
              <w:t xml:space="preserve">，共2</w:t>
            </w:r>
            <w:r>
              <w:rPr>
                <w:rFonts w:hint="eastAsia"/>
                <w:highlight w:val="none"/>
                <w:lang w:val="en-US" w:eastAsia="zh-CN"/>
              </w:rPr>
              <w:t xml:space="preserve">7</w:t>
            </w:r>
            <w:r>
              <w:rPr>
                <w:highlight w:val="none"/>
              </w:rPr>
              <w:t xml:space="preserve">分，</w:t>
            </w:r>
            <w:r>
              <w:rPr>
                <w:highlight w:val="none"/>
              </w:rPr>
              <w:t xml:space="preserve">扣完为止。</w:t>
            </w:r>
            <w:r/>
          </w:p>
          <w:p>
            <w:pPr>
              <w:keepLines w:val="0"/>
              <w:keepNext w:val="0"/>
              <w:pageBreakBefore w:val="0"/>
              <w:spacing w:line="240" w:lineRule="auto"/>
              <w:rPr>
                <w:rFonts w:hint="eastAsia" w:eastAsia="宋体"/>
                <w:highlight w:val="none"/>
                <w:lang w:eastAsia="zh-CN"/>
              </w:rPr>
            </w:pPr>
            <w:r>
              <w:rPr>
                <w:rFonts w:hint="eastAsia"/>
                <w:highlight w:val="none"/>
                <w:lang w:val="en-US" w:eastAsia="zh-CN"/>
              </w:rPr>
              <w:t xml:space="preserve">注：</w:t>
            </w:r>
            <w:r>
              <w:rPr>
                <w:highlight w:val="none"/>
              </w:rPr>
              <w:t xml:space="preserve">所有技术参数均须提供技术支持资料，佐证材料以制造商公开发布的印刷资料、官方网站资料，或检测机构出具的检测报告为准；两者不一致的，以检测机构出具的检测报告为准；未提供或提供不全者，视为不满足。并在投标文件技术参数偏离表备注栏中标注相应证明文件页码</w:t>
            </w:r>
            <w:r>
              <w:rPr>
                <w:rFonts w:hint="eastAsia"/>
                <w:highlight w:val="none"/>
                <w:lang w:eastAsia="zh-CN"/>
              </w:rPr>
              <w:t xml:space="preserve">。</w:t>
            </w:r>
            <w:r/>
          </w:p>
        </w:tc>
        <w:tc>
          <w:tcPr>
            <w:tcW w:w="1107" w:type="dxa"/>
            <w:textDirection w:val="lrTb"/>
            <w:noWrap w:val="false"/>
          </w:tcPr>
          <w:p>
            <w:pPr>
              <w:jc w:val="center"/>
              <w:keepLines w:val="0"/>
              <w:keepNext w:val="0"/>
              <w:pageBreakBefore w:val="0"/>
              <w:spacing w:line="240" w:lineRule="auto"/>
              <w:rPr>
                <w:rFonts w:hint="default" w:eastAsia="宋体"/>
                <w:highlight w:val="none"/>
                <w:lang w:val="en-US" w:eastAsia="zh-CN"/>
              </w:rPr>
            </w:pPr>
            <w:r>
              <w:rPr>
                <w:rFonts w:hint="eastAsia"/>
                <w:highlight w:val="none"/>
                <w:lang w:val="en-US" w:eastAsia="zh-CN"/>
              </w:rPr>
              <w:t xml:space="preserve">27</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客观分</w:t>
            </w:r>
            <w:r/>
          </w:p>
        </w:tc>
      </w:tr>
      <w:tr>
        <w:trPr>
          <w:trHeight w:val="2007"/>
        </w:trPr>
        <w:tc>
          <w:tcPr>
            <w:tcW w:w="762" w:type="dxa"/>
            <w:textDirection w:val="lrTb"/>
            <w:noWrap w:val="false"/>
          </w:tcPr>
          <w:p>
            <w:pPr>
              <w:jc w:val="center"/>
              <w:keepLines w:val="0"/>
              <w:keepNext w:val="0"/>
              <w:pageBreakBefore w:val="0"/>
              <w:spacing w:line="240" w:lineRule="auto"/>
              <w:rPr>
                <w:rFonts w:hint="default" w:eastAsia="宋体"/>
                <w:highlight w:val="none"/>
                <w:lang w:val="en-US" w:eastAsia="zh-CN"/>
              </w:rPr>
            </w:pPr>
            <w:r>
              <w:rPr>
                <w:rFonts w:hint="eastAsia"/>
                <w:highlight w:val="none"/>
                <w:lang w:val="en-US" w:eastAsia="zh-CN"/>
              </w:rPr>
              <w:t xml:space="preserve">2.2</w:t>
            </w:r>
            <w:r/>
          </w:p>
        </w:tc>
        <w:tc>
          <w:tcPr>
            <w:tcW w:w="1467" w:type="dxa"/>
            <w:textDirection w:val="lrTb"/>
            <w:noWrap w:val="false"/>
          </w:tcPr>
          <w:p>
            <w:pPr>
              <w:jc w:val="center"/>
              <w:keepLines w:val="0"/>
              <w:keepNext w:val="0"/>
              <w:pageBreakBefore w:val="0"/>
              <w:spacing w:line="240" w:lineRule="auto"/>
              <w:rPr>
                <w:rFonts w:hint="default" w:eastAsia="宋体"/>
                <w:highlight w:val="none"/>
                <w:lang w:val="en-US" w:eastAsia="zh-CN"/>
              </w:rPr>
            </w:pPr>
            <w:r>
              <w:rPr>
                <w:rFonts w:hint="eastAsia"/>
                <w:highlight w:val="none"/>
                <w:lang w:val="en-US" w:eastAsia="zh-CN"/>
              </w:rPr>
              <w:t xml:space="preserve">产品技术性能</w:t>
            </w:r>
            <w:r/>
          </w:p>
        </w:tc>
        <w:tc>
          <w:tcPr>
            <w:tcW w:w="5760" w:type="dxa"/>
            <w:textDirection w:val="lrTb"/>
            <w:noWrap w:val="false"/>
          </w:tcPr>
          <w:p>
            <w:pPr>
              <w:keepLines w:val="0"/>
              <w:keepNext w:val="0"/>
              <w:pageBreakBefore w:val="0"/>
              <w:spacing w:line="240" w:lineRule="auto"/>
              <w:rPr>
                <w:rFonts w:hint="eastAsia"/>
                <w:highlight w:val="none"/>
                <w:lang w:eastAsia="zh-CN"/>
              </w:rPr>
            </w:pPr>
            <w:r>
              <w:rPr>
                <w:rFonts w:hint="eastAsia"/>
                <w:highlight w:val="none"/>
                <w:lang w:val="en-US" w:eastAsia="zh-CN"/>
              </w:rPr>
              <w:t xml:space="preserve">1、</w:t>
            </w:r>
            <w:r>
              <w:rPr>
                <w:rFonts w:hint="eastAsia"/>
                <w:highlight w:val="none"/>
              </w:rPr>
              <w:t xml:space="preserve">具备窄带</w:t>
            </w:r>
            <w:r>
              <w:rPr>
                <w:highlight w:val="none"/>
              </w:rPr>
              <w:t xml:space="preserve">/光谱/分光染色图像增强功能，可提高黏膜表层血管辨识度</w:t>
            </w:r>
            <w:r>
              <w:rPr>
                <w:rFonts w:hint="eastAsia"/>
                <w:highlight w:val="none"/>
                <w:lang w:eastAsia="zh-CN"/>
              </w:rPr>
              <w:t xml:space="preserve">，</w:t>
            </w:r>
            <w:r>
              <w:rPr>
                <w:rFonts w:hint="eastAsia"/>
                <w:highlight w:val="none"/>
              </w:rPr>
              <w:t xml:space="preserve">具备该功能得3分</w:t>
            </w:r>
            <w:r>
              <w:rPr>
                <w:rFonts w:hint="eastAsia"/>
                <w:highlight w:val="none"/>
                <w:lang w:eastAsia="zh-CN"/>
              </w:rPr>
              <w:t xml:space="preserve">；</w:t>
            </w:r>
            <w:r/>
          </w:p>
          <w:p>
            <w:pPr>
              <w:keepLines w:val="0"/>
              <w:keepNext w:val="0"/>
              <w:pageBreakBefore w:val="0"/>
              <w:spacing w:line="240" w:lineRule="auto"/>
              <w:rPr>
                <w:rFonts w:hint="eastAsia"/>
                <w:highlight w:val="none"/>
                <w:lang w:eastAsia="zh-CN"/>
              </w:rPr>
            </w:pPr>
            <w:r>
              <w:rPr>
                <w:rFonts w:hint="eastAsia"/>
                <w:highlight w:val="none"/>
                <w:lang w:val="en-US" w:eastAsia="zh-CN"/>
              </w:rPr>
              <w:t xml:space="preserve">2、</w:t>
            </w:r>
            <w:r>
              <w:rPr>
                <w:rFonts w:hint="eastAsia"/>
                <w:highlight w:val="none"/>
              </w:rPr>
              <w:t xml:space="preserve">图像处理主机为多功能影像平台，不仅能接耳鼻喉软镜、也可通过其他摄像头连接耳鼻喉硬镜</w:t>
            </w:r>
            <w:r>
              <w:rPr>
                <w:rFonts w:hint="eastAsia"/>
                <w:highlight w:val="none"/>
                <w:lang w:eastAsia="zh-CN"/>
              </w:rPr>
              <w:t xml:space="preserve">，</w:t>
            </w:r>
            <w:r>
              <w:rPr>
                <w:rFonts w:hint="eastAsia"/>
                <w:highlight w:val="none"/>
              </w:rPr>
              <w:t xml:space="preserve">具备该功</w:t>
            </w:r>
            <w:r>
              <w:rPr>
                <w:rFonts w:hint="eastAsia"/>
                <w:highlight w:val="none"/>
              </w:rPr>
              <w:t xml:space="preserve">能得</w:t>
            </w:r>
            <w:r>
              <w:rPr>
                <w:rFonts w:hint="eastAsia"/>
                <w:highlight w:val="none"/>
                <w:lang w:val="en-US" w:eastAsia="zh-CN"/>
              </w:rPr>
              <w:t xml:space="preserve">3</w:t>
            </w:r>
            <w:r>
              <w:rPr>
                <w:rFonts w:hint="eastAsia"/>
                <w:highlight w:val="none"/>
              </w:rPr>
              <w:t xml:space="preserve">分</w:t>
            </w:r>
            <w:r>
              <w:rPr>
                <w:rFonts w:hint="eastAsia"/>
                <w:highlight w:val="none"/>
                <w:lang w:eastAsia="zh-CN"/>
              </w:rPr>
              <w:t xml:space="preserve">；</w:t>
            </w:r>
            <w:r/>
          </w:p>
          <w:p>
            <w:pPr>
              <w:keepLines w:val="0"/>
              <w:keepNext w:val="0"/>
              <w:pageBreakBefore w:val="0"/>
              <w:spacing w:line="240" w:lineRule="auto"/>
              <w:rPr>
                <w:rFonts w:hint="eastAsia"/>
                <w:highlight w:val="none"/>
                <w:lang w:eastAsia="zh-CN"/>
              </w:rPr>
            </w:pPr>
            <w:r>
              <w:rPr>
                <w:rFonts w:hint="eastAsia"/>
                <w:highlight w:val="none"/>
                <w:lang w:val="en-US" w:eastAsia="zh-CN"/>
              </w:rPr>
              <w:t xml:space="preserve">3、</w:t>
            </w:r>
            <w:r>
              <w:rPr>
                <w:rFonts w:hint="eastAsia"/>
                <w:highlight w:val="none"/>
              </w:rPr>
              <w:t xml:space="preserve">图像处理主机具备多</w:t>
            </w:r>
            <w:r>
              <w:rPr>
                <w:highlight w:val="none"/>
              </w:rPr>
              <w:t xml:space="preserve">种观察模式，可实现多种场景下病灶观察</w:t>
            </w:r>
            <w:r>
              <w:rPr>
                <w:rFonts w:hint="eastAsia"/>
                <w:highlight w:val="none"/>
                <w:lang w:eastAsia="zh-CN"/>
              </w:rPr>
              <w:t xml:space="preserve">。</w:t>
            </w:r>
            <w:r>
              <w:rPr>
                <w:rFonts w:hint="eastAsia"/>
                <w:highlight w:val="none"/>
              </w:rPr>
              <w:t xml:space="preserve">具备≥</w:t>
            </w:r>
            <w:r>
              <w:rPr>
                <w:highlight w:val="none"/>
              </w:rPr>
              <w:t xml:space="preserve">1</w:t>
            </w:r>
            <w:r>
              <w:rPr>
                <w:rFonts w:hint="eastAsia"/>
                <w:highlight w:val="none"/>
              </w:rPr>
              <w:t xml:space="preserve">种得1分</w:t>
            </w:r>
            <w:r>
              <w:rPr>
                <w:rFonts w:hint="eastAsia"/>
                <w:highlight w:val="none"/>
                <w:lang w:eastAsia="zh-CN"/>
              </w:rPr>
              <w:t xml:space="preserve">，</w:t>
            </w:r>
            <w:r>
              <w:rPr>
                <w:rFonts w:hint="eastAsia"/>
                <w:highlight w:val="none"/>
              </w:rPr>
              <w:t xml:space="preserve">具备≥</w:t>
            </w:r>
            <w:r>
              <w:rPr>
                <w:highlight w:val="none"/>
              </w:rPr>
              <w:t xml:space="preserve">2</w:t>
            </w:r>
            <w:r>
              <w:rPr>
                <w:rFonts w:hint="eastAsia"/>
                <w:highlight w:val="none"/>
              </w:rPr>
              <w:t xml:space="preserve">种得</w:t>
            </w:r>
            <w:r>
              <w:rPr>
                <w:highlight w:val="none"/>
              </w:rPr>
              <w:t xml:space="preserve">2</w:t>
            </w:r>
            <w:r>
              <w:rPr>
                <w:rFonts w:hint="eastAsia"/>
                <w:highlight w:val="none"/>
              </w:rPr>
              <w:t xml:space="preserve">分</w:t>
            </w:r>
            <w:r>
              <w:rPr>
                <w:rFonts w:hint="eastAsia"/>
                <w:highlight w:val="none"/>
                <w:lang w:eastAsia="zh-CN"/>
              </w:rPr>
              <w:t xml:space="preserve">，</w:t>
            </w:r>
            <w:r>
              <w:rPr>
                <w:rFonts w:hint="eastAsia"/>
                <w:highlight w:val="none"/>
              </w:rPr>
              <w:t xml:space="preserve">具备≥</w:t>
            </w:r>
            <w:r>
              <w:rPr>
                <w:highlight w:val="none"/>
              </w:rPr>
              <w:t xml:space="preserve">3</w:t>
            </w:r>
            <w:r>
              <w:rPr>
                <w:rFonts w:hint="eastAsia"/>
                <w:highlight w:val="none"/>
              </w:rPr>
              <w:t xml:space="preserve">种得</w:t>
            </w:r>
            <w:r>
              <w:rPr>
                <w:highlight w:val="none"/>
              </w:rPr>
              <w:t xml:space="preserve">3</w:t>
            </w:r>
            <w:r>
              <w:rPr>
                <w:rFonts w:hint="eastAsia"/>
                <w:highlight w:val="none"/>
              </w:rPr>
              <w:t xml:space="preserve">分</w:t>
            </w:r>
            <w:r>
              <w:rPr>
                <w:rFonts w:hint="eastAsia"/>
                <w:highlight w:val="none"/>
                <w:lang w:eastAsia="zh-CN"/>
              </w:rPr>
              <w:t xml:space="preserve">；</w:t>
            </w:r>
            <w:r/>
          </w:p>
          <w:p>
            <w:pPr>
              <w:keepLines w:val="0"/>
              <w:keepNext w:val="0"/>
              <w:pageBreakBefore w:val="0"/>
              <w:spacing w:line="240" w:lineRule="auto"/>
              <w:rPr>
                <w:rFonts w:hint="eastAsia"/>
                <w:highlight w:val="none"/>
                <w:lang w:eastAsia="zh-CN"/>
              </w:rPr>
            </w:pPr>
            <w:r>
              <w:rPr>
                <w:rFonts w:hint="eastAsia"/>
                <w:highlight w:val="none"/>
                <w:lang w:val="en-US" w:eastAsia="zh-CN"/>
              </w:rPr>
              <w:t xml:space="preserve">4、治疗性电子鼻咽喉镜：</w:t>
            </w:r>
            <w:r>
              <w:rPr>
                <w:rFonts w:hint="eastAsia"/>
                <w:highlight w:val="none"/>
              </w:rPr>
              <w:t xml:space="preserve">先端部外径≤</w:t>
            </w:r>
            <w:r>
              <w:rPr>
                <w:highlight w:val="none"/>
              </w:rPr>
              <w:t xml:space="preserve">5.0mm得</w:t>
            </w:r>
            <w:r>
              <w:rPr>
                <w:rFonts w:hint="eastAsia"/>
                <w:highlight w:val="none"/>
                <w:lang w:val="en-US" w:eastAsia="zh-CN"/>
              </w:rPr>
              <w:t xml:space="preserve">1.5</w:t>
            </w:r>
            <w:r>
              <w:rPr>
                <w:highlight w:val="none"/>
              </w:rPr>
              <w:t xml:space="preserve">分</w:t>
            </w:r>
            <w:r>
              <w:rPr>
                <w:rFonts w:hint="eastAsia"/>
                <w:highlight w:val="none"/>
                <w:lang w:eastAsia="zh-CN"/>
              </w:rPr>
              <w:t xml:space="preserve">，</w:t>
            </w:r>
            <w:r>
              <w:rPr>
                <w:rFonts w:hint="eastAsia"/>
                <w:highlight w:val="none"/>
              </w:rPr>
              <w:t xml:space="preserve">先端部外径≤</w:t>
            </w:r>
            <w:r>
              <w:rPr>
                <w:highlight w:val="none"/>
              </w:rPr>
              <w:t xml:space="preserve">4.8mm 得</w:t>
            </w:r>
            <w:r>
              <w:rPr>
                <w:rFonts w:hint="eastAsia"/>
                <w:highlight w:val="none"/>
                <w:lang w:val="en-US" w:eastAsia="zh-CN"/>
              </w:rPr>
              <w:t xml:space="preserve">3</w:t>
            </w:r>
            <w:r>
              <w:rPr>
                <w:highlight w:val="none"/>
              </w:rPr>
              <w:t xml:space="preserve">分</w:t>
            </w:r>
            <w:r>
              <w:rPr>
                <w:rFonts w:hint="eastAsia"/>
                <w:highlight w:val="none"/>
                <w:lang w:eastAsia="zh-CN"/>
              </w:rPr>
              <w:t xml:space="preserve">；</w:t>
            </w:r>
            <w:r/>
          </w:p>
          <w:p>
            <w:pPr>
              <w:keepLines w:val="0"/>
              <w:keepNext w:val="0"/>
              <w:pageBreakBefore w:val="0"/>
              <w:spacing w:line="240" w:lineRule="auto"/>
              <w:rPr>
                <w:rFonts w:hint="eastAsia"/>
                <w:highlight w:val="none"/>
                <w:lang w:eastAsia="zh-CN"/>
              </w:rPr>
            </w:pPr>
            <w:r>
              <w:rPr>
                <w:rFonts w:hint="eastAsia"/>
                <w:highlight w:val="none"/>
                <w:lang w:val="en-US" w:eastAsia="zh-CN"/>
              </w:rPr>
              <w:t xml:space="preserve">5、检查型电子鼻咽喉镜：</w:t>
            </w:r>
            <w:r>
              <w:rPr>
                <w:rFonts w:hint="eastAsia"/>
                <w:highlight w:val="none"/>
              </w:rPr>
              <w:t xml:space="preserve">先端部外径≤</w:t>
            </w:r>
            <w:r>
              <w:rPr>
                <w:highlight w:val="none"/>
              </w:rPr>
              <w:t xml:space="preserve">3.5mm得2分</w:t>
            </w:r>
            <w:r>
              <w:rPr>
                <w:rFonts w:hint="eastAsia"/>
                <w:highlight w:val="none"/>
                <w:lang w:eastAsia="zh-CN"/>
              </w:rPr>
              <w:t xml:space="preserve">，</w:t>
            </w:r>
            <w:r>
              <w:rPr>
                <w:rFonts w:hint="eastAsia"/>
                <w:highlight w:val="none"/>
              </w:rPr>
              <w:t xml:space="preserve">先端部外径</w:t>
            </w:r>
            <w:r>
              <w:rPr>
                <w:highlight w:val="none"/>
              </w:rPr>
              <w:t xml:space="preserve">≤3.0mm 得3分</w:t>
            </w:r>
            <w:r>
              <w:rPr>
                <w:rFonts w:hint="eastAsia"/>
                <w:highlight w:val="none"/>
                <w:lang w:eastAsia="zh-CN"/>
              </w:rPr>
              <w:t xml:space="preserve">，</w:t>
            </w:r>
            <w:r>
              <w:rPr>
                <w:rFonts w:hint="eastAsia"/>
                <w:highlight w:val="none"/>
              </w:rPr>
              <w:t xml:space="preserve">先端部外径</w:t>
            </w:r>
            <w:r>
              <w:rPr>
                <w:highlight w:val="none"/>
              </w:rPr>
              <w:t xml:space="preserve">≤2.7mm 得4分</w:t>
            </w:r>
            <w:r>
              <w:rPr>
                <w:rFonts w:hint="eastAsia"/>
                <w:highlight w:val="none"/>
                <w:lang w:eastAsia="zh-CN"/>
              </w:rPr>
              <w:t xml:space="preserve">；</w:t>
            </w:r>
            <w:r/>
          </w:p>
          <w:p>
            <w:pPr>
              <w:keepLines w:val="0"/>
              <w:keepNext w:val="0"/>
              <w:pageBreakBefore w:val="0"/>
              <w:spacing w:line="240" w:lineRule="auto"/>
              <w:rPr>
                <w:highlight w:val="none"/>
              </w:rPr>
            </w:pPr>
            <w:r>
              <w:rPr>
                <w:rFonts w:hint="eastAsia"/>
                <w:highlight w:val="none"/>
                <w:lang w:val="en-US" w:eastAsia="zh-CN"/>
              </w:rPr>
              <w:t xml:space="preserve">以上</w:t>
            </w:r>
            <w:r>
              <w:rPr>
                <w:highlight w:val="none"/>
              </w:rPr>
              <w:t xml:space="preserve">技术参数均须提供技术支持资料，佐证材料以制造商公开发布的印刷资料、官方网站资料，或检测机构出具的检测报告为准；两者不一致的，以检测机构出具的检测报告为准；未提供或提供不全者，视为不满足。</w:t>
            </w:r>
            <w:r/>
          </w:p>
        </w:tc>
        <w:tc>
          <w:tcPr>
            <w:tcW w:w="1107" w:type="dxa"/>
            <w:textDirection w:val="lrTb"/>
            <w:noWrap w:val="false"/>
          </w:tcPr>
          <w:p>
            <w:pPr>
              <w:jc w:val="center"/>
              <w:keepLines w:val="0"/>
              <w:keepNext w:val="0"/>
              <w:pageBreakBefore w:val="0"/>
              <w:spacing w:line="240" w:lineRule="auto"/>
              <w:rPr>
                <w:rFonts w:hint="default" w:eastAsia="宋体"/>
                <w:highlight w:val="none"/>
                <w:lang w:val="en-US" w:eastAsia="zh-CN"/>
              </w:rPr>
            </w:pPr>
            <w:r>
              <w:rPr>
                <w:rFonts w:hint="eastAsia"/>
                <w:highlight w:val="none"/>
                <w:lang w:val="en-US" w:eastAsia="zh-CN"/>
              </w:rPr>
              <w:t xml:space="preserve">16</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客观分</w:t>
            </w:r>
            <w:r/>
          </w:p>
        </w:tc>
      </w:tr>
      <w:tr>
        <w:trPr/>
        <w:tc>
          <w:tcPr>
            <w:tcW w:w="762" w:type="dxa"/>
            <w:textDirection w:val="lrTb"/>
            <w:noWrap w:val="false"/>
          </w:tcPr>
          <w:p>
            <w:pPr>
              <w:jc w:val="center"/>
              <w:keepLines w:val="0"/>
              <w:keepNext w:val="0"/>
              <w:pageBreakBefore w:val="0"/>
              <w:spacing w:line="240" w:lineRule="auto"/>
              <w:rPr>
                <w:rFonts w:hint="eastAsia" w:eastAsia="宋体"/>
                <w:highlight w:val="none"/>
                <w:lang w:eastAsia="zh-CN"/>
              </w:rPr>
            </w:pPr>
            <w:r>
              <w:rPr>
                <w:highlight w:val="none"/>
              </w:rPr>
              <w:t xml:space="preserve">2.</w:t>
            </w:r>
            <w:r>
              <w:rPr>
                <w:rFonts w:hint="eastAsia"/>
                <w:highlight w:val="none"/>
                <w:lang w:val="en-US" w:eastAsia="zh-CN"/>
              </w:rPr>
              <w:t xml:space="preserve">3</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产品设计、制造工艺及材质</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评委根据投标人提供的产品设计、制造工艺及材质方案综合评分，包含：1.产品设计；2.产品制造工艺；3.产品材质。以上产品设计、产品制造工艺、产品材质每项内容逐条阐述，每项1分，共3分。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c>
          <w:tcPr>
            <w:tcW w:w="762" w:type="dxa"/>
            <w:textDirection w:val="lrTb"/>
            <w:noWrap w:val="false"/>
          </w:tcPr>
          <w:p>
            <w:pPr>
              <w:jc w:val="center"/>
              <w:keepLines w:val="0"/>
              <w:keepNext w:val="0"/>
              <w:pageBreakBefore w:val="0"/>
              <w:spacing w:line="240" w:lineRule="auto"/>
              <w:rPr>
                <w:rFonts w:hint="eastAsia" w:eastAsia="宋体"/>
                <w:highlight w:val="none"/>
                <w:lang w:eastAsia="zh-CN"/>
              </w:rPr>
            </w:pPr>
            <w:r>
              <w:rPr>
                <w:highlight w:val="none"/>
              </w:rPr>
              <w:t xml:space="preserve">2.</w:t>
            </w:r>
            <w:r>
              <w:rPr>
                <w:rFonts w:hint="eastAsia"/>
                <w:highlight w:val="none"/>
                <w:lang w:val="en-US" w:eastAsia="zh-CN"/>
              </w:rPr>
              <w:t xml:space="preserve">4</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产品安全性、稳定性及易用性</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评委根据投标人提供的产品安全性、稳定性及易用性方案综合评分，包含：1.产品安全性；2.产品稳定性；3.产品易用性。以上产品安全性、产品稳定性、产品易用性每项内容逐条阐述，每项1分，共3分。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c>
          <w:tcPr>
            <w:tcW w:w="762" w:type="dxa"/>
            <w:textDirection w:val="lrTb"/>
            <w:noWrap w:val="false"/>
          </w:tcPr>
          <w:p>
            <w:pPr>
              <w:jc w:val="center"/>
              <w:keepLines w:val="0"/>
              <w:keepNext w:val="0"/>
              <w:pageBreakBefore w:val="0"/>
              <w:spacing w:line="240" w:lineRule="auto"/>
              <w:rPr>
                <w:rFonts w:hint="eastAsia" w:eastAsia="宋体"/>
                <w:highlight w:val="none"/>
                <w:lang w:eastAsia="zh-CN"/>
              </w:rPr>
            </w:pPr>
            <w:r>
              <w:rPr>
                <w:highlight w:val="none"/>
              </w:rPr>
              <w:t xml:space="preserve">2.</w:t>
            </w:r>
            <w:r>
              <w:rPr>
                <w:rFonts w:hint="eastAsia"/>
                <w:highlight w:val="none"/>
                <w:lang w:val="en-US" w:eastAsia="zh-CN"/>
              </w:rPr>
              <w:t xml:space="preserve">5</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产品先进性、兼容性及扩展性</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评委根据投标人提供的产品先进性、兼容性及扩展性方案综合评分，包含：1.产品先进性；2.产品兼容性；3.产品扩展性。以上产品先进性、兼容性、扩展性每项内容逐条阐述，每项1分，共3分。</w:t>
            </w:r>
            <w:r>
              <w:rPr>
                <w:highlight w:val="none"/>
              </w:rPr>
              <w:br/>
            </w:r>
            <w:r>
              <w:rPr>
                <w:highlight w:val="none"/>
              </w:rPr>
              <w:t xml:space="preserve">（1）上述每项内容完整全面、技术先进、完全符合采购需求的，得1分；</w:t>
            </w:r>
            <w:r>
              <w:rPr>
                <w:highlight w:val="none"/>
              </w:rPr>
              <w:br/>
            </w:r>
            <w:r>
              <w:rPr>
                <w:highlight w:val="none"/>
              </w:rPr>
              <w:t xml:space="preserve">（2）上述每项内容基本完整、技术较先进、基本符合采购需求的，得0.5分；</w:t>
            </w:r>
            <w:r>
              <w:rPr>
                <w:highlight w:val="none"/>
              </w:rPr>
              <w:br/>
            </w:r>
            <w:r>
              <w:rPr>
                <w:highlight w:val="none"/>
              </w:rPr>
              <w:t xml:space="preserve">（3）上述每项内容不完整、不符合采购需求或未提供的，不得分。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3.1</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项目实施方案</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评委根据投标人提供的项目实施方案综合评分，包含：1.供货保障方案；2.安装调试方案；3.巡检方案。以上每项内容逐条阐述。</w:t>
            </w:r>
            <w:r>
              <w:rPr>
                <w:highlight w:val="none"/>
              </w:rPr>
              <w:br/>
            </w:r>
            <w:r>
              <w:rPr>
                <w:highlight w:val="none"/>
              </w:rPr>
              <w:t xml:space="preserve">（1）上述每项内容完整全面、科学合理、可行性强的，得1分；</w:t>
            </w:r>
            <w:r>
              <w:rPr>
                <w:highlight w:val="none"/>
              </w:rPr>
              <w:br/>
            </w:r>
            <w:r>
              <w:rPr>
                <w:highlight w:val="none"/>
              </w:rPr>
              <w:t xml:space="preserve">（2）上述每项内容基本完整、基本合理、具备一定可行性的，得0.5分；</w:t>
            </w:r>
            <w:r>
              <w:rPr>
                <w:highlight w:val="none"/>
              </w:rPr>
              <w:br/>
            </w:r>
            <w:r>
              <w:rPr>
                <w:highlight w:val="none"/>
              </w:rPr>
              <w:t xml:space="preserve">（3）上述每项内容不合理、不可行或未提供的，不得分。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rHeight w:val="2183"/>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3.2</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项目培训方案</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评委根据投标人提供的项目培训方案综合评分，包含：1.培训计划及培训内容；2.培训师资力量；3.培训材料。以上每项内容逐条阐述。</w:t>
            </w:r>
            <w:r>
              <w:rPr>
                <w:highlight w:val="none"/>
              </w:rPr>
              <w:br/>
            </w:r>
            <w:r>
              <w:rPr>
                <w:highlight w:val="none"/>
              </w:rPr>
              <w:t xml:space="preserve">（1）上述每项内容完整全面、科学合理、可行性强的，得1分；</w:t>
            </w:r>
            <w:r>
              <w:rPr>
                <w:highlight w:val="none"/>
              </w:rPr>
              <w:br/>
            </w:r>
            <w:r>
              <w:rPr>
                <w:highlight w:val="none"/>
              </w:rPr>
              <w:t xml:space="preserve">（2）上述每项内容基本完整、基本合理、具备一定可行性的，得0.5分；</w:t>
            </w:r>
            <w:r>
              <w:rPr>
                <w:highlight w:val="none"/>
              </w:rPr>
              <w:br/>
            </w:r>
            <w:r>
              <w:rPr>
                <w:highlight w:val="none"/>
              </w:rPr>
              <w:t xml:space="preserve">（3）上述每项内容不合理、不可行或未提供的，不得分。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3.3</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售后服务方案</w:t>
            </w:r>
            <w:r/>
          </w:p>
        </w:tc>
        <w:tc>
          <w:tcPr>
            <w:tcW w:w="5760" w:type="dxa"/>
            <w:textDirection w:val="lrTb"/>
            <w:noWrap w:val="false"/>
          </w:tcPr>
          <w:p>
            <w:pPr>
              <w:jc w:val="left"/>
              <w:keepLines w:val="0"/>
              <w:keepNext w:val="0"/>
              <w:pageBreakBefore w:val="0"/>
              <w:spacing w:line="240" w:lineRule="auto"/>
              <w:rPr>
                <w:highlight w:val="none"/>
              </w:rPr>
            </w:pPr>
            <w:r>
              <w:rPr>
                <w:highlight w:val="none"/>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highlight w:val="none"/>
              </w:rPr>
              <w:br/>
            </w:r>
            <w:r>
              <w:rPr>
                <w:highlight w:val="none"/>
              </w:rPr>
              <w:t xml:space="preserve">（1）上述每项内容完整，科学合理、操作性强的，得1分；</w:t>
            </w:r>
            <w:r>
              <w:rPr>
                <w:highlight w:val="none"/>
              </w:rPr>
              <w:br/>
            </w:r>
            <w:r>
              <w:rPr>
                <w:highlight w:val="none"/>
              </w:rPr>
              <w:t xml:space="preserve">（2）上述每项内容较完整，较科学合理，有可操作性的，得0.5分；</w:t>
            </w:r>
            <w:r>
              <w:rPr>
                <w:highlight w:val="none"/>
              </w:rPr>
              <w:br/>
            </w:r>
            <w:r>
              <w:rPr>
                <w:highlight w:val="none"/>
              </w:rPr>
              <w:t xml:space="preserve">（3）上述每项内容不科学合理、无操作性或未提供的不得分。</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主观分</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3.4</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延长保修</w:t>
            </w:r>
            <w:r/>
          </w:p>
        </w:tc>
        <w:tc>
          <w:tcPr>
            <w:tcW w:w="5760" w:type="dxa"/>
            <w:textDirection w:val="lrTb"/>
            <w:noWrap w:val="false"/>
          </w:tcPr>
          <w:p>
            <w:pPr>
              <w:keepLines w:val="0"/>
              <w:keepNext w:val="0"/>
              <w:pageBreakBefore w:val="0"/>
              <w:spacing w:line="240" w:lineRule="auto"/>
              <w:rPr>
                <w:highlight w:val="none"/>
              </w:rPr>
            </w:pPr>
            <w:r>
              <w:rPr>
                <w:highlight w:val="none"/>
              </w:rPr>
              <w:t xml:space="preserve">投标人承诺在满足招标文件规定的免费原厂保修期基础上，每增加一年原厂免费保修期（主机+内镜）的得1分，最多得3分，提供承诺书（投标人同时需承诺签订合同前提供所投产品制造商出具的免费保修期承诺函，与承诺的免费保修期一致），格式自拟。</w:t>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3</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客观分</w:t>
            </w:r>
            <w:r/>
          </w:p>
        </w:tc>
      </w:tr>
      <w:tr>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4.1</w:t>
            </w:r>
            <w:r/>
          </w:p>
        </w:tc>
        <w:tc>
          <w:tcPr>
            <w:tcW w:w="1467" w:type="dxa"/>
            <w:textDirection w:val="lrTb"/>
            <w:noWrap w:val="false"/>
          </w:tcPr>
          <w:p>
            <w:pPr>
              <w:jc w:val="center"/>
              <w:keepLines w:val="0"/>
              <w:keepNext w:val="0"/>
              <w:pageBreakBefore w:val="0"/>
              <w:spacing w:line="240" w:lineRule="auto"/>
              <w:rPr>
                <w:highlight w:val="none"/>
              </w:rPr>
            </w:pPr>
            <w:r>
              <w:rPr>
                <w:highlight w:val="none"/>
              </w:rPr>
              <w:t xml:space="preserve">产品业绩</w:t>
            </w:r>
            <w:r/>
          </w:p>
        </w:tc>
        <w:tc>
          <w:tcPr>
            <w:tcW w:w="5760" w:type="dxa"/>
            <w:textDirection w:val="lrTb"/>
            <w:noWrap w:val="false"/>
          </w:tcPr>
          <w:p>
            <w:pPr>
              <w:keepLines w:val="0"/>
              <w:keepNext w:val="0"/>
              <w:pageBreakBefore w:val="0"/>
              <w:spacing w:line="240" w:lineRule="auto"/>
              <w:rPr>
                <w:highlight w:val="none"/>
              </w:rPr>
            </w:pPr>
            <w:r>
              <w:rPr>
                <w:highlight w:val="none"/>
              </w:rPr>
              <w:t xml:space="preserve">提供202</w:t>
            </w:r>
            <w:r>
              <w:rPr>
                <w:highlight w:val="none"/>
              </w:rPr>
              <w:t xml:space="preserve">4年1月1日（含）以来（时间以合同签订时间为准）所投产品（同品牌同型号）业绩，每提供</w:t>
            </w:r>
            <w:r>
              <w:rPr>
                <w:highlight w:val="none"/>
              </w:rPr>
              <w:t xml:space="preserve">1个得</w:t>
            </w:r>
            <w:r>
              <w:rPr>
                <w:rFonts w:hint="eastAsia"/>
                <w:highlight w:val="none"/>
                <w:lang w:val="en-US" w:eastAsia="zh-CN"/>
              </w:rPr>
              <w:t xml:space="preserve">2</w:t>
            </w:r>
            <w:r>
              <w:rPr>
                <w:highlight w:val="none"/>
              </w:rPr>
              <w:t xml:space="preserve">分，</w:t>
            </w:r>
            <w:r>
              <w:rPr>
                <w:highlight w:val="none"/>
              </w:rPr>
              <w:t xml:space="preserve">最多</w:t>
            </w:r>
            <w:r>
              <w:rPr>
                <w:highlight w:val="none"/>
              </w:rPr>
              <w:t xml:space="preserve">得</w:t>
            </w:r>
            <w:r>
              <w:rPr>
                <w:rFonts w:hint="eastAsia"/>
                <w:highlight w:val="none"/>
                <w:lang w:val="en-US" w:eastAsia="zh-CN"/>
              </w:rPr>
              <w:t xml:space="preserve">6</w:t>
            </w:r>
            <w:r>
              <w:rPr>
                <w:highlight w:val="none"/>
              </w:rPr>
              <w:t xml:space="preserve">分。</w:t>
            </w:r>
            <w:r>
              <w:rPr>
                <w:highlight w:val="none"/>
              </w:rPr>
              <w:t xml:space="preserve">注：需提供有效合同（至少包含合同标的信息、合同盖章页、合同签订时间）、发</w:t>
            </w:r>
            <w:r>
              <w:rPr>
                <w:highlight w:val="none"/>
              </w:rPr>
              <w:t xml:space="preserve">票和验收报告，材料应清晰可见相应内容，同一个业绩的合同、发票、验收合格报告的用户单位必须一致，否则视为无效业绩。同一用户单位的多个业绩仅视为一个业绩，不重复得分。</w:t>
            </w:r>
            <w:r>
              <w:rPr>
                <w:highlight w:val="none"/>
              </w:rPr>
              <w:br/>
            </w:r>
            <w:r>
              <w:rPr>
                <w:highlight w:val="none"/>
              </w:rPr>
              <w:t xml:space="preserve">同时，投标人需提供所投业绩情况说明列表，内容主要包括买方名称、供货机型、合同金额、数量、签订时间、联系人及电话等，采购人将根据此表随机抽查，如有虚假将取消中标人资格。</w:t>
            </w:r>
            <w:r/>
          </w:p>
        </w:tc>
        <w:tc>
          <w:tcPr>
            <w:tcW w:w="1107" w:type="dxa"/>
            <w:textDirection w:val="lrTb"/>
            <w:noWrap w:val="false"/>
          </w:tcPr>
          <w:p>
            <w:pPr>
              <w:jc w:val="center"/>
              <w:keepLines w:val="0"/>
              <w:keepNext w:val="0"/>
              <w:pageBreakBefore w:val="0"/>
              <w:spacing w:line="240" w:lineRule="auto"/>
              <w:rPr>
                <w:rFonts w:hint="eastAsia" w:eastAsia="宋体"/>
                <w:highlight w:val="none"/>
                <w:lang w:eastAsia="zh-CN"/>
              </w:rPr>
            </w:pPr>
            <w:r>
              <w:rPr>
                <w:rFonts w:hint="eastAsia"/>
                <w:highlight w:val="none"/>
                <w:lang w:val="en-US" w:eastAsia="zh-CN"/>
              </w:rPr>
              <w:t xml:space="preserve">6</w:t>
            </w:r>
            <w:r/>
          </w:p>
        </w:tc>
        <w:tc>
          <w:tcPr>
            <w:tcW w:w="933" w:type="dxa"/>
            <w:textDirection w:val="lrTb"/>
            <w:noWrap w:val="false"/>
          </w:tcPr>
          <w:p>
            <w:pPr>
              <w:jc w:val="center"/>
              <w:keepLines w:val="0"/>
              <w:keepNext w:val="0"/>
              <w:pageBreakBefore w:val="0"/>
              <w:spacing w:line="240" w:lineRule="auto"/>
              <w:rPr>
                <w:highlight w:val="none"/>
              </w:rPr>
            </w:pPr>
            <w:r>
              <w:rPr>
                <w:highlight w:val="none"/>
              </w:rPr>
              <w:t xml:space="preserve">客观分</w:t>
            </w:r>
            <w:r/>
          </w:p>
        </w:tc>
      </w:tr>
      <w:tr>
        <w:trPr>
          <w:trHeight w:val="485"/>
        </w:trPr>
        <w:tc>
          <w:tcPr>
            <w:tcW w:w="762" w:type="dxa"/>
            <w:textDirection w:val="lrTb"/>
            <w:noWrap w:val="false"/>
          </w:tcPr>
          <w:p>
            <w:pPr>
              <w:jc w:val="center"/>
              <w:keepLines w:val="0"/>
              <w:keepNext w:val="0"/>
              <w:pageBreakBefore w:val="0"/>
              <w:spacing w:line="240" w:lineRule="auto"/>
              <w:rPr>
                <w:highlight w:val="none"/>
              </w:rPr>
            </w:pPr>
            <w:r>
              <w:rPr>
                <w:highlight w:val="none"/>
              </w:rPr>
              <w:t xml:space="preserve">合计</w:t>
            </w:r>
            <w:r/>
          </w:p>
        </w:tc>
        <w:tc>
          <w:tcPr>
            <w:tcW w:w="1467" w:type="dxa"/>
            <w:textDirection w:val="lrTb"/>
            <w:noWrap w:val="false"/>
          </w:tcPr>
          <w:p>
            <w:pPr>
              <w:jc w:val="center"/>
              <w:keepLines w:val="0"/>
              <w:keepNext w:val="0"/>
              <w:pageBreakBefore w:val="0"/>
              <w:spacing w:line="240" w:lineRule="auto"/>
              <w:rPr>
                <w:highlight w:val="none"/>
              </w:rPr>
            </w:pPr>
            <w:r>
              <w:rPr>
                <w:highlight w:val="none"/>
              </w:rPr>
            </w:r>
            <w:r/>
          </w:p>
        </w:tc>
        <w:tc>
          <w:tcPr>
            <w:tcW w:w="5760" w:type="dxa"/>
            <w:textDirection w:val="lrTb"/>
            <w:noWrap w:val="false"/>
          </w:tcPr>
          <w:p>
            <w:pPr>
              <w:keepLines w:val="0"/>
              <w:keepNext w:val="0"/>
              <w:pageBreakBefore w:val="0"/>
              <w:spacing w:line="240" w:lineRule="auto"/>
              <w:rPr>
                <w:highlight w:val="none"/>
              </w:rPr>
            </w:pPr>
            <w:r>
              <w:rPr>
                <w:highlight w:val="none"/>
              </w:rPr>
            </w:r>
            <w:r/>
          </w:p>
        </w:tc>
        <w:tc>
          <w:tcPr>
            <w:tcW w:w="1107" w:type="dxa"/>
            <w:textDirection w:val="lrTb"/>
            <w:noWrap w:val="false"/>
          </w:tcPr>
          <w:p>
            <w:pPr>
              <w:jc w:val="center"/>
              <w:keepLines w:val="0"/>
              <w:keepNext w:val="0"/>
              <w:pageBreakBefore w:val="0"/>
              <w:spacing w:line="240" w:lineRule="auto"/>
              <w:rPr>
                <w:highlight w:val="none"/>
              </w:rPr>
            </w:pPr>
            <w:r>
              <w:rPr>
                <w:highlight w:val="none"/>
              </w:rPr>
              <w:t xml:space="preserve">100分</w:t>
            </w:r>
            <w:r/>
          </w:p>
        </w:tc>
        <w:tc>
          <w:tcPr>
            <w:tcW w:w="933" w:type="dxa"/>
            <w:textDirection w:val="lrTb"/>
            <w:noWrap w:val="false"/>
          </w:tcPr>
          <w:p>
            <w:pPr>
              <w:jc w:val="center"/>
              <w:keepLines w:val="0"/>
              <w:keepNext w:val="0"/>
              <w:pageBreakBefore w:val="0"/>
              <w:spacing w:line="240" w:lineRule="auto"/>
              <w:rPr>
                <w:highlight w:val="none"/>
              </w:rPr>
            </w:pPr>
            <w:r>
              <w:rPr>
                <w:highlight w:val="none"/>
              </w:rPr>
            </w:r>
            <w:r/>
          </w:p>
        </w:tc>
      </w:tr>
    </w:tbl>
    <w:p>
      <w:pPr>
        <w:pStyle w:val="933"/>
        <w:rPr>
          <w:sz w:val="22"/>
          <w:highlight w:val="none"/>
        </w:rPr>
      </w:pPr>
      <w:r>
        <w:rPr>
          <w:sz w:val="22"/>
          <w:highlight w:val="none"/>
        </w:rPr>
      </w:r>
      <w:r/>
    </w:p>
    <w:p>
      <w:pPr>
        <w:pStyle w:val="933"/>
        <w:rPr>
          <w:rFonts w:hint="eastAsia" w:hAnsi="宋体"/>
          <w:b/>
          <w:bCs/>
          <w:sz w:val="21"/>
          <w:szCs w:val="21"/>
          <w:highlight w:val="none"/>
        </w:rPr>
      </w:pPr>
      <w:r>
        <w:rPr>
          <w:rFonts w:hint="eastAsia" w:hAnsi="宋体"/>
          <w:b/>
          <w:bCs/>
          <w:sz w:val="21"/>
          <w:szCs w:val="21"/>
          <w:highlight w:val="none"/>
        </w:rPr>
      </w:r>
      <w:bookmarkEnd w:id="116"/>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left"/>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both"/>
        <w:spacing w:line="360" w:lineRule="auto"/>
        <w:rPr>
          <w:rFonts w:hint="eastAsia" w:ascii="Arial" w:hAnsi="Arial" w:eastAsia="黑体" w:cs="Arial"/>
          <w:b/>
          <w:color w:val="000000"/>
          <w:sz w:val="28"/>
          <w:szCs w:val="28"/>
          <w:highlight w:val="none"/>
        </w:rPr>
      </w:pPr>
      <w:r>
        <w:rPr>
          <w:rFonts w:hint="eastAsia" w:ascii="Arial" w:hAnsi="Arial" w:eastAsia="黑体" w:cs="Arial"/>
          <w:b/>
          <w:color w:val="000000"/>
          <w:sz w:val="28"/>
          <w:szCs w:val="28"/>
          <w:highlight w:val="none"/>
        </w:rPr>
      </w:r>
      <w:r/>
    </w:p>
    <w:p>
      <w:pPr>
        <w:jc w:val="center"/>
        <w:spacing w:line="360" w:lineRule="auto"/>
        <w:rPr>
          <w:rFonts w:ascii="Arial" w:hAnsi="Arial" w:eastAsia="黑体" w:cs="Arial"/>
          <w:b/>
          <w:color w:val="000000"/>
          <w:sz w:val="28"/>
          <w:szCs w:val="28"/>
          <w:highlight w:val="none"/>
        </w:rPr>
      </w:pPr>
      <w:r>
        <w:rPr>
          <w:rFonts w:hint="eastAsia" w:ascii="Arial" w:hAnsi="Arial" w:eastAsia="黑体" w:cs="Arial"/>
          <w:b/>
          <w:color w:val="000000"/>
          <w:sz w:val="28"/>
          <w:szCs w:val="28"/>
          <w:highlight w:val="none"/>
        </w:rPr>
        <w:t xml:space="preserve">第四章 采购需求</w:t>
      </w:r>
      <w:bookmarkStart w:id="117" w:name="_Toc11326"/>
      <w:r/>
      <w:bookmarkStart w:id="118" w:name="_Toc19"/>
      <w:r/>
      <w:bookmarkStart w:id="119" w:name="_Toc11219"/>
      <w:r/>
      <w:r/>
    </w:p>
    <w:p>
      <w:pPr>
        <w:keepLines w:val="0"/>
        <w:keepNext w:val="0"/>
        <w:pageBreakBefore w:val="0"/>
        <w:spacing w:line="360" w:lineRule="auto"/>
        <w:widowControl w:val="off"/>
        <w:rPr>
          <w:highlight w:val="none"/>
        </w:rPr>
      </w:pPr>
      <w:r>
        <w:rPr>
          <w:b/>
          <w:highlight w:val="none"/>
        </w:rPr>
        <w:t xml:space="preserve">一、技术要求</w:t>
      </w:r>
      <w:r/>
    </w:p>
    <w:p>
      <w:pPr>
        <w:keepLines w:val="0"/>
        <w:keepNext w:val="0"/>
        <w:pageBreakBefore w:val="0"/>
        <w:spacing w:line="360" w:lineRule="auto"/>
        <w:widowControl w:val="off"/>
        <w:rPr>
          <w:highlight w:val="none"/>
        </w:rPr>
      </w:pPr>
      <w:r>
        <w:rPr>
          <w:highlight w:val="none"/>
        </w:rPr>
        <w:t xml:space="preserve">★</w:t>
      </w:r>
      <w:r>
        <w:rPr>
          <w:rFonts w:hint="eastAsia"/>
          <w:highlight w:val="none"/>
        </w:rPr>
        <w:t xml:space="preserve">1、配置要求（医用显示器</w:t>
      </w:r>
      <w:r>
        <w:rPr>
          <w:highlight w:val="none"/>
        </w:rPr>
        <w:t xml:space="preserve">1台、主机（含光源）1台、工作站（含软件）1套、治疗型内镜1根、检查型内镜2根、工作台车1辆</w:t>
      </w:r>
      <w:r/>
    </w:p>
    <w:p>
      <w:pPr>
        <w:keepLines w:val="0"/>
        <w:keepNext w:val="0"/>
        <w:pageBreakBefore w:val="0"/>
        <w:spacing w:line="360" w:lineRule="auto"/>
        <w:widowControl w:val="off"/>
        <w:rPr>
          <w:highlight w:val="none"/>
        </w:rPr>
      </w:pPr>
      <w:r>
        <w:rPr>
          <w:rFonts w:hint="eastAsia"/>
          <w:highlight w:val="none"/>
        </w:rPr>
        <w:t xml:space="preserve">2、</w:t>
      </w:r>
      <w:r>
        <w:rPr>
          <w:highlight w:val="none"/>
        </w:rPr>
        <w:t xml:space="preserve">图像处理主机输出分辨率 ≥ 1920×1080，支持高清及以上视频信号输出</w:t>
      </w:r>
      <w:r/>
    </w:p>
    <w:p>
      <w:pPr>
        <w:keepLines w:val="0"/>
        <w:keepNext w:val="0"/>
        <w:pageBreakBefore w:val="0"/>
        <w:spacing w:line="360" w:lineRule="auto"/>
        <w:widowControl w:val="off"/>
        <w:rPr>
          <w:highlight w:val="none"/>
        </w:rPr>
      </w:pPr>
      <w:r>
        <w:rPr>
          <w:highlight w:val="none"/>
        </w:rPr>
        <w:t xml:space="preserve">3</w:t>
      </w:r>
      <w:r>
        <w:rPr>
          <w:rFonts w:hint="eastAsia"/>
          <w:highlight w:val="none"/>
        </w:rPr>
        <w:t xml:space="preserve">、主机及光源为一体化设计</w:t>
      </w:r>
      <w:r/>
    </w:p>
    <w:p>
      <w:pPr>
        <w:keepLines w:val="0"/>
        <w:keepNext w:val="0"/>
        <w:pageBreakBefore w:val="0"/>
        <w:spacing w:line="360" w:lineRule="auto"/>
        <w:widowControl w:val="off"/>
        <w:rPr>
          <w:highlight w:val="none"/>
        </w:rPr>
      </w:pPr>
      <w:r>
        <w:rPr>
          <w:highlight w:val="none"/>
        </w:rPr>
        <w:t xml:space="preserve">4</w:t>
      </w:r>
      <w:r>
        <w:rPr>
          <w:rFonts w:hint="eastAsia"/>
          <w:highlight w:val="none"/>
        </w:rPr>
        <w:t xml:space="preserve">、具备色彩调节功能</w:t>
      </w:r>
      <w:r/>
    </w:p>
    <w:p>
      <w:pPr>
        <w:keepLines w:val="0"/>
        <w:keepNext w:val="0"/>
        <w:pageBreakBefore w:val="0"/>
        <w:spacing w:line="360" w:lineRule="auto"/>
        <w:widowControl w:val="off"/>
        <w:rPr>
          <w:highlight w:val="none"/>
        </w:rPr>
      </w:pPr>
      <w:r>
        <w:rPr>
          <w:rFonts w:hint="eastAsia"/>
          <w:highlight w:val="none"/>
        </w:rPr>
        <w:t xml:space="preserve">5、具备数字信号及模拟信号输出</w:t>
      </w:r>
      <w:r/>
    </w:p>
    <w:p>
      <w:pPr>
        <w:keepLines w:val="0"/>
        <w:keepNext w:val="0"/>
        <w:pageBreakBefore w:val="0"/>
        <w:spacing w:line="360" w:lineRule="auto"/>
        <w:widowControl w:val="off"/>
        <w:rPr>
          <w:highlight w:val="none"/>
        </w:rPr>
      </w:pPr>
      <w:r>
        <w:rPr>
          <w:highlight w:val="none"/>
        </w:rPr>
        <w:t xml:space="preserve">6</w:t>
      </w:r>
      <w:r>
        <w:rPr>
          <w:rFonts w:hint="eastAsia"/>
          <w:highlight w:val="none"/>
        </w:rPr>
        <w:t xml:space="preserve">、具备智能图像增强功能</w:t>
      </w:r>
      <w:r/>
    </w:p>
    <w:p>
      <w:pPr>
        <w:keepLines w:val="0"/>
        <w:keepNext w:val="0"/>
        <w:pageBreakBefore w:val="0"/>
        <w:spacing w:line="360" w:lineRule="auto"/>
        <w:widowControl w:val="off"/>
        <w:rPr>
          <w:highlight w:val="none"/>
        </w:rPr>
      </w:pPr>
      <w:r>
        <w:rPr>
          <w:rFonts w:hint="eastAsia"/>
          <w:highlight w:val="none"/>
        </w:rPr>
        <w:t xml:space="preserve">7、具备自动增益（图像明暗度）及</w:t>
      </w:r>
      <w:r>
        <w:rPr>
          <w:highlight w:val="none"/>
        </w:rPr>
        <w:t xml:space="preserve">测光功能</w:t>
      </w:r>
      <w:r/>
    </w:p>
    <w:p>
      <w:pPr>
        <w:keepLines w:val="0"/>
        <w:keepNext w:val="0"/>
        <w:pageBreakBefore w:val="0"/>
        <w:spacing w:line="360" w:lineRule="auto"/>
        <w:widowControl w:val="off"/>
        <w:rPr>
          <w:highlight w:val="none"/>
        </w:rPr>
      </w:pPr>
      <w:r>
        <w:rPr>
          <w:highlight w:val="none"/>
        </w:rPr>
        <w:t xml:space="preserve">8</w:t>
      </w:r>
      <w:r>
        <w:rPr>
          <w:rFonts w:hint="eastAsia"/>
          <w:highlight w:val="none"/>
        </w:rPr>
        <w:t xml:space="preserve">、具备图像放大功能且最大放大倍率≥</w:t>
      </w:r>
      <w:r>
        <w:rPr>
          <w:highlight w:val="none"/>
        </w:rPr>
        <w:t xml:space="preserve">1.2倍</w:t>
      </w:r>
      <w:r/>
    </w:p>
    <w:p>
      <w:pPr>
        <w:keepLines w:val="0"/>
        <w:keepNext w:val="0"/>
        <w:pageBreakBefore w:val="0"/>
        <w:spacing w:line="360" w:lineRule="auto"/>
        <w:widowControl w:val="off"/>
        <w:rPr>
          <w:highlight w:val="none"/>
        </w:rPr>
      </w:pPr>
      <w:r>
        <w:rPr>
          <w:rFonts w:hint="eastAsia"/>
          <w:highlight w:val="none"/>
          <w:lang w:val="en-US" w:eastAsia="zh-CN"/>
        </w:rPr>
        <w:t xml:space="preserve">9</w:t>
      </w:r>
      <w:r>
        <w:rPr>
          <w:rFonts w:hint="eastAsia"/>
          <w:highlight w:val="none"/>
        </w:rPr>
        <w:t xml:space="preserve">、具备自动白平衡功能</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0</w:t>
      </w:r>
      <w:r>
        <w:rPr>
          <w:rFonts w:hint="eastAsia"/>
          <w:highlight w:val="none"/>
        </w:rPr>
        <w:t xml:space="preserve">、具备</w:t>
      </w:r>
      <w:r>
        <w:rPr>
          <w:highlight w:val="none"/>
        </w:rPr>
        <w:t xml:space="preserve"> USB 接口 ≥2 个（支持图像/视频导出）；具备数字视频输出接口（HDMI / DVI / SDI / DP 之一或多，与医用显示器接口匹配）</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、具备图像冻结功能</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、主机铭牌标注使用年限≥</w:t>
      </w:r>
      <w:r>
        <w:rPr>
          <w:highlight w:val="none"/>
        </w:rPr>
        <w:t xml:space="preserve">5年</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3</w:t>
      </w:r>
      <w:r>
        <w:rPr>
          <w:rFonts w:hint="eastAsia"/>
          <w:highlight w:val="none"/>
        </w:rPr>
        <w:t xml:space="preserve">、配备医用显示器≥</w:t>
      </w:r>
      <w:r>
        <w:rPr>
          <w:highlight w:val="none"/>
        </w:rPr>
        <w:t xml:space="preserve">32吋，分辨率与主机输出相匹配（≥1920×1080）；若提供 4K 级输出，显示器分辨率应 ≥3840×2160</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、工作站硬盘容量≥</w:t>
      </w:r>
      <w:r>
        <w:rPr>
          <w:highlight w:val="none"/>
        </w:rPr>
        <w:t xml:space="preserve">500GB</w:t>
      </w:r>
      <w:r/>
    </w:p>
    <w:p>
      <w:pPr>
        <w:keepLines w:val="0"/>
        <w:keepNext w:val="0"/>
        <w:pageBreakBefore w:val="0"/>
        <w:spacing w:line="360" w:lineRule="auto"/>
        <w:widowControl w:val="off"/>
        <w:rPr>
          <w:highlight w:val="none"/>
        </w:rPr>
      </w:pPr>
      <w:r>
        <w:rPr>
          <w:rFonts w:hint="eastAsia"/>
          <w:highlight w:val="none"/>
        </w:rPr>
        <w:t xml:space="preserve">1</w:t>
      </w:r>
      <w:r>
        <w:rPr>
          <w:rFonts w:hint="eastAsia"/>
          <w:highlight w:val="none"/>
          <w:lang w:val="en-US" w:eastAsia="zh-CN"/>
        </w:rPr>
        <w:t xml:space="preserve">5</w:t>
      </w:r>
      <w:r>
        <w:rPr>
          <w:rFonts w:hint="eastAsia"/>
          <w:highlight w:val="none"/>
        </w:rPr>
        <w:t xml:space="preserve">、工作站内存≥</w:t>
      </w:r>
      <w:r>
        <w:rPr>
          <w:highlight w:val="none"/>
        </w:rPr>
        <w:t xml:space="preserve">8GB</w:t>
      </w:r>
      <w:r/>
    </w:p>
    <w:p>
      <w:pPr>
        <w:keepLines w:val="0"/>
        <w:keepNext w:val="0"/>
        <w:pageBreakBefore w:val="0"/>
        <w:spacing w:line="360" w:lineRule="auto"/>
        <w:widowControl w:val="off"/>
        <w:rPr>
          <w:highlight w:val="none"/>
        </w:rPr>
      </w:pPr>
      <w:r>
        <w:rPr>
          <w:highlight w:val="none"/>
        </w:rPr>
        <w:t xml:space="preserve">1</w:t>
      </w:r>
      <w:r>
        <w:rPr>
          <w:rFonts w:hint="eastAsia"/>
          <w:highlight w:val="none"/>
          <w:lang w:val="en-US" w:eastAsia="zh-CN"/>
        </w:rPr>
        <w:t xml:space="preserve">6</w:t>
      </w:r>
      <w:r>
        <w:rPr>
          <w:rFonts w:hint="eastAsia"/>
          <w:highlight w:val="none"/>
        </w:rPr>
        <w:t xml:space="preserve">、具备病人管理软件，可实现病历管理、图像存储等等功能</w:t>
      </w:r>
      <w:r/>
    </w:p>
    <w:p>
      <w:pPr>
        <w:keepLines w:val="0"/>
        <w:keepNext w:val="0"/>
        <w:pageBreakBefore w:val="0"/>
        <w:spacing w:line="360" w:lineRule="auto"/>
        <w:widowControl w:val="off"/>
        <w:rPr>
          <w:highlight w:val="none"/>
        </w:rPr>
      </w:pPr>
      <w:r>
        <w:rPr>
          <w:rFonts w:hint="eastAsia"/>
          <w:highlight w:val="none"/>
          <w:lang w:val="en-US" w:eastAsia="zh-CN"/>
        </w:rPr>
        <w:t xml:space="preserve">17</w:t>
      </w:r>
      <w:r>
        <w:rPr>
          <w:rFonts w:hint="eastAsia"/>
          <w:highlight w:val="none"/>
        </w:rPr>
        <w:t xml:space="preserve">、治疗型电子鼻咽喉镜参数要求：</w:t>
      </w:r>
      <w:r/>
    </w:p>
    <w:p>
      <w:pPr>
        <w:keepLines w:val="0"/>
        <w:keepNext w:val="0"/>
        <w:pageBreakBefore w:val="0"/>
        <w:spacing w:line="360" w:lineRule="auto"/>
        <w:widowControl w:val="off"/>
        <w:rPr>
          <w:highlight w:val="none"/>
        </w:rPr>
      </w:pPr>
      <w:r>
        <w:rPr>
          <w:rFonts w:hint="eastAsia"/>
          <w:highlight w:val="none"/>
          <w:lang w:val="en-US" w:eastAsia="zh-CN"/>
        </w:rPr>
        <w:t xml:space="preserve">17</w:t>
      </w:r>
      <w:r>
        <w:rPr>
          <w:highlight w:val="none"/>
        </w:rPr>
        <w:t xml:space="preserve">.1</w:t>
      </w:r>
      <w:r>
        <w:rPr>
          <w:rFonts w:hint="eastAsia"/>
          <w:highlight w:val="none"/>
        </w:rPr>
        <w:t xml:space="preserve">、视野角度≥</w:t>
      </w:r>
      <w:r>
        <w:rPr>
          <w:highlight w:val="none"/>
        </w:rPr>
        <w:t xml:space="preserve">80°</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17</w:t>
      </w:r>
      <w:r>
        <w:rPr>
          <w:highlight w:val="none"/>
        </w:rPr>
        <w:t xml:space="preserve">.2</w:t>
      </w:r>
      <w:r>
        <w:rPr>
          <w:rFonts w:hint="eastAsia"/>
          <w:highlight w:val="none"/>
        </w:rPr>
        <w:t xml:space="preserve">、景深（最小景深≤</w:t>
      </w:r>
      <w:r>
        <w:rPr>
          <w:highlight w:val="none"/>
        </w:rPr>
        <w:t xml:space="preserve">3mm，最大景深≥50mm）</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17</w:t>
      </w:r>
      <w:r>
        <w:rPr>
          <w:highlight w:val="none"/>
        </w:rPr>
        <w:t xml:space="preserve">.</w:t>
      </w:r>
      <w:r>
        <w:rPr>
          <w:rFonts w:hint="eastAsia"/>
          <w:highlight w:val="none"/>
          <w:lang w:val="en-US" w:eastAsia="zh-CN"/>
        </w:rPr>
        <w:t xml:space="preserve">3</w:t>
      </w:r>
      <w:r>
        <w:rPr>
          <w:rFonts w:hint="eastAsia"/>
          <w:highlight w:val="none"/>
        </w:rPr>
        <w:t xml:space="preserve">、弯曲角度（向上弯曲角度≥</w:t>
      </w:r>
      <w:r>
        <w:rPr>
          <w:highlight w:val="none"/>
        </w:rPr>
        <w:t xml:space="preserve">130°，向下弯曲角度≥130°）</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17</w:t>
      </w:r>
      <w:r>
        <w:rPr>
          <w:highlight w:val="none"/>
        </w:rPr>
        <w:t xml:space="preserve">.</w:t>
      </w:r>
      <w:r>
        <w:rPr>
          <w:rFonts w:hint="eastAsia"/>
          <w:highlight w:val="none"/>
          <w:lang w:val="en-US" w:eastAsia="zh-CN"/>
        </w:rPr>
        <w:t xml:space="preserve">4</w:t>
      </w:r>
      <w:r>
        <w:rPr>
          <w:rFonts w:hint="eastAsia"/>
          <w:highlight w:val="none"/>
        </w:rPr>
        <w:t xml:space="preserve">、治疗型内镜支持四方向（上</w:t>
      </w:r>
      <w:r>
        <w:rPr>
          <w:highlight w:val="none"/>
        </w:rPr>
        <w:t xml:space="preserve">/下 + 左/右）弯曲功能，左/右弯曲角度 ≥60°</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17</w:t>
      </w:r>
      <w:r>
        <w:rPr>
          <w:highlight w:val="none"/>
        </w:rPr>
        <w:t xml:space="preserve">.</w:t>
      </w:r>
      <w:r>
        <w:rPr>
          <w:rFonts w:hint="eastAsia"/>
          <w:highlight w:val="none"/>
          <w:lang w:val="en-US" w:eastAsia="zh-CN"/>
        </w:rPr>
        <w:t xml:space="preserve">5</w:t>
      </w:r>
      <w:r>
        <w:rPr>
          <w:rFonts w:hint="eastAsia"/>
          <w:highlight w:val="none"/>
        </w:rPr>
        <w:t xml:space="preserve">、工作长度≥</w:t>
      </w:r>
      <w:r>
        <w:rPr>
          <w:highlight w:val="none"/>
        </w:rPr>
        <w:t xml:space="preserve">300mm，镜体全长≥570mm</w:t>
      </w:r>
      <w:r/>
    </w:p>
    <w:p>
      <w:pPr>
        <w:keepLines w:val="0"/>
        <w:keepNext w:val="0"/>
        <w:pageBreakBefore w:val="0"/>
        <w:spacing w:line="360" w:lineRule="auto"/>
        <w:widowControl w:val="off"/>
        <w:rPr>
          <w:rFonts w:hint="eastAsia"/>
          <w:highlight w:val="none"/>
        </w:rPr>
      </w:pPr>
      <w:r>
        <w:rPr>
          <w:rFonts w:hint="eastAsia" w:ascii="Times New Roman" w:eastAsia="宋体"/>
          <w:highlight w:val="none"/>
          <w:lang w:val="en-US" w:eastAsia="zh-CN"/>
        </w:rPr>
        <w:t xml:space="preserve">17</w:t>
      </w:r>
      <w:r>
        <w:rPr>
          <w:highlight w:val="none"/>
        </w:rPr>
        <w:t xml:space="preserve">.</w:t>
      </w:r>
      <w:r>
        <w:rPr>
          <w:rFonts w:hint="eastAsia"/>
          <w:highlight w:val="none"/>
          <w:lang w:val="en-US" w:eastAsia="zh-CN"/>
        </w:rPr>
        <w:t xml:space="preserve">6</w:t>
      </w:r>
      <w:r>
        <w:rPr>
          <w:rFonts w:hint="eastAsia"/>
          <w:highlight w:val="none"/>
        </w:rPr>
        <w:t xml:space="preserve">、钳道直径≥</w:t>
      </w:r>
      <w:r>
        <w:rPr>
          <w:highlight w:val="none"/>
        </w:rPr>
        <w:t xml:space="preserve">2.0mm</w:t>
      </w:r>
      <w:r/>
    </w:p>
    <w:p>
      <w:pPr>
        <w:keepLines w:val="0"/>
        <w:keepNext w:val="0"/>
        <w:pageBreakBefore w:val="0"/>
        <w:spacing w:line="360" w:lineRule="auto"/>
        <w:widowControl w:val="off"/>
        <w:rPr>
          <w:highlight w:val="none"/>
        </w:rPr>
      </w:pPr>
      <w:r>
        <w:rPr>
          <w:rFonts w:hint="eastAsia"/>
          <w:highlight w:val="none"/>
          <w:lang w:val="en-US" w:eastAsia="zh-CN"/>
        </w:rPr>
        <w:t xml:space="preserve">17.7、</w:t>
      </w:r>
      <w:r>
        <w:rPr>
          <w:rFonts w:hint="eastAsia"/>
          <w:highlight w:val="none"/>
        </w:rPr>
        <w:t xml:space="preserve">全密封防水可全浸泡消毒</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17</w:t>
      </w:r>
      <w:r>
        <w:rPr>
          <w:highlight w:val="none"/>
        </w:rPr>
        <w:t xml:space="preserve">.</w:t>
      </w:r>
      <w:r>
        <w:rPr>
          <w:rFonts w:hint="eastAsia"/>
          <w:highlight w:val="none"/>
          <w:lang w:val="en-US" w:eastAsia="zh-CN"/>
        </w:rPr>
        <w:t xml:space="preserve">8</w:t>
      </w:r>
      <w:r>
        <w:rPr>
          <w:rFonts w:hint="eastAsia"/>
          <w:highlight w:val="none"/>
        </w:rPr>
        <w:t xml:space="preserve">、铭牌标注使用年限≥</w:t>
      </w:r>
      <w:r>
        <w:rPr>
          <w:highlight w:val="none"/>
        </w:rPr>
        <w:t xml:space="preserve">5年</w:t>
      </w:r>
      <w:r/>
    </w:p>
    <w:p>
      <w:pPr>
        <w:keepLines w:val="0"/>
        <w:keepNext w:val="0"/>
        <w:pageBreakBefore w:val="0"/>
        <w:spacing w:line="360" w:lineRule="auto"/>
        <w:widowControl w:val="off"/>
        <w:rPr>
          <w:highlight w:val="none"/>
        </w:rPr>
      </w:pPr>
      <w:r>
        <w:rPr>
          <w:rFonts w:hint="eastAsia"/>
          <w:highlight w:val="none"/>
          <w:lang w:val="en-US" w:eastAsia="zh-CN"/>
        </w:rPr>
        <w:t xml:space="preserve">18</w:t>
      </w:r>
      <w:r>
        <w:rPr>
          <w:rFonts w:hint="eastAsia"/>
          <w:highlight w:val="none"/>
        </w:rPr>
        <w:t xml:space="preserve">、检查型电子鼻咽喉镜参数要求：</w:t>
      </w:r>
      <w:r/>
    </w:p>
    <w:p>
      <w:pPr>
        <w:keepLines w:val="0"/>
        <w:keepNext w:val="0"/>
        <w:pageBreakBefore w:val="0"/>
        <w:spacing w:line="360" w:lineRule="auto"/>
        <w:widowControl w:val="off"/>
        <w:rPr>
          <w:highlight w:val="none"/>
        </w:rPr>
      </w:pPr>
      <w:r>
        <w:rPr>
          <w:rFonts w:hint="eastAsia"/>
          <w:highlight w:val="none"/>
          <w:lang w:val="en-US" w:eastAsia="zh-CN"/>
        </w:rPr>
        <w:t xml:space="preserve">18</w:t>
      </w:r>
      <w:r>
        <w:rPr>
          <w:highlight w:val="none"/>
        </w:rPr>
        <w:t xml:space="preserve">.1</w:t>
      </w:r>
      <w:r>
        <w:rPr>
          <w:rFonts w:hint="eastAsia"/>
          <w:highlight w:val="none"/>
        </w:rPr>
        <w:t xml:space="preserve">、视野角度≥</w:t>
      </w:r>
      <w:r>
        <w:rPr>
          <w:highlight w:val="none"/>
        </w:rPr>
        <w:t xml:space="preserve">80°</w:t>
      </w:r>
      <w:r/>
    </w:p>
    <w:p>
      <w:pPr>
        <w:keepLines w:val="0"/>
        <w:keepNext w:val="0"/>
        <w:pageBreakBefore w:val="0"/>
        <w:spacing w:line="360" w:lineRule="auto"/>
        <w:widowControl w:val="off"/>
        <w:rPr>
          <w:highlight w:val="none"/>
        </w:rPr>
      </w:pPr>
      <w:r>
        <w:rPr>
          <w:rFonts w:hint="eastAsia"/>
          <w:highlight w:val="none"/>
          <w:lang w:val="en-US" w:eastAsia="zh-CN"/>
        </w:rPr>
        <w:t xml:space="preserve">18</w:t>
      </w:r>
      <w:r>
        <w:rPr>
          <w:highlight w:val="none"/>
        </w:rPr>
        <w:t xml:space="preserve">.2</w:t>
      </w:r>
      <w:r>
        <w:rPr>
          <w:rFonts w:hint="eastAsia"/>
          <w:highlight w:val="none"/>
        </w:rPr>
        <w:t xml:space="preserve">、景深（最小景深≤</w:t>
      </w:r>
      <w:r>
        <w:rPr>
          <w:highlight w:val="none"/>
        </w:rPr>
        <w:t xml:space="preserve">4mm，最大景深≥50mm）</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18</w:t>
      </w:r>
      <w:r>
        <w:rPr>
          <w:highlight w:val="none"/>
        </w:rPr>
        <w:t xml:space="preserve">.</w:t>
      </w:r>
      <w:r>
        <w:rPr>
          <w:rFonts w:hint="eastAsia"/>
          <w:highlight w:val="none"/>
          <w:lang w:val="en-US" w:eastAsia="zh-CN"/>
        </w:rPr>
        <w:t xml:space="preserve">3</w:t>
      </w:r>
      <w:r>
        <w:rPr>
          <w:rFonts w:hint="eastAsia"/>
          <w:highlight w:val="none"/>
        </w:rPr>
        <w:t xml:space="preserve">、弯曲角度（向上弯曲角度≥</w:t>
      </w:r>
      <w:r>
        <w:rPr>
          <w:highlight w:val="none"/>
        </w:rPr>
        <w:t xml:space="preserve">130°，向下弯曲角度≥130°）</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18</w:t>
      </w:r>
      <w:r>
        <w:rPr>
          <w:highlight w:val="none"/>
        </w:rPr>
        <w:t xml:space="preserve">.</w:t>
      </w:r>
      <w:r>
        <w:rPr>
          <w:rFonts w:hint="eastAsia"/>
          <w:highlight w:val="none"/>
          <w:lang w:val="en-US" w:eastAsia="zh-CN"/>
        </w:rPr>
        <w:t xml:space="preserve">4</w:t>
      </w:r>
      <w:r>
        <w:rPr>
          <w:rFonts w:hint="eastAsia"/>
          <w:highlight w:val="none"/>
        </w:rPr>
        <w:t xml:space="preserve">、工作长度≥</w:t>
      </w:r>
      <w:r>
        <w:rPr>
          <w:highlight w:val="none"/>
        </w:rPr>
        <w:t xml:space="preserve">300mm，镜体全长≥500mm</w:t>
      </w:r>
      <w:r/>
    </w:p>
    <w:p>
      <w:pPr>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18</w:t>
      </w:r>
      <w:r>
        <w:rPr>
          <w:highlight w:val="none"/>
        </w:rPr>
        <w:t xml:space="preserve">.</w:t>
      </w:r>
      <w:r>
        <w:rPr>
          <w:rFonts w:hint="eastAsia"/>
          <w:highlight w:val="none"/>
          <w:lang w:val="en-US" w:eastAsia="zh-CN"/>
        </w:rPr>
        <w:t xml:space="preserve">5</w:t>
      </w:r>
      <w:r>
        <w:rPr>
          <w:rFonts w:hint="eastAsia"/>
          <w:highlight w:val="none"/>
        </w:rPr>
        <w:t xml:space="preserve">、铭牌标注使用年限≥</w:t>
      </w:r>
      <w:r>
        <w:rPr>
          <w:highlight w:val="none"/>
        </w:rPr>
        <w:t xml:space="preserve">5年</w:t>
      </w:r>
      <w:r/>
    </w:p>
    <w:p>
      <w:pPr>
        <w:keepLines w:val="0"/>
        <w:keepNext w:val="0"/>
        <w:pageBreakBefore w:val="0"/>
        <w:spacing w:line="360" w:lineRule="auto"/>
        <w:widowControl w:val="off"/>
        <w:rPr>
          <w:highlight w:val="none"/>
        </w:rPr>
      </w:pPr>
      <w:r>
        <w:rPr>
          <w:b/>
          <w:highlight w:val="none"/>
        </w:rPr>
        <w:t xml:space="preserve">二、★商务要求：</w:t>
      </w:r>
      <w:r/>
    </w:p>
    <w:p>
      <w:pPr>
        <w:ind w:left="0" w:firstLine="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1、交货期：均要求合同签订生效后60天内</w:t>
      </w:r>
      <w:r/>
    </w:p>
    <w:p>
      <w:pPr>
        <w:ind w:left="0" w:firstLine="0"/>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2、保修期：整机（主机及内镜）</w:t>
      </w:r>
      <w:r>
        <w:rPr>
          <w:rFonts w:hint="eastAsia" w:ascii="宋体" w:hAnsi="宋体" w:eastAsia="宋体" w:cs="宋体"/>
          <w:bCs/>
          <w:sz w:val="21"/>
          <w:szCs w:val="21"/>
          <w:highlight w:val="none"/>
        </w:rPr>
        <w:t xml:space="preserve">原厂免费保修一年</w:t>
      </w:r>
      <w:r/>
    </w:p>
    <w:p>
      <w:pPr>
        <w:ind w:left="0" w:firstLine="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3、售后服务承诺：</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（1）在保修期内，如有损坏或质量不合格者，卖方应及时给予修复和更换，其修理和更换应免费。正常修理周期和修理期间需提供免费备品，保障医院使用。</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（2）在保修期外，卖方为仪器提供终身维修服务，维修问题出现时，按技术参数服务要求相应条款处理。</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（3）在保修期内，如果原厂方鉴定设备因为人为损坏，厂方须出具具有法定权威性第三方检测证明，否则一律视为保修范围内容处理。</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（5）终身提供免费的应用咨询及技术帮助。</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培训：负责对采购人、最终用户的操作、维修人员在项目所在地进行业务培训，请投标人自报可以提供业务培训的人数及天数，并应达到能熟练操作并能排除常见故障的标准；</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4、验收标准：</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（1）招标文件技术规格书中明确的标准和技术要求；</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（2）与合同货物有关的最新版本的中华人民共和国国家/国际标准和部颁标准；</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（3）货物合格证书技术资料中的精度、质量要求；</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（4）投标人在澄清投标文件时作出的承诺，经买方确认后，将作为对货物的验收依据之一；</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（5）双方签订的合同技术附件所规定的条款。</w:t>
      </w:r>
      <w:r/>
    </w:p>
    <w:p>
      <w:pPr>
        <w:ind w:left="0" w:firstLine="0"/>
        <w:jc w:val="left"/>
        <w:spacing w:line="360" w:lineRule="auto"/>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6、交货地点：南京市高淳人民医院（南京市高淳区经济开发区茅山路53号）</w:t>
      </w:r>
      <w:r/>
    </w:p>
    <w:p>
      <w:pPr>
        <w:ind w:left="0" w:firstLine="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安装调试：投标人应派有经验、有资格的人员（应有证明文件）及时对货物及全系统进行安装、调试。若在合同规定的日期前未完成，或采购人对安装情况不满意，则采购人有权要求货物制造商派员前来调试，投标人不得拒绝，所发生的费用由投标人承担。</w:t>
      </w:r>
      <w:r/>
    </w:p>
    <w:p>
      <w:pPr>
        <w:ind w:left="0" w:firstLine="0"/>
        <w:spacing w:line="360" w:lineRule="auto"/>
        <w:rPr>
          <w:rFonts w:hint="eastAsia" w:ascii="宋体" w:hAnsi="宋体" w:eastAsia="宋体" w:cs="Times New Roman"/>
          <w:sz w:val="21"/>
          <w:szCs w:val="21"/>
          <w:highlight w:val="none"/>
          <w:lang w:eastAsia="zh-CN"/>
        </w:rPr>
      </w:pPr>
      <w:r>
        <w:rPr>
          <w:rFonts w:hint="eastAsia" w:ascii="宋体" w:hAnsi="宋体" w:eastAsia="宋体" w:cs="宋体"/>
          <w:bCs/>
          <w:color w:val="000000"/>
          <w:sz w:val="21"/>
          <w:szCs w:val="21"/>
          <w:highlight w:val="none"/>
        </w:rPr>
        <w:t xml:space="preserve">8、付款方式：</w:t>
      </w:r>
      <w:r>
        <w:rPr>
          <w:rFonts w:hint="eastAsia" w:ascii="宋体" w:hAnsi="宋体" w:eastAsia="宋体" w:cs="宋体"/>
          <w:bCs/>
          <w:sz w:val="21"/>
          <w:szCs w:val="21"/>
          <w:highlight w:val="none"/>
        </w:rPr>
        <w:t xml:space="preserve">合同签订后预付30%，到货安装调试经甲方验收合格并提供原厂保修函后,并且乙方开具符合国家规定的发票后付20%，正常使用三个月后无息支付40%，正常使用一年后无息支付10%。</w:t>
      </w:r>
      <w:r>
        <w:rPr>
          <w:rFonts w:hint="eastAsia" w:ascii="宋体" w:hAnsi="宋体" w:eastAsia="宋体" w:cs="仿宋"/>
          <w:color w:val="000000"/>
          <w:sz w:val="21"/>
          <w:szCs w:val="21"/>
          <w:highlight w:val="none"/>
        </w:rPr>
        <w:t xml:space="preserve">如果中标人为中小企业，按&lt;&lt;保障中小企业款项支付条例&gt;&gt;(国令第802号)相关要求执行</w:t>
      </w:r>
      <w:r>
        <w:rPr>
          <w:rFonts w:hint="eastAsia" w:ascii="宋体" w:hAnsi="宋体" w:eastAsia="宋体" w:cs="仿宋"/>
          <w:color w:val="000000"/>
          <w:sz w:val="21"/>
          <w:szCs w:val="21"/>
          <w:highlight w:val="none"/>
          <w:lang w:eastAsia="zh-CN"/>
        </w:rPr>
        <w:t xml:space="preserve">。</w:t>
      </w:r>
      <w:r/>
    </w:p>
    <w:p>
      <w:pPr>
        <w:rPr>
          <w:rFonts w:ascii="Calibri" w:hAnsi="Calibri" w:eastAsia="宋体" w:cs="Times New Roman"/>
          <w:szCs w:val="24"/>
          <w:highlight w:val="none"/>
        </w:rPr>
      </w:pPr>
      <w:r>
        <w:rPr>
          <w:rFonts w:ascii="Calibri" w:hAnsi="Calibri" w:eastAsia="宋体" w:cs="Times New Roman"/>
          <w:szCs w:val="24"/>
          <w:highlight w:val="none"/>
        </w:rPr>
      </w:r>
      <w:r/>
    </w:p>
    <w:p>
      <w:pPr>
        <w:jc w:val="center"/>
        <w:keepLines w:val="0"/>
        <w:keepNext w:val="0"/>
        <w:pageBreakBefore w:val="0"/>
        <w:spacing w:line="360" w:lineRule="auto"/>
        <w:widowControl w:val="off"/>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keepLines w:val="0"/>
        <w:keepNext w:val="0"/>
        <w:pageBreakBefore w:val="0"/>
        <w:spacing w:line="360" w:lineRule="auto"/>
        <w:widowControl w:val="off"/>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both"/>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numPr>
          <w:ilvl w:val="0"/>
          <w:numId w:val="4"/>
        </w:numPr>
        <w:ind w:left="482"/>
        <w:jc w:val="center"/>
        <w:spacing w:line="420" w:lineRule="exact"/>
        <w:rPr>
          <w:rFonts w:hint="default"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lang w:val="en-US" w:eastAsia="zh-CN"/>
        </w:rPr>
        <w:t xml:space="preserve"> 合同条款</w:t>
      </w:r>
      <w:r>
        <w:rPr>
          <w:rFonts w:hint="default" w:ascii="黑体" w:hAnsi="宋体" w:eastAsia="黑体" w:cs="Times New Roman"/>
          <w:b/>
          <w:bCs/>
          <w:sz w:val="32"/>
          <w:szCs w:val="32"/>
          <w:highlight w:val="none"/>
        </w:rPr>
        <w:t xml:space="preserve"> </w:t>
      </w:r>
      <w:r/>
    </w:p>
    <w:p>
      <w:pPr>
        <w:numPr>
          <w:ilvl w:val="0"/>
          <w:numId w:val="0"/>
        </w:numPr>
        <w:jc w:val="center"/>
        <w:spacing w:line="420" w:lineRule="exact"/>
        <w:rPr>
          <w:rFonts w:hint="default" w:ascii="黑体" w:hAnsi="宋体" w:eastAsia="黑体" w:cs="Times New Roman"/>
          <w:b/>
          <w:bCs/>
          <w:sz w:val="32"/>
          <w:szCs w:val="32"/>
          <w:highlight w:val="none"/>
        </w:rPr>
        <w:outlineLvl w:val="0"/>
      </w:pPr>
      <w:r>
        <w:rPr>
          <w:rFonts w:hint="eastAsia" w:ascii="黑体" w:hAnsi="宋体" w:eastAsia="黑体" w:cs="Times New Roman"/>
          <w:b/>
          <w:bCs/>
          <w:sz w:val="32"/>
          <w:szCs w:val="32"/>
          <w:highlight w:val="none"/>
        </w:rPr>
        <w:t xml:space="preserve">合同一般条款</w:t>
      </w:r>
      <w:r/>
    </w:p>
    <w:p>
      <w:pPr>
        <w:spacing w:line="380" w:lineRule="exact"/>
        <w:rPr>
          <w:rFonts w:hint="default" w:ascii="宋体" w:hAnsi="宋体" w:eastAsia="宋体" w:cs="Times New Roman"/>
          <w:b/>
          <w:szCs w:val="21"/>
          <w:highlight w:val="none"/>
          <w:lang w:val="zh-CN"/>
        </w:rPr>
      </w:pPr>
      <w:r>
        <w:rPr>
          <w:rFonts w:hint="default" w:ascii="宋体" w:hAnsi="宋体" w:eastAsia="宋体" w:cs="Times New Roman"/>
          <w:b/>
          <w:szCs w:val="21"/>
          <w:highlight w:val="none"/>
          <w:lang w:val="zh-CN"/>
        </w:rPr>
        <w:t xml:space="preserve">一、合同文件</w:t>
      </w:r>
      <w:r/>
    </w:p>
    <w:p>
      <w:pPr>
        <w:spacing w:line="380" w:lineRule="exact"/>
        <w:rPr>
          <w:rFonts w:hint="default" w:ascii="宋体" w:hAnsi="宋体" w:eastAsia="宋体" w:cs="Times New Roman"/>
          <w:b/>
          <w:szCs w:val="21"/>
          <w:highlight w:val="none"/>
          <w:lang w:val="zh-CN"/>
        </w:rPr>
      </w:pPr>
      <w:r>
        <w:rPr>
          <w:rFonts w:hint="default" w:ascii="宋体" w:hAnsi="宋体" w:eastAsia="宋体" w:cs="Times New Roman"/>
          <w:b/>
          <w:szCs w:val="21"/>
          <w:highlight w:val="none"/>
          <w:lang w:val="zh-CN"/>
        </w:rPr>
        <w:t xml:space="preserve">1. 合同文件适用法律</w:t>
      </w:r>
      <w:r/>
    </w:p>
    <w:p>
      <w:pPr>
        <w:ind w:firstLine="425"/>
        <w:spacing w:line="38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1.1适用于合同文件的法律是中华人民共和国现行法律、法规及甲方所在地的地方性法规。</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2. 合同文件组成和解释顺序</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2.1合同文件的组成和解释顺序如下：</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2.1.1 合同的特殊性条款</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2.1.2 合同的一般性条款</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2.1.3 洽商、变更等明确双方权利义务的纪要、协议</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2.1.4 中标通知书、投标书和采购文件</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2.1.5 标准、规范和其它有关技术资料、技术要求</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2.2 合同的特殊性条款的效力优于合同的一般性条款的效力</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3. 合同文件使用文字</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3.1 合同文件使用中文书写、解释和说明</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3</w:t>
      </w:r>
      <w:r>
        <w:rPr>
          <w:rFonts w:hint="default" w:ascii="宋体" w:hAnsi="宋体" w:eastAsia="宋体" w:cs="Times New Roman"/>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二、标的物的一般条款</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4.  完整物权</w:t>
      </w:r>
      <w:r/>
    </w:p>
    <w:p>
      <w:pPr>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 </w:t>
      </w:r>
      <w:r>
        <w:rPr>
          <w:rFonts w:hint="default" w:ascii="宋体" w:hAnsi="宋体" w:eastAsia="宋体" w:cs="Times New Roman"/>
          <w:szCs w:val="21"/>
          <w:highlight w:val="none"/>
        </w:rPr>
        <w:t xml:space="preserve">   </w:t>
      </w:r>
      <w:r>
        <w:rPr>
          <w:rFonts w:hint="default" w:ascii="宋体" w:hAnsi="宋体" w:eastAsia="宋体" w:cs="Times New Roman"/>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5.  质量保证</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5.3  除合同特殊条款规定外，合同条款中标的物的质量保证期均自标的物通过最终验收之日起计算，且质量保证期不低于_________年。</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6.  包装</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7.  伴随服务</w:t>
      </w:r>
      <w:r/>
    </w:p>
    <w:p>
      <w:pPr>
        <w:ind w:firstLine="420"/>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7.1  乙方除应履行按期按量交付合格标的物的义务之外，还应提供下列服务。</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7.1.1  标的物的现场安装、启动、调试、监督；</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7.1.2  提供标的物组装和一般维修所必须的工具；</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7.1.3 在合同规定的期限内对所提供标的物实行运行监督、维修服务的前提条件是该服务并不能免除乙方在质量保证期内所承担的义务；</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7.1.4  对甲方技术人员的技术指导或培训。</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7.2  除合同另有规定之外，伴随服务的费用均已含在合同价款中，甲方不再另行进行支付。</w:t>
      </w:r>
      <w:r/>
    </w:p>
    <w:p>
      <w:pPr>
        <w:spacing w:line="380" w:lineRule="exact"/>
        <w:rPr>
          <w:rFonts w:hint="eastAsia" w:ascii="宋体" w:hAnsi="宋体" w:eastAsia="宋体" w:cs="Times New Roman"/>
          <w:b/>
          <w:bCs/>
          <w:szCs w:val="21"/>
          <w:highlight w:val="none"/>
          <w:lang w:val="zh-CN"/>
        </w:rPr>
      </w:pPr>
      <w:r>
        <w:rPr>
          <w:rFonts w:hint="eastAsia" w:ascii="宋体" w:hAnsi="宋体" w:eastAsia="宋体" w:cs="Times New Roman"/>
          <w:b/>
          <w:bCs/>
          <w:szCs w:val="21"/>
          <w:highlight w:val="none"/>
          <w:lang w:val="zh-CN"/>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三、标的物的交付、检验和验收</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8.  标的物的交付</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8.1 标的物的所有权自标的物交付时转移。</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8.2 乙方应当按照约定的期限和约定的地点交付标的物。</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8.3 乙方应当按照约定或者交易习惯向甲方交付提取标的物单证以外的有关单证和资料。</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9.  检验和验收</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设备及安装均能满足相关主管部门的验收合格要求。</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9.3 验收期限自标的物交付之日起三十天内。特殊情况需延长的，双方应在合同的特殊条款中约定。</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9.4 如双方对验收结果有分歧，则以技术质量监督局的检验结果为准，检验费用由有过失的一方支付。</w:t>
      </w:r>
      <w:r/>
    </w:p>
    <w:p>
      <w:pPr>
        <w:spacing w:line="380" w:lineRule="exact"/>
        <w:rPr>
          <w:rFonts w:hint="eastAsia" w:ascii="宋体" w:hAnsi="宋体" w:eastAsia="宋体" w:cs="Times New Roman"/>
          <w:b/>
          <w:bCs/>
          <w:szCs w:val="21"/>
          <w:highlight w:val="none"/>
          <w:lang w:val="zh-CN"/>
        </w:rPr>
      </w:pPr>
      <w:r>
        <w:rPr>
          <w:rFonts w:hint="eastAsia" w:ascii="宋体" w:hAnsi="宋体" w:eastAsia="宋体" w:cs="Times New Roman"/>
          <w:b/>
          <w:bCs/>
          <w:szCs w:val="21"/>
          <w:highlight w:val="none"/>
          <w:lang w:val="zh-CN"/>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四、对标的物提出异议的时间和办法</w:t>
      </w:r>
      <w:r/>
    </w:p>
    <w:p>
      <w:pPr>
        <w:spacing w:line="380" w:lineRule="exact"/>
        <w:rPr>
          <w:rFonts w:hint="default" w:ascii="宋体" w:hAnsi="宋体" w:eastAsia="宋体" w:cs="Times New Roman"/>
          <w:b/>
          <w:bCs/>
          <w:szCs w:val="21"/>
          <w:highlight w:val="none"/>
          <w:lang w:val="zh-CN"/>
        </w:rPr>
      </w:pPr>
      <w:r>
        <w:rPr>
          <w:rFonts w:hint="default" w:ascii="宋体" w:hAnsi="宋体" w:eastAsia="宋体" w:cs="Times New Roman"/>
          <w:b/>
          <w:bCs/>
          <w:szCs w:val="21"/>
          <w:highlight w:val="none"/>
          <w:lang w:val="zh-CN"/>
        </w:rPr>
        <w:t xml:space="preserve">10.  对标的物提出异议的时间和办法 </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10.3乙方应在收到甲方书面异议后七天内负责处理问题，否则将视为默认甲方提出的异议和处理意见。</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五、合同价款和支付</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t xml:space="preserve">11.  </w:t>
      </w:r>
      <w:r>
        <w:rPr>
          <w:rFonts w:hint="default" w:ascii="宋体" w:hAnsi="宋体" w:eastAsia="宋体" w:cs="Times New Roman"/>
          <w:b/>
          <w:bCs/>
          <w:szCs w:val="21"/>
          <w:highlight w:val="none"/>
          <w:lang w:val="zh-CN"/>
        </w:rPr>
        <w:t xml:space="preserve">合同价款和支付</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11.1本合同的结算货币为人民币，单位元。</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11.2.1合格的销售发票；</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11.2.2甲方盖章签收后的送货回单和验收合格证明。</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11.3 甲方应按合同特殊条款规定的期限和方式付款。</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六、违约责任</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12.  违约责任</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合同一方不履行合同义务或者履行合同义务不符合约定的，应当承担继续履行、采取补救措施或者赔偿损失等违约责任。</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13.  甲方违约责任</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13.1 在合同生效后，甲方</w:t>
      </w:r>
      <w:r>
        <w:rPr>
          <w:rFonts w:hint="eastAsia" w:ascii="宋体" w:hAnsi="宋体" w:eastAsia="宋体" w:cs="Times New Roman"/>
          <w:szCs w:val="21"/>
          <w:highlight w:val="none"/>
          <w:lang w:val="en-US" w:eastAsia="zh-CN"/>
        </w:rPr>
        <w:t xml:space="preserve">无正当理由</w:t>
      </w:r>
      <w:r>
        <w:rPr>
          <w:rFonts w:hint="default" w:ascii="宋体" w:hAnsi="宋体" w:eastAsia="宋体" w:cs="Times New Roman"/>
          <w:szCs w:val="21"/>
          <w:highlight w:val="none"/>
          <w:lang w:val="zh-CN"/>
        </w:rPr>
        <w:t xml:space="preserve">要求退货的，应向乙方偿付合同总价款5%的违约金，违约金不足以补偿损失的，乙方有权要求甲方补足。</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13.2 甲方逾期付款的应按照逾期付款金额的每天万分之四支付逾期付款违约金。</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13.3 甲方违反合同规定，拒绝接收乙方交付的合格标的物，应当承担乙方由此造成的损失。</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14.  乙方违约责任</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14.2 乙方逾期交货的，应在发货前与甲方协商，甲方仍需求的，乙方应立即发货并应按照逾期交货部分货款的每天万分之四支付逾期交货违约金，同时承担甲方因此遭致的损失费用。</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15.不可抗力</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15.1 因不可抗力不能履行合同的，根据不可抗力的影响，部分或者全部免除责任。但合同一方迟延履行后发生不可抗力的，不能免除责任。</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15.2 合同一方因不可抗力不能履行合同的，应当及时通知对方，以减轻可能给对方造成的损失，并应当在合理期限内提供证明。</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七、索赔</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16. 索赔</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16.1甲方有权根据当地产品质量检验机构或其它有权部门出具的检验证书向乙方提出索赔。</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16.2.2 根据标的物的低劣程度、损坏程度以及甲方遭受损失的数额，经双方协商确定降低标的物的价格。</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16.4  甲方提出索赔的书面材料应报政府采购监督管理部门备案。同时乙方同意的索赔方案也应报政府采购监督管理部门备案。</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八、合同的解除和转让</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17. 合同的解除</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17.1</w:t>
      </w:r>
      <w:r>
        <w:rPr>
          <w:rFonts w:hint="default" w:ascii="宋体" w:hAnsi="宋体" w:eastAsia="宋体" w:cs="Times New Roman"/>
          <w:szCs w:val="21"/>
          <w:highlight w:val="none"/>
          <w:lang w:val="zh-CN"/>
        </w:rPr>
        <w:t xml:space="preserve">有下列情形之一</w:t>
      </w:r>
      <w:r>
        <w:rPr>
          <w:rFonts w:hint="default" w:ascii="宋体" w:hAnsi="宋体" w:eastAsia="宋体" w:cs="Times New Roman"/>
          <w:szCs w:val="21"/>
          <w:highlight w:val="none"/>
        </w:rPr>
        <w:t xml:space="preserve">，</w:t>
      </w:r>
      <w:r>
        <w:rPr>
          <w:rFonts w:hint="default" w:ascii="宋体" w:hAnsi="宋体" w:eastAsia="宋体" w:cs="Times New Roman"/>
          <w:szCs w:val="21"/>
          <w:highlight w:val="none"/>
          <w:lang w:val="zh-CN"/>
        </w:rPr>
        <w:t xml:space="preserve">合同一方可以解除合同</w:t>
      </w:r>
      <w:r>
        <w:rPr>
          <w:rFonts w:hint="default" w:ascii="宋体" w:hAnsi="宋体" w:eastAsia="宋体" w:cs="Times New Roman"/>
          <w:szCs w:val="21"/>
          <w:highlight w:val="none"/>
        </w:rPr>
        <w:t xml:space="preserve">：</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17.1.1 因不可抗力致使不能实现合同目的，未受不可抗力影响的一方有权解除合同；</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17.1.2 因合同一方违约导致合同不能履行，另一方有权解除合同；</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17.2 有权解除合同的一方，应当在违约事实或不可抗力发生之后三十天内书面通知对方以主张解除合同，合同在书面通知到达对方时解除。</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18. 合同的转让</w:t>
      </w:r>
      <w:r/>
    </w:p>
    <w:p>
      <w:pPr>
        <w:ind w:firstLine="420"/>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合同的部分和全部都不得转让。</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九、合同的生效</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t xml:space="preserve">19. </w:t>
      </w:r>
      <w:r>
        <w:rPr>
          <w:rFonts w:hint="default" w:ascii="宋体" w:hAnsi="宋体" w:eastAsia="宋体" w:cs="Times New Roman"/>
          <w:b/>
          <w:bCs/>
          <w:szCs w:val="21"/>
          <w:highlight w:val="none"/>
          <w:lang w:val="zh-CN"/>
        </w:rPr>
        <w:t xml:space="preserve">合同的生效</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本合同在双方签字盖章后即生效，同时还需</w:t>
      </w:r>
      <w:r>
        <w:rPr>
          <w:rFonts w:hint="eastAsia" w:ascii="宋体" w:hAnsi="宋体" w:eastAsia="宋体" w:cs="Times New Roman"/>
          <w:szCs w:val="21"/>
          <w:highlight w:val="none"/>
        </w:rPr>
        <w:t xml:space="preserve">完成网上</w:t>
      </w:r>
      <w:r>
        <w:rPr>
          <w:rFonts w:hint="default" w:ascii="宋体" w:hAnsi="宋体" w:eastAsia="宋体" w:cs="Times New Roman"/>
          <w:szCs w:val="21"/>
          <w:highlight w:val="none"/>
        </w:rPr>
        <w:t xml:space="preserve">备案。</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十、争议解决</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20. 争议解决</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 甲乙双方因合同发生争议，应在采购代理机构的主持下进行调解，协商不成，任何一方可以向甲方所在地人民法院起诉。</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rPr>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十一、附则</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21. 合同份数。</w:t>
      </w:r>
      <w:r/>
    </w:p>
    <w:p>
      <w:pPr>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 </w:t>
      </w:r>
      <w:r>
        <w:rPr>
          <w:rFonts w:hint="eastAsia" w:ascii="宋体" w:hAnsi="宋体" w:eastAsia="宋体" w:cs="Times New Roman"/>
          <w:szCs w:val="21"/>
          <w:highlight w:val="none"/>
          <w:lang w:val="zh-CN"/>
        </w:rPr>
        <w:t xml:space="preserve">   </w:t>
      </w:r>
      <w:r>
        <w:rPr>
          <w:rFonts w:hint="default" w:ascii="宋体" w:hAnsi="宋体" w:eastAsia="宋体" w:cs="Times New Roman"/>
          <w:szCs w:val="21"/>
          <w:highlight w:val="none"/>
          <w:lang w:val="zh-CN"/>
        </w:rPr>
        <w:t xml:space="preserve">合同一式</w:t>
      </w:r>
      <w:r>
        <w:rPr>
          <w:rFonts w:hint="eastAsia" w:ascii="宋体" w:hAnsi="宋体" w:eastAsia="宋体" w:cs="Times New Roman"/>
          <w:szCs w:val="21"/>
          <w:highlight w:val="none"/>
          <w:lang w:val="zh-CN"/>
        </w:rPr>
        <w:t xml:space="preserve">四</w:t>
      </w:r>
      <w:r>
        <w:rPr>
          <w:rFonts w:hint="default" w:ascii="宋体" w:hAnsi="宋体" w:eastAsia="宋体" w:cs="Times New Roman"/>
          <w:szCs w:val="21"/>
          <w:highlight w:val="none"/>
          <w:lang w:val="zh-CN"/>
        </w:rPr>
        <w:t xml:space="preserve">份，甲、乙方</w:t>
      </w:r>
      <w:r>
        <w:rPr>
          <w:rFonts w:hint="eastAsia" w:ascii="宋体" w:hAnsi="宋体" w:eastAsia="宋体" w:cs="Times New Roman"/>
          <w:szCs w:val="21"/>
          <w:highlight w:val="none"/>
          <w:lang w:val="zh-CN"/>
        </w:rPr>
        <w:t xml:space="preserve">双方各执一份</w:t>
      </w:r>
      <w:r>
        <w:rPr>
          <w:rFonts w:hint="default" w:ascii="宋体" w:hAnsi="宋体" w:eastAsia="宋体" w:cs="Times New Roman"/>
          <w:szCs w:val="21"/>
          <w:highlight w:val="none"/>
          <w:lang w:val="zh-CN"/>
        </w:rPr>
        <w:t xml:space="preserve">，采购代理机构一份，政府采购</w:t>
      </w:r>
      <w:r>
        <w:rPr>
          <w:rFonts w:hint="eastAsia" w:ascii="宋体" w:hAnsi="宋体" w:eastAsia="宋体" w:cs="Times New Roman"/>
          <w:szCs w:val="21"/>
          <w:highlight w:val="none"/>
          <w:lang w:val="zh-CN"/>
        </w:rPr>
        <w:t xml:space="preserve">监管</w:t>
      </w:r>
      <w:r>
        <w:rPr>
          <w:rFonts w:hint="default" w:ascii="宋体" w:hAnsi="宋体" w:eastAsia="宋体" w:cs="Times New Roman"/>
          <w:szCs w:val="21"/>
          <w:highlight w:val="none"/>
          <w:lang w:val="zh-CN"/>
        </w:rPr>
        <w:t xml:space="preserve">部门一份。</w:t>
      </w:r>
      <w:r/>
    </w:p>
    <w:p>
      <w:pPr>
        <w:spacing w:line="380" w:lineRule="exact"/>
        <w:rPr>
          <w:rFonts w:hint="default" w:ascii="宋体" w:hAnsi="宋体" w:eastAsia="宋体" w:cs="Times New Roman"/>
          <w:b/>
          <w:bCs/>
          <w:szCs w:val="21"/>
          <w:highlight w:val="none"/>
        </w:rPr>
      </w:pPr>
      <w:r>
        <w:rPr>
          <w:rFonts w:hint="default" w:ascii="宋体" w:hAnsi="宋体" w:eastAsia="宋体" w:cs="Times New Roman"/>
          <w:b/>
          <w:bCs/>
          <w:szCs w:val="21"/>
          <w:highlight w:val="none"/>
          <w:lang w:val="zh-CN"/>
        </w:rPr>
        <w:t xml:space="preserve">22. 未尽事宜</w:t>
      </w:r>
      <w:r/>
    </w:p>
    <w:p>
      <w:pPr>
        <w:ind w:firstLine="425"/>
        <w:spacing w:line="38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本合同未尽事宜应按《中华人民共和国政府采购法》及其它有关政府采购的法律法规的规定执行。</w:t>
      </w:r>
      <w:r/>
    </w:p>
    <w:p>
      <w:pPr>
        <w:ind w:left="482"/>
        <w:jc w:val="center"/>
        <w:spacing w:line="420" w:lineRule="exact"/>
        <w:rPr>
          <w:rFonts w:hint="eastAsia" w:ascii="黑体" w:hAnsi="宋体" w:eastAsia="黑体" w:cs="Times New Roman"/>
          <w:b/>
          <w:bCs/>
          <w:sz w:val="32"/>
          <w:szCs w:val="32"/>
          <w:highlight w:val="none"/>
        </w:rPr>
        <w:outlineLvl w:val="0"/>
      </w:pPr>
      <w:r>
        <w:rPr>
          <w:rFonts w:hint="default" w:ascii="宋体" w:hAnsi="宋体" w:eastAsia="宋体" w:cs="Times New Roman"/>
          <w:b/>
          <w:bCs/>
          <w:szCs w:val="21"/>
          <w:highlight w:val="none"/>
        </w:rPr>
        <w:br w:type="page" w:clear="all"/>
      </w:r>
      <w:r>
        <w:rPr>
          <w:rFonts w:hint="eastAsia" w:ascii="黑体" w:hAnsi="宋体" w:eastAsia="黑体" w:cs="Times New Roman"/>
          <w:b/>
          <w:bCs/>
          <w:sz w:val="32"/>
          <w:szCs w:val="32"/>
          <w:highlight w:val="none"/>
        </w:rPr>
        <w:t xml:space="preserve">合同特殊条款</w:t>
      </w:r>
      <w:r/>
    </w:p>
    <w:p>
      <w:pPr>
        <w:spacing w:line="420" w:lineRule="exact"/>
        <w:rPr>
          <w:rFonts w:hint="eastAsia" w:ascii="Times New Roman" w:hAnsi="宋体" w:eastAsia="宋体" w:cs="Times New Roman"/>
          <w:szCs w:val="21"/>
          <w:highlight w:val="none"/>
          <w:lang w:val="zh-CN"/>
        </w:rPr>
        <w:outlineLvl w:val="0"/>
      </w:pPr>
      <w:r>
        <w:rPr>
          <w:rFonts w:hint="eastAsia" w:ascii="Times New Roman" w:hAnsi="宋体" w:eastAsia="宋体" w:cs="Times New Roman"/>
          <w:szCs w:val="21"/>
          <w:highlight w:val="none"/>
          <w:lang w:val="zh-CN"/>
        </w:rPr>
      </w:r>
      <w:r/>
    </w:p>
    <w:p>
      <w:pPr>
        <w:spacing w:line="420" w:lineRule="exact"/>
        <w:rPr>
          <w:rFonts w:hint="default" w:ascii="黑体" w:hAnsi="宋体" w:eastAsia="黑体" w:cs="Times New Roman"/>
          <w:b/>
          <w:bCs/>
          <w:sz w:val="32"/>
          <w:szCs w:val="32"/>
          <w:highlight w:val="none"/>
        </w:rPr>
        <w:outlineLvl w:val="0"/>
      </w:pPr>
      <w:r>
        <w:rPr>
          <w:rFonts w:hint="default" w:ascii="Times New Roman" w:hAnsi="宋体" w:eastAsia="宋体" w:cs="Times New Roman"/>
          <w:szCs w:val="21"/>
          <w:highlight w:val="none"/>
          <w:lang w:val="zh-CN"/>
        </w:rPr>
        <w:t xml:space="preserve">甲方：</w:t>
      </w:r>
      <w:r>
        <w:rPr>
          <w:rFonts w:hint="default" w:ascii="Times New Roman" w:hAnsi="Times New Roman" w:eastAsia="宋体" w:cs="Times New Roman"/>
          <w:szCs w:val="21"/>
          <w:highlight w:val="none"/>
          <w:u w:val="single"/>
          <w:lang w:val="zh-CN"/>
        </w:rPr>
        <w:t xml:space="preserve">           </w:t>
      </w:r>
      <w:r>
        <w:rPr>
          <w:rFonts w:hint="eastAsia" w:ascii="Times New Roman" w:hAnsi="Times New Roman" w:eastAsia="宋体" w:cs="Times New Roman"/>
          <w:szCs w:val="21"/>
          <w:highlight w:val="none"/>
          <w:u w:val="single"/>
          <w:lang w:val="zh-CN"/>
        </w:rPr>
        <w:t xml:space="preserve">               </w:t>
      </w:r>
      <w:r>
        <w:rPr>
          <w:rFonts w:hint="default" w:ascii="Times New Roman" w:hAnsi="Times New Roman" w:eastAsia="宋体" w:cs="Times New Roman"/>
          <w:szCs w:val="21"/>
          <w:highlight w:val="none"/>
          <w:u w:val="single"/>
          <w:lang w:val="zh-CN"/>
        </w:rPr>
        <w:t xml:space="preserve">     </w:t>
      </w:r>
      <w:r/>
    </w:p>
    <w:p>
      <w:pPr>
        <w:spacing w:line="400" w:lineRule="exact"/>
        <w:rPr>
          <w:rFonts w:hint="eastAsia" w:ascii="Times New Roman" w:hAnsi="Times New Roman" w:eastAsia="宋体" w:cs="Times New Roman"/>
          <w:szCs w:val="21"/>
          <w:highlight w:val="none"/>
          <w:u w:val="single"/>
          <w:lang w:val="zh-CN"/>
        </w:rPr>
      </w:pPr>
      <w:r>
        <w:rPr>
          <w:rFonts w:hint="default" w:ascii="Times New Roman" w:hAnsi="宋体" w:eastAsia="宋体" w:cs="Times New Roman"/>
          <w:szCs w:val="21"/>
          <w:highlight w:val="none"/>
          <w:lang w:val="zh-CN"/>
        </w:rPr>
        <w:t xml:space="preserve">乙方：</w:t>
      </w:r>
      <w:r>
        <w:rPr>
          <w:rFonts w:hint="default" w:ascii="Times New Roman" w:hAnsi="Times New Roman" w:eastAsia="宋体" w:cs="Times New Roman"/>
          <w:szCs w:val="21"/>
          <w:highlight w:val="none"/>
          <w:u w:val="single"/>
          <w:lang w:val="zh-CN"/>
        </w:rPr>
        <w:t xml:space="preserve">                </w:t>
      </w:r>
      <w:r>
        <w:rPr>
          <w:rFonts w:hint="eastAsia" w:ascii="Times New Roman" w:hAnsi="Times New Roman" w:eastAsia="宋体" w:cs="Times New Roman"/>
          <w:szCs w:val="21"/>
          <w:highlight w:val="none"/>
          <w:u w:val="single"/>
          <w:lang w:val="zh-CN"/>
        </w:rPr>
        <w:t xml:space="preserve">               </w:t>
      </w:r>
      <w:r/>
    </w:p>
    <w:p>
      <w:pPr>
        <w:spacing w:line="400" w:lineRule="exact"/>
        <w:rPr>
          <w:rFonts w:hint="default" w:ascii="Times New Roman" w:hAnsi="Times New Roman" w:eastAsia="宋体" w:cs="Times New Roman"/>
          <w:szCs w:val="21"/>
          <w:highlight w:val="none"/>
          <w:u w:val="single"/>
          <w:lang w:val="zh-CN"/>
        </w:rPr>
      </w:pPr>
      <w:r>
        <w:rPr>
          <w:rFonts w:hint="default" w:ascii="Times New Roman" w:hAnsi="Times New Roman" w:eastAsia="宋体" w:cs="Times New Roman"/>
          <w:szCs w:val="21"/>
          <w:highlight w:val="none"/>
          <w:u w:val="single"/>
          <w:lang w:val="zh-CN"/>
        </w:rPr>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根据采购编号</w:t>
      </w:r>
      <w:r>
        <w:rPr>
          <w:rFonts w:hint="eastAsia" w:ascii="宋体" w:hAnsi="宋体" w:eastAsia="宋体" w:cs="Times New Roman"/>
          <w:szCs w:val="21"/>
          <w:highlight w:val="none"/>
          <w:u w:val="single"/>
        </w:rPr>
        <w:t xml:space="preserve">           </w:t>
      </w:r>
      <w:r>
        <w:rPr>
          <w:rFonts w:hint="default" w:ascii="宋体" w:hAnsi="宋体" w:eastAsia="宋体" w:cs="Times New Roman"/>
          <w:szCs w:val="21"/>
          <w:highlight w:val="none"/>
          <w:lang w:val="zh-CN"/>
        </w:rPr>
        <w:t xml:space="preserve">采购文件及乙方中标的投标文件和中标通知书，甲乙双方就此次中标的</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lang w:val="zh-CN"/>
        </w:rPr>
        <w:t xml:space="preserve">事宜，签订本合同书。</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一、合同内容：</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1</w:t>
      </w:r>
      <w:r>
        <w:rPr>
          <w:rFonts w:hint="default" w:ascii="宋体" w:hAnsi="宋体" w:eastAsia="宋体" w:cs="Times New Roman"/>
          <w:szCs w:val="21"/>
          <w:highlight w:val="none"/>
          <w:lang w:val="zh-CN"/>
        </w:rPr>
        <w:t xml:space="preserve">、乙方负责完成甲方的</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lang w:val="zh-CN"/>
        </w:rPr>
        <w:t xml:space="preserve">，详见《标的物清单》。</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2</w:t>
      </w:r>
      <w:r>
        <w:rPr>
          <w:rFonts w:hint="default" w:ascii="宋体" w:hAnsi="宋体" w:eastAsia="宋体" w:cs="Times New Roman"/>
          <w:szCs w:val="21"/>
          <w:highlight w:val="none"/>
          <w:lang w:val="zh-CN"/>
        </w:rPr>
        <w:t xml:space="preserve">、下列文件为本合同不可分割部分：</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2.1采购文件；</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2.2乙方中标的投标书；</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2.3乙方在招投标过程中所作的其他承诺、声明、书面澄清等；</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2.4中标通知书。</w:t>
      </w:r>
      <w:r/>
    </w:p>
    <w:p>
      <w:pPr>
        <w:ind w:firstLine="420"/>
        <w:spacing w:line="400" w:lineRule="exact"/>
        <w:rPr>
          <w:rFonts w:hint="eastAsia" w:ascii="宋体" w:hAnsi="宋体" w:eastAsia="宋体" w:cs="Times New Roman"/>
          <w:szCs w:val="21"/>
          <w:highlight w:val="none"/>
        </w:rPr>
      </w:pPr>
      <w:r>
        <w:rPr>
          <w:rFonts w:hint="default" w:ascii="宋体" w:hAnsi="宋体" w:eastAsia="宋体" w:cs="Times New Roman"/>
          <w:szCs w:val="21"/>
          <w:highlight w:val="none"/>
          <w:lang w:val="zh-CN"/>
        </w:rPr>
        <w:t xml:space="preserve">二、价格与支付：</w:t>
      </w:r>
      <w:r/>
    </w:p>
    <w:p>
      <w:pPr>
        <w:ind w:firstLine="420"/>
        <w:spacing w:line="400" w:lineRule="exact"/>
        <w:rPr>
          <w:rFonts w:hint="eastAsia" w:ascii="宋体" w:hAnsi="宋体" w:eastAsia="宋体" w:cs="Times New Roman"/>
          <w:szCs w:val="21"/>
          <w:highlight w:val="none"/>
        </w:rPr>
      </w:pPr>
      <w:r>
        <w:rPr>
          <w:rFonts w:hint="default" w:ascii="宋体" w:hAnsi="宋体" w:eastAsia="宋体" w:cs="Times New Roman"/>
          <w:highlight w:val="none"/>
          <w:lang w:val="zh-CN"/>
        </w:rPr>
        <w:t xml:space="preserve">1</w:t>
      </w:r>
      <w:r>
        <w:rPr>
          <w:rFonts w:hint="eastAsia" w:ascii="宋体" w:hAnsi="宋体" w:eastAsia="宋体" w:cs="Times New Roman"/>
          <w:highlight w:val="none"/>
          <w:lang w:val="zh-CN"/>
        </w:rPr>
        <w:t xml:space="preserve">、合同价格按此次中标价格执行，合同总金额为人民币</w:t>
      </w:r>
      <w:r>
        <w:rPr>
          <w:rFonts w:hint="eastAsia" w:ascii="宋体" w:hAnsi="宋体" w:eastAsia="宋体" w:cs="Times New Roman"/>
          <w:highlight w:val="none"/>
          <w:u w:val="single"/>
          <w:lang w:val="zh-CN"/>
        </w:rPr>
        <w:t xml:space="preserve">         </w:t>
      </w:r>
      <w:r>
        <w:rPr>
          <w:rFonts w:hint="eastAsia" w:ascii="宋体" w:hAnsi="宋体" w:eastAsia="宋体" w:cs="Times New Roman"/>
          <w:highlight w:val="none"/>
          <w:lang w:val="zh-CN"/>
        </w:rPr>
        <w:t xml:space="preserve">元，投标总价一次报定，</w:t>
      </w:r>
      <w:r>
        <w:rPr>
          <w:rFonts w:hint="default" w:ascii="宋体" w:hAnsi="宋体" w:eastAsia="宋体" w:cs="Times New Roman"/>
          <w:szCs w:val="21"/>
          <w:highlight w:val="none"/>
        </w:rPr>
        <w:t xml:space="preserve">总报价包括</w:t>
      </w:r>
      <w:r>
        <w:rPr>
          <w:rFonts w:hint="eastAsia" w:ascii="宋体" w:hAnsi="宋体" w:eastAsia="宋体" w:cs="Times New Roman"/>
          <w:szCs w:val="21"/>
          <w:highlight w:val="none"/>
        </w:rPr>
        <w:t xml:space="preserve">全部</w:t>
      </w:r>
      <w:r>
        <w:rPr>
          <w:rFonts w:hint="eastAsia" w:ascii="宋体" w:hAnsi="宋体" w:eastAsia="宋体" w:cs="Times New Roman"/>
          <w:bCs/>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p>
    <w:p>
      <w:pPr>
        <w:ind w:firstLine="420"/>
        <w:spacing w:line="390" w:lineRule="exact"/>
        <w:rPr>
          <w:rFonts w:hint="eastAsia" w:ascii="宋体" w:hAnsi="宋体" w:eastAsia="宋体" w:cs="Times New Roman"/>
          <w:highlight w:val="none"/>
        </w:rPr>
      </w:pPr>
      <w:r>
        <w:rPr>
          <w:rFonts w:hint="eastAsia" w:ascii="宋体" w:hAnsi="宋体" w:eastAsia="宋体" w:cs="Times New Roman"/>
          <w:highlight w:val="none"/>
          <w:lang w:val="zh-CN"/>
        </w:rPr>
        <w:t xml:space="preserve">2</w:t>
      </w:r>
      <w:r>
        <w:rPr>
          <w:rFonts w:hint="default" w:ascii="宋体" w:hAnsi="宋体" w:eastAsia="宋体" w:cs="Times New Roman"/>
          <w:highlight w:val="none"/>
          <w:lang w:val="zh-CN"/>
        </w:rPr>
        <w:t xml:space="preserve">、付款方式：</w:t>
      </w:r>
      <w:r>
        <w:rPr>
          <w:rFonts w:hint="eastAsia" w:ascii="宋体" w:hAnsi="宋体" w:eastAsia="宋体" w:cs="Times New Roman"/>
          <w:highlight w:val="none"/>
          <w:u w:val="single"/>
        </w:rPr>
        <w:t xml:space="preserve"> </w:t>
      </w:r>
      <w:r>
        <w:rPr>
          <w:rFonts w:hint="eastAsia" w:ascii="宋体" w:hAnsi="宋体" w:eastAsia="宋体" w:cs="Times New Roman"/>
          <w:highlight w:val="none"/>
          <w:u w:val="single"/>
          <w:lang w:val="zh-CN"/>
        </w:rPr>
        <w:t xml:space="preserve">         </w:t>
      </w:r>
      <w:r>
        <w:rPr>
          <w:rFonts w:hint="eastAsia" w:ascii="宋体" w:hAnsi="宋体" w:eastAsia="宋体" w:cs="Times New Roman"/>
          <w:highlight w:val="none"/>
          <w:u w:val="single"/>
        </w:rPr>
        <w:t xml:space="preserve">             </w:t>
      </w:r>
      <w:r/>
    </w:p>
    <w:p>
      <w:pPr>
        <w:ind w:firstLine="420"/>
        <w:spacing w:line="390" w:lineRule="exact"/>
        <w:rPr>
          <w:rFonts w:hint="default" w:ascii="宋体" w:hAnsi="宋体" w:eastAsia="宋体" w:cs="Times New Roman"/>
          <w:szCs w:val="21"/>
          <w:highlight w:val="none"/>
        </w:rPr>
      </w:pPr>
      <w:r>
        <w:rPr>
          <w:rFonts w:hint="eastAsia" w:ascii="宋体" w:hAnsi="宋体" w:eastAsia="宋体" w:cs="Times New Roman"/>
          <w:szCs w:val="21"/>
          <w:highlight w:val="none"/>
          <w:lang w:val="zh-CN"/>
        </w:rPr>
        <w:t xml:space="preserve">3</w:t>
      </w:r>
      <w:r>
        <w:rPr>
          <w:rFonts w:hint="default" w:ascii="宋体" w:hAnsi="宋体" w:eastAsia="宋体" w:cs="Times New Roman"/>
          <w:szCs w:val="21"/>
          <w:highlight w:val="none"/>
          <w:lang w:val="zh-CN"/>
        </w:rPr>
        <w:t xml:space="preserve">、付款方式：银行汇票或转帐。</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三、质量与验收：</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1、乙方应按照标书的有关规定提供合格设备；</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2、质保期内设备质量出现问题，乙方负责包修、包退、包换，费用由乙方承担；</w:t>
      </w:r>
      <w:r/>
    </w:p>
    <w:p>
      <w:pPr>
        <w:ind w:firstLine="420"/>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lang w:val="zh-CN"/>
        </w:rPr>
        <w:t xml:space="preserve">3、设备的验收包括：数量、外观、质量、性能、质保单、包装和乙方承诺的其它指标；</w:t>
      </w:r>
      <w:r/>
    </w:p>
    <w:p>
      <w:pPr>
        <w:ind w:firstLine="420"/>
        <w:spacing w:line="40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4、验收标准：根据标书要求及有关规定并按国家最新行业标准进行验收通过；</w:t>
      </w:r>
      <w:r/>
    </w:p>
    <w:p>
      <w:pPr>
        <w:ind w:firstLine="420"/>
        <w:spacing w:line="40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5、乙方交付验收时应先用书面方式通告甲方；</w:t>
      </w:r>
      <w:r/>
    </w:p>
    <w:p>
      <w:pPr>
        <w:ind w:firstLine="420"/>
        <w:spacing w:line="400" w:lineRule="exact"/>
        <w:rPr>
          <w:rFonts w:hint="default" w:ascii="宋体" w:hAnsi="宋体" w:eastAsia="宋体" w:cs="Times New Roman"/>
          <w:szCs w:val="21"/>
          <w:highlight w:val="none"/>
          <w:lang w:val="zh-CN"/>
        </w:rPr>
      </w:pPr>
      <w:r>
        <w:rPr>
          <w:rFonts w:hint="default" w:ascii="宋体" w:hAnsi="宋体" w:eastAsia="宋体" w:cs="Times New Roman"/>
          <w:szCs w:val="21"/>
          <w:highlight w:val="none"/>
          <w:lang w:val="zh-CN"/>
        </w:rPr>
        <w:t xml:space="preserve">四、售后服务：</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1、质保期为</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rPr>
        <w:t xml:space="preserve">年；</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2、按照采购文件和乙方在投标书中承诺的服务执行。</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五、交货和安装：</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1、交货时间：</w:t>
      </w:r>
      <w:r>
        <w:rPr>
          <w:rFonts w:hint="default" w:ascii="宋体" w:hAnsi="宋体" w:eastAsia="宋体" w:cs="Times New Roman"/>
          <w:szCs w:val="21"/>
          <w:highlight w:val="none"/>
          <w:u w:val="single"/>
        </w:rPr>
        <w:t xml:space="preserve"> </w:t>
      </w:r>
      <w:r>
        <w:rPr>
          <w:rFonts w:hint="eastAsia" w:ascii="宋体" w:hAnsi="宋体" w:eastAsia="宋体" w:cs="Times New Roman"/>
          <w:szCs w:val="21"/>
          <w:highlight w:val="none"/>
          <w:u w:val="single"/>
        </w:rPr>
        <w:t xml:space="preserve">  </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rPr>
        <w:t xml:space="preserve">年</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rPr>
        <w:t xml:space="preserve">月</w:t>
      </w:r>
      <w:r>
        <w:rPr>
          <w:rFonts w:hint="default" w:ascii="宋体" w:hAnsi="宋体" w:eastAsia="宋体" w:cs="Times New Roman"/>
          <w:szCs w:val="21"/>
          <w:highlight w:val="none"/>
          <w:u w:val="single"/>
        </w:rPr>
        <w:t xml:space="preserve">      </w:t>
      </w:r>
      <w:r>
        <w:rPr>
          <w:rFonts w:hint="default" w:ascii="宋体" w:hAnsi="宋体" w:eastAsia="宋体" w:cs="Times New Roman"/>
          <w:szCs w:val="21"/>
          <w:highlight w:val="none"/>
        </w:rPr>
        <w:t xml:space="preserve">日，发货前应书面通知甲方；</w:t>
      </w:r>
      <w:r/>
    </w:p>
    <w:p>
      <w:pPr>
        <w:ind w:firstLine="425"/>
        <w:spacing w:line="400" w:lineRule="exact"/>
        <w:rPr>
          <w:rFonts w:hint="eastAsia" w:ascii="宋体" w:hAnsi="宋体" w:eastAsia="宋体" w:cs="Times New Roman"/>
          <w:szCs w:val="21"/>
          <w:highlight w:val="none"/>
        </w:rPr>
      </w:pPr>
      <w:r>
        <w:rPr>
          <w:rFonts w:hint="default" w:ascii="宋体" w:hAnsi="宋体" w:eastAsia="宋体" w:cs="Times New Roman"/>
          <w:szCs w:val="21"/>
          <w:highlight w:val="none"/>
        </w:rPr>
        <w:t xml:space="preserve">2、交货地点：</w:t>
      </w:r>
      <w:r>
        <w:rPr>
          <w:rFonts w:hint="eastAsia" w:ascii="宋体" w:hAnsi="宋体" w:eastAsia="宋体" w:cs="Times New Roman"/>
          <w:szCs w:val="21"/>
          <w:highlight w:val="none"/>
        </w:rPr>
        <w:t xml:space="preserve">甲方指定地点并通过甲方验收</w:t>
      </w:r>
      <w:r>
        <w:rPr>
          <w:rFonts w:hint="default" w:ascii="宋体" w:hAnsi="宋体" w:eastAsia="宋体" w:cs="Times New Roman"/>
          <w:szCs w:val="21"/>
          <w:highlight w:val="none"/>
        </w:rPr>
        <w:t xml:space="preserve">。</w:t>
      </w:r>
      <w:r/>
    </w:p>
    <w:p>
      <w:pPr>
        <w:ind w:firstLine="425"/>
        <w:spacing w:line="400" w:lineRule="exact"/>
        <w:rPr>
          <w:rFonts w:hint="default" w:ascii="宋体" w:hAnsi="宋体" w:eastAsia="宋体" w:cs="Times New Roman"/>
          <w:szCs w:val="21"/>
          <w:highlight w:val="none"/>
        </w:rPr>
      </w:pPr>
      <w:r>
        <w:rPr>
          <w:rFonts w:hint="eastAsia" w:ascii="宋体" w:hAnsi="宋体" w:eastAsia="宋体" w:cs="Times New Roman"/>
          <w:szCs w:val="21"/>
          <w:highlight w:val="none"/>
        </w:rPr>
        <w:t xml:space="preserve">3、附货物一并交付甲方的资料。</w:t>
      </w:r>
      <w:r/>
    </w:p>
    <w:p>
      <w:pPr>
        <w:ind w:firstLine="425"/>
        <w:spacing w:line="400" w:lineRule="exact"/>
        <w:rPr>
          <w:rFonts w:hint="default" w:ascii="宋体" w:hAnsi="宋体" w:eastAsia="宋体" w:cs="Times New Roman"/>
          <w:szCs w:val="21"/>
          <w:highlight w:val="none"/>
        </w:rPr>
        <w:outlineLvl w:val="0"/>
      </w:pPr>
      <w:r>
        <w:rPr>
          <w:rFonts w:hint="default" w:ascii="宋体" w:hAnsi="宋体" w:eastAsia="宋体" w:cs="Times New Roman"/>
          <w:szCs w:val="21"/>
          <w:highlight w:val="none"/>
        </w:rPr>
        <w:t xml:space="preserve">六、违约责任：</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按采购文件的规定执行。</w:t>
      </w:r>
      <w:r/>
    </w:p>
    <w:p>
      <w:pPr>
        <w:ind w:firstLine="425"/>
        <w:spacing w:line="400" w:lineRule="exact"/>
        <w:rPr>
          <w:rFonts w:hint="default" w:ascii="宋体" w:hAnsi="宋体" w:eastAsia="宋体" w:cs="Times New Roman"/>
          <w:szCs w:val="21"/>
          <w:highlight w:val="none"/>
        </w:rPr>
        <w:outlineLvl w:val="0"/>
      </w:pPr>
      <w:r>
        <w:rPr>
          <w:rFonts w:hint="default" w:ascii="宋体" w:hAnsi="宋体" w:eastAsia="宋体" w:cs="Times New Roman"/>
          <w:szCs w:val="21"/>
          <w:highlight w:val="none"/>
        </w:rPr>
        <w:t xml:space="preserve">七、合同生效及其它：</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1、本合同在双方签字盖章后即生效。</w:t>
      </w:r>
      <w:r/>
    </w:p>
    <w:p>
      <w:pPr>
        <w:ind w:firstLine="425"/>
        <w:spacing w:line="400" w:lineRule="exact"/>
        <w:rPr>
          <w:rFonts w:hint="default" w:ascii="宋体" w:hAnsi="宋体" w:eastAsia="宋体" w:cs="Times New Roman"/>
          <w:szCs w:val="21"/>
          <w:highlight w:val="none"/>
        </w:rPr>
      </w:pPr>
      <w:r>
        <w:rPr>
          <w:rFonts w:hint="default" w:ascii="宋体" w:hAnsi="宋体" w:eastAsia="宋体" w:cs="Times New Roman"/>
          <w:szCs w:val="21"/>
          <w:highlight w:val="none"/>
        </w:rPr>
        <w:t xml:space="preserve">2、合同在执行过程中出现的未尽事宜，双方在不违背本合同和采购文件的原则下协商解决，协商结果以书面形式盖章记录在案，作为本合同的附件，与本合同具有同等效力，但需向政府采购</w:t>
      </w:r>
      <w:r>
        <w:rPr>
          <w:rFonts w:hint="eastAsia" w:ascii="宋体" w:hAnsi="宋体" w:eastAsia="宋体" w:cs="Times New Roman"/>
          <w:szCs w:val="21"/>
          <w:highlight w:val="none"/>
        </w:rPr>
        <w:t xml:space="preserve">管理部门</w:t>
      </w:r>
      <w:r>
        <w:rPr>
          <w:rFonts w:hint="default" w:ascii="宋体" w:hAnsi="宋体" w:eastAsia="宋体" w:cs="Times New Roman"/>
          <w:szCs w:val="21"/>
          <w:highlight w:val="none"/>
        </w:rPr>
        <w:t xml:space="preserve">和采购代理机构备存。</w:t>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jc w:val="center"/>
        <w:spacing w:line="440" w:lineRule="exact"/>
        <w:rPr>
          <w:rFonts w:hint="eastAsia" w:ascii="Times New Roman" w:hAnsi="Times New Roman" w:eastAsia="宋体" w:cs="Times New Roman"/>
          <w:szCs w:val="21"/>
          <w:highlight w:val="none"/>
        </w:rPr>
        <w:outlineLvl w:val="0"/>
      </w:pPr>
      <w:r>
        <w:rPr>
          <w:rFonts w:hint="eastAsia" w:ascii="Times New Roman" w:hAnsi="Times New Roman" w:eastAsia="宋体" w:cs="Times New Roman"/>
          <w:szCs w:val="21"/>
          <w:highlight w:val="none"/>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ind w:firstLine="420"/>
        <w:jc w:val="both"/>
        <w:widowControl w:val="off"/>
        <w:rPr>
          <w:rFonts w:hint="eastAsia" w:ascii="Times New Roman" w:hAnsi="Times New Roman" w:eastAsia="宋体" w:cs="Times New Roman"/>
          <w:b/>
          <w:sz w:val="24"/>
          <w:szCs w:val="21"/>
          <w:highlight w:val="none"/>
          <w:lang w:val="en-US" w:eastAsia="zh-CN" w:bidi="ar-SA"/>
        </w:rPr>
      </w:pPr>
      <w:r>
        <w:rPr>
          <w:rFonts w:hint="eastAsia" w:ascii="Times New Roman" w:hAnsi="Times New Roman" w:eastAsia="宋体" w:cs="Times New Roman"/>
          <w:b/>
          <w:sz w:val="24"/>
          <w:szCs w:val="21"/>
          <w:highlight w:val="none"/>
          <w:lang w:val="en-US" w:eastAsia="zh-CN" w:bidi="ar-SA"/>
        </w:rPr>
      </w:r>
      <w:r/>
    </w:p>
    <w:p>
      <w:pPr>
        <w:jc w:val="left"/>
        <w:spacing w:after="160"/>
        <w:widowControl/>
        <w:rPr>
          <w:rFonts w:hint="eastAsia" w:ascii="宋体" w:hAnsi="宋体" w:cs="Arial"/>
          <w:color w:val="000000"/>
          <w:szCs w:val="21"/>
          <w:highlight w:val="none"/>
        </w:rPr>
      </w:pPr>
      <w:r>
        <w:rPr>
          <w:rFonts w:hint="eastAsia" w:ascii="宋体" w:hAnsi="宋体" w:cs="Arial"/>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03"/>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03"/>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03"/>
        <w:rPr>
          <w:rFonts w:hint="eastAsia" w:ascii="宋体" w:hAnsi="宋体" w:cs="宋体"/>
          <w:color w:val="000000"/>
          <w:szCs w:val="21"/>
          <w:highlight w:val="none"/>
        </w:rPr>
      </w:pPr>
      <w:r>
        <w:rPr>
          <w:rFonts w:hint="eastAsia" w:ascii="宋体" w:hAnsi="宋体" w:cs="宋体"/>
          <w:color w:val="000000"/>
          <w:szCs w:val="21"/>
          <w:highlight w:val="none"/>
        </w:rPr>
      </w:r>
      <w:r/>
    </w:p>
    <w:p>
      <w:pPr>
        <w:rPr>
          <w:highlight w:val="none"/>
        </w:rPr>
      </w:pPr>
      <w:r>
        <w:rPr>
          <w:highlight w:val="none"/>
        </w:rPr>
      </w:r>
      <w:r/>
    </w:p>
    <w:p>
      <w:pP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pStyle w:val="903"/>
        <w:rPr>
          <w:rFonts w:hint="eastAsia" w:ascii="黑体" w:hAnsi="宋体" w:eastAsia="黑体"/>
          <w:b/>
          <w:bCs/>
          <w:sz w:val="32"/>
          <w:szCs w:val="32"/>
          <w:highlight w:val="none"/>
        </w:rPr>
      </w:pPr>
      <w:r>
        <w:rPr>
          <w:rFonts w:hint="eastAsia" w:ascii="黑体" w:hAnsi="宋体" w:eastAsia="黑体"/>
          <w:b/>
          <w:bCs/>
          <w:sz w:val="32"/>
          <w:szCs w:val="32"/>
          <w:highlight w:val="none"/>
        </w:rPr>
      </w:r>
      <w:r/>
    </w:p>
    <w:p>
      <w:pPr>
        <w:rPr>
          <w:rFonts w:hint="eastAsia" w:ascii="黑体" w:hAnsi="宋体" w:eastAsia="黑体"/>
          <w:b/>
          <w:bCs/>
          <w:sz w:val="32"/>
          <w:szCs w:val="32"/>
          <w:highlight w:val="none"/>
        </w:rPr>
      </w:pPr>
      <w:r>
        <w:rPr>
          <w:rFonts w:hint="eastAsia" w:ascii="黑体" w:hAnsi="宋体" w:eastAsia="黑体"/>
          <w:b/>
          <w:bCs/>
          <w:sz w:val="32"/>
          <w:szCs w:val="32"/>
          <w:highlight w:val="none"/>
        </w:rPr>
      </w:r>
      <w:r/>
    </w:p>
    <w:p>
      <w:pPr>
        <w:pStyle w:val="903"/>
        <w:rPr>
          <w:rFonts w:hint="eastAsia" w:ascii="黑体" w:hAnsi="宋体" w:eastAsia="黑体"/>
          <w:b/>
          <w:bCs/>
          <w:sz w:val="32"/>
          <w:szCs w:val="32"/>
          <w:highlight w:val="none"/>
        </w:rPr>
      </w:pPr>
      <w:r>
        <w:rPr>
          <w:rFonts w:hint="eastAsia" w:ascii="黑体" w:hAnsi="宋体" w:eastAsia="黑体"/>
          <w:b/>
          <w:bCs/>
          <w:sz w:val="32"/>
          <w:szCs w:val="32"/>
          <w:highlight w:val="none"/>
        </w:rPr>
      </w:r>
      <w:r/>
    </w:p>
    <w:p>
      <w:pPr>
        <w:rPr>
          <w:rFonts w:hint="eastAsia"/>
          <w:highlight w:val="none"/>
        </w:rPr>
      </w:pPr>
      <w:r>
        <w:rPr>
          <w:rFonts w:hint="eastAsia"/>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r>
      <w:r/>
    </w:p>
    <w:p>
      <w:pPr>
        <w:jc w:val="center"/>
        <w:spacing w:line="420" w:lineRule="exact"/>
        <w:rPr>
          <w:rFonts w:hint="eastAsia" w:ascii="黑体" w:hAnsi="宋体" w:eastAsia="黑体"/>
          <w:b/>
          <w:bCs/>
          <w:sz w:val="32"/>
          <w:szCs w:val="32"/>
          <w:highlight w:val="none"/>
        </w:rPr>
        <w:outlineLvl w:val="0"/>
      </w:pPr>
      <w:r>
        <w:rPr>
          <w:rFonts w:hint="eastAsia" w:ascii="黑体" w:hAnsi="宋体" w:eastAsia="黑体"/>
          <w:b/>
          <w:bCs/>
          <w:sz w:val="32"/>
          <w:szCs w:val="32"/>
          <w:highlight w:val="none"/>
        </w:rPr>
        <w:t xml:space="preserve">第六章  投标文件格式及附件</w:t>
      </w:r>
      <w:bookmarkEnd w:id="117"/>
      <w:r/>
      <w:bookmarkEnd w:id="118"/>
      <w:r/>
      <w:bookmarkEnd w:id="119"/>
      <w:r/>
      <w:r/>
    </w:p>
    <w:p>
      <w:pPr>
        <w:spacing w:line="440" w:lineRule="exact"/>
        <w:rPr>
          <w:rFonts w:ascii="Arial" w:hAnsi="Arial" w:cs="Arial"/>
          <w:b/>
          <w:bCs/>
          <w:sz w:val="24"/>
          <w:highlight w:val="none"/>
        </w:rPr>
      </w:pPr>
      <w:r>
        <w:rPr>
          <w:rFonts w:hint="eastAsia" w:ascii="Arial" w:hAnsi="Arial" w:cs="Arial"/>
          <w:b/>
          <w:bCs/>
          <w:sz w:val="24"/>
          <w:highlight w:val="none"/>
        </w:rPr>
        <w:t xml:space="preserve">注：</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000000"/>
          <w:szCs w:val="21"/>
          <w:highlight w:val="none"/>
        </w:rPr>
        <w:t xml:space="preserve"> </w:t>
      </w:r>
      <w:r/>
    </w:p>
    <w:p>
      <w:pPr>
        <w:pStyle w:val="921"/>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1"/>
        <w:jc w:val="center"/>
        <w:spacing w:beforeAutospacing="0" w:afterAutospacing="0"/>
        <w:widowControl/>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投标文件</w:t>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72"/>
          <w:szCs w:val="72"/>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jc w:val="center"/>
        <w:spacing w:beforeAutospacing="0" w:afterAutospacing="0"/>
        <w:widowControl/>
        <w:rPr>
          <w:highlight w:val="none"/>
        </w:rPr>
      </w:pPr>
      <w:r>
        <w:rPr>
          <w:rFonts w:ascii="宋体" w:hAnsi="宋体" w:cs="宋体"/>
          <w:b/>
          <w:bCs/>
          <w:color w:val="000000"/>
          <w:sz w:val="36"/>
          <w:szCs w:val="36"/>
          <w:highlight w:val="none"/>
        </w:rPr>
        <w:t xml:space="preserve"> </w:t>
      </w:r>
      <w:r/>
    </w:p>
    <w:p>
      <w:pPr>
        <w:pStyle w:val="921"/>
        <w:ind w:firstLine="1081"/>
        <w:jc w:val="both"/>
        <w:spacing w:beforeAutospacing="0" w:afterAutospacing="0"/>
        <w:widowControl/>
        <w:rPr>
          <w:highlight w:val="none"/>
        </w:rP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p>
    <w:p>
      <w:pPr>
        <w:pStyle w:val="921"/>
        <w:ind w:firstLine="1081"/>
        <w:jc w:val="both"/>
        <w:spacing w:beforeAutospacing="0" w:afterAutospacing="0"/>
        <w:widowControl/>
        <w:rPr>
          <w:highlight w:val="none"/>
        </w:rP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p>
    <w:p>
      <w:pPr>
        <w:pStyle w:val="921"/>
        <w:jc w:val="both"/>
        <w:spacing w:beforeAutospacing="0" w:afterAutospacing="0"/>
        <w:widowControl/>
        <w:rPr>
          <w:highlight w:val="none"/>
        </w:rP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p>
    <w:p>
      <w:pPr>
        <w:pStyle w:val="921"/>
        <w:jc w:val="both"/>
        <w:spacing w:beforeAutospacing="0" w:afterAutospacing="0"/>
        <w:widowControl/>
        <w:rPr>
          <w:highlight w:val="none"/>
        </w:rP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p>
    <w:p>
      <w:pPr>
        <w:jc w:val="cente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rPr>
          <w:rFonts w:hint="eastAsia" w:ascii="宋体" w:hAnsi="宋体" w:cs="宋体"/>
          <w:b/>
          <w:sz w:val="36"/>
          <w:szCs w:val="36"/>
          <w:highlight w:val="none"/>
        </w:rPr>
      </w:pPr>
      <w:r>
        <w:rPr>
          <w:rFonts w:hint="eastAsia" w:ascii="宋体" w:hAnsi="宋体" w:cs="宋体"/>
          <w:b/>
          <w:sz w:val="36"/>
          <w:szCs w:val="36"/>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（一）</w:t>
      </w:r>
      <w:r>
        <w:rPr>
          <w:rFonts w:hint="eastAsia" w:ascii="宋体" w:hAnsi="宋体" w:cs="宋体"/>
          <w:b/>
          <w:sz w:val="24"/>
          <w:szCs w:val="24"/>
          <w:highlight w:val="none"/>
        </w:rPr>
        <w:t xml:space="preserve">投标函(格式)：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投  标  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致苏美达国际技术贸易有限公司：</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我方收到贵方编号</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szCs w:val="21"/>
          <w:highlight w:val="none"/>
        </w:rPr>
      </w:pPr>
      <w:r>
        <w:rPr>
          <w:rFonts w:hint="eastAsia" w:ascii="宋体" w:hAnsi="宋体" w:cs="宋体"/>
          <w:bCs/>
          <w:szCs w:val="21"/>
          <w:highlight w:val="none"/>
        </w:rPr>
        <w:t xml:space="preserve">七、我方认可并遵守招标文件的所有规定。</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szCs w:val="21"/>
          <w:highlight w:val="none"/>
        </w:rPr>
      </w:pPr>
      <w:r>
        <w:rPr>
          <w:rFonts w:hint="eastAsia" w:ascii="宋体" w:hAnsi="宋体" w:cs="宋体"/>
          <w:bCs/>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投标人(盖章)：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法定代表人或法定代表人授权代表签字或盖章：</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电话：                              传真：</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通讯地址：                          邮编：</w:t>
      </w:r>
      <w:r/>
    </w:p>
    <w:p>
      <w:pPr>
        <w:spacing w:line="360" w:lineRule="auto"/>
        <w:rPr>
          <w:rFonts w:eastAsia="黑体"/>
          <w:bCs/>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t xml:space="preserve"> </w:t>
      </w:r>
      <w:r>
        <w:rPr>
          <w:rFonts w:hint="eastAsia" w:ascii="宋体" w:hAnsi="宋体" w:cs="宋体"/>
          <w:b/>
          <w:sz w:val="24"/>
          <w:szCs w:val="24"/>
          <w:highlight w:val="none"/>
        </w:rPr>
        <w:t xml:space="preserve">（二）</w:t>
      </w:r>
      <w:r>
        <w:rPr>
          <w:rFonts w:hint="eastAsia" w:ascii="宋体" w:hAnsi="宋体" w:cs="宋体"/>
          <w:b/>
          <w:sz w:val="24"/>
          <w:szCs w:val="24"/>
          <w:highlight w:val="none"/>
        </w:rPr>
        <w:t xml:space="preserve">关于资格的声明函(格式)：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招标编号：</w:t>
      </w:r>
      <w:r/>
    </w:p>
    <w:p>
      <w:pPr>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szCs w:val="21"/>
          <w:highlight w:val="none"/>
        </w:rPr>
        <w:t xml:space="preserve">苏美达国际技术贸易有限公司</w:t>
      </w:r>
      <w:r>
        <w:rPr>
          <w:rFonts w:hint="eastAsia" w:ascii="宋体" w:hAnsi="宋体" w:cs="宋体"/>
          <w:bCs/>
          <w:color w:val="000000"/>
          <w:szCs w:val="21"/>
          <w:highlight w:val="none"/>
        </w:rPr>
        <w:t xml:space="preserve">：</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w:t>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sz w:val="24"/>
          <w:highlight w:val="none"/>
        </w:rPr>
        <w:outlineLvl w:val="0"/>
      </w:pPr>
      <w:r>
        <w:rPr>
          <w:rFonts w:eastAsia="黑体"/>
          <w:bCs/>
          <w:sz w:val="24"/>
          <w:highlight w:val="none"/>
        </w:rPr>
      </w:r>
      <w:r/>
    </w:p>
    <w:p>
      <w:pPr>
        <w:rPr>
          <w:highlight w:val="none"/>
        </w:rPr>
      </w:pPr>
      <w:r>
        <w:rPr>
          <w:highlight w:val="none"/>
        </w:rPr>
      </w:r>
      <w:r/>
    </w:p>
    <w:p>
      <w:p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（三）</w:t>
      </w:r>
      <w:r>
        <w:rPr>
          <w:rFonts w:hint="eastAsia" w:ascii="宋体" w:hAnsi="宋体" w:cs="宋体"/>
          <w:b/>
          <w:sz w:val="24"/>
          <w:szCs w:val="24"/>
          <w:highlight w:val="none"/>
        </w:rPr>
        <w:t xml:space="preserve">法定代表人授权委托书(格式)：</w:t>
      </w:r>
      <w:r/>
    </w:p>
    <w:p>
      <w:pP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法定代表人授权委托书</w:t>
      </w:r>
      <w:r/>
    </w:p>
    <w:p>
      <w:pPr>
        <w:jc w:val="center"/>
        <w:spacing w:line="360" w:lineRule="auto"/>
        <w:rPr>
          <w:rFonts w:eastAsia="黑体"/>
          <w:bCs/>
          <w:sz w:val="28"/>
          <w:szCs w:val="28"/>
          <w:highlight w:val="none"/>
        </w:rPr>
        <w:outlineLvl w:val="0"/>
      </w:pPr>
      <w:r>
        <w:rPr>
          <w:rFonts w:eastAsia="黑体"/>
          <w:bCs/>
          <w:sz w:val="28"/>
          <w:szCs w:val="28"/>
          <w:highlight w:val="none"/>
        </w:rPr>
      </w:r>
      <w:r/>
    </w:p>
    <w:p>
      <w:pPr>
        <w:spacing w:line="360" w:lineRule="auto"/>
        <w:rPr>
          <w:rFonts w:hint="eastAsia" w:ascii="宋体" w:hAnsi="宋体" w:cs="宋体"/>
          <w:bCs/>
          <w:szCs w:val="21"/>
          <w:highlight w:val="none"/>
        </w:rPr>
      </w:pPr>
      <w:r>
        <w:rPr>
          <w:rFonts w:eastAsia="楷体_GB2312"/>
          <w:bCs/>
          <w:sz w:val="30"/>
          <w:highlight w:val="none"/>
        </w:rPr>
        <w:t xml:space="preserve">  </w:t>
      </w:r>
      <w:r>
        <w:rPr>
          <w:rFonts w:eastAsia="楷体_GB2312"/>
          <w:bCs/>
          <w:sz w:val="24"/>
          <w:szCs w:val="24"/>
          <w:highlight w:val="none"/>
        </w:rPr>
        <w:t xml:space="preserve">  </w:t>
      </w:r>
      <w:r>
        <w:rPr>
          <w:rFonts w:hint="eastAsia" w:ascii="宋体" w:hAnsi="宋体" w:cs="宋体"/>
          <w:bCs/>
          <w:sz w:val="24"/>
          <w:szCs w:val="24"/>
          <w:highlight w:val="none"/>
        </w:rPr>
        <w:t xml:space="preserve">                    </w:t>
      </w:r>
      <w:r>
        <w:rPr>
          <w:rFonts w:hint="eastAsia" w:ascii="宋体" w:hAnsi="宋体" w:cs="宋体"/>
          <w:bCs/>
          <w:szCs w:val="21"/>
          <w:highlight w:val="none"/>
        </w:rPr>
        <w:t xml:space="preserve">           招标编号：</w:t>
      </w:r>
      <w:r/>
    </w:p>
    <w:p>
      <w:pPr>
        <w:ind w:firstLine="4620"/>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苏美达国际技术贸易有限公司：</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系中华人民共和国合法企业，特授权</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代表我公司(单位)全权办理针对本项目</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我公司(单位)对被授权人的签名负全部责任。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被授权人情况：</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姓名：         性别：             电话：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                              投标人(盖章)：</w:t>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570"/>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法定代表人(签字或盖章)：</w:t>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ind w:firstLine="4080"/>
        <w:spacing w:line="360" w:lineRule="auto"/>
        <w:rPr>
          <w:bCs/>
          <w:sz w:val="24"/>
          <w:szCs w:val="24"/>
          <w:highlight w:val="none"/>
        </w:rPr>
      </w:pPr>
      <w:r>
        <w:rPr>
          <w:bCs/>
          <w:sz w:val="24"/>
          <w:szCs w:val="24"/>
          <w:highlight w:val="none"/>
        </w:rPr>
      </w:r>
      <w:r/>
    </w:p>
    <w:p>
      <w:pPr>
        <w:spacing w:line="360" w:lineRule="auto"/>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pStyle w:val="903"/>
        <w:rPr>
          <w:rFonts w:eastAsia="黑体"/>
          <w:sz w:val="24"/>
          <w:szCs w:val="24"/>
          <w:highlight w:val="none"/>
        </w:rPr>
      </w:pPr>
      <w:r>
        <w:rPr>
          <w:rFonts w:eastAsia="黑体"/>
          <w:sz w:val="24"/>
          <w:szCs w:val="24"/>
          <w:highlight w:val="none"/>
        </w:rPr>
      </w:r>
      <w:r/>
    </w:p>
    <w:p>
      <w:pPr>
        <w:rPr>
          <w:highlight w:val="none"/>
        </w:rPr>
      </w:pPr>
      <w:r>
        <w:rPr>
          <w:highlight w:val="none"/>
        </w:rPr>
      </w:r>
      <w:r/>
    </w:p>
    <w:p>
      <w:pPr>
        <w:rPr>
          <w:rFonts w:eastAsia="黑体"/>
          <w:bCs/>
          <w:sz w:val="24"/>
          <w:szCs w:val="24"/>
          <w:highlight w:val="none"/>
        </w:rPr>
      </w:pPr>
      <w:r>
        <w:rPr>
          <w:rFonts w:eastAsia="黑体"/>
          <w:bCs/>
          <w:sz w:val="24"/>
          <w:szCs w:val="24"/>
          <w:highlight w:val="none"/>
        </w:rPr>
      </w:r>
      <w:r/>
    </w:p>
    <w:p>
      <w:pPr>
        <w:rPr>
          <w:bCs/>
          <w:sz w:val="24"/>
          <w:szCs w:val="24"/>
          <w:highlight w:val="none"/>
        </w:rPr>
      </w:pPr>
      <w:r>
        <w:rPr>
          <w:bCs/>
          <w:sz w:val="24"/>
          <w:szCs w:val="24"/>
          <w:highlight w:val="none"/>
        </w:rPr>
        <w:t xml:space="preserve">投标人法定代表人身份证</w:t>
      </w:r>
      <w:r>
        <w:rPr>
          <w:rFonts w:hint="eastAsia"/>
          <w:bCs/>
          <w:sz w:val="24"/>
          <w:szCs w:val="24"/>
          <w:highlight w:val="none"/>
        </w:rPr>
        <w:t xml:space="preserve">：</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5"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highlight w:val="none"/>
        </w:rPr>
        <w:t xml:space="preserve"> </w:t>
      </w:r>
      <w:r>
        <w:rPr>
          <w:bCs/>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6"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highlight w:val="none"/>
        </w:rPr>
        <w:t xml:space="preserve">       </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t xml:space="preserve">法定代表人授权代表身份证</w:t>
      </w:r>
      <w:r>
        <w:rPr>
          <w:rFonts w:hint="eastAsia"/>
          <w:bCs/>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pStyle w:val="903"/>
        <w:rPr>
          <w:highlight w:val="none"/>
        </w:rPr>
      </w:pPr>
      <w:r>
        <w:rPr>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7"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6" o:spid="_x0000_s6"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sz w:val="24"/>
          <w:szCs w:val="24"/>
          <w:highlight w:val="none"/>
        </w:rPr>
        <w:t xml:space="preserve"> </w:t>
      </w:r>
      <w:r>
        <w:rPr>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8"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7" o:spid="_x0000_s7"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highlight w:val="none"/>
        </w:rPr>
        <w:outlineLvl w:val="0"/>
      </w:pPr>
      <w:r>
        <w:rPr>
          <w:rFonts w:eastAsia="黑体"/>
          <w:bCs/>
          <w:sz w:val="24"/>
          <w:szCs w:val="24"/>
          <w:highlight w:val="none"/>
        </w:rPr>
        <w:br w:type="page" w:clear="all"/>
      </w:r>
      <w:r>
        <w:rPr>
          <w:rFonts w:hint="eastAsia" w:ascii="宋体" w:hAnsi="宋体" w:cs="宋体"/>
          <w:b/>
          <w:sz w:val="24"/>
          <w:szCs w:val="24"/>
          <w:highlight w:val="none"/>
        </w:rPr>
        <w:t xml:space="preserve">(四) 承诺书(格式)：</w:t>
      </w:r>
      <w:r/>
    </w:p>
    <w:p>
      <w:pPr>
        <w:spacing w:line="360" w:lineRule="auto"/>
        <w:rPr>
          <w:rFonts w:eastAsia="黑体"/>
          <w:bCs/>
          <w:sz w:val="28"/>
          <w:szCs w:val="28"/>
          <w:highlight w:val="none"/>
        </w:rPr>
        <w:outlineLvl w:val="0"/>
      </w:pPr>
      <w:r>
        <w:rPr>
          <w:rFonts w:eastAsia="黑体"/>
          <w:bCs/>
          <w:sz w:val="28"/>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承诺书</w:t>
      </w:r>
      <w:r/>
    </w:p>
    <w:p>
      <w:pPr>
        <w:jc w:val="center"/>
        <w:rPr>
          <w:rFonts w:ascii="黑体" w:eastAsia="黑体"/>
          <w:bCs/>
          <w:sz w:val="28"/>
          <w:szCs w:val="28"/>
          <w:highlight w:val="none"/>
        </w:rPr>
      </w:pPr>
      <w:r>
        <w:rPr>
          <w:rFonts w:ascii="黑体" w:eastAsia="黑体"/>
          <w:bCs/>
          <w:sz w:val="28"/>
          <w:szCs w:val="28"/>
          <w:highlight w:val="none"/>
        </w:rPr>
      </w:r>
      <w:r/>
    </w:p>
    <w:p>
      <w:pPr>
        <w:spacing w:line="360" w:lineRule="auto"/>
        <w:rPr>
          <w:rFonts w:ascii="宋体"/>
          <w:szCs w:val="21"/>
          <w:highlight w:val="none"/>
        </w:rPr>
      </w:pPr>
      <w:r>
        <w:rPr>
          <w:rFonts w:ascii="宋体" w:hAnsi="宋体"/>
          <w:szCs w:val="21"/>
          <w:highlight w:val="none"/>
          <w:u w:val="single"/>
        </w:rPr>
        <w:t xml:space="preserve">                             </w:t>
      </w:r>
      <w:r>
        <w:rPr>
          <w:rFonts w:hint="eastAsia" w:ascii="宋体" w:hAnsi="宋体"/>
          <w:szCs w:val="21"/>
          <w:highlight w:val="none"/>
        </w:rPr>
        <w:t xml:space="preserve">（投标人名称）在此承诺：</w:t>
      </w:r>
      <w:r/>
    </w:p>
    <w:p>
      <w:pPr>
        <w:ind w:firstLine="420"/>
        <w:spacing w:line="360" w:lineRule="auto"/>
        <w:rPr>
          <w:rFonts w:ascii="宋体"/>
          <w:szCs w:val="21"/>
          <w:highlight w:val="none"/>
        </w:rPr>
      </w:pPr>
      <w:r>
        <w:rPr>
          <w:rFonts w:ascii="宋体"/>
          <w:szCs w:val="21"/>
          <w:highlight w:val="none"/>
        </w:rPr>
      </w:r>
      <w:r/>
    </w:p>
    <w:p>
      <w:pPr>
        <w:ind w:firstLine="420"/>
        <w:spacing w:line="360" w:lineRule="auto"/>
        <w:rPr>
          <w:rFonts w:ascii="宋体"/>
          <w:bCs/>
          <w:szCs w:val="21"/>
          <w:highlight w:val="none"/>
        </w:rPr>
      </w:pPr>
      <w:r>
        <w:rPr>
          <w:rFonts w:ascii="宋体" w:hAnsi="宋体"/>
          <w:szCs w:val="21"/>
          <w:highlight w:val="none"/>
        </w:rPr>
        <w:t xml:space="preserve">1</w:t>
      </w:r>
      <w:r>
        <w:rPr>
          <w:rFonts w:hint="eastAsia" w:ascii="宋体" w:hAnsi="宋体"/>
          <w:szCs w:val="21"/>
          <w:highlight w:val="none"/>
        </w:rPr>
        <w:t xml:space="preserve">.本公司（单位）</w:t>
      </w:r>
      <w:r>
        <w:rPr>
          <w:rFonts w:hint="eastAsia" w:ascii="宋体" w:hAnsi="宋体"/>
          <w:bCs/>
          <w:szCs w:val="21"/>
          <w:highlight w:val="none"/>
        </w:rPr>
        <w:t xml:space="preserve">对本项目（招标编号：              ）所提供的货物均为原厂全新合格品，</w:t>
      </w:r>
      <w:r>
        <w:rPr>
          <w:rFonts w:hint="eastAsia" w:ascii="宋体" w:hAnsi="宋体"/>
          <w:bCs/>
          <w:color w:val="000000"/>
          <w:szCs w:val="21"/>
          <w:highlight w:val="none"/>
        </w:rPr>
        <w:t xml:space="preserve">提供的服务符合招标文件要求</w:t>
      </w:r>
      <w:r>
        <w:rPr>
          <w:rFonts w:hint="eastAsia" w:ascii="宋体" w:hAnsi="宋体"/>
          <w:bCs/>
          <w:szCs w:val="21"/>
          <w:highlight w:val="none"/>
        </w:rPr>
        <w:t xml:space="preserve">；</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2.本公司（单位）具备履行合同所必需的设备和专业技术能力；</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3.本公司（单位）未被“信用中国”网站（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Cs w:val="21"/>
          <w:highlight w:val="none"/>
        </w:rPr>
        <w:t xml:space="preserve">www.creditchina.gov.cn</w:t>
      </w:r>
      <w:r>
        <w:rPr>
          <w:rFonts w:hint="eastAsia" w:ascii="宋体" w:hAnsi="宋体"/>
          <w:szCs w:val="21"/>
          <w:highlight w:val="none"/>
        </w:rPr>
        <w:fldChar w:fldCharType="end"/>
      </w:r>
      <w:r>
        <w:rPr>
          <w:rFonts w:hint="eastAsia" w:ascii="宋体" w:hAnsi="宋体"/>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4.本公司（单位）参加政府采购活动前3年内在经营活动中没有重大违法记录。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05"/>
        <w:ind w:left="0"/>
        <w:rPr>
          <w:szCs w:val="21"/>
          <w:highlight w:val="none"/>
        </w:rPr>
      </w:pPr>
      <w:r>
        <w:rPr>
          <w:szCs w:val="21"/>
          <w:highlight w:val="none"/>
        </w:rPr>
      </w:r>
      <w:r/>
    </w:p>
    <w:p>
      <w:pPr>
        <w:ind w:firstLine="420"/>
        <w:spacing w:line="360" w:lineRule="auto"/>
        <w:rPr>
          <w:rFonts w:ascii="宋体"/>
          <w:bCs/>
          <w:szCs w:val="21"/>
          <w:highlight w:val="none"/>
        </w:rPr>
      </w:pPr>
      <w:r>
        <w:rPr>
          <w:rFonts w:hint="eastAsia" w:ascii="宋体" w:hAnsi="宋体"/>
          <w:bCs/>
          <w:szCs w:val="21"/>
          <w:highlight w:val="none"/>
        </w:rPr>
        <w:t xml:space="preserve">如违背上述承诺，本公司</w:t>
      </w:r>
      <w:r>
        <w:rPr>
          <w:rFonts w:hint="eastAsia" w:ascii="宋体" w:hAnsi="宋体"/>
          <w:szCs w:val="21"/>
          <w:highlight w:val="none"/>
        </w:rPr>
        <w:t xml:space="preserve">（单位）</w:t>
      </w:r>
      <w:r>
        <w:rPr>
          <w:rFonts w:hint="eastAsia" w:ascii="宋体" w:hAnsi="宋体"/>
          <w:bCs/>
          <w:szCs w:val="21"/>
          <w:highlight w:val="none"/>
        </w:rPr>
        <w:t xml:space="preserve">将承担一切法律责任。</w:t>
      </w:r>
      <w:r/>
    </w:p>
    <w:p>
      <w:pPr>
        <w:spacing w:line="360" w:lineRule="auto"/>
        <w:rPr>
          <w:rFonts w:ascii="宋体"/>
          <w:szCs w:val="21"/>
          <w:highlight w:val="none"/>
        </w:rPr>
      </w:pPr>
      <w:r>
        <w:rPr>
          <w:rFonts w:ascii="宋体"/>
          <w:szCs w:val="21"/>
          <w:highlight w:val="none"/>
        </w:rPr>
      </w:r>
      <w:r/>
    </w:p>
    <w:p>
      <w:pPr>
        <w:ind w:firstLine="4725"/>
        <w:spacing w:line="360" w:lineRule="auto"/>
        <w:rPr>
          <w:rFonts w:ascii="宋体"/>
          <w:bCs/>
          <w:szCs w:val="21"/>
          <w:highlight w:val="none"/>
        </w:rPr>
      </w:pPr>
      <w:r>
        <w:rPr>
          <w:rFonts w:ascii="宋体"/>
          <w:bCs/>
          <w:szCs w:val="21"/>
          <w:highlight w:val="none"/>
        </w:rPr>
      </w:r>
      <w:r/>
    </w:p>
    <w:p>
      <w:pPr>
        <w:ind w:firstLine="4515"/>
        <w:spacing w:line="360" w:lineRule="auto"/>
        <w:rPr>
          <w:rFonts w:hint="eastAsia" w:ascii="宋体" w:hAnsi="宋体"/>
          <w:bCs/>
          <w:szCs w:val="21"/>
          <w:highlight w:val="none"/>
        </w:rPr>
      </w:pPr>
      <w:r>
        <w:rPr>
          <w:rFonts w:hint="eastAsia" w:ascii="宋体" w:hAnsi="宋体" w:cs="宋体"/>
          <w:bCs/>
          <w:szCs w:val="21"/>
          <w:highlight w:val="none"/>
        </w:rPr>
        <w:t xml:space="preserve">投标人(盖章)：</w:t>
      </w:r>
      <w:r/>
    </w:p>
    <w:p>
      <w:pPr>
        <w:ind w:firstLine="840"/>
        <w:spacing w:line="360" w:lineRule="auto"/>
        <w:rPr>
          <w:rFonts w:hint="eastAsia" w:ascii="宋体" w:hAnsi="宋体"/>
          <w:bCs/>
          <w:szCs w:val="21"/>
          <w:highlight w:val="none"/>
        </w:rPr>
      </w:pPr>
      <w:r>
        <w:rPr>
          <w:rFonts w:hint="eastAsia" w:ascii="宋体" w:hAnsi="宋体"/>
          <w:bCs/>
          <w:szCs w:val="21"/>
          <w:highlight w:val="none"/>
        </w:rPr>
      </w:r>
      <w:r/>
    </w:p>
    <w:p>
      <w:pPr>
        <w:ind w:firstLine="1680"/>
        <w:spacing w:line="360" w:lineRule="auto"/>
        <w:rPr>
          <w:rFonts w:hint="eastAsia" w:ascii="宋体" w:hAnsi="宋体"/>
          <w:bCs/>
          <w:szCs w:val="21"/>
          <w:highlight w:val="none"/>
        </w:rPr>
      </w:pPr>
      <w:r>
        <w:rPr>
          <w:rFonts w:hint="eastAsia" w:ascii="宋体" w:hAnsi="宋体"/>
          <w:bCs/>
          <w:szCs w:val="21"/>
          <w:highlight w:val="none"/>
        </w:rPr>
        <w:t xml:space="preserve">法定代表人或法定代表人授权代表签字或盖章：</w:t>
      </w:r>
      <w:r/>
    </w:p>
    <w:p>
      <w:pPr>
        <w:pStyle w:val="1180"/>
        <w:rPr>
          <w:highlight w:val="none"/>
        </w:rPr>
      </w:pPr>
      <w:r>
        <w:rPr>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spacing w:line="360" w:lineRule="auto"/>
        <w:rPr>
          <w:rFonts w:ascii="宋体"/>
          <w:sz w:val="24"/>
          <w:highlight w:val="none"/>
        </w:rPr>
      </w:pPr>
      <w:r>
        <w:rPr>
          <w:rFonts w:ascii="宋体"/>
          <w:sz w:val="24"/>
          <w:highlight w:val="none"/>
        </w:rPr>
      </w:r>
      <w:r/>
    </w:p>
    <w:p>
      <w:pPr>
        <w:spacing w:line="360" w:lineRule="auto"/>
        <w:rPr>
          <w:rFonts w:eastAsia="黑体"/>
          <w:bCs/>
          <w:sz w:val="24"/>
          <w:szCs w:val="24"/>
          <w:highlight w:val="none"/>
        </w:rPr>
        <w:outlineLvl w:val="0"/>
      </w:pPr>
      <w:r>
        <w:rPr>
          <w:rFonts w:eastAsia="黑体"/>
          <w:bCs/>
          <w:sz w:val="24"/>
          <w:szCs w:val="24"/>
          <w:highlight w:val="none"/>
        </w:rPr>
      </w:r>
      <w:r/>
    </w:p>
    <w:p>
      <w:pPr>
        <w:numPr>
          <w:ilvl w:val="0"/>
          <w:numId w:val="5"/>
        </w:numPr>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开标一览表：</w:t>
      </w:r>
      <w:r/>
    </w:p>
    <w:p>
      <w:pPr>
        <w:pStyle w:val="932"/>
        <w:ind w:left="0"/>
        <w:rPr>
          <w:highlight w:val="none"/>
        </w:rPr>
      </w:pPr>
      <w:r>
        <w:rPr>
          <w:highlight w:val="none"/>
        </w:rPr>
      </w:r>
      <w:r/>
    </w:p>
    <w:p>
      <w:pPr>
        <w:spacing w:line="400" w:lineRule="exact"/>
        <w:rPr>
          <w:rFonts w:eastAsia="黑体"/>
          <w:bCs/>
          <w:sz w:val="28"/>
          <w:szCs w:val="28"/>
          <w:highlight w:val="none"/>
        </w:rPr>
      </w:pPr>
      <w:r>
        <w:rPr>
          <w:rFonts w:hint="eastAsia" w:ascii="宋体" w:hAnsi="宋体" w:cs="宋体"/>
          <w:szCs w:val="21"/>
          <w:highlight w:val="none"/>
        </w:rPr>
        <w:t xml:space="preserve">投标人名称（盖章）                              招标编号：</w:t>
      </w:r>
      <w:r/>
    </w:p>
    <w:p>
      <w:pPr>
        <w:pStyle w:val="905"/>
        <w:ind w:left="1260"/>
        <w:rPr>
          <w:highlight w:val="none"/>
        </w:rPr>
      </w:pPr>
      <w:r>
        <w:rPr>
          <w:highlight w:val="none"/>
        </w:rPr>
      </w:r>
      <w:r/>
    </w:p>
    <w:tbl>
      <w:tblPr>
        <w:tblStyle w:val="89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项目名称</w:t>
            </w:r>
            <w:r/>
          </w:p>
        </w:tc>
        <w:tc>
          <w:tcPr>
            <w:tcW w:w="7560" w:type="dxa"/>
            <w:vAlign w:val="bottom"/>
            <w:textDirection w:val="lrTb"/>
            <w:noWrap w:val="false"/>
          </w:tcPr>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w:t>
            </w:r>
            <w:r/>
          </w:p>
        </w:tc>
      </w:tr>
      <w:tr>
        <w:trPr>
          <w:jc w:val="center"/>
          <w:trHeight w:val="2223"/>
        </w:trPr>
        <w:tc>
          <w:tcPr>
            <w:tcW w:w="2076" w:type="dxa"/>
            <w:vAlign w:val="center"/>
            <w:textDirection w:val="lrTb"/>
            <w:noWrap w:val="false"/>
          </w:tcPr>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投标总价</w:t>
            </w:r>
            <w:r/>
          </w:p>
        </w:tc>
        <w:tc>
          <w:tcPr>
            <w:tcW w:w="7560" w:type="dxa"/>
            <w:vAlign w:val="center"/>
            <w:textDirection w:val="lrTb"/>
            <w:noWrap w:val="false"/>
          </w:tcPr>
          <w:p>
            <w:pPr>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w:t>
            </w:r>
            <w:r>
              <w:rPr>
                <w:rFonts w:hint="eastAsia" w:ascii="宋体" w:hAnsi="宋体" w:cs="宋体"/>
                <w:bCs/>
                <w:sz w:val="24"/>
                <w:szCs w:val="24"/>
                <w:highlight w:val="none"/>
                <w:u w:val="single"/>
              </w:rPr>
              <w:t xml:space="preserve"> </w:t>
            </w:r>
            <w:r/>
          </w:p>
        </w:tc>
      </w:tr>
    </w:tbl>
    <w:p>
      <w:pPr>
        <w:rPr>
          <w:highlight w:val="none"/>
        </w:rPr>
      </w:pPr>
      <w:r>
        <w:rPr>
          <w:highlight w:val="none"/>
        </w:rPr>
      </w:r>
      <w:r/>
    </w:p>
    <w:p>
      <w:pPr>
        <w:pStyle w:val="905"/>
        <w:ind w:left="1260"/>
        <w:rPr>
          <w:highlight w:val="none"/>
        </w:rPr>
      </w:pPr>
      <w:r>
        <w:rPr>
          <w:highlight w:val="none"/>
        </w:rPr>
      </w:r>
      <w:r/>
    </w:p>
    <w:p>
      <w:pPr>
        <w:rPr>
          <w:highlight w:val="none"/>
        </w:rPr>
      </w:pPr>
      <w:r>
        <w:rPr>
          <w:highlight w:val="none"/>
        </w:rPr>
      </w:r>
      <w:r/>
    </w:p>
    <w:p>
      <w:pPr>
        <w:pStyle w:val="905"/>
        <w:ind w:left="1260"/>
        <w:rPr>
          <w:highlight w:val="none"/>
        </w:rPr>
      </w:pPr>
      <w:r>
        <w:rPr>
          <w:highlight w:val="none"/>
        </w:rPr>
      </w:r>
      <w:r/>
    </w:p>
    <w:p>
      <w:pPr>
        <w:rPr>
          <w:highlight w:val="none"/>
        </w:rPr>
      </w:pPr>
      <w:r>
        <w:rPr>
          <w:highlight w:val="none"/>
        </w:rPr>
      </w:r>
      <w:r/>
    </w:p>
    <w:p>
      <w:pPr>
        <w:pStyle w:val="905"/>
        <w:ind w:left="1260"/>
        <w:rPr>
          <w:highlight w:val="none"/>
        </w:rPr>
      </w:pPr>
      <w:r>
        <w:rPr>
          <w:highlight w:val="none"/>
        </w:rPr>
      </w:r>
      <w:r/>
    </w:p>
    <w:p>
      <w:pPr>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法定代表人或法定代表人授权代表签字或盖章：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rFonts w:eastAsia="黑体"/>
          <w:bCs/>
          <w:sz w:val="24"/>
          <w:szCs w:val="24"/>
          <w:highlight w:val="none"/>
        </w:rPr>
      </w:pPr>
      <w:r>
        <w:rPr>
          <w:rFonts w:eastAsia="黑体"/>
          <w:bCs/>
          <w:sz w:val="24"/>
          <w:szCs w:val="24"/>
          <w:highlight w:val="none"/>
        </w:rPr>
      </w:r>
      <w:r/>
    </w:p>
    <w:p>
      <w:pPr>
        <w:spacing w:line="360" w:lineRule="auto"/>
        <w:rPr>
          <w:bCs/>
          <w:sz w:val="24"/>
          <w:szCs w:val="24"/>
          <w:highlight w:val="none"/>
        </w:rPr>
      </w:pPr>
      <w:r>
        <w:rPr>
          <w:rFonts w:eastAsia="黑体"/>
          <w:bCs/>
          <w:sz w:val="24"/>
          <w:szCs w:val="24"/>
          <w:highlight w:val="none"/>
        </w:rPr>
        <w:br w:type="page" w:clear="all"/>
      </w:r>
      <w:r>
        <w:rPr>
          <w:rFonts w:hint="eastAsia" w:ascii="宋体" w:hAnsi="宋体" w:cs="宋体"/>
          <w:b/>
          <w:sz w:val="24"/>
          <w:szCs w:val="24"/>
          <w:highlight w:val="none"/>
        </w:rPr>
        <w:t xml:space="preserve">（六）</w:t>
      </w:r>
      <w:r>
        <w:rPr>
          <w:rFonts w:hint="eastAsia" w:ascii="宋体" w:hAnsi="宋体" w:cs="宋体"/>
          <w:b/>
          <w:sz w:val="24"/>
          <w:szCs w:val="24"/>
          <w:highlight w:val="none"/>
        </w:rPr>
        <w:t xml:space="preserve">细目报价表 (格式)：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细目报价表</w:t>
      </w:r>
      <w:r/>
    </w:p>
    <w:p>
      <w:pPr>
        <w:pStyle w:val="903"/>
        <w:rPr>
          <w:highlight w:val="none"/>
        </w:rPr>
      </w:pPr>
      <w:r>
        <w:rPr>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投标人名称（盖章）                              招标编号：</w:t>
      </w:r>
      <w:r/>
    </w:p>
    <w:tbl>
      <w:tblPr>
        <w:tblStyle w:val="898"/>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636"/>
        <w:gridCol w:w="826"/>
        <w:gridCol w:w="559"/>
        <w:gridCol w:w="826"/>
        <w:gridCol w:w="826"/>
        <w:gridCol w:w="559"/>
        <w:gridCol w:w="559"/>
        <w:gridCol w:w="559"/>
        <w:gridCol w:w="1112"/>
        <w:gridCol w:w="1112"/>
        <w:gridCol w:w="636"/>
      </w:tblGrid>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注册证号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65"/>
        </w:trPr>
        <w:tc>
          <w:tcPr>
            <w:gridSpan w:val="11"/>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p>
        </w:tc>
      </w:tr>
    </w:tbl>
    <w:p>
      <w:pPr>
        <w:spacing w:line="240" w:lineRule="exact"/>
        <w:rPr>
          <w:rFonts w:hint="eastAsia" w:ascii="宋体" w:hAnsi="宋体" w:cs="宋体"/>
          <w:b/>
          <w:bCs/>
          <w:szCs w:val="21"/>
          <w:highlight w:val="none"/>
        </w:rPr>
        <w:outlineLvl w:val="0"/>
      </w:pPr>
      <w:r>
        <w:rPr>
          <w:rFonts w:hint="eastAsia" w:ascii="宋体" w:hAnsi="宋体" w:cs="宋体"/>
          <w:b/>
          <w:bCs/>
          <w:szCs w:val="21"/>
          <w:highlight w:val="none"/>
        </w:rPr>
      </w:r>
      <w:r/>
    </w:p>
    <w:p>
      <w:pPr>
        <w:spacing w:line="240" w:lineRule="exact"/>
        <w:rPr>
          <w:rFonts w:hint="eastAsia" w:ascii="宋体" w:hAnsi="宋体" w:cs="宋体"/>
          <w:b/>
          <w:bCs/>
          <w:szCs w:val="21"/>
          <w:highlight w:val="none"/>
        </w:rPr>
        <w:outlineLvl w:val="0"/>
      </w:pPr>
      <w:r>
        <w:rPr>
          <w:rFonts w:hint="eastAsia" w:ascii="宋体" w:hAnsi="宋体" w:cs="宋体"/>
          <w:b/>
          <w:bCs/>
          <w:szCs w:val="21"/>
          <w:highlight w:val="none"/>
        </w:rPr>
      </w:r>
      <w:r/>
    </w:p>
    <w:p>
      <w:pPr>
        <w:spacing w:line="360" w:lineRule="auto"/>
        <w:rPr>
          <w:rFonts w:hint="eastAsia" w:ascii="宋体" w:hAnsi="宋体" w:cs="宋体"/>
          <w:szCs w:val="21"/>
          <w:highlight w:val="none"/>
        </w:rPr>
        <w:outlineLvl w:val="0"/>
      </w:pPr>
      <w:r>
        <w:rPr>
          <w:rFonts w:hint="eastAsia" w:ascii="宋体" w:hAnsi="宋体" w:cs="宋体"/>
          <w:szCs w:val="21"/>
          <w:highlight w:val="none"/>
        </w:rPr>
        <w:t xml:space="preserve">法定代表人或法定代表人授权代表签字或盖章：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p>
    <w:p>
      <w:pPr>
        <w:pStyle w:val="932"/>
        <w:rPr>
          <w:highlight w:val="none"/>
        </w:rPr>
      </w:pPr>
      <w:r>
        <w:rPr>
          <w:highlight w:val="none"/>
        </w:rPr>
      </w:r>
      <w:r/>
    </w:p>
    <w:p>
      <w:pPr>
        <w:pStyle w:val="1180"/>
        <w:ind w:firstLine="0"/>
        <w:rPr>
          <w:rFonts w:eastAsia="黑体"/>
          <w:bCs/>
          <w:sz w:val="24"/>
          <w:szCs w:val="24"/>
          <w:highlight w:val="none"/>
        </w:rPr>
      </w:pPr>
      <w:r>
        <w:rPr>
          <w:rFonts w:hint="eastAsia" w:eastAsia="黑体"/>
          <w:sz w:val="24"/>
          <w:szCs w:val="24"/>
          <w:highlight w:val="none"/>
        </w:rPr>
        <w:br w:type="page" w:clear="all"/>
      </w:r>
      <w:r>
        <w:rPr>
          <w:rFonts w:hint="eastAsia" w:ascii="宋体" w:hAnsi="宋体" w:eastAsia="宋体" w:cs="宋体"/>
          <w:b/>
          <w:sz w:val="24"/>
          <w:szCs w:val="24"/>
          <w:highlight w:val="none"/>
        </w:rPr>
        <w:t xml:space="preserve">（七）商务响应偏离表（格式）：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商务响应偏离表</w:t>
      </w:r>
      <w:r/>
    </w:p>
    <w:p>
      <w:pPr>
        <w:spacing w:line="400" w:lineRule="exact"/>
        <w:rPr>
          <w:rFonts w:hint="eastAsia" w:ascii="宋体" w:hAnsi="宋体"/>
          <w:bCs/>
          <w:sz w:val="24"/>
          <w:szCs w:val="24"/>
          <w:highlight w:val="none"/>
        </w:rPr>
        <w:outlineLvl w:val="0"/>
      </w:pPr>
      <w:r>
        <w:rPr>
          <w:rFonts w:hint="eastAsia" w:ascii="宋体" w:hAnsi="宋体"/>
          <w:bCs/>
          <w:sz w:val="24"/>
          <w:szCs w:val="24"/>
          <w:highlight w:val="none"/>
        </w:rPr>
      </w:r>
      <w:r/>
    </w:p>
    <w:p>
      <w:pPr>
        <w:spacing w:line="360" w:lineRule="auto"/>
        <w:rPr>
          <w:rFonts w:hint="eastAsia" w:ascii="宋体" w:hAnsi="宋体"/>
          <w:bCs/>
          <w:szCs w:val="21"/>
          <w:highlight w:val="none"/>
        </w:rPr>
      </w:pPr>
      <w:r>
        <w:rPr>
          <w:rFonts w:hint="eastAsia" w:ascii="宋体" w:hAnsi="宋体"/>
          <w:bCs/>
          <w:szCs w:val="21"/>
          <w:highlight w:val="none"/>
        </w:rPr>
        <w:t xml:space="preserve">招标编号：</w:t>
      </w:r>
      <w:r/>
    </w:p>
    <w:tbl>
      <w:tblPr>
        <w:tblStyle w:val="898"/>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szCs w:val="21"/>
                <w:highlight w:val="none"/>
              </w:rPr>
              <w:outlineLvl w:val="0"/>
            </w:pPr>
            <w:r>
              <w:rPr>
                <w:rFonts w:hint="eastAsia" w:ascii="宋体" w:hAnsi="宋体"/>
                <w:bCs/>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051"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970"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14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335"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bl>
    <w:p>
      <w:pPr>
        <w:pStyle w:val="1190"/>
        <w:spacing w:line="360" w:lineRule="auto"/>
        <w:rPr>
          <w:szCs w:val="21"/>
          <w:highlight w:val="none"/>
        </w:rPr>
      </w:pPr>
      <w:r>
        <w:rPr>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szCs w:val="21"/>
          <w:highlight w:val="none"/>
        </w:rPr>
        <w:t xml:space="preserve">投标人应对招标文件第四章《采购需求》“二、商务要求”的内容给予逐条响应，若漏项或不逐条应答视为</w:t>
      </w:r>
      <w:r>
        <w:rPr>
          <w:rFonts w:hint="eastAsia" w:ascii="宋体" w:hAnsi="宋体" w:cs="宋体"/>
          <w:color w:val="000000"/>
          <w:szCs w:val="21"/>
          <w:highlight w:val="none"/>
        </w:rPr>
        <w:t xml:space="preserve">完全响应招标文件的商务条款要求。</w:t>
      </w:r>
      <w:r/>
    </w:p>
    <w:p>
      <w:pPr>
        <w:numPr>
          <w:ilvl w:val="0"/>
          <w:numId w:val="6"/>
        </w:numPr>
        <w:ind w:firstLine="420"/>
        <w:spacing w:line="440" w:lineRule="exact"/>
        <w:rPr>
          <w:rFonts w:hint="eastAsia" w:ascii="宋体" w:hAnsi="宋体" w:cs="宋体"/>
          <w:color w:val="000000"/>
          <w:szCs w:val="21"/>
          <w:highlight w:val="none"/>
        </w:rPr>
      </w:pPr>
      <w:r>
        <w:rPr>
          <w:rFonts w:hint="eastAsia" w:ascii="宋体" w:hAnsi="宋体" w:cs="宋体"/>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p>
    <w:p>
      <w:pPr>
        <w:pStyle w:val="903"/>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cs="宋体"/>
          <w:b/>
          <w:sz w:val="24"/>
          <w:szCs w:val="24"/>
          <w:highlight w:val="none"/>
        </w:rPr>
        <w:outlineLvl w:val="0"/>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（八）技术响应偏离表（格式）：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技术响应偏离表</w:t>
      </w:r>
      <w:r/>
    </w:p>
    <w:p>
      <w:pPr>
        <w:spacing w:line="360" w:lineRule="auto"/>
        <w:rPr>
          <w:rFonts w:hint="eastAsia" w:ascii="宋体" w:hAnsi="宋体"/>
          <w:bCs/>
          <w:szCs w:val="21"/>
          <w:highlight w:val="none"/>
        </w:rPr>
        <w:outlineLvl w:val="0"/>
      </w:pPr>
      <w:r>
        <w:rPr>
          <w:rFonts w:hint="eastAsia" w:ascii="宋体" w:hAnsi="宋体"/>
          <w:bCs/>
          <w:szCs w:val="21"/>
          <w:highlight w:val="none"/>
        </w:rPr>
        <w:t xml:space="preserve">招标编号：</w:t>
      </w:r>
      <w:r/>
    </w:p>
    <w:tbl>
      <w:tblPr>
        <w:tblStyle w:val="898"/>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序号</w:t>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招标文件条目号</w:t>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招标要求规格</w:t>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投标文件响应情况</w:t>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77"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978"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2229"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c>
          <w:tcPr>
            <w:tcW w:w="1516" w:type="dxa"/>
            <w:vAlign w:val="center"/>
            <w:textDirection w:val="lrTb"/>
            <w:noWrap w:val="false"/>
          </w:tcPr>
          <w:p>
            <w:pPr>
              <w:jc w:val="center"/>
              <w:spacing w:line="360" w:lineRule="auto"/>
              <w:rPr>
                <w:rFonts w:hint="eastAsia" w:ascii="宋体" w:hAnsi="宋体"/>
                <w:bCs/>
                <w:szCs w:val="21"/>
                <w:highlight w:val="none"/>
              </w:rPr>
              <w:outlineLvl w:val="0"/>
            </w:pPr>
            <w:r>
              <w:rPr>
                <w:rFonts w:hint="eastAsia" w:ascii="宋体" w:hAnsi="宋体"/>
                <w:bCs/>
                <w:szCs w:val="21"/>
                <w:highlight w:val="none"/>
              </w:rPr>
            </w:r>
            <w:r/>
          </w:p>
        </w:tc>
      </w:tr>
    </w:tbl>
    <w:p>
      <w:pPr>
        <w:spacing w:line="360" w:lineRule="auto"/>
        <w:rPr>
          <w:rFonts w:hint="eastAsia" w:ascii="宋体" w:hAnsi="宋体"/>
          <w:bCs/>
          <w:szCs w:val="21"/>
          <w:highlight w:val="none"/>
        </w:rPr>
        <w:outlineLvl w:val="0"/>
      </w:pPr>
      <w:r>
        <w:rPr>
          <w:rFonts w:hint="eastAsia" w:ascii="宋体" w:hAnsi="宋体"/>
          <w:bCs/>
          <w:szCs w:val="21"/>
          <w:highlight w:val="none"/>
        </w:rPr>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投标人名称（盖章）：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法定代表人或法定代表人授权代表签字或盖章：</w:t>
      </w:r>
      <w:r/>
    </w:p>
    <w:p>
      <w:pPr>
        <w:spacing w:line="360" w:lineRule="auto"/>
        <w:rPr>
          <w:rFonts w:ascii="Arial" w:hAnsi="Arial" w:cs="Arial"/>
          <w:szCs w:val="21"/>
          <w:highlight w:val="none"/>
        </w:rPr>
      </w:pPr>
      <w:r>
        <w:rPr>
          <w:rFonts w:ascii="Arial" w:hAnsi="Arial" w:cs="Arial"/>
          <w:szCs w:val="21"/>
          <w:highlight w:val="none"/>
        </w:rPr>
      </w:r>
      <w:r/>
    </w:p>
    <w:p>
      <w:pPr>
        <w:spacing w:line="360" w:lineRule="auto"/>
        <w:rPr>
          <w:rFonts w:ascii="Arial" w:hAnsi="Arial" w:cs="Arial"/>
          <w:szCs w:val="21"/>
          <w:highlight w:val="none"/>
        </w:rPr>
      </w:pPr>
      <w:r>
        <w:rPr>
          <w:rFonts w:hint="eastAsia" w:ascii="Arial" w:hAnsi="Arial" w:cs="Arial"/>
          <w:szCs w:val="21"/>
          <w:highlight w:val="none"/>
        </w:rPr>
        <w:t xml:space="preserve">日期：</w:t>
      </w:r>
      <w:r/>
    </w:p>
    <w:p>
      <w:pPr>
        <w:ind w:firstLine="480"/>
        <w:spacing w:line="360" w:lineRule="auto"/>
        <w:rPr>
          <w:rFonts w:hint="eastAsia" w:ascii="宋体" w:hAnsi="宋体"/>
          <w:bCs/>
          <w:sz w:val="24"/>
          <w:szCs w:val="24"/>
          <w:highlight w:val="none"/>
        </w:rPr>
        <w:outlineLvl w:val="0"/>
      </w:pPr>
      <w:r>
        <w:rPr>
          <w:rFonts w:hint="eastAsia" w:ascii="宋体" w:hAnsi="宋体"/>
          <w:bCs/>
          <w:sz w:val="24"/>
          <w:szCs w:val="24"/>
          <w:highlight w:val="none"/>
        </w:rPr>
      </w:r>
      <w:r/>
    </w:p>
    <w:p>
      <w:pPr>
        <w:spacing w:line="440" w:lineRule="exact"/>
        <w:rPr>
          <w:rFonts w:hint="eastAsia" w:ascii="宋体" w:hAnsi="宋体" w:cs="宋体"/>
          <w:color w:val="000000"/>
          <w:szCs w:val="21"/>
          <w:highlight w:val="none"/>
        </w:rPr>
      </w:pPr>
      <w:r>
        <w:rPr>
          <w:rFonts w:hint="eastAsia" w:ascii="宋体" w:hAnsi="宋体" w:cs="宋体"/>
          <w:bCs/>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szCs w:val="21"/>
          <w:highlight w:val="none"/>
        </w:rPr>
        <w:t xml:space="preserve">投标人应对招标文件第四章《采购需求》“技术要求”的内容给予逐条响应，若漏项或不逐条应答视为负偏离。</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p>
    <w:p>
      <w:pPr>
        <w:spacing w:line="360" w:lineRule="auto"/>
        <w:rPr>
          <w:rFonts w:hint="eastAsia" w:ascii="宋体" w:hAnsi="宋体" w:cs="宋体"/>
          <w:bCs/>
          <w:szCs w:val="21"/>
          <w:highlight w:val="none"/>
        </w:rPr>
        <w:outlineLvl w:val="0"/>
      </w:pPr>
      <w:r>
        <w:rPr>
          <w:rFonts w:hint="eastAsia" w:ascii="宋体" w:hAnsi="宋体" w:cs="宋体"/>
          <w:bCs/>
          <w:szCs w:val="21"/>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rPr>
      </w:r>
      <w:r/>
    </w:p>
    <w:p>
      <w:pPr>
        <w:pStyle w:val="903"/>
        <w:rPr>
          <w:rFonts w:hint="eastAsia" w:ascii="宋体" w:hAnsi="宋体"/>
          <w:sz w:val="24"/>
          <w:szCs w:val="24"/>
          <w:highlight w:val="none"/>
        </w:rPr>
      </w:pPr>
      <w:r>
        <w:rPr>
          <w:rFonts w:hint="eastAsia" w:ascii="宋体" w:hAnsi="宋体"/>
          <w:sz w:val="24"/>
          <w:szCs w:val="24"/>
          <w:highlight w:val="none"/>
        </w:rPr>
      </w:r>
      <w:r/>
    </w:p>
    <w:p>
      <w:pPr>
        <w:rPr>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t xml:space="preserve">（九）中小企业声明函（格式）：</w:t>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中小企业声明函（货物）</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本公司（联合体）郑重声明，根据《政府采购促进中小企业发展管理办法》（财库﹝2020﹞46 号）的规定，本公司 （联合体）参加</w:t>
      </w:r>
      <w:r>
        <w:rPr>
          <w:rFonts w:hint="eastAsia" w:ascii="宋体" w:hAnsi="宋体" w:cs="宋体"/>
          <w:bCs/>
          <w:szCs w:val="21"/>
          <w:highlight w:val="none"/>
          <w:u w:val="single"/>
        </w:rPr>
        <w:t xml:space="preserve">（单位名称）</w:t>
      </w:r>
      <w:r>
        <w:rPr>
          <w:rFonts w:hint="eastAsia" w:ascii="宋体" w:hAnsi="宋体" w:cs="宋体"/>
          <w:bCs/>
          <w:szCs w:val="21"/>
          <w:highlight w:val="none"/>
        </w:rPr>
        <w:t xml:space="preserve">的</w:t>
      </w:r>
      <w:r>
        <w:rPr>
          <w:rFonts w:hint="eastAsia" w:ascii="宋体" w:hAnsi="宋体" w:cs="宋体"/>
          <w:bCs/>
          <w:szCs w:val="21"/>
          <w:highlight w:val="none"/>
          <w:u w:val="single"/>
        </w:rPr>
        <w:t xml:space="preserve">（项目名称）</w:t>
      </w:r>
      <w:r>
        <w:rPr>
          <w:rFonts w:hint="eastAsia" w:ascii="宋体" w:hAnsi="宋体" w:cs="宋体"/>
          <w:bCs/>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u w:val="single"/>
        </w:rPr>
        <w:t xml:space="preserve"> （标的名称） </w:t>
      </w:r>
      <w:r>
        <w:rPr>
          <w:rFonts w:hint="eastAsia" w:ascii="宋体" w:hAnsi="宋体" w:cs="宋体"/>
          <w:bCs/>
          <w:szCs w:val="21"/>
          <w:highlight w:val="none"/>
        </w:rPr>
        <w:t xml:space="preserve">，属于</w:t>
      </w:r>
      <w:r>
        <w:rPr>
          <w:rFonts w:hint="eastAsia" w:ascii="宋体" w:hAnsi="宋体" w:cs="宋体"/>
          <w:bCs/>
          <w:szCs w:val="21"/>
          <w:highlight w:val="none"/>
          <w:u w:val="single"/>
        </w:rPr>
        <w:t xml:space="preserve">（采购文件中明确的所属行业） 行业</w:t>
      </w:r>
      <w:r>
        <w:rPr>
          <w:rFonts w:hint="eastAsia" w:ascii="宋体" w:hAnsi="宋体" w:cs="宋体"/>
          <w:bCs/>
          <w:szCs w:val="21"/>
          <w:highlight w:val="none"/>
        </w:rPr>
        <w:t xml:space="preserve">；制造商为</w:t>
      </w:r>
      <w:r>
        <w:rPr>
          <w:rFonts w:hint="eastAsia" w:ascii="宋体" w:hAnsi="宋体" w:cs="宋体"/>
          <w:bCs/>
          <w:szCs w:val="21"/>
          <w:highlight w:val="none"/>
          <w:u w:val="single"/>
        </w:rPr>
        <w:t xml:space="preserve">（企业名称）</w:t>
      </w:r>
      <w:r>
        <w:rPr>
          <w:rFonts w:hint="eastAsia" w:ascii="宋体" w:hAnsi="宋体" w:cs="宋体"/>
          <w:bCs/>
          <w:szCs w:val="21"/>
          <w:highlight w:val="none"/>
        </w:rPr>
        <w:t xml:space="preserve">，从业人员</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人，营业收入为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万元，资产总额为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万元，属于</w:t>
      </w:r>
      <w:r>
        <w:rPr>
          <w:rFonts w:hint="eastAsia" w:ascii="宋体" w:hAnsi="宋体" w:cs="宋体"/>
          <w:bCs/>
          <w:szCs w:val="21"/>
          <w:highlight w:val="none"/>
          <w:u w:val="single"/>
        </w:rPr>
        <w:t xml:space="preserve">（中型企业、小 型企业、微型企业）</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企业名称（盖章）：</w:t>
      </w:r>
      <w:r/>
    </w:p>
    <w:p>
      <w:pPr>
        <w:ind w:firstLine="420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szCs w:val="21"/>
          <w:highlight w:val="none"/>
        </w:rPr>
      </w:pPr>
      <w:r>
        <w:rPr>
          <w:szCs w:val="21"/>
          <w:highlight w:val="none"/>
        </w:rPr>
        <w:br w:type="page" w:clear="all"/>
      </w:r>
      <w:r>
        <w:rPr>
          <w:rFonts w:hint="eastAsia" w:ascii="宋体" w:hAnsi="宋体" w:cs="宋体"/>
          <w:b/>
          <w:szCs w:val="21"/>
          <w:highlight w:val="none"/>
        </w:rPr>
        <w:t xml:space="preserve">（十）残疾人福利性单位声明函（格式）：</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残疾人福利性单位声明函</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szCs w:val="21"/>
          <w:highlight w:val="none"/>
          <w:u w:val="single"/>
        </w:rPr>
        <w:t xml:space="preserve">             项目</w:t>
      </w:r>
      <w:r>
        <w:rPr>
          <w:rFonts w:hint="eastAsia" w:ascii="宋体" w:hAnsi="宋体" w:cs="宋体"/>
          <w:bCs/>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本单位对上述声明的真实性负责。如有虚假，将依法承担相应责任。</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单位名称（盖章）：</w:t>
      </w:r>
      <w:r/>
    </w:p>
    <w:p>
      <w:pPr>
        <w:ind w:firstLine="3990"/>
        <w:spacing w:line="360" w:lineRule="auto"/>
        <w:rPr>
          <w:rFonts w:hint="eastAsia" w:ascii="宋体" w:hAnsi="宋体" w:cs="宋体"/>
          <w:bCs/>
          <w:szCs w:val="21"/>
          <w:highlight w:val="none"/>
        </w:rPr>
      </w:pPr>
      <w:r>
        <w:rPr>
          <w:rFonts w:hint="eastAsia" w:ascii="宋体" w:hAnsi="宋体" w:cs="宋体"/>
          <w:bCs/>
          <w:szCs w:val="21"/>
          <w:highlight w:val="none"/>
        </w:rPr>
        <w:t xml:space="preserve">日  期：</w:t>
      </w:r>
      <w:r/>
    </w:p>
    <w:p>
      <w:pPr>
        <w:pStyle w:val="11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rPr>
          <w:highlight w:val="none"/>
        </w:rPr>
      </w:pPr>
      <w:r>
        <w:rPr>
          <w:highlight w:val="none"/>
        </w:rPr>
      </w:r>
      <w:r/>
    </w:p>
    <w:p>
      <w:pPr>
        <w:pStyle w:val="1180"/>
        <w:ind w:firstLine="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（十一）关于符合本国产品标准的声明函（格式）：</w:t>
      </w:r>
      <w:r/>
    </w:p>
    <w:p>
      <w:pPr>
        <w:pStyle w:val="1180"/>
        <w:ind w:firstLine="0"/>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 w:val="36"/>
          <w:szCs w:val="28"/>
          <w:highlight w:val="none"/>
        </w:rPr>
      </w:pPr>
      <w:r>
        <w:rPr>
          <w:rFonts w:hint="eastAsia" w:ascii="宋体" w:hAnsi="宋体" w:cs="宋体"/>
          <w:b/>
          <w:sz w:val="36"/>
          <w:szCs w:val="28"/>
          <w:highlight w:val="none"/>
        </w:rPr>
        <w:t xml:space="preserve">关于符合本国产品标准的声明函</w:t>
      </w:r>
      <w:r/>
    </w:p>
    <w:p>
      <w:pPr>
        <w:pStyle w:val="921"/>
        <w:ind w:firstLine="420"/>
        <w:jc w:val="both"/>
        <w:spacing w:before="30" w:beforeAutospacing="0" w:after="30" w:afterAutospacing="0" w:line="30" w:lineRule="atLeast"/>
        <w:shd w:val="clear" w:color="auto" w:fill="ffffff"/>
        <w:widowControl/>
        <w:rPr>
          <w:rFonts w:hint="eastAsia" w:ascii="宋体" w:hAnsi="宋体" w:cs="宋体"/>
          <w:color w:val="333333"/>
          <w:sz w:val="27"/>
          <w:szCs w:val="27"/>
          <w:highlight w:val="none"/>
        </w:rPr>
      </w:pPr>
      <w:r>
        <w:rPr>
          <w:rFonts w:hint="eastAsia" w:ascii="宋体" w:hAnsi="宋体" w:cs="宋体"/>
          <w:color w:val="333333"/>
          <w:sz w:val="27"/>
          <w:szCs w:val="27"/>
          <w:highlight w:val="none"/>
        </w:rPr>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w:t>
      </w:r>
      <w:r/>
    </w:p>
    <w:p>
      <w:pPr>
        <w:pStyle w:val="921"/>
        <w:ind w:firstLine="420"/>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本公司（单位）对上述声明内容的真实性负责。如有虚假，愿承担相应法律责任。</w:t>
      </w:r>
      <w:r/>
    </w:p>
    <w:p>
      <w:pPr>
        <w:pStyle w:val="921"/>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  </w:t>
      </w:r>
      <w:r/>
    </w:p>
    <w:p>
      <w:pPr>
        <w:pStyle w:val="921"/>
        <w:jc w:val="both"/>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r>
      <w:r/>
    </w:p>
    <w:p>
      <w:pPr>
        <w:pStyle w:val="921"/>
        <w:jc w:val="right"/>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       公司（单位）名称（盖章）：　        </w:t>
      </w:r>
      <w:r/>
    </w:p>
    <w:p>
      <w:pPr>
        <w:pStyle w:val="921"/>
        <w:jc w:val="right"/>
        <w:spacing w:beforeAutospacing="0" w:afterAutospacing="0" w:line="360" w:lineRule="auto"/>
        <w:shd w:val="clear" w:color="auto" w:fill="ffffff"/>
        <w:widowControl/>
        <w:rPr>
          <w:rFonts w:hint="eastAsia" w:ascii="宋体" w:hAnsi="宋体" w:cs="宋体"/>
          <w:bCs/>
          <w:sz w:val="21"/>
          <w:szCs w:val="21"/>
          <w:highlight w:val="none"/>
        </w:rPr>
      </w:pPr>
      <w:r>
        <w:rPr>
          <w:rFonts w:hint="eastAsia" w:ascii="宋体" w:hAnsi="宋体" w:cs="宋体"/>
          <w:bCs/>
          <w:sz w:val="21"/>
          <w:szCs w:val="21"/>
          <w:highlight w:val="none"/>
        </w:rPr>
        <w:t xml:space="preserve">日期：　     年　  月　  日 </w:t>
      </w:r>
      <w:r/>
    </w:p>
    <w:p>
      <w:pPr>
        <w:pStyle w:val="1180"/>
        <w:ind w:firstLine="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180"/>
        <w:rPr>
          <w:highlight w:val="none"/>
        </w:rPr>
      </w:pPr>
      <w:r>
        <w:rPr>
          <w:highlight w:val="none"/>
        </w:rPr>
      </w:r>
      <w:r/>
    </w:p>
    <w:p>
      <w:pPr>
        <w:pStyle w:val="903"/>
        <w:rPr>
          <w:highlight w:val="none"/>
        </w:rPr>
      </w:pPr>
      <w:r>
        <w:rPr>
          <w:highlight w:val="none"/>
        </w:rPr>
      </w:r>
      <w:r/>
    </w:p>
    <w:p>
      <w:pPr>
        <w:pStyle w:val="1180"/>
        <w:ind w:firstLine="0"/>
        <w:rPr>
          <w:highlight w:val="none"/>
        </w:rPr>
      </w:pPr>
      <w:r>
        <w:rPr>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__________________</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1.产品如有型号，请在“产品名称”栏一并填写。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2.生产厂名与厂址应与生产厂营业执照载明的相关信息保持一致。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4.该产品的关键组件要求实施前，“关键组件”栏可不填，下同。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5.该产品的关键工序要求实施前，“关键工序”栏可不填，下同。</w:t>
      </w:r>
      <w:r/>
    </w:p>
    <w:p>
      <w:pPr>
        <w:pStyle w:val="1124"/>
        <w:ind w:firstLine="240"/>
        <w:rPr>
          <w:rFonts w:ascii="Arial" w:hAnsi="Arial" w:cs="Arial"/>
          <w:sz w:val="24"/>
          <w:highlight w:val="none"/>
        </w:rPr>
      </w:pPr>
      <w:r>
        <w:rPr>
          <w:rFonts w:ascii="Arial" w:hAnsi="Arial" w:cs="Arial"/>
          <w:sz w:val="24"/>
          <w:highlight w:val="none"/>
        </w:rPr>
      </w:r>
      <w:r/>
    </w:p>
    <w:p>
      <w:pPr>
        <w:pStyle w:val="1124"/>
        <w:ind w:firstLine="240"/>
        <w:rPr>
          <w:rFonts w:ascii="Arial" w:hAnsi="Arial" w:cs="Arial"/>
          <w:sz w:val="24"/>
          <w:highlight w:val="none"/>
        </w:rPr>
      </w:pPr>
      <w:r>
        <w:rPr>
          <w:rFonts w:ascii="Arial" w:hAnsi="Arial" w:cs="Arial"/>
          <w:sz w:val="24"/>
          <w:highlight w:val="none"/>
        </w:rPr>
      </w:r>
      <w:r/>
    </w:p>
    <w:p>
      <w:pPr>
        <w:pStyle w:val="1124"/>
        <w:ind w:firstLine="240"/>
        <w:rPr>
          <w:rFonts w:ascii="Arial" w:hAnsi="Arial" w:cs="Arial"/>
          <w:sz w:val="24"/>
          <w:highlight w:val="none"/>
        </w:rPr>
      </w:pPr>
      <w:r>
        <w:rPr>
          <w:rFonts w:ascii="Arial" w:hAnsi="Arial" w:cs="Arial"/>
          <w:sz w:val="24"/>
          <w:highlight w:val="none"/>
        </w:rPr>
      </w:r>
      <w:r/>
    </w:p>
    <w:p>
      <w:pPr>
        <w:ind w:firstLine="0"/>
        <w:jc w:val="center"/>
        <w:spacing w:line="360" w:lineRule="auto"/>
        <w:rPr>
          <w:rFonts w:hint="eastAsia" w:ascii="宋体" w:hAnsi="宋体" w:eastAsia="宋体" w:cs="宋体"/>
          <w:b/>
          <w:sz w:val="28"/>
          <w:szCs w:val="36"/>
          <w:highlight w:val="none"/>
          <w:lang w:val="en-US" w:eastAsia="zh-CN" w:bidi="ar-SA"/>
        </w:rPr>
      </w:pPr>
      <w:r>
        <w:rPr>
          <w:rFonts w:hint="eastAsia" w:ascii="宋体" w:hAnsi="宋体" w:eastAsia="宋体" w:cs="宋体"/>
          <w:b/>
          <w:sz w:val="28"/>
          <w:szCs w:val="36"/>
          <w:highlight w:val="none"/>
          <w:lang w:val="en-US" w:eastAsia="zh-CN" w:bidi="ar-SA"/>
        </w:rPr>
        <w:t xml:space="preserve">南京市政府采购供应商信用承诺书</w:t>
      </w:r>
      <w:r/>
    </w:p>
    <w:p>
      <w:pPr>
        <w:jc w:val="left"/>
        <w:spacing w:line="85" w:lineRule="atLeast"/>
        <w:widowControl/>
        <w:rPr>
          <w:rFonts w:hint="eastAsia" w:ascii="宋体" w:hAnsi="宋体" w:eastAsia="宋体" w:cs="Arial"/>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Arial"/>
          <w:b/>
          <w:bCs/>
          <w:sz w:val="21"/>
          <w:szCs w:val="21"/>
          <w:highlight w:val="none"/>
        </w:rPr>
      </w:r>
      <w:r/>
    </w:p>
    <w:p>
      <w:pPr>
        <w:jc w:val="left"/>
        <w:keepLines w:val="0"/>
        <w:keepNext w:val="0"/>
        <w:pageBreakBefore w:val="0"/>
        <w:spacing w:line="360" w:lineRule="auto"/>
        <w:widowControl/>
        <w:rPr>
          <w:rFonts w:hint="eastAsia" w:ascii="宋体" w:hAnsi="宋体" w:eastAsia="宋体" w:cs="Arial"/>
          <w:b/>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Arial"/>
          <w:b/>
          <w:bCs/>
          <w:sz w:val="21"/>
          <w:szCs w:val="21"/>
          <w:highlight w:val="none"/>
        </w:rPr>
        <w:t xml:space="preserve">（一）供应商提供《南京市政府采购供应商信用承诺书》。</w:t>
      </w:r>
      <w:r/>
    </w:p>
    <w:p>
      <w:pPr>
        <w:ind w:firstLine="240"/>
        <w:jc w:val="left"/>
        <w:keepLines w:val="0"/>
        <w:keepNext w:val="0"/>
        <w:pageBreakBefore w:val="0"/>
        <w:spacing w:before="80" w:beforeAutospacing="0" w:after="80" w:afterAutospacing="0" w:line="360" w:lineRule="auto"/>
        <w:widowControl/>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供应商提供《</w:t>
      </w:r>
      <w:r>
        <w:rPr>
          <w:rFonts w:ascii="宋体" w:hAnsi="宋体" w:eastAsia="宋体" w:cs="宋体"/>
          <w:sz w:val="21"/>
          <w:szCs w:val="21"/>
          <w:highlight w:val="none"/>
          <w:lang w:val="en-US" w:eastAsia="zh-CN" w:bidi="ar-SA"/>
        </w:rPr>
        <w:t xml:space="preserve">南京市政府采购供应商信用承诺书</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b/>
          <w:bCs/>
          <w:sz w:val="21"/>
          <w:szCs w:val="21"/>
          <w:highlight w:val="none"/>
          <w:u w:val="single"/>
          <w:lang w:val="en-US" w:eastAsia="zh-CN" w:bidi="ar-SA"/>
        </w:rPr>
        <w:t xml:space="preserve">（格式见下述）</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b/>
          <w:bCs/>
          <w:sz w:val="21"/>
          <w:szCs w:val="21"/>
          <w:highlight w:val="none"/>
          <w:lang w:val="en-US" w:eastAsia="zh-CN" w:bidi="ar-SA"/>
        </w:rPr>
        <w:t xml:space="preserve">由法人签字并盖单位公章，并将扫描件上传至投标系统。填写时间为本招标公告发布之日起至提交投标文件截止日前。</w:t>
      </w:r>
      <w:r/>
    </w:p>
    <w:p>
      <w:pPr>
        <w:ind w:firstLine="240"/>
        <w:jc w:val="left"/>
        <w:keepLines w:val="0"/>
        <w:keepNext w:val="0"/>
        <w:pageBreakBefore w:val="0"/>
        <w:spacing w:before="80" w:beforeAutospacing="0" w:after="80" w:afterAutospacing="0"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Hans" w:bidi="ar-SA"/>
        </w:rPr>
        <w:t xml:space="preserve">其中不适用信用承诺的情形：</w:t>
      </w:r>
      <w:r>
        <w:rPr>
          <w:rFonts w:hint="eastAsia" w:ascii="宋体" w:hAnsi="宋体" w:eastAsia="宋体" w:cs="宋体"/>
          <w:sz w:val="21"/>
          <w:szCs w:val="21"/>
          <w:highlight w:val="none"/>
          <w:lang w:val="en-US" w:eastAsia="zh-CN" w:bidi="ar-SA"/>
        </w:rPr>
        <w:t xml:space="preserve">供应商</w:t>
      </w:r>
      <w:r>
        <w:rPr>
          <w:rFonts w:hint="eastAsia" w:ascii="宋体" w:hAnsi="宋体" w:eastAsia="宋体" w:cs="宋体"/>
          <w:sz w:val="21"/>
          <w:szCs w:val="21"/>
          <w:highlight w:val="none"/>
          <w:lang w:val="en-US" w:eastAsia="zh-Hans" w:bidi="ar-SA"/>
        </w:rPr>
        <w:t xml:space="preserve">被列入严重失信主体名单；南京市政府采购供应商诚信档案管理系统中有失信处罚记录；被相关监管部门作出行政处罚且尚在处罚有效期内；其他法律、行政法规规定的不适用信用承诺的情形。</w:t>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both"/>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widowControl/>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2026年11月XX日</w:t>
      </w:r>
      <w:r/>
    </w:p>
    <w:p>
      <w:pPr>
        <w:jc w:val="center"/>
        <w:widowControl/>
        <w:rPr>
          <w:rFonts w:hint="eastAsia" w:ascii="Times New Roman" w:hAnsi="Times New Roman" w:eastAsia="宋体" w:cs="Times New Roman"/>
          <w:sz w:val="20"/>
          <w:highlight w:val="none"/>
          <w:lang w:val="en-US" w:eastAsia="zh-CN"/>
        </w:rPr>
      </w:pPr>
      <w:r>
        <w:rPr>
          <w:rFonts w:hint="eastAsia" w:ascii="Times New Roman" w:hAnsi="Times New Roman" w:eastAsia="宋体" w:cs="Times New Roman"/>
          <w:sz w:val="20"/>
          <w:highlight w:val="none"/>
          <w:lang w:val="en-US" w:eastAsia="zh-CN"/>
        </w:rPr>
      </w:r>
      <w:r/>
    </w:p>
    <w:tbl>
      <w:tblPr>
        <w:tblStyle w:val="924"/>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widowControl w:val="off"/>
              <w:tabs>
                <w:tab w:val="left" w:pos="2520" w:leader="none"/>
              </w:tabs>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   单位名称</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widowControl w:val="off"/>
              <w:tabs>
                <w:tab w:val="left" w:pos="2320" w:leader="none"/>
              </w:tabs>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tc>
      </w:tr>
      <w:tr>
        <w:trPr>
          <w:trHeight w:val="567"/>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法定代表人</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联系人</w:t>
            </w:r>
            <w:r/>
          </w:p>
        </w:tc>
        <w:tc>
          <w:tcPr>
            <w:tcW w:w="3331" w:type="dxa"/>
            <w:vAlign w:val="center"/>
            <w:textDirection w:val="lrTb"/>
            <w:noWrap w:val="false"/>
          </w:tcPr>
          <w:p>
            <w:pPr>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tc>
      </w:tr>
      <w:tr>
        <w:trPr>
          <w:trHeight w:val="567"/>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联系地址</w:t>
            </w:r>
            <w:r/>
          </w:p>
        </w:tc>
        <w:tc>
          <w:tcPr>
            <w:tcW w:w="2284" w:type="dxa"/>
            <w:vAlign w:val="center"/>
            <w:textDirection w:val="lrTb"/>
            <w:noWrap w:val="false"/>
          </w:tcPr>
          <w:p>
            <w:pPr>
              <w:jc w:val="center"/>
              <w:widowControl w:val="off"/>
              <w:rPr>
                <w:rFonts w:hint="eastAsia"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r>
            <w:r/>
          </w:p>
        </w:tc>
        <w:tc>
          <w:tcPr>
            <w:tcW w:w="1833"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联系电话</w:t>
            </w:r>
            <w:r/>
          </w:p>
        </w:tc>
        <w:tc>
          <w:tcPr>
            <w:tcW w:w="3331" w:type="dxa"/>
            <w:vAlign w:val="center"/>
            <w:textDirection w:val="lrTb"/>
            <w:noWrap w:val="false"/>
          </w:tcPr>
          <w:p>
            <w:pPr>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tc>
      </w:tr>
      <w:tr>
        <w:trPr>
          <w:trHeight w:val="5560"/>
        </w:trPr>
        <w:tc>
          <w:tcPr>
            <w:tcW w:w="2148" w:type="dxa"/>
            <w:vAlign w:val="center"/>
            <w:textDirection w:val="lrTb"/>
            <w:noWrap w:val="false"/>
          </w:tcPr>
          <w:p>
            <w:pPr>
              <w:jc w:val="center"/>
              <w:widowControl w:val="off"/>
              <w:rPr>
                <w:rFonts w:hint="default" w:ascii="Times New Roman" w:hAnsi="Times New Roman" w:eastAsia="宋体" w:cs="Times New Roman"/>
                <w:sz w:val="24"/>
                <w:szCs w:val="32"/>
                <w:highlight w:val="none"/>
                <w:vertAlign w:val="baseline"/>
                <w:lang w:val="en-US" w:eastAsia="zh-CN"/>
              </w:rPr>
            </w:pPr>
            <w:r>
              <w:rPr>
                <w:rFonts w:hint="eastAsia" w:ascii="Times New Roman" w:hAnsi="Times New Roman" w:eastAsia="宋体" w:cs="Times New Roman"/>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00"/>
              <w:jc w:val="both"/>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t xml:space="preserve">我公司自愿参加贵中心（公司）组织的本次采购活动，严格遵守《中华人民共和国政府采购法》及相关</w:t>
            </w:r>
            <w:r>
              <w:rPr>
                <w:rFonts w:hint="eastAsia" w:ascii="Times New Roman" w:hAnsi="Times New Roman" w:eastAsia="宋体" w:cs="Times New Roman"/>
                <w:sz w:val="20"/>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00"/>
              <w:jc w:val="both"/>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p>
            <w:pPr>
              <w:ind w:firstLine="400"/>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t xml:space="preserve">供应商名称（盖章）：</w:t>
            </w:r>
            <w:r/>
          </w:p>
          <w:p>
            <w:pPr>
              <w:ind w:firstLine="400"/>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p>
            <w:pPr>
              <w:ind w:firstLine="400"/>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t xml:space="preserve">法定代表人（签字）：</w:t>
            </w:r>
            <w:r/>
          </w:p>
          <w:p>
            <w:pPr>
              <w:ind w:firstLine="400"/>
              <w:jc w:val="center"/>
              <w:widowControl w:val="off"/>
              <w:rPr>
                <w:rFonts w:hint="eastAsia"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r>
            <w:r/>
          </w:p>
          <w:p>
            <w:pPr>
              <w:ind w:firstLine="400"/>
              <w:jc w:val="center"/>
              <w:widowControl w:val="off"/>
              <w:rPr>
                <w:rFonts w:hint="default" w:ascii="Times New Roman" w:hAnsi="Times New Roman" w:eastAsia="宋体" w:cs="Times New Roman"/>
                <w:sz w:val="20"/>
                <w:highlight w:val="none"/>
                <w:vertAlign w:val="baseline"/>
                <w:lang w:val="en-US" w:eastAsia="zh-CN"/>
              </w:rPr>
            </w:pPr>
            <w:r>
              <w:rPr>
                <w:rFonts w:hint="eastAsia" w:ascii="Times New Roman" w:hAnsi="Times New Roman" w:eastAsia="宋体" w:cs="Times New Roman"/>
                <w:sz w:val="20"/>
                <w:highlight w:val="none"/>
                <w:vertAlign w:val="baseline"/>
                <w:lang w:val="en-US" w:eastAsia="zh-CN"/>
              </w:rPr>
              <w:t xml:space="preserve">2026年11月XX日</w:t>
            </w:r>
            <w:r/>
          </w:p>
        </w:tc>
      </w:tr>
    </w:tbl>
    <w:p>
      <w:pPr>
        <w:ind w:right="42" w:firstLine="643"/>
        <w:jc w:val="both"/>
        <w:spacing w:before="179"/>
        <w:widowControl/>
        <w:rPr>
          <w:rFonts w:ascii="宋体" w:hAnsi="宋体" w:eastAsia="宋体"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ind w:left="420" w:firstLine="420"/>
        <w:jc w:val="both"/>
        <w:spacing w:after="120"/>
        <w:widowControl/>
        <w:rPr>
          <w:rFonts w:ascii="宋体" w:hAnsi="宋体" w:eastAsia="宋体"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sz w:val="21"/>
          <w:highlight w:val="none"/>
        </w:rPr>
        <w:t xml:space="preserve"> </w:t>
      </w:r>
      <w:r/>
    </w:p>
    <w:p>
      <w:pPr>
        <w:ind w:right="1470"/>
        <w:jc w:val="both"/>
        <w:widowControl/>
        <w:rPr>
          <w:rFonts w:ascii="宋体" w:hAnsi="宋体" w:eastAsia="宋体" w:cs="黑体"/>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黑体"/>
          <w:sz w:val="32"/>
          <w:highlight w:val="none"/>
        </w:rPr>
      </w:r>
      <w:r/>
    </w:p>
    <w:p>
      <w:pPr>
        <w:jc w:val="both"/>
        <w:spacing w:line="85" w:lineRule="atLeast"/>
        <w:widowControl/>
        <w:rPr>
          <w:rFonts w:ascii="宋体" w:hAnsi="宋体" w:eastAsia="宋体" w:cs="黑体"/>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黑体"/>
          <w:sz w:val="32"/>
          <w:highlight w:val="none"/>
        </w:rPr>
      </w:r>
      <w:r/>
    </w:p>
    <w:p>
      <w:pPr>
        <w:jc w:val="both"/>
        <w:spacing w:line="85" w:lineRule="atLeast"/>
        <w:widowControl/>
        <w:rPr>
          <w:rFonts w:ascii="宋体" w:hAnsi="宋体" w:eastAsia="宋体" w:cs="黑体"/>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黑体"/>
          <w:sz w:val="32"/>
          <w:highlight w:val="none"/>
        </w:rPr>
      </w:r>
      <w:r/>
    </w:p>
    <w:p>
      <w:pPr>
        <w:jc w:val="both"/>
        <w:spacing w:line="85" w:lineRule="atLeast"/>
        <w:widowControl/>
        <w:rPr>
          <w:rFonts w:ascii="宋体" w:hAnsi="宋体" w:eastAsia="宋体" w:cs="黑体"/>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黑体"/>
          <w:sz w:val="32"/>
          <w:highlight w:val="none"/>
        </w:rPr>
      </w:r>
      <w:r/>
    </w:p>
    <w:p>
      <w:pPr>
        <w:jc w:val="both"/>
        <w:widowControl/>
        <w:rPr>
          <w:rFonts w:ascii="宋体" w:hAnsi="宋体" w:eastAsia="宋体" w:cs="Times New Roman"/>
          <w:sz w:val="20"/>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sz w:val="20"/>
          <w:highlight w:val="none"/>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240"/>
        <w:jc w:val="both"/>
        <w:spacing w:line="360" w:lineRule="auto"/>
        <w:widowControl w:val="off"/>
        <w:rPr>
          <w:rFonts w:ascii="Arial" w:hAnsi="Arial" w:eastAsia="宋体" w:cs="Arial"/>
          <w:sz w:val="24"/>
          <w:szCs w:val="21"/>
          <w:highlight w:val="none"/>
          <w:lang w:val="en-US" w:eastAsia="zh-CN" w:bidi="ar-SA"/>
        </w:rPr>
      </w:pPr>
      <w:r>
        <w:rPr>
          <w:rFonts w:ascii="Arial" w:hAnsi="Arial" w:eastAsia="宋体" w:cs="Arial"/>
          <w:sz w:val="24"/>
          <w:szCs w:val="21"/>
          <w:highlight w:val="none"/>
          <w:lang w:val="en-US" w:eastAsia="zh-CN" w:bidi="ar-SA"/>
        </w:rPr>
      </w:r>
      <w:r/>
    </w:p>
    <w:p>
      <w:pPr>
        <w:pStyle w:val="1124"/>
        <w:ind w:firstLine="240"/>
        <w:rPr>
          <w:rFonts w:ascii="Arial" w:hAnsi="Arial" w:cs="Arial"/>
          <w:sz w:val="24"/>
          <w:highlight w:val="none"/>
        </w:rPr>
      </w:pPr>
      <w:r>
        <w:rPr>
          <w:rFonts w:ascii="Arial" w:hAnsi="Arial" w:cs="Arial"/>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rPr>
        <w:rStyle w:val="1129"/>
      </w:rPr>
    </w:pPr>
    <w:r>
      <w:rPr>
        <w:rStyle w:val="1129"/>
        <w:rFonts w:hint="eastAsia"/>
      </w:rPr>
      <w:t xml:space="preserve">            </w:t>
    </w:r>
    <w:r/>
  </w:p>
  <w:p>
    <w:pPr>
      <w:pStyle w:val="1107"/>
      <w:rPr>
        <w:rStyle w:val="1129"/>
      </w:rPr>
      <w:framePr w:wrap="around" w:vAnchor="text" w:hAnchor="page" w:x="6104" w:y="52"/>
    </w:pPr>
    <w:r>
      <w:rPr>
        <w:rStyle w:val="1129"/>
        <w:rFonts w:hint="eastAsia"/>
      </w:rPr>
      <w:t xml:space="preserve">                   </w:t>
    </w:r>
    <w:r/>
  </w:p>
  <w:p>
    <w:pPr>
      <w:pStyle w:val="110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w:fldChar w:fldCharType="begin"/>
    </w:r>
    <w:r>
      <w:instrText xml:space="preserve">PAGE   \* MERGEFORMAT</w:instrText>
    </w:r>
    <w:r>
      <w:fldChar w:fldCharType="separate"/>
    </w:r>
    <w:r>
      <w:rPr>
        <w:lang w:val="zh-CN"/>
      </w:rPr>
      <w:t xml:space="preserve">90</w:t>
    </w:r>
    <w:r>
      <w:fldChar w:fldCharType="end"/>
    </w:r>
    <w:r/>
  </w:p>
  <w:p>
    <w:pPr>
      <w:pStyle w:val="110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0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p>
    <w:pPr>
      <w:pStyle w:val="912"/>
      <w:rPr>
        <w:b/>
        <w:bCs/>
      </w:rPr>
    </w:pPr>
    <w:r>
      <w:rPr>
        <w:b/>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jc w:val="left"/>
      <w:rPr>
        <w:sz w:val="21"/>
      </w:rPr>
    </w:pPr>
    <w:r>
      <w:rPr>
        <w:rFonts w:hint="eastAsia"/>
        <w:sz w:val="21"/>
      </w:rPr>
      <w:t xml:space="preserve">苏美达国际技术贸易有限公司                                           SUMEC       </w:t>
    </w:r>
    <w:r/>
  </w:p>
  <w:p>
    <w:pPr>
      <w:pStyle w:val="110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73"/>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0">
    <w:name w:val="Heading 1 Char"/>
    <w:basedOn w:val="897"/>
    <w:link w:val="888"/>
    <w:uiPriority w:val="9"/>
    <w:rPr>
      <w:rFonts w:ascii="Arial" w:hAnsi="Arial" w:eastAsia="Arial" w:cs="Arial"/>
      <w:sz w:val="40"/>
      <w:szCs w:val="40"/>
    </w:rPr>
  </w:style>
  <w:style w:type="character" w:styleId="851">
    <w:name w:val="Heading 2 Char"/>
    <w:basedOn w:val="897"/>
    <w:link w:val="889"/>
    <w:uiPriority w:val="9"/>
    <w:rPr>
      <w:rFonts w:ascii="Arial" w:hAnsi="Arial" w:eastAsia="Arial" w:cs="Arial"/>
      <w:sz w:val="34"/>
    </w:rPr>
  </w:style>
  <w:style w:type="character" w:styleId="852">
    <w:name w:val="Heading 3 Char"/>
    <w:basedOn w:val="897"/>
    <w:link w:val="890"/>
    <w:uiPriority w:val="9"/>
    <w:rPr>
      <w:rFonts w:ascii="Arial" w:hAnsi="Arial" w:eastAsia="Arial" w:cs="Arial"/>
      <w:sz w:val="30"/>
      <w:szCs w:val="30"/>
    </w:rPr>
  </w:style>
  <w:style w:type="character" w:styleId="853">
    <w:name w:val="Heading 4 Char"/>
    <w:basedOn w:val="897"/>
    <w:link w:val="891"/>
    <w:uiPriority w:val="9"/>
    <w:rPr>
      <w:rFonts w:ascii="Arial" w:hAnsi="Arial" w:eastAsia="Arial" w:cs="Arial"/>
      <w:b/>
      <w:bCs/>
      <w:sz w:val="26"/>
      <w:szCs w:val="26"/>
    </w:rPr>
  </w:style>
  <w:style w:type="character" w:styleId="854">
    <w:name w:val="Heading 5 Char"/>
    <w:basedOn w:val="897"/>
    <w:link w:val="892"/>
    <w:uiPriority w:val="9"/>
    <w:rPr>
      <w:rFonts w:ascii="Arial" w:hAnsi="Arial" w:eastAsia="Arial" w:cs="Arial"/>
      <w:b/>
      <w:bCs/>
      <w:sz w:val="24"/>
      <w:szCs w:val="24"/>
    </w:rPr>
  </w:style>
  <w:style w:type="character" w:styleId="855">
    <w:name w:val="Heading 6 Char"/>
    <w:basedOn w:val="897"/>
    <w:link w:val="893"/>
    <w:uiPriority w:val="9"/>
    <w:rPr>
      <w:rFonts w:ascii="Arial" w:hAnsi="Arial" w:eastAsia="Arial" w:cs="Arial"/>
      <w:b/>
      <w:bCs/>
      <w:sz w:val="22"/>
      <w:szCs w:val="22"/>
    </w:rPr>
  </w:style>
  <w:style w:type="character" w:styleId="856">
    <w:name w:val="Heading 7 Char"/>
    <w:basedOn w:val="897"/>
    <w:link w:val="894"/>
    <w:uiPriority w:val="9"/>
    <w:rPr>
      <w:rFonts w:ascii="Arial" w:hAnsi="Arial" w:eastAsia="Arial" w:cs="Arial"/>
      <w:b/>
      <w:bCs/>
      <w:i/>
      <w:iCs/>
      <w:sz w:val="22"/>
      <w:szCs w:val="22"/>
    </w:rPr>
  </w:style>
  <w:style w:type="character" w:styleId="857">
    <w:name w:val="Heading 8 Char"/>
    <w:basedOn w:val="897"/>
    <w:link w:val="895"/>
    <w:uiPriority w:val="9"/>
    <w:rPr>
      <w:rFonts w:ascii="Arial" w:hAnsi="Arial" w:eastAsia="Arial" w:cs="Arial"/>
      <w:i/>
      <w:iCs/>
      <w:sz w:val="22"/>
      <w:szCs w:val="22"/>
    </w:rPr>
  </w:style>
  <w:style w:type="character" w:styleId="858">
    <w:name w:val="Heading 9 Char"/>
    <w:basedOn w:val="897"/>
    <w:link w:val="896"/>
    <w:uiPriority w:val="9"/>
    <w:rPr>
      <w:rFonts w:ascii="Arial" w:hAnsi="Arial" w:eastAsia="Arial" w:cs="Arial"/>
      <w:i/>
      <w:iCs/>
      <w:sz w:val="21"/>
      <w:szCs w:val="21"/>
    </w:rPr>
  </w:style>
  <w:style w:type="character" w:styleId="859">
    <w:name w:val="Title Char"/>
    <w:basedOn w:val="897"/>
    <w:link w:val="922"/>
    <w:uiPriority w:val="10"/>
    <w:rPr>
      <w:sz w:val="48"/>
      <w:szCs w:val="48"/>
    </w:rPr>
  </w:style>
  <w:style w:type="character" w:styleId="860">
    <w:name w:val="Subtitle Char"/>
    <w:basedOn w:val="897"/>
    <w:link w:val="915"/>
    <w:uiPriority w:val="11"/>
    <w:rPr>
      <w:sz w:val="24"/>
      <w:szCs w:val="24"/>
    </w:rPr>
  </w:style>
  <w:style w:type="character" w:styleId="861">
    <w:name w:val="Quote Char"/>
    <w:link w:val="945"/>
    <w:uiPriority w:val="29"/>
    <w:rPr>
      <w:i/>
    </w:rPr>
  </w:style>
  <w:style w:type="character" w:styleId="862">
    <w:name w:val="Intense Quote Char"/>
    <w:link w:val="947"/>
    <w:uiPriority w:val="30"/>
    <w:rPr>
      <w:i/>
    </w:rPr>
  </w:style>
  <w:style w:type="character" w:styleId="863">
    <w:name w:val="Header Char"/>
    <w:basedOn w:val="897"/>
    <w:link w:val="912"/>
    <w:uiPriority w:val="99"/>
  </w:style>
  <w:style w:type="character" w:styleId="864">
    <w:name w:val="Caption Char"/>
    <w:basedOn w:val="901"/>
    <w:link w:val="911"/>
    <w:uiPriority w:val="99"/>
  </w:style>
  <w:style w:type="table" w:styleId="86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4">
    <w:name w:val="Footnote Text Char"/>
    <w:link w:val="916"/>
    <w:uiPriority w:val="99"/>
    <w:rPr>
      <w:sz w:val="18"/>
    </w:rPr>
  </w:style>
  <w:style w:type="character" w:styleId="885">
    <w:name w:val="Endnote Text Char"/>
    <w:link w:val="910"/>
    <w:uiPriority w:val="99"/>
    <w:rPr>
      <w:sz w:val="20"/>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88">
    <w:name w:val="Heading 1"/>
    <w:basedOn w:val="887"/>
    <w:next w:val="887"/>
    <w:link w:val="934"/>
    <w:uiPriority w:val="9"/>
    <w:qFormat/>
    <w:pPr>
      <w:keepLines/>
      <w:keepNext/>
      <w:spacing w:before="480" w:after="200"/>
      <w:outlineLvl w:val="0"/>
    </w:pPr>
    <w:rPr>
      <w:rFonts w:ascii="Arial" w:hAnsi="Arial" w:eastAsia="Arial" w:cs="Arial"/>
      <w:sz w:val="40"/>
      <w:szCs w:val="40"/>
    </w:rPr>
  </w:style>
  <w:style w:type="paragraph" w:styleId="889">
    <w:name w:val="Heading 2"/>
    <w:basedOn w:val="887"/>
    <w:next w:val="887"/>
    <w:link w:val="935"/>
    <w:uiPriority w:val="9"/>
    <w:unhideWhenUsed/>
    <w:qFormat/>
    <w:pPr>
      <w:keepLines/>
      <w:keepNext/>
      <w:spacing w:before="360" w:after="200"/>
      <w:outlineLvl w:val="1"/>
    </w:pPr>
    <w:rPr>
      <w:rFonts w:ascii="Arial" w:hAnsi="Arial" w:eastAsia="Arial" w:cs="Arial"/>
      <w:sz w:val="34"/>
    </w:rPr>
  </w:style>
  <w:style w:type="paragraph" w:styleId="890">
    <w:name w:val="Heading 3"/>
    <w:basedOn w:val="887"/>
    <w:next w:val="887"/>
    <w:link w:val="936"/>
    <w:uiPriority w:val="9"/>
    <w:unhideWhenUsed/>
    <w:qFormat/>
    <w:pPr>
      <w:keepLines/>
      <w:keepNext/>
      <w:spacing w:before="320" w:after="200"/>
      <w:outlineLvl w:val="2"/>
    </w:pPr>
    <w:rPr>
      <w:rFonts w:ascii="Arial" w:hAnsi="Arial" w:eastAsia="Arial" w:cs="Arial"/>
      <w:sz w:val="30"/>
      <w:szCs w:val="30"/>
    </w:rPr>
  </w:style>
  <w:style w:type="paragraph" w:styleId="891">
    <w:name w:val="Heading 4"/>
    <w:basedOn w:val="887"/>
    <w:next w:val="887"/>
    <w:link w:val="937"/>
    <w:uiPriority w:val="9"/>
    <w:unhideWhenUsed/>
    <w:qFormat/>
    <w:pPr>
      <w:keepLines/>
      <w:keepNext/>
      <w:spacing w:before="320" w:after="200"/>
      <w:outlineLvl w:val="3"/>
    </w:pPr>
    <w:rPr>
      <w:rFonts w:ascii="Arial" w:hAnsi="Arial" w:eastAsia="Arial" w:cs="Arial"/>
      <w:b/>
      <w:bCs/>
      <w:sz w:val="26"/>
      <w:szCs w:val="26"/>
    </w:rPr>
  </w:style>
  <w:style w:type="paragraph" w:styleId="892">
    <w:name w:val="Heading 5"/>
    <w:basedOn w:val="887"/>
    <w:next w:val="887"/>
    <w:link w:val="938"/>
    <w:uiPriority w:val="9"/>
    <w:unhideWhenUsed/>
    <w:qFormat/>
    <w:pPr>
      <w:keepLines/>
      <w:keepNext/>
      <w:spacing w:before="320" w:after="200"/>
      <w:outlineLvl w:val="4"/>
    </w:pPr>
    <w:rPr>
      <w:rFonts w:ascii="Arial" w:hAnsi="Arial" w:eastAsia="Arial" w:cs="Arial"/>
      <w:b/>
      <w:bCs/>
      <w:sz w:val="24"/>
      <w:szCs w:val="24"/>
    </w:rPr>
  </w:style>
  <w:style w:type="paragraph" w:styleId="893">
    <w:name w:val="Heading 6"/>
    <w:basedOn w:val="887"/>
    <w:next w:val="887"/>
    <w:link w:val="939"/>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41"/>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42"/>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toc 7"/>
    <w:basedOn w:val="887"/>
    <w:next w:val="887"/>
    <w:uiPriority w:val="39"/>
    <w:unhideWhenUsed/>
    <w:qFormat/>
    <w:pPr>
      <w:ind w:left="1701"/>
      <w:spacing w:after="57"/>
    </w:pPr>
  </w:style>
  <w:style w:type="paragraph" w:styleId="900">
    <w:name w:val="Normal Indent"/>
    <w:basedOn w:val="887"/>
    <w:uiPriority w:val="0"/>
    <w:qFormat/>
    <w:pPr>
      <w:ind w:firstLine="420"/>
    </w:pPr>
  </w:style>
  <w:style w:type="paragraph" w:styleId="901">
    <w:name w:val="Caption"/>
    <w:basedOn w:val="887"/>
    <w:next w:val="8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2">
    <w:name w:val="annotation text"/>
    <w:basedOn w:val="887"/>
    <w:link w:val="1192"/>
    <w:uiPriority w:val="99"/>
    <w:unhideWhenUsed/>
    <w:qFormat/>
    <w:pPr>
      <w:jc w:val="left"/>
    </w:pPr>
  </w:style>
  <w:style w:type="paragraph" w:styleId="903">
    <w:name w:val="Body Text"/>
    <w:basedOn w:val="887"/>
    <w:next w:val="887"/>
    <w:uiPriority w:val="99"/>
    <w:qFormat/>
    <w:rPr>
      <w:rFonts w:ascii="华文中宋" w:eastAsia="华文中宋"/>
      <w:bCs/>
      <w:sz w:val="28"/>
    </w:rPr>
  </w:style>
  <w:style w:type="paragraph" w:styleId="904">
    <w:name w:val="Body Text Indent"/>
    <w:basedOn w:val="887"/>
    <w:uiPriority w:val="0"/>
    <w:qFormat/>
    <w:pPr>
      <w:ind w:left="565"/>
      <w:spacing w:after="100" w:line="360" w:lineRule="auto"/>
    </w:pPr>
    <w:rPr>
      <w:rFonts w:ascii="宋体"/>
      <w:sz w:val="28"/>
    </w:rPr>
  </w:style>
  <w:style w:type="paragraph" w:styleId="905">
    <w:name w:val="index 4"/>
    <w:basedOn w:val="887"/>
    <w:next w:val="887"/>
    <w:uiPriority w:val="99"/>
    <w:qFormat/>
    <w:pPr>
      <w:ind w:left="600"/>
    </w:pPr>
    <w:rPr>
      <w:szCs w:val="24"/>
    </w:rPr>
  </w:style>
  <w:style w:type="paragraph" w:styleId="906">
    <w:name w:val="toc 5"/>
    <w:basedOn w:val="887"/>
    <w:next w:val="887"/>
    <w:uiPriority w:val="39"/>
    <w:unhideWhenUsed/>
    <w:qFormat/>
    <w:pPr>
      <w:ind w:left="1134"/>
      <w:spacing w:after="57"/>
    </w:pPr>
  </w:style>
  <w:style w:type="paragraph" w:styleId="907">
    <w:name w:val="toc 3"/>
    <w:basedOn w:val="887"/>
    <w:next w:val="887"/>
    <w:uiPriority w:val="39"/>
    <w:unhideWhenUsed/>
    <w:qFormat/>
    <w:pPr>
      <w:ind w:left="567"/>
      <w:spacing w:after="57"/>
    </w:pPr>
  </w:style>
  <w:style w:type="paragraph" w:styleId="908">
    <w:name w:val="Plain Text"/>
    <w:basedOn w:val="887"/>
    <w:uiPriority w:val="0"/>
    <w:qFormat/>
    <w:pPr>
      <w:jc w:val="left"/>
      <w:widowControl/>
    </w:pPr>
    <w:rPr>
      <w:rFonts w:ascii="宋体" w:hAnsi="Courier New"/>
    </w:rPr>
  </w:style>
  <w:style w:type="paragraph" w:styleId="909">
    <w:name w:val="toc 8"/>
    <w:basedOn w:val="887"/>
    <w:next w:val="887"/>
    <w:uiPriority w:val="39"/>
    <w:unhideWhenUsed/>
    <w:qFormat/>
    <w:pPr>
      <w:ind w:left="1984"/>
      <w:spacing w:after="57"/>
    </w:pPr>
  </w:style>
  <w:style w:type="paragraph" w:styleId="910">
    <w:name w:val="endnote text"/>
    <w:basedOn w:val="887"/>
    <w:link w:val="1078"/>
    <w:uiPriority w:val="99"/>
    <w:semiHidden/>
    <w:unhideWhenUsed/>
    <w:qFormat/>
    <w:rPr>
      <w:sz w:val="20"/>
    </w:rPr>
  </w:style>
  <w:style w:type="paragraph" w:styleId="911">
    <w:name w:val="Footer"/>
    <w:basedOn w:val="887"/>
    <w:link w:val="951"/>
    <w:uiPriority w:val="99"/>
    <w:unhideWhenUsed/>
    <w:qFormat/>
    <w:pPr>
      <w:tabs>
        <w:tab w:val="center" w:pos="7143" w:leader="none"/>
        <w:tab w:val="right" w:pos="14287" w:leader="none"/>
      </w:tabs>
    </w:pPr>
  </w:style>
  <w:style w:type="paragraph" w:styleId="912">
    <w:name w:val="Header"/>
    <w:basedOn w:val="887"/>
    <w:link w:val="949"/>
    <w:uiPriority w:val="99"/>
    <w:unhideWhenUsed/>
    <w:qFormat/>
    <w:pPr>
      <w:tabs>
        <w:tab w:val="center" w:pos="7143" w:leader="none"/>
        <w:tab w:val="right" w:pos="14287" w:leader="none"/>
      </w:tabs>
    </w:pPr>
  </w:style>
  <w:style w:type="paragraph" w:styleId="913">
    <w:name w:val="toc 1"/>
    <w:basedOn w:val="887"/>
    <w:next w:val="887"/>
    <w:uiPriority w:val="39"/>
    <w:unhideWhenUsed/>
    <w:qFormat/>
    <w:pPr>
      <w:spacing w:after="57"/>
    </w:pPr>
  </w:style>
  <w:style w:type="paragraph" w:styleId="914">
    <w:name w:val="toc 4"/>
    <w:basedOn w:val="887"/>
    <w:next w:val="887"/>
    <w:uiPriority w:val="39"/>
    <w:unhideWhenUsed/>
    <w:qFormat/>
    <w:pPr>
      <w:ind w:left="850"/>
      <w:spacing w:after="57"/>
    </w:pPr>
  </w:style>
  <w:style w:type="paragraph" w:styleId="915">
    <w:name w:val="Subtitle"/>
    <w:basedOn w:val="887"/>
    <w:next w:val="887"/>
    <w:link w:val="944"/>
    <w:uiPriority w:val="11"/>
    <w:qFormat/>
    <w:pPr>
      <w:spacing w:before="200" w:after="200"/>
    </w:pPr>
    <w:rPr>
      <w:sz w:val="24"/>
      <w:szCs w:val="24"/>
    </w:rPr>
  </w:style>
  <w:style w:type="paragraph" w:styleId="916">
    <w:name w:val="footnote text"/>
    <w:basedOn w:val="887"/>
    <w:link w:val="1077"/>
    <w:uiPriority w:val="99"/>
    <w:semiHidden/>
    <w:unhideWhenUsed/>
    <w:qFormat/>
    <w:pPr>
      <w:spacing w:after="40"/>
    </w:pPr>
    <w:rPr>
      <w:sz w:val="18"/>
    </w:rPr>
  </w:style>
  <w:style w:type="paragraph" w:styleId="917">
    <w:name w:val="toc 6"/>
    <w:basedOn w:val="887"/>
    <w:next w:val="887"/>
    <w:uiPriority w:val="39"/>
    <w:unhideWhenUsed/>
    <w:qFormat/>
    <w:pPr>
      <w:ind w:left="1417"/>
      <w:spacing w:after="57"/>
    </w:pPr>
  </w:style>
  <w:style w:type="paragraph" w:styleId="918">
    <w:name w:val="table of figures"/>
    <w:basedOn w:val="887"/>
    <w:next w:val="887"/>
    <w:uiPriority w:val="99"/>
    <w:unhideWhenUsed/>
    <w:qFormat/>
  </w:style>
  <w:style w:type="paragraph" w:styleId="919">
    <w:name w:val="toc 2"/>
    <w:basedOn w:val="887"/>
    <w:next w:val="887"/>
    <w:uiPriority w:val="39"/>
    <w:unhideWhenUsed/>
    <w:qFormat/>
    <w:pPr>
      <w:ind w:left="283"/>
      <w:spacing w:after="57"/>
    </w:pPr>
  </w:style>
  <w:style w:type="paragraph" w:styleId="920">
    <w:name w:val="toc 9"/>
    <w:basedOn w:val="887"/>
    <w:next w:val="887"/>
    <w:uiPriority w:val="39"/>
    <w:unhideWhenUsed/>
    <w:qFormat/>
    <w:pPr>
      <w:ind w:left="2268"/>
      <w:spacing w:after="57"/>
    </w:pPr>
  </w:style>
  <w:style w:type="paragraph" w:styleId="921">
    <w:name w:val="Normal (Web)"/>
    <w:basedOn w:val="887"/>
    <w:uiPriority w:val="0"/>
    <w:qFormat/>
    <w:pPr>
      <w:jc w:val="left"/>
      <w:spacing w:beforeAutospacing="1" w:afterAutospacing="1"/>
    </w:pPr>
    <w:rPr>
      <w:sz w:val="24"/>
    </w:rPr>
  </w:style>
  <w:style w:type="paragraph" w:styleId="922">
    <w:name w:val="Title"/>
    <w:basedOn w:val="887"/>
    <w:next w:val="887"/>
    <w:link w:val="943"/>
    <w:uiPriority w:val="10"/>
    <w:qFormat/>
    <w:pPr>
      <w:contextualSpacing/>
      <w:spacing w:before="300" w:after="200"/>
    </w:pPr>
    <w:rPr>
      <w:sz w:val="48"/>
      <w:szCs w:val="48"/>
    </w:rPr>
  </w:style>
  <w:style w:type="paragraph" w:styleId="923">
    <w:name w:val="annotation subject"/>
    <w:basedOn w:val="902"/>
    <w:next w:val="902"/>
    <w:link w:val="1193"/>
    <w:uiPriority w:val="99"/>
    <w:semiHidden/>
    <w:unhideWhenUsed/>
    <w:qFormat/>
    <w:rPr>
      <w:b/>
      <w:bCs/>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7"/>
    <w:uiPriority w:val="22"/>
    <w:qFormat/>
    <w:rPr>
      <w:b/>
    </w:rPr>
  </w:style>
  <w:style w:type="character" w:styleId="926">
    <w:name w:val="endnote reference"/>
    <w:uiPriority w:val="99"/>
    <w:semiHidden/>
    <w:unhideWhenUsed/>
    <w:qFormat/>
    <w:rPr>
      <w:vertAlign w:val="superscript"/>
    </w:rPr>
  </w:style>
  <w:style w:type="character" w:styleId="927">
    <w:name w:val="page number"/>
    <w:basedOn w:val="897"/>
    <w:uiPriority w:val="0"/>
    <w:qFormat/>
  </w:style>
  <w:style w:type="character" w:styleId="928">
    <w:name w:val="Emphasis"/>
    <w:basedOn w:val="897"/>
    <w:uiPriority w:val="20"/>
    <w:qFormat/>
    <w:rPr>
      <w:i/>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897"/>
    <w:uiPriority w:val="99"/>
    <w:semiHidden/>
    <w:unhideWhenUsed/>
    <w:qFormat/>
    <w:rPr>
      <w:sz w:val="21"/>
      <w:szCs w:val="21"/>
    </w:rPr>
  </w:style>
  <w:style w:type="character" w:styleId="931">
    <w:name w:val="footnote reference"/>
    <w:uiPriority w:val="99"/>
    <w:unhideWhenUsed/>
    <w:qFormat/>
    <w:rPr>
      <w:vertAlign w:val="superscript"/>
    </w:rPr>
  </w:style>
  <w:style w:type="paragraph" w:styleId="932" w:customStyle="1">
    <w:name w:val="索引 41"/>
    <w:basedOn w:val="887"/>
    <w:next w:val="887"/>
    <w:uiPriority w:val="0"/>
    <w:qFormat/>
    <w:pPr>
      <w:ind w:left="600"/>
    </w:pPr>
    <w:rPr>
      <w:rFonts w:ascii="Calibri" w:hAnsi="Calibri"/>
      <w:szCs w:val="24"/>
    </w:rPr>
  </w:style>
  <w:style w:type="paragraph" w:styleId="933" w:customStyle="1">
    <w:name w:val="正文文本1"/>
    <w:basedOn w:val="887"/>
    <w:link w:val="1087"/>
    <w:uiPriority w:val="0"/>
    <w:qFormat/>
    <w:rPr>
      <w:rFonts w:ascii="宋体"/>
      <w:sz w:val="28"/>
    </w:rPr>
  </w:style>
  <w:style w:type="character" w:styleId="934" w:customStyle="1">
    <w:name w:val="标题 1 字符"/>
    <w:link w:val="888"/>
    <w:uiPriority w:val="9"/>
    <w:qFormat/>
    <w:rPr>
      <w:rFonts w:ascii="Arial" w:hAnsi="Arial" w:eastAsia="Arial" w:cs="Arial"/>
      <w:sz w:val="40"/>
      <w:szCs w:val="40"/>
    </w:rPr>
  </w:style>
  <w:style w:type="character" w:styleId="935" w:customStyle="1">
    <w:name w:val="标题 2 字符1"/>
    <w:link w:val="889"/>
    <w:uiPriority w:val="9"/>
    <w:qFormat/>
    <w:rPr>
      <w:rFonts w:ascii="Arial" w:hAnsi="Arial" w:eastAsia="Arial" w:cs="Arial"/>
      <w:sz w:val="34"/>
    </w:rPr>
  </w:style>
  <w:style w:type="character" w:styleId="936" w:customStyle="1">
    <w:name w:val="标题 3 字符1"/>
    <w:link w:val="890"/>
    <w:uiPriority w:val="9"/>
    <w:qFormat/>
    <w:rPr>
      <w:rFonts w:ascii="Arial" w:hAnsi="Arial" w:eastAsia="Arial" w:cs="Arial"/>
      <w:sz w:val="30"/>
      <w:szCs w:val="30"/>
    </w:rPr>
  </w:style>
  <w:style w:type="character" w:styleId="937" w:customStyle="1">
    <w:name w:val="标题 4 字符"/>
    <w:link w:val="891"/>
    <w:uiPriority w:val="9"/>
    <w:qFormat/>
    <w:rPr>
      <w:rFonts w:ascii="Arial" w:hAnsi="Arial" w:eastAsia="Arial" w:cs="Arial"/>
      <w:b/>
      <w:bCs/>
      <w:sz w:val="26"/>
      <w:szCs w:val="26"/>
    </w:rPr>
  </w:style>
  <w:style w:type="character" w:styleId="938" w:customStyle="1">
    <w:name w:val="标题 5 字符"/>
    <w:link w:val="892"/>
    <w:uiPriority w:val="9"/>
    <w:qFormat/>
    <w:rPr>
      <w:rFonts w:ascii="Arial" w:hAnsi="Arial" w:eastAsia="Arial" w:cs="Arial"/>
      <w:b/>
      <w:bCs/>
      <w:sz w:val="24"/>
      <w:szCs w:val="24"/>
    </w:rPr>
  </w:style>
  <w:style w:type="character" w:styleId="939" w:customStyle="1">
    <w:name w:val="标题 6 字符"/>
    <w:link w:val="893"/>
    <w:uiPriority w:val="9"/>
    <w:qFormat/>
    <w:rPr>
      <w:rFonts w:ascii="Arial" w:hAnsi="Arial" w:eastAsia="Arial" w:cs="Arial"/>
      <w:b/>
      <w:bCs/>
      <w:sz w:val="22"/>
      <w:szCs w:val="22"/>
    </w:rPr>
  </w:style>
  <w:style w:type="character" w:styleId="940" w:customStyle="1">
    <w:name w:val="标题 7 字符"/>
    <w:link w:val="894"/>
    <w:uiPriority w:val="9"/>
    <w:qFormat/>
    <w:rPr>
      <w:rFonts w:ascii="Arial" w:hAnsi="Arial" w:eastAsia="Arial" w:cs="Arial"/>
      <w:b/>
      <w:bCs/>
      <w:i/>
      <w:iCs/>
      <w:sz w:val="22"/>
      <w:szCs w:val="22"/>
    </w:rPr>
  </w:style>
  <w:style w:type="character" w:styleId="941" w:customStyle="1">
    <w:name w:val="标题 8 字符"/>
    <w:link w:val="895"/>
    <w:uiPriority w:val="9"/>
    <w:qFormat/>
    <w:rPr>
      <w:rFonts w:ascii="Arial" w:hAnsi="Arial" w:eastAsia="Arial" w:cs="Arial"/>
      <w:i/>
      <w:iCs/>
      <w:sz w:val="22"/>
      <w:szCs w:val="22"/>
    </w:rPr>
  </w:style>
  <w:style w:type="character" w:styleId="942" w:customStyle="1">
    <w:name w:val="标题 9 字符"/>
    <w:link w:val="896"/>
    <w:uiPriority w:val="9"/>
    <w:qFormat/>
    <w:rPr>
      <w:rFonts w:ascii="Arial" w:hAnsi="Arial" w:eastAsia="Arial" w:cs="Arial"/>
      <w:i/>
      <w:iCs/>
      <w:sz w:val="21"/>
      <w:szCs w:val="21"/>
    </w:rPr>
  </w:style>
  <w:style w:type="character" w:styleId="943" w:customStyle="1">
    <w:name w:val="标题 字符1"/>
    <w:link w:val="922"/>
    <w:uiPriority w:val="10"/>
    <w:qFormat/>
    <w:rPr>
      <w:sz w:val="48"/>
      <w:szCs w:val="48"/>
    </w:rPr>
  </w:style>
  <w:style w:type="character" w:styleId="944" w:customStyle="1">
    <w:name w:val="副标题 字符"/>
    <w:link w:val="915"/>
    <w:uiPriority w:val="11"/>
    <w:qFormat/>
    <w:rPr>
      <w:sz w:val="24"/>
      <w:szCs w:val="24"/>
    </w:rPr>
  </w:style>
  <w:style w:type="paragraph" w:styleId="945">
    <w:name w:val="Quote"/>
    <w:basedOn w:val="887"/>
    <w:next w:val="887"/>
    <w:link w:val="946"/>
    <w:uiPriority w:val="29"/>
    <w:qFormat/>
    <w:pPr>
      <w:ind w:left="720" w:right="720"/>
    </w:pPr>
    <w:rPr>
      <w:i/>
    </w:rPr>
  </w:style>
  <w:style w:type="character" w:styleId="946" w:customStyle="1">
    <w:name w:val="引用 字符"/>
    <w:link w:val="945"/>
    <w:uiPriority w:val="29"/>
    <w:qFormat/>
    <w:rPr>
      <w:i/>
    </w:rPr>
  </w:style>
  <w:style w:type="paragraph" w:styleId="947">
    <w:name w:val="Intense Quote"/>
    <w:basedOn w:val="887"/>
    <w:next w:val="887"/>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页眉 字符1"/>
    <w:link w:val="912"/>
    <w:uiPriority w:val="99"/>
    <w:qFormat/>
  </w:style>
  <w:style w:type="character" w:styleId="950" w:customStyle="1">
    <w:name w:val="Footer Char"/>
    <w:uiPriority w:val="99"/>
    <w:qFormat/>
  </w:style>
  <w:style w:type="character" w:styleId="951" w:customStyle="1">
    <w:name w:val="页脚 字符2"/>
    <w:link w:val="911"/>
    <w:uiPriority w:val="99"/>
    <w:qFormat/>
  </w:style>
  <w:style w:type="table" w:styleId="9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脚注文本 字符"/>
    <w:link w:val="916"/>
    <w:uiPriority w:val="99"/>
    <w:qFormat/>
    <w:rPr>
      <w:sz w:val="18"/>
    </w:rPr>
  </w:style>
  <w:style w:type="character" w:styleId="1078" w:customStyle="1">
    <w:name w:val="尾注文本 字符"/>
    <w:link w:val="910"/>
    <w:uiPriority w:val="99"/>
    <w:qFormat/>
    <w:rPr>
      <w:sz w:val="20"/>
    </w:rPr>
  </w:style>
  <w:style w:type="paragraph" w:styleId="1079" w:customStyle="1">
    <w:name w:val="TOC 标题1"/>
    <w:uiPriority w:val="39"/>
    <w:unhideWhenUsed/>
    <w:qFormat/>
    <w:rPr>
      <w:rFonts w:ascii="Times New Roman" w:hAnsi="Times New Roman" w:eastAsia="宋体" w:cs="Times New Roman"/>
      <w:lang w:val="en-US" w:eastAsia="zh-CN" w:bidi="ar-SA"/>
    </w:rPr>
  </w:style>
  <w:style w:type="paragraph" w:styleId="1080" w:customStyle="1">
    <w:name w:val="标题 11"/>
    <w:basedOn w:val="887"/>
    <w:next w:val="887"/>
    <w:uiPriority w:val="0"/>
    <w:qFormat/>
    <w:pPr>
      <w:jc w:val="center"/>
      <w:keepNext/>
      <w:spacing w:line="440" w:lineRule="exact"/>
      <w:outlineLvl w:val="0"/>
    </w:pPr>
    <w:rPr>
      <w:rFonts w:ascii="宋体"/>
      <w:sz w:val="28"/>
    </w:rPr>
  </w:style>
  <w:style w:type="paragraph" w:styleId="1081" w:customStyle="1">
    <w:name w:val="标题 21"/>
    <w:basedOn w:val="887"/>
    <w:next w:val="887"/>
    <w:link w:val="1088"/>
    <w:uiPriority w:val="9"/>
    <w:qFormat/>
    <w:pPr>
      <w:keepLines/>
      <w:keepNext/>
      <w:spacing w:before="260" w:after="260" w:line="416" w:lineRule="auto"/>
      <w:outlineLvl w:val="1"/>
    </w:pPr>
    <w:rPr>
      <w:rFonts w:ascii="Arial" w:hAnsi="Arial" w:eastAsia="黑体"/>
      <w:b/>
      <w:bCs/>
      <w:sz w:val="32"/>
      <w:szCs w:val="32"/>
    </w:rPr>
  </w:style>
  <w:style w:type="paragraph" w:styleId="1082" w:customStyle="1">
    <w:name w:val="标题 31"/>
    <w:basedOn w:val="887"/>
    <w:next w:val="1083"/>
    <w:link w:val="1089"/>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83" w:customStyle="1">
    <w:name w:val="正文缩进1"/>
    <w:basedOn w:val="887"/>
    <w:uiPriority w:val="99"/>
    <w:qFormat/>
    <w:pPr>
      <w:ind w:firstLine="420"/>
    </w:pPr>
    <w:rPr>
      <w:b/>
      <w:sz w:val="24"/>
    </w:rPr>
  </w:style>
  <w:style w:type="paragraph" w:styleId="1084" w:customStyle="1">
    <w:name w:val="标题 41"/>
    <w:basedOn w:val="887"/>
    <w:next w:val="887"/>
    <w:uiPriority w:val="0"/>
    <w:qFormat/>
    <w:pPr>
      <w:keepLines/>
      <w:keepNext/>
      <w:spacing w:before="280" w:after="290" w:line="372" w:lineRule="auto"/>
      <w:outlineLvl w:val="3"/>
    </w:pPr>
    <w:rPr>
      <w:rFonts w:ascii="Arial" w:hAnsi="Arial" w:eastAsia="黑体" w:cs="Arial"/>
      <w:b/>
      <w:bCs/>
      <w:sz w:val="28"/>
      <w:szCs w:val="28"/>
    </w:rPr>
  </w:style>
  <w:style w:type="character" w:styleId="1085" w:customStyle="1">
    <w:name w:val="默认段落字体1"/>
    <w:uiPriority w:val="0"/>
    <w:semiHidden/>
    <w:qFormat/>
    <w:rPr>
      <w:sz w:val="24"/>
    </w:rPr>
  </w:style>
  <w:style w:type="table" w:styleId="1086"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087" w:customStyle="1">
    <w:name w:val="正文文本 字符"/>
    <w:link w:val="933"/>
    <w:uiPriority w:val="0"/>
    <w:qFormat/>
    <w:rPr>
      <w:rFonts w:ascii="宋体" w:eastAsia="宋体"/>
      <w:sz w:val="28"/>
      <w:lang w:val="en-US" w:eastAsia="zh-CN" w:bidi="ar-SA"/>
    </w:rPr>
  </w:style>
  <w:style w:type="character" w:styleId="1088" w:customStyle="1">
    <w:name w:val="标题 2 字符"/>
    <w:link w:val="1081"/>
    <w:uiPriority w:val="9"/>
    <w:qFormat/>
    <w:rPr>
      <w:rFonts w:ascii="Arial" w:hAnsi="Arial" w:eastAsia="黑体"/>
      <w:b/>
      <w:bCs/>
      <w:sz w:val="32"/>
      <w:szCs w:val="32"/>
    </w:rPr>
  </w:style>
  <w:style w:type="character" w:styleId="1089" w:customStyle="1">
    <w:name w:val="标题 3 字符"/>
    <w:link w:val="1082"/>
    <w:uiPriority w:val="9"/>
    <w:qFormat/>
    <w:rPr>
      <w:rFonts w:ascii="仿宋_GB2312" w:eastAsia="仿宋_GB2312"/>
      <w:sz w:val="32"/>
    </w:rPr>
  </w:style>
  <w:style w:type="paragraph" w:styleId="1090" w:customStyle="1">
    <w:name w:val="列表 31"/>
    <w:basedOn w:val="887"/>
    <w:uiPriority w:val="0"/>
    <w:qFormat/>
    <w:pPr>
      <w:contextualSpacing/>
      <w:ind w:left="100" w:hanging="200"/>
    </w:pPr>
  </w:style>
  <w:style w:type="paragraph" w:styleId="1091" w:customStyle="1">
    <w:name w:val="目录 71"/>
    <w:basedOn w:val="887"/>
    <w:next w:val="887"/>
    <w:uiPriority w:val="0"/>
    <w:qFormat/>
    <w:pPr>
      <w:ind w:left="2520"/>
    </w:pPr>
  </w:style>
  <w:style w:type="paragraph" w:styleId="1092" w:customStyle="1">
    <w:name w:val="批注文字1"/>
    <w:basedOn w:val="887"/>
    <w:link w:val="1093"/>
    <w:uiPriority w:val="0"/>
    <w:qFormat/>
    <w:pPr>
      <w:jc w:val="left"/>
    </w:pPr>
  </w:style>
  <w:style w:type="character" w:styleId="1093" w:customStyle="1">
    <w:name w:val="批注文字 字符"/>
    <w:link w:val="1092"/>
    <w:uiPriority w:val="0"/>
    <w:qFormat/>
    <w:rPr>
      <w:sz w:val="21"/>
    </w:rPr>
  </w:style>
  <w:style w:type="paragraph" w:styleId="1094" w:customStyle="1">
    <w:name w:val="称呼1"/>
    <w:basedOn w:val="887"/>
    <w:next w:val="887"/>
    <w:uiPriority w:val="0"/>
    <w:qFormat/>
    <w:pPr>
      <w:jc w:val="left"/>
      <w:widowControl/>
    </w:pPr>
    <w:rPr>
      <w:sz w:val="24"/>
    </w:rPr>
  </w:style>
  <w:style w:type="paragraph" w:styleId="1095" w:customStyle="1">
    <w:name w:val="正文文本缩进1"/>
    <w:basedOn w:val="887"/>
    <w:uiPriority w:val="0"/>
    <w:qFormat/>
    <w:pPr>
      <w:ind w:firstLine="420"/>
      <w:spacing w:line="360" w:lineRule="auto"/>
    </w:pPr>
    <w:rPr>
      <w:rFonts w:ascii="宋体"/>
      <w:sz w:val="24"/>
    </w:rPr>
  </w:style>
  <w:style w:type="paragraph" w:styleId="1096" w:customStyle="1">
    <w:name w:val="列表 21"/>
    <w:basedOn w:val="887"/>
    <w:uiPriority w:val="0"/>
    <w:qFormat/>
    <w:pPr>
      <w:ind w:left="100" w:hanging="200"/>
    </w:pPr>
  </w:style>
  <w:style w:type="paragraph" w:styleId="1097" w:customStyle="1">
    <w:name w:val="目录 51"/>
    <w:basedOn w:val="887"/>
    <w:next w:val="887"/>
    <w:uiPriority w:val="0"/>
    <w:qFormat/>
    <w:pPr>
      <w:ind w:left="1680"/>
    </w:pPr>
  </w:style>
  <w:style w:type="paragraph" w:styleId="1098" w:customStyle="1">
    <w:name w:val="目录 31"/>
    <w:basedOn w:val="887"/>
    <w:next w:val="887"/>
    <w:uiPriority w:val="39"/>
    <w:qFormat/>
    <w:pPr>
      <w:ind w:left="840"/>
    </w:pPr>
  </w:style>
  <w:style w:type="paragraph" w:styleId="1099" w:customStyle="1">
    <w:name w:val="纯文本1"/>
    <w:basedOn w:val="887"/>
    <w:link w:val="1100"/>
    <w:uiPriority w:val="0"/>
    <w:qFormat/>
    <w:rPr>
      <w:rFonts w:ascii="宋体" w:hAnsi="Courier New"/>
    </w:rPr>
  </w:style>
  <w:style w:type="character" w:styleId="1100" w:customStyle="1">
    <w:name w:val="纯文本 字符"/>
    <w:link w:val="1099"/>
    <w:uiPriority w:val="0"/>
    <w:qFormat/>
    <w:rPr>
      <w:rFonts w:ascii="宋体" w:hAnsi="Courier New" w:eastAsia="宋体"/>
      <w:sz w:val="21"/>
      <w:lang w:val="en-US" w:eastAsia="zh-CN" w:bidi="ar-SA"/>
    </w:rPr>
  </w:style>
  <w:style w:type="paragraph" w:styleId="1101" w:customStyle="1">
    <w:name w:val="目录 81"/>
    <w:basedOn w:val="887"/>
    <w:next w:val="887"/>
    <w:uiPriority w:val="0"/>
    <w:qFormat/>
    <w:pPr>
      <w:ind w:left="2940"/>
    </w:pPr>
  </w:style>
  <w:style w:type="paragraph" w:styleId="1102" w:customStyle="1">
    <w:name w:val="日期1"/>
    <w:basedOn w:val="887"/>
    <w:next w:val="887"/>
    <w:link w:val="1103"/>
    <w:uiPriority w:val="0"/>
    <w:qFormat/>
    <w:rPr>
      <w:rFonts w:ascii="宋体"/>
    </w:rPr>
  </w:style>
  <w:style w:type="character" w:styleId="1103" w:customStyle="1">
    <w:name w:val="日期 字符"/>
    <w:link w:val="1102"/>
    <w:uiPriority w:val="0"/>
    <w:qFormat/>
    <w:rPr>
      <w:rFonts w:ascii="宋体"/>
      <w:sz w:val="21"/>
    </w:rPr>
  </w:style>
  <w:style w:type="paragraph" w:styleId="1104" w:customStyle="1">
    <w:name w:val="正文文本缩进 21"/>
    <w:basedOn w:val="887"/>
    <w:uiPriority w:val="0"/>
    <w:qFormat/>
    <w:pPr>
      <w:ind w:firstLine="525"/>
      <w:spacing w:line="420" w:lineRule="exact"/>
    </w:pPr>
    <w:rPr>
      <w:rFonts w:ascii="宋体"/>
    </w:rPr>
  </w:style>
  <w:style w:type="paragraph" w:styleId="1105" w:customStyle="1">
    <w:name w:val="批注框文本1"/>
    <w:basedOn w:val="887"/>
    <w:link w:val="1106"/>
    <w:uiPriority w:val="99"/>
    <w:qFormat/>
    <w:rPr>
      <w:sz w:val="18"/>
      <w:szCs w:val="18"/>
    </w:rPr>
  </w:style>
  <w:style w:type="character" w:styleId="1106" w:customStyle="1">
    <w:name w:val="批注框文本 字符"/>
    <w:link w:val="1105"/>
    <w:uiPriority w:val="99"/>
    <w:qFormat/>
    <w:rPr>
      <w:sz w:val="18"/>
      <w:szCs w:val="18"/>
    </w:rPr>
  </w:style>
  <w:style w:type="paragraph" w:styleId="1107" w:customStyle="1">
    <w:name w:val="页脚1"/>
    <w:basedOn w:val="887"/>
    <w:link w:val="1108"/>
    <w:uiPriority w:val="99"/>
    <w:qFormat/>
    <w:pPr>
      <w:jc w:val="left"/>
      <w:tabs>
        <w:tab w:val="center" w:pos="4153" w:leader="none"/>
        <w:tab w:val="right" w:pos="8306" w:leader="none"/>
      </w:tabs>
    </w:pPr>
    <w:rPr>
      <w:sz w:val="18"/>
    </w:rPr>
  </w:style>
  <w:style w:type="character" w:styleId="1108" w:customStyle="1">
    <w:name w:val="页脚 字符1"/>
    <w:link w:val="1107"/>
    <w:uiPriority w:val="99"/>
    <w:qFormat/>
    <w:rPr>
      <w:sz w:val="18"/>
    </w:rPr>
  </w:style>
  <w:style w:type="paragraph" w:styleId="1109" w:customStyle="1">
    <w:name w:val="页眉1"/>
    <w:basedOn w:val="887"/>
    <w:link w:val="1110"/>
    <w:uiPriority w:val="99"/>
    <w:qFormat/>
    <w:pPr>
      <w:jc w:val="center"/>
      <w:tabs>
        <w:tab w:val="center" w:pos="4153" w:leader="none"/>
        <w:tab w:val="right" w:pos="8306" w:leader="none"/>
      </w:tabs>
      <w:pBdr>
        <w:bottom w:val="single" w:color="000000" w:sz="6" w:space="1"/>
      </w:pBdr>
    </w:pPr>
    <w:rPr>
      <w:sz w:val="18"/>
    </w:rPr>
  </w:style>
  <w:style w:type="character" w:styleId="1110" w:customStyle="1">
    <w:name w:val="页眉 字符"/>
    <w:link w:val="1109"/>
    <w:uiPriority w:val="99"/>
    <w:qFormat/>
    <w:rPr>
      <w:sz w:val="18"/>
    </w:rPr>
  </w:style>
  <w:style w:type="paragraph" w:styleId="1111" w:customStyle="1">
    <w:name w:val="目录 11"/>
    <w:basedOn w:val="887"/>
    <w:next w:val="887"/>
    <w:uiPriority w:val="39"/>
    <w:qFormat/>
  </w:style>
  <w:style w:type="paragraph" w:styleId="1112" w:customStyle="1">
    <w:name w:val="目录 41"/>
    <w:basedOn w:val="887"/>
    <w:next w:val="887"/>
    <w:uiPriority w:val="0"/>
    <w:qFormat/>
    <w:pPr>
      <w:ind w:left="1260"/>
    </w:pPr>
  </w:style>
  <w:style w:type="paragraph" w:styleId="1113" w:customStyle="1">
    <w:name w:val="目录 61"/>
    <w:basedOn w:val="887"/>
    <w:next w:val="887"/>
    <w:uiPriority w:val="0"/>
    <w:qFormat/>
    <w:pPr>
      <w:ind w:left="2100"/>
    </w:pPr>
  </w:style>
  <w:style w:type="paragraph" w:styleId="1114" w:customStyle="1">
    <w:name w:val="正文文本缩进 31"/>
    <w:basedOn w:val="887"/>
    <w:uiPriority w:val="0"/>
    <w:qFormat/>
    <w:pPr>
      <w:ind w:firstLine="841"/>
    </w:pPr>
    <w:rPr>
      <w:rFonts w:eastAsia="华文新魏"/>
      <w:b/>
      <w:bCs/>
      <w:sz w:val="84"/>
    </w:rPr>
  </w:style>
  <w:style w:type="paragraph" w:styleId="1115" w:customStyle="1">
    <w:name w:val="目录 21"/>
    <w:basedOn w:val="887"/>
    <w:next w:val="887"/>
    <w:uiPriority w:val="39"/>
    <w:qFormat/>
    <w:pPr>
      <w:ind w:left="420"/>
    </w:pPr>
  </w:style>
  <w:style w:type="paragraph" w:styleId="1116" w:customStyle="1">
    <w:name w:val="目录 91"/>
    <w:basedOn w:val="887"/>
    <w:next w:val="887"/>
    <w:uiPriority w:val="0"/>
    <w:qFormat/>
    <w:pPr>
      <w:ind w:left="3360"/>
    </w:pPr>
  </w:style>
  <w:style w:type="paragraph" w:styleId="1117" w:customStyle="1">
    <w:name w:val="信息标题1"/>
    <w:basedOn w:val="88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18" w:customStyle="1">
    <w:name w:val="HTML 预设格式1"/>
    <w:basedOn w:val="8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19" w:customStyle="1">
    <w:name w:val="普通(网站)1"/>
    <w:basedOn w:val="887"/>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20" w:customStyle="1">
    <w:name w:val="标题1"/>
    <w:basedOn w:val="887"/>
    <w:next w:val="887"/>
    <w:link w:val="1121"/>
    <w:uiPriority w:val="0"/>
    <w:qFormat/>
    <w:pPr>
      <w:jc w:val="center"/>
    </w:pPr>
    <w:rPr>
      <w:sz w:val="30"/>
      <w:szCs w:val="24"/>
    </w:rPr>
  </w:style>
  <w:style w:type="character" w:styleId="1121" w:customStyle="1">
    <w:name w:val="标题 字符"/>
    <w:link w:val="1120"/>
    <w:uiPriority w:val="0"/>
    <w:qFormat/>
    <w:rPr>
      <w:sz w:val="30"/>
      <w:szCs w:val="24"/>
    </w:rPr>
  </w:style>
  <w:style w:type="paragraph" w:styleId="1122" w:customStyle="1">
    <w:name w:val="批注主题1"/>
    <w:basedOn w:val="1092"/>
    <w:next w:val="1092"/>
    <w:link w:val="1123"/>
    <w:uiPriority w:val="0"/>
    <w:qFormat/>
    <w:rPr>
      <w:b/>
      <w:bCs/>
    </w:rPr>
  </w:style>
  <w:style w:type="character" w:styleId="1123" w:customStyle="1">
    <w:name w:val="批注主题 字符"/>
    <w:link w:val="1122"/>
    <w:uiPriority w:val="0"/>
    <w:qFormat/>
    <w:rPr>
      <w:b/>
      <w:bCs/>
      <w:sz w:val="21"/>
    </w:rPr>
  </w:style>
  <w:style w:type="paragraph" w:styleId="1124" w:customStyle="1">
    <w:name w:val="正文首行缩进1"/>
    <w:basedOn w:val="933"/>
    <w:link w:val="1125"/>
    <w:uiPriority w:val="0"/>
    <w:qFormat/>
    <w:pPr>
      <w:ind w:firstLine="420"/>
      <w:spacing w:line="360" w:lineRule="auto"/>
    </w:pPr>
    <w:rPr>
      <w:rFonts w:ascii="Times New Roman"/>
      <w:szCs w:val="21"/>
    </w:rPr>
  </w:style>
  <w:style w:type="character" w:styleId="1125" w:customStyle="1">
    <w:name w:val="正文文本首行缩进 字符"/>
    <w:link w:val="1124"/>
    <w:uiPriority w:val="0"/>
    <w:qFormat/>
    <w:rPr>
      <w:sz w:val="28"/>
      <w:szCs w:val="21"/>
    </w:rPr>
  </w:style>
  <w:style w:type="paragraph" w:styleId="1126" w:customStyle="1">
    <w:name w:val="正文首行缩进 21"/>
    <w:basedOn w:val="1095"/>
    <w:uiPriority w:val="0"/>
    <w:qFormat/>
    <w:rPr>
      <w:rFonts w:hAnsi="Calibri"/>
      <w:szCs w:val="22"/>
      <w:u w:val="single"/>
    </w:rPr>
  </w:style>
  <w:style w:type="table" w:styleId="1127" w:customStyle="1">
    <w:name w:val="网格型1"/>
    <w:basedOn w:val="1086"/>
    <w:uiPriority w:val="59"/>
    <w:qFormat/>
    <w:tblPr/>
  </w:style>
  <w:style w:type="character" w:styleId="1128" w:customStyle="1">
    <w:name w:val="要点1"/>
    <w:uiPriority w:val="0"/>
    <w:qFormat/>
    <w:rPr>
      <w:b/>
      <w:bCs/>
    </w:rPr>
  </w:style>
  <w:style w:type="character" w:styleId="1129" w:customStyle="1">
    <w:name w:val="页码1"/>
    <w:uiPriority w:val="99"/>
    <w:qFormat/>
  </w:style>
  <w:style w:type="character" w:styleId="1130" w:customStyle="1">
    <w:name w:val="已访问的超链接1"/>
    <w:uiPriority w:val="0"/>
    <w:qFormat/>
    <w:rPr>
      <w:color w:val="000000"/>
      <w:sz w:val="18"/>
      <w:szCs w:val="18"/>
      <w:u w:val="none"/>
    </w:rPr>
  </w:style>
  <w:style w:type="character" w:styleId="1131" w:customStyle="1">
    <w:name w:val="强调1"/>
    <w:uiPriority w:val="0"/>
    <w:qFormat/>
    <w:rPr>
      <w:i/>
    </w:rPr>
  </w:style>
  <w:style w:type="character" w:styleId="1132" w:customStyle="1">
    <w:name w:val="超链接1"/>
    <w:uiPriority w:val="99"/>
    <w:qFormat/>
    <w:rPr>
      <w:color w:val="000000"/>
      <w:sz w:val="18"/>
      <w:szCs w:val="18"/>
      <w:u w:val="none"/>
    </w:rPr>
  </w:style>
  <w:style w:type="character" w:styleId="1133" w:customStyle="1">
    <w:name w:val="批注引用1"/>
    <w:uiPriority w:val="0"/>
    <w:qFormat/>
    <w:rPr>
      <w:sz w:val="21"/>
      <w:szCs w:val="21"/>
    </w:rPr>
  </w:style>
  <w:style w:type="character" w:styleId="1134" w:customStyle="1">
    <w:name w:val="font91"/>
    <w:uiPriority w:val="0"/>
    <w:qFormat/>
    <w:rPr>
      <w:rFonts w:ascii="Calibri" w:hAnsi="Calibri" w:cs="Calibri"/>
      <w:color w:val="000000"/>
      <w:sz w:val="21"/>
      <w:szCs w:val="21"/>
      <w:u w:val="none"/>
    </w:rPr>
  </w:style>
  <w:style w:type="character" w:styleId="1135" w:customStyle="1">
    <w:name w:val="style21"/>
    <w:uiPriority w:val="0"/>
    <w:qFormat/>
    <w:rPr>
      <w:sz w:val="18"/>
      <w:szCs w:val="18"/>
    </w:rPr>
  </w:style>
  <w:style w:type="character" w:styleId="1136" w:customStyle="1">
    <w:name w:val="font01"/>
    <w:uiPriority w:val="0"/>
    <w:qFormat/>
    <w:rPr>
      <w:rFonts w:ascii="幼圆" w:hAnsi="幼圆" w:eastAsia="幼圆" w:cs="幼圆"/>
      <w:b/>
      <w:color w:val="000000"/>
      <w:sz w:val="22"/>
      <w:szCs w:val="22"/>
      <w:u w:val="none"/>
    </w:rPr>
  </w:style>
  <w:style w:type="character" w:styleId="1137" w:customStyle="1">
    <w:name w:val="List Paragraph Char"/>
    <w:link w:val="1138"/>
    <w:uiPriority w:val="0"/>
    <w:qFormat/>
    <w:rPr>
      <w:rFonts w:ascii="Calibri" w:hAnsi="Calibri"/>
      <w:sz w:val="21"/>
      <w:szCs w:val="22"/>
    </w:rPr>
  </w:style>
  <w:style w:type="paragraph" w:styleId="1138" w:customStyle="1">
    <w:name w:val="List Paragraph2"/>
    <w:basedOn w:val="887"/>
    <w:link w:val="1137"/>
    <w:uiPriority w:val="0"/>
    <w:qFormat/>
    <w:pPr>
      <w:ind w:firstLine="420"/>
    </w:pPr>
    <w:rPr>
      <w:rFonts w:ascii="Calibri" w:hAnsi="Calibri"/>
      <w:szCs w:val="22"/>
    </w:rPr>
  </w:style>
  <w:style w:type="character" w:styleId="1139" w:customStyle="1">
    <w:name w:val="font11"/>
    <w:uiPriority w:val="0"/>
    <w:qFormat/>
    <w:rPr>
      <w:rFonts w:ascii="幼圆" w:hAnsi="幼圆" w:eastAsia="幼圆" w:cs="幼圆"/>
      <w:color w:val="000000"/>
      <w:sz w:val="22"/>
      <w:szCs w:val="22"/>
      <w:u w:val="none"/>
    </w:rPr>
  </w:style>
  <w:style w:type="character" w:styleId="1140" w:customStyle="1">
    <w:name w:val="Table Sub Section Char"/>
    <w:link w:val="1141"/>
    <w:uiPriority w:val="0"/>
    <w:qFormat/>
    <w:rPr>
      <w:rFonts w:ascii="Arial" w:hAnsi="Arial"/>
      <w:b/>
      <w:color w:val="0f0f0f"/>
      <w:lang w:eastAsia="en-US"/>
    </w:rPr>
  </w:style>
  <w:style w:type="paragraph" w:styleId="1141" w:customStyle="1">
    <w:name w:val="Table Sub Section"/>
    <w:basedOn w:val="887"/>
    <w:link w:val="1140"/>
    <w:uiPriority w:val="0"/>
    <w:qFormat/>
    <w:pPr>
      <w:jc w:val="left"/>
      <w:keepNext/>
      <w:spacing w:before="160" w:after="160" w:line="276" w:lineRule="auto"/>
      <w:widowControl/>
    </w:pPr>
    <w:rPr>
      <w:rFonts w:ascii="Arial" w:hAnsi="Arial"/>
      <w:b/>
      <w:color w:val="0f0f0f"/>
      <w:sz w:val="20"/>
      <w:lang w:eastAsia="en-US"/>
    </w:rPr>
  </w:style>
  <w:style w:type="character" w:styleId="1142" w:customStyle="1">
    <w:name w:val="页脚 字符"/>
    <w:uiPriority w:val="99"/>
    <w:qFormat/>
  </w:style>
  <w:style w:type="character" w:styleId="1143" w:customStyle="1">
    <w:name w:val="not([class*=suffix])"/>
    <w:uiPriority w:val="0"/>
    <w:qFormat/>
    <w:rPr>
      <w:sz w:val="19"/>
      <w:szCs w:val="19"/>
    </w:rPr>
  </w:style>
  <w:style w:type="character" w:styleId="1144" w:customStyle="1">
    <w:name w:val="not([class*=suffix])1"/>
    <w:uiPriority w:val="0"/>
    <w:qFormat/>
  </w:style>
  <w:style w:type="character" w:styleId="1145" w:customStyle="1">
    <w:name w:val="font21"/>
    <w:uiPriority w:val="0"/>
    <w:qFormat/>
    <w:rPr>
      <w:rFonts w:hint="eastAsia" w:ascii="宋体" w:hAnsi="宋体" w:eastAsia="宋体" w:cs="宋体"/>
      <w:color w:val="000000"/>
      <w:sz w:val="20"/>
      <w:szCs w:val="20"/>
      <w:u w:val="none"/>
    </w:rPr>
  </w:style>
  <w:style w:type="character" w:styleId="1146" w:customStyle="1">
    <w:name w:val="font31"/>
    <w:uiPriority w:val="0"/>
    <w:qFormat/>
    <w:rPr>
      <w:rFonts w:hint="eastAsia" w:ascii="宋体" w:hAnsi="宋体" w:eastAsia="宋体" w:cs="宋体"/>
      <w:color w:val="000000"/>
      <w:sz w:val="20"/>
      <w:szCs w:val="20"/>
      <w:u w:val="none"/>
    </w:rPr>
  </w:style>
  <w:style w:type="character" w:styleId="1147" w:customStyle="1">
    <w:name w:val="彩色列表字符"/>
    <w:link w:val="1148"/>
    <w:uiPriority w:val="0"/>
    <w:qFormat/>
    <w:rPr>
      <w:rFonts w:ascii="Calibri" w:hAnsi="Calibri"/>
      <w:sz w:val="21"/>
      <w:szCs w:val="22"/>
    </w:rPr>
  </w:style>
  <w:style w:type="paragraph" w:styleId="1148" w:customStyle="1">
    <w:name w:val="彩色列表1"/>
    <w:basedOn w:val="887"/>
    <w:link w:val="1147"/>
    <w:uiPriority w:val="0"/>
    <w:qFormat/>
    <w:pPr>
      <w:ind w:firstLine="420"/>
    </w:pPr>
    <w:rPr>
      <w:rFonts w:ascii="Calibri" w:hAnsi="Calibri"/>
      <w:szCs w:val="22"/>
    </w:rPr>
  </w:style>
  <w:style w:type="character" w:styleId="1149" w:customStyle="1">
    <w:name w:val="标准文本 Char"/>
    <w:link w:val="1150"/>
    <w:uiPriority w:val="0"/>
    <w:qFormat/>
    <w:rPr>
      <w:rFonts w:ascii="宋体" w:hAnsi="宋体" w:eastAsia="宋体" w:cs="宋体"/>
      <w:sz w:val="21"/>
      <w:szCs w:val="21"/>
      <w:lang w:val="en-US" w:eastAsia="zh-CN" w:bidi="ar-SA"/>
    </w:rPr>
  </w:style>
  <w:style w:type="paragraph" w:styleId="1150" w:customStyle="1">
    <w:name w:val="标准文本"/>
    <w:basedOn w:val="887"/>
    <w:link w:val="1149"/>
    <w:uiPriority w:val="0"/>
    <w:qFormat/>
    <w:pPr>
      <w:ind w:firstLine="420"/>
      <w:spacing w:line="300" w:lineRule="auto"/>
    </w:pPr>
    <w:rPr>
      <w:rFonts w:ascii="宋体" w:hAnsi="宋体" w:cs="宋体"/>
      <w:szCs w:val="21"/>
    </w:rPr>
  </w:style>
  <w:style w:type="character" w:styleId="1151" w:customStyle="1">
    <w:name w:val="apple-style-span"/>
    <w:uiPriority w:val="0"/>
    <w:qFormat/>
  </w:style>
  <w:style w:type="character" w:styleId="1152" w:customStyle="1">
    <w:name w:val="mark"/>
    <w:uiPriority w:val="0"/>
    <w:qFormat/>
  </w:style>
  <w:style w:type="character" w:styleId="1153" w:customStyle="1">
    <w:name w:val="c lh15"/>
    <w:uiPriority w:val="0"/>
    <w:qFormat/>
  </w:style>
  <w:style w:type="character" w:styleId="1154" w:customStyle="1">
    <w:name w:val="font51"/>
    <w:uiPriority w:val="0"/>
    <w:qFormat/>
    <w:rPr>
      <w:rFonts w:ascii="Arial" w:hAnsi="Arial" w:cs="Arial"/>
      <w:color w:val="000000"/>
      <w:sz w:val="22"/>
      <w:szCs w:val="22"/>
      <w:u w:val="none"/>
    </w:rPr>
  </w:style>
  <w:style w:type="paragraph" w:styleId="1155" w:customStyle="1">
    <w:name w:val="列表段落1"/>
    <w:basedOn w:val="887"/>
    <w:uiPriority w:val="99"/>
    <w:qFormat/>
    <w:pPr>
      <w:ind w:firstLine="420"/>
    </w:pPr>
    <w:rPr>
      <w:rFonts w:ascii="Calibri" w:hAnsi="Calibri"/>
      <w:szCs w:val="22"/>
    </w:rPr>
  </w:style>
  <w:style w:type="paragraph" w:styleId="1156" w:customStyle="1">
    <w:name w:val="Char Char Char"/>
    <w:basedOn w:val="887"/>
    <w:uiPriority w:val="0"/>
    <w:qFormat/>
    <w:pPr>
      <w:jc w:val="center"/>
      <w:spacing w:line="400" w:lineRule="exact"/>
      <w:widowControl/>
    </w:pPr>
    <w:rPr>
      <w:szCs w:val="24"/>
    </w:rPr>
  </w:style>
  <w:style w:type="paragraph" w:styleId="1157" w:customStyle="1">
    <w:name w:val="077-正文格式"/>
    <w:basedOn w:val="887"/>
    <w:uiPriority w:val="0"/>
    <w:qFormat/>
    <w:pPr>
      <w:ind w:firstLine="480"/>
      <w:spacing w:line="360" w:lineRule="auto"/>
    </w:pPr>
    <w:rPr>
      <w:rFonts w:ascii="宋体" w:cs="宋体"/>
      <w:sz w:val="24"/>
    </w:rPr>
  </w:style>
  <w:style w:type="paragraph" w:styleId="1158" w:customStyle="1">
    <w:name w:val="简单回函地址"/>
    <w:basedOn w:val="887"/>
    <w:uiPriority w:val="0"/>
    <w:qFormat/>
    <w:rPr>
      <w:szCs w:val="24"/>
    </w:rPr>
  </w:style>
  <w:style w:type="paragraph" w:styleId="1159">
    <w:name w:val="No Spacing"/>
    <w:uiPriority w:val="0"/>
    <w:qFormat/>
    <w:rPr>
      <w:rFonts w:ascii="Calibri" w:hAnsi="Calibri" w:eastAsia="宋体" w:cs="Times New Roman"/>
      <w:sz w:val="22"/>
      <w:szCs w:val="22"/>
      <w:lang w:val="en-US" w:eastAsia="zh-CN" w:bidi="ar-SA"/>
    </w:rPr>
  </w:style>
  <w:style w:type="paragraph" w:styleId="1160" w:customStyle="1">
    <w:name w:val="p0"/>
    <w:basedOn w:val="887"/>
    <w:uiPriority w:val="0"/>
    <w:qFormat/>
    <w:pPr>
      <w:ind w:firstLine="420"/>
      <w:jc w:val="left"/>
      <w:widowControl/>
    </w:pPr>
    <w:rPr>
      <w:sz w:val="20"/>
    </w:rPr>
  </w:style>
  <w:style w:type="paragraph" w:styleId="1161" w:customStyle="1">
    <w:name w:val="正文1"/>
    <w:basedOn w:val="887"/>
    <w:uiPriority w:val="0"/>
    <w:qFormat/>
    <w:pPr>
      <w:jc w:val="left"/>
      <w:spacing w:after="200" w:line="300" w:lineRule="atLeast"/>
      <w:widowControl/>
    </w:pPr>
    <w:rPr>
      <w:rFonts w:ascii="Calibri" w:hAnsi="Calibri" w:cs="宋体"/>
      <w:sz w:val="22"/>
      <w:szCs w:val="22"/>
    </w:rPr>
  </w:style>
  <w:style w:type="paragraph" w:styleId="1162" w:customStyle="1">
    <w:name w:val="List Paragraph1"/>
    <w:basedOn w:val="887"/>
    <w:uiPriority w:val="99"/>
    <w:qFormat/>
    <w:pPr>
      <w:ind w:firstLine="420"/>
      <w:jc w:val="left"/>
      <w:spacing w:line="300" w:lineRule="auto"/>
    </w:pPr>
    <w:rPr>
      <w:szCs w:val="22"/>
    </w:rPr>
  </w:style>
  <w:style w:type="paragraph" w:styleId="1163" w:customStyle="1">
    <w:name w:val="Char Char"/>
    <w:basedOn w:val="887"/>
    <w:uiPriority w:val="0"/>
    <w:qFormat/>
    <w:pPr>
      <w:ind w:left="360" w:hanging="360"/>
    </w:pPr>
    <w:rPr>
      <w:sz w:val="24"/>
      <w:szCs w:val="24"/>
    </w:rPr>
  </w:style>
  <w:style w:type="paragraph" w:styleId="116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65" w:customStyle="1">
    <w:name w:val="首行缩进"/>
    <w:basedOn w:val="887"/>
    <w:uiPriority w:val="99"/>
    <w:qFormat/>
    <w:pPr>
      <w:ind w:firstLine="480"/>
      <w:spacing w:line="360" w:lineRule="auto"/>
    </w:pPr>
    <w:rPr>
      <w:szCs w:val="24"/>
    </w:rPr>
  </w:style>
  <w:style w:type="paragraph" w:styleId="1166" w:customStyle="1">
    <w:name w:val="Char Char Char Char Char Char Char"/>
    <w:basedOn w:val="887"/>
    <w:uiPriority w:val="0"/>
    <w:qFormat/>
    <w:pPr>
      <w:ind w:left="432" w:hanging="432"/>
      <w:jc w:val="center"/>
      <w:tabs>
        <w:tab w:val="left" w:pos="432" w:leader="none"/>
      </w:tabs>
    </w:pPr>
    <w:rPr>
      <w:rFonts w:ascii="仿宋_GB2312" w:hAnsi="Tahoma" w:eastAsia="仿宋_GB2312"/>
      <w:sz w:val="24"/>
      <w:szCs w:val="24"/>
    </w:rPr>
  </w:style>
  <w:style w:type="paragraph" w:styleId="1167" w:customStyle="1">
    <w:name w:val="_Style 1"/>
    <w:basedOn w:val="887"/>
    <w:uiPriority w:val="99"/>
    <w:qFormat/>
    <w:pPr>
      <w:ind w:firstLine="420"/>
    </w:pPr>
    <w:rPr>
      <w:rFonts w:ascii="Calibri" w:hAnsi="Calibri"/>
      <w:szCs w:val="22"/>
    </w:rPr>
  </w:style>
  <w:style w:type="paragraph" w:styleId="1168" w:customStyle="1">
    <w:name w:val="Char"/>
    <w:basedOn w:val="887"/>
    <w:uiPriority w:val="0"/>
    <w:qFormat/>
    <w:pPr>
      <w:tabs>
        <w:tab w:val="left" w:pos="360" w:leader="none"/>
      </w:tabs>
    </w:pPr>
    <w:rPr>
      <w:sz w:val="24"/>
    </w:rPr>
  </w:style>
  <w:style w:type="paragraph" w:styleId="1169" w:customStyle="1">
    <w:name w:val="段"/>
    <w:next w:val="887"/>
    <w:uiPriority w:val="0"/>
    <w:qFormat/>
    <w:pPr>
      <w:ind w:firstLine="200"/>
      <w:jc w:val="both"/>
    </w:pPr>
    <w:rPr>
      <w:rFonts w:ascii="宋体" w:hAnsi="Calibri" w:eastAsia="宋体" w:cs="Times New Roman"/>
      <w:sz w:val="21"/>
      <w:szCs w:val="22"/>
      <w:lang w:val="en-US" w:eastAsia="zh-CN" w:bidi="ar-SA"/>
    </w:rPr>
  </w:style>
  <w:style w:type="paragraph" w:styleId="1170" w:customStyle="1">
    <w:name w:val="列出段落11"/>
    <w:basedOn w:val="887"/>
    <w:uiPriority w:val="34"/>
    <w:qFormat/>
    <w:pPr>
      <w:ind w:firstLine="420"/>
    </w:pPr>
  </w:style>
  <w:style w:type="paragraph" w:styleId="1171" w:customStyle="1">
    <w:name w:val="Char Char Char Char Char Char Char1"/>
    <w:basedOn w:val="887"/>
    <w:uiPriority w:val="0"/>
    <w:semiHidden/>
    <w:qFormat/>
    <w:rPr>
      <w:rFonts w:ascii="Tahoma" w:hAnsi="Tahoma" w:cs="仿宋_GB2312"/>
      <w:sz w:val="24"/>
      <w:szCs w:val="28"/>
    </w:rPr>
  </w:style>
  <w:style w:type="paragraph" w:styleId="1172" w:customStyle="1">
    <w:name w:val="_Style 3"/>
    <w:basedOn w:val="887"/>
    <w:uiPriority w:val="34"/>
    <w:qFormat/>
    <w:pPr>
      <w:ind w:firstLine="420"/>
    </w:pPr>
    <w:rPr>
      <w:rFonts w:ascii="Calibri" w:hAnsi="Calibri"/>
      <w:szCs w:val="22"/>
    </w:rPr>
  </w:style>
  <w:style w:type="paragraph" w:styleId="1173" w:customStyle="1">
    <w:name w:val="一级"/>
    <w:basedOn w:val="887"/>
    <w:uiPriority w:val="0"/>
    <w:qFormat/>
    <w:pPr>
      <w:numPr>
        <w:ilvl w:val="0"/>
        <w:numId w:val="1"/>
      </w:numPr>
      <w:spacing w:line="360" w:lineRule="auto"/>
      <w:outlineLvl w:val="0"/>
    </w:pPr>
    <w:rPr>
      <w:b/>
      <w:sz w:val="32"/>
      <w:szCs w:val="32"/>
    </w:rPr>
  </w:style>
  <w:style w:type="paragraph" w:styleId="117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B正文"/>
    <w:basedOn w:val="887"/>
    <w:uiPriority w:val="0"/>
    <w:qFormat/>
    <w:pPr>
      <w:ind w:firstLine="560"/>
      <w:spacing w:line="500" w:lineRule="exact"/>
    </w:pPr>
    <w:rPr>
      <w:sz w:val="28"/>
      <w:szCs w:val="24"/>
    </w:rPr>
  </w:style>
  <w:style w:type="paragraph" w:styleId="117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yiv1658056056msonormal"/>
    <w:basedOn w:val="887"/>
    <w:uiPriority w:val="99"/>
    <w:qFormat/>
    <w:pPr>
      <w:jc w:val="left"/>
      <w:spacing w:before="100" w:beforeAutospacing="1" w:after="100" w:afterAutospacing="1"/>
      <w:widowControl/>
    </w:pPr>
    <w:rPr>
      <w:rFonts w:ascii="宋体" w:hAnsi="宋体" w:cs="宋体"/>
      <w:sz w:val="24"/>
      <w:szCs w:val="24"/>
    </w:rPr>
  </w:style>
  <w:style w:type="paragraph" w:styleId="1178"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179" w:customStyle="1">
    <w:name w:val="列出段落1"/>
    <w:basedOn w:val="887"/>
    <w:uiPriority w:val="34"/>
    <w:qFormat/>
    <w:pPr>
      <w:ind w:firstLine="420"/>
    </w:pPr>
    <w:rPr>
      <w:rFonts w:ascii="Calibri" w:hAnsi="Calibri"/>
      <w:szCs w:val="22"/>
    </w:rPr>
  </w:style>
  <w:style w:type="paragraph" w:styleId="1180">
    <w:name w:val="List Paragraph"/>
    <w:basedOn w:val="887"/>
    <w:uiPriority w:val="0"/>
    <w:qFormat/>
    <w:pPr>
      <w:ind w:firstLine="420"/>
      <w:jc w:val="left"/>
      <w:spacing w:after="200"/>
      <w:widowControl/>
    </w:pPr>
    <w:rPr>
      <w:rFonts w:ascii="Tahoma" w:hAnsi="Tahoma" w:eastAsia="微软雅黑"/>
      <w:sz w:val="22"/>
      <w:szCs w:val="22"/>
    </w:rPr>
  </w:style>
  <w:style w:type="paragraph" w:styleId="1181" w:customStyle="1">
    <w:name w:val="样式 首行缩进:  2 字符"/>
    <w:basedOn w:val="887"/>
    <w:uiPriority w:val="0"/>
    <w:qFormat/>
    <w:pPr>
      <w:ind w:firstLine="200"/>
      <w:spacing w:line="400" w:lineRule="exact"/>
    </w:pPr>
    <w:rPr>
      <w:rFonts w:cs="宋体"/>
      <w:sz w:val="24"/>
      <w:szCs w:val="24"/>
    </w:rPr>
  </w:style>
  <w:style w:type="paragraph" w:styleId="1182" w:customStyle="1">
    <w:name w:val="修订1"/>
    <w:uiPriority w:val="99"/>
    <w:unhideWhenUsed/>
    <w:qFormat/>
    <w:rPr>
      <w:rFonts w:ascii="Times New Roman" w:hAnsi="Times New Roman" w:eastAsia="宋体" w:cs="Times New Roman"/>
      <w:sz w:val="21"/>
      <w:lang w:val="en-US" w:eastAsia="zh-CN" w:bidi="ar-SA"/>
    </w:rPr>
  </w:style>
  <w:style w:type="paragraph" w:styleId="1183" w:customStyle="1">
    <w:name w:val="_Style 2"/>
    <w:uiPriority w:val="1"/>
    <w:qFormat/>
    <w:rPr>
      <w:rFonts w:ascii="Calibri" w:hAnsi="Calibri" w:eastAsia="宋体" w:cs="Arial"/>
      <w:sz w:val="22"/>
      <w:szCs w:val="22"/>
      <w:lang w:val="en-AU" w:eastAsia="en-US" w:bidi="ar-SA"/>
    </w:rPr>
  </w:style>
  <w:style w:type="paragraph" w:styleId="1184" w:customStyle="1">
    <w:name w:val="彩色列表 - 强调文字颜色 11"/>
    <w:basedOn w:val="887"/>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185"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186" w:customStyle="1">
    <w:name w:val="Normal1"/>
    <w:basedOn w:val="887"/>
    <w:uiPriority w:val="0"/>
    <w:qFormat/>
    <w:pPr>
      <w:jc w:val="left"/>
      <w:spacing w:after="200" w:line="300" w:lineRule="atLeast"/>
      <w:widowControl/>
    </w:pPr>
    <w:rPr>
      <w:rFonts w:ascii="Calibri" w:hAnsi="Calibri" w:cs="宋体"/>
      <w:sz w:val="22"/>
      <w:szCs w:val="22"/>
    </w:rPr>
  </w:style>
  <w:style w:type="character" w:styleId="1187" w:customStyle="1">
    <w:name w:val="font71"/>
    <w:uiPriority w:val="0"/>
    <w:qFormat/>
    <w:rPr>
      <w:rFonts w:hint="eastAsia" w:ascii="宋体" w:hAnsi="宋体" w:eastAsia="宋体" w:cs="宋体"/>
      <w:color w:val="000000"/>
      <w:sz w:val="24"/>
      <w:szCs w:val="24"/>
      <w:u w:val="none"/>
    </w:rPr>
  </w:style>
  <w:style w:type="character" w:styleId="1188" w:customStyle="1">
    <w:name w:val="font61"/>
    <w:uiPriority w:val="0"/>
    <w:qFormat/>
    <w:rPr>
      <w:rFonts w:hint="eastAsia" w:ascii="宋体" w:hAnsi="宋体" w:eastAsia="宋体" w:cs="宋体"/>
      <w:color w:val="000000"/>
      <w:sz w:val="15"/>
      <w:szCs w:val="15"/>
      <w:u w:val="none"/>
    </w:rPr>
  </w:style>
  <w:style w:type="paragraph" w:styleId="1189" w:customStyle="1">
    <w:name w:val="Normal_9_0"/>
    <w:uiPriority w:val="0"/>
    <w:qFormat/>
    <w:rPr>
      <w:rFonts w:ascii="Times New Roman" w:hAnsi="Times New Roman" w:eastAsia="Times New Roman" w:cs="Times New Roman"/>
      <w:sz w:val="24"/>
      <w:szCs w:val="24"/>
      <w:lang w:val="en-US" w:eastAsia="zh-CN" w:bidi="ar-SA"/>
    </w:rPr>
  </w:style>
  <w:style w:type="paragraph" w:styleId="1190" w:customStyle="1">
    <w:name w:val="_Style 6"/>
    <w:basedOn w:val="887"/>
    <w:uiPriority w:val="34"/>
    <w:qFormat/>
    <w:pPr>
      <w:ind w:firstLine="420"/>
    </w:pPr>
    <w:rPr>
      <w:szCs w:val="24"/>
    </w:rPr>
  </w:style>
  <w:style w:type="paragraph" w:styleId="1191" w:customStyle="1">
    <w:name w:val="列表段落21"/>
    <w:basedOn w:val="887"/>
    <w:uiPriority w:val="99"/>
    <w:qFormat/>
    <w:pPr>
      <w:ind w:firstLine="420"/>
    </w:pPr>
  </w:style>
  <w:style w:type="character" w:styleId="1192" w:customStyle="1">
    <w:name w:val="批注文字 字符1"/>
    <w:basedOn w:val="897"/>
    <w:link w:val="902"/>
    <w:uiPriority w:val="99"/>
    <w:qFormat/>
    <w:rPr>
      <w:sz w:val="21"/>
    </w:rPr>
  </w:style>
  <w:style w:type="character" w:styleId="1193" w:customStyle="1">
    <w:name w:val="批注主题 字符1"/>
    <w:basedOn w:val="1192"/>
    <w:link w:val="923"/>
    <w:uiPriority w:val="99"/>
    <w:semiHidden/>
    <w:qFormat/>
    <w:rPr>
      <w:b/>
      <w:bCs/>
      <w:sz w:val="21"/>
    </w:rPr>
  </w:style>
  <w:style w:type="table" w:styleId="1194" w:customStyle="1">
    <w:name w:val="Table Normal"/>
    <w:uiPriority w:val="0"/>
    <w:semiHidden/>
    <w:unhideWhenUsed/>
    <w:qFormat/>
    <w:tblPr>
      <w:tblCellMar>
        <w:left w:w="0" w:type="dxa"/>
        <w:top w:w="0" w:type="dxa"/>
        <w:right w:w="0" w:type="dxa"/>
        <w:bottom w:w="0" w:type="dxa"/>
      </w:tblCellMar>
    </w:tblPr>
  </w:style>
  <w:style w:type="paragraph" w:styleId="1195" w:customStyle="1">
    <w:name w:val="Revision"/>
    <w:hidden/>
    <w:uiPriority w:val="99"/>
    <w:unhideWhenUsed/>
    <w:qFormat/>
    <w:rPr>
      <w:rFonts w:ascii="Times New Roman" w:hAnsi="Times New Roman" w:eastAsia="宋体" w:cs="Times New Roman"/>
      <w:sz w:val="21"/>
      <w:lang w:val="en-US" w:eastAsia="zh-CN" w:bidi="ar-SA"/>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716C9-463D-41FD-A35F-B63F583771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朱志云</cp:lastModifiedBy>
  <cp:revision>10</cp:revision>
  <dcterms:created xsi:type="dcterms:W3CDTF">2023-11-14T02:36:00Z</dcterms:created>
  <dcterms:modified xsi:type="dcterms:W3CDTF">2026-10-27T02:54:51Z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C2F0AE592D864430B1E560EAE2189649_12</vt:lpwstr>
  </property>
  <property fmtid="{D5CDD505-2E9C-101B-9397-08002B2CF9AE}" pid="4" name="KSOTemplateDocerSaveRecord">
    <vt:lpwstr>eyJoZGlkIjoiMDgzM2JjOTYzZjVkZjI3NDFmYmZmZDgxMjU4NThiNzEiLCJ1c2VySWQiOiIzMDYyODI0MDcifQ==</vt:lpwstr>
  </property>
</Properties>
</file>